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DA" w:rsidRPr="00B96B01" w:rsidRDefault="00F7064A" w:rsidP="001E288B">
      <w:pPr>
        <w:pStyle w:val="naisvisr"/>
        <w:spacing w:before="0" w:after="0" w:line="20" w:lineRule="atLeast"/>
        <w:rPr>
          <w:sz w:val="24"/>
          <w:szCs w:val="24"/>
        </w:rPr>
      </w:pPr>
      <w:bookmarkStart w:id="0" w:name="OLE_LINK3"/>
      <w:bookmarkStart w:id="1" w:name="OLE_LINK4"/>
      <w:bookmarkStart w:id="2" w:name="OLE_LINK1"/>
      <w:bookmarkStart w:id="3" w:name="OLE_LINK2"/>
      <w:bookmarkStart w:id="4" w:name="OLE_LINK16"/>
      <w:bookmarkStart w:id="5" w:name="OLE_LINK17"/>
      <w:bookmarkStart w:id="6" w:name="OLE_LINK18"/>
      <w:bookmarkStart w:id="7" w:name="OLE_LINK9"/>
      <w:bookmarkStart w:id="8" w:name="_GoBack"/>
      <w:bookmarkEnd w:id="8"/>
      <w:r w:rsidRPr="00B96B01">
        <w:rPr>
          <w:sz w:val="24"/>
          <w:szCs w:val="24"/>
        </w:rPr>
        <w:t xml:space="preserve">Ministru kabineta </w:t>
      </w:r>
      <w:r w:rsidR="00331976" w:rsidRPr="00B96B01">
        <w:rPr>
          <w:sz w:val="24"/>
          <w:szCs w:val="24"/>
        </w:rPr>
        <w:t>rīkojuma</w:t>
      </w:r>
      <w:r w:rsidRPr="00B96B01">
        <w:rPr>
          <w:sz w:val="24"/>
          <w:szCs w:val="24"/>
        </w:rPr>
        <w:t xml:space="preserve"> projekta</w:t>
      </w:r>
      <w:r w:rsidR="00D40CD7" w:rsidRPr="00B96B01">
        <w:rPr>
          <w:sz w:val="24"/>
          <w:szCs w:val="24"/>
        </w:rPr>
        <w:t xml:space="preserve"> </w:t>
      </w:r>
      <w:r w:rsidR="00B8569E" w:rsidRPr="00B96B01">
        <w:rPr>
          <w:sz w:val="24"/>
          <w:szCs w:val="24"/>
        </w:rPr>
        <w:t>„</w:t>
      </w:r>
      <w:bookmarkStart w:id="9" w:name="OLE_LINK6"/>
      <w:bookmarkStart w:id="10" w:name="OLE_LINK7"/>
      <w:r w:rsidR="009421EE" w:rsidRPr="00B96B01">
        <w:rPr>
          <w:sz w:val="24"/>
          <w:szCs w:val="24"/>
        </w:rPr>
        <w:t xml:space="preserve">Grozījumi Ministru kabineta 2012.gada 3.oktobra rīkojumā Nr.465 </w:t>
      </w:r>
      <w:bookmarkStart w:id="11" w:name="OLE_LINK13"/>
      <w:r w:rsidR="00255F53" w:rsidRPr="00B96B01">
        <w:rPr>
          <w:sz w:val="24"/>
          <w:szCs w:val="24"/>
        </w:rPr>
        <w:t>„</w:t>
      </w:r>
      <w:r w:rsidR="009421EE" w:rsidRPr="00B96B01">
        <w:rPr>
          <w:sz w:val="24"/>
          <w:szCs w:val="24"/>
        </w:rPr>
        <w:t>Par finansējuma piešķiršanu administratīvās ēkas un garāžas ēkas Jūras ielā 34, Ventspilī, būvniecības projekta un nomas maksas izdevumu segšanai</w:t>
      </w:r>
      <w:bookmarkEnd w:id="11"/>
      <w:r w:rsidR="00255F53" w:rsidRPr="00B96B01">
        <w:rPr>
          <w:sz w:val="24"/>
          <w:szCs w:val="24"/>
        </w:rPr>
        <w:t>””</w:t>
      </w:r>
      <w:r w:rsidR="008C5A08" w:rsidRPr="00B96B01">
        <w:rPr>
          <w:sz w:val="24"/>
          <w:szCs w:val="24"/>
        </w:rPr>
        <w:t xml:space="preserve"> </w:t>
      </w:r>
      <w:r w:rsidR="001744C8" w:rsidRPr="00B96B01">
        <w:rPr>
          <w:sz w:val="24"/>
          <w:szCs w:val="24"/>
        </w:rPr>
        <w:t xml:space="preserve">sākotnējās ietekmes novērtējuma </w:t>
      </w:r>
      <w:smartTag w:uri="schemas-tilde-lv/tildestengine" w:element="veidnes">
        <w:smartTagPr>
          <w:attr w:name="id" w:val="-1"/>
          <w:attr w:name="baseform" w:val="ziņojums"/>
          <w:attr w:name="text" w:val="ziņojums"/>
        </w:smartTagPr>
        <w:r w:rsidR="001744C8" w:rsidRPr="00B96B01">
          <w:rPr>
            <w:sz w:val="24"/>
            <w:szCs w:val="24"/>
          </w:rPr>
          <w:t>ziņojums</w:t>
        </w:r>
      </w:smartTag>
      <w:r w:rsidR="001744C8" w:rsidRPr="00B96B01">
        <w:rPr>
          <w:sz w:val="24"/>
          <w:szCs w:val="24"/>
        </w:rPr>
        <w:t xml:space="preserve"> (anotācija</w:t>
      </w:r>
      <w:bookmarkEnd w:id="0"/>
      <w:bookmarkEnd w:id="1"/>
      <w:r w:rsidR="001744C8" w:rsidRPr="00B96B01">
        <w:rPr>
          <w:sz w:val="24"/>
          <w:szCs w:val="24"/>
        </w:rPr>
        <w:t>)</w:t>
      </w:r>
      <w:bookmarkEnd w:id="2"/>
      <w:bookmarkEnd w:id="3"/>
      <w:bookmarkEnd w:id="9"/>
      <w:bookmarkEnd w:id="10"/>
    </w:p>
    <w:p w:rsidR="004F7EAD" w:rsidRPr="00B96B01" w:rsidRDefault="004F7EAD" w:rsidP="001E288B">
      <w:pPr>
        <w:pStyle w:val="naisvisr"/>
        <w:spacing w:before="0" w:after="0" w:line="20" w:lineRule="atLeast"/>
        <w:rPr>
          <w:sz w:val="24"/>
          <w:szCs w:val="24"/>
        </w:rPr>
      </w:pPr>
    </w:p>
    <w:tbl>
      <w:tblPr>
        <w:tblpPr w:leftFromText="180" w:rightFromText="180" w:vertAnchor="text" w:horzAnchor="margin" w:tblpXSpec="center" w:tblpY="149"/>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418"/>
        <w:gridCol w:w="7368"/>
      </w:tblGrid>
      <w:tr w:rsidR="00C94AB7" w:rsidRPr="00B96B01" w:rsidTr="00BC1F8E">
        <w:trPr>
          <w:trHeight w:val="275"/>
        </w:trPr>
        <w:tc>
          <w:tcPr>
            <w:tcW w:w="5000" w:type="pct"/>
            <w:gridSpan w:val="3"/>
            <w:vAlign w:val="center"/>
          </w:tcPr>
          <w:p w:rsidR="00C94AB7" w:rsidRPr="00B96B01" w:rsidRDefault="00C94AB7" w:rsidP="004F7EAD">
            <w:pPr>
              <w:pStyle w:val="naisnod"/>
              <w:spacing w:before="120" w:beforeAutospacing="0" w:after="120" w:afterAutospacing="0"/>
              <w:jc w:val="center"/>
              <w:rPr>
                <w:b/>
              </w:rPr>
            </w:pPr>
            <w:r w:rsidRPr="00B96B01">
              <w:rPr>
                <w:b/>
              </w:rPr>
              <w:t>I. Tiesību akta projekta izstrādes nepieciešamība</w:t>
            </w:r>
          </w:p>
        </w:tc>
      </w:tr>
      <w:tr w:rsidR="00C94AB7" w:rsidRPr="00B96B01" w:rsidTr="00BC1F8E">
        <w:trPr>
          <w:trHeight w:val="630"/>
        </w:trPr>
        <w:tc>
          <w:tcPr>
            <w:tcW w:w="234" w:type="pct"/>
          </w:tcPr>
          <w:p w:rsidR="00C94AB7" w:rsidRPr="00B96B01" w:rsidRDefault="00C94AB7" w:rsidP="004F7EAD">
            <w:pPr>
              <w:pStyle w:val="naiskr"/>
              <w:spacing w:before="0" w:after="0"/>
            </w:pPr>
            <w:r w:rsidRPr="00B96B01">
              <w:t>1.</w:t>
            </w:r>
          </w:p>
        </w:tc>
        <w:tc>
          <w:tcPr>
            <w:tcW w:w="769" w:type="pct"/>
          </w:tcPr>
          <w:p w:rsidR="00C94AB7" w:rsidRPr="00B96B01" w:rsidRDefault="00C94AB7" w:rsidP="004F7EAD">
            <w:pPr>
              <w:pStyle w:val="naiskr"/>
              <w:spacing w:before="0" w:after="0"/>
              <w:ind w:hanging="10"/>
            </w:pPr>
            <w:r w:rsidRPr="00B96B01">
              <w:t>Pamatojums</w:t>
            </w:r>
          </w:p>
        </w:tc>
        <w:tc>
          <w:tcPr>
            <w:tcW w:w="3998" w:type="pct"/>
            <w:tcBorders>
              <w:bottom w:val="single" w:sz="4" w:space="0" w:color="auto"/>
            </w:tcBorders>
          </w:tcPr>
          <w:p w:rsidR="00C94AB7" w:rsidRPr="00B96B01" w:rsidRDefault="00C94AB7" w:rsidP="00B96B01">
            <w:pPr>
              <w:spacing w:after="0" w:line="240" w:lineRule="auto"/>
              <w:ind w:left="81" w:right="179"/>
              <w:jc w:val="both"/>
              <w:rPr>
                <w:rFonts w:ascii="Times New Roman" w:hAnsi="Times New Roman"/>
                <w:iCs/>
                <w:sz w:val="24"/>
                <w:szCs w:val="24"/>
              </w:rPr>
            </w:pPr>
            <w:r w:rsidRPr="00B96B01">
              <w:rPr>
                <w:rFonts w:ascii="Times New Roman" w:hAnsi="Times New Roman"/>
                <w:sz w:val="24"/>
                <w:szCs w:val="24"/>
              </w:rPr>
              <w:t>Ministru kabineta rīkojuma projekts „Grozījumi Ministru kabineta 2012.gada 3.oktobra rīkojumā Nr.465 „Par finansējuma piešķiršanu administratīvās ēkas un garāžas ēkas Jūras ielā 34, Ventspilī, būvniecības projekta un nomas maksas izdevumu segšanai”” (turpmāk – MK rīkojuma projekts) sagatavots, lai precizētu Ministru kabineta 2012.gada 3.oktobra rīkojumā Nr.465 „Par finansējuma piešķiršanu administratīvās ēkas un garāžas ēkas Jūras ielā 34, Ventspilī, būvniecības projekta un nomas maksas izdevumu segšanai” (turpmāk – MK rīkojums Nr.465) dotos uzdevumus.</w:t>
            </w:r>
          </w:p>
        </w:tc>
      </w:tr>
      <w:tr w:rsidR="00C94AB7" w:rsidRPr="00CF1B00" w:rsidTr="00BC1F8E">
        <w:trPr>
          <w:trHeight w:val="472"/>
        </w:trPr>
        <w:tc>
          <w:tcPr>
            <w:tcW w:w="234" w:type="pct"/>
          </w:tcPr>
          <w:p w:rsidR="00C94AB7" w:rsidRPr="00CF1B00" w:rsidRDefault="00C94AB7" w:rsidP="004F7EAD">
            <w:pPr>
              <w:pStyle w:val="naiskr"/>
              <w:spacing w:before="0" w:after="0"/>
            </w:pPr>
            <w:r w:rsidRPr="00CF1B00">
              <w:t>2.</w:t>
            </w:r>
          </w:p>
        </w:tc>
        <w:tc>
          <w:tcPr>
            <w:tcW w:w="769" w:type="pct"/>
          </w:tcPr>
          <w:p w:rsidR="00C94AB7" w:rsidRPr="00CF1B00" w:rsidRDefault="00C94AB7" w:rsidP="004F7EAD">
            <w:pPr>
              <w:pStyle w:val="naiskr"/>
              <w:tabs>
                <w:tab w:val="left" w:pos="170"/>
              </w:tabs>
              <w:spacing w:before="0" w:after="0"/>
            </w:pPr>
            <w:r w:rsidRPr="00CF1B00">
              <w:t>Pašreizējā situācija un problēmas, kuru risināšanai tiesību akta projekts izstrādāts, tiesiskā regulējuma mērķis un būtība</w:t>
            </w:r>
          </w:p>
        </w:tc>
        <w:tc>
          <w:tcPr>
            <w:tcW w:w="3998" w:type="pct"/>
            <w:shd w:val="clear" w:color="auto" w:fill="auto"/>
          </w:tcPr>
          <w:p w:rsidR="00C94AB7" w:rsidRPr="00CF1B00" w:rsidRDefault="00C94AB7" w:rsidP="00B96B01">
            <w:pPr>
              <w:spacing w:after="0" w:line="240" w:lineRule="auto"/>
              <w:ind w:left="81" w:right="179"/>
              <w:jc w:val="both"/>
              <w:rPr>
                <w:rFonts w:ascii="Times New Roman" w:hAnsi="Times New Roman"/>
                <w:sz w:val="24"/>
                <w:szCs w:val="24"/>
              </w:rPr>
            </w:pPr>
            <w:r w:rsidRPr="00CF1B00">
              <w:rPr>
                <w:rFonts w:ascii="Times New Roman" w:hAnsi="Times New Roman"/>
                <w:sz w:val="24"/>
                <w:szCs w:val="24"/>
              </w:rPr>
              <w:t>Pamatojoties uz MK rīkojuma Nr.465:</w:t>
            </w:r>
          </w:p>
          <w:p w:rsidR="00C94AB7" w:rsidRPr="00CF1B00" w:rsidRDefault="00C94AB7" w:rsidP="00B96B01">
            <w:pPr>
              <w:pStyle w:val="ListParagraph"/>
              <w:numPr>
                <w:ilvl w:val="0"/>
                <w:numId w:val="20"/>
              </w:numPr>
              <w:ind w:left="81" w:right="179" w:firstLine="0"/>
              <w:contextualSpacing w:val="0"/>
              <w:jc w:val="both"/>
              <w:rPr>
                <w:rFonts w:ascii="Times New Roman" w:hAnsi="Times New Roman"/>
                <w:iCs/>
                <w:sz w:val="24"/>
                <w:szCs w:val="24"/>
                <w:lang w:eastAsia="lv-LV"/>
              </w:rPr>
            </w:pPr>
            <w:r w:rsidRPr="00CF1B00">
              <w:rPr>
                <w:rFonts w:ascii="Times New Roman" w:hAnsi="Times New Roman"/>
                <w:iCs/>
                <w:sz w:val="24"/>
                <w:szCs w:val="24"/>
                <w:lang w:eastAsia="lv-LV"/>
              </w:rPr>
              <w:t xml:space="preserve">1.2.apakšpunktu, Finanšu ministrijai (turpmāk – FM) dots uzdevums nodrošināt administratīvās ēkas un garāžas ēkas Jūras ielā 34, Ventspilī, </w:t>
            </w:r>
            <w:r w:rsidR="0011466D" w:rsidRPr="00CF1B00">
              <w:rPr>
                <w:rFonts w:ascii="Times New Roman" w:hAnsi="Times New Roman"/>
                <w:iCs/>
                <w:sz w:val="24"/>
                <w:szCs w:val="24"/>
                <w:lang w:eastAsia="lv-LV"/>
              </w:rPr>
              <w:t xml:space="preserve">atjaunošanas </w:t>
            </w:r>
            <w:r w:rsidR="006063A6" w:rsidRPr="00CF1B00">
              <w:rPr>
                <w:rFonts w:ascii="Times New Roman" w:hAnsi="Times New Roman"/>
                <w:iCs/>
                <w:sz w:val="24"/>
                <w:szCs w:val="24"/>
                <w:lang w:eastAsia="lv-LV"/>
              </w:rPr>
              <w:t xml:space="preserve">(turpmāk – būvniecības projekts) </w:t>
            </w:r>
            <w:r w:rsidRPr="00CF1B00">
              <w:rPr>
                <w:rFonts w:ascii="Times New Roman" w:hAnsi="Times New Roman"/>
                <w:iCs/>
                <w:sz w:val="24"/>
                <w:szCs w:val="24"/>
                <w:lang w:eastAsia="lv-LV"/>
              </w:rPr>
              <w:t>darbu pabeigšanu līdz 2015.gada 1.oktobrim, nosakot, ka plānotais nomas līguma sākuma termiņš ir 2015.gada 2.oktobris;</w:t>
            </w:r>
          </w:p>
          <w:p w:rsidR="00C94AB7" w:rsidRPr="00CF1B00" w:rsidRDefault="00C94AB7" w:rsidP="00B96B01">
            <w:pPr>
              <w:pStyle w:val="ListParagraph"/>
              <w:numPr>
                <w:ilvl w:val="0"/>
                <w:numId w:val="20"/>
              </w:numPr>
              <w:tabs>
                <w:tab w:val="left" w:pos="585"/>
              </w:tabs>
              <w:ind w:left="81" w:right="179" w:firstLine="0"/>
              <w:contextualSpacing w:val="0"/>
              <w:jc w:val="both"/>
              <w:rPr>
                <w:rFonts w:ascii="Times New Roman" w:hAnsi="Times New Roman"/>
                <w:iCs/>
                <w:sz w:val="24"/>
                <w:szCs w:val="24"/>
                <w:lang w:eastAsia="lv-LV"/>
              </w:rPr>
            </w:pPr>
            <w:r w:rsidRPr="00CF1B00">
              <w:rPr>
                <w:rFonts w:ascii="Times New Roman" w:hAnsi="Times New Roman"/>
                <w:iCs/>
                <w:sz w:val="24"/>
                <w:szCs w:val="24"/>
                <w:lang w:eastAsia="lv-LV"/>
              </w:rPr>
              <w:t>1.</w:t>
            </w:r>
            <w:r w:rsidR="007E0DF5" w:rsidRPr="00CF1B00">
              <w:rPr>
                <w:rFonts w:ascii="Times New Roman" w:hAnsi="Times New Roman"/>
                <w:iCs/>
                <w:sz w:val="24"/>
                <w:szCs w:val="24"/>
                <w:vertAlign w:val="superscript"/>
                <w:lang w:eastAsia="lv-LV"/>
              </w:rPr>
              <w:t>2</w:t>
            </w:r>
            <w:r w:rsidRPr="00CF1B00">
              <w:rPr>
                <w:rFonts w:ascii="Times New Roman" w:hAnsi="Times New Roman"/>
                <w:iCs/>
                <w:sz w:val="24"/>
                <w:szCs w:val="24"/>
                <w:lang w:eastAsia="lv-LV"/>
              </w:rPr>
              <w:t xml:space="preserve"> punktu likumā „Par vidēja termiņa budžeta ietvaru 201</w:t>
            </w:r>
            <w:r w:rsidR="00297974" w:rsidRPr="00CF1B00">
              <w:rPr>
                <w:rFonts w:ascii="Times New Roman" w:hAnsi="Times New Roman"/>
                <w:iCs/>
                <w:sz w:val="24"/>
                <w:szCs w:val="24"/>
                <w:lang w:eastAsia="lv-LV"/>
              </w:rPr>
              <w:t>5</w:t>
            </w:r>
            <w:r w:rsidRPr="00CF1B00">
              <w:rPr>
                <w:rFonts w:ascii="Times New Roman" w:hAnsi="Times New Roman"/>
                <w:iCs/>
                <w:sz w:val="24"/>
                <w:szCs w:val="24"/>
                <w:lang w:eastAsia="lv-LV"/>
              </w:rPr>
              <w:t>., 201</w:t>
            </w:r>
            <w:r w:rsidR="00297974" w:rsidRPr="00CF1B00">
              <w:rPr>
                <w:rFonts w:ascii="Times New Roman" w:hAnsi="Times New Roman"/>
                <w:iCs/>
                <w:sz w:val="24"/>
                <w:szCs w:val="24"/>
                <w:lang w:eastAsia="lv-LV"/>
              </w:rPr>
              <w:t>6</w:t>
            </w:r>
            <w:r w:rsidRPr="00CF1B00">
              <w:rPr>
                <w:rFonts w:ascii="Times New Roman" w:hAnsi="Times New Roman"/>
                <w:iCs/>
                <w:sz w:val="24"/>
                <w:szCs w:val="24"/>
                <w:lang w:eastAsia="lv-LV"/>
              </w:rPr>
              <w:t>. un 201</w:t>
            </w:r>
            <w:r w:rsidR="00297974" w:rsidRPr="00CF1B00">
              <w:rPr>
                <w:rFonts w:ascii="Times New Roman" w:hAnsi="Times New Roman"/>
                <w:iCs/>
                <w:sz w:val="24"/>
                <w:szCs w:val="24"/>
                <w:lang w:eastAsia="lv-LV"/>
              </w:rPr>
              <w:t>7</w:t>
            </w:r>
            <w:r w:rsidRPr="00CF1B00">
              <w:rPr>
                <w:rFonts w:ascii="Times New Roman" w:hAnsi="Times New Roman"/>
                <w:iCs/>
                <w:sz w:val="24"/>
                <w:szCs w:val="24"/>
                <w:lang w:eastAsia="lv-LV"/>
              </w:rPr>
              <w:t>.gadam” un likumā „Par valsts budžetu 201</w:t>
            </w:r>
            <w:r w:rsidR="00297974" w:rsidRPr="00CF1B00">
              <w:rPr>
                <w:rFonts w:ascii="Times New Roman" w:hAnsi="Times New Roman"/>
                <w:iCs/>
                <w:sz w:val="24"/>
                <w:szCs w:val="24"/>
                <w:lang w:eastAsia="lv-LV"/>
              </w:rPr>
              <w:t>5</w:t>
            </w:r>
            <w:r w:rsidRPr="00CF1B00">
              <w:rPr>
                <w:rFonts w:ascii="Times New Roman" w:hAnsi="Times New Roman"/>
                <w:iCs/>
                <w:sz w:val="24"/>
                <w:szCs w:val="24"/>
                <w:lang w:eastAsia="lv-LV"/>
              </w:rPr>
              <w:t xml:space="preserve">.gadam” FM budžetā paredzētas ilgtermiņa saistības </w:t>
            </w:r>
            <w:r w:rsidR="00FD7E34" w:rsidRPr="00CF1B00">
              <w:rPr>
                <w:rFonts w:ascii="Times New Roman" w:hAnsi="Times New Roman"/>
                <w:iCs/>
                <w:sz w:val="24"/>
                <w:szCs w:val="24"/>
                <w:lang w:eastAsia="lv-LV"/>
              </w:rPr>
              <w:t>valsts akciju sabiedrībai „Valsts nekustamie īpašumi” (turpmāk – VNĪ)</w:t>
            </w:r>
            <w:r w:rsidRPr="00CF1B00">
              <w:rPr>
                <w:rFonts w:ascii="Times New Roman" w:hAnsi="Times New Roman"/>
                <w:iCs/>
                <w:sz w:val="24"/>
                <w:szCs w:val="24"/>
                <w:lang w:eastAsia="lv-LV"/>
              </w:rPr>
              <w:t xml:space="preserve"> </w:t>
            </w:r>
            <w:r w:rsidR="006063A6" w:rsidRPr="00CF1B00">
              <w:rPr>
                <w:rFonts w:ascii="Times New Roman" w:hAnsi="Times New Roman"/>
                <w:iCs/>
                <w:sz w:val="24"/>
                <w:szCs w:val="24"/>
                <w:lang w:eastAsia="lv-LV"/>
              </w:rPr>
              <w:t xml:space="preserve">būvniecības projekta </w:t>
            </w:r>
            <w:r w:rsidRPr="00CF1B00">
              <w:rPr>
                <w:rFonts w:ascii="Times New Roman" w:hAnsi="Times New Roman"/>
                <w:iCs/>
                <w:sz w:val="24"/>
                <w:szCs w:val="24"/>
                <w:lang w:eastAsia="lv-LV"/>
              </w:rPr>
              <w:t xml:space="preserve">izdevumu segšanai 2015.gadā </w:t>
            </w:r>
            <w:r w:rsidR="0064520F" w:rsidRPr="00CF1B00">
              <w:rPr>
                <w:rFonts w:ascii="Times New Roman" w:hAnsi="Times New Roman"/>
                <w:iCs/>
                <w:sz w:val="24"/>
                <w:szCs w:val="24"/>
                <w:lang w:eastAsia="lv-LV"/>
              </w:rPr>
              <w:t>783 147</w:t>
            </w:r>
            <w:r w:rsidRPr="00CF1B00">
              <w:rPr>
                <w:rFonts w:ascii="Times New Roman" w:hAnsi="Times New Roman"/>
                <w:iCs/>
                <w:sz w:val="24"/>
                <w:szCs w:val="24"/>
                <w:lang w:eastAsia="lv-LV"/>
              </w:rPr>
              <w:t xml:space="preserve"> </w:t>
            </w:r>
            <w:r w:rsidRPr="00CF1B00">
              <w:rPr>
                <w:rFonts w:ascii="Times New Roman" w:hAnsi="Times New Roman"/>
                <w:i/>
                <w:iCs/>
                <w:sz w:val="24"/>
                <w:szCs w:val="24"/>
                <w:lang w:eastAsia="lv-LV"/>
              </w:rPr>
              <w:t xml:space="preserve">euro </w:t>
            </w:r>
            <w:r w:rsidRPr="00CF1B00">
              <w:rPr>
                <w:rFonts w:ascii="Times New Roman" w:hAnsi="Times New Roman"/>
                <w:iCs/>
                <w:sz w:val="24"/>
                <w:szCs w:val="24"/>
                <w:lang w:eastAsia="lv-LV"/>
              </w:rPr>
              <w:t xml:space="preserve">(kopā </w:t>
            </w:r>
            <w:r w:rsidR="00CB3407" w:rsidRPr="00CF1B00">
              <w:rPr>
                <w:rFonts w:ascii="Times New Roman" w:hAnsi="Times New Roman"/>
                <w:iCs/>
                <w:sz w:val="24"/>
                <w:szCs w:val="24"/>
                <w:lang w:eastAsia="lv-LV"/>
              </w:rPr>
              <w:t xml:space="preserve"> atjaunošanas </w:t>
            </w:r>
            <w:r w:rsidRPr="00CF1B00">
              <w:rPr>
                <w:rFonts w:ascii="Times New Roman" w:hAnsi="Times New Roman"/>
                <w:iCs/>
                <w:sz w:val="24"/>
                <w:szCs w:val="24"/>
                <w:lang w:eastAsia="lv-LV"/>
              </w:rPr>
              <w:t xml:space="preserve">izdevumu segšanai paredzēts finansējums 2013.−2015.gadā 887 528 </w:t>
            </w:r>
            <w:r w:rsidRPr="00CF1B00">
              <w:rPr>
                <w:rFonts w:ascii="Times New Roman" w:hAnsi="Times New Roman"/>
                <w:i/>
                <w:iCs/>
                <w:sz w:val="24"/>
                <w:szCs w:val="24"/>
                <w:lang w:eastAsia="lv-LV"/>
              </w:rPr>
              <w:t>euro</w:t>
            </w:r>
            <w:r w:rsidRPr="00CF1B00">
              <w:rPr>
                <w:rFonts w:ascii="Times New Roman" w:hAnsi="Times New Roman"/>
                <w:iCs/>
                <w:sz w:val="24"/>
                <w:szCs w:val="24"/>
                <w:lang w:eastAsia="lv-LV"/>
              </w:rPr>
              <w:t>);</w:t>
            </w:r>
          </w:p>
          <w:p w:rsidR="00C94AB7" w:rsidRPr="00CF1B00" w:rsidRDefault="00C94AB7" w:rsidP="00B96B01">
            <w:pPr>
              <w:pStyle w:val="ListParagraph"/>
              <w:numPr>
                <w:ilvl w:val="0"/>
                <w:numId w:val="20"/>
              </w:numPr>
              <w:tabs>
                <w:tab w:val="left" w:pos="542"/>
              </w:tabs>
              <w:ind w:left="81" w:right="179" w:firstLine="0"/>
              <w:contextualSpacing w:val="0"/>
              <w:jc w:val="both"/>
              <w:rPr>
                <w:rFonts w:ascii="Times New Roman" w:hAnsi="Times New Roman"/>
                <w:iCs/>
                <w:sz w:val="24"/>
                <w:szCs w:val="24"/>
                <w:lang w:eastAsia="lv-LV"/>
              </w:rPr>
            </w:pPr>
            <w:r w:rsidRPr="00CF1B00">
              <w:rPr>
                <w:rFonts w:ascii="Times New Roman" w:hAnsi="Times New Roman"/>
                <w:iCs/>
                <w:sz w:val="24"/>
                <w:szCs w:val="24"/>
                <w:lang w:eastAsia="lv-LV"/>
              </w:rPr>
              <w:t>3.</w:t>
            </w:r>
            <w:r w:rsidR="00BE1D89" w:rsidRPr="00CF1B00">
              <w:rPr>
                <w:rFonts w:ascii="Times New Roman" w:hAnsi="Times New Roman"/>
                <w:iCs/>
                <w:sz w:val="24"/>
                <w:szCs w:val="24"/>
                <w:vertAlign w:val="superscript"/>
                <w:lang w:eastAsia="lv-LV"/>
              </w:rPr>
              <w:t>1</w:t>
            </w:r>
            <w:r w:rsidR="00BE1D89" w:rsidRPr="00CF1B00">
              <w:rPr>
                <w:rFonts w:ascii="Times New Roman" w:hAnsi="Times New Roman"/>
                <w:iCs/>
                <w:sz w:val="24"/>
                <w:szCs w:val="24"/>
                <w:lang w:eastAsia="lv-LV"/>
              </w:rPr>
              <w:t xml:space="preserve"> </w:t>
            </w:r>
            <w:r w:rsidRPr="00CF1B00">
              <w:rPr>
                <w:rFonts w:ascii="Times New Roman" w:hAnsi="Times New Roman"/>
                <w:iCs/>
                <w:sz w:val="24"/>
                <w:szCs w:val="24"/>
                <w:lang w:eastAsia="lv-LV"/>
              </w:rPr>
              <w:t>punktu, Prokuratūras budžet</w:t>
            </w:r>
            <w:r w:rsidR="0064520F" w:rsidRPr="00CF1B00">
              <w:rPr>
                <w:rFonts w:ascii="Times New Roman" w:hAnsi="Times New Roman"/>
                <w:iCs/>
                <w:sz w:val="24"/>
                <w:szCs w:val="24"/>
                <w:lang w:eastAsia="lv-LV"/>
              </w:rPr>
              <w:t>ā</w:t>
            </w:r>
            <w:r w:rsidRPr="00CF1B00">
              <w:rPr>
                <w:rFonts w:ascii="Times New Roman" w:hAnsi="Times New Roman"/>
                <w:iCs/>
                <w:sz w:val="24"/>
                <w:szCs w:val="24"/>
                <w:lang w:eastAsia="lv-LV"/>
              </w:rPr>
              <w:t xml:space="preserve"> paredz</w:t>
            </w:r>
            <w:r w:rsidR="0064520F" w:rsidRPr="00CF1B00">
              <w:rPr>
                <w:rFonts w:ascii="Times New Roman" w:hAnsi="Times New Roman"/>
                <w:iCs/>
                <w:sz w:val="24"/>
                <w:szCs w:val="24"/>
                <w:lang w:eastAsia="lv-LV"/>
              </w:rPr>
              <w:t>ēts</w:t>
            </w:r>
            <w:r w:rsidRPr="00CF1B00">
              <w:rPr>
                <w:rFonts w:ascii="Times New Roman" w:hAnsi="Times New Roman"/>
                <w:iCs/>
                <w:sz w:val="24"/>
                <w:szCs w:val="24"/>
                <w:lang w:eastAsia="lv-LV"/>
              </w:rPr>
              <w:t xml:space="preserve"> finansējum</w:t>
            </w:r>
            <w:r w:rsidR="00972BE3" w:rsidRPr="00CF1B00">
              <w:rPr>
                <w:rFonts w:ascii="Times New Roman" w:hAnsi="Times New Roman"/>
                <w:iCs/>
                <w:sz w:val="24"/>
                <w:szCs w:val="24"/>
                <w:lang w:eastAsia="lv-LV"/>
              </w:rPr>
              <w:t>s</w:t>
            </w:r>
            <w:r w:rsidRPr="00CF1B00">
              <w:rPr>
                <w:rFonts w:ascii="Times New Roman" w:hAnsi="Times New Roman"/>
                <w:iCs/>
                <w:sz w:val="24"/>
                <w:szCs w:val="24"/>
                <w:lang w:eastAsia="lv-LV"/>
              </w:rPr>
              <w:t xml:space="preserve"> 2015.gadā 4 215 </w:t>
            </w:r>
            <w:proofErr w:type="spellStart"/>
            <w:r w:rsidRPr="00CF1B00">
              <w:rPr>
                <w:rFonts w:ascii="Times New Roman" w:hAnsi="Times New Roman"/>
                <w:i/>
                <w:iCs/>
                <w:sz w:val="24"/>
                <w:szCs w:val="24"/>
                <w:lang w:eastAsia="lv-LV"/>
              </w:rPr>
              <w:t>euro</w:t>
            </w:r>
            <w:proofErr w:type="spellEnd"/>
            <w:r w:rsidRPr="00CF1B00">
              <w:rPr>
                <w:rFonts w:ascii="Times New Roman" w:hAnsi="Times New Roman"/>
                <w:iCs/>
                <w:sz w:val="24"/>
                <w:szCs w:val="24"/>
                <w:lang w:eastAsia="lv-LV"/>
              </w:rPr>
              <w:t xml:space="preserve"> un 2016.gadā un turpmāk katru gadu 16 295 </w:t>
            </w:r>
            <w:proofErr w:type="spellStart"/>
            <w:r w:rsidRPr="00CF1B00">
              <w:rPr>
                <w:rFonts w:ascii="Times New Roman" w:hAnsi="Times New Roman"/>
                <w:i/>
                <w:iCs/>
                <w:sz w:val="24"/>
                <w:szCs w:val="24"/>
                <w:lang w:eastAsia="lv-LV"/>
              </w:rPr>
              <w:t>euro</w:t>
            </w:r>
            <w:proofErr w:type="spellEnd"/>
            <w:r w:rsidRPr="00CF1B00">
              <w:rPr>
                <w:rFonts w:ascii="Times New Roman" w:hAnsi="Times New Roman"/>
                <w:iCs/>
                <w:sz w:val="24"/>
                <w:szCs w:val="24"/>
                <w:lang w:eastAsia="lv-LV"/>
              </w:rPr>
              <w:t>, lai segtu nomas maksu VNĪ.</w:t>
            </w:r>
          </w:p>
          <w:p w:rsidR="006A2ECC" w:rsidRPr="00CF1B00" w:rsidRDefault="00C94AB7" w:rsidP="00B96B01">
            <w:pPr>
              <w:spacing w:after="0" w:line="240" w:lineRule="auto"/>
              <w:ind w:left="81" w:right="179"/>
              <w:jc w:val="both"/>
              <w:rPr>
                <w:rFonts w:ascii="Times New Roman" w:hAnsi="Times New Roman"/>
                <w:iCs/>
                <w:sz w:val="24"/>
                <w:szCs w:val="24"/>
                <w:lang w:eastAsia="lv-LV"/>
              </w:rPr>
            </w:pPr>
            <w:r w:rsidRPr="00CF1B00">
              <w:rPr>
                <w:rFonts w:ascii="Times New Roman" w:hAnsi="Times New Roman"/>
                <w:iCs/>
                <w:sz w:val="24"/>
                <w:szCs w:val="24"/>
                <w:lang w:eastAsia="lv-LV"/>
              </w:rPr>
              <w:t xml:space="preserve">Ņemot vērā </w:t>
            </w:r>
            <w:r w:rsidR="001D6732" w:rsidRPr="00CF1B00">
              <w:rPr>
                <w:rFonts w:ascii="Times New Roman" w:hAnsi="Times New Roman"/>
                <w:iCs/>
                <w:sz w:val="24"/>
                <w:szCs w:val="24"/>
                <w:lang w:eastAsia="lv-LV"/>
              </w:rPr>
              <w:t>MK</w:t>
            </w:r>
            <w:r w:rsidRPr="00CF1B00">
              <w:rPr>
                <w:rFonts w:ascii="Times New Roman" w:hAnsi="Times New Roman"/>
                <w:iCs/>
                <w:sz w:val="24"/>
                <w:szCs w:val="24"/>
                <w:lang w:eastAsia="lv-LV"/>
              </w:rPr>
              <w:t xml:space="preserve"> rīkojumā Nr.465 dotos uzdevumus</w:t>
            </w:r>
            <w:r w:rsidR="00EF7504" w:rsidRPr="00CF1B00">
              <w:rPr>
                <w:rFonts w:ascii="Times New Roman" w:hAnsi="Times New Roman"/>
                <w:iCs/>
                <w:sz w:val="24"/>
                <w:szCs w:val="24"/>
                <w:lang w:eastAsia="lv-LV"/>
              </w:rPr>
              <w:t>,</w:t>
            </w:r>
            <w:r w:rsidRPr="00CF1B00">
              <w:rPr>
                <w:rFonts w:ascii="Times New Roman" w:hAnsi="Times New Roman"/>
                <w:iCs/>
                <w:sz w:val="24"/>
                <w:szCs w:val="24"/>
                <w:lang w:eastAsia="lv-LV"/>
              </w:rPr>
              <w:t xml:space="preserve"> </w:t>
            </w:r>
            <w:r w:rsidR="00C44DE5" w:rsidRPr="00CF1B00">
              <w:rPr>
                <w:rFonts w:ascii="Times New Roman" w:hAnsi="Times New Roman"/>
                <w:iCs/>
                <w:sz w:val="24"/>
                <w:szCs w:val="24"/>
                <w:lang w:eastAsia="lv-LV"/>
              </w:rPr>
              <w:t xml:space="preserve">tiek </w:t>
            </w:r>
            <w:r w:rsidRPr="00CF1B00">
              <w:rPr>
                <w:rFonts w:ascii="Times New Roman" w:hAnsi="Times New Roman"/>
                <w:iCs/>
                <w:sz w:val="24"/>
                <w:szCs w:val="24"/>
                <w:lang w:eastAsia="lv-LV"/>
              </w:rPr>
              <w:t>nodrošināt</w:t>
            </w:r>
            <w:r w:rsidR="00C44DE5" w:rsidRPr="00CF1B00">
              <w:rPr>
                <w:rFonts w:ascii="Times New Roman" w:hAnsi="Times New Roman"/>
                <w:iCs/>
                <w:sz w:val="24"/>
                <w:szCs w:val="24"/>
                <w:lang w:eastAsia="lv-LV"/>
              </w:rPr>
              <w:t>a</w:t>
            </w:r>
            <w:r w:rsidRPr="00CF1B00">
              <w:rPr>
                <w:rFonts w:ascii="Times New Roman" w:hAnsi="Times New Roman"/>
                <w:iCs/>
                <w:sz w:val="24"/>
                <w:szCs w:val="24"/>
                <w:lang w:eastAsia="lv-LV"/>
              </w:rPr>
              <w:t xml:space="preserve"> </w:t>
            </w:r>
            <w:r w:rsidR="00CA7F5E" w:rsidRPr="00CF1B00">
              <w:rPr>
                <w:rFonts w:ascii="Times New Roman" w:hAnsi="Times New Roman"/>
                <w:iCs/>
                <w:sz w:val="24"/>
                <w:szCs w:val="24"/>
                <w:lang w:eastAsia="lv-LV"/>
              </w:rPr>
              <w:t xml:space="preserve">būvniecības </w:t>
            </w:r>
            <w:r w:rsidR="00010EC5" w:rsidRPr="00CF1B00">
              <w:rPr>
                <w:rFonts w:ascii="Times New Roman" w:hAnsi="Times New Roman"/>
                <w:iCs/>
                <w:sz w:val="24"/>
                <w:szCs w:val="24"/>
                <w:lang w:eastAsia="lv-LV"/>
              </w:rPr>
              <w:t>projekta īstenošana</w:t>
            </w:r>
            <w:r w:rsidRPr="00CF1B00">
              <w:rPr>
                <w:rFonts w:ascii="Times New Roman" w:hAnsi="Times New Roman"/>
                <w:iCs/>
                <w:sz w:val="24"/>
                <w:szCs w:val="24"/>
                <w:lang w:eastAsia="lv-LV"/>
              </w:rPr>
              <w:t>.</w:t>
            </w:r>
            <w:r w:rsidR="00C44DE5" w:rsidRPr="00CF1B00">
              <w:rPr>
                <w:rFonts w:ascii="Times New Roman" w:hAnsi="Times New Roman"/>
                <w:iCs/>
                <w:sz w:val="24"/>
                <w:szCs w:val="24"/>
                <w:lang w:eastAsia="lv-LV"/>
              </w:rPr>
              <w:t xml:space="preserve"> L</w:t>
            </w:r>
            <w:r w:rsidRPr="00CF1B00">
              <w:rPr>
                <w:rFonts w:ascii="Times New Roman" w:hAnsi="Times New Roman"/>
                <w:iCs/>
                <w:sz w:val="24"/>
                <w:szCs w:val="24"/>
                <w:lang w:eastAsia="lv-LV"/>
              </w:rPr>
              <w:t>īgums par</w:t>
            </w:r>
            <w:r w:rsidR="00010EC5" w:rsidRPr="00CF1B00">
              <w:rPr>
                <w:rFonts w:ascii="Times New Roman" w:hAnsi="Times New Roman"/>
                <w:iCs/>
                <w:sz w:val="24"/>
                <w:szCs w:val="24"/>
                <w:lang w:eastAsia="lv-LV"/>
              </w:rPr>
              <w:t xml:space="preserve"> </w:t>
            </w:r>
            <w:r w:rsidR="009A07D2" w:rsidRPr="00CF1B00">
              <w:rPr>
                <w:rFonts w:ascii="Times New Roman" w:hAnsi="Times New Roman"/>
                <w:iCs/>
                <w:sz w:val="24"/>
                <w:szCs w:val="24"/>
                <w:lang w:eastAsia="lv-LV"/>
              </w:rPr>
              <w:t>„</w:t>
            </w:r>
            <w:r w:rsidR="00010EC5" w:rsidRPr="00CF1B00">
              <w:rPr>
                <w:rFonts w:ascii="Times New Roman" w:hAnsi="Times New Roman"/>
                <w:iCs/>
                <w:sz w:val="24"/>
                <w:szCs w:val="24"/>
                <w:lang w:eastAsia="lv-LV"/>
              </w:rPr>
              <w:t>Ēku Jūras ielā 34, Ventspilī, rekonstrukcijas-renovācijas skiču un tehniskā projekta izstrādi un autoruzraudzības veikšanu</w:t>
            </w:r>
            <w:r w:rsidR="009A07D2" w:rsidRPr="00CF1B00">
              <w:rPr>
                <w:rFonts w:ascii="Times New Roman" w:hAnsi="Times New Roman"/>
                <w:iCs/>
                <w:sz w:val="24"/>
                <w:szCs w:val="24"/>
                <w:lang w:eastAsia="lv-LV"/>
              </w:rPr>
              <w:t>” (turpmāk –  līgums par būvprojektu)</w:t>
            </w:r>
            <w:r w:rsidRPr="00CF1B00">
              <w:rPr>
                <w:rFonts w:ascii="Times New Roman" w:hAnsi="Times New Roman"/>
                <w:iCs/>
                <w:sz w:val="24"/>
                <w:szCs w:val="24"/>
                <w:lang w:eastAsia="lv-LV"/>
              </w:rPr>
              <w:t xml:space="preserve"> tika noslēgts 2013.gada 11.decembrī ar SIA „</w:t>
            </w:r>
            <w:r w:rsidR="00370A2A" w:rsidRPr="00CF1B00">
              <w:rPr>
                <w:rFonts w:ascii="Times New Roman" w:hAnsi="Times New Roman"/>
                <w:iCs/>
                <w:sz w:val="24"/>
                <w:szCs w:val="24"/>
                <w:lang w:eastAsia="lv-LV"/>
              </w:rPr>
              <w:t>Skonto Būve</w:t>
            </w:r>
            <w:r w:rsidRPr="00CF1B00">
              <w:rPr>
                <w:rFonts w:ascii="Times New Roman" w:hAnsi="Times New Roman"/>
                <w:iCs/>
                <w:sz w:val="24"/>
                <w:szCs w:val="24"/>
                <w:lang w:eastAsia="lv-LV"/>
              </w:rPr>
              <w:t xml:space="preserve">” ar darbu izpildes termiņu līdz 2014.gada </w:t>
            </w:r>
            <w:r w:rsidR="00360042" w:rsidRPr="00CF1B00">
              <w:rPr>
                <w:rFonts w:ascii="Times New Roman" w:hAnsi="Times New Roman"/>
                <w:iCs/>
                <w:sz w:val="24"/>
                <w:szCs w:val="24"/>
                <w:lang w:eastAsia="lv-LV"/>
              </w:rPr>
              <w:t>10.jūnijam</w:t>
            </w:r>
            <w:r w:rsidRPr="00CF1B00">
              <w:rPr>
                <w:rFonts w:ascii="Times New Roman" w:hAnsi="Times New Roman"/>
                <w:iCs/>
                <w:sz w:val="24"/>
                <w:szCs w:val="24"/>
                <w:lang w:eastAsia="lv-LV"/>
              </w:rPr>
              <w:t xml:space="preserve">. </w:t>
            </w:r>
          </w:p>
          <w:p w:rsidR="00B12961" w:rsidRPr="00CF1B00" w:rsidRDefault="00B12961" w:rsidP="00B96B01">
            <w:pPr>
              <w:spacing w:after="0" w:line="240" w:lineRule="auto"/>
              <w:ind w:left="81" w:right="179"/>
              <w:jc w:val="both"/>
              <w:rPr>
                <w:rFonts w:ascii="Times New Roman" w:hAnsi="Times New Roman"/>
                <w:sz w:val="24"/>
                <w:szCs w:val="24"/>
              </w:rPr>
            </w:pPr>
            <w:r w:rsidRPr="00CF1B00">
              <w:rPr>
                <w:rFonts w:ascii="Times New Roman" w:hAnsi="Times New Roman"/>
                <w:iCs/>
                <w:sz w:val="24"/>
                <w:szCs w:val="24"/>
                <w:lang w:eastAsia="lv-LV"/>
              </w:rPr>
              <w:t xml:space="preserve">Būvprojekta izstrādes gaitā, ņemot vērā Ventspils pilsētas domes izsniegto </w:t>
            </w:r>
            <w:r w:rsidRPr="00CF1B00">
              <w:rPr>
                <w:rFonts w:ascii="Times New Roman" w:hAnsi="Times New Roman"/>
                <w:sz w:val="24"/>
                <w:szCs w:val="24"/>
              </w:rPr>
              <w:t>plānošanas un arhitektūras uzdevumu</w:t>
            </w:r>
            <w:r w:rsidR="00D07163" w:rsidRPr="00CF1B00">
              <w:rPr>
                <w:rFonts w:ascii="Times New Roman" w:hAnsi="Times New Roman"/>
                <w:sz w:val="24"/>
                <w:szCs w:val="24"/>
              </w:rPr>
              <w:t>,</w:t>
            </w:r>
            <w:r w:rsidR="00133A29" w:rsidRPr="00CF1B00">
              <w:rPr>
                <w:rFonts w:ascii="Times New Roman" w:hAnsi="Times New Roman"/>
                <w:sz w:val="24"/>
                <w:szCs w:val="24"/>
              </w:rPr>
              <w:t xml:space="preserve"> </w:t>
            </w:r>
            <w:r w:rsidRPr="00CF1B00">
              <w:rPr>
                <w:rFonts w:ascii="Times New Roman" w:hAnsi="Times New Roman"/>
                <w:sz w:val="24"/>
                <w:szCs w:val="24"/>
              </w:rPr>
              <w:t xml:space="preserve">telpu lietotāju prasības, </w:t>
            </w:r>
            <w:r w:rsidR="00442EEE" w:rsidRPr="00CF1B00">
              <w:rPr>
                <w:rFonts w:ascii="Times New Roman" w:hAnsi="Times New Roman"/>
                <w:sz w:val="24"/>
                <w:szCs w:val="24"/>
              </w:rPr>
              <w:t>kā arī</w:t>
            </w:r>
            <w:r w:rsidR="00133A29" w:rsidRPr="00CF1B00">
              <w:rPr>
                <w:rFonts w:ascii="Times New Roman" w:hAnsi="Times New Roman"/>
                <w:sz w:val="24"/>
                <w:szCs w:val="24"/>
              </w:rPr>
              <w:t xml:space="preserve"> </w:t>
            </w:r>
            <w:r w:rsidR="00442EEE" w:rsidRPr="00CF1B00">
              <w:rPr>
                <w:rFonts w:ascii="Times New Roman" w:hAnsi="Times New Roman"/>
                <w:sz w:val="24"/>
                <w:szCs w:val="24"/>
              </w:rPr>
              <w:t>nepieciešamību</w:t>
            </w:r>
            <w:r w:rsidR="0075127A" w:rsidRPr="00CF1B00">
              <w:rPr>
                <w:rFonts w:ascii="Times New Roman" w:hAnsi="Times New Roman"/>
                <w:sz w:val="24"/>
                <w:szCs w:val="24"/>
              </w:rPr>
              <w:t xml:space="preserve"> ēkā </w:t>
            </w:r>
            <w:r w:rsidR="00442EEE" w:rsidRPr="00CF1B00">
              <w:rPr>
                <w:rFonts w:ascii="Times New Roman" w:hAnsi="Times New Roman"/>
                <w:sz w:val="24"/>
                <w:szCs w:val="24"/>
              </w:rPr>
              <w:t xml:space="preserve"> ierīkot  vājstrāvu tīklus (apsardzes signalizācij</w:t>
            </w:r>
            <w:r w:rsidR="00133A29" w:rsidRPr="00CF1B00">
              <w:rPr>
                <w:rFonts w:ascii="Times New Roman" w:hAnsi="Times New Roman"/>
                <w:sz w:val="24"/>
                <w:szCs w:val="24"/>
              </w:rPr>
              <w:t>u</w:t>
            </w:r>
            <w:r w:rsidR="00442EEE" w:rsidRPr="00CF1B00">
              <w:rPr>
                <w:rFonts w:ascii="Times New Roman" w:hAnsi="Times New Roman"/>
                <w:sz w:val="24"/>
                <w:szCs w:val="24"/>
              </w:rPr>
              <w:t>, videonovērošan</w:t>
            </w:r>
            <w:r w:rsidR="00133A29" w:rsidRPr="00CF1B00">
              <w:rPr>
                <w:rFonts w:ascii="Times New Roman" w:hAnsi="Times New Roman"/>
                <w:sz w:val="24"/>
                <w:szCs w:val="24"/>
              </w:rPr>
              <w:t>u</w:t>
            </w:r>
            <w:r w:rsidR="00442EEE" w:rsidRPr="00CF1B00">
              <w:rPr>
                <w:rFonts w:ascii="Times New Roman" w:hAnsi="Times New Roman"/>
                <w:sz w:val="24"/>
                <w:szCs w:val="24"/>
              </w:rPr>
              <w:t xml:space="preserve">, piekļūšanas kontroles sistēmas, ugunsdrošības sistēmas), </w:t>
            </w:r>
            <w:r w:rsidR="006A2ECC" w:rsidRPr="00CF1B00">
              <w:rPr>
                <w:rFonts w:ascii="Times New Roman" w:hAnsi="Times New Roman"/>
                <w:iCs/>
                <w:sz w:val="24"/>
                <w:szCs w:val="24"/>
                <w:lang w:eastAsia="lv-LV"/>
              </w:rPr>
              <w:t>tika pieņemts lēmums</w:t>
            </w:r>
            <w:r w:rsidR="00645737" w:rsidRPr="00CF1B00">
              <w:rPr>
                <w:rFonts w:ascii="Times New Roman" w:hAnsi="Times New Roman"/>
                <w:iCs/>
                <w:sz w:val="24"/>
                <w:szCs w:val="24"/>
                <w:lang w:eastAsia="lv-LV"/>
              </w:rPr>
              <w:t xml:space="preserve"> par būvprojekta sadalīšanu </w:t>
            </w:r>
            <w:r w:rsidR="006A2ECC" w:rsidRPr="00CF1B00">
              <w:rPr>
                <w:rFonts w:ascii="Times New Roman" w:hAnsi="Times New Roman"/>
                <w:iCs/>
                <w:sz w:val="24"/>
                <w:szCs w:val="24"/>
                <w:lang w:eastAsia="lv-LV"/>
              </w:rPr>
              <w:t xml:space="preserve">būvniecības kārtās, jo </w:t>
            </w:r>
            <w:r w:rsidR="00645737" w:rsidRPr="00CF1B00">
              <w:rPr>
                <w:rFonts w:ascii="Times New Roman" w:hAnsi="Times New Roman"/>
                <w:sz w:val="24"/>
                <w:szCs w:val="24"/>
              </w:rPr>
              <w:t>apstiprinātais finansējuma apmērs būtu nepietiekams tā realizācijai</w:t>
            </w:r>
            <w:r w:rsidR="006A2ECC" w:rsidRPr="00CF1B00">
              <w:rPr>
                <w:rFonts w:ascii="Times New Roman" w:hAnsi="Times New Roman"/>
                <w:sz w:val="24"/>
                <w:szCs w:val="24"/>
              </w:rPr>
              <w:t xml:space="preserve">. </w:t>
            </w:r>
          </w:p>
          <w:p w:rsidR="00572155" w:rsidRPr="00CF1B00" w:rsidRDefault="00B12961" w:rsidP="00972BE3">
            <w:pPr>
              <w:shd w:val="clear" w:color="auto" w:fill="FFFFFF" w:themeFill="background1"/>
              <w:spacing w:after="0" w:line="240" w:lineRule="auto"/>
              <w:ind w:left="81" w:right="179"/>
              <w:jc w:val="both"/>
              <w:rPr>
                <w:rFonts w:ascii="Times New Roman" w:hAnsi="Times New Roman"/>
                <w:sz w:val="24"/>
                <w:szCs w:val="24"/>
              </w:rPr>
            </w:pPr>
            <w:r w:rsidRPr="00CF1B00">
              <w:rPr>
                <w:rFonts w:ascii="Times New Roman" w:hAnsi="Times New Roman"/>
                <w:sz w:val="24"/>
                <w:szCs w:val="24"/>
              </w:rPr>
              <w:t xml:space="preserve">Radot ēkas vizuālo tēlu, pēc Ventspils pilsētas domes papildus norādījumiem, tika ņemts vērā nesen </w:t>
            </w:r>
            <w:r w:rsidR="00CA7F5E" w:rsidRPr="00CF1B00">
              <w:rPr>
                <w:rFonts w:ascii="Times New Roman" w:hAnsi="Times New Roman"/>
                <w:sz w:val="24"/>
                <w:szCs w:val="24"/>
              </w:rPr>
              <w:t>pārbūvēt</w:t>
            </w:r>
            <w:r w:rsidRPr="00CF1B00">
              <w:rPr>
                <w:rFonts w:ascii="Times New Roman" w:hAnsi="Times New Roman"/>
                <w:sz w:val="24"/>
                <w:szCs w:val="24"/>
              </w:rPr>
              <w:t>ās domes ēkas veidols ar mērķi ēkas fasādi veidot atšķirīgu no d</w:t>
            </w:r>
            <w:r w:rsidR="00861ECD" w:rsidRPr="00CF1B00">
              <w:rPr>
                <w:rFonts w:ascii="Times New Roman" w:hAnsi="Times New Roman"/>
                <w:sz w:val="24"/>
                <w:szCs w:val="24"/>
              </w:rPr>
              <w:t>omes ēkas, bet ne kontrastējošu</w:t>
            </w:r>
            <w:r w:rsidR="00890D25" w:rsidRPr="00CF1B00">
              <w:rPr>
                <w:rFonts w:ascii="Times New Roman" w:hAnsi="Times New Roman"/>
                <w:sz w:val="24"/>
                <w:szCs w:val="24"/>
              </w:rPr>
              <w:t>, kā arī paredzēt teritorijas zonējuma un labiekārtojuma risinājumu, galvenās ēkas fasādes izgaismošanu, nodrošināt vides pieejamību – lifta izbūvi, palīgēkas – garāžas vārtu nomaiņa.</w:t>
            </w:r>
            <w:r w:rsidR="00242938" w:rsidRPr="00CF1B00">
              <w:rPr>
                <w:rFonts w:ascii="Times New Roman" w:hAnsi="Times New Roman"/>
                <w:sz w:val="24"/>
                <w:szCs w:val="24"/>
              </w:rPr>
              <w:t>VNĪ sākotnējā iecerē šādi darbi nebija plānoti</w:t>
            </w:r>
            <w:r w:rsidR="00972BE3" w:rsidRPr="00CF1B00">
              <w:rPr>
                <w:rFonts w:ascii="Times New Roman" w:hAnsi="Times New Roman"/>
                <w:sz w:val="24"/>
                <w:szCs w:val="24"/>
              </w:rPr>
              <w:t xml:space="preserve">. </w:t>
            </w:r>
            <w:r w:rsidR="00242938" w:rsidRPr="00CF1B00">
              <w:rPr>
                <w:rFonts w:ascii="Times New Roman" w:hAnsi="Times New Roman"/>
                <w:sz w:val="24"/>
                <w:szCs w:val="24"/>
              </w:rPr>
              <w:t xml:space="preserve">Ventspils pilsētas domes izsniegtā plānošanas un </w:t>
            </w:r>
            <w:r w:rsidR="00242938" w:rsidRPr="00CF1B00">
              <w:rPr>
                <w:rFonts w:ascii="Times New Roman" w:hAnsi="Times New Roman"/>
                <w:sz w:val="24"/>
                <w:szCs w:val="24"/>
              </w:rPr>
              <w:lastRenderedPageBreak/>
              <w:t>arhitektūras uzdevuma nosacījumi būtiski sadārdzināja kopējās projekta izmaksas.</w:t>
            </w:r>
            <w:r w:rsidR="00D434B6" w:rsidRPr="00CF1B00">
              <w:rPr>
                <w:rFonts w:ascii="Times New Roman" w:hAnsi="Times New Roman"/>
                <w:sz w:val="24"/>
                <w:szCs w:val="24"/>
              </w:rPr>
              <w:t xml:space="preserve"> </w:t>
            </w:r>
            <w:r w:rsidR="00450423" w:rsidRPr="00CF1B00">
              <w:rPr>
                <w:rFonts w:ascii="Times New Roman" w:hAnsi="Times New Roman"/>
                <w:sz w:val="24"/>
                <w:szCs w:val="24"/>
              </w:rPr>
              <w:t xml:space="preserve"> Vienlaikus, izstrādājot būvprojektu, būtisks nosacījums bija ņemt vērā ēkas esošo lietotāju, tas ir,  Prokuratūras, Tieslietu ministrijas padotībā esošās Tiesu administrācijas (Ventspils tiesas zemesgrāmatu nodaļas) un Iekšlietu ministrijas padotībā esošās Drošības policijas, kā arī ēkas jaunā lietotāja – Tieslietu ministrijas  padotībā esošā Valsts zemes dienesta (sākotnēji nebija paredzēts  pieņemot MK rīkojumu Nr.465), telpu funkcionalitātes un drošības prasības attiecībā uz atbilstošu darb</w:t>
            </w:r>
            <w:r w:rsidR="00972BE3" w:rsidRPr="00CF1B00">
              <w:rPr>
                <w:rFonts w:ascii="Times New Roman" w:hAnsi="Times New Roman"/>
                <w:sz w:val="24"/>
                <w:szCs w:val="24"/>
              </w:rPr>
              <w:t>a</w:t>
            </w:r>
            <w:r w:rsidR="00450423" w:rsidRPr="00CF1B00">
              <w:rPr>
                <w:rFonts w:ascii="Times New Roman" w:hAnsi="Times New Roman"/>
                <w:sz w:val="24"/>
                <w:szCs w:val="24"/>
              </w:rPr>
              <w:t xml:space="preserve"> vietu un apmeklētāju telpu ierīkošanu, kas ir svarīgs priekšnosacījums to noteikto funkciju efektīvai izpildei. Līdz ar to, lai optimizētu un nodrošinātu minēto iestāžu darba apstākļiem nepieciešamo telpu plānojumu, tika veikta visas ēkas plānojuma uzlabošana un paredzēta visu inženiertīklu izveide, t.sk. ventilācijas telpas pārprojektēšana</w:t>
            </w:r>
            <w:r w:rsidR="00972BE3" w:rsidRPr="00CF1B00">
              <w:rPr>
                <w:rFonts w:ascii="Times New Roman" w:hAnsi="Times New Roman"/>
                <w:sz w:val="24"/>
                <w:szCs w:val="24"/>
              </w:rPr>
              <w:t xml:space="preserve">, kas arī sadārdzināja kopējās projekta izmaksas. </w:t>
            </w:r>
            <w:r w:rsidR="00F06AB7" w:rsidRPr="00CF1B00">
              <w:rPr>
                <w:rFonts w:ascii="Times New Roman" w:hAnsi="Times New Roman"/>
                <w:sz w:val="24"/>
                <w:szCs w:val="24"/>
              </w:rPr>
              <w:t xml:space="preserve">2014.gada 17.oktobrī </w:t>
            </w:r>
            <w:r w:rsidR="00572155" w:rsidRPr="00CF1B00">
              <w:rPr>
                <w:rFonts w:ascii="Times New Roman" w:hAnsi="Times New Roman"/>
                <w:sz w:val="24"/>
                <w:szCs w:val="24"/>
              </w:rPr>
              <w:t xml:space="preserve">no </w:t>
            </w:r>
            <w:r w:rsidR="00861ECD" w:rsidRPr="00CF1B00">
              <w:rPr>
                <w:rFonts w:ascii="Times New Roman" w:hAnsi="Times New Roman"/>
                <w:sz w:val="24"/>
                <w:szCs w:val="24"/>
              </w:rPr>
              <w:t>Ventspils pilsētas dom</w:t>
            </w:r>
            <w:r w:rsidRPr="00CF1B00">
              <w:rPr>
                <w:rFonts w:ascii="Times New Roman" w:hAnsi="Times New Roman"/>
                <w:iCs/>
                <w:sz w:val="24"/>
                <w:szCs w:val="24"/>
                <w:lang w:eastAsia="lv-LV"/>
              </w:rPr>
              <w:t>es</w:t>
            </w:r>
            <w:r w:rsidR="00F06AB7" w:rsidRPr="00CF1B00">
              <w:rPr>
                <w:rFonts w:ascii="Times New Roman" w:hAnsi="Times New Roman"/>
                <w:iCs/>
                <w:sz w:val="24"/>
                <w:szCs w:val="24"/>
                <w:lang w:eastAsia="lv-LV"/>
              </w:rPr>
              <w:t xml:space="preserve"> tika saņemts redzējums par būvniecības kārtu skaitu un sadalījumu, kas būtiski atšķīrās no VNĪ priekšlikuma</w:t>
            </w:r>
            <w:r w:rsidR="00572155" w:rsidRPr="00CF1B00">
              <w:rPr>
                <w:rFonts w:ascii="Times New Roman" w:hAnsi="Times New Roman"/>
                <w:iCs/>
                <w:sz w:val="24"/>
                <w:szCs w:val="24"/>
                <w:lang w:eastAsia="lv-LV"/>
              </w:rPr>
              <w:t xml:space="preserve"> un kā rezultātā bija nepieciešams </w:t>
            </w:r>
            <w:r w:rsidR="00F06AB7" w:rsidRPr="00CF1B00">
              <w:rPr>
                <w:rFonts w:ascii="Times New Roman" w:hAnsi="Times New Roman"/>
                <w:iCs/>
                <w:sz w:val="24"/>
                <w:szCs w:val="24"/>
                <w:lang w:eastAsia="lv-LV"/>
              </w:rPr>
              <w:t>veikt izmaiņas</w:t>
            </w:r>
            <w:r w:rsidR="00572155" w:rsidRPr="00CF1B00">
              <w:rPr>
                <w:rFonts w:ascii="Times New Roman" w:hAnsi="Times New Roman"/>
                <w:iCs/>
                <w:sz w:val="24"/>
                <w:szCs w:val="24"/>
                <w:lang w:eastAsia="lv-LV"/>
              </w:rPr>
              <w:t xml:space="preserve"> būvprojektā un p</w:t>
            </w:r>
            <w:r w:rsidR="00F06AB7" w:rsidRPr="00CF1B00">
              <w:rPr>
                <w:rFonts w:ascii="Times New Roman" w:hAnsi="Times New Roman"/>
                <w:iCs/>
                <w:sz w:val="24"/>
                <w:szCs w:val="24"/>
                <w:lang w:eastAsia="lv-LV"/>
              </w:rPr>
              <w:t xml:space="preserve">agarināt būvprojekta izstrādes termiņu </w:t>
            </w:r>
            <w:r w:rsidR="00056962" w:rsidRPr="00CF1B00">
              <w:rPr>
                <w:rFonts w:ascii="Times New Roman" w:hAnsi="Times New Roman"/>
                <w:iCs/>
                <w:sz w:val="24"/>
                <w:szCs w:val="24"/>
                <w:lang w:eastAsia="lv-LV"/>
              </w:rPr>
              <w:t xml:space="preserve">līdz </w:t>
            </w:r>
            <w:r w:rsidR="00F06AB7" w:rsidRPr="00CF1B00">
              <w:rPr>
                <w:rFonts w:ascii="Times New Roman" w:hAnsi="Times New Roman"/>
                <w:iCs/>
                <w:sz w:val="24"/>
                <w:szCs w:val="24"/>
                <w:lang w:eastAsia="lv-LV"/>
              </w:rPr>
              <w:t>2015.gada 16.februārim.</w:t>
            </w:r>
            <w:r w:rsidR="00572155" w:rsidRPr="00CF1B00">
              <w:rPr>
                <w:rFonts w:ascii="Times New Roman" w:hAnsi="Times New Roman"/>
                <w:iCs/>
                <w:sz w:val="24"/>
                <w:szCs w:val="24"/>
                <w:lang w:eastAsia="lv-LV"/>
              </w:rPr>
              <w:t xml:space="preserve"> Šobrīd </w:t>
            </w:r>
            <w:r w:rsidR="00572155" w:rsidRPr="00CF1B00">
              <w:rPr>
                <w:rFonts w:ascii="Times New Roman" w:hAnsi="Times New Roman"/>
                <w:sz w:val="24"/>
                <w:szCs w:val="24"/>
              </w:rPr>
              <w:t xml:space="preserve">būvprojekts ir iesniegts atkārtotai saskaņošanai Ventspils pilsētas domē. </w:t>
            </w:r>
          </w:p>
          <w:p w:rsidR="00056962" w:rsidRPr="00CF1B00" w:rsidRDefault="001456B1" w:rsidP="00B96B01">
            <w:pPr>
              <w:spacing w:after="0" w:line="240" w:lineRule="auto"/>
              <w:ind w:left="81" w:right="179"/>
              <w:jc w:val="both"/>
              <w:rPr>
                <w:rFonts w:ascii="Times New Roman" w:hAnsi="Times New Roman"/>
                <w:sz w:val="24"/>
                <w:szCs w:val="24"/>
              </w:rPr>
            </w:pPr>
            <w:r w:rsidRPr="00CF1B00">
              <w:rPr>
                <w:rFonts w:ascii="Times New Roman" w:hAnsi="Times New Roman"/>
                <w:sz w:val="24"/>
                <w:szCs w:val="24"/>
              </w:rPr>
              <w:t xml:space="preserve">Saskaņā ar MK rīkojumu Nr.465 būvniecības projekta īstenošanai kopā tika apstiprināts finansējums </w:t>
            </w:r>
            <w:r w:rsidRPr="00CF1B00">
              <w:rPr>
                <w:rFonts w:ascii="Times New Roman" w:hAnsi="Times New Roman"/>
                <w:iCs/>
                <w:sz w:val="24"/>
                <w:szCs w:val="24"/>
                <w:lang w:eastAsia="lv-LV"/>
              </w:rPr>
              <w:t xml:space="preserve">887 528 </w:t>
            </w:r>
            <w:r w:rsidRPr="00CF1B00">
              <w:rPr>
                <w:rFonts w:ascii="Times New Roman" w:hAnsi="Times New Roman"/>
                <w:i/>
                <w:sz w:val="24"/>
                <w:szCs w:val="24"/>
              </w:rPr>
              <w:t>euro</w:t>
            </w:r>
            <w:r w:rsidRPr="00CF1B00">
              <w:rPr>
                <w:rFonts w:ascii="Times New Roman" w:hAnsi="Times New Roman"/>
                <w:sz w:val="24"/>
                <w:szCs w:val="24"/>
              </w:rPr>
              <w:t xml:space="preserve">, tai skaitā būvniecības darbu izmaksām </w:t>
            </w:r>
            <w:r w:rsidRPr="00CF1B00">
              <w:rPr>
                <w:rFonts w:ascii="Times New Roman" w:hAnsi="Times New Roman"/>
                <w:iCs/>
                <w:sz w:val="24"/>
                <w:szCs w:val="24"/>
                <w:lang w:eastAsia="lv-LV"/>
              </w:rPr>
              <w:t xml:space="preserve">791 118 </w:t>
            </w:r>
            <w:r w:rsidRPr="00CF1B00">
              <w:rPr>
                <w:rFonts w:ascii="Times New Roman" w:hAnsi="Times New Roman"/>
                <w:i/>
                <w:sz w:val="24"/>
                <w:szCs w:val="24"/>
              </w:rPr>
              <w:t>euro</w:t>
            </w:r>
            <w:r w:rsidRPr="00CF1B00">
              <w:rPr>
                <w:rFonts w:ascii="Times New Roman" w:hAnsi="Times New Roman"/>
                <w:sz w:val="24"/>
                <w:szCs w:val="24"/>
              </w:rPr>
              <w:t xml:space="preserve"> (bez PVN)</w:t>
            </w:r>
            <w:r w:rsidR="00861ECD" w:rsidRPr="00CF1B00">
              <w:rPr>
                <w:rFonts w:ascii="Times New Roman" w:hAnsi="Times New Roman"/>
                <w:sz w:val="24"/>
                <w:szCs w:val="24"/>
              </w:rPr>
              <w:t>, kuru ietvaros tika plānots</w:t>
            </w:r>
            <w:r w:rsidRPr="00CF1B00">
              <w:rPr>
                <w:rFonts w:ascii="Times New Roman" w:hAnsi="Times New Roman"/>
                <w:sz w:val="24"/>
                <w:szCs w:val="24"/>
              </w:rPr>
              <w:t xml:space="preserve"> veikt administratīvās ēkas fasādes remontdarbus, ēkas siltināšanu, jumta seguma maiņu (abām ēkām), inženierkomunikāciju (apkures, ūdensapgādes, kanalizācijas, elektroapgādes sistēmas) maiņu. </w:t>
            </w:r>
          </w:p>
          <w:p w:rsidR="001456B1" w:rsidRPr="00CF1B00" w:rsidRDefault="001456B1" w:rsidP="00B96B01">
            <w:pPr>
              <w:spacing w:after="0" w:line="240" w:lineRule="auto"/>
              <w:ind w:left="81" w:right="179"/>
              <w:jc w:val="both"/>
              <w:rPr>
                <w:rFonts w:ascii="Times New Roman" w:hAnsi="Times New Roman"/>
                <w:sz w:val="24"/>
                <w:szCs w:val="24"/>
              </w:rPr>
            </w:pPr>
            <w:r w:rsidRPr="00CF1B00">
              <w:rPr>
                <w:rFonts w:ascii="Times New Roman" w:hAnsi="Times New Roman"/>
                <w:sz w:val="24"/>
                <w:szCs w:val="24"/>
              </w:rPr>
              <w:t xml:space="preserve">Saskaņā ar būvprojektu apstiprinātā finansējuma ietvaros var tik realizēta būvniecības pirmā </w:t>
            </w:r>
            <w:r w:rsidR="00056962" w:rsidRPr="00CF1B00">
              <w:rPr>
                <w:rFonts w:ascii="Times New Roman" w:hAnsi="Times New Roman"/>
                <w:sz w:val="24"/>
                <w:szCs w:val="24"/>
              </w:rPr>
              <w:t xml:space="preserve">kārta </w:t>
            </w:r>
            <w:r w:rsidRPr="00CF1B00">
              <w:rPr>
                <w:rFonts w:ascii="Times New Roman" w:hAnsi="Times New Roman"/>
                <w:sz w:val="24"/>
                <w:szCs w:val="24"/>
              </w:rPr>
              <w:t xml:space="preserve">(ārējie inženiertīkli (daļa elektrība, ūdens un kanalizācija) un daļēja teritorijas labiekārtošana), trešā </w:t>
            </w:r>
            <w:r w:rsidR="00056962" w:rsidRPr="00CF1B00">
              <w:rPr>
                <w:rFonts w:ascii="Times New Roman" w:hAnsi="Times New Roman"/>
                <w:sz w:val="24"/>
                <w:szCs w:val="24"/>
              </w:rPr>
              <w:t xml:space="preserve"> kārta </w:t>
            </w:r>
            <w:r w:rsidRPr="00CF1B00">
              <w:rPr>
                <w:rFonts w:ascii="Times New Roman" w:hAnsi="Times New Roman"/>
                <w:sz w:val="24"/>
                <w:szCs w:val="24"/>
              </w:rPr>
              <w:t xml:space="preserve">(garāžas ēkas </w:t>
            </w:r>
            <w:r w:rsidR="00CB3407" w:rsidRPr="00CF1B00">
              <w:rPr>
                <w:rFonts w:ascii="Times New Roman" w:hAnsi="Times New Roman"/>
                <w:iCs/>
                <w:sz w:val="24"/>
                <w:szCs w:val="24"/>
                <w:lang w:eastAsia="lv-LV"/>
              </w:rPr>
              <w:t>atjaunošana</w:t>
            </w:r>
            <w:r w:rsidRPr="00CF1B00">
              <w:rPr>
                <w:rFonts w:ascii="Times New Roman" w:hAnsi="Times New Roman"/>
                <w:sz w:val="24"/>
                <w:szCs w:val="24"/>
              </w:rPr>
              <w:t xml:space="preserve"> un siltumtīklu izbūve, t.sk. daļēja teritorijas labiekārtošana) un ceturtā kārta (autostāvietu izbūve). Savukārt, lai īstenotu arī būvniecības otro kārtu (administratīvās ēkas </w:t>
            </w:r>
            <w:r w:rsidR="009F1A0C" w:rsidRPr="00CF1B00">
              <w:rPr>
                <w:rFonts w:ascii="Times New Roman" w:hAnsi="Times New Roman"/>
                <w:sz w:val="24"/>
                <w:szCs w:val="24"/>
              </w:rPr>
              <w:t>pārbūves un ēkas pieguļošās teritorijas daļēja labiekārtošana</w:t>
            </w:r>
            <w:r w:rsidRPr="00CF1B00">
              <w:rPr>
                <w:rFonts w:ascii="Times New Roman" w:hAnsi="Times New Roman"/>
                <w:sz w:val="24"/>
                <w:szCs w:val="24"/>
              </w:rPr>
              <w:t>) nepieciešams papildu finansējums.</w:t>
            </w:r>
          </w:p>
          <w:p w:rsidR="00056962" w:rsidRPr="00CF1B00" w:rsidRDefault="00056962" w:rsidP="00B96B01">
            <w:pPr>
              <w:spacing w:after="0" w:line="240" w:lineRule="auto"/>
              <w:ind w:left="81" w:right="179"/>
              <w:jc w:val="both"/>
              <w:rPr>
                <w:rFonts w:ascii="Times New Roman" w:hAnsi="Times New Roman"/>
                <w:sz w:val="24"/>
                <w:szCs w:val="24"/>
              </w:rPr>
            </w:pPr>
            <w:r w:rsidRPr="00CF1B00">
              <w:rPr>
                <w:rFonts w:ascii="Times New Roman" w:hAnsi="Times New Roman"/>
                <w:sz w:val="24"/>
                <w:szCs w:val="24"/>
              </w:rPr>
              <w:t>Ēku kopējā platība ir 1611,36 m</w:t>
            </w:r>
            <w:r w:rsidRPr="00CF1B00">
              <w:rPr>
                <w:rFonts w:ascii="Times New Roman" w:hAnsi="Times New Roman"/>
                <w:sz w:val="24"/>
                <w:szCs w:val="24"/>
                <w:vertAlign w:val="superscript"/>
              </w:rPr>
              <w:t xml:space="preserve">2 </w:t>
            </w:r>
            <w:r w:rsidRPr="00CF1B00">
              <w:rPr>
                <w:rFonts w:ascii="Times New Roman" w:hAnsi="Times New Roman"/>
                <w:sz w:val="24"/>
                <w:szCs w:val="24"/>
              </w:rPr>
              <w:t xml:space="preserve">, bet pēc pārbūves </w:t>
            </w:r>
            <w:r w:rsidR="00CA7F5E" w:rsidRPr="00CF1B00">
              <w:rPr>
                <w:rFonts w:ascii="Times New Roman" w:hAnsi="Times New Roman"/>
                <w:sz w:val="24"/>
                <w:szCs w:val="24"/>
              </w:rPr>
              <w:t xml:space="preserve">un atjaunošanas </w:t>
            </w:r>
            <w:r w:rsidRPr="00CF1B00">
              <w:rPr>
                <w:rFonts w:ascii="Times New Roman" w:hAnsi="Times New Roman"/>
                <w:sz w:val="24"/>
                <w:szCs w:val="24"/>
              </w:rPr>
              <w:t>tiek plānota  1779,62 m</w:t>
            </w:r>
            <w:r w:rsidRPr="00CF1B00">
              <w:rPr>
                <w:rFonts w:ascii="Times New Roman" w:hAnsi="Times New Roman"/>
                <w:sz w:val="24"/>
                <w:szCs w:val="24"/>
                <w:vertAlign w:val="superscript"/>
              </w:rPr>
              <w:t>2</w:t>
            </w:r>
            <w:r w:rsidRPr="00CF1B00">
              <w:rPr>
                <w:rFonts w:ascii="Times New Roman" w:hAnsi="Times New Roman"/>
                <w:sz w:val="24"/>
                <w:szCs w:val="24"/>
              </w:rPr>
              <w:t xml:space="preserve"> (tai skaitā administratīvās ēkas platība – 1673,76 m</w:t>
            </w:r>
            <w:r w:rsidRPr="00CF1B00">
              <w:rPr>
                <w:rFonts w:ascii="Times New Roman" w:hAnsi="Times New Roman"/>
                <w:sz w:val="24"/>
                <w:szCs w:val="24"/>
                <w:vertAlign w:val="superscript"/>
              </w:rPr>
              <w:t>2</w:t>
            </w:r>
            <w:r w:rsidRPr="00CF1B00">
              <w:rPr>
                <w:rFonts w:ascii="Times New Roman" w:hAnsi="Times New Roman"/>
                <w:sz w:val="24"/>
                <w:szCs w:val="24"/>
              </w:rPr>
              <w:t xml:space="preserve"> un garāžas ēkas platība – 105,86 m</w:t>
            </w:r>
            <w:r w:rsidRPr="00CF1B00">
              <w:rPr>
                <w:rFonts w:ascii="Times New Roman" w:hAnsi="Times New Roman"/>
                <w:sz w:val="24"/>
                <w:szCs w:val="24"/>
                <w:vertAlign w:val="superscript"/>
              </w:rPr>
              <w:t>2</w:t>
            </w:r>
            <w:r w:rsidRPr="00CF1B00">
              <w:rPr>
                <w:rFonts w:ascii="Times New Roman" w:hAnsi="Times New Roman"/>
                <w:sz w:val="24"/>
                <w:szCs w:val="24"/>
              </w:rPr>
              <w:t>)</w:t>
            </w:r>
          </w:p>
          <w:p w:rsidR="00AE4067" w:rsidRPr="00CF1B00" w:rsidRDefault="0082298E" w:rsidP="00B96B01">
            <w:pPr>
              <w:spacing w:after="0" w:line="240" w:lineRule="auto"/>
              <w:ind w:left="81" w:right="179"/>
              <w:jc w:val="both"/>
              <w:rPr>
                <w:rFonts w:ascii="Times New Roman" w:hAnsi="Times New Roman"/>
                <w:sz w:val="24"/>
                <w:szCs w:val="24"/>
              </w:rPr>
            </w:pPr>
            <w:r w:rsidRPr="00CF1B00">
              <w:rPr>
                <w:rFonts w:ascii="Times New Roman" w:hAnsi="Times New Roman"/>
                <w:sz w:val="24"/>
                <w:szCs w:val="24"/>
              </w:rPr>
              <w:t>Pama</w:t>
            </w:r>
            <w:r w:rsidR="001456B1" w:rsidRPr="00CF1B00">
              <w:rPr>
                <w:rFonts w:ascii="Times New Roman" w:hAnsi="Times New Roman"/>
                <w:sz w:val="24"/>
                <w:szCs w:val="24"/>
              </w:rPr>
              <w:t xml:space="preserve">tojoties uz SIA „Skonto Būve” </w:t>
            </w:r>
            <w:r w:rsidR="00B12961" w:rsidRPr="00CF1B00">
              <w:rPr>
                <w:rFonts w:ascii="Times New Roman" w:hAnsi="Times New Roman"/>
                <w:sz w:val="24"/>
                <w:szCs w:val="24"/>
              </w:rPr>
              <w:t>veiktajiem tāmes aprēķiniem</w:t>
            </w:r>
            <w:r w:rsidRPr="00CF1B00">
              <w:rPr>
                <w:rFonts w:ascii="Times New Roman" w:hAnsi="Times New Roman"/>
                <w:sz w:val="24"/>
                <w:szCs w:val="24"/>
              </w:rPr>
              <w:t xml:space="preserve">, visa objekta </w:t>
            </w:r>
            <w:r w:rsidR="001456B1" w:rsidRPr="00CF1B00">
              <w:rPr>
                <w:rFonts w:ascii="Times New Roman" w:hAnsi="Times New Roman"/>
                <w:sz w:val="24"/>
                <w:szCs w:val="24"/>
              </w:rPr>
              <w:t xml:space="preserve">pārbūvei </w:t>
            </w:r>
            <w:r w:rsidRPr="00CF1B00">
              <w:rPr>
                <w:rFonts w:ascii="Times New Roman" w:hAnsi="Times New Roman"/>
                <w:sz w:val="24"/>
                <w:szCs w:val="24"/>
              </w:rPr>
              <w:t xml:space="preserve">– </w:t>
            </w:r>
            <w:r w:rsidR="001456B1" w:rsidRPr="00CF1B00">
              <w:rPr>
                <w:rFonts w:ascii="Times New Roman" w:hAnsi="Times New Roman"/>
                <w:sz w:val="24"/>
                <w:szCs w:val="24"/>
              </w:rPr>
              <w:t>atjaunošanai</w:t>
            </w:r>
            <w:r w:rsidRPr="00CF1B00">
              <w:rPr>
                <w:rFonts w:ascii="Times New Roman" w:hAnsi="Times New Roman"/>
                <w:sz w:val="24"/>
                <w:szCs w:val="24"/>
              </w:rPr>
              <w:t xml:space="preserve"> nepieciešamās izmaksas</w:t>
            </w:r>
            <w:r w:rsidR="00CA7F5E" w:rsidRPr="00CF1B00">
              <w:rPr>
                <w:rFonts w:ascii="Times New Roman" w:hAnsi="Times New Roman"/>
                <w:sz w:val="24"/>
                <w:szCs w:val="24"/>
              </w:rPr>
              <w:t xml:space="preserve"> ir </w:t>
            </w:r>
            <w:r w:rsidRPr="00CF1B00">
              <w:rPr>
                <w:rFonts w:ascii="Times New Roman" w:hAnsi="Times New Roman"/>
                <w:sz w:val="24"/>
                <w:szCs w:val="24"/>
              </w:rPr>
              <w:t>2,</w:t>
            </w:r>
            <w:r w:rsidR="009F1A0C" w:rsidRPr="00CF1B00">
              <w:rPr>
                <w:rFonts w:ascii="Times New Roman" w:hAnsi="Times New Roman"/>
                <w:sz w:val="24"/>
                <w:szCs w:val="24"/>
              </w:rPr>
              <w:t>6</w:t>
            </w:r>
            <w:r w:rsidRPr="00CF1B00">
              <w:rPr>
                <w:rFonts w:ascii="Times New Roman" w:hAnsi="Times New Roman"/>
                <w:sz w:val="24"/>
                <w:szCs w:val="24"/>
              </w:rPr>
              <w:t xml:space="preserve"> milj. </w:t>
            </w:r>
            <w:r w:rsidRPr="00CF1B00">
              <w:rPr>
                <w:rFonts w:ascii="Times New Roman" w:hAnsi="Times New Roman"/>
                <w:i/>
                <w:sz w:val="24"/>
                <w:szCs w:val="24"/>
              </w:rPr>
              <w:t>euro</w:t>
            </w:r>
            <w:r w:rsidR="00CA7F5E" w:rsidRPr="00CF1B00">
              <w:rPr>
                <w:rFonts w:ascii="Times New Roman" w:hAnsi="Times New Roman"/>
                <w:sz w:val="24"/>
                <w:szCs w:val="24"/>
              </w:rPr>
              <w:t xml:space="preserve"> (tai skaitā teritorijas labiekārtošanas izmaksas 0,5 milj.</w:t>
            </w:r>
            <w:r w:rsidR="00AE4067" w:rsidRPr="00CF1B00">
              <w:rPr>
                <w:rFonts w:ascii="Times New Roman" w:hAnsi="Times New Roman"/>
                <w:sz w:val="24"/>
                <w:szCs w:val="24"/>
              </w:rPr>
              <w:t xml:space="preserve"> </w:t>
            </w:r>
            <w:proofErr w:type="spellStart"/>
            <w:r w:rsidR="00AE4067" w:rsidRPr="00CF1B00">
              <w:rPr>
                <w:rFonts w:ascii="Times New Roman" w:hAnsi="Times New Roman"/>
                <w:i/>
                <w:sz w:val="24"/>
                <w:szCs w:val="24"/>
              </w:rPr>
              <w:t>euro</w:t>
            </w:r>
            <w:proofErr w:type="spellEnd"/>
            <w:r w:rsidR="00CA7F5E" w:rsidRPr="00CF1B00">
              <w:rPr>
                <w:rFonts w:ascii="Times New Roman" w:hAnsi="Times New Roman"/>
                <w:sz w:val="24"/>
                <w:szCs w:val="24"/>
              </w:rPr>
              <w:t>)</w:t>
            </w:r>
            <w:r w:rsidRPr="00CF1B00">
              <w:rPr>
                <w:rFonts w:ascii="Times New Roman" w:hAnsi="Times New Roman"/>
                <w:sz w:val="24"/>
                <w:szCs w:val="24"/>
              </w:rPr>
              <w:t>.</w:t>
            </w:r>
          </w:p>
          <w:p w:rsidR="00CA38D4" w:rsidRPr="00CF1B00" w:rsidRDefault="00CA38D4" w:rsidP="00CA38D4">
            <w:pPr>
              <w:spacing w:after="0" w:line="240" w:lineRule="auto"/>
              <w:ind w:left="81" w:right="179"/>
              <w:jc w:val="both"/>
              <w:rPr>
                <w:rFonts w:ascii="Times New Roman" w:hAnsi="Times New Roman"/>
                <w:sz w:val="24"/>
                <w:szCs w:val="24"/>
              </w:rPr>
            </w:pPr>
            <w:r w:rsidRPr="00CF1B00">
              <w:rPr>
                <w:rFonts w:ascii="Times New Roman" w:hAnsi="Times New Roman"/>
                <w:sz w:val="24"/>
                <w:szCs w:val="24"/>
              </w:rPr>
              <w:t xml:space="preserve">2015. gada 17. martā tika izsludināta iepirkuma procedūra „Sabiedriskās ēkas pārbūve un palīgēkas atjaunošana Jūras ielā 34, Ventspilī” ID </w:t>
            </w:r>
            <w:proofErr w:type="spellStart"/>
            <w:r w:rsidRPr="00CF1B00">
              <w:rPr>
                <w:rFonts w:ascii="Times New Roman" w:hAnsi="Times New Roman"/>
                <w:sz w:val="24"/>
                <w:szCs w:val="24"/>
              </w:rPr>
              <w:t>Nr.VNĪ</w:t>
            </w:r>
            <w:proofErr w:type="spellEnd"/>
            <w:r w:rsidRPr="00CF1B00">
              <w:rPr>
                <w:rFonts w:ascii="Times New Roman" w:hAnsi="Times New Roman"/>
                <w:sz w:val="24"/>
                <w:szCs w:val="24"/>
              </w:rPr>
              <w:t xml:space="preserve">/2015/2/2/AK-7. 2015. gada 6. maijā beidzās piedāvājumu iesniegšanas termiņš. Piedāvājumu iesniedza tikai viens pretendents, kura piedāvājuma summa būvniecības darbiem ir 2 671 784 </w:t>
            </w:r>
            <w:proofErr w:type="spellStart"/>
            <w:r w:rsidRPr="00CF1B00">
              <w:rPr>
                <w:rFonts w:ascii="Times New Roman" w:hAnsi="Times New Roman"/>
                <w:i/>
                <w:sz w:val="24"/>
                <w:szCs w:val="24"/>
              </w:rPr>
              <w:t>euro</w:t>
            </w:r>
            <w:proofErr w:type="spellEnd"/>
            <w:r w:rsidRPr="00CF1B00">
              <w:rPr>
                <w:rFonts w:ascii="Times New Roman" w:hAnsi="Times New Roman"/>
                <w:sz w:val="24"/>
                <w:szCs w:val="24"/>
              </w:rPr>
              <w:t xml:space="preserve"> (bez PVN). Šobrīd VNĪ iepirkuma komisija izvērtē iesniegto piedāvājumu. Iepirkuma līgumu paredzēts parakstīt 2015.gadā jūlijā.</w:t>
            </w:r>
          </w:p>
          <w:p w:rsidR="00CA38D4" w:rsidRPr="00CF1B00" w:rsidRDefault="00CA38D4" w:rsidP="00CA38D4">
            <w:pPr>
              <w:spacing w:after="0" w:line="240" w:lineRule="auto"/>
              <w:ind w:left="81" w:right="179"/>
              <w:jc w:val="both"/>
              <w:rPr>
                <w:rFonts w:ascii="Times New Roman" w:hAnsi="Times New Roman"/>
                <w:sz w:val="24"/>
                <w:szCs w:val="24"/>
              </w:rPr>
            </w:pPr>
            <w:r w:rsidRPr="00CF1B00">
              <w:rPr>
                <w:rFonts w:ascii="Times New Roman" w:hAnsi="Times New Roman"/>
                <w:sz w:val="24"/>
                <w:szCs w:val="24"/>
              </w:rPr>
              <w:t xml:space="preserve">Vienlaikus tiek gatavots iepirkuma nolikums iepirkuma procedūrai būvdarbu tehniskās uzraudzības pakalpojumiem. Iepirkuma procedūru plānots izsludināt </w:t>
            </w:r>
            <w:proofErr w:type="spellStart"/>
            <w:r w:rsidRPr="00CF1B00">
              <w:rPr>
                <w:rFonts w:ascii="Times New Roman" w:hAnsi="Times New Roman"/>
                <w:sz w:val="24"/>
                <w:szCs w:val="24"/>
              </w:rPr>
              <w:t>š.g</w:t>
            </w:r>
            <w:proofErr w:type="spellEnd"/>
            <w:r w:rsidRPr="00CF1B00">
              <w:rPr>
                <w:rFonts w:ascii="Times New Roman" w:hAnsi="Times New Roman"/>
                <w:sz w:val="24"/>
                <w:szCs w:val="24"/>
              </w:rPr>
              <w:t xml:space="preserve"> jūnija sākumā.</w:t>
            </w:r>
          </w:p>
          <w:p w:rsidR="00CB3407" w:rsidRPr="00CF1B00" w:rsidRDefault="00CA38D4" w:rsidP="00CA38D4">
            <w:pPr>
              <w:pStyle w:val="BodyText"/>
              <w:ind w:left="81" w:right="179"/>
              <w:jc w:val="both"/>
              <w:rPr>
                <w:b w:val="0"/>
              </w:rPr>
            </w:pPr>
            <w:r w:rsidRPr="00CF1B00">
              <w:rPr>
                <w:b w:val="0"/>
              </w:rPr>
              <w:t xml:space="preserve"> </w:t>
            </w:r>
            <w:r w:rsidR="0000292B" w:rsidRPr="00CF1B00">
              <w:rPr>
                <w:b w:val="0"/>
              </w:rPr>
              <w:t xml:space="preserve">Saskaņā ar precizēto būvniecības darbu izpildes laika grafiku, </w:t>
            </w:r>
            <w:r w:rsidR="006063A6" w:rsidRPr="00CF1B00">
              <w:rPr>
                <w:b w:val="0"/>
              </w:rPr>
              <w:t xml:space="preserve">būvniecības projekta </w:t>
            </w:r>
            <w:r w:rsidR="0031597C" w:rsidRPr="00CF1B00">
              <w:rPr>
                <w:b w:val="0"/>
              </w:rPr>
              <w:t>izdevumu segšanai nepieciešamā finansējuma apmērs</w:t>
            </w:r>
            <w:r w:rsidR="00EF7504" w:rsidRPr="00CF1B00">
              <w:rPr>
                <w:b w:val="0"/>
              </w:rPr>
              <w:t>,</w:t>
            </w:r>
            <w:r w:rsidR="0031597C" w:rsidRPr="00CF1B00">
              <w:rPr>
                <w:b w:val="0"/>
              </w:rPr>
              <w:t xml:space="preserve"> atbilstoši plānotajiem darbiem 201</w:t>
            </w:r>
            <w:r w:rsidR="00C44DE5" w:rsidRPr="00CF1B00">
              <w:rPr>
                <w:b w:val="0"/>
              </w:rPr>
              <w:t>5</w:t>
            </w:r>
            <w:r w:rsidR="0031597C" w:rsidRPr="00CF1B00">
              <w:rPr>
                <w:b w:val="0"/>
              </w:rPr>
              <w:t xml:space="preserve">.gadā ir </w:t>
            </w:r>
            <w:r w:rsidR="006063A6" w:rsidRPr="00CF1B00">
              <w:rPr>
                <w:b w:val="0"/>
              </w:rPr>
              <w:t>315 639</w:t>
            </w:r>
            <w:r w:rsidR="00352806" w:rsidRPr="00CF1B00">
              <w:rPr>
                <w:b w:val="0"/>
              </w:rPr>
              <w:t xml:space="preserve"> </w:t>
            </w:r>
            <w:proofErr w:type="spellStart"/>
            <w:r w:rsidR="0031597C" w:rsidRPr="00CF1B00">
              <w:rPr>
                <w:b w:val="0"/>
                <w:i/>
              </w:rPr>
              <w:t>euro</w:t>
            </w:r>
            <w:proofErr w:type="spellEnd"/>
            <w:r w:rsidR="0031597C" w:rsidRPr="00CF1B00">
              <w:rPr>
                <w:b w:val="0"/>
              </w:rPr>
              <w:t xml:space="preserve">, līdz ar </w:t>
            </w:r>
            <w:r w:rsidR="0031597C" w:rsidRPr="00CF1B00">
              <w:rPr>
                <w:b w:val="0"/>
              </w:rPr>
              <w:lastRenderedPageBreak/>
              <w:t xml:space="preserve">to </w:t>
            </w:r>
            <w:r w:rsidR="006063A6" w:rsidRPr="00CF1B00">
              <w:rPr>
                <w:b w:val="0"/>
              </w:rPr>
              <w:t xml:space="preserve">2015.gadā </w:t>
            </w:r>
            <w:r w:rsidR="0031597C" w:rsidRPr="00CF1B00">
              <w:rPr>
                <w:b w:val="0"/>
              </w:rPr>
              <w:t xml:space="preserve">nepieciešams samazināt finansējumu </w:t>
            </w:r>
            <w:r w:rsidR="00CC461E" w:rsidRPr="00CF1B00">
              <w:rPr>
                <w:b w:val="0"/>
              </w:rPr>
              <w:t xml:space="preserve">FM </w:t>
            </w:r>
            <w:r w:rsidR="0031597C" w:rsidRPr="00CF1B00">
              <w:rPr>
                <w:b w:val="0"/>
              </w:rPr>
              <w:t>budžeta programmas 41.00.00 „Maksājumu nodrošināšana citām valsts iestādēm un personām” apakšprogrammā 41.13.00 „Finansējums VAS „Valsts nekustamie īpašumi” īstenotajiem projektiem un pasākumiem”</w:t>
            </w:r>
            <w:r w:rsidR="009458B2" w:rsidRPr="00CF1B00">
              <w:rPr>
                <w:b w:val="0"/>
              </w:rPr>
              <w:t xml:space="preserve"> (turpmāk </w:t>
            </w:r>
            <w:r w:rsidR="009458B2" w:rsidRPr="00CF1B00">
              <w:rPr>
                <w:b w:val="0"/>
              </w:rPr>
              <w:softHyphen/>
              <w:t>– Programma)</w:t>
            </w:r>
            <w:r w:rsidR="0031597C" w:rsidRPr="00CF1B00">
              <w:rPr>
                <w:b w:val="0"/>
              </w:rPr>
              <w:t xml:space="preserve"> ilgtermiņa saistību pasākumam „Dotācija VAS „Valsts nekustamie īpašumi” būvniecībai Jūras ielā 34, Ventspilī” </w:t>
            </w:r>
            <w:r w:rsidR="00A02CDC" w:rsidRPr="00CF1B00">
              <w:rPr>
                <w:b w:val="0"/>
              </w:rPr>
              <w:t>(projekta kods CIS/FM/008)</w:t>
            </w:r>
            <w:r w:rsidR="009458B2" w:rsidRPr="00CF1B00">
              <w:rPr>
                <w:b w:val="0"/>
              </w:rPr>
              <w:t xml:space="preserve"> (turpmāk –</w:t>
            </w:r>
            <w:r w:rsidR="006063A6" w:rsidRPr="00CF1B00">
              <w:rPr>
                <w:b w:val="0"/>
              </w:rPr>
              <w:t xml:space="preserve"> projekts </w:t>
            </w:r>
            <w:r w:rsidR="009458B2" w:rsidRPr="00CF1B00">
              <w:rPr>
                <w:b w:val="0"/>
              </w:rPr>
              <w:t>Jūras ielā 34, Ventspilī)</w:t>
            </w:r>
            <w:r w:rsidR="00A02CDC" w:rsidRPr="00CF1B00">
              <w:rPr>
                <w:b w:val="0"/>
              </w:rPr>
              <w:t xml:space="preserve"> </w:t>
            </w:r>
            <w:r w:rsidR="00641EC0" w:rsidRPr="00CF1B00">
              <w:rPr>
                <w:b w:val="0"/>
              </w:rPr>
              <w:t xml:space="preserve">467 508 </w:t>
            </w:r>
            <w:proofErr w:type="spellStart"/>
            <w:r w:rsidR="00352806" w:rsidRPr="00CF1B00">
              <w:rPr>
                <w:b w:val="0"/>
                <w:i/>
              </w:rPr>
              <w:t>euro</w:t>
            </w:r>
            <w:proofErr w:type="spellEnd"/>
            <w:r w:rsidR="0031597C" w:rsidRPr="00CF1B00">
              <w:rPr>
                <w:b w:val="0"/>
              </w:rPr>
              <w:t>, pārdalot pasākumam „Dotācija VAS „Valsts nekustamie īpašumi” par kapitālieguldījumiem Rīgas pils Priekšpils būvniecībā”</w:t>
            </w:r>
            <w:r w:rsidR="00A02CDC" w:rsidRPr="00CF1B00">
              <w:rPr>
                <w:b w:val="0"/>
              </w:rPr>
              <w:t xml:space="preserve"> (projekta kods CIS/FM/003)</w:t>
            </w:r>
            <w:r w:rsidR="009458B2" w:rsidRPr="00CF1B00">
              <w:rPr>
                <w:b w:val="0"/>
              </w:rPr>
              <w:t xml:space="preserve"> (turpmāk –  Rīgas pils Priekšpils projekts)</w:t>
            </w:r>
            <w:r w:rsidR="0031597C" w:rsidRPr="00CF1B00">
              <w:rPr>
                <w:b w:val="0"/>
              </w:rPr>
              <w:t xml:space="preserve">. </w:t>
            </w:r>
            <w:r w:rsidR="000156F8" w:rsidRPr="00CF1B00">
              <w:rPr>
                <w:b w:val="0"/>
              </w:rPr>
              <w:t xml:space="preserve">Vienlaikus, lai nodrošinātu finansējumu </w:t>
            </w:r>
            <w:r w:rsidR="006063A6" w:rsidRPr="00CF1B00">
              <w:rPr>
                <w:b w:val="0"/>
              </w:rPr>
              <w:t>būvniecības projektam</w:t>
            </w:r>
            <w:r w:rsidR="00A26451" w:rsidRPr="00CF1B00">
              <w:rPr>
                <w:b w:val="0"/>
              </w:rPr>
              <w:t xml:space="preserve"> </w:t>
            </w:r>
            <w:r w:rsidR="000156F8" w:rsidRPr="00CF1B00">
              <w:rPr>
                <w:b w:val="0"/>
              </w:rPr>
              <w:t>2016.gad</w:t>
            </w:r>
            <w:r w:rsidR="006063A6" w:rsidRPr="00CF1B00">
              <w:rPr>
                <w:b w:val="0"/>
              </w:rPr>
              <w:t>ā</w:t>
            </w:r>
            <w:r w:rsidR="00CC461E" w:rsidRPr="00CF1B00">
              <w:rPr>
                <w:b w:val="0"/>
              </w:rPr>
              <w:t xml:space="preserve">, </w:t>
            </w:r>
            <w:r w:rsidR="00A26451" w:rsidRPr="00CF1B00">
              <w:rPr>
                <w:b w:val="0"/>
              </w:rPr>
              <w:t xml:space="preserve">ierosināts </w:t>
            </w:r>
            <w:r w:rsidR="000156F8" w:rsidRPr="00CF1B00">
              <w:rPr>
                <w:b w:val="0"/>
              </w:rPr>
              <w:t xml:space="preserve"> </w:t>
            </w:r>
            <w:r w:rsidR="00F8778F" w:rsidRPr="00CF1B00">
              <w:rPr>
                <w:b w:val="0"/>
              </w:rPr>
              <w:t>precizēt un</w:t>
            </w:r>
            <w:r w:rsidR="006063A6" w:rsidRPr="00CF1B00">
              <w:rPr>
                <w:b w:val="0"/>
              </w:rPr>
              <w:t xml:space="preserve"> </w:t>
            </w:r>
            <w:r w:rsidR="009458B2" w:rsidRPr="00CF1B00">
              <w:rPr>
                <w:b w:val="0"/>
              </w:rPr>
              <w:t>par 2 422</w:t>
            </w:r>
            <w:r w:rsidR="006063A6" w:rsidRPr="00CF1B00">
              <w:rPr>
                <w:b w:val="0"/>
              </w:rPr>
              <w:t> </w:t>
            </w:r>
            <w:r w:rsidR="009458B2" w:rsidRPr="00CF1B00">
              <w:rPr>
                <w:b w:val="0"/>
              </w:rPr>
              <w:t xml:space="preserve">337 </w:t>
            </w:r>
            <w:proofErr w:type="spellStart"/>
            <w:r w:rsidR="009458B2" w:rsidRPr="00CF1B00">
              <w:rPr>
                <w:b w:val="0"/>
                <w:i/>
              </w:rPr>
              <w:t>euro</w:t>
            </w:r>
            <w:proofErr w:type="spellEnd"/>
            <w:r w:rsidR="009458B2" w:rsidRPr="00CF1B00">
              <w:rPr>
                <w:b w:val="0"/>
              </w:rPr>
              <w:t xml:space="preserve"> </w:t>
            </w:r>
            <w:r w:rsidR="00F8778F" w:rsidRPr="00CF1B00">
              <w:rPr>
                <w:b w:val="0"/>
              </w:rPr>
              <w:t>palielināt</w:t>
            </w:r>
            <w:r w:rsidR="006063A6" w:rsidRPr="00CF1B00">
              <w:rPr>
                <w:b w:val="0"/>
              </w:rPr>
              <w:t xml:space="preserve"> finansējumu</w:t>
            </w:r>
            <w:r w:rsidR="00CB3407" w:rsidRPr="00CF1B00">
              <w:rPr>
                <w:b w:val="0"/>
              </w:rPr>
              <w:t xml:space="preserve">, pārdalot </w:t>
            </w:r>
            <w:r w:rsidR="00A26451" w:rsidRPr="00CF1B00">
              <w:rPr>
                <w:b w:val="0"/>
              </w:rPr>
              <w:t xml:space="preserve">to FM Programmas ietvaros, tai skaitā </w:t>
            </w:r>
            <w:r w:rsidR="006063A6" w:rsidRPr="00CF1B00">
              <w:rPr>
                <w:b w:val="0"/>
              </w:rPr>
              <w:t xml:space="preserve">2 119 844 </w:t>
            </w:r>
            <w:proofErr w:type="spellStart"/>
            <w:r w:rsidR="006063A6" w:rsidRPr="00CF1B00">
              <w:rPr>
                <w:b w:val="0"/>
                <w:i/>
              </w:rPr>
              <w:t>euro</w:t>
            </w:r>
            <w:proofErr w:type="spellEnd"/>
            <w:r w:rsidR="006063A6" w:rsidRPr="00CF1B00">
              <w:rPr>
                <w:b w:val="0"/>
              </w:rPr>
              <w:t xml:space="preserve"> </w:t>
            </w:r>
            <w:r w:rsidR="00CB3407" w:rsidRPr="00CF1B00">
              <w:rPr>
                <w:b w:val="0"/>
              </w:rPr>
              <w:t xml:space="preserve">no </w:t>
            </w:r>
            <w:r w:rsidR="009458B2" w:rsidRPr="00CF1B00">
              <w:rPr>
                <w:b w:val="0"/>
              </w:rPr>
              <w:t xml:space="preserve">Rīgas pils </w:t>
            </w:r>
            <w:r w:rsidR="00AE4067" w:rsidRPr="00CF1B00">
              <w:rPr>
                <w:b w:val="0"/>
              </w:rPr>
              <w:t>p</w:t>
            </w:r>
            <w:r w:rsidR="009458B2" w:rsidRPr="00CF1B00">
              <w:rPr>
                <w:b w:val="0"/>
              </w:rPr>
              <w:t>riekšpils projekta</w:t>
            </w:r>
            <w:r w:rsidR="00B96B01" w:rsidRPr="00CF1B00">
              <w:rPr>
                <w:b w:val="0"/>
              </w:rPr>
              <w:t xml:space="preserve"> </w:t>
            </w:r>
            <w:r w:rsidR="00B473F2" w:rsidRPr="00CF1B00">
              <w:rPr>
                <w:b w:val="0"/>
              </w:rPr>
              <w:t xml:space="preserve">un </w:t>
            </w:r>
            <w:r w:rsidR="00A26451" w:rsidRPr="00CF1B00">
              <w:rPr>
                <w:b w:val="0"/>
              </w:rPr>
              <w:t xml:space="preserve">302 493 </w:t>
            </w:r>
            <w:proofErr w:type="spellStart"/>
            <w:r w:rsidR="00A26451" w:rsidRPr="00CF1B00">
              <w:rPr>
                <w:b w:val="0"/>
                <w:i/>
              </w:rPr>
              <w:t>euro</w:t>
            </w:r>
            <w:proofErr w:type="spellEnd"/>
            <w:r w:rsidR="00A26451" w:rsidRPr="00CF1B00">
              <w:rPr>
                <w:b w:val="0"/>
              </w:rPr>
              <w:t xml:space="preserve"> no </w:t>
            </w:r>
            <w:r w:rsidR="006063A6" w:rsidRPr="00CF1B00">
              <w:rPr>
                <w:b w:val="0"/>
              </w:rPr>
              <w:t xml:space="preserve">pasākuma </w:t>
            </w:r>
            <w:r w:rsidR="00CB3407" w:rsidRPr="00CF1B00">
              <w:rPr>
                <w:b w:val="0"/>
              </w:rPr>
              <w:t>„</w:t>
            </w:r>
            <w:r w:rsidR="00A26451" w:rsidRPr="00CF1B00">
              <w:rPr>
                <w:b w:val="0"/>
              </w:rPr>
              <w:t xml:space="preserve">Dotācija VAS „Valsts nekustamie īpašumi”  KNAB pārcelšanai uz </w:t>
            </w:r>
            <w:proofErr w:type="spellStart"/>
            <w:r w:rsidR="00A26451" w:rsidRPr="00CF1B00">
              <w:rPr>
                <w:b w:val="0"/>
              </w:rPr>
              <w:t>A.Briāna</w:t>
            </w:r>
            <w:proofErr w:type="spellEnd"/>
            <w:r w:rsidR="00A26451" w:rsidRPr="00CF1B00">
              <w:rPr>
                <w:b w:val="0"/>
              </w:rPr>
              <w:t xml:space="preserve"> ielu</w:t>
            </w:r>
            <w:r w:rsidR="00CB3407" w:rsidRPr="00CF1B00">
              <w:rPr>
                <w:b w:val="0"/>
              </w:rPr>
              <w:t>”</w:t>
            </w:r>
            <w:r w:rsidR="00B96B01" w:rsidRPr="00CF1B00">
              <w:rPr>
                <w:b w:val="0"/>
              </w:rPr>
              <w:t xml:space="preserve"> </w:t>
            </w:r>
            <w:r w:rsidR="00A02CDC" w:rsidRPr="00CF1B00">
              <w:rPr>
                <w:b w:val="0"/>
              </w:rPr>
              <w:t>(projekta kods CIS/FM/010)</w:t>
            </w:r>
            <w:r w:rsidR="009458B2" w:rsidRPr="00CF1B00">
              <w:rPr>
                <w:b w:val="0"/>
              </w:rPr>
              <w:t xml:space="preserve">  (turpmāk –</w:t>
            </w:r>
            <w:r w:rsidR="006063A6" w:rsidRPr="00CF1B00">
              <w:rPr>
                <w:b w:val="0"/>
              </w:rPr>
              <w:t xml:space="preserve"> </w:t>
            </w:r>
            <w:r w:rsidR="009458B2" w:rsidRPr="00CF1B00">
              <w:rPr>
                <w:b w:val="0"/>
              </w:rPr>
              <w:t>projekts</w:t>
            </w:r>
            <w:r w:rsidR="006063A6" w:rsidRPr="00CF1B00">
              <w:rPr>
                <w:b w:val="0"/>
              </w:rPr>
              <w:t xml:space="preserve"> </w:t>
            </w:r>
            <w:proofErr w:type="spellStart"/>
            <w:r w:rsidR="009458B2" w:rsidRPr="00CF1B00">
              <w:rPr>
                <w:b w:val="0"/>
              </w:rPr>
              <w:t>A.Briāna</w:t>
            </w:r>
            <w:proofErr w:type="spellEnd"/>
            <w:r w:rsidR="009458B2" w:rsidRPr="00CF1B00">
              <w:rPr>
                <w:b w:val="0"/>
              </w:rPr>
              <w:t xml:space="preserve"> ielā, Rīgā)</w:t>
            </w:r>
            <w:r w:rsidR="00CB3407" w:rsidRPr="00CF1B00">
              <w:rPr>
                <w:b w:val="0"/>
              </w:rPr>
              <w:t>.</w:t>
            </w:r>
          </w:p>
          <w:p w:rsidR="00F8778F" w:rsidRPr="00CF1B00" w:rsidRDefault="00365B9B" w:rsidP="00B96B01">
            <w:pPr>
              <w:pStyle w:val="BodyText"/>
              <w:ind w:left="81" w:right="179"/>
              <w:jc w:val="both"/>
              <w:rPr>
                <w:rFonts w:eastAsia="Calibri"/>
                <w:b w:val="0"/>
                <w:bCs w:val="0"/>
              </w:rPr>
            </w:pPr>
            <w:r w:rsidRPr="00CF1B00">
              <w:rPr>
                <w:rFonts w:eastAsia="Calibri"/>
                <w:b w:val="0"/>
                <w:bCs w:val="0"/>
              </w:rPr>
              <w:t>Lai realizētu būvdarbus būvprojektā paredzētajā apjomā, nepieciešams Ministru kabineta lēmums par papildu finansējuma paredzēšanu minētā projekta īstenošanai</w:t>
            </w:r>
            <w:r w:rsidR="00CA7F5E" w:rsidRPr="00CF1B00">
              <w:rPr>
                <w:rFonts w:eastAsia="Calibri"/>
                <w:b w:val="0"/>
                <w:bCs w:val="0"/>
              </w:rPr>
              <w:t xml:space="preserve"> 2016.gadā</w:t>
            </w:r>
            <w:r w:rsidR="0017298D" w:rsidRPr="00CF1B00">
              <w:rPr>
                <w:rFonts w:eastAsia="Calibri"/>
                <w:b w:val="0"/>
                <w:bCs w:val="0"/>
              </w:rPr>
              <w:t>.</w:t>
            </w:r>
          </w:p>
          <w:p w:rsidR="00AF454B" w:rsidRPr="00CF1B00" w:rsidRDefault="00E146A2" w:rsidP="00B96B01">
            <w:pPr>
              <w:spacing w:after="0" w:line="240" w:lineRule="auto"/>
              <w:ind w:left="81" w:right="179"/>
              <w:jc w:val="both"/>
              <w:rPr>
                <w:rFonts w:ascii="Times New Roman" w:hAnsi="Times New Roman"/>
                <w:sz w:val="24"/>
                <w:szCs w:val="24"/>
              </w:rPr>
            </w:pPr>
            <w:r w:rsidRPr="00CF1B00">
              <w:rPr>
                <w:rFonts w:ascii="Times New Roman" w:hAnsi="Times New Roman"/>
                <w:sz w:val="24"/>
                <w:szCs w:val="24"/>
              </w:rPr>
              <w:t xml:space="preserve">Attiecīgi sagatavots Ministru kabineta sēdes </w:t>
            </w:r>
            <w:proofErr w:type="spellStart"/>
            <w:r w:rsidRPr="00CF1B00">
              <w:rPr>
                <w:rFonts w:ascii="Times New Roman" w:hAnsi="Times New Roman"/>
                <w:sz w:val="24"/>
                <w:szCs w:val="24"/>
              </w:rPr>
              <w:t>protokollēmuma</w:t>
            </w:r>
            <w:proofErr w:type="spellEnd"/>
            <w:r w:rsidRPr="00CF1B00">
              <w:rPr>
                <w:rFonts w:ascii="Times New Roman" w:hAnsi="Times New Roman"/>
                <w:sz w:val="24"/>
                <w:szCs w:val="24"/>
              </w:rPr>
              <w:t xml:space="preserve"> projekts, kas paredz</w:t>
            </w:r>
            <w:r w:rsidR="00AF454B" w:rsidRPr="00CF1B00">
              <w:rPr>
                <w:rFonts w:ascii="Times New Roman" w:hAnsi="Times New Roman"/>
                <w:sz w:val="24"/>
                <w:szCs w:val="24"/>
              </w:rPr>
              <w:t>:</w:t>
            </w:r>
          </w:p>
          <w:p w:rsidR="00AF454B" w:rsidRPr="00CF1B00" w:rsidRDefault="00E146A2" w:rsidP="00AF454B">
            <w:pPr>
              <w:pStyle w:val="ListParagraph"/>
              <w:numPr>
                <w:ilvl w:val="0"/>
                <w:numId w:val="25"/>
              </w:numPr>
              <w:tabs>
                <w:tab w:val="left" w:pos="364"/>
              </w:tabs>
              <w:ind w:left="81" w:right="179" w:firstLine="0"/>
              <w:jc w:val="both"/>
              <w:rPr>
                <w:rFonts w:ascii="Times New Roman" w:hAnsi="Times New Roman"/>
                <w:sz w:val="24"/>
                <w:szCs w:val="24"/>
              </w:rPr>
            </w:pPr>
            <w:r w:rsidRPr="00CF1B00">
              <w:rPr>
                <w:rFonts w:ascii="Times New Roman" w:hAnsi="Times New Roman"/>
                <w:sz w:val="24"/>
                <w:szCs w:val="24"/>
              </w:rPr>
              <w:t xml:space="preserve">atļaut FM </w:t>
            </w:r>
            <w:r w:rsidR="006063A6" w:rsidRPr="00CF1B00">
              <w:rPr>
                <w:rFonts w:ascii="Times New Roman" w:hAnsi="Times New Roman"/>
                <w:sz w:val="24"/>
                <w:szCs w:val="24"/>
              </w:rPr>
              <w:t>P</w:t>
            </w:r>
            <w:r w:rsidR="00AF454B" w:rsidRPr="00CF1B00">
              <w:rPr>
                <w:rFonts w:ascii="Times New Roman" w:hAnsi="Times New Roman"/>
                <w:sz w:val="24"/>
                <w:szCs w:val="24"/>
              </w:rPr>
              <w:t xml:space="preserve">rogrammas ietvaros ilgtermiņa saistībās 2015.gadā samazināt finansējumu </w:t>
            </w:r>
            <w:r w:rsidR="006E0B77" w:rsidRPr="00CF1B00">
              <w:rPr>
                <w:rFonts w:ascii="Times New Roman" w:hAnsi="Times New Roman"/>
                <w:sz w:val="24"/>
                <w:szCs w:val="24"/>
              </w:rPr>
              <w:t xml:space="preserve"> projektam Jūras ielā 34, Ventspilī, </w:t>
            </w:r>
            <w:r w:rsidR="00AF454B" w:rsidRPr="00CF1B00">
              <w:rPr>
                <w:rFonts w:ascii="Times New Roman" w:hAnsi="Times New Roman"/>
                <w:sz w:val="24"/>
                <w:szCs w:val="24"/>
              </w:rPr>
              <w:t xml:space="preserve">par </w:t>
            </w:r>
            <w:r w:rsidR="00641EC0" w:rsidRPr="00CF1B00">
              <w:rPr>
                <w:rFonts w:ascii="Times New Roman" w:hAnsi="Times New Roman"/>
                <w:sz w:val="24"/>
                <w:szCs w:val="24"/>
              </w:rPr>
              <w:t xml:space="preserve">467 508 </w:t>
            </w:r>
            <w:proofErr w:type="spellStart"/>
            <w:r w:rsidR="00AF454B" w:rsidRPr="00CF1B00">
              <w:rPr>
                <w:rFonts w:ascii="Times New Roman" w:hAnsi="Times New Roman"/>
                <w:i/>
                <w:sz w:val="24"/>
                <w:szCs w:val="24"/>
              </w:rPr>
              <w:t>euro</w:t>
            </w:r>
            <w:proofErr w:type="spellEnd"/>
            <w:r w:rsidR="00AF454B" w:rsidRPr="00CF1B00">
              <w:rPr>
                <w:rFonts w:ascii="Times New Roman" w:hAnsi="Times New Roman"/>
                <w:sz w:val="24"/>
                <w:szCs w:val="24"/>
              </w:rPr>
              <w:t xml:space="preserve">, pārdalot </w:t>
            </w:r>
            <w:r w:rsidR="006E0B77" w:rsidRPr="00CF1B00">
              <w:rPr>
                <w:rFonts w:ascii="Times New Roman" w:hAnsi="Times New Roman"/>
                <w:sz w:val="24"/>
                <w:szCs w:val="24"/>
              </w:rPr>
              <w:t>to</w:t>
            </w:r>
            <w:r w:rsidR="00AF454B" w:rsidRPr="00CF1B00">
              <w:rPr>
                <w:rFonts w:ascii="Times New Roman" w:hAnsi="Times New Roman"/>
                <w:sz w:val="24"/>
                <w:szCs w:val="24"/>
              </w:rPr>
              <w:t xml:space="preserve"> </w:t>
            </w:r>
            <w:r w:rsidR="006E0B77" w:rsidRPr="00CF1B00">
              <w:rPr>
                <w:rFonts w:ascii="Times New Roman" w:hAnsi="Times New Roman"/>
                <w:sz w:val="24"/>
                <w:szCs w:val="24"/>
              </w:rPr>
              <w:t>Rīgas pils Priekšpils projektam</w:t>
            </w:r>
            <w:r w:rsidR="00AF454B" w:rsidRPr="00CF1B00">
              <w:rPr>
                <w:rFonts w:ascii="Times New Roman" w:hAnsi="Times New Roman"/>
                <w:sz w:val="24"/>
                <w:szCs w:val="24"/>
              </w:rPr>
              <w:t>;</w:t>
            </w:r>
          </w:p>
          <w:p w:rsidR="00AF454B" w:rsidRPr="00CF1B00" w:rsidRDefault="00AF454B" w:rsidP="00AF454B">
            <w:pPr>
              <w:pStyle w:val="ListParagraph"/>
              <w:numPr>
                <w:ilvl w:val="0"/>
                <w:numId w:val="25"/>
              </w:numPr>
              <w:tabs>
                <w:tab w:val="left" w:pos="364"/>
              </w:tabs>
              <w:ind w:left="81" w:right="179" w:firstLine="0"/>
              <w:jc w:val="both"/>
              <w:rPr>
                <w:rFonts w:ascii="Times New Roman" w:hAnsi="Times New Roman"/>
                <w:sz w:val="24"/>
                <w:szCs w:val="24"/>
              </w:rPr>
            </w:pPr>
            <w:r w:rsidRPr="00CF1B00">
              <w:rPr>
                <w:rFonts w:ascii="Times New Roman" w:hAnsi="Times New Roman"/>
                <w:sz w:val="24"/>
                <w:szCs w:val="24"/>
              </w:rPr>
              <w:t xml:space="preserve">noteikt, ka FM 2015.gadā nepieciešamā finansējuma apmērs būvniecības projekta īstenošanas izdevumu segšanai VNĪ atbilstoši plānotajiem darbiem ir </w:t>
            </w:r>
            <w:r w:rsidR="00641EC0" w:rsidRPr="00CF1B00">
              <w:rPr>
                <w:rFonts w:ascii="Times New Roman" w:hAnsi="Times New Roman"/>
                <w:sz w:val="24"/>
                <w:szCs w:val="24"/>
              </w:rPr>
              <w:t>315 639</w:t>
            </w:r>
            <w:r w:rsidRPr="00CF1B00">
              <w:rPr>
                <w:rFonts w:ascii="Times New Roman" w:hAnsi="Times New Roman"/>
                <w:sz w:val="24"/>
                <w:szCs w:val="24"/>
              </w:rPr>
              <w:t xml:space="preserve"> </w:t>
            </w:r>
            <w:proofErr w:type="spellStart"/>
            <w:r w:rsidRPr="00CF1B00">
              <w:rPr>
                <w:rFonts w:ascii="Times New Roman" w:hAnsi="Times New Roman"/>
                <w:i/>
                <w:sz w:val="24"/>
                <w:szCs w:val="24"/>
              </w:rPr>
              <w:t>euro</w:t>
            </w:r>
            <w:proofErr w:type="spellEnd"/>
            <w:r w:rsidRPr="00CF1B00">
              <w:rPr>
                <w:rFonts w:ascii="Times New Roman" w:hAnsi="Times New Roman"/>
                <w:sz w:val="24"/>
                <w:szCs w:val="24"/>
              </w:rPr>
              <w:t>.</w:t>
            </w:r>
            <w:r w:rsidRPr="00CF1B00">
              <w:rPr>
                <w:sz w:val="24"/>
                <w:szCs w:val="24"/>
              </w:rPr>
              <w:t xml:space="preserve"> </w:t>
            </w:r>
          </w:p>
          <w:p w:rsidR="00D434B6" w:rsidRPr="00CF1B00" w:rsidRDefault="00D434B6" w:rsidP="00B96B01">
            <w:pPr>
              <w:pStyle w:val="BodyText"/>
              <w:ind w:left="81" w:right="179"/>
              <w:jc w:val="both"/>
              <w:rPr>
                <w:rFonts w:eastAsia="Calibri"/>
                <w:b w:val="0"/>
                <w:bCs w:val="0"/>
              </w:rPr>
            </w:pPr>
            <w:r w:rsidRPr="00CF1B00">
              <w:rPr>
                <w:rFonts w:eastAsia="Calibri"/>
                <w:b w:val="0"/>
                <w:bCs w:val="0"/>
              </w:rPr>
              <w:t>Prognozētais b</w:t>
            </w:r>
            <w:r w:rsidR="00442887" w:rsidRPr="00CF1B00">
              <w:rPr>
                <w:rFonts w:eastAsia="Calibri"/>
                <w:b w:val="0"/>
                <w:bCs w:val="0"/>
              </w:rPr>
              <w:t>ūvdarb</w:t>
            </w:r>
            <w:r w:rsidR="007E0DF5" w:rsidRPr="00CF1B00">
              <w:rPr>
                <w:rFonts w:eastAsia="Calibri"/>
                <w:b w:val="0"/>
                <w:bCs w:val="0"/>
              </w:rPr>
              <w:t>u pabeigšana</w:t>
            </w:r>
            <w:r w:rsidRPr="00CF1B00">
              <w:rPr>
                <w:rFonts w:eastAsia="Calibri"/>
                <w:b w:val="0"/>
                <w:bCs w:val="0"/>
              </w:rPr>
              <w:t xml:space="preserve">s termiņš ir </w:t>
            </w:r>
            <w:r w:rsidR="00442887" w:rsidRPr="00CF1B00">
              <w:rPr>
                <w:rFonts w:eastAsia="Calibri"/>
                <w:b w:val="0"/>
                <w:bCs w:val="0"/>
              </w:rPr>
              <w:t xml:space="preserve">līdz 2016.gada </w:t>
            </w:r>
            <w:r w:rsidR="00365B9B" w:rsidRPr="00CF1B00">
              <w:rPr>
                <w:rFonts w:eastAsia="Calibri"/>
                <w:b w:val="0"/>
                <w:bCs w:val="0"/>
              </w:rPr>
              <w:t>30.novembrim</w:t>
            </w:r>
            <w:r w:rsidR="00442887" w:rsidRPr="00CF1B00">
              <w:rPr>
                <w:rFonts w:eastAsia="Calibri"/>
                <w:b w:val="0"/>
                <w:bCs w:val="0"/>
              </w:rPr>
              <w:t>.</w:t>
            </w:r>
            <w:r w:rsidR="00365B9B" w:rsidRPr="00CF1B00">
              <w:rPr>
                <w:rFonts w:eastAsia="Calibri"/>
                <w:b w:val="0"/>
                <w:bCs w:val="0"/>
              </w:rPr>
              <w:t xml:space="preserve"> </w:t>
            </w:r>
          </w:p>
          <w:p w:rsidR="00442887" w:rsidRPr="00CF1B00" w:rsidRDefault="00442887" w:rsidP="00B96B01">
            <w:pPr>
              <w:pStyle w:val="BodyText"/>
              <w:ind w:left="81" w:right="179"/>
              <w:jc w:val="both"/>
              <w:rPr>
                <w:b w:val="0"/>
                <w:iCs/>
                <w:lang w:eastAsia="lv-LV"/>
              </w:rPr>
            </w:pPr>
            <w:r w:rsidRPr="00CF1B00">
              <w:rPr>
                <w:b w:val="0"/>
                <w:iCs/>
                <w:lang w:eastAsia="lv-LV"/>
              </w:rPr>
              <w:t xml:space="preserve">Ņemot vērā iepriekš minēto, nepieciešami grozījumi MK rīkojumā Nr.465. </w:t>
            </w:r>
          </w:p>
          <w:p w:rsidR="00442887" w:rsidRPr="00CF1B00" w:rsidRDefault="00442887" w:rsidP="00B96B01">
            <w:pPr>
              <w:spacing w:after="0" w:line="240" w:lineRule="auto"/>
              <w:ind w:left="81" w:right="179"/>
              <w:jc w:val="both"/>
              <w:rPr>
                <w:rFonts w:ascii="Times New Roman" w:hAnsi="Times New Roman"/>
                <w:iCs/>
                <w:sz w:val="24"/>
                <w:szCs w:val="24"/>
                <w:lang w:eastAsia="lv-LV"/>
              </w:rPr>
            </w:pPr>
            <w:r w:rsidRPr="00CF1B00">
              <w:rPr>
                <w:rFonts w:ascii="Times New Roman" w:hAnsi="Times New Roman"/>
                <w:iCs/>
                <w:sz w:val="24"/>
                <w:szCs w:val="24"/>
                <w:lang w:eastAsia="lv-LV"/>
              </w:rPr>
              <w:t>MK rīkojuma projekta tiesiskā regulējuma mērķis ir MK rīkojuma Nr.</w:t>
            </w:r>
            <w:r w:rsidR="00EB13A3" w:rsidRPr="00CF1B00">
              <w:rPr>
                <w:rFonts w:ascii="Times New Roman" w:hAnsi="Times New Roman"/>
                <w:iCs/>
                <w:sz w:val="24"/>
                <w:szCs w:val="24"/>
                <w:lang w:eastAsia="lv-LV"/>
              </w:rPr>
              <w:t xml:space="preserve">465 </w:t>
            </w:r>
            <w:r w:rsidRPr="00CF1B00">
              <w:rPr>
                <w:rFonts w:ascii="Times New Roman" w:hAnsi="Times New Roman"/>
                <w:iCs/>
                <w:sz w:val="24"/>
                <w:szCs w:val="24"/>
                <w:lang w:eastAsia="lv-LV"/>
              </w:rPr>
              <w:t xml:space="preserve">minēto ilgtermiņa saistību precizēšana pa gadiem un būvniecības darbu pabeigšanas termiņa precizēšana (aktualizēšana). </w:t>
            </w:r>
          </w:p>
          <w:p w:rsidR="00F8778F" w:rsidRPr="00CF1B00" w:rsidRDefault="00F8778F" w:rsidP="00B96B01">
            <w:pPr>
              <w:spacing w:after="0" w:line="240" w:lineRule="auto"/>
              <w:ind w:left="81" w:right="179"/>
              <w:jc w:val="both"/>
              <w:rPr>
                <w:rFonts w:ascii="Times New Roman" w:hAnsi="Times New Roman"/>
                <w:iCs/>
                <w:sz w:val="24"/>
                <w:szCs w:val="24"/>
                <w:lang w:eastAsia="lv-LV"/>
              </w:rPr>
            </w:pPr>
            <w:r w:rsidRPr="00CF1B00">
              <w:rPr>
                <w:rFonts w:ascii="Times New Roman" w:hAnsi="Times New Roman"/>
                <w:iCs/>
                <w:sz w:val="24"/>
                <w:szCs w:val="24"/>
                <w:lang w:eastAsia="lv-LV"/>
              </w:rPr>
              <w:t>Tā ietvaros:</w:t>
            </w:r>
          </w:p>
          <w:p w:rsidR="00C44DE5" w:rsidRPr="00CF1B00" w:rsidRDefault="00C44DE5" w:rsidP="00B96B01">
            <w:pPr>
              <w:pStyle w:val="ListParagraph"/>
              <w:numPr>
                <w:ilvl w:val="0"/>
                <w:numId w:val="17"/>
              </w:numPr>
              <w:tabs>
                <w:tab w:val="left" w:pos="425"/>
              </w:tabs>
              <w:ind w:left="81" w:right="179" w:firstLine="0"/>
              <w:jc w:val="both"/>
              <w:rPr>
                <w:rFonts w:ascii="Times New Roman" w:hAnsi="Times New Roman"/>
                <w:iCs/>
                <w:sz w:val="24"/>
                <w:szCs w:val="24"/>
                <w:lang w:eastAsia="lv-LV"/>
              </w:rPr>
            </w:pPr>
            <w:r w:rsidRPr="00CF1B00">
              <w:rPr>
                <w:rFonts w:ascii="Times New Roman" w:hAnsi="Times New Roman"/>
                <w:iCs/>
                <w:sz w:val="24"/>
                <w:szCs w:val="24"/>
                <w:lang w:eastAsia="lv-LV"/>
              </w:rPr>
              <w:t>1.2.apakšpunktā precizēts (aktualizēts) FM (VNĪ) noteiktais</w:t>
            </w:r>
            <w:r w:rsidR="006E0B77" w:rsidRPr="00CF1B00">
              <w:rPr>
                <w:rFonts w:ascii="Times New Roman" w:hAnsi="Times New Roman"/>
                <w:iCs/>
                <w:sz w:val="24"/>
                <w:szCs w:val="24"/>
                <w:lang w:eastAsia="lv-LV"/>
              </w:rPr>
              <w:t xml:space="preserve"> </w:t>
            </w:r>
            <w:r w:rsidR="00CA7F5E" w:rsidRPr="00CF1B00">
              <w:rPr>
                <w:rFonts w:ascii="Times New Roman" w:hAnsi="Times New Roman"/>
                <w:sz w:val="24"/>
                <w:szCs w:val="24"/>
              </w:rPr>
              <w:t xml:space="preserve">būvniecības </w:t>
            </w:r>
            <w:r w:rsidRPr="00CF1B00">
              <w:rPr>
                <w:rFonts w:ascii="Times New Roman" w:hAnsi="Times New Roman"/>
                <w:iCs/>
                <w:sz w:val="24"/>
                <w:szCs w:val="24"/>
                <w:lang w:eastAsia="lv-LV"/>
              </w:rPr>
              <w:t xml:space="preserve">darbu pabeigšanas termiņš līdz </w:t>
            </w:r>
            <w:r w:rsidR="00352806" w:rsidRPr="00CF1B00">
              <w:rPr>
                <w:rFonts w:ascii="Times New Roman" w:hAnsi="Times New Roman"/>
                <w:sz w:val="24"/>
                <w:szCs w:val="24"/>
              </w:rPr>
              <w:t xml:space="preserve">2016.gada </w:t>
            </w:r>
            <w:r w:rsidR="00365B9B" w:rsidRPr="00CF1B00">
              <w:rPr>
                <w:rFonts w:ascii="Times New Roman" w:hAnsi="Times New Roman"/>
                <w:sz w:val="24"/>
                <w:szCs w:val="24"/>
              </w:rPr>
              <w:t>30.novembrim</w:t>
            </w:r>
            <w:r w:rsidR="00352806" w:rsidRPr="00CF1B00">
              <w:rPr>
                <w:rFonts w:ascii="Times New Roman" w:hAnsi="Times New Roman"/>
                <w:sz w:val="24"/>
                <w:szCs w:val="24"/>
              </w:rPr>
              <w:t>, nosakot, ka plānotais nomas līguma sākuma termiņš ir 2016.gada 1.</w:t>
            </w:r>
            <w:r w:rsidR="00365B9B" w:rsidRPr="00CF1B00">
              <w:rPr>
                <w:rFonts w:ascii="Times New Roman" w:hAnsi="Times New Roman"/>
                <w:sz w:val="24"/>
                <w:szCs w:val="24"/>
              </w:rPr>
              <w:t>decembris</w:t>
            </w:r>
            <w:r w:rsidR="00352806" w:rsidRPr="00CF1B00">
              <w:rPr>
                <w:rFonts w:ascii="Times New Roman" w:hAnsi="Times New Roman"/>
                <w:sz w:val="24"/>
                <w:szCs w:val="24"/>
              </w:rPr>
              <w:t>.</w:t>
            </w:r>
          </w:p>
          <w:p w:rsidR="00C44DE5" w:rsidRPr="00CF1B00" w:rsidRDefault="00C44DE5" w:rsidP="00B96B01">
            <w:pPr>
              <w:pStyle w:val="ListParagraph"/>
              <w:numPr>
                <w:ilvl w:val="0"/>
                <w:numId w:val="17"/>
              </w:numPr>
              <w:tabs>
                <w:tab w:val="left" w:pos="425"/>
              </w:tabs>
              <w:ind w:left="81" w:right="179" w:firstLine="0"/>
              <w:jc w:val="both"/>
              <w:rPr>
                <w:rFonts w:ascii="Times New Roman" w:hAnsi="Times New Roman"/>
                <w:iCs/>
                <w:sz w:val="24"/>
                <w:szCs w:val="24"/>
                <w:lang w:eastAsia="lv-LV"/>
              </w:rPr>
            </w:pPr>
            <w:r w:rsidRPr="00CF1B00">
              <w:rPr>
                <w:rFonts w:ascii="Times New Roman" w:hAnsi="Times New Roman"/>
                <w:iCs/>
                <w:sz w:val="24"/>
                <w:szCs w:val="24"/>
                <w:lang w:eastAsia="lv-LV"/>
              </w:rPr>
              <w:t>1.3.apakšpunktā precizēta atsauce uz 1.</w:t>
            </w:r>
            <w:r w:rsidRPr="00CF1B00">
              <w:rPr>
                <w:rFonts w:ascii="Times New Roman" w:hAnsi="Times New Roman"/>
                <w:iCs/>
                <w:sz w:val="24"/>
                <w:szCs w:val="24"/>
                <w:vertAlign w:val="superscript"/>
                <w:lang w:eastAsia="lv-LV"/>
              </w:rPr>
              <w:t>3</w:t>
            </w:r>
            <w:r w:rsidRPr="00CF1B00">
              <w:rPr>
                <w:rFonts w:ascii="Times New Roman" w:hAnsi="Times New Roman"/>
                <w:iCs/>
                <w:sz w:val="24"/>
                <w:szCs w:val="24"/>
                <w:lang w:eastAsia="lv-LV"/>
              </w:rPr>
              <w:t>punktu;</w:t>
            </w:r>
          </w:p>
          <w:p w:rsidR="00330A2F" w:rsidRPr="00CF1B00" w:rsidRDefault="00C94AB7" w:rsidP="00B96B01">
            <w:pPr>
              <w:pStyle w:val="ListParagraph"/>
              <w:numPr>
                <w:ilvl w:val="0"/>
                <w:numId w:val="17"/>
              </w:numPr>
              <w:tabs>
                <w:tab w:val="left" w:pos="425"/>
              </w:tabs>
              <w:ind w:left="81" w:right="179" w:firstLine="0"/>
              <w:jc w:val="both"/>
              <w:rPr>
                <w:rFonts w:ascii="Times New Roman" w:hAnsi="Times New Roman"/>
                <w:iCs/>
                <w:sz w:val="24"/>
                <w:szCs w:val="24"/>
                <w:lang w:eastAsia="lv-LV"/>
              </w:rPr>
            </w:pPr>
            <w:r w:rsidRPr="00CF1B00">
              <w:rPr>
                <w:rFonts w:ascii="Times New Roman" w:hAnsi="Times New Roman"/>
                <w:iCs/>
                <w:sz w:val="24"/>
                <w:szCs w:val="24"/>
                <w:lang w:eastAsia="lv-LV"/>
              </w:rPr>
              <w:t>tiek svītrots 1.</w:t>
            </w:r>
            <w:r w:rsidR="00C44DE5" w:rsidRPr="00CF1B00">
              <w:rPr>
                <w:rFonts w:ascii="Times New Roman" w:hAnsi="Times New Roman"/>
                <w:iCs/>
                <w:sz w:val="24"/>
                <w:szCs w:val="24"/>
                <w:vertAlign w:val="superscript"/>
                <w:lang w:eastAsia="lv-LV"/>
              </w:rPr>
              <w:t>2</w:t>
            </w:r>
            <w:r w:rsidR="00EF7504" w:rsidRPr="00CF1B00">
              <w:rPr>
                <w:rFonts w:ascii="Times New Roman" w:hAnsi="Times New Roman"/>
                <w:iCs/>
                <w:sz w:val="24"/>
                <w:szCs w:val="24"/>
                <w:vertAlign w:val="superscript"/>
                <w:lang w:eastAsia="lv-LV"/>
              </w:rPr>
              <w:t xml:space="preserve"> </w:t>
            </w:r>
            <w:r w:rsidRPr="00CF1B00">
              <w:rPr>
                <w:rFonts w:ascii="Times New Roman" w:hAnsi="Times New Roman"/>
                <w:iCs/>
                <w:sz w:val="24"/>
                <w:szCs w:val="24"/>
                <w:lang w:eastAsia="lv-LV"/>
              </w:rPr>
              <w:t>punkts un papildināts ar 1.</w:t>
            </w:r>
            <w:r w:rsidR="00C44DE5" w:rsidRPr="00CF1B00">
              <w:rPr>
                <w:rFonts w:ascii="Times New Roman" w:hAnsi="Times New Roman"/>
                <w:iCs/>
                <w:sz w:val="24"/>
                <w:szCs w:val="24"/>
                <w:vertAlign w:val="superscript"/>
                <w:lang w:eastAsia="lv-LV"/>
              </w:rPr>
              <w:t>3</w:t>
            </w:r>
            <w:r w:rsidRPr="00CF1B00">
              <w:rPr>
                <w:rFonts w:ascii="Times New Roman" w:hAnsi="Times New Roman"/>
                <w:iCs/>
                <w:sz w:val="24"/>
                <w:szCs w:val="24"/>
                <w:lang w:eastAsia="lv-LV"/>
              </w:rPr>
              <w:t xml:space="preserve"> punktu, precizējot </w:t>
            </w:r>
            <w:r w:rsidR="00BE1D89" w:rsidRPr="00CF1B00">
              <w:rPr>
                <w:rFonts w:ascii="Times New Roman" w:hAnsi="Times New Roman"/>
                <w:iCs/>
                <w:sz w:val="24"/>
                <w:szCs w:val="24"/>
                <w:lang w:eastAsia="lv-LV"/>
              </w:rPr>
              <w:t>FM</w:t>
            </w:r>
            <w:r w:rsidRPr="00CF1B00">
              <w:rPr>
                <w:rFonts w:ascii="Times New Roman" w:hAnsi="Times New Roman"/>
                <w:iCs/>
                <w:sz w:val="24"/>
                <w:szCs w:val="24"/>
                <w:lang w:eastAsia="lv-LV"/>
              </w:rPr>
              <w:t xml:space="preserve"> budžeta ilgtermiņa saistībās paredzētā finansējuma apmēru </w:t>
            </w:r>
            <w:r w:rsidR="00CA7F5E" w:rsidRPr="00CF1B00">
              <w:rPr>
                <w:rFonts w:ascii="Times New Roman" w:hAnsi="Times New Roman"/>
                <w:iCs/>
                <w:sz w:val="24"/>
                <w:szCs w:val="24"/>
                <w:lang w:eastAsia="lv-LV"/>
              </w:rPr>
              <w:t xml:space="preserve">un tā sadalījumu </w:t>
            </w:r>
            <w:r w:rsidRPr="00CF1B00">
              <w:rPr>
                <w:rFonts w:ascii="Times New Roman" w:hAnsi="Times New Roman"/>
                <w:iCs/>
                <w:sz w:val="24"/>
                <w:szCs w:val="24"/>
                <w:lang w:eastAsia="lv-LV"/>
              </w:rPr>
              <w:t>pa gadiem, paredzot 201</w:t>
            </w:r>
            <w:r w:rsidR="00C44DE5" w:rsidRPr="00CF1B00">
              <w:rPr>
                <w:rFonts w:ascii="Times New Roman" w:hAnsi="Times New Roman"/>
                <w:iCs/>
                <w:sz w:val="24"/>
                <w:szCs w:val="24"/>
                <w:lang w:eastAsia="lv-LV"/>
              </w:rPr>
              <w:t>6</w:t>
            </w:r>
            <w:r w:rsidRPr="00CF1B00">
              <w:rPr>
                <w:rFonts w:ascii="Times New Roman" w:hAnsi="Times New Roman"/>
                <w:iCs/>
                <w:sz w:val="24"/>
                <w:szCs w:val="24"/>
                <w:lang w:eastAsia="lv-LV"/>
              </w:rPr>
              <w:t xml:space="preserve">.gadā </w:t>
            </w:r>
            <w:r w:rsidR="00641EC0" w:rsidRPr="00CF1B00">
              <w:rPr>
                <w:rFonts w:ascii="Times New Roman" w:hAnsi="Times New Roman"/>
              </w:rPr>
              <w:t xml:space="preserve">2 422 337 </w:t>
            </w:r>
            <w:proofErr w:type="spellStart"/>
            <w:r w:rsidR="00641EC0" w:rsidRPr="00CF1B00">
              <w:rPr>
                <w:rFonts w:ascii="Times New Roman" w:hAnsi="Times New Roman"/>
                <w:i/>
              </w:rPr>
              <w:t>euro</w:t>
            </w:r>
            <w:proofErr w:type="spellEnd"/>
            <w:r w:rsidRPr="00CF1B00">
              <w:rPr>
                <w:rFonts w:ascii="Times New Roman" w:hAnsi="Times New Roman"/>
                <w:iCs/>
                <w:sz w:val="24"/>
                <w:szCs w:val="24"/>
                <w:lang w:eastAsia="lv-LV"/>
              </w:rPr>
              <w:t xml:space="preserve">, </w:t>
            </w:r>
            <w:r w:rsidR="006E0B77" w:rsidRPr="00CF1B00">
              <w:rPr>
                <w:rFonts w:ascii="Times New Roman" w:hAnsi="Times New Roman"/>
                <w:sz w:val="24"/>
                <w:szCs w:val="24"/>
              </w:rPr>
              <w:t xml:space="preserve">bet </w:t>
            </w:r>
            <w:r w:rsidRPr="00CF1B00">
              <w:rPr>
                <w:rFonts w:ascii="Times New Roman" w:hAnsi="Times New Roman"/>
                <w:iCs/>
                <w:sz w:val="24"/>
                <w:szCs w:val="24"/>
                <w:lang w:eastAsia="lv-LV"/>
              </w:rPr>
              <w:t>2013.-201</w:t>
            </w:r>
            <w:r w:rsidR="00C44DE5" w:rsidRPr="00CF1B00">
              <w:rPr>
                <w:rFonts w:ascii="Times New Roman" w:hAnsi="Times New Roman"/>
                <w:iCs/>
                <w:sz w:val="24"/>
                <w:szCs w:val="24"/>
                <w:lang w:eastAsia="lv-LV"/>
              </w:rPr>
              <w:t>6</w:t>
            </w:r>
            <w:r w:rsidRPr="00CF1B00">
              <w:rPr>
                <w:rFonts w:ascii="Times New Roman" w:hAnsi="Times New Roman"/>
                <w:iCs/>
                <w:sz w:val="24"/>
                <w:szCs w:val="24"/>
                <w:lang w:eastAsia="lv-LV"/>
              </w:rPr>
              <w:t>.</w:t>
            </w:r>
            <w:r w:rsidR="006E0B77" w:rsidRPr="00CF1B00">
              <w:rPr>
                <w:rFonts w:ascii="Times New Roman" w:hAnsi="Times New Roman"/>
                <w:iCs/>
                <w:sz w:val="24"/>
                <w:szCs w:val="24"/>
                <w:lang w:eastAsia="lv-LV"/>
              </w:rPr>
              <w:t xml:space="preserve">gadā </w:t>
            </w:r>
            <w:r w:rsidR="00911C05" w:rsidRPr="00CF1B00">
              <w:rPr>
                <w:rFonts w:ascii="Times New Roman" w:hAnsi="Times New Roman"/>
                <w:iCs/>
                <w:sz w:val="24"/>
                <w:szCs w:val="24"/>
                <w:lang w:eastAsia="lv-LV"/>
              </w:rPr>
              <w:t xml:space="preserve">kopējo apmēru </w:t>
            </w:r>
            <w:r w:rsidR="00352806" w:rsidRPr="00CF1B00">
              <w:rPr>
                <w:rFonts w:ascii="Times New Roman" w:hAnsi="Times New Roman"/>
                <w:sz w:val="24"/>
                <w:szCs w:val="24"/>
              </w:rPr>
              <w:t>2 8</w:t>
            </w:r>
            <w:r w:rsidR="00641EC0" w:rsidRPr="00CF1B00">
              <w:rPr>
                <w:rFonts w:ascii="Times New Roman" w:hAnsi="Times New Roman"/>
                <w:sz w:val="24"/>
                <w:szCs w:val="24"/>
              </w:rPr>
              <w:t>42</w:t>
            </w:r>
            <w:r w:rsidR="00352806" w:rsidRPr="00CF1B00">
              <w:rPr>
                <w:rFonts w:ascii="Times New Roman" w:hAnsi="Times New Roman"/>
                <w:sz w:val="24"/>
                <w:szCs w:val="24"/>
              </w:rPr>
              <w:t> </w:t>
            </w:r>
            <w:r w:rsidR="00641EC0" w:rsidRPr="00CF1B00">
              <w:rPr>
                <w:rFonts w:ascii="Times New Roman" w:hAnsi="Times New Roman"/>
                <w:sz w:val="24"/>
                <w:szCs w:val="24"/>
              </w:rPr>
              <w:t>357</w:t>
            </w:r>
            <w:r w:rsidR="00352806" w:rsidRPr="00CF1B00">
              <w:rPr>
                <w:rFonts w:ascii="Times New Roman" w:hAnsi="Times New Roman"/>
                <w:i/>
                <w:sz w:val="24"/>
                <w:szCs w:val="24"/>
              </w:rPr>
              <w:t xml:space="preserve"> </w:t>
            </w:r>
            <w:proofErr w:type="spellStart"/>
            <w:r w:rsidR="00352806" w:rsidRPr="00CF1B00">
              <w:rPr>
                <w:rFonts w:ascii="Times New Roman" w:hAnsi="Times New Roman"/>
                <w:i/>
                <w:sz w:val="24"/>
                <w:szCs w:val="24"/>
              </w:rPr>
              <w:t>euro</w:t>
            </w:r>
            <w:proofErr w:type="spellEnd"/>
            <w:r w:rsidR="00330A2F" w:rsidRPr="00CF1B00">
              <w:rPr>
                <w:rFonts w:ascii="Times New Roman" w:hAnsi="Times New Roman"/>
                <w:iCs/>
                <w:sz w:val="24"/>
                <w:szCs w:val="24"/>
                <w:lang w:eastAsia="lv-LV"/>
              </w:rPr>
              <w:t>;</w:t>
            </w:r>
          </w:p>
          <w:p w:rsidR="00CA7F5E" w:rsidRPr="00CF1B00" w:rsidRDefault="00CA7F5E" w:rsidP="00B96B01">
            <w:pPr>
              <w:pStyle w:val="ListParagraph"/>
              <w:numPr>
                <w:ilvl w:val="0"/>
                <w:numId w:val="17"/>
              </w:numPr>
              <w:tabs>
                <w:tab w:val="left" w:pos="425"/>
              </w:tabs>
              <w:ind w:left="81" w:right="179" w:firstLine="0"/>
              <w:jc w:val="both"/>
              <w:rPr>
                <w:rFonts w:ascii="Times New Roman" w:hAnsi="Times New Roman"/>
                <w:iCs/>
                <w:sz w:val="24"/>
                <w:szCs w:val="24"/>
                <w:lang w:eastAsia="lv-LV"/>
              </w:rPr>
            </w:pPr>
            <w:r w:rsidRPr="00CF1B00">
              <w:rPr>
                <w:rFonts w:ascii="Times New Roman" w:hAnsi="Times New Roman"/>
                <w:sz w:val="24"/>
                <w:szCs w:val="24"/>
              </w:rPr>
              <w:t>2.punktā precizēts termins „renovācija”;</w:t>
            </w:r>
          </w:p>
          <w:p w:rsidR="00C94AB7" w:rsidRPr="00CF1B00" w:rsidRDefault="00330A2F" w:rsidP="00B96B01">
            <w:pPr>
              <w:pStyle w:val="ListParagraph"/>
              <w:numPr>
                <w:ilvl w:val="0"/>
                <w:numId w:val="17"/>
              </w:numPr>
              <w:tabs>
                <w:tab w:val="left" w:pos="425"/>
              </w:tabs>
              <w:ind w:left="81" w:right="179" w:firstLine="0"/>
              <w:jc w:val="both"/>
              <w:rPr>
                <w:rFonts w:ascii="Times New Roman" w:hAnsi="Times New Roman"/>
                <w:iCs/>
                <w:sz w:val="24"/>
                <w:szCs w:val="24"/>
                <w:lang w:eastAsia="lv-LV"/>
              </w:rPr>
            </w:pPr>
            <w:r w:rsidRPr="00CF1B00">
              <w:rPr>
                <w:rFonts w:ascii="Times New Roman" w:hAnsi="Times New Roman"/>
                <w:iCs/>
                <w:sz w:val="24"/>
                <w:szCs w:val="24"/>
                <w:lang w:eastAsia="lv-LV"/>
              </w:rPr>
              <w:t xml:space="preserve">Prokuratūras budžetā precizēts finansējumu pa gadiem, lai segtu nomas maksu VNĪ 2016.gadā 1 358 </w:t>
            </w:r>
            <w:r w:rsidRPr="00CF1B00">
              <w:rPr>
                <w:rFonts w:ascii="Times New Roman" w:hAnsi="Times New Roman"/>
                <w:i/>
                <w:iCs/>
                <w:sz w:val="24"/>
                <w:szCs w:val="24"/>
                <w:lang w:eastAsia="lv-LV"/>
              </w:rPr>
              <w:t>euro</w:t>
            </w:r>
            <w:r w:rsidRPr="00CF1B00">
              <w:rPr>
                <w:rFonts w:ascii="Times New Roman" w:hAnsi="Times New Roman"/>
                <w:iCs/>
                <w:sz w:val="24"/>
                <w:szCs w:val="24"/>
                <w:lang w:eastAsia="lv-LV"/>
              </w:rPr>
              <w:t xml:space="preserve"> (noma vienam mēnesim) un turpmāk katru gadu 16 295 </w:t>
            </w:r>
            <w:proofErr w:type="spellStart"/>
            <w:r w:rsidRPr="00CF1B00">
              <w:rPr>
                <w:rFonts w:ascii="Times New Roman" w:hAnsi="Times New Roman"/>
                <w:i/>
                <w:iCs/>
                <w:sz w:val="24"/>
                <w:szCs w:val="24"/>
                <w:lang w:eastAsia="lv-LV"/>
              </w:rPr>
              <w:t>euro</w:t>
            </w:r>
            <w:proofErr w:type="spellEnd"/>
            <w:r w:rsidR="00054E25" w:rsidRPr="00CF1B00">
              <w:rPr>
                <w:rFonts w:ascii="Times New Roman" w:hAnsi="Times New Roman"/>
                <w:iCs/>
                <w:sz w:val="24"/>
                <w:szCs w:val="24"/>
                <w:lang w:eastAsia="lv-LV"/>
              </w:rPr>
              <w:t>;</w:t>
            </w:r>
          </w:p>
          <w:p w:rsidR="00054E25" w:rsidRPr="00CF1B00" w:rsidRDefault="00054E25" w:rsidP="00B96B01">
            <w:pPr>
              <w:pStyle w:val="ListParagraph"/>
              <w:numPr>
                <w:ilvl w:val="0"/>
                <w:numId w:val="17"/>
              </w:numPr>
              <w:tabs>
                <w:tab w:val="left" w:pos="425"/>
              </w:tabs>
              <w:ind w:left="81" w:right="179" w:firstLine="0"/>
              <w:jc w:val="both"/>
              <w:rPr>
                <w:rFonts w:ascii="Times New Roman" w:hAnsi="Times New Roman"/>
                <w:iCs/>
                <w:sz w:val="24"/>
                <w:szCs w:val="24"/>
                <w:lang w:eastAsia="lv-LV"/>
              </w:rPr>
            </w:pPr>
            <w:r w:rsidRPr="00CF1B00">
              <w:rPr>
                <w:rFonts w:ascii="Times New Roman" w:hAnsi="Times New Roman"/>
                <w:iCs/>
                <w:sz w:val="24"/>
                <w:szCs w:val="24"/>
                <w:lang w:eastAsia="lv-LV"/>
              </w:rPr>
              <w:t xml:space="preserve">precizēta </w:t>
            </w:r>
            <w:r w:rsidRPr="00CF1B00">
              <w:rPr>
                <w:rFonts w:ascii="Times New Roman" w:hAnsi="Times New Roman"/>
                <w:sz w:val="24"/>
                <w:szCs w:val="24"/>
              </w:rPr>
              <w:t>4.punkta redakcija.</w:t>
            </w:r>
          </w:p>
          <w:p w:rsidR="00C94AB7" w:rsidRPr="00CF1B00" w:rsidRDefault="00BE1D89" w:rsidP="00B96B01">
            <w:pPr>
              <w:spacing w:after="0" w:line="240" w:lineRule="auto"/>
              <w:ind w:left="81" w:right="179"/>
              <w:jc w:val="both"/>
              <w:rPr>
                <w:rFonts w:ascii="Times New Roman" w:hAnsi="Times New Roman"/>
                <w:iCs/>
                <w:sz w:val="24"/>
                <w:szCs w:val="24"/>
                <w:lang w:eastAsia="lv-LV"/>
              </w:rPr>
            </w:pPr>
            <w:r w:rsidRPr="00CF1B00">
              <w:rPr>
                <w:rFonts w:ascii="Times New Roman" w:hAnsi="Times New Roman"/>
                <w:iCs/>
                <w:sz w:val="24"/>
                <w:szCs w:val="24"/>
                <w:lang w:eastAsia="lv-LV"/>
              </w:rPr>
              <w:t xml:space="preserve">MK </w:t>
            </w:r>
            <w:r w:rsidR="00C94AB7" w:rsidRPr="00CF1B00">
              <w:rPr>
                <w:rFonts w:ascii="Times New Roman" w:hAnsi="Times New Roman"/>
                <w:iCs/>
                <w:sz w:val="24"/>
                <w:szCs w:val="24"/>
                <w:lang w:eastAsia="lv-LV"/>
              </w:rPr>
              <w:t>rīkojuma projekts pilnībā atrisina anotācijas I.sadaļas 2.punktā minētās problēmas.</w:t>
            </w:r>
          </w:p>
          <w:p w:rsidR="00C94AB7" w:rsidRPr="00CF1B00" w:rsidRDefault="00FD7E34" w:rsidP="00B96B01">
            <w:pPr>
              <w:spacing w:after="0" w:line="240" w:lineRule="auto"/>
              <w:ind w:left="81" w:right="179"/>
              <w:jc w:val="both"/>
              <w:rPr>
                <w:rFonts w:ascii="Times New Roman" w:hAnsi="Times New Roman"/>
                <w:sz w:val="24"/>
                <w:szCs w:val="24"/>
              </w:rPr>
            </w:pPr>
            <w:r w:rsidRPr="00CF1B00">
              <w:rPr>
                <w:rFonts w:ascii="Times New Roman" w:hAnsi="Times New Roman"/>
                <w:sz w:val="24"/>
                <w:szCs w:val="24"/>
              </w:rPr>
              <w:t xml:space="preserve">Atbilstoši Ministru kabineta 2009.gada 7.aprīļa noteikumu Nr.300 </w:t>
            </w:r>
            <w:r w:rsidRPr="00CF1B00">
              <w:rPr>
                <w:rFonts w:ascii="Times New Roman" w:hAnsi="Times New Roman"/>
                <w:sz w:val="24"/>
                <w:szCs w:val="24"/>
              </w:rPr>
              <w:lastRenderedPageBreak/>
              <w:t>„Ministru kabineta kārtības rullis” 3.pielikumā ietvertajai politikas jomu klasifikācijai Ministru kabineta rīkojuma projekts atbilst publiskās pārvaldes politikas un budžeta un finanšu politikas jomai.</w:t>
            </w:r>
          </w:p>
        </w:tc>
      </w:tr>
      <w:tr w:rsidR="00C94AB7" w:rsidRPr="00CF1B00" w:rsidTr="00BC1F8E">
        <w:trPr>
          <w:trHeight w:val="60"/>
        </w:trPr>
        <w:tc>
          <w:tcPr>
            <w:tcW w:w="234" w:type="pct"/>
          </w:tcPr>
          <w:p w:rsidR="00C94AB7" w:rsidRPr="00CF1B00" w:rsidRDefault="00C94AB7" w:rsidP="004F7EAD">
            <w:pPr>
              <w:pStyle w:val="naiskr"/>
              <w:spacing w:before="0" w:after="0"/>
            </w:pPr>
            <w:r w:rsidRPr="00CF1B00">
              <w:lastRenderedPageBreak/>
              <w:t>3.</w:t>
            </w:r>
          </w:p>
        </w:tc>
        <w:tc>
          <w:tcPr>
            <w:tcW w:w="769" w:type="pct"/>
          </w:tcPr>
          <w:p w:rsidR="00C94AB7" w:rsidRPr="00CF1B00" w:rsidRDefault="00C94AB7" w:rsidP="004F7EAD">
            <w:pPr>
              <w:pStyle w:val="naiskr"/>
              <w:spacing w:before="0" w:after="0"/>
            </w:pPr>
            <w:r w:rsidRPr="00CF1B00">
              <w:t>Projekta izstrādē iesaistītās institūcijas</w:t>
            </w:r>
          </w:p>
        </w:tc>
        <w:tc>
          <w:tcPr>
            <w:tcW w:w="3998" w:type="pct"/>
          </w:tcPr>
          <w:p w:rsidR="00C94AB7" w:rsidRPr="00CF1B00" w:rsidRDefault="00C94AB7" w:rsidP="005643FE">
            <w:pPr>
              <w:pStyle w:val="naiskr"/>
              <w:spacing w:before="0" w:after="0"/>
              <w:ind w:left="81" w:right="179"/>
            </w:pPr>
            <w:r w:rsidRPr="00CF1B00">
              <w:rPr>
                <w:bCs/>
              </w:rPr>
              <w:t>FM (VNĪ)</w:t>
            </w:r>
            <w:r w:rsidR="00EB13A3" w:rsidRPr="00CF1B00">
              <w:rPr>
                <w:bCs/>
              </w:rPr>
              <w:t xml:space="preserve">, </w:t>
            </w:r>
            <w:r w:rsidR="00EB13A3" w:rsidRPr="00CF1B00">
              <w:t>Prokuratūra, Tieslietu ministrija (Valsts zemes dienests un  Tiesu administrācija (Ventspils tiesas zemesgrāmatu nodaļa)) un Iekšlietu ministrija (Drošības policija).</w:t>
            </w:r>
          </w:p>
        </w:tc>
      </w:tr>
      <w:tr w:rsidR="00027E37" w:rsidRPr="00CF1B00" w:rsidTr="00BC1F8E">
        <w:trPr>
          <w:trHeight w:val="132"/>
        </w:trPr>
        <w:tc>
          <w:tcPr>
            <w:tcW w:w="234" w:type="pct"/>
          </w:tcPr>
          <w:p w:rsidR="00027E37" w:rsidRPr="00CF1B00" w:rsidRDefault="00027E37" w:rsidP="004F7EAD">
            <w:pPr>
              <w:pStyle w:val="naiskr"/>
              <w:spacing w:before="0" w:after="0"/>
            </w:pPr>
            <w:r w:rsidRPr="00CF1B00">
              <w:t>4.</w:t>
            </w:r>
          </w:p>
        </w:tc>
        <w:tc>
          <w:tcPr>
            <w:tcW w:w="769" w:type="pct"/>
          </w:tcPr>
          <w:p w:rsidR="00027E37" w:rsidRPr="00CF1B00" w:rsidRDefault="00027E37" w:rsidP="004F7EAD">
            <w:pPr>
              <w:pStyle w:val="naiskr"/>
              <w:spacing w:before="0" w:after="0"/>
            </w:pPr>
            <w:r w:rsidRPr="00CF1B00">
              <w:t>Cita informācija</w:t>
            </w:r>
          </w:p>
        </w:tc>
        <w:tc>
          <w:tcPr>
            <w:tcW w:w="3998" w:type="pct"/>
          </w:tcPr>
          <w:p w:rsidR="00027E37" w:rsidRPr="00CF1B00" w:rsidRDefault="00027E37" w:rsidP="004F7EAD">
            <w:pPr>
              <w:pStyle w:val="naiskr"/>
              <w:tabs>
                <w:tab w:val="left" w:pos="2628"/>
                <w:tab w:val="left" w:pos="7993"/>
              </w:tabs>
              <w:spacing w:before="0" w:after="60"/>
              <w:jc w:val="both"/>
              <w:rPr>
                <w:iCs/>
              </w:rPr>
            </w:pPr>
            <w:r w:rsidRPr="00CF1B00">
              <w:t>Nav.</w:t>
            </w:r>
          </w:p>
        </w:tc>
      </w:tr>
      <w:bookmarkEnd w:id="4"/>
      <w:bookmarkEnd w:id="5"/>
      <w:bookmarkEnd w:id="6"/>
      <w:bookmarkEnd w:id="7"/>
    </w:tbl>
    <w:p w:rsidR="0092151D" w:rsidRPr="00CF1B00" w:rsidRDefault="0092151D" w:rsidP="004F7EAD">
      <w:pPr>
        <w:pStyle w:val="naisf"/>
        <w:spacing w:before="0" w:after="0"/>
        <w:ind w:firstLine="0"/>
        <w:rPr>
          <w:sz w:val="26"/>
          <w:szCs w:val="26"/>
        </w:rPr>
      </w:pPr>
    </w:p>
    <w:tbl>
      <w:tblPr>
        <w:tblW w:w="5000"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111"/>
        <w:gridCol w:w="1296"/>
        <w:gridCol w:w="1296"/>
        <w:gridCol w:w="1296"/>
        <w:gridCol w:w="1168"/>
      </w:tblGrid>
      <w:tr w:rsidR="00973D4C" w:rsidRPr="00CF1B00" w:rsidTr="00BC1F8E">
        <w:trPr>
          <w:trHeight w:val="290"/>
          <w:jc w:val="center"/>
        </w:trPr>
        <w:tc>
          <w:tcPr>
            <w:tcW w:w="5000" w:type="pct"/>
            <w:gridSpan w:val="6"/>
          </w:tcPr>
          <w:p w:rsidR="00973D4C" w:rsidRPr="00CF1B00" w:rsidRDefault="00973D4C" w:rsidP="004F7EAD">
            <w:pPr>
              <w:pStyle w:val="naisnod"/>
              <w:spacing w:before="0" w:after="0"/>
              <w:jc w:val="center"/>
              <w:rPr>
                <w:b/>
                <w:i/>
              </w:rPr>
            </w:pPr>
            <w:r w:rsidRPr="00CF1B00">
              <w:rPr>
                <w:b/>
              </w:rPr>
              <w:br w:type="page"/>
              <w:t>III. Tiesību akta projekta ietekme uz valsts budžetu un pašvaldību budžetiem</w:t>
            </w:r>
          </w:p>
        </w:tc>
      </w:tr>
      <w:tr w:rsidR="00973D4C" w:rsidRPr="00CF1B00" w:rsidTr="00BC1F8E">
        <w:trPr>
          <w:jc w:val="center"/>
        </w:trPr>
        <w:tc>
          <w:tcPr>
            <w:tcW w:w="1679" w:type="pct"/>
            <w:vMerge w:val="restart"/>
            <w:vAlign w:val="center"/>
          </w:tcPr>
          <w:p w:rsidR="00973D4C" w:rsidRPr="00CF1B00" w:rsidRDefault="00973D4C" w:rsidP="004F7EAD">
            <w:pPr>
              <w:pStyle w:val="naisf"/>
              <w:spacing w:before="0" w:after="0"/>
              <w:ind w:firstLine="0"/>
              <w:jc w:val="center"/>
            </w:pPr>
            <w:r w:rsidRPr="00CF1B00">
              <w:t>Rādītāji</w:t>
            </w:r>
          </w:p>
        </w:tc>
        <w:tc>
          <w:tcPr>
            <w:tcW w:w="1296" w:type="pct"/>
            <w:gridSpan w:val="2"/>
            <w:vMerge w:val="restart"/>
            <w:vAlign w:val="center"/>
          </w:tcPr>
          <w:p w:rsidR="00973D4C" w:rsidRPr="00CF1B00" w:rsidRDefault="00973D4C" w:rsidP="004F7EAD">
            <w:pPr>
              <w:pStyle w:val="naisf"/>
              <w:spacing w:before="0" w:after="0"/>
              <w:ind w:firstLine="0"/>
              <w:jc w:val="center"/>
            </w:pPr>
            <w:r w:rsidRPr="00CF1B00">
              <w:t>201</w:t>
            </w:r>
            <w:r w:rsidR="00C312BD" w:rsidRPr="00CF1B00">
              <w:t>5</w:t>
            </w:r>
            <w:r w:rsidRPr="00CF1B00">
              <w:t>.gads</w:t>
            </w:r>
          </w:p>
        </w:tc>
        <w:tc>
          <w:tcPr>
            <w:tcW w:w="2025" w:type="pct"/>
            <w:gridSpan w:val="3"/>
            <w:vAlign w:val="center"/>
          </w:tcPr>
          <w:p w:rsidR="00973D4C" w:rsidRPr="00CF1B00" w:rsidRDefault="00973D4C" w:rsidP="004F7EAD">
            <w:pPr>
              <w:pStyle w:val="naisf"/>
              <w:spacing w:before="0" w:after="0"/>
              <w:ind w:firstLine="0"/>
              <w:jc w:val="center"/>
              <w:rPr>
                <w:i/>
              </w:rPr>
            </w:pPr>
            <w:r w:rsidRPr="00CF1B00">
              <w:t>Turpmākie trīs gadi (</w:t>
            </w:r>
            <w:r w:rsidR="00C94AB7" w:rsidRPr="00CF1B00">
              <w:rPr>
                <w:i/>
              </w:rPr>
              <w:t>euro</w:t>
            </w:r>
            <w:r w:rsidRPr="00CF1B00">
              <w:t>)</w:t>
            </w:r>
          </w:p>
        </w:tc>
      </w:tr>
      <w:tr w:rsidR="00973D4C" w:rsidRPr="00CF1B00" w:rsidTr="00BC1F8E">
        <w:trPr>
          <w:jc w:val="center"/>
        </w:trPr>
        <w:tc>
          <w:tcPr>
            <w:tcW w:w="1679" w:type="pct"/>
            <w:vMerge/>
            <w:vAlign w:val="center"/>
          </w:tcPr>
          <w:p w:rsidR="00973D4C" w:rsidRPr="00CF1B00" w:rsidRDefault="00973D4C" w:rsidP="004F7EAD">
            <w:pPr>
              <w:pStyle w:val="naisf"/>
              <w:spacing w:before="0" w:after="0"/>
              <w:ind w:firstLine="0"/>
              <w:jc w:val="left"/>
              <w:rPr>
                <w:i/>
              </w:rPr>
            </w:pPr>
          </w:p>
        </w:tc>
        <w:tc>
          <w:tcPr>
            <w:tcW w:w="1296" w:type="pct"/>
            <w:gridSpan w:val="2"/>
            <w:vMerge/>
            <w:vAlign w:val="center"/>
          </w:tcPr>
          <w:p w:rsidR="00973D4C" w:rsidRPr="00CF1B00" w:rsidRDefault="00973D4C" w:rsidP="004F7EAD">
            <w:pPr>
              <w:pStyle w:val="naisf"/>
              <w:spacing w:before="0" w:after="0"/>
              <w:ind w:firstLine="0"/>
              <w:jc w:val="center"/>
              <w:rPr>
                <w:i/>
              </w:rPr>
            </w:pPr>
          </w:p>
        </w:tc>
        <w:tc>
          <w:tcPr>
            <w:tcW w:w="698" w:type="pct"/>
            <w:vAlign w:val="center"/>
          </w:tcPr>
          <w:p w:rsidR="00973D4C" w:rsidRPr="00CF1B00" w:rsidRDefault="00973D4C" w:rsidP="004F7EAD">
            <w:pPr>
              <w:pStyle w:val="naisf"/>
              <w:spacing w:before="0" w:after="0"/>
              <w:ind w:firstLine="0"/>
              <w:jc w:val="center"/>
              <w:rPr>
                <w:i/>
              </w:rPr>
            </w:pPr>
            <w:r w:rsidRPr="00CF1B00">
              <w:rPr>
                <w:bCs/>
              </w:rPr>
              <w:t>201</w:t>
            </w:r>
            <w:r w:rsidR="00C312BD" w:rsidRPr="00CF1B00">
              <w:rPr>
                <w:bCs/>
              </w:rPr>
              <w:t>6</w:t>
            </w:r>
            <w:r w:rsidRPr="00CF1B00">
              <w:rPr>
                <w:bCs/>
              </w:rPr>
              <w:t>.</w:t>
            </w:r>
          </w:p>
        </w:tc>
        <w:tc>
          <w:tcPr>
            <w:tcW w:w="698" w:type="pct"/>
            <w:vAlign w:val="center"/>
          </w:tcPr>
          <w:p w:rsidR="00973D4C" w:rsidRPr="00CF1B00" w:rsidRDefault="00973D4C" w:rsidP="004F7EAD">
            <w:pPr>
              <w:pStyle w:val="naisf"/>
              <w:spacing w:before="0" w:after="0"/>
              <w:ind w:firstLine="0"/>
              <w:jc w:val="center"/>
              <w:rPr>
                <w:i/>
              </w:rPr>
            </w:pPr>
            <w:r w:rsidRPr="00CF1B00">
              <w:rPr>
                <w:bCs/>
              </w:rPr>
              <w:t>201</w:t>
            </w:r>
            <w:r w:rsidR="00C312BD" w:rsidRPr="00CF1B00">
              <w:rPr>
                <w:bCs/>
              </w:rPr>
              <w:t>7</w:t>
            </w:r>
            <w:r w:rsidRPr="00CF1B00">
              <w:rPr>
                <w:bCs/>
              </w:rPr>
              <w:t>.</w:t>
            </w:r>
          </w:p>
        </w:tc>
        <w:tc>
          <w:tcPr>
            <w:tcW w:w="629" w:type="pct"/>
            <w:vAlign w:val="center"/>
          </w:tcPr>
          <w:p w:rsidR="00973D4C" w:rsidRPr="00CF1B00" w:rsidRDefault="00973D4C" w:rsidP="004F7EAD">
            <w:pPr>
              <w:pStyle w:val="naisf"/>
              <w:spacing w:before="0" w:after="0"/>
              <w:ind w:firstLine="0"/>
              <w:jc w:val="center"/>
              <w:rPr>
                <w:i/>
              </w:rPr>
            </w:pPr>
            <w:r w:rsidRPr="00CF1B00">
              <w:rPr>
                <w:bCs/>
              </w:rPr>
              <w:t>201</w:t>
            </w:r>
            <w:r w:rsidR="00C312BD" w:rsidRPr="00CF1B00">
              <w:rPr>
                <w:bCs/>
              </w:rPr>
              <w:t>8</w:t>
            </w:r>
            <w:r w:rsidRPr="00CF1B00">
              <w:rPr>
                <w:bCs/>
              </w:rPr>
              <w:t>.</w:t>
            </w:r>
          </w:p>
        </w:tc>
      </w:tr>
      <w:tr w:rsidR="00973D4C" w:rsidRPr="00CF1B00" w:rsidTr="00BC1F8E">
        <w:trPr>
          <w:jc w:val="center"/>
        </w:trPr>
        <w:tc>
          <w:tcPr>
            <w:tcW w:w="1679" w:type="pct"/>
            <w:vMerge/>
            <w:vAlign w:val="center"/>
          </w:tcPr>
          <w:p w:rsidR="00973D4C" w:rsidRPr="00CF1B00" w:rsidRDefault="00973D4C" w:rsidP="004F7EAD">
            <w:pPr>
              <w:pStyle w:val="naisf"/>
              <w:spacing w:before="0" w:after="0"/>
              <w:ind w:firstLine="0"/>
              <w:jc w:val="left"/>
              <w:rPr>
                <w:i/>
              </w:rPr>
            </w:pPr>
          </w:p>
        </w:tc>
        <w:tc>
          <w:tcPr>
            <w:tcW w:w="598" w:type="pct"/>
            <w:vAlign w:val="center"/>
          </w:tcPr>
          <w:p w:rsidR="00973D4C" w:rsidRPr="00CF1B00" w:rsidRDefault="00973D4C" w:rsidP="004F7EAD">
            <w:pPr>
              <w:pStyle w:val="naisf"/>
              <w:spacing w:before="0" w:after="0"/>
              <w:ind w:firstLine="0"/>
              <w:jc w:val="center"/>
              <w:rPr>
                <w:i/>
              </w:rPr>
            </w:pPr>
            <w:r w:rsidRPr="00CF1B00">
              <w:t>Saskaņā ar valsts budžetu kārtējam gadam</w:t>
            </w:r>
          </w:p>
        </w:tc>
        <w:tc>
          <w:tcPr>
            <w:tcW w:w="698" w:type="pct"/>
            <w:vAlign w:val="center"/>
          </w:tcPr>
          <w:p w:rsidR="00973D4C" w:rsidRPr="00CF1B00" w:rsidRDefault="00973D4C" w:rsidP="004F7EAD">
            <w:pPr>
              <w:pStyle w:val="naisf"/>
              <w:spacing w:before="0" w:after="0"/>
              <w:ind w:firstLine="0"/>
              <w:jc w:val="center"/>
              <w:rPr>
                <w:i/>
              </w:rPr>
            </w:pPr>
            <w:r w:rsidRPr="00CF1B00">
              <w:t>Izmaiņas kārtējā gadā, salīdzinot ar budžetu kārtējam gadam</w:t>
            </w:r>
          </w:p>
        </w:tc>
        <w:tc>
          <w:tcPr>
            <w:tcW w:w="698" w:type="pct"/>
            <w:vAlign w:val="center"/>
          </w:tcPr>
          <w:p w:rsidR="00973D4C" w:rsidRPr="00CF1B00" w:rsidRDefault="00973D4C" w:rsidP="004F7EAD">
            <w:pPr>
              <w:pStyle w:val="naisf"/>
              <w:spacing w:before="0" w:after="0"/>
              <w:ind w:firstLine="0"/>
              <w:jc w:val="center"/>
              <w:rPr>
                <w:i/>
              </w:rPr>
            </w:pPr>
            <w:r w:rsidRPr="00CF1B00">
              <w:t>Izmaiņas, salīdzinot ar kārtējo gadu</w:t>
            </w:r>
          </w:p>
        </w:tc>
        <w:tc>
          <w:tcPr>
            <w:tcW w:w="698" w:type="pct"/>
            <w:vAlign w:val="center"/>
          </w:tcPr>
          <w:p w:rsidR="00973D4C" w:rsidRPr="00CF1B00" w:rsidRDefault="00973D4C" w:rsidP="004F7EAD">
            <w:pPr>
              <w:pStyle w:val="naisf"/>
              <w:spacing w:before="0" w:after="0"/>
              <w:ind w:firstLine="0"/>
              <w:jc w:val="center"/>
              <w:rPr>
                <w:i/>
              </w:rPr>
            </w:pPr>
            <w:r w:rsidRPr="00CF1B00">
              <w:t>Izmaiņas, salīdzinot ar kārtējo gadu</w:t>
            </w:r>
          </w:p>
        </w:tc>
        <w:tc>
          <w:tcPr>
            <w:tcW w:w="629" w:type="pct"/>
            <w:vAlign w:val="center"/>
          </w:tcPr>
          <w:p w:rsidR="00973D4C" w:rsidRPr="00CF1B00" w:rsidRDefault="00973D4C" w:rsidP="004F7EAD">
            <w:pPr>
              <w:pStyle w:val="naisf"/>
              <w:spacing w:before="0" w:after="0"/>
              <w:ind w:firstLine="0"/>
              <w:jc w:val="center"/>
              <w:rPr>
                <w:i/>
              </w:rPr>
            </w:pPr>
            <w:r w:rsidRPr="00CF1B00">
              <w:t>Izmai</w:t>
            </w:r>
            <w:r w:rsidR="00816F44" w:rsidRPr="00CF1B00">
              <w:t xml:space="preserve">ņas, salīdzinot ar kārtējo </w:t>
            </w:r>
            <w:r w:rsidRPr="00CF1B00">
              <w:t>gadu</w:t>
            </w:r>
          </w:p>
        </w:tc>
      </w:tr>
      <w:tr w:rsidR="00973D4C" w:rsidRPr="00CF1B00" w:rsidTr="00BC1F8E">
        <w:trPr>
          <w:jc w:val="center"/>
        </w:trPr>
        <w:tc>
          <w:tcPr>
            <w:tcW w:w="1679" w:type="pct"/>
            <w:vAlign w:val="center"/>
          </w:tcPr>
          <w:p w:rsidR="00973D4C" w:rsidRPr="00CF1B00" w:rsidRDefault="00973D4C" w:rsidP="004F7EAD">
            <w:pPr>
              <w:pStyle w:val="naisf"/>
              <w:spacing w:before="0" w:after="0"/>
              <w:ind w:firstLine="0"/>
              <w:jc w:val="center"/>
              <w:rPr>
                <w:bCs/>
              </w:rPr>
            </w:pPr>
            <w:r w:rsidRPr="00CF1B00">
              <w:rPr>
                <w:bCs/>
              </w:rPr>
              <w:t>1</w:t>
            </w:r>
          </w:p>
        </w:tc>
        <w:tc>
          <w:tcPr>
            <w:tcW w:w="598" w:type="pct"/>
            <w:vAlign w:val="center"/>
          </w:tcPr>
          <w:p w:rsidR="00973D4C" w:rsidRPr="00CF1B00" w:rsidRDefault="00973D4C" w:rsidP="004F7EAD">
            <w:pPr>
              <w:pStyle w:val="naisf"/>
              <w:spacing w:before="0" w:after="0"/>
              <w:ind w:firstLine="0"/>
              <w:jc w:val="center"/>
              <w:rPr>
                <w:bCs/>
              </w:rPr>
            </w:pPr>
            <w:r w:rsidRPr="00CF1B00">
              <w:rPr>
                <w:bCs/>
              </w:rPr>
              <w:t>2</w:t>
            </w:r>
          </w:p>
        </w:tc>
        <w:tc>
          <w:tcPr>
            <w:tcW w:w="698" w:type="pct"/>
            <w:vAlign w:val="center"/>
          </w:tcPr>
          <w:p w:rsidR="00973D4C" w:rsidRPr="00CF1B00" w:rsidRDefault="00973D4C" w:rsidP="004F7EAD">
            <w:pPr>
              <w:pStyle w:val="naisf"/>
              <w:spacing w:before="0" w:after="0"/>
              <w:ind w:firstLine="0"/>
              <w:jc w:val="center"/>
              <w:rPr>
                <w:bCs/>
              </w:rPr>
            </w:pPr>
            <w:r w:rsidRPr="00CF1B00">
              <w:rPr>
                <w:bCs/>
              </w:rPr>
              <w:t>3</w:t>
            </w:r>
          </w:p>
        </w:tc>
        <w:tc>
          <w:tcPr>
            <w:tcW w:w="698" w:type="pct"/>
            <w:vAlign w:val="center"/>
          </w:tcPr>
          <w:p w:rsidR="00973D4C" w:rsidRPr="00CF1B00" w:rsidRDefault="00973D4C" w:rsidP="004F7EAD">
            <w:pPr>
              <w:pStyle w:val="naisf"/>
              <w:spacing w:before="0" w:after="0"/>
              <w:ind w:firstLine="0"/>
              <w:jc w:val="center"/>
              <w:rPr>
                <w:bCs/>
              </w:rPr>
            </w:pPr>
            <w:r w:rsidRPr="00CF1B00">
              <w:rPr>
                <w:bCs/>
              </w:rPr>
              <w:t>4</w:t>
            </w:r>
          </w:p>
        </w:tc>
        <w:tc>
          <w:tcPr>
            <w:tcW w:w="698" w:type="pct"/>
            <w:vAlign w:val="center"/>
          </w:tcPr>
          <w:p w:rsidR="00973D4C" w:rsidRPr="00CF1B00" w:rsidRDefault="00973D4C" w:rsidP="004F7EAD">
            <w:pPr>
              <w:pStyle w:val="naisf"/>
              <w:spacing w:before="0" w:after="0"/>
              <w:ind w:firstLine="0"/>
              <w:jc w:val="center"/>
              <w:rPr>
                <w:bCs/>
              </w:rPr>
            </w:pPr>
            <w:r w:rsidRPr="00CF1B00">
              <w:rPr>
                <w:bCs/>
              </w:rPr>
              <w:t>5</w:t>
            </w:r>
          </w:p>
        </w:tc>
        <w:tc>
          <w:tcPr>
            <w:tcW w:w="629" w:type="pct"/>
            <w:vAlign w:val="center"/>
          </w:tcPr>
          <w:p w:rsidR="00973D4C" w:rsidRPr="00CF1B00" w:rsidRDefault="00973D4C" w:rsidP="004F7EAD">
            <w:pPr>
              <w:pStyle w:val="naisf"/>
              <w:spacing w:before="0" w:after="0"/>
              <w:ind w:firstLine="0"/>
              <w:jc w:val="center"/>
              <w:rPr>
                <w:bCs/>
              </w:rPr>
            </w:pPr>
            <w:r w:rsidRPr="00CF1B00">
              <w:rPr>
                <w:bCs/>
              </w:rPr>
              <w:t>6</w:t>
            </w:r>
          </w:p>
        </w:tc>
      </w:tr>
      <w:tr w:rsidR="00973D4C" w:rsidRPr="00CF1B00" w:rsidTr="00BC1F8E">
        <w:trPr>
          <w:jc w:val="center"/>
        </w:trPr>
        <w:tc>
          <w:tcPr>
            <w:tcW w:w="1679" w:type="pct"/>
          </w:tcPr>
          <w:p w:rsidR="00973D4C" w:rsidRPr="00CF1B00" w:rsidRDefault="00973D4C" w:rsidP="004F7EAD">
            <w:pPr>
              <w:pStyle w:val="naiskr"/>
              <w:spacing w:before="0" w:after="0"/>
            </w:pPr>
            <w:r w:rsidRPr="00CF1B00">
              <w:t>1. Budžeta ieņēmumi:</w:t>
            </w:r>
          </w:p>
        </w:tc>
        <w:tc>
          <w:tcPr>
            <w:tcW w:w="598" w:type="pct"/>
          </w:tcPr>
          <w:p w:rsidR="00973D4C" w:rsidRPr="00CF1B00" w:rsidRDefault="0008310A" w:rsidP="004F7EAD">
            <w:pPr>
              <w:pStyle w:val="naisf"/>
              <w:spacing w:before="0" w:after="0"/>
              <w:ind w:firstLine="0"/>
              <w:jc w:val="center"/>
            </w:pPr>
            <w:r w:rsidRPr="00CF1B00">
              <w:t>787 362</w:t>
            </w:r>
          </w:p>
        </w:tc>
        <w:tc>
          <w:tcPr>
            <w:tcW w:w="698" w:type="pct"/>
          </w:tcPr>
          <w:p w:rsidR="00973D4C" w:rsidRPr="00CF1B00" w:rsidRDefault="00EB4046" w:rsidP="004F7EAD">
            <w:pPr>
              <w:pStyle w:val="naisf"/>
              <w:spacing w:before="0" w:after="0"/>
              <w:ind w:firstLine="0"/>
              <w:jc w:val="center"/>
            </w:pPr>
            <w:r w:rsidRPr="00CF1B00">
              <w:t>0</w:t>
            </w:r>
          </w:p>
        </w:tc>
        <w:tc>
          <w:tcPr>
            <w:tcW w:w="698" w:type="pct"/>
          </w:tcPr>
          <w:p w:rsidR="00973D4C" w:rsidRPr="00CF1B00" w:rsidRDefault="00EB4046" w:rsidP="004F7EAD">
            <w:pPr>
              <w:pStyle w:val="naisf"/>
              <w:spacing w:before="0" w:after="0"/>
              <w:ind w:firstLine="0"/>
              <w:jc w:val="center"/>
            </w:pPr>
            <w:r w:rsidRPr="00CF1B00">
              <w:t>0</w:t>
            </w:r>
          </w:p>
        </w:tc>
        <w:tc>
          <w:tcPr>
            <w:tcW w:w="698" w:type="pct"/>
          </w:tcPr>
          <w:p w:rsidR="00973D4C" w:rsidRPr="00CF1B00" w:rsidRDefault="00EB4046" w:rsidP="004F7EAD">
            <w:pPr>
              <w:pStyle w:val="naisf"/>
              <w:spacing w:before="0" w:after="0"/>
              <w:ind w:firstLine="0"/>
              <w:jc w:val="center"/>
            </w:pPr>
            <w:r w:rsidRPr="00CF1B00">
              <w:t>0</w:t>
            </w:r>
          </w:p>
        </w:tc>
        <w:tc>
          <w:tcPr>
            <w:tcW w:w="629" w:type="pct"/>
          </w:tcPr>
          <w:p w:rsidR="00973D4C" w:rsidRPr="00CF1B00" w:rsidRDefault="009F1D9C" w:rsidP="004F7EAD">
            <w:pPr>
              <w:pStyle w:val="naisf"/>
              <w:spacing w:before="0" w:after="0"/>
              <w:ind w:firstLine="0"/>
              <w:jc w:val="center"/>
            </w:pPr>
            <w:r w:rsidRPr="00CF1B00">
              <w:t>0</w:t>
            </w:r>
          </w:p>
        </w:tc>
      </w:tr>
      <w:tr w:rsidR="00973D4C" w:rsidRPr="00CF1B00" w:rsidTr="00BC1F8E">
        <w:trPr>
          <w:jc w:val="center"/>
        </w:trPr>
        <w:tc>
          <w:tcPr>
            <w:tcW w:w="1679" w:type="pct"/>
          </w:tcPr>
          <w:p w:rsidR="00973D4C" w:rsidRPr="00CF1B00" w:rsidRDefault="00973D4C" w:rsidP="004F7EAD">
            <w:pPr>
              <w:pStyle w:val="naiskr"/>
              <w:spacing w:before="0" w:after="0"/>
            </w:pPr>
            <w:r w:rsidRPr="00CF1B00">
              <w:t>1.1. valsts pamatbudžets, tai skaitā ieņēmumi no maksas pakalpojumiem un citi pašu ieņēmumi</w:t>
            </w:r>
          </w:p>
        </w:tc>
        <w:tc>
          <w:tcPr>
            <w:tcW w:w="598" w:type="pct"/>
            <w:vAlign w:val="center"/>
          </w:tcPr>
          <w:p w:rsidR="00973D4C" w:rsidRPr="00CF1B00" w:rsidRDefault="0008310A" w:rsidP="004F7EAD">
            <w:pPr>
              <w:pStyle w:val="naisf"/>
              <w:spacing w:before="0" w:after="0"/>
              <w:ind w:firstLine="0"/>
              <w:jc w:val="center"/>
            </w:pPr>
            <w:r w:rsidRPr="00CF1B00">
              <w:t>787 362</w:t>
            </w:r>
          </w:p>
        </w:tc>
        <w:tc>
          <w:tcPr>
            <w:tcW w:w="698" w:type="pct"/>
            <w:vAlign w:val="center"/>
          </w:tcPr>
          <w:p w:rsidR="00973D4C" w:rsidRPr="00CF1B00" w:rsidRDefault="00EB4046" w:rsidP="004F7EAD">
            <w:pPr>
              <w:pStyle w:val="naisf"/>
              <w:spacing w:before="0" w:after="0"/>
              <w:ind w:firstLine="0"/>
              <w:jc w:val="center"/>
            </w:pPr>
            <w:r w:rsidRPr="00CF1B00">
              <w:t>0</w:t>
            </w:r>
          </w:p>
        </w:tc>
        <w:tc>
          <w:tcPr>
            <w:tcW w:w="698" w:type="pct"/>
            <w:vAlign w:val="center"/>
          </w:tcPr>
          <w:p w:rsidR="00973D4C" w:rsidRPr="00CF1B00" w:rsidRDefault="00EB4046" w:rsidP="004F7EAD">
            <w:pPr>
              <w:pStyle w:val="naisf"/>
              <w:spacing w:before="0" w:after="0"/>
              <w:ind w:firstLine="0"/>
              <w:jc w:val="center"/>
            </w:pPr>
            <w:r w:rsidRPr="00CF1B00">
              <w:t>0</w:t>
            </w:r>
          </w:p>
        </w:tc>
        <w:tc>
          <w:tcPr>
            <w:tcW w:w="698" w:type="pct"/>
            <w:vAlign w:val="center"/>
          </w:tcPr>
          <w:p w:rsidR="00973D4C" w:rsidRPr="00CF1B00" w:rsidRDefault="00EB4046" w:rsidP="004F7EAD">
            <w:pPr>
              <w:pStyle w:val="naisf"/>
              <w:spacing w:before="0" w:after="0"/>
              <w:ind w:firstLine="0"/>
              <w:jc w:val="center"/>
            </w:pPr>
            <w:r w:rsidRPr="00CF1B00">
              <w:t>0</w:t>
            </w:r>
          </w:p>
        </w:tc>
        <w:tc>
          <w:tcPr>
            <w:tcW w:w="629" w:type="pct"/>
            <w:vAlign w:val="center"/>
          </w:tcPr>
          <w:p w:rsidR="00973D4C" w:rsidRPr="00CF1B00" w:rsidRDefault="009F1D9C" w:rsidP="004F7EAD">
            <w:pPr>
              <w:pStyle w:val="naisf"/>
              <w:spacing w:before="0" w:after="0"/>
              <w:ind w:firstLine="0"/>
              <w:jc w:val="center"/>
            </w:pPr>
            <w:r w:rsidRPr="00CF1B00">
              <w:t>0</w:t>
            </w:r>
          </w:p>
        </w:tc>
      </w:tr>
      <w:tr w:rsidR="00973D4C" w:rsidRPr="00CF1B00" w:rsidTr="00BC1F8E">
        <w:trPr>
          <w:trHeight w:val="445"/>
          <w:jc w:val="center"/>
        </w:trPr>
        <w:tc>
          <w:tcPr>
            <w:tcW w:w="1679" w:type="pct"/>
          </w:tcPr>
          <w:p w:rsidR="00973D4C" w:rsidRPr="00CF1B00" w:rsidRDefault="00973D4C" w:rsidP="004F7EAD">
            <w:pPr>
              <w:pStyle w:val="naiskr"/>
              <w:spacing w:before="0" w:after="0"/>
            </w:pPr>
            <w:r w:rsidRPr="00CF1B00">
              <w:t>1.2. valsts speciālais budžets</w:t>
            </w:r>
          </w:p>
        </w:tc>
        <w:tc>
          <w:tcPr>
            <w:tcW w:w="598" w:type="pct"/>
            <w:vAlign w:val="center"/>
          </w:tcPr>
          <w:p w:rsidR="00973D4C" w:rsidRPr="00CF1B00" w:rsidRDefault="00973D4C" w:rsidP="004F7EAD">
            <w:pPr>
              <w:pStyle w:val="naisf"/>
              <w:spacing w:before="0" w:after="0"/>
              <w:ind w:firstLine="0"/>
              <w:jc w:val="center"/>
            </w:pPr>
            <w:r w:rsidRPr="00CF1B00">
              <w:t>0</w:t>
            </w:r>
          </w:p>
        </w:tc>
        <w:tc>
          <w:tcPr>
            <w:tcW w:w="698" w:type="pct"/>
            <w:vAlign w:val="center"/>
          </w:tcPr>
          <w:p w:rsidR="00973D4C" w:rsidRPr="00CF1B00" w:rsidRDefault="00973D4C" w:rsidP="004F7EAD">
            <w:pPr>
              <w:pStyle w:val="naisf"/>
              <w:spacing w:before="0" w:after="0"/>
              <w:ind w:firstLine="0"/>
              <w:jc w:val="center"/>
            </w:pPr>
            <w:r w:rsidRPr="00CF1B00">
              <w:t>0</w:t>
            </w:r>
          </w:p>
        </w:tc>
        <w:tc>
          <w:tcPr>
            <w:tcW w:w="698" w:type="pct"/>
            <w:vAlign w:val="center"/>
          </w:tcPr>
          <w:p w:rsidR="00973D4C" w:rsidRPr="00CF1B00" w:rsidRDefault="00973D4C" w:rsidP="004F7EAD">
            <w:pPr>
              <w:pStyle w:val="naisf"/>
              <w:spacing w:before="0" w:after="0"/>
              <w:ind w:firstLine="0"/>
              <w:jc w:val="center"/>
            </w:pPr>
            <w:r w:rsidRPr="00CF1B00">
              <w:t>0</w:t>
            </w:r>
          </w:p>
        </w:tc>
        <w:tc>
          <w:tcPr>
            <w:tcW w:w="698" w:type="pct"/>
            <w:vAlign w:val="center"/>
          </w:tcPr>
          <w:p w:rsidR="00973D4C" w:rsidRPr="00CF1B00" w:rsidRDefault="00973D4C" w:rsidP="004F7EAD">
            <w:pPr>
              <w:pStyle w:val="naisf"/>
              <w:spacing w:before="0" w:after="0"/>
              <w:ind w:firstLine="0"/>
              <w:jc w:val="center"/>
            </w:pPr>
            <w:r w:rsidRPr="00CF1B00">
              <w:t>0</w:t>
            </w:r>
          </w:p>
        </w:tc>
        <w:tc>
          <w:tcPr>
            <w:tcW w:w="629" w:type="pct"/>
            <w:vAlign w:val="center"/>
          </w:tcPr>
          <w:p w:rsidR="00973D4C" w:rsidRPr="00CF1B00" w:rsidRDefault="00973D4C" w:rsidP="004F7EAD">
            <w:pPr>
              <w:pStyle w:val="naisf"/>
              <w:spacing w:before="0" w:after="0"/>
              <w:ind w:firstLine="0"/>
              <w:jc w:val="center"/>
            </w:pPr>
            <w:r w:rsidRPr="00CF1B00">
              <w:t>0</w:t>
            </w:r>
          </w:p>
        </w:tc>
      </w:tr>
      <w:tr w:rsidR="00973D4C" w:rsidRPr="00CF1B00" w:rsidTr="00BC1F8E">
        <w:trPr>
          <w:jc w:val="center"/>
        </w:trPr>
        <w:tc>
          <w:tcPr>
            <w:tcW w:w="1679" w:type="pct"/>
          </w:tcPr>
          <w:p w:rsidR="00973D4C" w:rsidRPr="00CF1B00" w:rsidRDefault="00973D4C" w:rsidP="004F7EAD">
            <w:pPr>
              <w:pStyle w:val="naiskr"/>
              <w:spacing w:before="0" w:after="0"/>
            </w:pPr>
            <w:r w:rsidRPr="00CF1B00">
              <w:t>1.3. pašvaldību budžets</w:t>
            </w:r>
          </w:p>
        </w:tc>
        <w:tc>
          <w:tcPr>
            <w:tcW w:w="598" w:type="pct"/>
            <w:vAlign w:val="center"/>
          </w:tcPr>
          <w:p w:rsidR="00973D4C" w:rsidRPr="00CF1B00" w:rsidRDefault="00973D4C" w:rsidP="004F7EAD">
            <w:pPr>
              <w:pStyle w:val="naisf"/>
              <w:spacing w:before="0" w:after="0"/>
              <w:ind w:firstLine="0"/>
              <w:jc w:val="center"/>
            </w:pPr>
            <w:r w:rsidRPr="00CF1B00">
              <w:t>0</w:t>
            </w:r>
          </w:p>
        </w:tc>
        <w:tc>
          <w:tcPr>
            <w:tcW w:w="698" w:type="pct"/>
            <w:vAlign w:val="center"/>
          </w:tcPr>
          <w:p w:rsidR="00973D4C" w:rsidRPr="00CF1B00" w:rsidRDefault="00973D4C" w:rsidP="004F7EAD">
            <w:pPr>
              <w:pStyle w:val="naisf"/>
              <w:spacing w:before="0" w:after="0"/>
              <w:ind w:firstLine="0"/>
              <w:jc w:val="center"/>
            </w:pPr>
            <w:r w:rsidRPr="00CF1B00">
              <w:t>0</w:t>
            </w:r>
          </w:p>
        </w:tc>
        <w:tc>
          <w:tcPr>
            <w:tcW w:w="698" w:type="pct"/>
            <w:vAlign w:val="center"/>
          </w:tcPr>
          <w:p w:rsidR="00973D4C" w:rsidRPr="00CF1B00" w:rsidRDefault="00973D4C" w:rsidP="004F7EAD">
            <w:pPr>
              <w:pStyle w:val="naisf"/>
              <w:spacing w:before="0" w:after="0"/>
              <w:ind w:firstLine="0"/>
              <w:jc w:val="center"/>
            </w:pPr>
            <w:r w:rsidRPr="00CF1B00">
              <w:t>0</w:t>
            </w:r>
          </w:p>
        </w:tc>
        <w:tc>
          <w:tcPr>
            <w:tcW w:w="698" w:type="pct"/>
            <w:vAlign w:val="center"/>
          </w:tcPr>
          <w:p w:rsidR="00973D4C" w:rsidRPr="00CF1B00" w:rsidRDefault="00973D4C" w:rsidP="004F7EAD">
            <w:pPr>
              <w:pStyle w:val="naisf"/>
              <w:spacing w:before="0" w:after="0"/>
              <w:ind w:firstLine="0"/>
              <w:jc w:val="center"/>
            </w:pPr>
            <w:r w:rsidRPr="00CF1B00">
              <w:t>0</w:t>
            </w:r>
          </w:p>
        </w:tc>
        <w:tc>
          <w:tcPr>
            <w:tcW w:w="629" w:type="pct"/>
            <w:vAlign w:val="center"/>
          </w:tcPr>
          <w:p w:rsidR="00973D4C" w:rsidRPr="00CF1B00" w:rsidRDefault="00973D4C" w:rsidP="004F7EAD">
            <w:pPr>
              <w:pStyle w:val="naisf"/>
              <w:spacing w:before="0" w:after="0"/>
              <w:ind w:firstLine="0"/>
              <w:jc w:val="center"/>
            </w:pPr>
            <w:r w:rsidRPr="00CF1B00">
              <w:t>0</w:t>
            </w:r>
          </w:p>
        </w:tc>
      </w:tr>
      <w:tr w:rsidR="00B96B01" w:rsidRPr="00CF1B00" w:rsidTr="00BC1F8E">
        <w:trPr>
          <w:jc w:val="center"/>
        </w:trPr>
        <w:tc>
          <w:tcPr>
            <w:tcW w:w="1679" w:type="pct"/>
          </w:tcPr>
          <w:p w:rsidR="00B96B01" w:rsidRPr="00CF1B00" w:rsidRDefault="00B96B01" w:rsidP="004F7EAD">
            <w:pPr>
              <w:pStyle w:val="naiskr"/>
              <w:spacing w:before="0" w:after="0"/>
            </w:pPr>
            <w:r w:rsidRPr="00CF1B00">
              <w:t>2. Budžeta izdevumi:</w:t>
            </w:r>
          </w:p>
        </w:tc>
        <w:tc>
          <w:tcPr>
            <w:tcW w:w="598" w:type="pct"/>
          </w:tcPr>
          <w:p w:rsidR="00B96B01" w:rsidRPr="00CF1B00" w:rsidRDefault="0008310A" w:rsidP="00B96B01">
            <w:pPr>
              <w:pStyle w:val="naisf"/>
              <w:spacing w:before="0" w:after="0"/>
              <w:ind w:firstLine="0"/>
              <w:jc w:val="center"/>
            </w:pPr>
            <w:r w:rsidRPr="00CF1B00">
              <w:t>787 362</w:t>
            </w:r>
          </w:p>
        </w:tc>
        <w:tc>
          <w:tcPr>
            <w:tcW w:w="698" w:type="pct"/>
            <w:vAlign w:val="center"/>
          </w:tcPr>
          <w:p w:rsidR="00B96B01" w:rsidRPr="00CF1B00" w:rsidRDefault="00B96B01" w:rsidP="003D0711">
            <w:pPr>
              <w:pStyle w:val="naisf"/>
              <w:spacing w:before="0" w:after="0"/>
              <w:ind w:firstLine="0"/>
              <w:jc w:val="center"/>
            </w:pPr>
            <w:r w:rsidRPr="00CF1B00">
              <w:t>-</w:t>
            </w:r>
            <w:r w:rsidR="003D0711" w:rsidRPr="00CF1B00">
              <w:t>471 723</w:t>
            </w:r>
          </w:p>
        </w:tc>
        <w:tc>
          <w:tcPr>
            <w:tcW w:w="698" w:type="pct"/>
            <w:vAlign w:val="center"/>
          </w:tcPr>
          <w:p w:rsidR="00B96B01" w:rsidRPr="00CF1B00" w:rsidRDefault="003D0711" w:rsidP="0008310A">
            <w:pPr>
              <w:pStyle w:val="naisf"/>
              <w:spacing w:before="0" w:after="0"/>
              <w:ind w:firstLine="0"/>
              <w:jc w:val="center"/>
            </w:pPr>
            <w:r w:rsidRPr="00CF1B00">
              <w:t>1 636 333</w:t>
            </w:r>
          </w:p>
        </w:tc>
        <w:tc>
          <w:tcPr>
            <w:tcW w:w="698" w:type="pct"/>
          </w:tcPr>
          <w:p w:rsidR="00B96B01" w:rsidRPr="00CF1B00" w:rsidRDefault="00B96B01" w:rsidP="004F7EAD">
            <w:pPr>
              <w:pStyle w:val="naisf"/>
              <w:spacing w:before="0" w:after="0"/>
              <w:ind w:firstLine="0"/>
              <w:jc w:val="center"/>
            </w:pPr>
            <w:r w:rsidRPr="00CF1B00">
              <w:t>0</w:t>
            </w:r>
          </w:p>
        </w:tc>
        <w:tc>
          <w:tcPr>
            <w:tcW w:w="629" w:type="pct"/>
          </w:tcPr>
          <w:p w:rsidR="00B96B01" w:rsidRPr="00CF1B00" w:rsidRDefault="00B96B01" w:rsidP="004F7EAD">
            <w:pPr>
              <w:pStyle w:val="naisf"/>
              <w:spacing w:before="0" w:after="0"/>
              <w:ind w:firstLine="0"/>
              <w:jc w:val="center"/>
            </w:pPr>
            <w:r w:rsidRPr="00CF1B00">
              <w:t>0</w:t>
            </w:r>
          </w:p>
        </w:tc>
      </w:tr>
      <w:tr w:rsidR="00B96B01" w:rsidRPr="00CF1B00" w:rsidTr="00BC1F8E">
        <w:trPr>
          <w:trHeight w:val="195"/>
          <w:jc w:val="center"/>
        </w:trPr>
        <w:tc>
          <w:tcPr>
            <w:tcW w:w="1679" w:type="pct"/>
          </w:tcPr>
          <w:p w:rsidR="00B96B01" w:rsidRPr="00CF1B00" w:rsidRDefault="00B96B01" w:rsidP="004F7EAD">
            <w:pPr>
              <w:pStyle w:val="naiskr"/>
              <w:spacing w:before="0" w:after="0"/>
            </w:pPr>
            <w:r w:rsidRPr="00CF1B00">
              <w:t>2.1. valsts pamatbudžets</w:t>
            </w:r>
          </w:p>
        </w:tc>
        <w:tc>
          <w:tcPr>
            <w:tcW w:w="598" w:type="pct"/>
            <w:vAlign w:val="center"/>
          </w:tcPr>
          <w:p w:rsidR="00B96B01" w:rsidRPr="00CF1B00" w:rsidRDefault="0008310A" w:rsidP="00B96B01">
            <w:pPr>
              <w:pStyle w:val="naisf"/>
              <w:spacing w:before="0" w:after="0"/>
              <w:ind w:firstLine="0"/>
              <w:jc w:val="center"/>
            </w:pPr>
            <w:r w:rsidRPr="00CF1B00">
              <w:t>787 362</w:t>
            </w:r>
          </w:p>
        </w:tc>
        <w:tc>
          <w:tcPr>
            <w:tcW w:w="698" w:type="pct"/>
            <w:vAlign w:val="center"/>
          </w:tcPr>
          <w:p w:rsidR="00B96B01" w:rsidRPr="00CF1B00" w:rsidRDefault="0008310A" w:rsidP="00B96B01">
            <w:pPr>
              <w:pStyle w:val="naisf"/>
              <w:spacing w:before="0" w:after="0"/>
              <w:ind w:firstLine="0"/>
              <w:jc w:val="center"/>
            </w:pPr>
            <w:r w:rsidRPr="00CF1B00">
              <w:t>-</w:t>
            </w:r>
            <w:r w:rsidR="003D0711" w:rsidRPr="00CF1B00">
              <w:t>471 723</w:t>
            </w:r>
          </w:p>
        </w:tc>
        <w:tc>
          <w:tcPr>
            <w:tcW w:w="698" w:type="pct"/>
            <w:vAlign w:val="center"/>
          </w:tcPr>
          <w:p w:rsidR="00B96B01" w:rsidRPr="00CF1B00" w:rsidRDefault="003D0711" w:rsidP="00B96B01">
            <w:pPr>
              <w:pStyle w:val="naisf"/>
              <w:spacing w:before="0" w:after="0"/>
              <w:ind w:firstLine="0"/>
              <w:jc w:val="center"/>
            </w:pPr>
            <w:r w:rsidRPr="00CF1B00">
              <w:t>1 636 333</w:t>
            </w:r>
          </w:p>
        </w:tc>
        <w:tc>
          <w:tcPr>
            <w:tcW w:w="698" w:type="pct"/>
          </w:tcPr>
          <w:p w:rsidR="00B96B01" w:rsidRPr="00CF1B00" w:rsidRDefault="00B96B01" w:rsidP="004F7EAD">
            <w:pPr>
              <w:pStyle w:val="naisf"/>
              <w:spacing w:before="0" w:after="0"/>
              <w:ind w:firstLine="0"/>
              <w:jc w:val="center"/>
            </w:pPr>
            <w:r w:rsidRPr="00CF1B00">
              <w:t>0</w:t>
            </w:r>
          </w:p>
        </w:tc>
        <w:tc>
          <w:tcPr>
            <w:tcW w:w="629" w:type="pct"/>
          </w:tcPr>
          <w:p w:rsidR="00B96B01" w:rsidRPr="00CF1B00" w:rsidRDefault="00B96B01" w:rsidP="004F7EAD">
            <w:pPr>
              <w:pStyle w:val="naisf"/>
              <w:spacing w:before="0" w:after="0"/>
              <w:ind w:firstLine="0"/>
              <w:jc w:val="center"/>
            </w:pPr>
            <w:r w:rsidRPr="00CF1B00">
              <w:t>0</w:t>
            </w:r>
          </w:p>
        </w:tc>
      </w:tr>
      <w:tr w:rsidR="00352806" w:rsidRPr="00CF1B00" w:rsidTr="00BC1F8E">
        <w:trPr>
          <w:jc w:val="center"/>
        </w:trPr>
        <w:tc>
          <w:tcPr>
            <w:tcW w:w="1679" w:type="pct"/>
          </w:tcPr>
          <w:p w:rsidR="00352806" w:rsidRPr="00CF1B00" w:rsidRDefault="00352806" w:rsidP="004F7EAD">
            <w:pPr>
              <w:pStyle w:val="naiskr"/>
              <w:spacing w:before="0" w:after="0"/>
            </w:pPr>
            <w:r w:rsidRPr="00CF1B00">
              <w:t>2.2. valsts speciālais budžets</w:t>
            </w:r>
          </w:p>
        </w:tc>
        <w:tc>
          <w:tcPr>
            <w:tcW w:w="598" w:type="pct"/>
            <w:vAlign w:val="center"/>
          </w:tcPr>
          <w:p w:rsidR="00352806" w:rsidRPr="00CF1B00" w:rsidRDefault="00352806" w:rsidP="004F7EAD">
            <w:pPr>
              <w:pStyle w:val="naisf"/>
              <w:spacing w:before="0" w:after="0"/>
              <w:ind w:firstLine="0"/>
              <w:jc w:val="center"/>
              <w:rPr>
                <w:b/>
              </w:rPr>
            </w:pPr>
            <w:r w:rsidRPr="00CF1B00">
              <w:t>0</w:t>
            </w:r>
          </w:p>
        </w:tc>
        <w:tc>
          <w:tcPr>
            <w:tcW w:w="698" w:type="pct"/>
            <w:vAlign w:val="center"/>
          </w:tcPr>
          <w:p w:rsidR="00352806" w:rsidRPr="00CF1B00" w:rsidRDefault="00352806" w:rsidP="00B96B01">
            <w:pPr>
              <w:pStyle w:val="naisf"/>
              <w:spacing w:before="0" w:after="0"/>
              <w:ind w:firstLine="0"/>
              <w:jc w:val="center"/>
            </w:pPr>
            <w:r w:rsidRPr="00CF1B00">
              <w:t>0</w:t>
            </w:r>
          </w:p>
        </w:tc>
        <w:tc>
          <w:tcPr>
            <w:tcW w:w="698" w:type="pct"/>
            <w:vAlign w:val="center"/>
          </w:tcPr>
          <w:p w:rsidR="00352806" w:rsidRPr="00CF1B00" w:rsidRDefault="00352806" w:rsidP="00B96B01">
            <w:pPr>
              <w:pStyle w:val="naisf"/>
              <w:spacing w:before="0" w:after="0"/>
              <w:ind w:firstLine="0"/>
              <w:jc w:val="center"/>
              <w:rPr>
                <w:b/>
              </w:rPr>
            </w:pPr>
            <w:r w:rsidRPr="00CF1B00">
              <w:t>0</w:t>
            </w:r>
          </w:p>
        </w:tc>
        <w:tc>
          <w:tcPr>
            <w:tcW w:w="698" w:type="pct"/>
            <w:vAlign w:val="center"/>
          </w:tcPr>
          <w:p w:rsidR="00352806" w:rsidRPr="00CF1B00" w:rsidRDefault="00352806" w:rsidP="004F7EAD">
            <w:pPr>
              <w:pStyle w:val="naisf"/>
              <w:spacing w:before="0" w:after="0"/>
              <w:ind w:firstLine="0"/>
              <w:jc w:val="center"/>
              <w:rPr>
                <w:b/>
              </w:rPr>
            </w:pPr>
            <w:r w:rsidRPr="00CF1B00">
              <w:t>0</w:t>
            </w:r>
          </w:p>
        </w:tc>
        <w:tc>
          <w:tcPr>
            <w:tcW w:w="629" w:type="pct"/>
            <w:vAlign w:val="center"/>
          </w:tcPr>
          <w:p w:rsidR="00352806" w:rsidRPr="00CF1B00" w:rsidRDefault="00352806" w:rsidP="004F7EAD">
            <w:pPr>
              <w:pStyle w:val="naisf"/>
              <w:spacing w:before="0" w:after="0"/>
              <w:ind w:firstLine="0"/>
              <w:jc w:val="center"/>
              <w:rPr>
                <w:b/>
              </w:rPr>
            </w:pPr>
            <w:r w:rsidRPr="00CF1B00">
              <w:t>0</w:t>
            </w:r>
          </w:p>
        </w:tc>
      </w:tr>
      <w:tr w:rsidR="00352806" w:rsidRPr="00CF1B00" w:rsidTr="00BC1F8E">
        <w:trPr>
          <w:jc w:val="center"/>
        </w:trPr>
        <w:tc>
          <w:tcPr>
            <w:tcW w:w="1679" w:type="pct"/>
          </w:tcPr>
          <w:p w:rsidR="00352806" w:rsidRPr="00CF1B00" w:rsidRDefault="00352806" w:rsidP="004F7EAD">
            <w:pPr>
              <w:pStyle w:val="naiskr"/>
              <w:spacing w:before="0" w:after="0"/>
            </w:pPr>
            <w:r w:rsidRPr="00CF1B00">
              <w:t xml:space="preserve">2.3. pašvaldību budžets </w:t>
            </w:r>
          </w:p>
        </w:tc>
        <w:tc>
          <w:tcPr>
            <w:tcW w:w="598" w:type="pct"/>
            <w:vAlign w:val="center"/>
          </w:tcPr>
          <w:p w:rsidR="00352806" w:rsidRPr="00CF1B00" w:rsidRDefault="00352806" w:rsidP="004F7EAD">
            <w:pPr>
              <w:pStyle w:val="naisf"/>
              <w:spacing w:before="0" w:after="0"/>
              <w:ind w:firstLine="0"/>
              <w:jc w:val="center"/>
              <w:rPr>
                <w:b/>
              </w:rPr>
            </w:pPr>
            <w:r w:rsidRPr="00CF1B00">
              <w:t>0</w:t>
            </w:r>
          </w:p>
        </w:tc>
        <w:tc>
          <w:tcPr>
            <w:tcW w:w="698" w:type="pct"/>
            <w:vAlign w:val="center"/>
          </w:tcPr>
          <w:p w:rsidR="00352806" w:rsidRPr="00CF1B00" w:rsidRDefault="00352806" w:rsidP="00B96B01">
            <w:pPr>
              <w:pStyle w:val="naisf"/>
              <w:spacing w:before="0" w:after="0"/>
              <w:ind w:firstLine="0"/>
              <w:jc w:val="center"/>
            </w:pPr>
            <w:r w:rsidRPr="00CF1B00">
              <w:t>0</w:t>
            </w:r>
          </w:p>
        </w:tc>
        <w:tc>
          <w:tcPr>
            <w:tcW w:w="698" w:type="pct"/>
            <w:vAlign w:val="center"/>
          </w:tcPr>
          <w:p w:rsidR="00352806" w:rsidRPr="00CF1B00" w:rsidRDefault="00352806" w:rsidP="00B96B01">
            <w:pPr>
              <w:pStyle w:val="naisf"/>
              <w:spacing w:before="0" w:after="0"/>
              <w:ind w:firstLine="0"/>
              <w:jc w:val="center"/>
              <w:rPr>
                <w:b/>
              </w:rPr>
            </w:pPr>
            <w:r w:rsidRPr="00CF1B00">
              <w:t>0</w:t>
            </w:r>
          </w:p>
        </w:tc>
        <w:tc>
          <w:tcPr>
            <w:tcW w:w="698" w:type="pct"/>
            <w:vAlign w:val="center"/>
          </w:tcPr>
          <w:p w:rsidR="00352806" w:rsidRPr="00CF1B00" w:rsidRDefault="00352806" w:rsidP="004F7EAD">
            <w:pPr>
              <w:pStyle w:val="naisf"/>
              <w:spacing w:before="0" w:after="0"/>
              <w:ind w:firstLine="0"/>
              <w:jc w:val="center"/>
              <w:rPr>
                <w:b/>
              </w:rPr>
            </w:pPr>
            <w:r w:rsidRPr="00CF1B00">
              <w:t>0</w:t>
            </w:r>
          </w:p>
        </w:tc>
        <w:tc>
          <w:tcPr>
            <w:tcW w:w="629" w:type="pct"/>
            <w:vAlign w:val="center"/>
          </w:tcPr>
          <w:p w:rsidR="00352806" w:rsidRPr="00CF1B00" w:rsidRDefault="00352806" w:rsidP="004F7EAD">
            <w:pPr>
              <w:pStyle w:val="naisf"/>
              <w:spacing w:before="0" w:after="0"/>
              <w:ind w:firstLine="0"/>
              <w:jc w:val="center"/>
              <w:rPr>
                <w:b/>
              </w:rPr>
            </w:pPr>
            <w:r w:rsidRPr="00CF1B00">
              <w:t>0</w:t>
            </w:r>
          </w:p>
        </w:tc>
      </w:tr>
      <w:tr w:rsidR="00B96B01" w:rsidRPr="00CF1B00" w:rsidTr="00BC1F8E">
        <w:trPr>
          <w:jc w:val="center"/>
        </w:trPr>
        <w:tc>
          <w:tcPr>
            <w:tcW w:w="1679" w:type="pct"/>
          </w:tcPr>
          <w:p w:rsidR="00B96B01" w:rsidRPr="00CF1B00" w:rsidRDefault="00B96B01" w:rsidP="004F7EAD">
            <w:pPr>
              <w:pStyle w:val="naiskr"/>
              <w:spacing w:before="0" w:after="0"/>
            </w:pPr>
            <w:r w:rsidRPr="00CF1B00">
              <w:t>3. Finansiālā ietekme:</w:t>
            </w:r>
          </w:p>
        </w:tc>
        <w:tc>
          <w:tcPr>
            <w:tcW w:w="598" w:type="pct"/>
            <w:shd w:val="clear" w:color="auto" w:fill="auto"/>
            <w:vAlign w:val="center"/>
          </w:tcPr>
          <w:p w:rsidR="00B96B01" w:rsidRPr="00CF1B00" w:rsidRDefault="00B96B01" w:rsidP="00B96B01">
            <w:pPr>
              <w:pStyle w:val="naisf"/>
              <w:spacing w:before="0" w:after="0"/>
              <w:ind w:firstLine="0"/>
              <w:jc w:val="center"/>
              <w:rPr>
                <w:b/>
              </w:rPr>
            </w:pPr>
            <w:r w:rsidRPr="00CF1B00">
              <w:t>0</w:t>
            </w:r>
          </w:p>
        </w:tc>
        <w:tc>
          <w:tcPr>
            <w:tcW w:w="698" w:type="pct"/>
            <w:vAlign w:val="center"/>
          </w:tcPr>
          <w:p w:rsidR="00B96B01" w:rsidRPr="00CF1B00" w:rsidRDefault="003D0711" w:rsidP="00B96B01">
            <w:pPr>
              <w:pStyle w:val="naisf"/>
              <w:spacing w:before="0" w:after="0"/>
              <w:ind w:firstLine="0"/>
              <w:jc w:val="center"/>
            </w:pPr>
            <w:r w:rsidRPr="00CF1B00">
              <w:t>471 723</w:t>
            </w:r>
          </w:p>
        </w:tc>
        <w:tc>
          <w:tcPr>
            <w:tcW w:w="698" w:type="pct"/>
            <w:vAlign w:val="center"/>
          </w:tcPr>
          <w:p w:rsidR="00B96B01" w:rsidRPr="00CF1B00" w:rsidRDefault="00B96B01" w:rsidP="00B96B01">
            <w:pPr>
              <w:pStyle w:val="naisf"/>
              <w:spacing w:before="0" w:after="0"/>
              <w:ind w:firstLine="0"/>
              <w:jc w:val="center"/>
            </w:pPr>
            <w:r w:rsidRPr="00CF1B00">
              <w:t xml:space="preserve">- </w:t>
            </w:r>
            <w:r w:rsidR="003D0711" w:rsidRPr="00CF1B00">
              <w:t>1 636 333</w:t>
            </w:r>
          </w:p>
        </w:tc>
        <w:tc>
          <w:tcPr>
            <w:tcW w:w="698" w:type="pct"/>
            <w:vAlign w:val="center"/>
          </w:tcPr>
          <w:p w:rsidR="00B96B01" w:rsidRPr="00CF1B00" w:rsidRDefault="00B96B01" w:rsidP="004F7EAD">
            <w:pPr>
              <w:pStyle w:val="naisf"/>
              <w:spacing w:before="0" w:after="0"/>
              <w:ind w:firstLine="0"/>
              <w:jc w:val="center"/>
            </w:pPr>
            <w:r w:rsidRPr="00CF1B00">
              <w:t>0</w:t>
            </w:r>
          </w:p>
        </w:tc>
        <w:tc>
          <w:tcPr>
            <w:tcW w:w="629" w:type="pct"/>
            <w:vAlign w:val="center"/>
          </w:tcPr>
          <w:p w:rsidR="00B96B01" w:rsidRPr="00CF1B00" w:rsidRDefault="00B96B01" w:rsidP="004F7EAD">
            <w:pPr>
              <w:pStyle w:val="naisf"/>
              <w:spacing w:before="0" w:after="0"/>
              <w:ind w:firstLine="0"/>
              <w:jc w:val="center"/>
            </w:pPr>
            <w:r w:rsidRPr="00CF1B00">
              <w:t>0</w:t>
            </w:r>
          </w:p>
        </w:tc>
      </w:tr>
      <w:tr w:rsidR="00B96B01" w:rsidRPr="00CF1B00" w:rsidTr="00BC1F8E">
        <w:trPr>
          <w:jc w:val="center"/>
        </w:trPr>
        <w:tc>
          <w:tcPr>
            <w:tcW w:w="1679" w:type="pct"/>
          </w:tcPr>
          <w:p w:rsidR="00B96B01" w:rsidRPr="00CF1B00" w:rsidRDefault="00B96B01" w:rsidP="004F7EAD">
            <w:pPr>
              <w:pStyle w:val="naiskr"/>
              <w:spacing w:before="0" w:after="0"/>
            </w:pPr>
            <w:r w:rsidRPr="00CF1B00">
              <w:t>3.1. valsts pamatbudžets</w:t>
            </w:r>
          </w:p>
        </w:tc>
        <w:tc>
          <w:tcPr>
            <w:tcW w:w="598" w:type="pct"/>
            <w:shd w:val="clear" w:color="auto" w:fill="auto"/>
            <w:vAlign w:val="center"/>
          </w:tcPr>
          <w:p w:rsidR="00B96B01" w:rsidRPr="00CF1B00" w:rsidRDefault="00B96B01" w:rsidP="00B96B01">
            <w:pPr>
              <w:pStyle w:val="naisf"/>
              <w:spacing w:before="0" w:after="0"/>
              <w:ind w:firstLine="0"/>
              <w:jc w:val="center"/>
              <w:rPr>
                <w:b/>
              </w:rPr>
            </w:pPr>
            <w:r w:rsidRPr="00CF1B00">
              <w:t>0</w:t>
            </w:r>
          </w:p>
        </w:tc>
        <w:tc>
          <w:tcPr>
            <w:tcW w:w="698" w:type="pct"/>
            <w:vAlign w:val="center"/>
          </w:tcPr>
          <w:p w:rsidR="00B96B01" w:rsidRPr="00CF1B00" w:rsidRDefault="003D0711" w:rsidP="00B96B01">
            <w:pPr>
              <w:pStyle w:val="naisf"/>
              <w:spacing w:before="0" w:after="0"/>
              <w:ind w:firstLine="0"/>
              <w:jc w:val="center"/>
            </w:pPr>
            <w:r w:rsidRPr="00CF1B00">
              <w:t>471 723</w:t>
            </w:r>
          </w:p>
        </w:tc>
        <w:tc>
          <w:tcPr>
            <w:tcW w:w="698" w:type="pct"/>
            <w:vAlign w:val="center"/>
          </w:tcPr>
          <w:p w:rsidR="00B96B01" w:rsidRPr="00CF1B00" w:rsidRDefault="00B96B01" w:rsidP="00B96B01">
            <w:pPr>
              <w:pStyle w:val="naisf"/>
              <w:spacing w:before="0" w:after="0"/>
              <w:ind w:firstLine="0"/>
              <w:jc w:val="center"/>
            </w:pPr>
            <w:r w:rsidRPr="00CF1B00">
              <w:t xml:space="preserve">- </w:t>
            </w:r>
            <w:r w:rsidR="003D0711" w:rsidRPr="00CF1B00">
              <w:t>1 636 333</w:t>
            </w:r>
          </w:p>
        </w:tc>
        <w:tc>
          <w:tcPr>
            <w:tcW w:w="698" w:type="pct"/>
            <w:vAlign w:val="center"/>
          </w:tcPr>
          <w:p w:rsidR="00B96B01" w:rsidRPr="00CF1B00" w:rsidRDefault="00B96B01" w:rsidP="004F7EAD">
            <w:pPr>
              <w:pStyle w:val="naisf"/>
              <w:spacing w:before="0" w:after="0"/>
              <w:ind w:firstLine="0"/>
              <w:jc w:val="center"/>
            </w:pPr>
            <w:r w:rsidRPr="00CF1B00">
              <w:t>0</w:t>
            </w:r>
          </w:p>
        </w:tc>
        <w:tc>
          <w:tcPr>
            <w:tcW w:w="629" w:type="pct"/>
            <w:vAlign w:val="center"/>
          </w:tcPr>
          <w:p w:rsidR="00B96B01" w:rsidRPr="00CF1B00" w:rsidRDefault="00B96B01" w:rsidP="004F7EAD">
            <w:pPr>
              <w:pStyle w:val="naisf"/>
              <w:spacing w:before="0" w:after="0"/>
              <w:ind w:firstLine="0"/>
              <w:jc w:val="center"/>
            </w:pPr>
            <w:r w:rsidRPr="00CF1B00">
              <w:t>0</w:t>
            </w:r>
          </w:p>
        </w:tc>
      </w:tr>
      <w:tr w:rsidR="00352806" w:rsidRPr="00CF1B00" w:rsidTr="00BC1F8E">
        <w:trPr>
          <w:jc w:val="center"/>
        </w:trPr>
        <w:tc>
          <w:tcPr>
            <w:tcW w:w="1679" w:type="pct"/>
          </w:tcPr>
          <w:p w:rsidR="00352806" w:rsidRPr="00CF1B00" w:rsidRDefault="00352806" w:rsidP="004F7EAD">
            <w:pPr>
              <w:pStyle w:val="naiskr"/>
              <w:spacing w:before="0" w:after="0"/>
            </w:pPr>
            <w:r w:rsidRPr="00CF1B00">
              <w:t>3.2. speciālais budžets</w:t>
            </w:r>
          </w:p>
        </w:tc>
        <w:tc>
          <w:tcPr>
            <w:tcW w:w="598" w:type="pct"/>
            <w:shd w:val="clear" w:color="auto" w:fill="auto"/>
            <w:vAlign w:val="center"/>
          </w:tcPr>
          <w:p w:rsidR="00352806" w:rsidRPr="00CF1B00" w:rsidRDefault="00352806" w:rsidP="004F7EAD">
            <w:pPr>
              <w:pStyle w:val="naisf"/>
              <w:spacing w:before="0" w:after="0"/>
              <w:ind w:firstLine="0"/>
              <w:jc w:val="center"/>
            </w:pPr>
            <w:r w:rsidRPr="00CF1B00">
              <w:t>0</w:t>
            </w:r>
          </w:p>
        </w:tc>
        <w:tc>
          <w:tcPr>
            <w:tcW w:w="698" w:type="pct"/>
            <w:vAlign w:val="center"/>
          </w:tcPr>
          <w:p w:rsidR="00352806" w:rsidRPr="00CF1B00" w:rsidRDefault="00352806" w:rsidP="00B96B01">
            <w:pPr>
              <w:pStyle w:val="naisf"/>
              <w:spacing w:before="0" w:after="0"/>
              <w:ind w:firstLine="0"/>
              <w:jc w:val="center"/>
            </w:pPr>
            <w:r w:rsidRPr="00CF1B00">
              <w:t>0</w:t>
            </w:r>
          </w:p>
        </w:tc>
        <w:tc>
          <w:tcPr>
            <w:tcW w:w="698" w:type="pct"/>
            <w:vAlign w:val="center"/>
          </w:tcPr>
          <w:p w:rsidR="00352806" w:rsidRPr="00CF1B00" w:rsidRDefault="00352806" w:rsidP="00B96B01">
            <w:pPr>
              <w:pStyle w:val="naisf"/>
              <w:spacing w:before="0" w:after="0"/>
              <w:ind w:firstLine="0"/>
              <w:jc w:val="center"/>
            </w:pPr>
            <w:r w:rsidRPr="00CF1B00">
              <w:t>0</w:t>
            </w:r>
          </w:p>
        </w:tc>
        <w:tc>
          <w:tcPr>
            <w:tcW w:w="698" w:type="pct"/>
            <w:vAlign w:val="center"/>
          </w:tcPr>
          <w:p w:rsidR="00352806" w:rsidRPr="00CF1B00" w:rsidRDefault="00352806" w:rsidP="004F7EAD">
            <w:pPr>
              <w:pStyle w:val="naisf"/>
              <w:spacing w:before="0" w:after="0"/>
              <w:ind w:firstLine="0"/>
              <w:jc w:val="center"/>
            </w:pPr>
            <w:r w:rsidRPr="00CF1B00">
              <w:t>0</w:t>
            </w:r>
          </w:p>
        </w:tc>
        <w:tc>
          <w:tcPr>
            <w:tcW w:w="629" w:type="pct"/>
            <w:vAlign w:val="center"/>
          </w:tcPr>
          <w:p w:rsidR="00352806" w:rsidRPr="00CF1B00" w:rsidRDefault="00352806" w:rsidP="004F7EAD">
            <w:pPr>
              <w:pStyle w:val="naisf"/>
              <w:spacing w:before="0" w:after="0"/>
              <w:ind w:firstLine="0"/>
              <w:jc w:val="center"/>
            </w:pPr>
            <w:r w:rsidRPr="00CF1B00">
              <w:t>0</w:t>
            </w:r>
          </w:p>
        </w:tc>
      </w:tr>
      <w:tr w:rsidR="00352806" w:rsidRPr="00CF1B00" w:rsidTr="00BC1F8E">
        <w:trPr>
          <w:jc w:val="center"/>
        </w:trPr>
        <w:tc>
          <w:tcPr>
            <w:tcW w:w="1679" w:type="pct"/>
          </w:tcPr>
          <w:p w:rsidR="00352806" w:rsidRPr="00CF1B00" w:rsidRDefault="00352806" w:rsidP="004F7EAD">
            <w:pPr>
              <w:pStyle w:val="naiskr"/>
              <w:spacing w:before="0" w:after="0"/>
            </w:pPr>
            <w:r w:rsidRPr="00CF1B00">
              <w:t xml:space="preserve">3.3. pašvaldību budžets </w:t>
            </w:r>
          </w:p>
        </w:tc>
        <w:tc>
          <w:tcPr>
            <w:tcW w:w="598" w:type="pct"/>
            <w:shd w:val="clear" w:color="auto" w:fill="auto"/>
            <w:vAlign w:val="center"/>
          </w:tcPr>
          <w:p w:rsidR="00352806" w:rsidRPr="00CF1B00" w:rsidRDefault="00352806" w:rsidP="004F7EAD">
            <w:pPr>
              <w:pStyle w:val="naisf"/>
              <w:spacing w:before="0" w:after="0"/>
              <w:ind w:firstLine="0"/>
              <w:jc w:val="center"/>
            </w:pPr>
            <w:r w:rsidRPr="00CF1B00">
              <w:t>0</w:t>
            </w:r>
          </w:p>
        </w:tc>
        <w:tc>
          <w:tcPr>
            <w:tcW w:w="698" w:type="pct"/>
            <w:vAlign w:val="center"/>
          </w:tcPr>
          <w:p w:rsidR="00352806" w:rsidRPr="00CF1B00" w:rsidRDefault="00352806" w:rsidP="00B96B01">
            <w:pPr>
              <w:pStyle w:val="naisf"/>
              <w:spacing w:before="0" w:after="0"/>
              <w:ind w:firstLine="0"/>
              <w:jc w:val="center"/>
            </w:pPr>
            <w:r w:rsidRPr="00CF1B00">
              <w:t>0</w:t>
            </w:r>
          </w:p>
        </w:tc>
        <w:tc>
          <w:tcPr>
            <w:tcW w:w="698" w:type="pct"/>
            <w:vAlign w:val="center"/>
          </w:tcPr>
          <w:p w:rsidR="00352806" w:rsidRPr="00CF1B00" w:rsidRDefault="00352806" w:rsidP="00B96B01">
            <w:pPr>
              <w:pStyle w:val="naisf"/>
              <w:spacing w:before="0" w:after="0"/>
              <w:ind w:firstLine="0"/>
              <w:jc w:val="center"/>
            </w:pPr>
            <w:r w:rsidRPr="00CF1B00">
              <w:t>0</w:t>
            </w:r>
          </w:p>
        </w:tc>
        <w:tc>
          <w:tcPr>
            <w:tcW w:w="698" w:type="pct"/>
            <w:vAlign w:val="center"/>
          </w:tcPr>
          <w:p w:rsidR="00352806" w:rsidRPr="00CF1B00" w:rsidRDefault="00352806" w:rsidP="004F7EAD">
            <w:pPr>
              <w:pStyle w:val="naisf"/>
              <w:spacing w:before="0" w:after="0"/>
              <w:ind w:firstLine="0"/>
              <w:jc w:val="center"/>
            </w:pPr>
            <w:r w:rsidRPr="00CF1B00">
              <w:t>0</w:t>
            </w:r>
          </w:p>
        </w:tc>
        <w:tc>
          <w:tcPr>
            <w:tcW w:w="629" w:type="pct"/>
            <w:vAlign w:val="center"/>
          </w:tcPr>
          <w:p w:rsidR="00352806" w:rsidRPr="00CF1B00" w:rsidRDefault="00352806" w:rsidP="004F7EAD">
            <w:pPr>
              <w:pStyle w:val="naisf"/>
              <w:spacing w:before="0" w:after="0"/>
              <w:ind w:firstLine="0"/>
              <w:jc w:val="center"/>
            </w:pPr>
            <w:r w:rsidRPr="00CF1B00">
              <w:t>0</w:t>
            </w:r>
          </w:p>
        </w:tc>
      </w:tr>
      <w:tr w:rsidR="00352806" w:rsidRPr="00CF1B00" w:rsidTr="00BC1F8E">
        <w:trPr>
          <w:jc w:val="center"/>
        </w:trPr>
        <w:tc>
          <w:tcPr>
            <w:tcW w:w="1679" w:type="pct"/>
            <w:vMerge w:val="restart"/>
          </w:tcPr>
          <w:p w:rsidR="00352806" w:rsidRPr="00CF1B00" w:rsidRDefault="00352806" w:rsidP="004F7EAD">
            <w:pPr>
              <w:pStyle w:val="naiskr"/>
              <w:spacing w:before="0" w:after="0"/>
            </w:pPr>
            <w:r w:rsidRPr="00CF1B00">
              <w:t>4. Finanšu līdzekļi papildu izde</w:t>
            </w:r>
            <w:r w:rsidRPr="00CF1B00">
              <w:softHyphen/>
              <w:t>vumu finansēšanai (kompensējošu izdevumu samazinājumu norāda ar "+" zīmi)</w:t>
            </w:r>
          </w:p>
        </w:tc>
        <w:tc>
          <w:tcPr>
            <w:tcW w:w="598" w:type="pct"/>
            <w:vMerge w:val="restart"/>
            <w:vAlign w:val="center"/>
          </w:tcPr>
          <w:p w:rsidR="00352806" w:rsidRPr="00CF1B00" w:rsidRDefault="00352806" w:rsidP="004F7EAD">
            <w:pPr>
              <w:pStyle w:val="naisf"/>
              <w:spacing w:before="0" w:after="0"/>
              <w:ind w:firstLine="0"/>
              <w:jc w:val="center"/>
            </w:pPr>
            <w:r w:rsidRPr="00CF1B00">
              <w:t>X</w:t>
            </w:r>
          </w:p>
        </w:tc>
        <w:tc>
          <w:tcPr>
            <w:tcW w:w="698" w:type="pct"/>
            <w:vMerge w:val="restart"/>
            <w:vAlign w:val="center"/>
          </w:tcPr>
          <w:p w:rsidR="00352806" w:rsidRPr="00CF1B00" w:rsidRDefault="00352806" w:rsidP="00B96B01">
            <w:pPr>
              <w:pStyle w:val="naisf"/>
              <w:spacing w:before="0" w:after="0"/>
              <w:ind w:firstLine="0"/>
              <w:jc w:val="center"/>
            </w:pPr>
            <w:r w:rsidRPr="00CF1B00">
              <w:t>0</w:t>
            </w:r>
          </w:p>
        </w:tc>
        <w:tc>
          <w:tcPr>
            <w:tcW w:w="698" w:type="pct"/>
            <w:vAlign w:val="center"/>
          </w:tcPr>
          <w:p w:rsidR="00352806" w:rsidRPr="00CF1B00" w:rsidRDefault="00352806" w:rsidP="00B96B01">
            <w:pPr>
              <w:pStyle w:val="naisf"/>
              <w:spacing w:before="0" w:after="0"/>
              <w:ind w:firstLine="0"/>
              <w:jc w:val="center"/>
            </w:pPr>
            <w:r w:rsidRPr="00CF1B00">
              <w:t>0</w:t>
            </w:r>
          </w:p>
        </w:tc>
        <w:tc>
          <w:tcPr>
            <w:tcW w:w="698" w:type="pct"/>
            <w:vAlign w:val="center"/>
          </w:tcPr>
          <w:p w:rsidR="00352806" w:rsidRPr="00CF1B00" w:rsidRDefault="00352806" w:rsidP="004F7EAD">
            <w:pPr>
              <w:pStyle w:val="Header"/>
              <w:jc w:val="center"/>
              <w:rPr>
                <w:rFonts w:ascii="Times New Roman" w:hAnsi="Times New Roman"/>
                <w:sz w:val="24"/>
                <w:szCs w:val="24"/>
              </w:rPr>
            </w:pPr>
            <w:r w:rsidRPr="00CF1B00">
              <w:rPr>
                <w:rFonts w:ascii="Times New Roman" w:hAnsi="Times New Roman"/>
                <w:sz w:val="24"/>
                <w:szCs w:val="24"/>
              </w:rPr>
              <w:t>0</w:t>
            </w:r>
          </w:p>
        </w:tc>
        <w:tc>
          <w:tcPr>
            <w:tcW w:w="629" w:type="pct"/>
            <w:vAlign w:val="center"/>
          </w:tcPr>
          <w:p w:rsidR="00352806" w:rsidRPr="00CF1B00" w:rsidRDefault="00352806" w:rsidP="004F7EAD">
            <w:pPr>
              <w:pStyle w:val="Header"/>
              <w:jc w:val="center"/>
              <w:rPr>
                <w:rFonts w:ascii="Times New Roman" w:hAnsi="Times New Roman"/>
                <w:sz w:val="24"/>
                <w:szCs w:val="24"/>
              </w:rPr>
            </w:pPr>
            <w:r w:rsidRPr="00CF1B00">
              <w:rPr>
                <w:rFonts w:ascii="Times New Roman" w:hAnsi="Times New Roman"/>
                <w:sz w:val="24"/>
                <w:szCs w:val="24"/>
              </w:rPr>
              <w:t>0</w:t>
            </w:r>
          </w:p>
        </w:tc>
      </w:tr>
      <w:tr w:rsidR="00352806" w:rsidRPr="00CF1B00" w:rsidTr="00BC1F8E">
        <w:trPr>
          <w:jc w:val="center"/>
        </w:trPr>
        <w:tc>
          <w:tcPr>
            <w:tcW w:w="1679" w:type="pct"/>
            <w:vMerge/>
          </w:tcPr>
          <w:p w:rsidR="00352806" w:rsidRPr="00CF1B00" w:rsidRDefault="00352806" w:rsidP="004F7EAD">
            <w:pPr>
              <w:rPr>
                <w:rFonts w:ascii="Times New Roman" w:hAnsi="Times New Roman"/>
                <w:sz w:val="24"/>
                <w:szCs w:val="24"/>
              </w:rPr>
            </w:pPr>
          </w:p>
        </w:tc>
        <w:tc>
          <w:tcPr>
            <w:tcW w:w="598" w:type="pct"/>
            <w:vMerge/>
          </w:tcPr>
          <w:p w:rsidR="00352806" w:rsidRPr="00CF1B00" w:rsidRDefault="00352806" w:rsidP="004F7EAD">
            <w:pPr>
              <w:pStyle w:val="Header"/>
              <w:jc w:val="center"/>
              <w:rPr>
                <w:rFonts w:ascii="Times New Roman" w:hAnsi="Times New Roman"/>
                <w:sz w:val="24"/>
                <w:szCs w:val="24"/>
              </w:rPr>
            </w:pPr>
          </w:p>
        </w:tc>
        <w:tc>
          <w:tcPr>
            <w:tcW w:w="698" w:type="pct"/>
            <w:vMerge/>
            <w:vAlign w:val="center"/>
          </w:tcPr>
          <w:p w:rsidR="00352806" w:rsidRPr="00CF1B00" w:rsidRDefault="00352806" w:rsidP="00B96B01">
            <w:pPr>
              <w:pStyle w:val="naisf"/>
              <w:jc w:val="center"/>
            </w:pPr>
          </w:p>
        </w:tc>
        <w:tc>
          <w:tcPr>
            <w:tcW w:w="698" w:type="pct"/>
            <w:vAlign w:val="center"/>
          </w:tcPr>
          <w:p w:rsidR="00352806" w:rsidRPr="00CF1B00" w:rsidRDefault="00352806" w:rsidP="00B96B01">
            <w:pPr>
              <w:pStyle w:val="naisf"/>
              <w:spacing w:before="0" w:after="0"/>
              <w:ind w:firstLine="0"/>
              <w:jc w:val="center"/>
            </w:pPr>
            <w:r w:rsidRPr="00CF1B00">
              <w:t>0</w:t>
            </w:r>
          </w:p>
        </w:tc>
        <w:tc>
          <w:tcPr>
            <w:tcW w:w="698" w:type="pct"/>
            <w:vAlign w:val="center"/>
          </w:tcPr>
          <w:p w:rsidR="00352806" w:rsidRPr="00CF1B00" w:rsidRDefault="00352806" w:rsidP="004F7EAD">
            <w:pPr>
              <w:pStyle w:val="Header"/>
              <w:jc w:val="center"/>
              <w:rPr>
                <w:rFonts w:ascii="Times New Roman" w:hAnsi="Times New Roman"/>
                <w:sz w:val="24"/>
                <w:szCs w:val="24"/>
              </w:rPr>
            </w:pPr>
            <w:r w:rsidRPr="00CF1B00">
              <w:rPr>
                <w:rFonts w:ascii="Times New Roman" w:hAnsi="Times New Roman"/>
                <w:sz w:val="24"/>
                <w:szCs w:val="24"/>
              </w:rPr>
              <w:t>0</w:t>
            </w:r>
          </w:p>
        </w:tc>
        <w:tc>
          <w:tcPr>
            <w:tcW w:w="629" w:type="pct"/>
            <w:vAlign w:val="center"/>
          </w:tcPr>
          <w:p w:rsidR="00352806" w:rsidRPr="00CF1B00" w:rsidRDefault="00352806" w:rsidP="004F7EAD">
            <w:pPr>
              <w:pStyle w:val="Header"/>
              <w:jc w:val="center"/>
              <w:rPr>
                <w:rFonts w:ascii="Times New Roman" w:hAnsi="Times New Roman"/>
                <w:sz w:val="24"/>
                <w:szCs w:val="24"/>
              </w:rPr>
            </w:pPr>
            <w:r w:rsidRPr="00CF1B00">
              <w:rPr>
                <w:rFonts w:ascii="Times New Roman" w:hAnsi="Times New Roman"/>
                <w:sz w:val="24"/>
                <w:szCs w:val="24"/>
              </w:rPr>
              <w:t>0</w:t>
            </w:r>
          </w:p>
        </w:tc>
      </w:tr>
      <w:tr w:rsidR="00352806" w:rsidRPr="00CF1B00" w:rsidTr="00BC1F8E">
        <w:trPr>
          <w:jc w:val="center"/>
        </w:trPr>
        <w:tc>
          <w:tcPr>
            <w:tcW w:w="1679" w:type="pct"/>
            <w:vMerge/>
          </w:tcPr>
          <w:p w:rsidR="00352806" w:rsidRPr="00CF1B00" w:rsidRDefault="00352806" w:rsidP="004F7EAD">
            <w:pPr>
              <w:rPr>
                <w:rFonts w:ascii="Times New Roman" w:hAnsi="Times New Roman"/>
                <w:sz w:val="24"/>
                <w:szCs w:val="24"/>
              </w:rPr>
            </w:pPr>
          </w:p>
        </w:tc>
        <w:tc>
          <w:tcPr>
            <w:tcW w:w="598" w:type="pct"/>
            <w:vMerge/>
          </w:tcPr>
          <w:p w:rsidR="00352806" w:rsidRPr="00CF1B00" w:rsidRDefault="00352806" w:rsidP="004F7EAD">
            <w:pPr>
              <w:pStyle w:val="Header"/>
              <w:jc w:val="center"/>
              <w:rPr>
                <w:rFonts w:ascii="Times New Roman" w:hAnsi="Times New Roman"/>
                <w:sz w:val="24"/>
                <w:szCs w:val="24"/>
              </w:rPr>
            </w:pPr>
          </w:p>
        </w:tc>
        <w:tc>
          <w:tcPr>
            <w:tcW w:w="698" w:type="pct"/>
            <w:vMerge/>
            <w:vAlign w:val="center"/>
          </w:tcPr>
          <w:p w:rsidR="00352806" w:rsidRPr="00CF1B00" w:rsidRDefault="00352806" w:rsidP="00B96B01">
            <w:pPr>
              <w:pStyle w:val="naisf"/>
              <w:spacing w:before="0" w:after="0"/>
              <w:ind w:firstLine="0"/>
              <w:jc w:val="center"/>
            </w:pPr>
          </w:p>
        </w:tc>
        <w:tc>
          <w:tcPr>
            <w:tcW w:w="698" w:type="pct"/>
            <w:vAlign w:val="center"/>
          </w:tcPr>
          <w:p w:rsidR="00352806" w:rsidRPr="00CF1B00" w:rsidRDefault="00352806" w:rsidP="00B96B01">
            <w:pPr>
              <w:pStyle w:val="naislab"/>
              <w:spacing w:before="0" w:after="0"/>
              <w:jc w:val="center"/>
            </w:pPr>
            <w:r w:rsidRPr="00CF1B00">
              <w:t>0</w:t>
            </w:r>
          </w:p>
        </w:tc>
        <w:tc>
          <w:tcPr>
            <w:tcW w:w="698" w:type="pct"/>
            <w:vAlign w:val="center"/>
          </w:tcPr>
          <w:p w:rsidR="00352806" w:rsidRPr="00CF1B00" w:rsidRDefault="00352806" w:rsidP="004F7EAD">
            <w:pPr>
              <w:pStyle w:val="Header"/>
              <w:jc w:val="center"/>
              <w:rPr>
                <w:rFonts w:ascii="Times New Roman" w:hAnsi="Times New Roman"/>
                <w:sz w:val="24"/>
                <w:szCs w:val="24"/>
              </w:rPr>
            </w:pPr>
            <w:r w:rsidRPr="00CF1B00">
              <w:rPr>
                <w:rFonts w:ascii="Times New Roman" w:hAnsi="Times New Roman"/>
                <w:sz w:val="24"/>
                <w:szCs w:val="24"/>
              </w:rPr>
              <w:t>0</w:t>
            </w:r>
          </w:p>
        </w:tc>
        <w:tc>
          <w:tcPr>
            <w:tcW w:w="629" w:type="pct"/>
            <w:vAlign w:val="center"/>
          </w:tcPr>
          <w:p w:rsidR="00352806" w:rsidRPr="00CF1B00" w:rsidRDefault="00352806" w:rsidP="004F7EAD">
            <w:pPr>
              <w:pStyle w:val="Header"/>
              <w:jc w:val="center"/>
              <w:rPr>
                <w:rFonts w:ascii="Times New Roman" w:hAnsi="Times New Roman"/>
                <w:sz w:val="24"/>
                <w:szCs w:val="24"/>
              </w:rPr>
            </w:pPr>
            <w:r w:rsidRPr="00CF1B00">
              <w:rPr>
                <w:rFonts w:ascii="Times New Roman" w:hAnsi="Times New Roman"/>
                <w:sz w:val="24"/>
                <w:szCs w:val="24"/>
              </w:rPr>
              <w:t>0</w:t>
            </w:r>
          </w:p>
        </w:tc>
      </w:tr>
      <w:tr w:rsidR="0008310A" w:rsidRPr="00CF1B00" w:rsidTr="00BC1F8E">
        <w:trPr>
          <w:jc w:val="center"/>
        </w:trPr>
        <w:tc>
          <w:tcPr>
            <w:tcW w:w="1679" w:type="pct"/>
          </w:tcPr>
          <w:p w:rsidR="0008310A" w:rsidRPr="00CF1B00" w:rsidRDefault="0008310A" w:rsidP="004F7EAD">
            <w:pPr>
              <w:pStyle w:val="naiskr"/>
              <w:spacing w:before="0" w:after="0"/>
            </w:pPr>
            <w:r w:rsidRPr="00CF1B00">
              <w:t>5. Precizēta finansiālā ietekme:</w:t>
            </w:r>
          </w:p>
        </w:tc>
        <w:tc>
          <w:tcPr>
            <w:tcW w:w="598" w:type="pct"/>
            <w:vMerge w:val="restart"/>
            <w:vAlign w:val="center"/>
          </w:tcPr>
          <w:p w:rsidR="0008310A" w:rsidRPr="00CF1B00" w:rsidRDefault="0008310A" w:rsidP="004F7EAD">
            <w:pPr>
              <w:pStyle w:val="Header"/>
              <w:jc w:val="center"/>
              <w:rPr>
                <w:rFonts w:ascii="Times New Roman" w:hAnsi="Times New Roman"/>
                <w:sz w:val="24"/>
                <w:szCs w:val="24"/>
              </w:rPr>
            </w:pPr>
            <w:r w:rsidRPr="00CF1B00">
              <w:rPr>
                <w:rFonts w:ascii="Times New Roman" w:hAnsi="Times New Roman"/>
                <w:sz w:val="24"/>
                <w:szCs w:val="24"/>
              </w:rPr>
              <w:t>X</w:t>
            </w:r>
          </w:p>
        </w:tc>
        <w:tc>
          <w:tcPr>
            <w:tcW w:w="698" w:type="pct"/>
            <w:vAlign w:val="center"/>
          </w:tcPr>
          <w:p w:rsidR="0008310A" w:rsidRPr="00CF1B00" w:rsidRDefault="003D0711" w:rsidP="00A02CDC">
            <w:pPr>
              <w:pStyle w:val="naisf"/>
              <w:spacing w:before="0" w:after="0"/>
              <w:ind w:firstLine="0"/>
              <w:jc w:val="center"/>
            </w:pPr>
            <w:r w:rsidRPr="00CF1B00">
              <w:t>471 723</w:t>
            </w:r>
          </w:p>
        </w:tc>
        <w:tc>
          <w:tcPr>
            <w:tcW w:w="698" w:type="pct"/>
            <w:vAlign w:val="center"/>
          </w:tcPr>
          <w:p w:rsidR="0008310A" w:rsidRPr="00CF1B00" w:rsidRDefault="0008310A" w:rsidP="00B96B01">
            <w:pPr>
              <w:pStyle w:val="naisf"/>
              <w:spacing w:before="0" w:after="0"/>
              <w:ind w:firstLine="0"/>
              <w:jc w:val="center"/>
            </w:pPr>
            <w:r w:rsidRPr="00CF1B00">
              <w:t xml:space="preserve">- </w:t>
            </w:r>
            <w:r w:rsidR="003D0711" w:rsidRPr="00CF1B00">
              <w:t>1 636 333</w:t>
            </w:r>
          </w:p>
        </w:tc>
        <w:tc>
          <w:tcPr>
            <w:tcW w:w="698" w:type="pct"/>
            <w:vAlign w:val="center"/>
          </w:tcPr>
          <w:p w:rsidR="0008310A" w:rsidRPr="00CF1B00" w:rsidRDefault="0008310A" w:rsidP="004F7EAD">
            <w:pPr>
              <w:pStyle w:val="naisf"/>
              <w:spacing w:before="0" w:after="0"/>
              <w:ind w:firstLine="0"/>
              <w:jc w:val="center"/>
            </w:pPr>
            <w:r w:rsidRPr="00CF1B00">
              <w:t>0</w:t>
            </w:r>
          </w:p>
        </w:tc>
        <w:tc>
          <w:tcPr>
            <w:tcW w:w="629" w:type="pct"/>
            <w:vAlign w:val="center"/>
          </w:tcPr>
          <w:p w:rsidR="0008310A" w:rsidRPr="00CF1B00" w:rsidRDefault="0008310A" w:rsidP="004F7EAD">
            <w:pPr>
              <w:pStyle w:val="naisf"/>
              <w:spacing w:before="0" w:after="0"/>
              <w:ind w:firstLine="0"/>
              <w:jc w:val="center"/>
            </w:pPr>
            <w:r w:rsidRPr="00CF1B00">
              <w:t>0</w:t>
            </w:r>
          </w:p>
        </w:tc>
      </w:tr>
      <w:tr w:rsidR="0008310A" w:rsidRPr="00CF1B00" w:rsidTr="00BC1F8E">
        <w:trPr>
          <w:jc w:val="center"/>
        </w:trPr>
        <w:tc>
          <w:tcPr>
            <w:tcW w:w="1679" w:type="pct"/>
          </w:tcPr>
          <w:p w:rsidR="0008310A" w:rsidRPr="00CF1B00" w:rsidRDefault="0008310A" w:rsidP="004F7EAD">
            <w:pPr>
              <w:pStyle w:val="naiskr"/>
              <w:spacing w:before="0" w:after="0"/>
            </w:pPr>
            <w:r w:rsidRPr="00CF1B00">
              <w:t>5.1. valsts pamatbudžets</w:t>
            </w:r>
          </w:p>
        </w:tc>
        <w:tc>
          <w:tcPr>
            <w:tcW w:w="598" w:type="pct"/>
            <w:vMerge/>
            <w:vAlign w:val="center"/>
          </w:tcPr>
          <w:p w:rsidR="0008310A" w:rsidRPr="00CF1B00" w:rsidRDefault="0008310A" w:rsidP="004F7EAD">
            <w:pPr>
              <w:pStyle w:val="naisf"/>
              <w:spacing w:before="0" w:after="0"/>
              <w:ind w:firstLine="0"/>
              <w:jc w:val="center"/>
            </w:pPr>
          </w:p>
        </w:tc>
        <w:tc>
          <w:tcPr>
            <w:tcW w:w="698" w:type="pct"/>
            <w:vAlign w:val="center"/>
          </w:tcPr>
          <w:p w:rsidR="0008310A" w:rsidRPr="00CF1B00" w:rsidRDefault="003D0711" w:rsidP="00A02CDC">
            <w:pPr>
              <w:pStyle w:val="naisf"/>
              <w:spacing w:before="0" w:after="0"/>
              <w:ind w:firstLine="0"/>
              <w:jc w:val="center"/>
            </w:pPr>
            <w:r w:rsidRPr="00CF1B00">
              <w:t>471 723</w:t>
            </w:r>
          </w:p>
        </w:tc>
        <w:tc>
          <w:tcPr>
            <w:tcW w:w="698" w:type="pct"/>
            <w:vAlign w:val="center"/>
          </w:tcPr>
          <w:p w:rsidR="0008310A" w:rsidRPr="00CF1B00" w:rsidRDefault="0008310A" w:rsidP="00B96B01">
            <w:pPr>
              <w:pStyle w:val="naisf"/>
              <w:spacing w:before="0" w:after="0"/>
              <w:ind w:firstLine="0"/>
              <w:jc w:val="center"/>
            </w:pPr>
            <w:r w:rsidRPr="00CF1B00">
              <w:t xml:space="preserve">- </w:t>
            </w:r>
            <w:r w:rsidR="003D0711" w:rsidRPr="00CF1B00">
              <w:t>1 636 333</w:t>
            </w:r>
          </w:p>
        </w:tc>
        <w:tc>
          <w:tcPr>
            <w:tcW w:w="698" w:type="pct"/>
            <w:vAlign w:val="center"/>
          </w:tcPr>
          <w:p w:rsidR="0008310A" w:rsidRPr="00CF1B00" w:rsidRDefault="0008310A" w:rsidP="004F7EAD">
            <w:pPr>
              <w:pStyle w:val="naisf"/>
              <w:spacing w:before="0" w:after="0"/>
              <w:ind w:firstLine="0"/>
              <w:jc w:val="center"/>
            </w:pPr>
            <w:r w:rsidRPr="00CF1B00">
              <w:t>0</w:t>
            </w:r>
          </w:p>
        </w:tc>
        <w:tc>
          <w:tcPr>
            <w:tcW w:w="629" w:type="pct"/>
            <w:vAlign w:val="center"/>
          </w:tcPr>
          <w:p w:rsidR="0008310A" w:rsidRPr="00CF1B00" w:rsidRDefault="0008310A" w:rsidP="004F7EAD">
            <w:pPr>
              <w:pStyle w:val="naisf"/>
              <w:spacing w:before="0" w:after="0"/>
              <w:ind w:firstLine="0"/>
              <w:jc w:val="center"/>
            </w:pPr>
            <w:r w:rsidRPr="00CF1B00">
              <w:t>0</w:t>
            </w:r>
          </w:p>
        </w:tc>
      </w:tr>
      <w:tr w:rsidR="00352806" w:rsidRPr="00CF1B00" w:rsidTr="00BC1F8E">
        <w:trPr>
          <w:jc w:val="center"/>
        </w:trPr>
        <w:tc>
          <w:tcPr>
            <w:tcW w:w="1679" w:type="pct"/>
          </w:tcPr>
          <w:p w:rsidR="00352806" w:rsidRPr="00CF1B00" w:rsidRDefault="00352806" w:rsidP="004F7EAD">
            <w:pPr>
              <w:pStyle w:val="naiskr"/>
              <w:spacing w:before="0" w:after="0"/>
            </w:pPr>
            <w:r w:rsidRPr="00CF1B00">
              <w:t>5.2. speciālais budžets</w:t>
            </w:r>
          </w:p>
        </w:tc>
        <w:tc>
          <w:tcPr>
            <w:tcW w:w="598" w:type="pct"/>
            <w:vMerge/>
            <w:vAlign w:val="center"/>
          </w:tcPr>
          <w:p w:rsidR="00352806" w:rsidRPr="00CF1B00" w:rsidRDefault="00352806" w:rsidP="004F7EAD">
            <w:pPr>
              <w:pStyle w:val="naisf"/>
              <w:spacing w:before="0" w:after="0"/>
              <w:ind w:firstLine="0"/>
              <w:jc w:val="center"/>
            </w:pPr>
          </w:p>
        </w:tc>
        <w:tc>
          <w:tcPr>
            <w:tcW w:w="698" w:type="pct"/>
            <w:vAlign w:val="center"/>
          </w:tcPr>
          <w:p w:rsidR="00352806" w:rsidRPr="00CF1B00" w:rsidRDefault="00352806" w:rsidP="00B96B01">
            <w:pPr>
              <w:pStyle w:val="naisf"/>
              <w:spacing w:before="0" w:after="0"/>
              <w:ind w:firstLine="0"/>
              <w:jc w:val="center"/>
              <w:rPr>
                <w:b/>
              </w:rPr>
            </w:pPr>
            <w:r w:rsidRPr="00CF1B00">
              <w:t>0</w:t>
            </w:r>
          </w:p>
        </w:tc>
        <w:tc>
          <w:tcPr>
            <w:tcW w:w="698" w:type="pct"/>
            <w:vAlign w:val="center"/>
          </w:tcPr>
          <w:p w:rsidR="00352806" w:rsidRPr="00CF1B00" w:rsidRDefault="00352806" w:rsidP="00B96B01">
            <w:pPr>
              <w:pStyle w:val="naisf"/>
              <w:spacing w:before="0" w:after="0"/>
              <w:ind w:firstLine="0"/>
              <w:jc w:val="center"/>
              <w:rPr>
                <w:b/>
              </w:rPr>
            </w:pPr>
            <w:r w:rsidRPr="00CF1B00">
              <w:t>0</w:t>
            </w:r>
          </w:p>
        </w:tc>
        <w:tc>
          <w:tcPr>
            <w:tcW w:w="698" w:type="pct"/>
            <w:vAlign w:val="center"/>
          </w:tcPr>
          <w:p w:rsidR="00352806" w:rsidRPr="00CF1B00" w:rsidRDefault="00352806" w:rsidP="004F7EAD">
            <w:pPr>
              <w:pStyle w:val="naisf"/>
              <w:spacing w:before="0" w:after="0"/>
              <w:ind w:firstLine="0"/>
              <w:jc w:val="center"/>
              <w:rPr>
                <w:b/>
              </w:rPr>
            </w:pPr>
            <w:r w:rsidRPr="00CF1B00">
              <w:t>0</w:t>
            </w:r>
          </w:p>
        </w:tc>
        <w:tc>
          <w:tcPr>
            <w:tcW w:w="629" w:type="pct"/>
            <w:vAlign w:val="center"/>
          </w:tcPr>
          <w:p w:rsidR="00352806" w:rsidRPr="00CF1B00" w:rsidRDefault="00352806" w:rsidP="004F7EAD">
            <w:pPr>
              <w:pStyle w:val="naisf"/>
              <w:spacing w:before="0" w:after="0"/>
              <w:ind w:firstLine="0"/>
              <w:jc w:val="center"/>
              <w:rPr>
                <w:b/>
              </w:rPr>
            </w:pPr>
            <w:r w:rsidRPr="00CF1B00">
              <w:t>0</w:t>
            </w:r>
          </w:p>
        </w:tc>
      </w:tr>
      <w:tr w:rsidR="00973D4C" w:rsidRPr="00CF1B00" w:rsidTr="00BC1F8E">
        <w:trPr>
          <w:jc w:val="center"/>
        </w:trPr>
        <w:tc>
          <w:tcPr>
            <w:tcW w:w="1679" w:type="pct"/>
          </w:tcPr>
          <w:p w:rsidR="00973D4C" w:rsidRPr="00CF1B00" w:rsidRDefault="00973D4C" w:rsidP="004F7EAD">
            <w:pPr>
              <w:pStyle w:val="naiskr"/>
              <w:spacing w:before="0" w:after="0"/>
            </w:pPr>
            <w:r w:rsidRPr="00CF1B00">
              <w:t xml:space="preserve">5.3. pašvaldību budžets </w:t>
            </w:r>
          </w:p>
        </w:tc>
        <w:tc>
          <w:tcPr>
            <w:tcW w:w="598" w:type="pct"/>
            <w:vMerge/>
            <w:vAlign w:val="center"/>
          </w:tcPr>
          <w:p w:rsidR="00973D4C" w:rsidRPr="00CF1B00" w:rsidRDefault="00973D4C" w:rsidP="004F7EAD">
            <w:pPr>
              <w:pStyle w:val="naisf"/>
              <w:spacing w:before="0" w:after="0"/>
              <w:ind w:firstLine="0"/>
              <w:jc w:val="center"/>
            </w:pPr>
          </w:p>
        </w:tc>
        <w:tc>
          <w:tcPr>
            <w:tcW w:w="698" w:type="pct"/>
            <w:vAlign w:val="center"/>
          </w:tcPr>
          <w:p w:rsidR="00973D4C" w:rsidRPr="00CF1B00" w:rsidRDefault="00973D4C" w:rsidP="004F7EAD">
            <w:pPr>
              <w:pStyle w:val="naisf"/>
              <w:spacing w:before="0" w:after="0"/>
              <w:ind w:firstLine="0"/>
              <w:jc w:val="center"/>
              <w:rPr>
                <w:b/>
              </w:rPr>
            </w:pPr>
            <w:r w:rsidRPr="00CF1B00">
              <w:t>0</w:t>
            </w:r>
          </w:p>
        </w:tc>
        <w:tc>
          <w:tcPr>
            <w:tcW w:w="698" w:type="pct"/>
            <w:vAlign w:val="center"/>
          </w:tcPr>
          <w:p w:rsidR="00973D4C" w:rsidRPr="00CF1B00" w:rsidRDefault="00973D4C" w:rsidP="004F7EAD">
            <w:pPr>
              <w:pStyle w:val="naisf"/>
              <w:spacing w:before="0" w:after="0"/>
              <w:ind w:firstLine="0"/>
              <w:jc w:val="center"/>
              <w:rPr>
                <w:b/>
              </w:rPr>
            </w:pPr>
            <w:r w:rsidRPr="00CF1B00">
              <w:t>0</w:t>
            </w:r>
          </w:p>
        </w:tc>
        <w:tc>
          <w:tcPr>
            <w:tcW w:w="698" w:type="pct"/>
            <w:vAlign w:val="center"/>
          </w:tcPr>
          <w:p w:rsidR="00973D4C" w:rsidRPr="00CF1B00" w:rsidRDefault="00973D4C" w:rsidP="004F7EAD">
            <w:pPr>
              <w:pStyle w:val="naisf"/>
              <w:spacing w:before="0" w:after="0"/>
              <w:ind w:firstLine="0"/>
              <w:jc w:val="center"/>
              <w:rPr>
                <w:b/>
              </w:rPr>
            </w:pPr>
            <w:r w:rsidRPr="00CF1B00">
              <w:t>0</w:t>
            </w:r>
          </w:p>
        </w:tc>
        <w:tc>
          <w:tcPr>
            <w:tcW w:w="629" w:type="pct"/>
            <w:vAlign w:val="center"/>
          </w:tcPr>
          <w:p w:rsidR="00973D4C" w:rsidRPr="00CF1B00" w:rsidRDefault="00973D4C" w:rsidP="004F7EAD">
            <w:pPr>
              <w:pStyle w:val="naisf"/>
              <w:spacing w:before="0" w:after="0"/>
              <w:ind w:firstLine="0"/>
              <w:jc w:val="center"/>
              <w:rPr>
                <w:b/>
              </w:rPr>
            </w:pPr>
            <w:r w:rsidRPr="00CF1B00">
              <w:t>0</w:t>
            </w:r>
          </w:p>
        </w:tc>
      </w:tr>
      <w:tr w:rsidR="00973D4C" w:rsidRPr="00CF1B00" w:rsidTr="00BC1F8E">
        <w:trPr>
          <w:jc w:val="center"/>
        </w:trPr>
        <w:tc>
          <w:tcPr>
            <w:tcW w:w="1679" w:type="pct"/>
          </w:tcPr>
          <w:p w:rsidR="00973D4C" w:rsidRPr="00CF1B00" w:rsidRDefault="00973D4C" w:rsidP="004F7EAD">
            <w:pPr>
              <w:pStyle w:val="naiskr"/>
              <w:spacing w:before="0" w:after="0"/>
            </w:pPr>
            <w:r w:rsidRPr="00CF1B00">
              <w:t>6. Detalizēts ieņēmumu un izdevu</w:t>
            </w:r>
            <w:r w:rsidRPr="00CF1B00">
              <w:softHyphen/>
              <w:t xml:space="preserve">mu aprēķins (ja </w:t>
            </w:r>
            <w:r w:rsidRPr="00CF1B00">
              <w:lastRenderedPageBreak/>
              <w:t>nepieciešams, detalizētu ieņēmumu un izdevumu aprēķinu var pievienot anotācijas pielikumā):</w:t>
            </w:r>
          </w:p>
        </w:tc>
        <w:tc>
          <w:tcPr>
            <w:tcW w:w="3321" w:type="pct"/>
            <w:gridSpan w:val="5"/>
            <w:vMerge w:val="restart"/>
          </w:tcPr>
          <w:p w:rsidR="00C312BD" w:rsidRPr="00CF1B00" w:rsidRDefault="007E718A" w:rsidP="004F7EAD">
            <w:pPr>
              <w:spacing w:after="120" w:line="240" w:lineRule="auto"/>
              <w:jc w:val="both"/>
              <w:rPr>
                <w:rFonts w:ascii="Times New Roman" w:hAnsi="Times New Roman"/>
                <w:color w:val="FF0000"/>
                <w:sz w:val="24"/>
                <w:szCs w:val="24"/>
              </w:rPr>
            </w:pPr>
            <w:r w:rsidRPr="00CF1B00">
              <w:rPr>
                <w:rFonts w:ascii="Times New Roman" w:hAnsi="Times New Roman"/>
                <w:sz w:val="24"/>
                <w:szCs w:val="24"/>
              </w:rPr>
              <w:lastRenderedPageBreak/>
              <w:t xml:space="preserve">Informācija par precizētajiem izdevumiem </w:t>
            </w:r>
            <w:r w:rsidR="003D0711" w:rsidRPr="00CF1B00">
              <w:rPr>
                <w:rFonts w:ascii="Times New Roman" w:hAnsi="Times New Roman"/>
                <w:sz w:val="24"/>
                <w:szCs w:val="24"/>
              </w:rPr>
              <w:t xml:space="preserve">pa gadiem </w:t>
            </w:r>
            <w:r w:rsidR="00352806" w:rsidRPr="00CF1B00">
              <w:rPr>
                <w:rFonts w:ascii="Times New Roman" w:hAnsi="Times New Roman"/>
                <w:sz w:val="24"/>
                <w:szCs w:val="24"/>
              </w:rPr>
              <w:t xml:space="preserve">skatīt </w:t>
            </w:r>
            <w:r w:rsidR="00352806" w:rsidRPr="00CF1B00">
              <w:rPr>
                <w:rFonts w:ascii="Times New Roman" w:hAnsi="Times New Roman"/>
                <w:sz w:val="24"/>
                <w:szCs w:val="24"/>
              </w:rPr>
              <w:lastRenderedPageBreak/>
              <w:t>anotācijas pielikumā.</w:t>
            </w:r>
          </w:p>
          <w:p w:rsidR="007E718A" w:rsidRPr="00CF1B00" w:rsidRDefault="00352806" w:rsidP="004F7EAD">
            <w:pPr>
              <w:spacing w:after="0" w:line="240" w:lineRule="auto"/>
              <w:jc w:val="both"/>
              <w:rPr>
                <w:rFonts w:ascii="Times New Roman" w:hAnsi="Times New Roman"/>
                <w:bCs/>
                <w:sz w:val="24"/>
                <w:szCs w:val="24"/>
                <w:lang w:eastAsia="lv-LV"/>
              </w:rPr>
            </w:pPr>
            <w:r w:rsidRPr="00CF1B00">
              <w:rPr>
                <w:rFonts w:ascii="Times New Roman" w:hAnsi="Times New Roman"/>
                <w:bCs/>
                <w:sz w:val="24"/>
                <w:szCs w:val="24"/>
                <w:lang w:eastAsia="lv-LV"/>
              </w:rPr>
              <w:t> </w:t>
            </w:r>
          </w:p>
        </w:tc>
      </w:tr>
      <w:tr w:rsidR="00973D4C" w:rsidRPr="00CF1B00" w:rsidTr="00BC1F8E">
        <w:trPr>
          <w:jc w:val="center"/>
        </w:trPr>
        <w:tc>
          <w:tcPr>
            <w:tcW w:w="1679" w:type="pct"/>
          </w:tcPr>
          <w:p w:rsidR="00973D4C" w:rsidRPr="00CF1B00" w:rsidRDefault="00973D4C" w:rsidP="004F7EAD">
            <w:pPr>
              <w:pStyle w:val="naiskr"/>
              <w:spacing w:before="0" w:after="0"/>
            </w:pPr>
            <w:r w:rsidRPr="00CF1B00">
              <w:lastRenderedPageBreak/>
              <w:t>6.1. detalizēts ieņēmumu aprēķins</w:t>
            </w:r>
          </w:p>
        </w:tc>
        <w:tc>
          <w:tcPr>
            <w:tcW w:w="3321" w:type="pct"/>
            <w:gridSpan w:val="5"/>
            <w:vMerge/>
          </w:tcPr>
          <w:p w:rsidR="00973D4C" w:rsidRPr="00CF1B00" w:rsidRDefault="00973D4C" w:rsidP="004F7EAD">
            <w:pPr>
              <w:pStyle w:val="naisf"/>
              <w:spacing w:before="0" w:after="0"/>
              <w:ind w:firstLine="0"/>
              <w:rPr>
                <w:b/>
              </w:rPr>
            </w:pPr>
          </w:p>
        </w:tc>
      </w:tr>
      <w:tr w:rsidR="00973D4C" w:rsidRPr="00CF1B00" w:rsidTr="00BC1F8E">
        <w:trPr>
          <w:jc w:val="center"/>
        </w:trPr>
        <w:tc>
          <w:tcPr>
            <w:tcW w:w="1679" w:type="pct"/>
          </w:tcPr>
          <w:p w:rsidR="00973D4C" w:rsidRPr="00CF1B00" w:rsidRDefault="00973D4C" w:rsidP="004F7EAD">
            <w:pPr>
              <w:pStyle w:val="naiskr"/>
              <w:spacing w:before="0" w:after="0"/>
            </w:pPr>
            <w:r w:rsidRPr="00CF1B00">
              <w:t>6.2. detalizēts izdevumu aprēķins</w:t>
            </w:r>
          </w:p>
        </w:tc>
        <w:tc>
          <w:tcPr>
            <w:tcW w:w="3321" w:type="pct"/>
            <w:gridSpan w:val="5"/>
            <w:vMerge/>
          </w:tcPr>
          <w:p w:rsidR="00973D4C" w:rsidRPr="00CF1B00" w:rsidRDefault="00973D4C" w:rsidP="004F7EAD">
            <w:pPr>
              <w:pStyle w:val="naisf"/>
              <w:spacing w:before="0" w:after="0"/>
              <w:ind w:firstLine="0"/>
              <w:rPr>
                <w:b/>
              </w:rPr>
            </w:pPr>
          </w:p>
        </w:tc>
      </w:tr>
      <w:tr w:rsidR="00973D4C" w:rsidRPr="00CF1B00" w:rsidTr="00BC1F8E">
        <w:trPr>
          <w:jc w:val="center"/>
        </w:trPr>
        <w:tc>
          <w:tcPr>
            <w:tcW w:w="1679" w:type="pct"/>
          </w:tcPr>
          <w:p w:rsidR="00973D4C" w:rsidRPr="00CF1B00" w:rsidRDefault="00973D4C" w:rsidP="004F7EAD">
            <w:pPr>
              <w:pStyle w:val="naiskr"/>
              <w:spacing w:before="0" w:after="0"/>
            </w:pPr>
            <w:r w:rsidRPr="00CF1B00">
              <w:t>7. Cita informācija</w:t>
            </w:r>
          </w:p>
        </w:tc>
        <w:tc>
          <w:tcPr>
            <w:tcW w:w="3321" w:type="pct"/>
            <w:gridSpan w:val="5"/>
          </w:tcPr>
          <w:p w:rsidR="00086DEB" w:rsidRPr="00CF1B00" w:rsidRDefault="00BE1D89" w:rsidP="004F7EAD">
            <w:pPr>
              <w:pStyle w:val="NormalWeb"/>
              <w:spacing w:before="0" w:after="0"/>
              <w:jc w:val="both"/>
            </w:pPr>
            <w:r w:rsidRPr="00CF1B00">
              <w:rPr>
                <w:bCs/>
              </w:rPr>
              <w:t xml:space="preserve">MK </w:t>
            </w:r>
            <w:r w:rsidR="00FE227F" w:rsidRPr="00CF1B00">
              <w:rPr>
                <w:bCs/>
              </w:rPr>
              <w:t>r</w:t>
            </w:r>
            <w:r w:rsidR="00FE227F" w:rsidRPr="00CF1B00">
              <w:t>īkojuma projekta ietvaros provizoriski aprēķinātais kapitālieguldījumu apmērs var tikt precizēts pēc būvniecības līguma noslēgšanas</w:t>
            </w:r>
            <w:r w:rsidR="00643E10" w:rsidRPr="00CF1B00">
              <w:t>, vai būvniecības darbu laikā</w:t>
            </w:r>
            <w:r w:rsidR="00FE227F" w:rsidRPr="00CF1B00">
              <w:t>.</w:t>
            </w:r>
          </w:p>
        </w:tc>
      </w:tr>
    </w:tbl>
    <w:p w:rsidR="00C94AB7" w:rsidRPr="00CF1B00" w:rsidRDefault="00C94AB7" w:rsidP="004F7EAD">
      <w:pPr>
        <w:pStyle w:val="naiskr"/>
        <w:spacing w:before="0" w:after="0"/>
        <w:rPr>
          <w:sz w:val="26"/>
          <w:szCs w:val="26"/>
        </w:rPr>
      </w:pPr>
    </w:p>
    <w:tbl>
      <w:tblPr>
        <w:tblW w:w="5147" w:type="pct"/>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86"/>
        <w:gridCol w:w="6569"/>
      </w:tblGrid>
      <w:tr w:rsidR="00CA7030" w:rsidRPr="00CF1B00" w:rsidTr="00BC1F8E">
        <w:trPr>
          <w:jc w:val="center"/>
        </w:trPr>
        <w:tc>
          <w:tcPr>
            <w:tcW w:w="5000" w:type="pct"/>
            <w:gridSpan w:val="2"/>
          </w:tcPr>
          <w:p w:rsidR="00CA7030" w:rsidRPr="00CF1B00" w:rsidRDefault="00CA7030" w:rsidP="004F7EAD">
            <w:pPr>
              <w:pStyle w:val="naiskr"/>
              <w:spacing w:before="0" w:after="0"/>
              <w:jc w:val="center"/>
              <w:rPr>
                <w:b/>
              </w:rPr>
            </w:pPr>
            <w:r w:rsidRPr="00CF1B00">
              <w:rPr>
                <w:b/>
              </w:rPr>
              <w:t>IV. Tiesību akta projekta ietekme uz spēkā esošo tiesību normu sistēmu</w:t>
            </w:r>
          </w:p>
        </w:tc>
      </w:tr>
      <w:tr w:rsidR="00CA7030" w:rsidRPr="00CF1B00" w:rsidTr="00BC1F8E">
        <w:trPr>
          <w:jc w:val="center"/>
        </w:trPr>
        <w:tc>
          <w:tcPr>
            <w:tcW w:w="1526" w:type="pct"/>
          </w:tcPr>
          <w:p w:rsidR="00CA7030" w:rsidRPr="00CF1B00" w:rsidRDefault="00CA7030" w:rsidP="004F7EAD">
            <w:pPr>
              <w:pStyle w:val="naiskr"/>
              <w:spacing w:before="0" w:after="0"/>
            </w:pPr>
            <w:r w:rsidRPr="00CF1B00">
              <w:t>Nepieciešamie saistītie tiesību aktu projekti</w:t>
            </w:r>
          </w:p>
        </w:tc>
        <w:tc>
          <w:tcPr>
            <w:tcW w:w="3474" w:type="pct"/>
          </w:tcPr>
          <w:p w:rsidR="009F1B57" w:rsidRPr="00CF1B00" w:rsidRDefault="009F1B57" w:rsidP="00B96B01">
            <w:pPr>
              <w:pStyle w:val="naiskr"/>
              <w:spacing w:before="0" w:after="0"/>
              <w:ind w:left="59" w:right="107"/>
              <w:jc w:val="both"/>
              <w:rPr>
                <w:bCs/>
              </w:rPr>
            </w:pPr>
            <w:r w:rsidRPr="00CF1B00">
              <w:rPr>
                <w:bCs/>
              </w:rPr>
              <w:t>Ņemot vērā šīs anotācijas I sadaļas 2.punktā minēto, MK rīkojuma projektu Ministru kabinetā jāizskata vienlaicīgi ar:</w:t>
            </w:r>
          </w:p>
          <w:p w:rsidR="009F1B57" w:rsidRPr="00CF1B00" w:rsidRDefault="009F1B57" w:rsidP="00B96B01">
            <w:pPr>
              <w:pStyle w:val="naiskr"/>
              <w:numPr>
                <w:ilvl w:val="0"/>
                <w:numId w:val="23"/>
              </w:numPr>
              <w:tabs>
                <w:tab w:val="left" w:pos="325"/>
              </w:tabs>
              <w:spacing w:before="0" w:after="0"/>
              <w:ind w:left="59" w:right="107" w:firstLine="0"/>
              <w:jc w:val="both"/>
              <w:rPr>
                <w:bCs/>
              </w:rPr>
            </w:pPr>
            <w:r w:rsidRPr="00CF1B00">
              <w:rPr>
                <w:bCs/>
              </w:rPr>
              <w:t>Ministru kabineta rīkojuma projekt</w:t>
            </w:r>
            <w:r w:rsidR="001C752F" w:rsidRPr="00CF1B00">
              <w:rPr>
                <w:bCs/>
              </w:rPr>
              <w:t>u</w:t>
            </w:r>
            <w:r w:rsidRPr="00CF1B00">
              <w:rPr>
                <w:bCs/>
              </w:rPr>
              <w:t xml:space="preserve"> „Grozījumi Ministru kabineta 2014.gada 3.novembra rīkojumā Nr.625  „Par finansējuma piešķiršanu Rīgas pils Priekšpils un Austrumu piebūves projekta izdevumu segšanai””;</w:t>
            </w:r>
          </w:p>
          <w:p w:rsidR="00365B9B" w:rsidRPr="00CF1B00" w:rsidRDefault="00E158EB" w:rsidP="00B96B01">
            <w:pPr>
              <w:pStyle w:val="naiskr"/>
              <w:numPr>
                <w:ilvl w:val="0"/>
                <w:numId w:val="23"/>
              </w:numPr>
              <w:tabs>
                <w:tab w:val="left" w:pos="325"/>
              </w:tabs>
              <w:spacing w:before="0" w:after="0"/>
              <w:ind w:left="59" w:right="107" w:firstLine="0"/>
              <w:jc w:val="both"/>
              <w:rPr>
                <w:bCs/>
              </w:rPr>
            </w:pPr>
            <w:r w:rsidRPr="00CF1B00">
              <w:rPr>
                <w:bCs/>
              </w:rPr>
              <w:t>Ministru kabineta rīkojuma projektu „Par Korupcijas novēršanas un apkarošanas biroja izvietošanu valsts nekustamajā īpašumā Citadeles ielā 1, Rīgā”</w:t>
            </w:r>
            <w:r w:rsidR="00365B9B" w:rsidRPr="00CF1B00">
              <w:rPr>
                <w:bCs/>
              </w:rPr>
              <w:t>;</w:t>
            </w:r>
          </w:p>
          <w:p w:rsidR="00365B9B" w:rsidRPr="00CF1B00" w:rsidRDefault="009F1B57" w:rsidP="00B96B01">
            <w:pPr>
              <w:pStyle w:val="naiskr"/>
              <w:numPr>
                <w:ilvl w:val="0"/>
                <w:numId w:val="23"/>
              </w:numPr>
              <w:tabs>
                <w:tab w:val="left" w:pos="325"/>
              </w:tabs>
              <w:spacing w:before="0" w:after="0"/>
              <w:ind w:left="59" w:right="107" w:firstLine="0"/>
              <w:jc w:val="both"/>
              <w:rPr>
                <w:bCs/>
              </w:rPr>
            </w:pPr>
            <w:r w:rsidRPr="00CF1B00">
              <w:rPr>
                <w:bCs/>
              </w:rPr>
              <w:t>Ministru kabineta rīkojuma projektu „Grozījumi Ministru kabineta 2014.gada 13.februāra rīkojumā Nr.70 „Par finansējuma piešķiršanu ēku Miera ielā 58A, Rīgā, būvniecības, nomas maksas, pārcelšanās un aprīkojuma iegādes izdevumu segšanai””</w:t>
            </w:r>
            <w:r w:rsidR="00365B9B" w:rsidRPr="00CF1B00">
              <w:rPr>
                <w:bCs/>
              </w:rPr>
              <w:t>.</w:t>
            </w:r>
          </w:p>
        </w:tc>
      </w:tr>
      <w:tr w:rsidR="00CA7030" w:rsidRPr="00CF1B00" w:rsidTr="00BC1F8E">
        <w:trPr>
          <w:jc w:val="center"/>
        </w:trPr>
        <w:tc>
          <w:tcPr>
            <w:tcW w:w="1526" w:type="pct"/>
          </w:tcPr>
          <w:p w:rsidR="00CA7030" w:rsidRPr="00CF1B00" w:rsidRDefault="00CA7030" w:rsidP="004F7EAD">
            <w:pPr>
              <w:pStyle w:val="naiskr"/>
              <w:spacing w:before="0" w:after="0"/>
            </w:pPr>
            <w:r w:rsidRPr="00CF1B00">
              <w:t>Atbildīgā institūcija</w:t>
            </w:r>
          </w:p>
        </w:tc>
        <w:tc>
          <w:tcPr>
            <w:tcW w:w="3474" w:type="pct"/>
          </w:tcPr>
          <w:p w:rsidR="00CA7030" w:rsidRPr="00CF1B00" w:rsidRDefault="00CA7030" w:rsidP="004F7EAD">
            <w:pPr>
              <w:pStyle w:val="naiskr"/>
              <w:spacing w:before="0" w:after="0"/>
            </w:pPr>
            <w:r w:rsidRPr="00CF1B00">
              <w:t>FM (VNĪ)</w:t>
            </w:r>
          </w:p>
        </w:tc>
      </w:tr>
      <w:tr w:rsidR="00CA7030" w:rsidRPr="00CF1B00" w:rsidTr="00BC1F8E">
        <w:trPr>
          <w:jc w:val="center"/>
        </w:trPr>
        <w:tc>
          <w:tcPr>
            <w:tcW w:w="1526" w:type="pct"/>
          </w:tcPr>
          <w:p w:rsidR="00CA7030" w:rsidRPr="00CF1B00" w:rsidRDefault="00CA7030" w:rsidP="004F7EAD">
            <w:pPr>
              <w:pStyle w:val="naiskr"/>
              <w:spacing w:before="0" w:after="0"/>
            </w:pPr>
            <w:r w:rsidRPr="00CF1B00">
              <w:t>Cita informācija</w:t>
            </w:r>
          </w:p>
        </w:tc>
        <w:tc>
          <w:tcPr>
            <w:tcW w:w="3474" w:type="pct"/>
          </w:tcPr>
          <w:p w:rsidR="00CA7030" w:rsidRPr="00CF1B00" w:rsidRDefault="00CA7030" w:rsidP="004F7EAD">
            <w:pPr>
              <w:pStyle w:val="naiskr"/>
              <w:spacing w:before="0" w:after="0"/>
            </w:pPr>
            <w:r w:rsidRPr="00CF1B00">
              <w:t>Nav.</w:t>
            </w:r>
          </w:p>
        </w:tc>
      </w:tr>
    </w:tbl>
    <w:p w:rsidR="00CA7030" w:rsidRPr="00CF1B00" w:rsidRDefault="00CA7030" w:rsidP="004F7EAD">
      <w:pPr>
        <w:pStyle w:val="naisf"/>
        <w:tabs>
          <w:tab w:val="left" w:pos="7993"/>
        </w:tabs>
        <w:spacing w:before="0" w:after="0"/>
        <w:ind w:firstLine="0"/>
        <w:rPr>
          <w:sz w:val="26"/>
          <w:szCs w:val="26"/>
        </w:rPr>
      </w:pPr>
    </w:p>
    <w:tbl>
      <w:tblPr>
        <w:tblW w:w="9422" w:type="dxa"/>
        <w:jc w:val="center"/>
        <w:tblInd w:w="-2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57" w:type="dxa"/>
          <w:bottom w:w="28" w:type="dxa"/>
          <w:right w:w="57" w:type="dxa"/>
        </w:tblCellMar>
        <w:tblLook w:val="0000" w:firstRow="0" w:lastRow="0" w:firstColumn="0" w:lastColumn="0" w:noHBand="0" w:noVBand="0"/>
      </w:tblPr>
      <w:tblGrid>
        <w:gridCol w:w="426"/>
        <w:gridCol w:w="4110"/>
        <w:gridCol w:w="4886"/>
      </w:tblGrid>
      <w:tr w:rsidR="00C94AB7" w:rsidRPr="00CF1B00" w:rsidTr="006E0B77">
        <w:trPr>
          <w:jc w:val="center"/>
        </w:trPr>
        <w:tc>
          <w:tcPr>
            <w:tcW w:w="9422" w:type="dxa"/>
            <w:gridSpan w:val="3"/>
          </w:tcPr>
          <w:p w:rsidR="00C94AB7" w:rsidRPr="00CF1B00" w:rsidRDefault="00C94AB7" w:rsidP="004F7EAD">
            <w:pPr>
              <w:pStyle w:val="naisnod"/>
              <w:tabs>
                <w:tab w:val="left" w:pos="7993"/>
              </w:tabs>
              <w:spacing w:before="0" w:after="60"/>
              <w:jc w:val="center"/>
              <w:rPr>
                <w:b/>
              </w:rPr>
            </w:pPr>
            <w:r w:rsidRPr="00CF1B00">
              <w:rPr>
                <w:b/>
              </w:rPr>
              <w:t>VII. Tiesību akta projekta izpildes nodrošināšana un tās ietekme uz institūcijām</w:t>
            </w:r>
          </w:p>
        </w:tc>
      </w:tr>
      <w:tr w:rsidR="00C94AB7" w:rsidRPr="00CF1B00" w:rsidTr="006E0B77">
        <w:tblPrEx>
          <w:tblCellMar>
            <w:top w:w="30" w:type="dxa"/>
            <w:bottom w:w="30" w:type="dxa"/>
          </w:tblCellMar>
          <w:tblLook w:val="04A0" w:firstRow="1" w:lastRow="0" w:firstColumn="1" w:lastColumn="0" w:noHBand="0" w:noVBand="1"/>
        </w:tblPrEx>
        <w:trPr>
          <w:jc w:val="center"/>
        </w:trPr>
        <w:tc>
          <w:tcPr>
            <w:tcW w:w="426" w:type="dxa"/>
            <w:hideMark/>
          </w:tcPr>
          <w:p w:rsidR="00C94AB7" w:rsidRPr="00CF1B00" w:rsidRDefault="00C94AB7" w:rsidP="004F7EAD">
            <w:pPr>
              <w:pStyle w:val="NormalWeb"/>
              <w:tabs>
                <w:tab w:val="left" w:pos="7993"/>
              </w:tabs>
              <w:spacing w:before="0" w:after="0"/>
              <w:jc w:val="center"/>
            </w:pPr>
            <w:r w:rsidRPr="00CF1B00">
              <w:t>1.</w:t>
            </w:r>
          </w:p>
        </w:tc>
        <w:tc>
          <w:tcPr>
            <w:tcW w:w="4110" w:type="dxa"/>
            <w:hideMark/>
          </w:tcPr>
          <w:p w:rsidR="00C94AB7" w:rsidRPr="00CF1B00" w:rsidRDefault="00C94AB7" w:rsidP="004F7EAD">
            <w:pPr>
              <w:pStyle w:val="NormalWeb"/>
              <w:tabs>
                <w:tab w:val="left" w:pos="7993"/>
              </w:tabs>
              <w:spacing w:before="0" w:after="0"/>
            </w:pPr>
            <w:r w:rsidRPr="00CF1B00">
              <w:t>Projekta izpildē iesaistītās institūcijas</w:t>
            </w:r>
          </w:p>
        </w:tc>
        <w:tc>
          <w:tcPr>
            <w:tcW w:w="4886" w:type="dxa"/>
          </w:tcPr>
          <w:p w:rsidR="00C94AB7" w:rsidRPr="00CF1B00" w:rsidRDefault="005643FE" w:rsidP="00301B31">
            <w:pPr>
              <w:pStyle w:val="NormalWeb"/>
              <w:tabs>
                <w:tab w:val="left" w:pos="7993"/>
              </w:tabs>
              <w:spacing w:before="0" w:after="0"/>
              <w:jc w:val="both"/>
            </w:pPr>
            <w:r w:rsidRPr="00CF1B00">
              <w:rPr>
                <w:bCs/>
              </w:rPr>
              <w:t xml:space="preserve">FM (VNĪ), </w:t>
            </w:r>
            <w:r w:rsidR="00301B31" w:rsidRPr="00CF1B00">
              <w:t>Prokuratūra un KNAB.</w:t>
            </w:r>
          </w:p>
        </w:tc>
      </w:tr>
      <w:tr w:rsidR="00C94AB7" w:rsidRPr="00B96B01" w:rsidTr="006E0B77">
        <w:tblPrEx>
          <w:tblCellMar>
            <w:top w:w="30" w:type="dxa"/>
            <w:bottom w:w="30" w:type="dxa"/>
          </w:tblCellMar>
          <w:tblLook w:val="04A0" w:firstRow="1" w:lastRow="0" w:firstColumn="1" w:lastColumn="0" w:noHBand="0" w:noVBand="1"/>
        </w:tblPrEx>
        <w:trPr>
          <w:jc w:val="center"/>
        </w:trPr>
        <w:tc>
          <w:tcPr>
            <w:tcW w:w="426" w:type="dxa"/>
            <w:hideMark/>
          </w:tcPr>
          <w:p w:rsidR="00C94AB7" w:rsidRPr="00CF1B00" w:rsidRDefault="00C94AB7" w:rsidP="004F7EAD">
            <w:pPr>
              <w:pStyle w:val="NormalWeb"/>
              <w:tabs>
                <w:tab w:val="left" w:pos="7993"/>
              </w:tabs>
              <w:spacing w:before="0" w:after="0"/>
              <w:jc w:val="center"/>
            </w:pPr>
            <w:r w:rsidRPr="00CF1B00">
              <w:t>2.</w:t>
            </w:r>
          </w:p>
        </w:tc>
        <w:tc>
          <w:tcPr>
            <w:tcW w:w="4110" w:type="dxa"/>
            <w:hideMark/>
          </w:tcPr>
          <w:p w:rsidR="00C94AB7" w:rsidRPr="00CF1B00" w:rsidRDefault="00C94AB7" w:rsidP="004F7EAD">
            <w:pPr>
              <w:pStyle w:val="NormalWeb"/>
              <w:tabs>
                <w:tab w:val="left" w:pos="7993"/>
              </w:tabs>
              <w:spacing w:before="0" w:after="0"/>
            </w:pPr>
            <w:r w:rsidRPr="00CF1B00">
              <w:t>Projekta izpildes ietekme uz pārvaldes funkcijām un institucionālo struktūru.</w:t>
            </w:r>
          </w:p>
          <w:p w:rsidR="00C94AB7" w:rsidRPr="00CF1B00" w:rsidRDefault="00C94AB7" w:rsidP="004F7EAD">
            <w:pPr>
              <w:pStyle w:val="NormalWeb"/>
              <w:tabs>
                <w:tab w:val="left" w:pos="7993"/>
              </w:tabs>
              <w:spacing w:before="0" w:after="0"/>
            </w:pPr>
            <w:r w:rsidRPr="00CF1B00">
              <w:t>Jaunu institūciju izveide, esošu institūciju likvidācija vai reorganizācija, to ietekme uz institūcijas cilvēkresursiem</w:t>
            </w:r>
          </w:p>
        </w:tc>
        <w:tc>
          <w:tcPr>
            <w:tcW w:w="4886" w:type="dxa"/>
          </w:tcPr>
          <w:p w:rsidR="00C94AB7" w:rsidRPr="00B96B01" w:rsidRDefault="00C94AB7" w:rsidP="004F7EAD">
            <w:pPr>
              <w:pStyle w:val="naiskr"/>
              <w:tabs>
                <w:tab w:val="left" w:pos="7993"/>
              </w:tabs>
              <w:spacing w:before="0" w:after="0"/>
              <w:jc w:val="both"/>
              <w:rPr>
                <w:iCs/>
              </w:rPr>
            </w:pPr>
            <w:r w:rsidRPr="00CF1B00">
              <w:t>Projekts šo jomu neskar.</w:t>
            </w:r>
          </w:p>
        </w:tc>
      </w:tr>
      <w:tr w:rsidR="00C94AB7" w:rsidRPr="00B96B01" w:rsidTr="006E0B77">
        <w:tblPrEx>
          <w:tblCellMar>
            <w:top w:w="30" w:type="dxa"/>
            <w:bottom w:w="30" w:type="dxa"/>
          </w:tblCellMar>
          <w:tblLook w:val="04A0" w:firstRow="1" w:lastRow="0" w:firstColumn="1" w:lastColumn="0" w:noHBand="0" w:noVBand="1"/>
        </w:tblPrEx>
        <w:trPr>
          <w:jc w:val="center"/>
        </w:trPr>
        <w:tc>
          <w:tcPr>
            <w:tcW w:w="426" w:type="dxa"/>
            <w:hideMark/>
          </w:tcPr>
          <w:p w:rsidR="00C94AB7" w:rsidRPr="00B96B01" w:rsidRDefault="00C94AB7" w:rsidP="004F7EAD">
            <w:pPr>
              <w:pStyle w:val="NormalWeb"/>
              <w:tabs>
                <w:tab w:val="left" w:pos="7993"/>
              </w:tabs>
              <w:spacing w:before="0" w:after="0"/>
              <w:jc w:val="center"/>
            </w:pPr>
            <w:r w:rsidRPr="00B96B01">
              <w:t>3.</w:t>
            </w:r>
          </w:p>
        </w:tc>
        <w:tc>
          <w:tcPr>
            <w:tcW w:w="4110" w:type="dxa"/>
            <w:hideMark/>
          </w:tcPr>
          <w:p w:rsidR="00C94AB7" w:rsidRPr="00B96B01" w:rsidRDefault="00C94AB7" w:rsidP="004F7EAD">
            <w:pPr>
              <w:pStyle w:val="NormalWeb"/>
              <w:tabs>
                <w:tab w:val="left" w:pos="7993"/>
              </w:tabs>
              <w:spacing w:before="0" w:after="60"/>
            </w:pPr>
            <w:r w:rsidRPr="00B96B01">
              <w:t>Cita informācija</w:t>
            </w:r>
          </w:p>
        </w:tc>
        <w:tc>
          <w:tcPr>
            <w:tcW w:w="4886" w:type="dxa"/>
          </w:tcPr>
          <w:p w:rsidR="00C94AB7" w:rsidRPr="00B96B01" w:rsidRDefault="00C94AB7" w:rsidP="004F7EAD">
            <w:pPr>
              <w:pStyle w:val="naiskr"/>
              <w:tabs>
                <w:tab w:val="left" w:pos="7993"/>
              </w:tabs>
              <w:spacing w:before="0" w:after="0"/>
              <w:jc w:val="both"/>
              <w:rPr>
                <w:iCs/>
              </w:rPr>
            </w:pPr>
            <w:r w:rsidRPr="00B96B01">
              <w:rPr>
                <w:iCs/>
              </w:rPr>
              <w:t>Nav.</w:t>
            </w:r>
          </w:p>
        </w:tc>
      </w:tr>
    </w:tbl>
    <w:p w:rsidR="00C94AB7" w:rsidRPr="00B96B01" w:rsidRDefault="00810DD2" w:rsidP="004F7EAD">
      <w:pPr>
        <w:tabs>
          <w:tab w:val="left" w:pos="7993"/>
        </w:tabs>
        <w:spacing w:before="75" w:after="75" w:line="240" w:lineRule="auto"/>
        <w:rPr>
          <w:rFonts w:ascii="Times New Roman" w:eastAsia="Times New Roman" w:hAnsi="Times New Roman"/>
          <w:iCs/>
          <w:sz w:val="24"/>
          <w:szCs w:val="24"/>
        </w:rPr>
      </w:pPr>
      <w:r w:rsidRPr="00B96B01">
        <w:rPr>
          <w:rFonts w:ascii="Times New Roman" w:eastAsia="Times New Roman" w:hAnsi="Times New Roman"/>
          <w:iCs/>
          <w:sz w:val="24"/>
          <w:szCs w:val="24"/>
        </w:rPr>
        <w:t>Anotācijas II</w:t>
      </w:r>
      <w:r w:rsidR="007E718A" w:rsidRPr="00B96B01">
        <w:rPr>
          <w:rFonts w:ascii="Times New Roman" w:eastAsia="Times New Roman" w:hAnsi="Times New Roman"/>
          <w:iCs/>
          <w:sz w:val="24"/>
          <w:szCs w:val="24"/>
        </w:rPr>
        <w:t>, V</w:t>
      </w:r>
      <w:r w:rsidR="00C94AB7" w:rsidRPr="00B96B01">
        <w:rPr>
          <w:rFonts w:ascii="Times New Roman" w:eastAsia="Times New Roman" w:hAnsi="Times New Roman"/>
          <w:iCs/>
          <w:sz w:val="24"/>
          <w:szCs w:val="24"/>
        </w:rPr>
        <w:t xml:space="preserve"> un VI sadaļa – projekts šīs jomas neskar. </w:t>
      </w:r>
    </w:p>
    <w:p w:rsidR="0000292B" w:rsidRPr="00B96B01" w:rsidRDefault="0000292B" w:rsidP="004F7EAD">
      <w:pPr>
        <w:pStyle w:val="PlainText"/>
        <w:tabs>
          <w:tab w:val="left" w:pos="7200"/>
          <w:tab w:val="right" w:pos="9072"/>
        </w:tabs>
        <w:jc w:val="both"/>
        <w:rPr>
          <w:rFonts w:ascii="Times New Roman" w:hAnsi="Times New Roman"/>
          <w:sz w:val="24"/>
          <w:szCs w:val="24"/>
        </w:rPr>
      </w:pPr>
    </w:p>
    <w:p w:rsidR="00AF454B" w:rsidRPr="00B96B01" w:rsidRDefault="00AF454B" w:rsidP="004F7EAD">
      <w:pPr>
        <w:pStyle w:val="PlainText"/>
        <w:tabs>
          <w:tab w:val="left" w:pos="7200"/>
          <w:tab w:val="right" w:pos="9072"/>
        </w:tabs>
        <w:jc w:val="both"/>
        <w:rPr>
          <w:rFonts w:ascii="Times New Roman" w:hAnsi="Times New Roman"/>
          <w:sz w:val="24"/>
          <w:szCs w:val="24"/>
        </w:rPr>
      </w:pPr>
    </w:p>
    <w:p w:rsidR="009F1B57" w:rsidRPr="00B96B01" w:rsidRDefault="009F1B57" w:rsidP="00B96B01">
      <w:pPr>
        <w:pStyle w:val="naisf"/>
        <w:spacing w:before="0" w:after="0"/>
        <w:ind w:firstLine="0"/>
      </w:pPr>
      <w:r w:rsidRPr="00B96B01">
        <w:t>Finanšu ministrs</w:t>
      </w:r>
      <w:r w:rsidRPr="00B96B01">
        <w:tab/>
      </w:r>
      <w:r w:rsidRPr="00B96B01">
        <w:tab/>
      </w:r>
      <w:r w:rsidRPr="00B96B01">
        <w:tab/>
      </w:r>
      <w:r w:rsidR="004F7EAD" w:rsidRPr="00B96B01">
        <w:tab/>
      </w:r>
      <w:r w:rsidR="004F7EAD" w:rsidRPr="00B96B01">
        <w:tab/>
      </w:r>
      <w:r w:rsidR="004F7EAD" w:rsidRPr="00B96B01">
        <w:tab/>
      </w:r>
      <w:r w:rsidR="004F7EAD" w:rsidRPr="00B96B01">
        <w:tab/>
      </w:r>
      <w:r w:rsidR="004F7EAD" w:rsidRPr="00B96B01">
        <w:tab/>
      </w:r>
      <w:r w:rsidR="004F7EAD" w:rsidRPr="00B96B01">
        <w:tab/>
      </w:r>
      <w:proofErr w:type="spellStart"/>
      <w:r w:rsidRPr="00B96B01">
        <w:t>J.Reirs</w:t>
      </w:r>
      <w:proofErr w:type="spellEnd"/>
    </w:p>
    <w:p w:rsidR="0000292B" w:rsidRPr="00B96B01" w:rsidRDefault="0000292B" w:rsidP="00027E37">
      <w:pPr>
        <w:pStyle w:val="Header"/>
        <w:tabs>
          <w:tab w:val="clear" w:pos="4153"/>
          <w:tab w:val="clear" w:pos="8306"/>
          <w:tab w:val="left" w:pos="7993"/>
        </w:tabs>
        <w:ind w:right="-1"/>
        <w:rPr>
          <w:rFonts w:ascii="Times New Roman" w:hAnsi="Times New Roman"/>
          <w:sz w:val="24"/>
          <w:szCs w:val="24"/>
        </w:rPr>
      </w:pPr>
    </w:p>
    <w:p w:rsidR="00C312BD" w:rsidRPr="004F7EAD" w:rsidRDefault="00C312BD" w:rsidP="00027E37">
      <w:pPr>
        <w:pStyle w:val="Header"/>
        <w:tabs>
          <w:tab w:val="clear" w:pos="4153"/>
          <w:tab w:val="clear" w:pos="8306"/>
          <w:tab w:val="left" w:pos="7993"/>
        </w:tabs>
        <w:ind w:right="-1"/>
        <w:rPr>
          <w:rFonts w:ascii="Times New Roman" w:hAnsi="Times New Roman"/>
          <w:sz w:val="16"/>
          <w:szCs w:val="16"/>
        </w:rPr>
      </w:pPr>
    </w:p>
    <w:p w:rsidR="00C312BD" w:rsidRDefault="00C312BD" w:rsidP="00027E37">
      <w:pPr>
        <w:pStyle w:val="Header"/>
        <w:tabs>
          <w:tab w:val="clear" w:pos="4153"/>
          <w:tab w:val="clear" w:pos="8306"/>
          <w:tab w:val="left" w:pos="7993"/>
        </w:tabs>
        <w:ind w:right="-1"/>
        <w:rPr>
          <w:rFonts w:ascii="Times New Roman" w:hAnsi="Times New Roman"/>
          <w:sz w:val="16"/>
          <w:szCs w:val="16"/>
        </w:rPr>
      </w:pPr>
    </w:p>
    <w:p w:rsidR="00AF454B" w:rsidRDefault="00AF454B" w:rsidP="00027E37">
      <w:pPr>
        <w:pStyle w:val="Header"/>
        <w:tabs>
          <w:tab w:val="clear" w:pos="4153"/>
          <w:tab w:val="clear" w:pos="8306"/>
          <w:tab w:val="left" w:pos="7993"/>
        </w:tabs>
        <w:ind w:right="-1"/>
        <w:rPr>
          <w:rFonts w:ascii="Times New Roman" w:hAnsi="Times New Roman"/>
          <w:sz w:val="16"/>
          <w:szCs w:val="16"/>
        </w:rPr>
      </w:pPr>
    </w:p>
    <w:p w:rsidR="00C312BD" w:rsidRDefault="00C312BD" w:rsidP="00027E37">
      <w:pPr>
        <w:pStyle w:val="Header"/>
        <w:tabs>
          <w:tab w:val="clear" w:pos="4153"/>
          <w:tab w:val="clear" w:pos="8306"/>
          <w:tab w:val="left" w:pos="7993"/>
        </w:tabs>
        <w:ind w:right="-1"/>
        <w:rPr>
          <w:rFonts w:ascii="Times New Roman" w:hAnsi="Times New Roman"/>
          <w:sz w:val="16"/>
          <w:szCs w:val="16"/>
        </w:rPr>
      </w:pPr>
    </w:p>
    <w:p w:rsidR="00BC1F8E" w:rsidRDefault="00BC1F8E" w:rsidP="00027E37">
      <w:pPr>
        <w:pStyle w:val="Header"/>
        <w:tabs>
          <w:tab w:val="clear" w:pos="4153"/>
          <w:tab w:val="clear" w:pos="8306"/>
          <w:tab w:val="left" w:pos="7993"/>
        </w:tabs>
        <w:ind w:right="-1"/>
        <w:rPr>
          <w:rFonts w:ascii="Times New Roman" w:hAnsi="Times New Roman"/>
          <w:sz w:val="16"/>
          <w:szCs w:val="16"/>
        </w:rPr>
      </w:pPr>
    </w:p>
    <w:p w:rsidR="00BC1F8E" w:rsidRDefault="00BC1F8E" w:rsidP="00027E37">
      <w:pPr>
        <w:pStyle w:val="Header"/>
        <w:tabs>
          <w:tab w:val="clear" w:pos="4153"/>
          <w:tab w:val="clear" w:pos="8306"/>
          <w:tab w:val="left" w:pos="7993"/>
        </w:tabs>
        <w:ind w:right="-1"/>
        <w:rPr>
          <w:rFonts w:ascii="Times New Roman" w:hAnsi="Times New Roman"/>
          <w:sz w:val="16"/>
          <w:szCs w:val="16"/>
        </w:rPr>
      </w:pPr>
    </w:p>
    <w:p w:rsidR="00027E37" w:rsidRPr="004F7EAD" w:rsidRDefault="000834B2" w:rsidP="00027E37">
      <w:pPr>
        <w:pStyle w:val="Header"/>
        <w:tabs>
          <w:tab w:val="clear" w:pos="4153"/>
          <w:tab w:val="clear" w:pos="8306"/>
          <w:tab w:val="left" w:pos="7993"/>
        </w:tabs>
        <w:ind w:right="-1"/>
        <w:rPr>
          <w:rFonts w:ascii="Times New Roman" w:hAnsi="Times New Roman"/>
          <w:sz w:val="16"/>
          <w:szCs w:val="16"/>
        </w:rPr>
      </w:pPr>
      <w:r>
        <w:rPr>
          <w:rFonts w:ascii="Times New Roman" w:hAnsi="Times New Roman"/>
          <w:sz w:val="16"/>
          <w:szCs w:val="16"/>
        </w:rPr>
        <w:t>05</w:t>
      </w:r>
      <w:r w:rsidR="005E776F" w:rsidRPr="004F7EAD">
        <w:rPr>
          <w:rFonts w:ascii="Times New Roman" w:hAnsi="Times New Roman"/>
          <w:sz w:val="16"/>
          <w:szCs w:val="16"/>
        </w:rPr>
        <w:t>.0</w:t>
      </w:r>
      <w:r>
        <w:rPr>
          <w:rFonts w:ascii="Times New Roman" w:hAnsi="Times New Roman"/>
          <w:sz w:val="16"/>
          <w:szCs w:val="16"/>
        </w:rPr>
        <w:t>5</w:t>
      </w:r>
      <w:r w:rsidR="00027E37" w:rsidRPr="004F7EAD">
        <w:rPr>
          <w:rFonts w:ascii="Times New Roman" w:hAnsi="Times New Roman"/>
          <w:sz w:val="16"/>
          <w:szCs w:val="16"/>
        </w:rPr>
        <w:t>.201</w:t>
      </w:r>
      <w:r w:rsidR="00C312BD" w:rsidRPr="004F7EAD">
        <w:rPr>
          <w:rFonts w:ascii="Times New Roman" w:hAnsi="Times New Roman"/>
          <w:sz w:val="16"/>
          <w:szCs w:val="16"/>
        </w:rPr>
        <w:t>5</w:t>
      </w:r>
      <w:r w:rsidR="00027E37" w:rsidRPr="004F7EAD">
        <w:rPr>
          <w:rFonts w:ascii="Times New Roman" w:hAnsi="Times New Roman"/>
          <w:sz w:val="16"/>
          <w:szCs w:val="16"/>
        </w:rPr>
        <w:t xml:space="preserve">. </w:t>
      </w:r>
      <w:r w:rsidR="001E288B" w:rsidRPr="004F7EAD">
        <w:rPr>
          <w:rFonts w:ascii="Times New Roman" w:hAnsi="Times New Roman"/>
          <w:sz w:val="16"/>
          <w:szCs w:val="16"/>
        </w:rPr>
        <w:t>9:03</w:t>
      </w:r>
    </w:p>
    <w:bookmarkStart w:id="12" w:name="OLE_LINK5"/>
    <w:p w:rsidR="00C312BD" w:rsidRPr="004F7EAD" w:rsidRDefault="00764132" w:rsidP="00C312BD">
      <w:pPr>
        <w:pStyle w:val="PlainText"/>
        <w:tabs>
          <w:tab w:val="left" w:pos="7200"/>
          <w:tab w:val="right" w:pos="9072"/>
        </w:tabs>
        <w:jc w:val="both"/>
        <w:rPr>
          <w:rFonts w:ascii="Times New Roman" w:hAnsi="Times New Roman"/>
          <w:sz w:val="16"/>
          <w:szCs w:val="16"/>
        </w:rPr>
      </w:pPr>
      <w:r w:rsidRPr="004F7EAD">
        <w:rPr>
          <w:sz w:val="16"/>
          <w:szCs w:val="16"/>
        </w:rPr>
        <w:fldChar w:fldCharType="begin"/>
      </w:r>
      <w:r w:rsidR="00C312BD" w:rsidRPr="004F7EAD">
        <w:rPr>
          <w:sz w:val="16"/>
          <w:szCs w:val="16"/>
        </w:rPr>
        <w:instrText xml:space="preserve"> NUMWORDS   \* MERGEFORMAT </w:instrText>
      </w:r>
      <w:r w:rsidRPr="004F7EAD">
        <w:rPr>
          <w:sz w:val="16"/>
          <w:szCs w:val="16"/>
        </w:rPr>
        <w:fldChar w:fldCharType="separate"/>
      </w:r>
      <w:r w:rsidR="00301B31" w:rsidRPr="00301B31">
        <w:rPr>
          <w:rFonts w:ascii="Times New Roman" w:hAnsi="Times New Roman"/>
          <w:noProof/>
          <w:sz w:val="16"/>
          <w:szCs w:val="16"/>
        </w:rPr>
        <w:t>1722</w:t>
      </w:r>
      <w:r w:rsidRPr="004F7EAD">
        <w:rPr>
          <w:sz w:val="16"/>
          <w:szCs w:val="16"/>
        </w:rPr>
        <w:fldChar w:fldCharType="end"/>
      </w:r>
    </w:p>
    <w:p w:rsidR="00027E37" w:rsidRPr="004F7EAD" w:rsidRDefault="00027E37" w:rsidP="00027E37">
      <w:pPr>
        <w:pStyle w:val="Header"/>
        <w:tabs>
          <w:tab w:val="clear" w:pos="4153"/>
          <w:tab w:val="clear" w:pos="8306"/>
          <w:tab w:val="left" w:pos="7993"/>
        </w:tabs>
        <w:ind w:right="-1"/>
        <w:rPr>
          <w:rFonts w:ascii="Times New Roman" w:hAnsi="Times New Roman"/>
          <w:sz w:val="16"/>
          <w:szCs w:val="16"/>
        </w:rPr>
      </w:pPr>
      <w:r w:rsidRPr="004F7EAD">
        <w:rPr>
          <w:rFonts w:ascii="Times New Roman" w:hAnsi="Times New Roman"/>
          <w:sz w:val="16"/>
          <w:szCs w:val="16"/>
        </w:rPr>
        <w:t>A.Gulbe</w:t>
      </w:r>
    </w:p>
    <w:p w:rsidR="00C312BD" w:rsidRPr="00C312BD" w:rsidRDefault="00027E37">
      <w:pPr>
        <w:pStyle w:val="Header"/>
        <w:tabs>
          <w:tab w:val="clear" w:pos="4153"/>
          <w:tab w:val="clear" w:pos="8306"/>
          <w:tab w:val="left" w:pos="7993"/>
        </w:tabs>
        <w:ind w:right="-1"/>
        <w:rPr>
          <w:rFonts w:ascii="Times New Roman" w:hAnsi="Times New Roman"/>
          <w:sz w:val="16"/>
          <w:szCs w:val="16"/>
        </w:rPr>
      </w:pPr>
      <w:r w:rsidRPr="004F7EAD">
        <w:rPr>
          <w:rFonts w:ascii="Times New Roman" w:hAnsi="Times New Roman"/>
          <w:sz w:val="16"/>
          <w:szCs w:val="16"/>
        </w:rPr>
        <w:t xml:space="preserve">67024698, </w:t>
      </w:r>
      <w:hyperlink r:id="rId9" w:history="1">
        <w:r w:rsidR="00750BE8" w:rsidRPr="004F7EAD">
          <w:rPr>
            <w:rStyle w:val="Hyperlink"/>
            <w:rFonts w:ascii="Times New Roman" w:hAnsi="Times New Roman"/>
            <w:sz w:val="16"/>
            <w:szCs w:val="16"/>
          </w:rPr>
          <w:t>aiga.gulbe@vni.lv</w:t>
        </w:r>
      </w:hyperlink>
      <w:bookmarkEnd w:id="12"/>
    </w:p>
    <w:sectPr w:rsidR="00C312BD" w:rsidRPr="00C312BD" w:rsidSect="00BC1F8E">
      <w:headerReference w:type="default" r:id="rId10"/>
      <w:footerReference w:type="default" r:id="rId11"/>
      <w:headerReference w:type="first" r:id="rId12"/>
      <w:footerReference w:type="first" r:id="rId13"/>
      <w:pgSz w:w="11906" w:h="16838" w:code="9"/>
      <w:pgMar w:top="1134" w:right="1134" w:bottom="1134" w:left="1701" w:header="816"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67" w:rsidRDefault="00AE4067" w:rsidP="00CC4CA4">
      <w:pPr>
        <w:spacing w:after="0" w:line="240" w:lineRule="auto"/>
      </w:pPr>
      <w:r>
        <w:separator/>
      </w:r>
    </w:p>
  </w:endnote>
  <w:endnote w:type="continuationSeparator" w:id="0">
    <w:p w:rsidR="00AE4067" w:rsidRDefault="00AE4067"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Pr="005F44C1" w:rsidRDefault="00AE4067" w:rsidP="00171E89">
    <w:pPr>
      <w:pStyle w:val="naisvisr"/>
      <w:spacing w:before="0" w:after="0" w:line="20" w:lineRule="atLeast"/>
      <w:jc w:val="both"/>
      <w:rPr>
        <w:sz w:val="16"/>
        <w:szCs w:val="16"/>
      </w:rPr>
    </w:pPr>
    <w:r w:rsidRPr="005F44C1">
      <w:rPr>
        <w:b w:val="0"/>
        <w:noProof/>
        <w:sz w:val="16"/>
        <w:szCs w:val="16"/>
      </w:rPr>
      <w:fldChar w:fldCharType="begin"/>
    </w:r>
    <w:r w:rsidRPr="005F44C1">
      <w:rPr>
        <w:b w:val="0"/>
        <w:noProof/>
        <w:sz w:val="16"/>
        <w:szCs w:val="16"/>
      </w:rPr>
      <w:instrText xml:space="preserve"> FILENAME </w:instrText>
    </w:r>
    <w:r w:rsidRPr="005F44C1">
      <w:rPr>
        <w:b w:val="0"/>
        <w:noProof/>
        <w:sz w:val="16"/>
        <w:szCs w:val="16"/>
      </w:rPr>
      <w:fldChar w:fldCharType="separate"/>
    </w:r>
    <w:r w:rsidR="00BC1F8E">
      <w:rPr>
        <w:b w:val="0"/>
        <w:noProof/>
        <w:sz w:val="16"/>
        <w:szCs w:val="16"/>
      </w:rPr>
      <w:t>FMAnot_050515_Groz_465.docx</w:t>
    </w:r>
    <w:r w:rsidRPr="005F44C1">
      <w:rPr>
        <w:b w:val="0"/>
        <w:noProof/>
        <w:sz w:val="16"/>
        <w:szCs w:val="16"/>
      </w:rPr>
      <w:fldChar w:fldCharType="end"/>
    </w:r>
    <w:r w:rsidRPr="005F44C1">
      <w:rPr>
        <w:b w:val="0"/>
        <w:noProof/>
        <w:sz w:val="16"/>
        <w:szCs w:val="16"/>
      </w:rPr>
      <w:t xml:space="preserve">; Ministru kabineta rīkojuma projekta „Grozījumi Ministru kabineta 2012.gada 3.oktobra rīkojumā Nr.465 "Par finansējuma piešķiršanu administratīvās ēkas un garāžas ēkas Jūras ielā 34, Ventspilī, būvniecības projekta un nomas maksas izdevumu segšanai"" sākotnējās ietekmes novērtējuma </w:t>
    </w:r>
    <w:smartTag w:uri="schemas-tilde-lv/tildestengine" w:element="veidnes">
      <w:smartTagPr>
        <w:attr w:name="text" w:val="ziņojums"/>
        <w:attr w:name="baseform" w:val="ziņojums"/>
        <w:attr w:name="id" w:val="-1"/>
      </w:smartTagPr>
      <w:r w:rsidRPr="005F44C1">
        <w:rPr>
          <w:b w:val="0"/>
          <w:noProof/>
          <w:sz w:val="16"/>
          <w:szCs w:val="16"/>
        </w:rPr>
        <w:t>ziņojums</w:t>
      </w:r>
    </w:smartTag>
    <w:r w:rsidRPr="005F44C1">
      <w:rPr>
        <w:b w:val="0"/>
        <w:noProof/>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Pr="005F44C1" w:rsidRDefault="00AE4067" w:rsidP="00171E89">
    <w:pPr>
      <w:pStyle w:val="naisvisr"/>
      <w:spacing w:before="0" w:after="0" w:line="20" w:lineRule="atLeast"/>
      <w:jc w:val="both"/>
      <w:rPr>
        <w:b w:val="0"/>
        <w:noProof/>
        <w:sz w:val="16"/>
        <w:szCs w:val="16"/>
      </w:rPr>
    </w:pPr>
    <w:r w:rsidRPr="005F44C1">
      <w:rPr>
        <w:b w:val="0"/>
        <w:noProof/>
        <w:sz w:val="16"/>
        <w:szCs w:val="16"/>
      </w:rPr>
      <w:fldChar w:fldCharType="begin"/>
    </w:r>
    <w:r w:rsidRPr="005F44C1">
      <w:rPr>
        <w:b w:val="0"/>
        <w:noProof/>
        <w:sz w:val="16"/>
        <w:szCs w:val="16"/>
      </w:rPr>
      <w:instrText xml:space="preserve"> FILENAME </w:instrText>
    </w:r>
    <w:r w:rsidRPr="005F44C1">
      <w:rPr>
        <w:b w:val="0"/>
        <w:noProof/>
        <w:sz w:val="16"/>
        <w:szCs w:val="16"/>
      </w:rPr>
      <w:fldChar w:fldCharType="separate"/>
    </w:r>
    <w:r w:rsidR="00BC1F8E">
      <w:rPr>
        <w:b w:val="0"/>
        <w:noProof/>
        <w:sz w:val="16"/>
        <w:szCs w:val="16"/>
      </w:rPr>
      <w:t>FMAnot_050515_Groz_465.docx</w:t>
    </w:r>
    <w:r w:rsidRPr="005F44C1">
      <w:rPr>
        <w:b w:val="0"/>
        <w:noProof/>
        <w:sz w:val="16"/>
        <w:szCs w:val="16"/>
      </w:rPr>
      <w:fldChar w:fldCharType="end"/>
    </w:r>
    <w:r w:rsidRPr="005F44C1">
      <w:rPr>
        <w:b w:val="0"/>
        <w:noProof/>
        <w:sz w:val="16"/>
        <w:szCs w:val="16"/>
      </w:rPr>
      <w:t xml:space="preserve">; Ministru kabineta rīkojuma projekta „Grozījumi Ministru kabineta 2012.gada 3.oktobra rīkojumā Nr.465 "Par finansējuma piešķiršanu administratīvās ēkas un garāžas ēkas Jūras ielā 34, Ventspilī, būvniecības projekta un nomas maksas izdevumu segšanai"" sākotnējās ietekmes novērtējuma </w:t>
    </w:r>
    <w:smartTag w:uri="schemas-tilde-lv/tildestengine" w:element="veidnes">
      <w:smartTagPr>
        <w:attr w:name="text" w:val="ziņojums"/>
        <w:attr w:name="baseform" w:val="ziņojums"/>
        <w:attr w:name="id" w:val="-1"/>
      </w:smartTagPr>
      <w:r w:rsidRPr="005F44C1">
        <w:rPr>
          <w:b w:val="0"/>
          <w:noProof/>
          <w:sz w:val="16"/>
          <w:szCs w:val="16"/>
        </w:rPr>
        <w:t>ziņojums</w:t>
      </w:r>
    </w:smartTag>
    <w:r w:rsidRPr="005F44C1">
      <w:rPr>
        <w:b w:val="0"/>
        <w:noProof/>
        <w:sz w:val="16"/>
        <w:szCs w:val="16"/>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67" w:rsidRDefault="00AE4067" w:rsidP="00CC4CA4">
      <w:pPr>
        <w:spacing w:after="0" w:line="240" w:lineRule="auto"/>
      </w:pPr>
      <w:r>
        <w:separator/>
      </w:r>
    </w:p>
  </w:footnote>
  <w:footnote w:type="continuationSeparator" w:id="0">
    <w:p w:rsidR="00AE4067" w:rsidRDefault="00AE4067"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Pr="005C4541" w:rsidRDefault="00AE4067"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7C6D6F">
      <w:rPr>
        <w:rFonts w:ascii="Times New Roman" w:hAnsi="Times New Roman"/>
        <w:noProof/>
        <w:sz w:val="22"/>
      </w:rPr>
      <w:t>5</w:t>
    </w:r>
    <w:r w:rsidRPr="005C4541">
      <w:rPr>
        <w:rFonts w:ascii="Times New Roman" w:hAnsi="Times New Roman"/>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Default="00AE4067" w:rsidP="003873C4">
    <w:pPr>
      <w:pStyle w:val="Header"/>
      <w:tabs>
        <w:tab w:val="clear" w:pos="4153"/>
        <w:tab w:val="clear" w:pos="8306"/>
      </w:tabs>
    </w:pPr>
  </w:p>
  <w:p w:rsidR="00AE4067" w:rsidRDefault="00AE4067"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7B3"/>
    <w:multiLevelType w:val="hybridMultilevel"/>
    <w:tmpl w:val="BE76494E"/>
    <w:lvl w:ilvl="0" w:tplc="E06079B6">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
    <w:nsid w:val="0ED373C8"/>
    <w:multiLevelType w:val="hybridMultilevel"/>
    <w:tmpl w:val="3BFA5078"/>
    <w:lvl w:ilvl="0" w:tplc="EDC07322">
      <w:start w:val="2013"/>
      <w:numFmt w:val="bullet"/>
      <w:lvlText w:val="–"/>
      <w:lvlJc w:val="left"/>
      <w:pPr>
        <w:ind w:left="421" w:hanging="360"/>
      </w:pPr>
      <w:rPr>
        <w:rFonts w:ascii="Times New Roman" w:eastAsia="Calibri" w:hAnsi="Times New Roman" w:cs="Times New Roman" w:hint="default"/>
      </w:rPr>
    </w:lvl>
    <w:lvl w:ilvl="1" w:tplc="04260003" w:tentative="1">
      <w:start w:val="1"/>
      <w:numFmt w:val="bullet"/>
      <w:lvlText w:val="o"/>
      <w:lvlJc w:val="left"/>
      <w:pPr>
        <w:ind w:left="1141" w:hanging="360"/>
      </w:pPr>
      <w:rPr>
        <w:rFonts w:ascii="Courier New" w:hAnsi="Courier New" w:cs="Courier New" w:hint="default"/>
      </w:rPr>
    </w:lvl>
    <w:lvl w:ilvl="2" w:tplc="04260005" w:tentative="1">
      <w:start w:val="1"/>
      <w:numFmt w:val="bullet"/>
      <w:lvlText w:val=""/>
      <w:lvlJc w:val="left"/>
      <w:pPr>
        <w:ind w:left="1861" w:hanging="360"/>
      </w:pPr>
      <w:rPr>
        <w:rFonts w:ascii="Wingdings" w:hAnsi="Wingdings" w:hint="default"/>
      </w:rPr>
    </w:lvl>
    <w:lvl w:ilvl="3" w:tplc="04260001" w:tentative="1">
      <w:start w:val="1"/>
      <w:numFmt w:val="bullet"/>
      <w:lvlText w:val=""/>
      <w:lvlJc w:val="left"/>
      <w:pPr>
        <w:ind w:left="2581" w:hanging="360"/>
      </w:pPr>
      <w:rPr>
        <w:rFonts w:ascii="Symbol" w:hAnsi="Symbol" w:hint="default"/>
      </w:rPr>
    </w:lvl>
    <w:lvl w:ilvl="4" w:tplc="04260003" w:tentative="1">
      <w:start w:val="1"/>
      <w:numFmt w:val="bullet"/>
      <w:lvlText w:val="o"/>
      <w:lvlJc w:val="left"/>
      <w:pPr>
        <w:ind w:left="3301" w:hanging="360"/>
      </w:pPr>
      <w:rPr>
        <w:rFonts w:ascii="Courier New" w:hAnsi="Courier New" w:cs="Courier New" w:hint="default"/>
      </w:rPr>
    </w:lvl>
    <w:lvl w:ilvl="5" w:tplc="04260005" w:tentative="1">
      <w:start w:val="1"/>
      <w:numFmt w:val="bullet"/>
      <w:lvlText w:val=""/>
      <w:lvlJc w:val="left"/>
      <w:pPr>
        <w:ind w:left="4021" w:hanging="360"/>
      </w:pPr>
      <w:rPr>
        <w:rFonts w:ascii="Wingdings" w:hAnsi="Wingdings" w:hint="default"/>
      </w:rPr>
    </w:lvl>
    <w:lvl w:ilvl="6" w:tplc="04260001" w:tentative="1">
      <w:start w:val="1"/>
      <w:numFmt w:val="bullet"/>
      <w:lvlText w:val=""/>
      <w:lvlJc w:val="left"/>
      <w:pPr>
        <w:ind w:left="4741" w:hanging="360"/>
      </w:pPr>
      <w:rPr>
        <w:rFonts w:ascii="Symbol" w:hAnsi="Symbol" w:hint="default"/>
      </w:rPr>
    </w:lvl>
    <w:lvl w:ilvl="7" w:tplc="04260003" w:tentative="1">
      <w:start w:val="1"/>
      <w:numFmt w:val="bullet"/>
      <w:lvlText w:val="o"/>
      <w:lvlJc w:val="left"/>
      <w:pPr>
        <w:ind w:left="5461" w:hanging="360"/>
      </w:pPr>
      <w:rPr>
        <w:rFonts w:ascii="Courier New" w:hAnsi="Courier New" w:cs="Courier New" w:hint="default"/>
      </w:rPr>
    </w:lvl>
    <w:lvl w:ilvl="8" w:tplc="04260005" w:tentative="1">
      <w:start w:val="1"/>
      <w:numFmt w:val="bullet"/>
      <w:lvlText w:val=""/>
      <w:lvlJc w:val="left"/>
      <w:pPr>
        <w:ind w:left="6181" w:hanging="360"/>
      </w:pPr>
      <w:rPr>
        <w:rFonts w:ascii="Wingdings" w:hAnsi="Wingdings" w:hint="default"/>
      </w:rPr>
    </w:lvl>
  </w:abstractNum>
  <w:abstractNum w:abstractNumId="2">
    <w:nsid w:val="14552E12"/>
    <w:multiLevelType w:val="hybridMultilevel"/>
    <w:tmpl w:val="5512F6C6"/>
    <w:lvl w:ilvl="0" w:tplc="61E4C37E">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5">
    <w:nsid w:val="1FBF29DC"/>
    <w:multiLevelType w:val="hybridMultilevel"/>
    <w:tmpl w:val="DB9EC98A"/>
    <w:lvl w:ilvl="0" w:tplc="560A1E1E">
      <w:start w:val="1"/>
      <w:numFmt w:val="bullet"/>
      <w:lvlText w:val="–"/>
      <w:lvlJc w:val="left"/>
      <w:pPr>
        <w:ind w:left="488" w:hanging="360"/>
      </w:pPr>
      <w:rPr>
        <w:rFonts w:ascii="Arial" w:eastAsia="Calibri" w:hAnsi="Arial" w:cs="Arial" w:hint="default"/>
        <w:sz w:val="20"/>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6">
    <w:nsid w:val="1FCE66FD"/>
    <w:multiLevelType w:val="hybridMultilevel"/>
    <w:tmpl w:val="B75E218A"/>
    <w:lvl w:ilvl="0" w:tplc="04D2663E">
      <w:start w:val="2013"/>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8">
    <w:nsid w:val="29A30265"/>
    <w:multiLevelType w:val="hybridMultilevel"/>
    <w:tmpl w:val="ED26683C"/>
    <w:lvl w:ilvl="0" w:tplc="ACEC479E">
      <w:start w:val="245"/>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9">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10">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3189151E"/>
    <w:multiLevelType w:val="hybridMultilevel"/>
    <w:tmpl w:val="A4C0C9D0"/>
    <w:lvl w:ilvl="0" w:tplc="04260011">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4">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15">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6">
    <w:nsid w:val="4F617641"/>
    <w:multiLevelType w:val="multilevel"/>
    <w:tmpl w:val="D486B48A"/>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18">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9">
    <w:nsid w:val="51D93E96"/>
    <w:multiLevelType w:val="hybridMultilevel"/>
    <w:tmpl w:val="DAB26264"/>
    <w:lvl w:ilvl="0" w:tplc="B84827EC">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20">
    <w:nsid w:val="66105162"/>
    <w:multiLevelType w:val="hybridMultilevel"/>
    <w:tmpl w:val="4B28B1D2"/>
    <w:lvl w:ilvl="0" w:tplc="37EEF4A6">
      <w:start w:val="2015"/>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21">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22">
    <w:nsid w:val="6F474506"/>
    <w:multiLevelType w:val="hybridMultilevel"/>
    <w:tmpl w:val="78A4934E"/>
    <w:lvl w:ilvl="0" w:tplc="F268344A">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nsid w:val="76A741B1"/>
    <w:multiLevelType w:val="hybridMultilevel"/>
    <w:tmpl w:val="B666D52E"/>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nsid w:val="77511E6C"/>
    <w:multiLevelType w:val="hybridMultilevel"/>
    <w:tmpl w:val="08B8C3D6"/>
    <w:lvl w:ilvl="0" w:tplc="424E0466">
      <w:start w:val="2"/>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4"/>
  </w:num>
  <w:num w:numId="5">
    <w:abstractNumId w:val="7"/>
  </w:num>
  <w:num w:numId="6">
    <w:abstractNumId w:val="13"/>
  </w:num>
  <w:num w:numId="7">
    <w:abstractNumId w:val="4"/>
  </w:num>
  <w:num w:numId="8">
    <w:abstractNumId w:val="21"/>
  </w:num>
  <w:num w:numId="9">
    <w:abstractNumId w:val="18"/>
  </w:num>
  <w:num w:numId="10">
    <w:abstractNumId w:val="15"/>
  </w:num>
  <w:num w:numId="11">
    <w:abstractNumId w:val="10"/>
  </w:num>
  <w:num w:numId="12">
    <w:abstractNumId w:val="23"/>
  </w:num>
  <w:num w:numId="13">
    <w:abstractNumId w:val="1"/>
  </w:num>
  <w:num w:numId="14">
    <w:abstractNumId w:val="6"/>
  </w:num>
  <w:num w:numId="15">
    <w:abstractNumId w:val="20"/>
  </w:num>
  <w:num w:numId="16">
    <w:abstractNumId w:val="22"/>
  </w:num>
  <w:num w:numId="17">
    <w:abstractNumId w:val="2"/>
  </w:num>
  <w:num w:numId="18">
    <w:abstractNumId w:val="19"/>
  </w:num>
  <w:num w:numId="19">
    <w:abstractNumId w:val="16"/>
  </w:num>
  <w:num w:numId="20">
    <w:abstractNumId w:val="5"/>
  </w:num>
  <w:num w:numId="21">
    <w:abstractNumId w:val="11"/>
  </w:num>
  <w:num w:numId="22">
    <w:abstractNumId w:val="9"/>
  </w:num>
  <w:num w:numId="23">
    <w:abstractNumId w:val="0"/>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028A"/>
    <w:rsid w:val="000013AA"/>
    <w:rsid w:val="0000292B"/>
    <w:rsid w:val="00002C9A"/>
    <w:rsid w:val="00003B11"/>
    <w:rsid w:val="000071CF"/>
    <w:rsid w:val="000077E5"/>
    <w:rsid w:val="00007938"/>
    <w:rsid w:val="0000793C"/>
    <w:rsid w:val="000107D1"/>
    <w:rsid w:val="00010EC5"/>
    <w:rsid w:val="000111C8"/>
    <w:rsid w:val="000117C7"/>
    <w:rsid w:val="00011A5E"/>
    <w:rsid w:val="00011E50"/>
    <w:rsid w:val="000156F8"/>
    <w:rsid w:val="000172C8"/>
    <w:rsid w:val="0002066C"/>
    <w:rsid w:val="0002179E"/>
    <w:rsid w:val="00022ADA"/>
    <w:rsid w:val="00023908"/>
    <w:rsid w:val="00023B06"/>
    <w:rsid w:val="00023B66"/>
    <w:rsid w:val="00024E67"/>
    <w:rsid w:val="000269CA"/>
    <w:rsid w:val="00027E37"/>
    <w:rsid w:val="00030306"/>
    <w:rsid w:val="00030765"/>
    <w:rsid w:val="00031EB7"/>
    <w:rsid w:val="00033065"/>
    <w:rsid w:val="000340C1"/>
    <w:rsid w:val="000341B3"/>
    <w:rsid w:val="0003493A"/>
    <w:rsid w:val="000365F3"/>
    <w:rsid w:val="00036AE4"/>
    <w:rsid w:val="00037B7B"/>
    <w:rsid w:val="00037E38"/>
    <w:rsid w:val="00040B75"/>
    <w:rsid w:val="000430CC"/>
    <w:rsid w:val="000467C0"/>
    <w:rsid w:val="0004733A"/>
    <w:rsid w:val="00050574"/>
    <w:rsid w:val="00053157"/>
    <w:rsid w:val="00054E25"/>
    <w:rsid w:val="00056962"/>
    <w:rsid w:val="00061F78"/>
    <w:rsid w:val="00062709"/>
    <w:rsid w:val="0006329E"/>
    <w:rsid w:val="00064A81"/>
    <w:rsid w:val="00065B9F"/>
    <w:rsid w:val="000669C9"/>
    <w:rsid w:val="00067147"/>
    <w:rsid w:val="000705B2"/>
    <w:rsid w:val="00070646"/>
    <w:rsid w:val="00070F24"/>
    <w:rsid w:val="00072FD8"/>
    <w:rsid w:val="00073078"/>
    <w:rsid w:val="00073FCD"/>
    <w:rsid w:val="00074B0E"/>
    <w:rsid w:val="00074B5F"/>
    <w:rsid w:val="00075B10"/>
    <w:rsid w:val="00077E78"/>
    <w:rsid w:val="00082103"/>
    <w:rsid w:val="00082376"/>
    <w:rsid w:val="0008310A"/>
    <w:rsid w:val="000834B2"/>
    <w:rsid w:val="00083AD3"/>
    <w:rsid w:val="0008412E"/>
    <w:rsid w:val="000841C6"/>
    <w:rsid w:val="00085F05"/>
    <w:rsid w:val="00086AE4"/>
    <w:rsid w:val="00086DEB"/>
    <w:rsid w:val="00087B86"/>
    <w:rsid w:val="00090500"/>
    <w:rsid w:val="00091795"/>
    <w:rsid w:val="000930E7"/>
    <w:rsid w:val="0009421F"/>
    <w:rsid w:val="000958BA"/>
    <w:rsid w:val="000A28CB"/>
    <w:rsid w:val="000A2CA3"/>
    <w:rsid w:val="000A5311"/>
    <w:rsid w:val="000B03C5"/>
    <w:rsid w:val="000B16D6"/>
    <w:rsid w:val="000B28F3"/>
    <w:rsid w:val="000B3290"/>
    <w:rsid w:val="000B4168"/>
    <w:rsid w:val="000B4864"/>
    <w:rsid w:val="000B4A80"/>
    <w:rsid w:val="000B678F"/>
    <w:rsid w:val="000B6F04"/>
    <w:rsid w:val="000B77B4"/>
    <w:rsid w:val="000C020E"/>
    <w:rsid w:val="000C0569"/>
    <w:rsid w:val="000C247B"/>
    <w:rsid w:val="000C2961"/>
    <w:rsid w:val="000C30BE"/>
    <w:rsid w:val="000C735A"/>
    <w:rsid w:val="000D03DA"/>
    <w:rsid w:val="000D05D8"/>
    <w:rsid w:val="000D2975"/>
    <w:rsid w:val="000D2CA1"/>
    <w:rsid w:val="000D3176"/>
    <w:rsid w:val="000D45EF"/>
    <w:rsid w:val="000D5863"/>
    <w:rsid w:val="000D59A2"/>
    <w:rsid w:val="000D59D4"/>
    <w:rsid w:val="000D5F9C"/>
    <w:rsid w:val="000D6591"/>
    <w:rsid w:val="000D6795"/>
    <w:rsid w:val="000D6EEF"/>
    <w:rsid w:val="000D73B9"/>
    <w:rsid w:val="000E032C"/>
    <w:rsid w:val="000E0748"/>
    <w:rsid w:val="000E1089"/>
    <w:rsid w:val="000E2CA6"/>
    <w:rsid w:val="000E2DF7"/>
    <w:rsid w:val="000E53F5"/>
    <w:rsid w:val="000E6084"/>
    <w:rsid w:val="000E7113"/>
    <w:rsid w:val="000E7FCC"/>
    <w:rsid w:val="000F0CBC"/>
    <w:rsid w:val="000F348A"/>
    <w:rsid w:val="000F437A"/>
    <w:rsid w:val="000F46F8"/>
    <w:rsid w:val="000F4B31"/>
    <w:rsid w:val="000F5A87"/>
    <w:rsid w:val="000F7849"/>
    <w:rsid w:val="001002FE"/>
    <w:rsid w:val="00101697"/>
    <w:rsid w:val="0010468C"/>
    <w:rsid w:val="0011220C"/>
    <w:rsid w:val="00113FEC"/>
    <w:rsid w:val="0011466D"/>
    <w:rsid w:val="00116874"/>
    <w:rsid w:val="00120D91"/>
    <w:rsid w:val="001227DF"/>
    <w:rsid w:val="00123E7A"/>
    <w:rsid w:val="00124B12"/>
    <w:rsid w:val="00125F40"/>
    <w:rsid w:val="0012662E"/>
    <w:rsid w:val="00126BA0"/>
    <w:rsid w:val="00126EA6"/>
    <w:rsid w:val="00130482"/>
    <w:rsid w:val="00133A29"/>
    <w:rsid w:val="00135EFB"/>
    <w:rsid w:val="0013647D"/>
    <w:rsid w:val="0013795D"/>
    <w:rsid w:val="00137CF1"/>
    <w:rsid w:val="00140915"/>
    <w:rsid w:val="001418EC"/>
    <w:rsid w:val="001446E9"/>
    <w:rsid w:val="001456B1"/>
    <w:rsid w:val="00146698"/>
    <w:rsid w:val="00146CA1"/>
    <w:rsid w:val="0014710B"/>
    <w:rsid w:val="00150F2D"/>
    <w:rsid w:val="001513D8"/>
    <w:rsid w:val="00152084"/>
    <w:rsid w:val="0015391E"/>
    <w:rsid w:val="00154D2A"/>
    <w:rsid w:val="001556E6"/>
    <w:rsid w:val="00156BDE"/>
    <w:rsid w:val="001572D2"/>
    <w:rsid w:val="00157465"/>
    <w:rsid w:val="00157A17"/>
    <w:rsid w:val="00160875"/>
    <w:rsid w:val="0016155B"/>
    <w:rsid w:val="001616F5"/>
    <w:rsid w:val="001620FE"/>
    <w:rsid w:val="0016212B"/>
    <w:rsid w:val="001625C1"/>
    <w:rsid w:val="0016332E"/>
    <w:rsid w:val="00163441"/>
    <w:rsid w:val="0016399E"/>
    <w:rsid w:val="00163DD7"/>
    <w:rsid w:val="00167403"/>
    <w:rsid w:val="00167554"/>
    <w:rsid w:val="00170F84"/>
    <w:rsid w:val="001715DD"/>
    <w:rsid w:val="00171E89"/>
    <w:rsid w:val="0017298D"/>
    <w:rsid w:val="00172E21"/>
    <w:rsid w:val="001744C8"/>
    <w:rsid w:val="00174773"/>
    <w:rsid w:val="001747CC"/>
    <w:rsid w:val="00174853"/>
    <w:rsid w:val="001764E7"/>
    <w:rsid w:val="00176C07"/>
    <w:rsid w:val="00180578"/>
    <w:rsid w:val="001828AC"/>
    <w:rsid w:val="00183239"/>
    <w:rsid w:val="00183977"/>
    <w:rsid w:val="00185150"/>
    <w:rsid w:val="00186D0E"/>
    <w:rsid w:val="0018716B"/>
    <w:rsid w:val="0019033D"/>
    <w:rsid w:val="0019197D"/>
    <w:rsid w:val="001929D8"/>
    <w:rsid w:val="00195D02"/>
    <w:rsid w:val="001966A0"/>
    <w:rsid w:val="00197D72"/>
    <w:rsid w:val="001A1C7F"/>
    <w:rsid w:val="001A3515"/>
    <w:rsid w:val="001A4176"/>
    <w:rsid w:val="001A4FD7"/>
    <w:rsid w:val="001A6720"/>
    <w:rsid w:val="001B335C"/>
    <w:rsid w:val="001C33E4"/>
    <w:rsid w:val="001C38C7"/>
    <w:rsid w:val="001C39FE"/>
    <w:rsid w:val="001C4C3A"/>
    <w:rsid w:val="001C4D38"/>
    <w:rsid w:val="001C6653"/>
    <w:rsid w:val="001C6C0E"/>
    <w:rsid w:val="001C6CD6"/>
    <w:rsid w:val="001C752F"/>
    <w:rsid w:val="001C7D64"/>
    <w:rsid w:val="001D005F"/>
    <w:rsid w:val="001D1086"/>
    <w:rsid w:val="001D2E0C"/>
    <w:rsid w:val="001D4960"/>
    <w:rsid w:val="001D6235"/>
    <w:rsid w:val="001D6473"/>
    <w:rsid w:val="001D6732"/>
    <w:rsid w:val="001D7DA4"/>
    <w:rsid w:val="001E1AC9"/>
    <w:rsid w:val="001E288B"/>
    <w:rsid w:val="001E3677"/>
    <w:rsid w:val="001E3816"/>
    <w:rsid w:val="001E554E"/>
    <w:rsid w:val="001E60B9"/>
    <w:rsid w:val="001F1C45"/>
    <w:rsid w:val="001F4354"/>
    <w:rsid w:val="001F5A29"/>
    <w:rsid w:val="001F6420"/>
    <w:rsid w:val="001F7369"/>
    <w:rsid w:val="00202A44"/>
    <w:rsid w:val="00202CDD"/>
    <w:rsid w:val="00203D0A"/>
    <w:rsid w:val="0020493D"/>
    <w:rsid w:val="00204D73"/>
    <w:rsid w:val="0020525E"/>
    <w:rsid w:val="0020708D"/>
    <w:rsid w:val="00207E6C"/>
    <w:rsid w:val="00213C5D"/>
    <w:rsid w:val="00215900"/>
    <w:rsid w:val="00215BD2"/>
    <w:rsid w:val="0021715E"/>
    <w:rsid w:val="002173CD"/>
    <w:rsid w:val="00217507"/>
    <w:rsid w:val="002242B3"/>
    <w:rsid w:val="002265DB"/>
    <w:rsid w:val="00232461"/>
    <w:rsid w:val="00232E3F"/>
    <w:rsid w:val="002335A2"/>
    <w:rsid w:val="002353EC"/>
    <w:rsid w:val="00236BB7"/>
    <w:rsid w:val="0023751E"/>
    <w:rsid w:val="00237D6E"/>
    <w:rsid w:val="00240EA3"/>
    <w:rsid w:val="00240EF3"/>
    <w:rsid w:val="00240FA1"/>
    <w:rsid w:val="00242938"/>
    <w:rsid w:val="00244F01"/>
    <w:rsid w:val="002452E9"/>
    <w:rsid w:val="0024544B"/>
    <w:rsid w:val="00245664"/>
    <w:rsid w:val="0024613A"/>
    <w:rsid w:val="00251245"/>
    <w:rsid w:val="00251558"/>
    <w:rsid w:val="00251892"/>
    <w:rsid w:val="0025259D"/>
    <w:rsid w:val="00255913"/>
    <w:rsid w:val="00255F53"/>
    <w:rsid w:val="00256EB1"/>
    <w:rsid w:val="00257E55"/>
    <w:rsid w:val="00260334"/>
    <w:rsid w:val="00263655"/>
    <w:rsid w:val="00263736"/>
    <w:rsid w:val="00263B81"/>
    <w:rsid w:val="00263FD6"/>
    <w:rsid w:val="00263FD9"/>
    <w:rsid w:val="0026516A"/>
    <w:rsid w:val="002656BA"/>
    <w:rsid w:val="002664E6"/>
    <w:rsid w:val="00266A9D"/>
    <w:rsid w:val="0026706F"/>
    <w:rsid w:val="00270BC4"/>
    <w:rsid w:val="00270C50"/>
    <w:rsid w:val="002722A0"/>
    <w:rsid w:val="00274B14"/>
    <w:rsid w:val="0027603D"/>
    <w:rsid w:val="002769E9"/>
    <w:rsid w:val="0028004F"/>
    <w:rsid w:val="00280368"/>
    <w:rsid w:val="002808CE"/>
    <w:rsid w:val="00284F44"/>
    <w:rsid w:val="00286169"/>
    <w:rsid w:val="00286875"/>
    <w:rsid w:val="00287869"/>
    <w:rsid w:val="00287AEE"/>
    <w:rsid w:val="002929CC"/>
    <w:rsid w:val="00294240"/>
    <w:rsid w:val="002949C8"/>
    <w:rsid w:val="00296BA1"/>
    <w:rsid w:val="00297974"/>
    <w:rsid w:val="00297A4F"/>
    <w:rsid w:val="00297F4D"/>
    <w:rsid w:val="002A026B"/>
    <w:rsid w:val="002A2C16"/>
    <w:rsid w:val="002A57CC"/>
    <w:rsid w:val="002A6EB7"/>
    <w:rsid w:val="002B25CC"/>
    <w:rsid w:val="002B73B1"/>
    <w:rsid w:val="002B73E3"/>
    <w:rsid w:val="002C089F"/>
    <w:rsid w:val="002C0D9C"/>
    <w:rsid w:val="002C1705"/>
    <w:rsid w:val="002C2A70"/>
    <w:rsid w:val="002C5837"/>
    <w:rsid w:val="002C5E96"/>
    <w:rsid w:val="002C7200"/>
    <w:rsid w:val="002D3FAD"/>
    <w:rsid w:val="002D5B2C"/>
    <w:rsid w:val="002E2516"/>
    <w:rsid w:val="002E4D46"/>
    <w:rsid w:val="002E53A3"/>
    <w:rsid w:val="002E558B"/>
    <w:rsid w:val="002E78D2"/>
    <w:rsid w:val="002F0721"/>
    <w:rsid w:val="002F1E10"/>
    <w:rsid w:val="002F372E"/>
    <w:rsid w:val="002F6C36"/>
    <w:rsid w:val="00301B31"/>
    <w:rsid w:val="00303F3A"/>
    <w:rsid w:val="00306624"/>
    <w:rsid w:val="003100C6"/>
    <w:rsid w:val="003120F6"/>
    <w:rsid w:val="003125C2"/>
    <w:rsid w:val="00313016"/>
    <w:rsid w:val="00313048"/>
    <w:rsid w:val="00313149"/>
    <w:rsid w:val="0031551A"/>
    <w:rsid w:val="0031597C"/>
    <w:rsid w:val="00315B11"/>
    <w:rsid w:val="00317091"/>
    <w:rsid w:val="00321EE5"/>
    <w:rsid w:val="00323B34"/>
    <w:rsid w:val="003256E6"/>
    <w:rsid w:val="00330275"/>
    <w:rsid w:val="00330A2F"/>
    <w:rsid w:val="00331955"/>
    <w:rsid w:val="00331976"/>
    <w:rsid w:val="00332C59"/>
    <w:rsid w:val="003347B7"/>
    <w:rsid w:val="003363B2"/>
    <w:rsid w:val="0033751F"/>
    <w:rsid w:val="00340B81"/>
    <w:rsid w:val="0034297F"/>
    <w:rsid w:val="003429E1"/>
    <w:rsid w:val="00345B58"/>
    <w:rsid w:val="00347A30"/>
    <w:rsid w:val="00352806"/>
    <w:rsid w:val="00353E8B"/>
    <w:rsid w:val="00360042"/>
    <w:rsid w:val="0036218A"/>
    <w:rsid w:val="00363CA9"/>
    <w:rsid w:val="003644D8"/>
    <w:rsid w:val="00364891"/>
    <w:rsid w:val="00365B9B"/>
    <w:rsid w:val="00366FAF"/>
    <w:rsid w:val="00370220"/>
    <w:rsid w:val="00370937"/>
    <w:rsid w:val="00370A2A"/>
    <w:rsid w:val="00371D42"/>
    <w:rsid w:val="00371DBD"/>
    <w:rsid w:val="00372D4C"/>
    <w:rsid w:val="003732D1"/>
    <w:rsid w:val="00373F08"/>
    <w:rsid w:val="003747CA"/>
    <w:rsid w:val="00374FCA"/>
    <w:rsid w:val="0037637A"/>
    <w:rsid w:val="003769CA"/>
    <w:rsid w:val="003803B2"/>
    <w:rsid w:val="003841FB"/>
    <w:rsid w:val="003873C4"/>
    <w:rsid w:val="00387C51"/>
    <w:rsid w:val="00387FD0"/>
    <w:rsid w:val="00391F07"/>
    <w:rsid w:val="00392B37"/>
    <w:rsid w:val="00392C8E"/>
    <w:rsid w:val="00394EAF"/>
    <w:rsid w:val="00395B63"/>
    <w:rsid w:val="00397739"/>
    <w:rsid w:val="00397D8D"/>
    <w:rsid w:val="003A0920"/>
    <w:rsid w:val="003A1357"/>
    <w:rsid w:val="003A3284"/>
    <w:rsid w:val="003A45F3"/>
    <w:rsid w:val="003A51B8"/>
    <w:rsid w:val="003A5655"/>
    <w:rsid w:val="003A5CC1"/>
    <w:rsid w:val="003B0277"/>
    <w:rsid w:val="003B1348"/>
    <w:rsid w:val="003B32C0"/>
    <w:rsid w:val="003B3E6B"/>
    <w:rsid w:val="003B4DAB"/>
    <w:rsid w:val="003B55A0"/>
    <w:rsid w:val="003B58D7"/>
    <w:rsid w:val="003B5E7D"/>
    <w:rsid w:val="003B61C7"/>
    <w:rsid w:val="003C1513"/>
    <w:rsid w:val="003C7EAF"/>
    <w:rsid w:val="003D0711"/>
    <w:rsid w:val="003D38CB"/>
    <w:rsid w:val="003D53C0"/>
    <w:rsid w:val="003D7508"/>
    <w:rsid w:val="003E1ED9"/>
    <w:rsid w:val="003E2006"/>
    <w:rsid w:val="003E219A"/>
    <w:rsid w:val="003E2F84"/>
    <w:rsid w:val="003E3673"/>
    <w:rsid w:val="003F20C7"/>
    <w:rsid w:val="003F283E"/>
    <w:rsid w:val="003F4055"/>
    <w:rsid w:val="003F4FB1"/>
    <w:rsid w:val="003F62BA"/>
    <w:rsid w:val="003F728A"/>
    <w:rsid w:val="00400877"/>
    <w:rsid w:val="00401E72"/>
    <w:rsid w:val="00402443"/>
    <w:rsid w:val="00403A1F"/>
    <w:rsid w:val="00403DF7"/>
    <w:rsid w:val="0040494A"/>
    <w:rsid w:val="00404E44"/>
    <w:rsid w:val="00404EA9"/>
    <w:rsid w:val="0040657E"/>
    <w:rsid w:val="00411B51"/>
    <w:rsid w:val="00411E60"/>
    <w:rsid w:val="00414A42"/>
    <w:rsid w:val="00416267"/>
    <w:rsid w:val="00416306"/>
    <w:rsid w:val="00421153"/>
    <w:rsid w:val="00422770"/>
    <w:rsid w:val="00422E2E"/>
    <w:rsid w:val="004234D3"/>
    <w:rsid w:val="00430F96"/>
    <w:rsid w:val="004311B0"/>
    <w:rsid w:val="00431FE1"/>
    <w:rsid w:val="00432A6C"/>
    <w:rsid w:val="004351DC"/>
    <w:rsid w:val="004376F8"/>
    <w:rsid w:val="00442887"/>
    <w:rsid w:val="00442EEE"/>
    <w:rsid w:val="00444BEE"/>
    <w:rsid w:val="0044576D"/>
    <w:rsid w:val="004461EB"/>
    <w:rsid w:val="00447B87"/>
    <w:rsid w:val="00450423"/>
    <w:rsid w:val="004532D3"/>
    <w:rsid w:val="00453F68"/>
    <w:rsid w:val="00454B64"/>
    <w:rsid w:val="004558D6"/>
    <w:rsid w:val="00456C1A"/>
    <w:rsid w:val="0045719A"/>
    <w:rsid w:val="0045742A"/>
    <w:rsid w:val="004574EC"/>
    <w:rsid w:val="00460045"/>
    <w:rsid w:val="00461622"/>
    <w:rsid w:val="00462253"/>
    <w:rsid w:val="00463EEB"/>
    <w:rsid w:val="00464692"/>
    <w:rsid w:val="00465C75"/>
    <w:rsid w:val="004663A2"/>
    <w:rsid w:val="0046646F"/>
    <w:rsid w:val="0046675F"/>
    <w:rsid w:val="0047102B"/>
    <w:rsid w:val="004712FD"/>
    <w:rsid w:val="00473EF4"/>
    <w:rsid w:val="00474F16"/>
    <w:rsid w:val="0047600A"/>
    <w:rsid w:val="00476166"/>
    <w:rsid w:val="00476E85"/>
    <w:rsid w:val="00477B41"/>
    <w:rsid w:val="00487C8C"/>
    <w:rsid w:val="004918F1"/>
    <w:rsid w:val="004920BB"/>
    <w:rsid w:val="00492530"/>
    <w:rsid w:val="0049649D"/>
    <w:rsid w:val="00496A7F"/>
    <w:rsid w:val="004972C0"/>
    <w:rsid w:val="004A0E04"/>
    <w:rsid w:val="004A1056"/>
    <w:rsid w:val="004A1E00"/>
    <w:rsid w:val="004A266D"/>
    <w:rsid w:val="004A348D"/>
    <w:rsid w:val="004A404E"/>
    <w:rsid w:val="004A5CDF"/>
    <w:rsid w:val="004B148C"/>
    <w:rsid w:val="004B2CB6"/>
    <w:rsid w:val="004B3872"/>
    <w:rsid w:val="004B40D4"/>
    <w:rsid w:val="004B42F5"/>
    <w:rsid w:val="004B4EE5"/>
    <w:rsid w:val="004B7D6D"/>
    <w:rsid w:val="004C0E53"/>
    <w:rsid w:val="004C3D9B"/>
    <w:rsid w:val="004C40DB"/>
    <w:rsid w:val="004C462A"/>
    <w:rsid w:val="004C5D0E"/>
    <w:rsid w:val="004C67F7"/>
    <w:rsid w:val="004C7A64"/>
    <w:rsid w:val="004C7FBC"/>
    <w:rsid w:val="004D0C91"/>
    <w:rsid w:val="004D15A2"/>
    <w:rsid w:val="004D22BE"/>
    <w:rsid w:val="004D3854"/>
    <w:rsid w:val="004D47DB"/>
    <w:rsid w:val="004D57C6"/>
    <w:rsid w:val="004D6D6C"/>
    <w:rsid w:val="004E1FB2"/>
    <w:rsid w:val="004E2F20"/>
    <w:rsid w:val="004E504C"/>
    <w:rsid w:val="004E678F"/>
    <w:rsid w:val="004E7096"/>
    <w:rsid w:val="004E7E99"/>
    <w:rsid w:val="004F115B"/>
    <w:rsid w:val="004F1F43"/>
    <w:rsid w:val="004F4655"/>
    <w:rsid w:val="004F7B3F"/>
    <w:rsid w:val="004F7E18"/>
    <w:rsid w:val="004F7EAD"/>
    <w:rsid w:val="00501B2B"/>
    <w:rsid w:val="00504E16"/>
    <w:rsid w:val="005054BB"/>
    <w:rsid w:val="00514677"/>
    <w:rsid w:val="00514F3B"/>
    <w:rsid w:val="00515477"/>
    <w:rsid w:val="0051733E"/>
    <w:rsid w:val="005208E3"/>
    <w:rsid w:val="00524205"/>
    <w:rsid w:val="00525777"/>
    <w:rsid w:val="0052625B"/>
    <w:rsid w:val="00527576"/>
    <w:rsid w:val="00536B44"/>
    <w:rsid w:val="00540649"/>
    <w:rsid w:val="00545B81"/>
    <w:rsid w:val="00545E04"/>
    <w:rsid w:val="00550067"/>
    <w:rsid w:val="005503D6"/>
    <w:rsid w:val="00553B66"/>
    <w:rsid w:val="0055703F"/>
    <w:rsid w:val="00560129"/>
    <w:rsid w:val="0056099D"/>
    <w:rsid w:val="00563C55"/>
    <w:rsid w:val="005643FE"/>
    <w:rsid w:val="0057017B"/>
    <w:rsid w:val="00571C32"/>
    <w:rsid w:val="00572155"/>
    <w:rsid w:val="00574F85"/>
    <w:rsid w:val="005750D1"/>
    <w:rsid w:val="005753F0"/>
    <w:rsid w:val="00576689"/>
    <w:rsid w:val="00576F6C"/>
    <w:rsid w:val="00580144"/>
    <w:rsid w:val="00580861"/>
    <w:rsid w:val="00581F4A"/>
    <w:rsid w:val="00582C8A"/>
    <w:rsid w:val="005833BD"/>
    <w:rsid w:val="005867F5"/>
    <w:rsid w:val="005874E9"/>
    <w:rsid w:val="005A101F"/>
    <w:rsid w:val="005A1550"/>
    <w:rsid w:val="005A3B0F"/>
    <w:rsid w:val="005A444E"/>
    <w:rsid w:val="005A5B62"/>
    <w:rsid w:val="005B4424"/>
    <w:rsid w:val="005B5501"/>
    <w:rsid w:val="005B6280"/>
    <w:rsid w:val="005C013E"/>
    <w:rsid w:val="005C1097"/>
    <w:rsid w:val="005C1D94"/>
    <w:rsid w:val="005C2C02"/>
    <w:rsid w:val="005C4541"/>
    <w:rsid w:val="005C4F47"/>
    <w:rsid w:val="005C5081"/>
    <w:rsid w:val="005C5874"/>
    <w:rsid w:val="005C6C4F"/>
    <w:rsid w:val="005C753B"/>
    <w:rsid w:val="005D0655"/>
    <w:rsid w:val="005D1951"/>
    <w:rsid w:val="005D25D1"/>
    <w:rsid w:val="005D29D5"/>
    <w:rsid w:val="005D2DF1"/>
    <w:rsid w:val="005D437F"/>
    <w:rsid w:val="005D51B5"/>
    <w:rsid w:val="005D7E1F"/>
    <w:rsid w:val="005E1097"/>
    <w:rsid w:val="005E114A"/>
    <w:rsid w:val="005E25FF"/>
    <w:rsid w:val="005E3691"/>
    <w:rsid w:val="005E6236"/>
    <w:rsid w:val="005E70C2"/>
    <w:rsid w:val="005E762A"/>
    <w:rsid w:val="005E776F"/>
    <w:rsid w:val="005F0BBD"/>
    <w:rsid w:val="005F1F8C"/>
    <w:rsid w:val="005F21CD"/>
    <w:rsid w:val="005F3640"/>
    <w:rsid w:val="005F44C1"/>
    <w:rsid w:val="005F6A38"/>
    <w:rsid w:val="00600C38"/>
    <w:rsid w:val="0060208A"/>
    <w:rsid w:val="0060334D"/>
    <w:rsid w:val="0060368F"/>
    <w:rsid w:val="00604453"/>
    <w:rsid w:val="006052B6"/>
    <w:rsid w:val="006056B1"/>
    <w:rsid w:val="006063A6"/>
    <w:rsid w:val="0061013B"/>
    <w:rsid w:val="00610586"/>
    <w:rsid w:val="00611D79"/>
    <w:rsid w:val="00616863"/>
    <w:rsid w:val="00616AF9"/>
    <w:rsid w:val="00617F7A"/>
    <w:rsid w:val="0062080A"/>
    <w:rsid w:val="00621A17"/>
    <w:rsid w:val="00623888"/>
    <w:rsid w:val="00623D41"/>
    <w:rsid w:val="006245A1"/>
    <w:rsid w:val="00625ACC"/>
    <w:rsid w:val="00632BE9"/>
    <w:rsid w:val="006333CE"/>
    <w:rsid w:val="006338E1"/>
    <w:rsid w:val="00633F77"/>
    <w:rsid w:val="00634938"/>
    <w:rsid w:val="00635A72"/>
    <w:rsid w:val="00636BBB"/>
    <w:rsid w:val="006373B2"/>
    <w:rsid w:val="00641EC0"/>
    <w:rsid w:val="00643612"/>
    <w:rsid w:val="006436C6"/>
    <w:rsid w:val="00643E10"/>
    <w:rsid w:val="00644F1B"/>
    <w:rsid w:val="0064520F"/>
    <w:rsid w:val="00645737"/>
    <w:rsid w:val="00645DC0"/>
    <w:rsid w:val="00650F66"/>
    <w:rsid w:val="006533E2"/>
    <w:rsid w:val="006534FC"/>
    <w:rsid w:val="00660B39"/>
    <w:rsid w:val="00662A4D"/>
    <w:rsid w:val="0066385D"/>
    <w:rsid w:val="006645FA"/>
    <w:rsid w:val="00665778"/>
    <w:rsid w:val="00666725"/>
    <w:rsid w:val="00670428"/>
    <w:rsid w:val="00670ED6"/>
    <w:rsid w:val="00672F4A"/>
    <w:rsid w:val="0067395A"/>
    <w:rsid w:val="00674468"/>
    <w:rsid w:val="00675C6F"/>
    <w:rsid w:val="0067701B"/>
    <w:rsid w:val="0068144B"/>
    <w:rsid w:val="00682906"/>
    <w:rsid w:val="00684C2B"/>
    <w:rsid w:val="00685876"/>
    <w:rsid w:val="00686B7E"/>
    <w:rsid w:val="00691937"/>
    <w:rsid w:val="006954CD"/>
    <w:rsid w:val="00695C8D"/>
    <w:rsid w:val="00696A4C"/>
    <w:rsid w:val="006A12C3"/>
    <w:rsid w:val="006A19E3"/>
    <w:rsid w:val="006A2ECC"/>
    <w:rsid w:val="006A5C6C"/>
    <w:rsid w:val="006A6980"/>
    <w:rsid w:val="006A7561"/>
    <w:rsid w:val="006A7F1B"/>
    <w:rsid w:val="006B1D12"/>
    <w:rsid w:val="006B266F"/>
    <w:rsid w:val="006B2FA0"/>
    <w:rsid w:val="006B4DD0"/>
    <w:rsid w:val="006B6803"/>
    <w:rsid w:val="006B684F"/>
    <w:rsid w:val="006B6B20"/>
    <w:rsid w:val="006B7153"/>
    <w:rsid w:val="006B74B3"/>
    <w:rsid w:val="006C10CA"/>
    <w:rsid w:val="006C192E"/>
    <w:rsid w:val="006C2604"/>
    <w:rsid w:val="006C3D55"/>
    <w:rsid w:val="006C5C2A"/>
    <w:rsid w:val="006C5E40"/>
    <w:rsid w:val="006C5FA8"/>
    <w:rsid w:val="006C617B"/>
    <w:rsid w:val="006C634D"/>
    <w:rsid w:val="006C6BB5"/>
    <w:rsid w:val="006D0759"/>
    <w:rsid w:val="006D0F58"/>
    <w:rsid w:val="006D250D"/>
    <w:rsid w:val="006D3452"/>
    <w:rsid w:val="006D3E4F"/>
    <w:rsid w:val="006D44A5"/>
    <w:rsid w:val="006D66AD"/>
    <w:rsid w:val="006D7AF1"/>
    <w:rsid w:val="006E0B77"/>
    <w:rsid w:val="006E0CD4"/>
    <w:rsid w:val="006E117F"/>
    <w:rsid w:val="006E3066"/>
    <w:rsid w:val="006E3D5B"/>
    <w:rsid w:val="006E4381"/>
    <w:rsid w:val="006E51CF"/>
    <w:rsid w:val="006E57C0"/>
    <w:rsid w:val="006E5C37"/>
    <w:rsid w:val="006E7972"/>
    <w:rsid w:val="006F2315"/>
    <w:rsid w:val="006F27D9"/>
    <w:rsid w:val="006F3C68"/>
    <w:rsid w:val="006F451B"/>
    <w:rsid w:val="006F5758"/>
    <w:rsid w:val="006F5CED"/>
    <w:rsid w:val="006F6264"/>
    <w:rsid w:val="0070001E"/>
    <w:rsid w:val="00700BBF"/>
    <w:rsid w:val="00706CD8"/>
    <w:rsid w:val="00706D2B"/>
    <w:rsid w:val="007109C0"/>
    <w:rsid w:val="00716BE8"/>
    <w:rsid w:val="00720C71"/>
    <w:rsid w:val="00722CB3"/>
    <w:rsid w:val="00724297"/>
    <w:rsid w:val="00731149"/>
    <w:rsid w:val="00733E6F"/>
    <w:rsid w:val="007343BC"/>
    <w:rsid w:val="00735D47"/>
    <w:rsid w:val="00737825"/>
    <w:rsid w:val="00737DEE"/>
    <w:rsid w:val="00741936"/>
    <w:rsid w:val="00741C27"/>
    <w:rsid w:val="00741DC9"/>
    <w:rsid w:val="007434ED"/>
    <w:rsid w:val="00744FDB"/>
    <w:rsid w:val="00750BE8"/>
    <w:rsid w:val="00750E9B"/>
    <w:rsid w:val="0075127A"/>
    <w:rsid w:val="00752DAD"/>
    <w:rsid w:val="00753BF9"/>
    <w:rsid w:val="00754B91"/>
    <w:rsid w:val="00757FA8"/>
    <w:rsid w:val="00760612"/>
    <w:rsid w:val="00761EF8"/>
    <w:rsid w:val="007621B2"/>
    <w:rsid w:val="007631AA"/>
    <w:rsid w:val="00763A33"/>
    <w:rsid w:val="00764025"/>
    <w:rsid w:val="00764132"/>
    <w:rsid w:val="00764EAB"/>
    <w:rsid w:val="00765892"/>
    <w:rsid w:val="007717A1"/>
    <w:rsid w:val="007727C9"/>
    <w:rsid w:val="00772B17"/>
    <w:rsid w:val="0077473D"/>
    <w:rsid w:val="007747C5"/>
    <w:rsid w:val="00775366"/>
    <w:rsid w:val="007756A3"/>
    <w:rsid w:val="00777D8B"/>
    <w:rsid w:val="007833A4"/>
    <w:rsid w:val="007847E5"/>
    <w:rsid w:val="00785C28"/>
    <w:rsid w:val="00786F52"/>
    <w:rsid w:val="007908CD"/>
    <w:rsid w:val="00790A3B"/>
    <w:rsid w:val="00790CBE"/>
    <w:rsid w:val="00794B5F"/>
    <w:rsid w:val="007952B5"/>
    <w:rsid w:val="007974CE"/>
    <w:rsid w:val="007A0272"/>
    <w:rsid w:val="007A0F20"/>
    <w:rsid w:val="007A1787"/>
    <w:rsid w:val="007A1830"/>
    <w:rsid w:val="007A5498"/>
    <w:rsid w:val="007A5AD0"/>
    <w:rsid w:val="007A61A4"/>
    <w:rsid w:val="007A6551"/>
    <w:rsid w:val="007A6FB6"/>
    <w:rsid w:val="007A7A3C"/>
    <w:rsid w:val="007A7AEC"/>
    <w:rsid w:val="007B13C6"/>
    <w:rsid w:val="007B2A05"/>
    <w:rsid w:val="007B6C86"/>
    <w:rsid w:val="007C32A0"/>
    <w:rsid w:val="007C5A18"/>
    <w:rsid w:val="007C6D6F"/>
    <w:rsid w:val="007D0F84"/>
    <w:rsid w:val="007D0FEA"/>
    <w:rsid w:val="007D1723"/>
    <w:rsid w:val="007D17A2"/>
    <w:rsid w:val="007D1F23"/>
    <w:rsid w:val="007D2268"/>
    <w:rsid w:val="007D38C5"/>
    <w:rsid w:val="007D5AF4"/>
    <w:rsid w:val="007D62A3"/>
    <w:rsid w:val="007D6D35"/>
    <w:rsid w:val="007D76BC"/>
    <w:rsid w:val="007E0DF5"/>
    <w:rsid w:val="007E6A68"/>
    <w:rsid w:val="007E718A"/>
    <w:rsid w:val="007E76C6"/>
    <w:rsid w:val="007F064F"/>
    <w:rsid w:val="007F24DB"/>
    <w:rsid w:val="007F2B6D"/>
    <w:rsid w:val="007F2B7E"/>
    <w:rsid w:val="007F2DEB"/>
    <w:rsid w:val="007F3BB1"/>
    <w:rsid w:val="007F4B81"/>
    <w:rsid w:val="007F6F2A"/>
    <w:rsid w:val="00801585"/>
    <w:rsid w:val="00801BE6"/>
    <w:rsid w:val="00804A3F"/>
    <w:rsid w:val="00805FC1"/>
    <w:rsid w:val="00810317"/>
    <w:rsid w:val="00810DD2"/>
    <w:rsid w:val="00811511"/>
    <w:rsid w:val="008116BF"/>
    <w:rsid w:val="0081226D"/>
    <w:rsid w:val="00816F44"/>
    <w:rsid w:val="00822142"/>
    <w:rsid w:val="0082298E"/>
    <w:rsid w:val="0082361A"/>
    <w:rsid w:val="00823ADD"/>
    <w:rsid w:val="00823C70"/>
    <w:rsid w:val="008267BB"/>
    <w:rsid w:val="0083240A"/>
    <w:rsid w:val="0083332A"/>
    <w:rsid w:val="00833757"/>
    <w:rsid w:val="008340F0"/>
    <w:rsid w:val="008353F0"/>
    <w:rsid w:val="00836237"/>
    <w:rsid w:val="0083696B"/>
    <w:rsid w:val="00842128"/>
    <w:rsid w:val="00846E7D"/>
    <w:rsid w:val="00847419"/>
    <w:rsid w:val="00853611"/>
    <w:rsid w:val="008540F9"/>
    <w:rsid w:val="00854594"/>
    <w:rsid w:val="008551BC"/>
    <w:rsid w:val="00856200"/>
    <w:rsid w:val="00861EC9"/>
    <w:rsid w:val="00861ECD"/>
    <w:rsid w:val="00861FAD"/>
    <w:rsid w:val="008640E8"/>
    <w:rsid w:val="0086499D"/>
    <w:rsid w:val="00865299"/>
    <w:rsid w:val="008659B8"/>
    <w:rsid w:val="00866292"/>
    <w:rsid w:val="008670CE"/>
    <w:rsid w:val="00871DBB"/>
    <w:rsid w:val="00874305"/>
    <w:rsid w:val="0087439B"/>
    <w:rsid w:val="0087453C"/>
    <w:rsid w:val="00874877"/>
    <w:rsid w:val="008751F2"/>
    <w:rsid w:val="0088001E"/>
    <w:rsid w:val="008856DA"/>
    <w:rsid w:val="00890D25"/>
    <w:rsid w:val="00891207"/>
    <w:rsid w:val="00891B6F"/>
    <w:rsid w:val="00891BAC"/>
    <w:rsid w:val="00892507"/>
    <w:rsid w:val="00892E32"/>
    <w:rsid w:val="00893F99"/>
    <w:rsid w:val="008960FD"/>
    <w:rsid w:val="0089722F"/>
    <w:rsid w:val="00897F2C"/>
    <w:rsid w:val="008A0471"/>
    <w:rsid w:val="008A0E6C"/>
    <w:rsid w:val="008A170E"/>
    <w:rsid w:val="008A43F2"/>
    <w:rsid w:val="008A4422"/>
    <w:rsid w:val="008A46A6"/>
    <w:rsid w:val="008A4A7F"/>
    <w:rsid w:val="008A4BFF"/>
    <w:rsid w:val="008A53B7"/>
    <w:rsid w:val="008A64BF"/>
    <w:rsid w:val="008A6CC9"/>
    <w:rsid w:val="008A7176"/>
    <w:rsid w:val="008A77ED"/>
    <w:rsid w:val="008B13B0"/>
    <w:rsid w:val="008B1948"/>
    <w:rsid w:val="008B2F3E"/>
    <w:rsid w:val="008C1B42"/>
    <w:rsid w:val="008C5536"/>
    <w:rsid w:val="008C5808"/>
    <w:rsid w:val="008C5A08"/>
    <w:rsid w:val="008C74EA"/>
    <w:rsid w:val="008D16DE"/>
    <w:rsid w:val="008D5995"/>
    <w:rsid w:val="008D5BC6"/>
    <w:rsid w:val="008D6167"/>
    <w:rsid w:val="008D65CF"/>
    <w:rsid w:val="008D7055"/>
    <w:rsid w:val="008D73A5"/>
    <w:rsid w:val="008E00D8"/>
    <w:rsid w:val="008E0357"/>
    <w:rsid w:val="008E119E"/>
    <w:rsid w:val="008E12A5"/>
    <w:rsid w:val="008E160B"/>
    <w:rsid w:val="008E43A1"/>
    <w:rsid w:val="008E7774"/>
    <w:rsid w:val="008E77D5"/>
    <w:rsid w:val="008F0A61"/>
    <w:rsid w:val="008F18D6"/>
    <w:rsid w:val="008F24C6"/>
    <w:rsid w:val="008F5321"/>
    <w:rsid w:val="008F655B"/>
    <w:rsid w:val="008F6C8E"/>
    <w:rsid w:val="00900834"/>
    <w:rsid w:val="0090154C"/>
    <w:rsid w:val="00901CAE"/>
    <w:rsid w:val="009031E2"/>
    <w:rsid w:val="00904FE3"/>
    <w:rsid w:val="0090602E"/>
    <w:rsid w:val="00906601"/>
    <w:rsid w:val="00906ECB"/>
    <w:rsid w:val="0090773B"/>
    <w:rsid w:val="00907B26"/>
    <w:rsid w:val="00911912"/>
    <w:rsid w:val="00911C05"/>
    <w:rsid w:val="009129C9"/>
    <w:rsid w:val="00913036"/>
    <w:rsid w:val="00914DB9"/>
    <w:rsid w:val="009150DD"/>
    <w:rsid w:val="00916721"/>
    <w:rsid w:val="00916741"/>
    <w:rsid w:val="0092151D"/>
    <w:rsid w:val="00921E8B"/>
    <w:rsid w:val="0092233F"/>
    <w:rsid w:val="00923A16"/>
    <w:rsid w:val="00925799"/>
    <w:rsid w:val="00925B9F"/>
    <w:rsid w:val="0092640F"/>
    <w:rsid w:val="00926CE7"/>
    <w:rsid w:val="00927335"/>
    <w:rsid w:val="00930422"/>
    <w:rsid w:val="009323A6"/>
    <w:rsid w:val="00933BB5"/>
    <w:rsid w:val="0093420F"/>
    <w:rsid w:val="009342A1"/>
    <w:rsid w:val="00934F6A"/>
    <w:rsid w:val="00935457"/>
    <w:rsid w:val="00935F91"/>
    <w:rsid w:val="00941984"/>
    <w:rsid w:val="009421EE"/>
    <w:rsid w:val="009458B2"/>
    <w:rsid w:val="00947C2B"/>
    <w:rsid w:val="00952771"/>
    <w:rsid w:val="00955756"/>
    <w:rsid w:val="00960248"/>
    <w:rsid w:val="00960758"/>
    <w:rsid w:val="00961471"/>
    <w:rsid w:val="009621A6"/>
    <w:rsid w:val="0096237B"/>
    <w:rsid w:val="00964995"/>
    <w:rsid w:val="009654CA"/>
    <w:rsid w:val="009659AF"/>
    <w:rsid w:val="00966CA0"/>
    <w:rsid w:val="00967C81"/>
    <w:rsid w:val="0097120D"/>
    <w:rsid w:val="00972823"/>
    <w:rsid w:val="00972BE3"/>
    <w:rsid w:val="00973129"/>
    <w:rsid w:val="00973D4C"/>
    <w:rsid w:val="00974D24"/>
    <w:rsid w:val="00975044"/>
    <w:rsid w:val="00976AB3"/>
    <w:rsid w:val="009816F0"/>
    <w:rsid w:val="009837E9"/>
    <w:rsid w:val="00984D29"/>
    <w:rsid w:val="00985C5C"/>
    <w:rsid w:val="009863C5"/>
    <w:rsid w:val="00986EB5"/>
    <w:rsid w:val="00987773"/>
    <w:rsid w:val="00990616"/>
    <w:rsid w:val="00991D7B"/>
    <w:rsid w:val="00992AEA"/>
    <w:rsid w:val="009957A3"/>
    <w:rsid w:val="009A07D2"/>
    <w:rsid w:val="009A084F"/>
    <w:rsid w:val="009A0861"/>
    <w:rsid w:val="009A113E"/>
    <w:rsid w:val="009A2C64"/>
    <w:rsid w:val="009A2E37"/>
    <w:rsid w:val="009A38B9"/>
    <w:rsid w:val="009A5528"/>
    <w:rsid w:val="009A590D"/>
    <w:rsid w:val="009A6251"/>
    <w:rsid w:val="009A62EB"/>
    <w:rsid w:val="009A648E"/>
    <w:rsid w:val="009B0049"/>
    <w:rsid w:val="009B08A9"/>
    <w:rsid w:val="009B25C4"/>
    <w:rsid w:val="009B373E"/>
    <w:rsid w:val="009B3B35"/>
    <w:rsid w:val="009B42DB"/>
    <w:rsid w:val="009B73FF"/>
    <w:rsid w:val="009C10A0"/>
    <w:rsid w:val="009C1452"/>
    <w:rsid w:val="009C1D0D"/>
    <w:rsid w:val="009C500E"/>
    <w:rsid w:val="009C5EEA"/>
    <w:rsid w:val="009C6048"/>
    <w:rsid w:val="009C6E69"/>
    <w:rsid w:val="009D2551"/>
    <w:rsid w:val="009D27CA"/>
    <w:rsid w:val="009D4758"/>
    <w:rsid w:val="009D7074"/>
    <w:rsid w:val="009D7CA0"/>
    <w:rsid w:val="009E2380"/>
    <w:rsid w:val="009E2FE1"/>
    <w:rsid w:val="009E6617"/>
    <w:rsid w:val="009F1A0C"/>
    <w:rsid w:val="009F1B57"/>
    <w:rsid w:val="009F1D9C"/>
    <w:rsid w:val="009F5379"/>
    <w:rsid w:val="009F5C58"/>
    <w:rsid w:val="00A025E9"/>
    <w:rsid w:val="00A02AA0"/>
    <w:rsid w:val="00A02CDC"/>
    <w:rsid w:val="00A05F25"/>
    <w:rsid w:val="00A06537"/>
    <w:rsid w:val="00A066DE"/>
    <w:rsid w:val="00A117F8"/>
    <w:rsid w:val="00A11882"/>
    <w:rsid w:val="00A12991"/>
    <w:rsid w:val="00A12E00"/>
    <w:rsid w:val="00A1348A"/>
    <w:rsid w:val="00A13E78"/>
    <w:rsid w:val="00A15188"/>
    <w:rsid w:val="00A1698B"/>
    <w:rsid w:val="00A17C46"/>
    <w:rsid w:val="00A21BB4"/>
    <w:rsid w:val="00A228A7"/>
    <w:rsid w:val="00A2335F"/>
    <w:rsid w:val="00A23E28"/>
    <w:rsid w:val="00A246A1"/>
    <w:rsid w:val="00A254ED"/>
    <w:rsid w:val="00A25E24"/>
    <w:rsid w:val="00A26451"/>
    <w:rsid w:val="00A270D7"/>
    <w:rsid w:val="00A33CC1"/>
    <w:rsid w:val="00A34668"/>
    <w:rsid w:val="00A358BD"/>
    <w:rsid w:val="00A36111"/>
    <w:rsid w:val="00A37960"/>
    <w:rsid w:val="00A415E2"/>
    <w:rsid w:val="00A420AF"/>
    <w:rsid w:val="00A42A82"/>
    <w:rsid w:val="00A42ADA"/>
    <w:rsid w:val="00A430C0"/>
    <w:rsid w:val="00A43F06"/>
    <w:rsid w:val="00A44286"/>
    <w:rsid w:val="00A50316"/>
    <w:rsid w:val="00A50558"/>
    <w:rsid w:val="00A523C4"/>
    <w:rsid w:val="00A52877"/>
    <w:rsid w:val="00A529BC"/>
    <w:rsid w:val="00A54402"/>
    <w:rsid w:val="00A54DFF"/>
    <w:rsid w:val="00A574BC"/>
    <w:rsid w:val="00A606C1"/>
    <w:rsid w:val="00A64AF2"/>
    <w:rsid w:val="00A66D48"/>
    <w:rsid w:val="00A71FB5"/>
    <w:rsid w:val="00A72EC2"/>
    <w:rsid w:val="00A762A6"/>
    <w:rsid w:val="00A77580"/>
    <w:rsid w:val="00A775E1"/>
    <w:rsid w:val="00A778EC"/>
    <w:rsid w:val="00A81226"/>
    <w:rsid w:val="00A81F8B"/>
    <w:rsid w:val="00A8268B"/>
    <w:rsid w:val="00A82D88"/>
    <w:rsid w:val="00A8390B"/>
    <w:rsid w:val="00A84CCB"/>
    <w:rsid w:val="00A85253"/>
    <w:rsid w:val="00A85C63"/>
    <w:rsid w:val="00A87A31"/>
    <w:rsid w:val="00A87AF8"/>
    <w:rsid w:val="00A90549"/>
    <w:rsid w:val="00A90AD3"/>
    <w:rsid w:val="00A90AE9"/>
    <w:rsid w:val="00A90FEF"/>
    <w:rsid w:val="00A91B36"/>
    <w:rsid w:val="00A93BE4"/>
    <w:rsid w:val="00A961A2"/>
    <w:rsid w:val="00A976F2"/>
    <w:rsid w:val="00AA043E"/>
    <w:rsid w:val="00AA0BF8"/>
    <w:rsid w:val="00AA208B"/>
    <w:rsid w:val="00AA3B24"/>
    <w:rsid w:val="00AA4A04"/>
    <w:rsid w:val="00AA55AC"/>
    <w:rsid w:val="00AA6E85"/>
    <w:rsid w:val="00AA7C22"/>
    <w:rsid w:val="00AB0ED3"/>
    <w:rsid w:val="00AB13D2"/>
    <w:rsid w:val="00AB18D8"/>
    <w:rsid w:val="00AB2676"/>
    <w:rsid w:val="00AB3E9B"/>
    <w:rsid w:val="00AB492A"/>
    <w:rsid w:val="00AB4DE5"/>
    <w:rsid w:val="00AB552B"/>
    <w:rsid w:val="00AB56F3"/>
    <w:rsid w:val="00AC1298"/>
    <w:rsid w:val="00AC368C"/>
    <w:rsid w:val="00AC382C"/>
    <w:rsid w:val="00AC51F6"/>
    <w:rsid w:val="00AC57D7"/>
    <w:rsid w:val="00AC7987"/>
    <w:rsid w:val="00AD1853"/>
    <w:rsid w:val="00AD4080"/>
    <w:rsid w:val="00AD5BD1"/>
    <w:rsid w:val="00AD62CC"/>
    <w:rsid w:val="00AE15A4"/>
    <w:rsid w:val="00AE2A48"/>
    <w:rsid w:val="00AE2B26"/>
    <w:rsid w:val="00AE4067"/>
    <w:rsid w:val="00AE430B"/>
    <w:rsid w:val="00AF03FC"/>
    <w:rsid w:val="00AF17E2"/>
    <w:rsid w:val="00AF2CA2"/>
    <w:rsid w:val="00AF454B"/>
    <w:rsid w:val="00AF6163"/>
    <w:rsid w:val="00AF6894"/>
    <w:rsid w:val="00AF6AC7"/>
    <w:rsid w:val="00AF78F4"/>
    <w:rsid w:val="00B00958"/>
    <w:rsid w:val="00B00980"/>
    <w:rsid w:val="00B00A1F"/>
    <w:rsid w:val="00B00ECB"/>
    <w:rsid w:val="00B02F94"/>
    <w:rsid w:val="00B030C6"/>
    <w:rsid w:val="00B0511D"/>
    <w:rsid w:val="00B0566A"/>
    <w:rsid w:val="00B060F3"/>
    <w:rsid w:val="00B0662B"/>
    <w:rsid w:val="00B10611"/>
    <w:rsid w:val="00B10A55"/>
    <w:rsid w:val="00B11283"/>
    <w:rsid w:val="00B12961"/>
    <w:rsid w:val="00B13AD0"/>
    <w:rsid w:val="00B14CF1"/>
    <w:rsid w:val="00B15D0B"/>
    <w:rsid w:val="00B174C1"/>
    <w:rsid w:val="00B211F8"/>
    <w:rsid w:val="00B21F3A"/>
    <w:rsid w:val="00B2247B"/>
    <w:rsid w:val="00B225A9"/>
    <w:rsid w:val="00B22FB5"/>
    <w:rsid w:val="00B2475F"/>
    <w:rsid w:val="00B26282"/>
    <w:rsid w:val="00B27762"/>
    <w:rsid w:val="00B31465"/>
    <w:rsid w:val="00B3150E"/>
    <w:rsid w:val="00B34CED"/>
    <w:rsid w:val="00B3547A"/>
    <w:rsid w:val="00B364FC"/>
    <w:rsid w:val="00B36A9E"/>
    <w:rsid w:val="00B37AB3"/>
    <w:rsid w:val="00B43844"/>
    <w:rsid w:val="00B4399F"/>
    <w:rsid w:val="00B46DF7"/>
    <w:rsid w:val="00B47220"/>
    <w:rsid w:val="00B473F2"/>
    <w:rsid w:val="00B51B93"/>
    <w:rsid w:val="00B528CB"/>
    <w:rsid w:val="00B55CDC"/>
    <w:rsid w:val="00B57D18"/>
    <w:rsid w:val="00B613F7"/>
    <w:rsid w:val="00B621D5"/>
    <w:rsid w:val="00B6238A"/>
    <w:rsid w:val="00B64DB1"/>
    <w:rsid w:val="00B654D5"/>
    <w:rsid w:val="00B657F0"/>
    <w:rsid w:val="00B66262"/>
    <w:rsid w:val="00B66926"/>
    <w:rsid w:val="00B67647"/>
    <w:rsid w:val="00B67CAA"/>
    <w:rsid w:val="00B715B9"/>
    <w:rsid w:val="00B71954"/>
    <w:rsid w:val="00B71D64"/>
    <w:rsid w:val="00B72B73"/>
    <w:rsid w:val="00B7366A"/>
    <w:rsid w:val="00B7395A"/>
    <w:rsid w:val="00B7419D"/>
    <w:rsid w:val="00B75C8D"/>
    <w:rsid w:val="00B80D31"/>
    <w:rsid w:val="00B82019"/>
    <w:rsid w:val="00B822B2"/>
    <w:rsid w:val="00B82497"/>
    <w:rsid w:val="00B82C6E"/>
    <w:rsid w:val="00B83567"/>
    <w:rsid w:val="00B84846"/>
    <w:rsid w:val="00B84D94"/>
    <w:rsid w:val="00B8569E"/>
    <w:rsid w:val="00B9000D"/>
    <w:rsid w:val="00B92273"/>
    <w:rsid w:val="00B96B01"/>
    <w:rsid w:val="00B96F72"/>
    <w:rsid w:val="00B97DB3"/>
    <w:rsid w:val="00BA1280"/>
    <w:rsid w:val="00BA2C09"/>
    <w:rsid w:val="00BA2F74"/>
    <w:rsid w:val="00BA5033"/>
    <w:rsid w:val="00BB00A3"/>
    <w:rsid w:val="00BB02A6"/>
    <w:rsid w:val="00BB056D"/>
    <w:rsid w:val="00BB1EFF"/>
    <w:rsid w:val="00BB200E"/>
    <w:rsid w:val="00BB23F1"/>
    <w:rsid w:val="00BB3037"/>
    <w:rsid w:val="00BB53EB"/>
    <w:rsid w:val="00BB607D"/>
    <w:rsid w:val="00BB61E8"/>
    <w:rsid w:val="00BB67B8"/>
    <w:rsid w:val="00BB7A03"/>
    <w:rsid w:val="00BC0A42"/>
    <w:rsid w:val="00BC1E52"/>
    <w:rsid w:val="00BC1F8E"/>
    <w:rsid w:val="00BC2B1D"/>
    <w:rsid w:val="00BC35DF"/>
    <w:rsid w:val="00BC5AC8"/>
    <w:rsid w:val="00BC680F"/>
    <w:rsid w:val="00BC6EEA"/>
    <w:rsid w:val="00BD03E6"/>
    <w:rsid w:val="00BD094D"/>
    <w:rsid w:val="00BD1292"/>
    <w:rsid w:val="00BD5E53"/>
    <w:rsid w:val="00BE0410"/>
    <w:rsid w:val="00BE1D89"/>
    <w:rsid w:val="00BE1E77"/>
    <w:rsid w:val="00BE2A98"/>
    <w:rsid w:val="00BE7685"/>
    <w:rsid w:val="00BE788E"/>
    <w:rsid w:val="00BF0A42"/>
    <w:rsid w:val="00BF4390"/>
    <w:rsid w:val="00BF501C"/>
    <w:rsid w:val="00BF6C15"/>
    <w:rsid w:val="00BF758C"/>
    <w:rsid w:val="00C00E77"/>
    <w:rsid w:val="00C01F2B"/>
    <w:rsid w:val="00C045E3"/>
    <w:rsid w:val="00C057EB"/>
    <w:rsid w:val="00C072CB"/>
    <w:rsid w:val="00C0731A"/>
    <w:rsid w:val="00C10C76"/>
    <w:rsid w:val="00C11417"/>
    <w:rsid w:val="00C11437"/>
    <w:rsid w:val="00C12791"/>
    <w:rsid w:val="00C13293"/>
    <w:rsid w:val="00C13E0A"/>
    <w:rsid w:val="00C1546C"/>
    <w:rsid w:val="00C161E2"/>
    <w:rsid w:val="00C165E6"/>
    <w:rsid w:val="00C1720B"/>
    <w:rsid w:val="00C17C67"/>
    <w:rsid w:val="00C2228E"/>
    <w:rsid w:val="00C2237F"/>
    <w:rsid w:val="00C22E70"/>
    <w:rsid w:val="00C24BFD"/>
    <w:rsid w:val="00C312BD"/>
    <w:rsid w:val="00C31E73"/>
    <w:rsid w:val="00C3219A"/>
    <w:rsid w:val="00C34AC3"/>
    <w:rsid w:val="00C36965"/>
    <w:rsid w:val="00C3798B"/>
    <w:rsid w:val="00C418BC"/>
    <w:rsid w:val="00C42CCC"/>
    <w:rsid w:val="00C437E3"/>
    <w:rsid w:val="00C442FE"/>
    <w:rsid w:val="00C44304"/>
    <w:rsid w:val="00C44DE5"/>
    <w:rsid w:val="00C45441"/>
    <w:rsid w:val="00C454BA"/>
    <w:rsid w:val="00C45F24"/>
    <w:rsid w:val="00C47EA8"/>
    <w:rsid w:val="00C523A9"/>
    <w:rsid w:val="00C524A9"/>
    <w:rsid w:val="00C52ADA"/>
    <w:rsid w:val="00C53363"/>
    <w:rsid w:val="00C55548"/>
    <w:rsid w:val="00C56131"/>
    <w:rsid w:val="00C62172"/>
    <w:rsid w:val="00C66027"/>
    <w:rsid w:val="00C71318"/>
    <w:rsid w:val="00C729AB"/>
    <w:rsid w:val="00C731F3"/>
    <w:rsid w:val="00C74363"/>
    <w:rsid w:val="00C80562"/>
    <w:rsid w:val="00C80B56"/>
    <w:rsid w:val="00C8227B"/>
    <w:rsid w:val="00C83A1A"/>
    <w:rsid w:val="00C83DBD"/>
    <w:rsid w:val="00C8535C"/>
    <w:rsid w:val="00C85EDE"/>
    <w:rsid w:val="00C86F48"/>
    <w:rsid w:val="00C870AB"/>
    <w:rsid w:val="00C87318"/>
    <w:rsid w:val="00C92887"/>
    <w:rsid w:val="00C92C69"/>
    <w:rsid w:val="00C932EB"/>
    <w:rsid w:val="00C94052"/>
    <w:rsid w:val="00C942AC"/>
    <w:rsid w:val="00C94AB7"/>
    <w:rsid w:val="00C95744"/>
    <w:rsid w:val="00C95D8E"/>
    <w:rsid w:val="00C9724C"/>
    <w:rsid w:val="00CA06A8"/>
    <w:rsid w:val="00CA1AA8"/>
    <w:rsid w:val="00CA1C58"/>
    <w:rsid w:val="00CA38D4"/>
    <w:rsid w:val="00CA51C5"/>
    <w:rsid w:val="00CA7030"/>
    <w:rsid w:val="00CA7D93"/>
    <w:rsid w:val="00CA7F5E"/>
    <w:rsid w:val="00CB166B"/>
    <w:rsid w:val="00CB3407"/>
    <w:rsid w:val="00CB3E8A"/>
    <w:rsid w:val="00CB48DD"/>
    <w:rsid w:val="00CB59DE"/>
    <w:rsid w:val="00CB7774"/>
    <w:rsid w:val="00CC083D"/>
    <w:rsid w:val="00CC1326"/>
    <w:rsid w:val="00CC239B"/>
    <w:rsid w:val="00CC2638"/>
    <w:rsid w:val="00CC34D0"/>
    <w:rsid w:val="00CC416F"/>
    <w:rsid w:val="00CC461E"/>
    <w:rsid w:val="00CC4CA4"/>
    <w:rsid w:val="00CC5813"/>
    <w:rsid w:val="00CC747F"/>
    <w:rsid w:val="00CC7767"/>
    <w:rsid w:val="00CD2F6C"/>
    <w:rsid w:val="00CD33BA"/>
    <w:rsid w:val="00CD486F"/>
    <w:rsid w:val="00CD4A41"/>
    <w:rsid w:val="00CD5184"/>
    <w:rsid w:val="00CD6957"/>
    <w:rsid w:val="00CD7E28"/>
    <w:rsid w:val="00CE2837"/>
    <w:rsid w:val="00CE2903"/>
    <w:rsid w:val="00CE3612"/>
    <w:rsid w:val="00CE4706"/>
    <w:rsid w:val="00CE7453"/>
    <w:rsid w:val="00CF0D2D"/>
    <w:rsid w:val="00CF1B00"/>
    <w:rsid w:val="00CF4BBA"/>
    <w:rsid w:val="00CF7CCA"/>
    <w:rsid w:val="00D00D57"/>
    <w:rsid w:val="00D011A1"/>
    <w:rsid w:val="00D031C7"/>
    <w:rsid w:val="00D07163"/>
    <w:rsid w:val="00D0782F"/>
    <w:rsid w:val="00D12E6E"/>
    <w:rsid w:val="00D135E8"/>
    <w:rsid w:val="00D13919"/>
    <w:rsid w:val="00D14669"/>
    <w:rsid w:val="00D15AE7"/>
    <w:rsid w:val="00D15C65"/>
    <w:rsid w:val="00D16B3A"/>
    <w:rsid w:val="00D20294"/>
    <w:rsid w:val="00D21E29"/>
    <w:rsid w:val="00D21FD5"/>
    <w:rsid w:val="00D22694"/>
    <w:rsid w:val="00D256F3"/>
    <w:rsid w:val="00D302B6"/>
    <w:rsid w:val="00D30A2B"/>
    <w:rsid w:val="00D30DEE"/>
    <w:rsid w:val="00D32F15"/>
    <w:rsid w:val="00D3484D"/>
    <w:rsid w:val="00D34E2E"/>
    <w:rsid w:val="00D35CA3"/>
    <w:rsid w:val="00D3710C"/>
    <w:rsid w:val="00D40219"/>
    <w:rsid w:val="00D40CD7"/>
    <w:rsid w:val="00D434B6"/>
    <w:rsid w:val="00D43638"/>
    <w:rsid w:val="00D44495"/>
    <w:rsid w:val="00D47F0B"/>
    <w:rsid w:val="00D51C4E"/>
    <w:rsid w:val="00D529DA"/>
    <w:rsid w:val="00D540B7"/>
    <w:rsid w:val="00D5483F"/>
    <w:rsid w:val="00D55FB6"/>
    <w:rsid w:val="00D608BD"/>
    <w:rsid w:val="00D60A3B"/>
    <w:rsid w:val="00D625A5"/>
    <w:rsid w:val="00D633FC"/>
    <w:rsid w:val="00D65563"/>
    <w:rsid w:val="00D65869"/>
    <w:rsid w:val="00D6799B"/>
    <w:rsid w:val="00D700E6"/>
    <w:rsid w:val="00D705A9"/>
    <w:rsid w:val="00D72E48"/>
    <w:rsid w:val="00D734F6"/>
    <w:rsid w:val="00D735D5"/>
    <w:rsid w:val="00D737D5"/>
    <w:rsid w:val="00D74A71"/>
    <w:rsid w:val="00D74CA5"/>
    <w:rsid w:val="00D7561E"/>
    <w:rsid w:val="00D763F9"/>
    <w:rsid w:val="00D77759"/>
    <w:rsid w:val="00D83075"/>
    <w:rsid w:val="00D83545"/>
    <w:rsid w:val="00D8450F"/>
    <w:rsid w:val="00D865EB"/>
    <w:rsid w:val="00D87271"/>
    <w:rsid w:val="00D9054D"/>
    <w:rsid w:val="00D91821"/>
    <w:rsid w:val="00D92816"/>
    <w:rsid w:val="00D950B3"/>
    <w:rsid w:val="00D956F5"/>
    <w:rsid w:val="00D95B86"/>
    <w:rsid w:val="00D976F8"/>
    <w:rsid w:val="00DA216D"/>
    <w:rsid w:val="00DA39F6"/>
    <w:rsid w:val="00DA5633"/>
    <w:rsid w:val="00DA6DA3"/>
    <w:rsid w:val="00DB145F"/>
    <w:rsid w:val="00DB2F4E"/>
    <w:rsid w:val="00DB41F4"/>
    <w:rsid w:val="00DB46C4"/>
    <w:rsid w:val="00DB4CBE"/>
    <w:rsid w:val="00DB5600"/>
    <w:rsid w:val="00DB62B4"/>
    <w:rsid w:val="00DC14C8"/>
    <w:rsid w:val="00DC42EF"/>
    <w:rsid w:val="00DC5A20"/>
    <w:rsid w:val="00DC76E9"/>
    <w:rsid w:val="00DD0B3E"/>
    <w:rsid w:val="00DD136B"/>
    <w:rsid w:val="00DD2214"/>
    <w:rsid w:val="00DD577F"/>
    <w:rsid w:val="00DD6DEC"/>
    <w:rsid w:val="00DE1BC5"/>
    <w:rsid w:val="00DE27BC"/>
    <w:rsid w:val="00DE43EA"/>
    <w:rsid w:val="00DE4493"/>
    <w:rsid w:val="00DE7EB2"/>
    <w:rsid w:val="00DF051D"/>
    <w:rsid w:val="00DF4AF4"/>
    <w:rsid w:val="00DF556A"/>
    <w:rsid w:val="00DF5E45"/>
    <w:rsid w:val="00E02232"/>
    <w:rsid w:val="00E13142"/>
    <w:rsid w:val="00E146A2"/>
    <w:rsid w:val="00E15122"/>
    <w:rsid w:val="00E15624"/>
    <w:rsid w:val="00E158EB"/>
    <w:rsid w:val="00E15E5C"/>
    <w:rsid w:val="00E15ED6"/>
    <w:rsid w:val="00E2161B"/>
    <w:rsid w:val="00E22610"/>
    <w:rsid w:val="00E227F0"/>
    <w:rsid w:val="00E23E9A"/>
    <w:rsid w:val="00E247EA"/>
    <w:rsid w:val="00E303BE"/>
    <w:rsid w:val="00E313A6"/>
    <w:rsid w:val="00E34F2D"/>
    <w:rsid w:val="00E351AA"/>
    <w:rsid w:val="00E40564"/>
    <w:rsid w:val="00E42FB4"/>
    <w:rsid w:val="00E43136"/>
    <w:rsid w:val="00E44D04"/>
    <w:rsid w:val="00E44D4D"/>
    <w:rsid w:val="00E451F6"/>
    <w:rsid w:val="00E534CD"/>
    <w:rsid w:val="00E54C72"/>
    <w:rsid w:val="00E551F6"/>
    <w:rsid w:val="00E5595A"/>
    <w:rsid w:val="00E55B67"/>
    <w:rsid w:val="00E57C4A"/>
    <w:rsid w:val="00E6028B"/>
    <w:rsid w:val="00E620F8"/>
    <w:rsid w:val="00E62F8B"/>
    <w:rsid w:val="00E64836"/>
    <w:rsid w:val="00E65A43"/>
    <w:rsid w:val="00E66153"/>
    <w:rsid w:val="00E6714B"/>
    <w:rsid w:val="00E700B0"/>
    <w:rsid w:val="00E7088D"/>
    <w:rsid w:val="00E73FFC"/>
    <w:rsid w:val="00E7484F"/>
    <w:rsid w:val="00E80953"/>
    <w:rsid w:val="00E820DE"/>
    <w:rsid w:val="00E852C6"/>
    <w:rsid w:val="00E85705"/>
    <w:rsid w:val="00E8776B"/>
    <w:rsid w:val="00E90E45"/>
    <w:rsid w:val="00E935F6"/>
    <w:rsid w:val="00EA03FB"/>
    <w:rsid w:val="00EA0D5B"/>
    <w:rsid w:val="00EA198A"/>
    <w:rsid w:val="00EA46EB"/>
    <w:rsid w:val="00EA48B6"/>
    <w:rsid w:val="00EB13A3"/>
    <w:rsid w:val="00EB2B40"/>
    <w:rsid w:val="00EB30DD"/>
    <w:rsid w:val="00EB3353"/>
    <w:rsid w:val="00EB3E8D"/>
    <w:rsid w:val="00EB4046"/>
    <w:rsid w:val="00EC0F6D"/>
    <w:rsid w:val="00EC1846"/>
    <w:rsid w:val="00EC2DE8"/>
    <w:rsid w:val="00EC4F8B"/>
    <w:rsid w:val="00EC5D10"/>
    <w:rsid w:val="00EC68EA"/>
    <w:rsid w:val="00ED0AAB"/>
    <w:rsid w:val="00ED18D8"/>
    <w:rsid w:val="00ED1DF8"/>
    <w:rsid w:val="00ED23CB"/>
    <w:rsid w:val="00ED2FE4"/>
    <w:rsid w:val="00ED3E94"/>
    <w:rsid w:val="00ED5970"/>
    <w:rsid w:val="00ED7A85"/>
    <w:rsid w:val="00EE0A3B"/>
    <w:rsid w:val="00EE1754"/>
    <w:rsid w:val="00EE2B65"/>
    <w:rsid w:val="00EE2F9C"/>
    <w:rsid w:val="00EE31D7"/>
    <w:rsid w:val="00EE4322"/>
    <w:rsid w:val="00EE65B7"/>
    <w:rsid w:val="00EE6A16"/>
    <w:rsid w:val="00EE7734"/>
    <w:rsid w:val="00EE7A80"/>
    <w:rsid w:val="00EF1959"/>
    <w:rsid w:val="00EF5073"/>
    <w:rsid w:val="00EF55C6"/>
    <w:rsid w:val="00EF5898"/>
    <w:rsid w:val="00EF6322"/>
    <w:rsid w:val="00EF6D95"/>
    <w:rsid w:val="00EF7504"/>
    <w:rsid w:val="00F015EA"/>
    <w:rsid w:val="00F0250E"/>
    <w:rsid w:val="00F02DA1"/>
    <w:rsid w:val="00F02DA4"/>
    <w:rsid w:val="00F044B4"/>
    <w:rsid w:val="00F05D86"/>
    <w:rsid w:val="00F06AB7"/>
    <w:rsid w:val="00F07287"/>
    <w:rsid w:val="00F076CD"/>
    <w:rsid w:val="00F1048B"/>
    <w:rsid w:val="00F1243E"/>
    <w:rsid w:val="00F12802"/>
    <w:rsid w:val="00F13A28"/>
    <w:rsid w:val="00F150DB"/>
    <w:rsid w:val="00F156BC"/>
    <w:rsid w:val="00F15B24"/>
    <w:rsid w:val="00F17A9A"/>
    <w:rsid w:val="00F17BA2"/>
    <w:rsid w:val="00F21B5A"/>
    <w:rsid w:val="00F21FEE"/>
    <w:rsid w:val="00F22061"/>
    <w:rsid w:val="00F229CC"/>
    <w:rsid w:val="00F25971"/>
    <w:rsid w:val="00F26AC4"/>
    <w:rsid w:val="00F2771F"/>
    <w:rsid w:val="00F32596"/>
    <w:rsid w:val="00F32601"/>
    <w:rsid w:val="00F341D6"/>
    <w:rsid w:val="00F341EB"/>
    <w:rsid w:val="00F34A4D"/>
    <w:rsid w:val="00F45055"/>
    <w:rsid w:val="00F45234"/>
    <w:rsid w:val="00F478C2"/>
    <w:rsid w:val="00F478EF"/>
    <w:rsid w:val="00F51568"/>
    <w:rsid w:val="00F52FC3"/>
    <w:rsid w:val="00F53506"/>
    <w:rsid w:val="00F57C3B"/>
    <w:rsid w:val="00F57CD8"/>
    <w:rsid w:val="00F57D00"/>
    <w:rsid w:val="00F62C3B"/>
    <w:rsid w:val="00F64E32"/>
    <w:rsid w:val="00F65523"/>
    <w:rsid w:val="00F65750"/>
    <w:rsid w:val="00F65C0D"/>
    <w:rsid w:val="00F67BB3"/>
    <w:rsid w:val="00F703FD"/>
    <w:rsid w:val="00F7064A"/>
    <w:rsid w:val="00F7168A"/>
    <w:rsid w:val="00F743DE"/>
    <w:rsid w:val="00F75A29"/>
    <w:rsid w:val="00F7785D"/>
    <w:rsid w:val="00F8019A"/>
    <w:rsid w:val="00F81EE2"/>
    <w:rsid w:val="00F83237"/>
    <w:rsid w:val="00F83B62"/>
    <w:rsid w:val="00F843C7"/>
    <w:rsid w:val="00F85367"/>
    <w:rsid w:val="00F860E2"/>
    <w:rsid w:val="00F867EF"/>
    <w:rsid w:val="00F86C90"/>
    <w:rsid w:val="00F8778F"/>
    <w:rsid w:val="00F87E3E"/>
    <w:rsid w:val="00F87FE2"/>
    <w:rsid w:val="00F903E5"/>
    <w:rsid w:val="00F925F3"/>
    <w:rsid w:val="00F93481"/>
    <w:rsid w:val="00F93B39"/>
    <w:rsid w:val="00F9406A"/>
    <w:rsid w:val="00F94A89"/>
    <w:rsid w:val="00F95665"/>
    <w:rsid w:val="00FA2751"/>
    <w:rsid w:val="00FA2842"/>
    <w:rsid w:val="00FA29D9"/>
    <w:rsid w:val="00FA3B47"/>
    <w:rsid w:val="00FA4C79"/>
    <w:rsid w:val="00FA777E"/>
    <w:rsid w:val="00FA7EBF"/>
    <w:rsid w:val="00FB0392"/>
    <w:rsid w:val="00FB18CE"/>
    <w:rsid w:val="00FB2195"/>
    <w:rsid w:val="00FB2E02"/>
    <w:rsid w:val="00FB32E0"/>
    <w:rsid w:val="00FB3F8B"/>
    <w:rsid w:val="00FB4596"/>
    <w:rsid w:val="00FB5A35"/>
    <w:rsid w:val="00FB654A"/>
    <w:rsid w:val="00FB7DB6"/>
    <w:rsid w:val="00FC139C"/>
    <w:rsid w:val="00FC27EC"/>
    <w:rsid w:val="00FC31AF"/>
    <w:rsid w:val="00FC3DDC"/>
    <w:rsid w:val="00FC3FCA"/>
    <w:rsid w:val="00FC598A"/>
    <w:rsid w:val="00FC5DC8"/>
    <w:rsid w:val="00FC6CFB"/>
    <w:rsid w:val="00FC709E"/>
    <w:rsid w:val="00FD0CD5"/>
    <w:rsid w:val="00FD3CBC"/>
    <w:rsid w:val="00FD7080"/>
    <w:rsid w:val="00FD7873"/>
    <w:rsid w:val="00FD7E34"/>
    <w:rsid w:val="00FE227F"/>
    <w:rsid w:val="00FE3867"/>
    <w:rsid w:val="00FE3B30"/>
    <w:rsid w:val="00FE5CC7"/>
    <w:rsid w:val="00FE6B5F"/>
    <w:rsid w:val="00FE7143"/>
    <w:rsid w:val="00FF370F"/>
    <w:rsid w:val="00FF5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uiPriority w:val="99"/>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uiPriority w:val="99"/>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uiPriority w:val="99"/>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character" w:styleId="PlaceholderText">
    <w:name w:val="Placeholder Text"/>
    <w:basedOn w:val="DefaultParagraphFont"/>
    <w:uiPriority w:val="99"/>
    <w:semiHidden/>
    <w:rsid w:val="00442887"/>
    <w:rPr>
      <w:color w:val="808080"/>
    </w:rPr>
  </w:style>
  <w:style w:type="character" w:customStyle="1" w:styleId="st">
    <w:name w:val="st"/>
    <w:basedOn w:val="DefaultParagraphFont"/>
    <w:rsid w:val="009A07D2"/>
  </w:style>
  <w:style w:type="character" w:styleId="FootnoteReference">
    <w:name w:val="footnote reference"/>
    <w:basedOn w:val="DefaultParagraphFont"/>
    <w:uiPriority w:val="99"/>
    <w:unhideWhenUsed/>
    <w:rsid w:val="00C172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uiPriority w:val="99"/>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uiPriority w:val="99"/>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uiPriority w:val="99"/>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character" w:styleId="PlaceholderText">
    <w:name w:val="Placeholder Text"/>
    <w:basedOn w:val="DefaultParagraphFont"/>
    <w:uiPriority w:val="99"/>
    <w:semiHidden/>
    <w:rsid w:val="00442887"/>
    <w:rPr>
      <w:color w:val="808080"/>
    </w:rPr>
  </w:style>
  <w:style w:type="character" w:customStyle="1" w:styleId="st">
    <w:name w:val="st"/>
    <w:basedOn w:val="DefaultParagraphFont"/>
    <w:rsid w:val="009A07D2"/>
  </w:style>
  <w:style w:type="character" w:styleId="FootnoteReference">
    <w:name w:val="footnote reference"/>
    <w:basedOn w:val="DefaultParagraphFont"/>
    <w:uiPriority w:val="99"/>
    <w:unhideWhenUsed/>
    <w:rsid w:val="00C17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242109473">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627858350">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67042189">
      <w:bodyDiv w:val="1"/>
      <w:marLeft w:val="0"/>
      <w:marRight w:val="0"/>
      <w:marTop w:val="0"/>
      <w:marBottom w:val="0"/>
      <w:divBdr>
        <w:top w:val="none" w:sz="0" w:space="0" w:color="auto"/>
        <w:left w:val="none" w:sz="0" w:space="0" w:color="auto"/>
        <w:bottom w:val="none" w:sz="0" w:space="0" w:color="auto"/>
        <w:right w:val="none" w:sz="0" w:space="0" w:color="auto"/>
      </w:divBdr>
    </w:div>
    <w:div w:id="841622601">
      <w:bodyDiv w:val="1"/>
      <w:marLeft w:val="0"/>
      <w:marRight w:val="0"/>
      <w:marTop w:val="0"/>
      <w:marBottom w:val="0"/>
      <w:divBdr>
        <w:top w:val="none" w:sz="0" w:space="0" w:color="auto"/>
        <w:left w:val="none" w:sz="0" w:space="0" w:color="auto"/>
        <w:bottom w:val="none" w:sz="0" w:space="0" w:color="auto"/>
        <w:right w:val="none" w:sz="0" w:space="0" w:color="auto"/>
      </w:divBdr>
      <w:divsChild>
        <w:div w:id="988480397">
          <w:marLeft w:val="0"/>
          <w:marRight w:val="0"/>
          <w:marTop w:val="0"/>
          <w:marBottom w:val="0"/>
          <w:divBdr>
            <w:top w:val="none" w:sz="0" w:space="0" w:color="auto"/>
            <w:left w:val="none" w:sz="0" w:space="0" w:color="auto"/>
            <w:bottom w:val="none" w:sz="0" w:space="0" w:color="auto"/>
            <w:right w:val="none" w:sz="0" w:space="0" w:color="auto"/>
          </w:divBdr>
        </w:div>
      </w:divsChild>
    </w:div>
    <w:div w:id="845873457">
      <w:bodyDiv w:val="1"/>
      <w:marLeft w:val="0"/>
      <w:marRight w:val="0"/>
      <w:marTop w:val="0"/>
      <w:marBottom w:val="0"/>
      <w:divBdr>
        <w:top w:val="none" w:sz="0" w:space="0" w:color="auto"/>
        <w:left w:val="none" w:sz="0" w:space="0" w:color="auto"/>
        <w:bottom w:val="none" w:sz="0" w:space="0" w:color="auto"/>
        <w:right w:val="none" w:sz="0" w:space="0" w:color="auto"/>
      </w:divBdr>
    </w:div>
    <w:div w:id="890308111">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054962891">
      <w:bodyDiv w:val="1"/>
      <w:marLeft w:val="0"/>
      <w:marRight w:val="0"/>
      <w:marTop w:val="0"/>
      <w:marBottom w:val="0"/>
      <w:divBdr>
        <w:top w:val="none" w:sz="0" w:space="0" w:color="auto"/>
        <w:left w:val="none" w:sz="0" w:space="0" w:color="auto"/>
        <w:bottom w:val="none" w:sz="0" w:space="0" w:color="auto"/>
        <w:right w:val="none" w:sz="0" w:space="0" w:color="auto"/>
      </w:divBdr>
    </w:div>
    <w:div w:id="1237976776">
      <w:bodyDiv w:val="1"/>
      <w:marLeft w:val="0"/>
      <w:marRight w:val="0"/>
      <w:marTop w:val="0"/>
      <w:marBottom w:val="0"/>
      <w:divBdr>
        <w:top w:val="none" w:sz="0" w:space="0" w:color="auto"/>
        <w:left w:val="none" w:sz="0" w:space="0" w:color="auto"/>
        <w:bottom w:val="none" w:sz="0" w:space="0" w:color="auto"/>
        <w:right w:val="none" w:sz="0" w:space="0" w:color="auto"/>
      </w:divBdr>
    </w:div>
    <w:div w:id="1332219652">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436176274">
      <w:bodyDiv w:val="1"/>
      <w:marLeft w:val="0"/>
      <w:marRight w:val="0"/>
      <w:marTop w:val="0"/>
      <w:marBottom w:val="0"/>
      <w:divBdr>
        <w:top w:val="none" w:sz="0" w:space="0" w:color="auto"/>
        <w:left w:val="none" w:sz="0" w:space="0" w:color="auto"/>
        <w:bottom w:val="none" w:sz="0" w:space="0" w:color="auto"/>
        <w:right w:val="none" w:sz="0" w:space="0" w:color="auto"/>
      </w:divBdr>
    </w:div>
    <w:div w:id="1685522020">
      <w:bodyDiv w:val="1"/>
      <w:marLeft w:val="0"/>
      <w:marRight w:val="0"/>
      <w:marTop w:val="0"/>
      <w:marBottom w:val="0"/>
      <w:divBdr>
        <w:top w:val="none" w:sz="0" w:space="0" w:color="auto"/>
        <w:left w:val="none" w:sz="0" w:space="0" w:color="auto"/>
        <w:bottom w:val="none" w:sz="0" w:space="0" w:color="auto"/>
        <w:right w:val="none" w:sz="0" w:space="0" w:color="auto"/>
      </w:divBdr>
    </w:div>
    <w:div w:id="189654857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ga.gulbe@vn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10554-7F4E-4B62-A997-FAFE3927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8493</Words>
  <Characters>4842</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2012.gada 3.oktobra rīkojumā Nr.465 "Par finansējuma piešķiršanu administratīvās ēkas un garāžas ēkas Jūras ielā 34, Ventspilī, būvniecības projekta un nomas maksas izdevumu segšanai"" sākot</vt:lpstr>
      <vt:lpstr>Ministru kabineta rīkojuma projekta „Grozījumi Ministru kabineta 2012.gada 3.oktobra rīkojumā Nr.465 "Par finansējuma piešķiršanu administratīvās ēkas un garāžas ēkas Jūras ielā 34, Ventspilī, būvniecības projekta un nomas maksas izdevumu segšanai"" sākot</vt:lpstr>
    </vt:vector>
  </TitlesOfParts>
  <Manager>B.Bāne</Manager>
  <Company>Finanšu ministrija (VNĪ)</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„Grozījumi Ministru kabineta 2012.gada 3.oktobra rīkojumā Nr.465 "Par finansējuma piešķiršanu administratīvās ēkas un garāžas ēkas Jūras ielā 34, Ventspilī, būvniecības projekta un nomas maksas izdevumu segšanai"" </dc:title>
  <dc:subject>Anotācija</dc:subject>
  <dc:creator>Aiga Gulbe</dc:creator>
  <cp:keywords>anotācija</cp:keywords>
  <dc:description>A.Gulbe
67024698, aiga.gulbe@vni.lv</dc:description>
  <cp:lastModifiedBy>test</cp:lastModifiedBy>
  <cp:revision>16</cp:revision>
  <cp:lastPrinted>2015-06-03T11:44:00Z</cp:lastPrinted>
  <dcterms:created xsi:type="dcterms:W3CDTF">2015-05-21T07:12:00Z</dcterms:created>
  <dcterms:modified xsi:type="dcterms:W3CDTF">2015-06-05T12:01:00Z</dcterms:modified>
</cp:coreProperties>
</file>