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6A8C0E" w14:textId="77777777" w:rsidR="004C2632" w:rsidRPr="00ED0B51" w:rsidRDefault="004C2632" w:rsidP="004C2632">
      <w:pPr>
        <w:tabs>
          <w:tab w:val="left" w:pos="7088"/>
        </w:tabs>
        <w:ind w:firstLine="720"/>
        <w:jc w:val="right"/>
        <w:rPr>
          <w:iCs/>
          <w:sz w:val="28"/>
          <w:szCs w:val="28"/>
        </w:rPr>
      </w:pPr>
      <w:r w:rsidRPr="00ED0B51">
        <w:rPr>
          <w:sz w:val="28"/>
          <w:szCs w:val="28"/>
        </w:rPr>
        <w:t>Projekts</w:t>
      </w:r>
    </w:p>
    <w:p w14:paraId="5A8BEB3F" w14:textId="77777777" w:rsidR="004C2632" w:rsidRPr="00ED0B51" w:rsidRDefault="004C2632" w:rsidP="00D175E9">
      <w:pPr>
        <w:pStyle w:val="naislab"/>
        <w:jc w:val="center"/>
        <w:rPr>
          <w:b/>
          <w:sz w:val="28"/>
          <w:szCs w:val="28"/>
        </w:rPr>
      </w:pPr>
    </w:p>
    <w:p w14:paraId="44CCBAE2" w14:textId="77777777" w:rsidR="00D175E9" w:rsidRPr="00ED0B51" w:rsidRDefault="007D1A10" w:rsidP="00D175E9">
      <w:pPr>
        <w:pStyle w:val="naislab"/>
        <w:jc w:val="center"/>
        <w:rPr>
          <w:b/>
          <w:sz w:val="28"/>
          <w:szCs w:val="28"/>
        </w:rPr>
      </w:pPr>
      <w:r w:rsidRPr="00ED0B51">
        <w:rPr>
          <w:b/>
          <w:sz w:val="28"/>
          <w:szCs w:val="28"/>
        </w:rPr>
        <w:t xml:space="preserve">Ministru kabineta noteikumu projekta </w:t>
      </w:r>
      <w:r w:rsidR="001942D4" w:rsidRPr="00ED0B51">
        <w:rPr>
          <w:b/>
          <w:sz w:val="28"/>
          <w:szCs w:val="28"/>
        </w:rPr>
        <w:br/>
      </w:r>
      <w:r w:rsidR="001350E3" w:rsidRPr="00ED0B51">
        <w:rPr>
          <w:b/>
          <w:sz w:val="28"/>
          <w:szCs w:val="28"/>
        </w:rPr>
        <w:t>“</w:t>
      </w:r>
      <w:r w:rsidR="00887D10" w:rsidRPr="00ED0B51">
        <w:rPr>
          <w:b/>
          <w:sz w:val="28"/>
          <w:szCs w:val="28"/>
        </w:rPr>
        <w:t>Noteikumi par līzinga, kredīta un ar to saistīto procentu maksājumu deklarāciju</w:t>
      </w:r>
      <w:r w:rsidR="00102A21" w:rsidRPr="00ED0B51">
        <w:rPr>
          <w:b/>
          <w:sz w:val="28"/>
          <w:szCs w:val="28"/>
        </w:rPr>
        <w:t>”</w:t>
      </w:r>
      <w:r w:rsidRPr="00ED0B51">
        <w:rPr>
          <w:b/>
          <w:sz w:val="28"/>
          <w:szCs w:val="28"/>
        </w:rPr>
        <w:t xml:space="preserve"> sākotnējās ietekmes novērtējuma ziņojums (anotācija)</w:t>
      </w:r>
    </w:p>
    <w:tbl>
      <w:tblPr>
        <w:tblpPr w:leftFromText="180" w:rightFromText="180" w:vertAnchor="text" w:horzAnchor="margin" w:tblpXSpec="center" w:tblpY="149"/>
        <w:tblW w:w="52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93"/>
        <w:gridCol w:w="2885"/>
        <w:gridCol w:w="5912"/>
      </w:tblGrid>
      <w:tr w:rsidR="00ED0B51" w:rsidRPr="00ED0B51" w14:paraId="5C96DAE0" w14:textId="77777777" w:rsidTr="0089091C">
        <w:trPr>
          <w:trHeight w:val="419"/>
        </w:trPr>
        <w:tc>
          <w:tcPr>
            <w:tcW w:w="5000" w:type="pct"/>
            <w:gridSpan w:val="3"/>
            <w:vAlign w:val="center"/>
          </w:tcPr>
          <w:p w14:paraId="7D2A58A0" w14:textId="77777777" w:rsidR="00D175E9" w:rsidRPr="00ED0B51" w:rsidRDefault="00D175E9" w:rsidP="0089091C">
            <w:pPr>
              <w:pStyle w:val="naisnod"/>
              <w:spacing w:before="0" w:after="0"/>
              <w:ind w:left="57" w:right="57"/>
              <w:rPr>
                <w:sz w:val="26"/>
                <w:szCs w:val="26"/>
              </w:rPr>
            </w:pPr>
            <w:r w:rsidRPr="00ED0B51">
              <w:rPr>
                <w:sz w:val="26"/>
                <w:szCs w:val="26"/>
              </w:rPr>
              <w:t>I. Tiesību akta projekta izstrādes nepieciešamība</w:t>
            </w:r>
          </w:p>
        </w:tc>
      </w:tr>
      <w:tr w:rsidR="00ED0B51" w:rsidRPr="00ED0B51" w14:paraId="33813F30" w14:textId="77777777" w:rsidTr="0089091C">
        <w:trPr>
          <w:trHeight w:val="415"/>
        </w:trPr>
        <w:tc>
          <w:tcPr>
            <w:tcW w:w="365" w:type="pct"/>
          </w:tcPr>
          <w:p w14:paraId="22579AD2" w14:textId="77777777" w:rsidR="00345B4C" w:rsidRPr="00ED0B51" w:rsidRDefault="00345B4C" w:rsidP="0089091C">
            <w:pPr>
              <w:pStyle w:val="naiskr"/>
              <w:spacing w:before="0" w:after="0"/>
              <w:ind w:left="57" w:right="57"/>
              <w:jc w:val="center"/>
              <w:rPr>
                <w:sz w:val="26"/>
                <w:szCs w:val="26"/>
              </w:rPr>
            </w:pPr>
            <w:r w:rsidRPr="00ED0B51">
              <w:rPr>
                <w:sz w:val="26"/>
                <w:szCs w:val="26"/>
              </w:rPr>
              <w:t>1.</w:t>
            </w:r>
          </w:p>
        </w:tc>
        <w:tc>
          <w:tcPr>
            <w:tcW w:w="1520" w:type="pct"/>
          </w:tcPr>
          <w:p w14:paraId="15DB1CCB" w14:textId="77777777" w:rsidR="00345B4C" w:rsidRPr="00ED0B51" w:rsidRDefault="00345B4C" w:rsidP="0089091C">
            <w:pPr>
              <w:pStyle w:val="naiskr"/>
              <w:spacing w:before="0" w:after="0"/>
              <w:ind w:left="57" w:right="57"/>
              <w:rPr>
                <w:sz w:val="26"/>
                <w:szCs w:val="26"/>
              </w:rPr>
            </w:pPr>
            <w:r w:rsidRPr="00ED0B51">
              <w:rPr>
                <w:sz w:val="26"/>
                <w:szCs w:val="26"/>
              </w:rPr>
              <w:t>Pamatojums</w:t>
            </w:r>
          </w:p>
        </w:tc>
        <w:tc>
          <w:tcPr>
            <w:tcW w:w="3115" w:type="pct"/>
          </w:tcPr>
          <w:p w14:paraId="11EC5B8F" w14:textId="77777777" w:rsidR="00B3130F" w:rsidRPr="00ED0B51" w:rsidRDefault="00B3130F" w:rsidP="002E50FD">
            <w:pPr>
              <w:jc w:val="both"/>
              <w:rPr>
                <w:sz w:val="26"/>
                <w:szCs w:val="26"/>
              </w:rPr>
            </w:pPr>
            <w:r w:rsidRPr="00ED0B51">
              <w:rPr>
                <w:sz w:val="26"/>
                <w:szCs w:val="26"/>
              </w:rPr>
              <w:t>Noteikumu projekts izstrādāts, p</w:t>
            </w:r>
            <w:r w:rsidR="00A10EC3" w:rsidRPr="00ED0B51">
              <w:rPr>
                <w:sz w:val="26"/>
                <w:szCs w:val="26"/>
              </w:rPr>
              <w:t xml:space="preserve">amatojoties uz </w:t>
            </w:r>
            <w:r w:rsidR="00FF28D3" w:rsidRPr="00ED0B51">
              <w:rPr>
                <w:sz w:val="26"/>
                <w:szCs w:val="26"/>
              </w:rPr>
              <w:t>Saeim</w:t>
            </w:r>
            <w:r w:rsidR="00A10EC3" w:rsidRPr="00ED0B51">
              <w:rPr>
                <w:sz w:val="26"/>
                <w:szCs w:val="26"/>
              </w:rPr>
              <w:t>ā</w:t>
            </w:r>
            <w:r w:rsidR="00FF28D3" w:rsidRPr="00ED0B51">
              <w:rPr>
                <w:sz w:val="26"/>
                <w:szCs w:val="26"/>
              </w:rPr>
              <w:t xml:space="preserve"> </w:t>
            </w:r>
            <w:r w:rsidR="00E26158" w:rsidRPr="00ED0B51">
              <w:rPr>
                <w:sz w:val="26"/>
                <w:szCs w:val="26"/>
              </w:rPr>
              <w:t>2014.gada 17.decembr</w:t>
            </w:r>
            <w:r w:rsidR="00FF28D3" w:rsidRPr="00ED0B51">
              <w:rPr>
                <w:sz w:val="26"/>
                <w:szCs w:val="26"/>
              </w:rPr>
              <w:t>ī pieņemtā</w:t>
            </w:r>
            <w:r w:rsidR="00345B4C" w:rsidRPr="00ED0B51">
              <w:rPr>
                <w:sz w:val="26"/>
                <w:szCs w:val="26"/>
              </w:rPr>
              <w:t xml:space="preserve"> likuma “</w:t>
            </w:r>
            <w:r w:rsidR="00E26158" w:rsidRPr="00ED0B51">
              <w:rPr>
                <w:sz w:val="26"/>
                <w:szCs w:val="26"/>
              </w:rPr>
              <w:t>Grozījumi likum</w:t>
            </w:r>
            <w:r w:rsidR="002E50FD" w:rsidRPr="00ED0B51">
              <w:rPr>
                <w:sz w:val="26"/>
                <w:szCs w:val="26"/>
              </w:rPr>
              <w:t>ā</w:t>
            </w:r>
            <w:r w:rsidR="00E26158" w:rsidRPr="00ED0B51">
              <w:rPr>
                <w:sz w:val="26"/>
                <w:szCs w:val="26"/>
              </w:rPr>
              <w:t xml:space="preserve"> “Par nodokļiem un nodevām</w:t>
            </w:r>
            <w:r w:rsidR="00345B4C" w:rsidRPr="00ED0B51">
              <w:rPr>
                <w:sz w:val="26"/>
                <w:szCs w:val="26"/>
              </w:rPr>
              <w:t>”</w:t>
            </w:r>
            <w:r w:rsidR="00F602BC" w:rsidRPr="00ED0B51">
              <w:rPr>
                <w:sz w:val="26"/>
                <w:szCs w:val="26"/>
              </w:rPr>
              <w:t>”</w:t>
            </w:r>
            <w:r w:rsidR="00345B4C" w:rsidRPr="00ED0B51">
              <w:rPr>
                <w:sz w:val="26"/>
                <w:szCs w:val="26"/>
              </w:rPr>
              <w:t xml:space="preserve"> </w:t>
            </w:r>
            <w:r w:rsidRPr="00ED0B51">
              <w:rPr>
                <w:sz w:val="26"/>
                <w:szCs w:val="26"/>
              </w:rPr>
              <w:t>(stāj</w:t>
            </w:r>
            <w:r w:rsidR="00F602BC" w:rsidRPr="00ED0B51">
              <w:rPr>
                <w:sz w:val="26"/>
                <w:szCs w:val="26"/>
              </w:rPr>
              <w:t>ā</w:t>
            </w:r>
            <w:r w:rsidRPr="00ED0B51">
              <w:rPr>
                <w:sz w:val="26"/>
                <w:szCs w:val="26"/>
              </w:rPr>
              <w:t xml:space="preserve">s spēkā 2015.gada 1.janvārī) </w:t>
            </w:r>
            <w:r w:rsidR="008E1EB5" w:rsidRPr="00ED0B51">
              <w:rPr>
                <w:sz w:val="26"/>
                <w:szCs w:val="26"/>
              </w:rPr>
              <w:t>3.</w:t>
            </w:r>
            <w:r w:rsidR="00F602BC" w:rsidRPr="00ED0B51">
              <w:rPr>
                <w:sz w:val="26"/>
                <w:szCs w:val="26"/>
              </w:rPr>
              <w:t xml:space="preserve"> </w:t>
            </w:r>
            <w:r w:rsidR="008E1EB5" w:rsidRPr="00ED0B51">
              <w:rPr>
                <w:sz w:val="26"/>
                <w:szCs w:val="26"/>
              </w:rPr>
              <w:t>un 9.pantā ietvertajiem grozījumiem, likuma “Par nodokļiem un nodevām” (turpmāk – likums) 15.panta trešās daļas 5.</w:t>
            </w:r>
            <w:r w:rsidR="008E1EB5" w:rsidRPr="00ED0B51">
              <w:rPr>
                <w:sz w:val="26"/>
                <w:szCs w:val="26"/>
                <w:vertAlign w:val="superscript"/>
              </w:rPr>
              <w:t>2 </w:t>
            </w:r>
            <w:r w:rsidR="008E1EB5" w:rsidRPr="00ED0B51">
              <w:rPr>
                <w:sz w:val="26"/>
                <w:szCs w:val="26"/>
              </w:rPr>
              <w:t>punkt</w:t>
            </w:r>
            <w:r w:rsidRPr="00ED0B51">
              <w:rPr>
                <w:sz w:val="26"/>
                <w:szCs w:val="26"/>
              </w:rPr>
              <w:t xml:space="preserve">ā noteikto, attiecīgi nodrošinot </w:t>
            </w:r>
            <w:r w:rsidR="008E1EB5" w:rsidRPr="00ED0B51">
              <w:rPr>
                <w:sz w:val="26"/>
                <w:szCs w:val="26"/>
              </w:rPr>
              <w:t>pārejas noteikumu 168.</w:t>
            </w:r>
            <w:r w:rsidRPr="00ED0B51">
              <w:rPr>
                <w:sz w:val="26"/>
                <w:szCs w:val="26"/>
              </w:rPr>
              <w:t>p</w:t>
            </w:r>
            <w:r w:rsidR="008E1EB5" w:rsidRPr="00ED0B51">
              <w:rPr>
                <w:sz w:val="26"/>
                <w:szCs w:val="26"/>
              </w:rPr>
              <w:t>unkt</w:t>
            </w:r>
            <w:r w:rsidRPr="00ED0B51">
              <w:rPr>
                <w:sz w:val="26"/>
                <w:szCs w:val="26"/>
              </w:rPr>
              <w:t xml:space="preserve">ā </w:t>
            </w:r>
            <w:r w:rsidR="00F602BC" w:rsidRPr="00ED0B51">
              <w:rPr>
                <w:sz w:val="26"/>
                <w:szCs w:val="26"/>
              </w:rPr>
              <w:t>M</w:t>
            </w:r>
            <w:r w:rsidRPr="00ED0B51">
              <w:rPr>
                <w:sz w:val="26"/>
                <w:szCs w:val="26"/>
              </w:rPr>
              <w:t>inistru kabinetam dotā uzdevuma izpildi līdz 2015.gada 1.jūnijam izdot šā likuma 15.panta trešās daļas 5.</w:t>
            </w:r>
            <w:r w:rsidRPr="00ED0B51">
              <w:rPr>
                <w:sz w:val="26"/>
                <w:szCs w:val="26"/>
                <w:vertAlign w:val="superscript"/>
              </w:rPr>
              <w:t>2</w:t>
            </w:r>
            <w:r w:rsidR="003F3F16" w:rsidRPr="00ED0B51">
              <w:rPr>
                <w:sz w:val="26"/>
                <w:szCs w:val="26"/>
                <w:vertAlign w:val="superscript"/>
              </w:rPr>
              <w:t> </w:t>
            </w:r>
            <w:r w:rsidRPr="00ED0B51">
              <w:rPr>
                <w:sz w:val="26"/>
                <w:szCs w:val="26"/>
              </w:rPr>
              <w:t>punktā paredzētos noteikumus</w:t>
            </w:r>
          </w:p>
        </w:tc>
      </w:tr>
      <w:tr w:rsidR="00ED0B51" w:rsidRPr="00ED0B51" w14:paraId="75CB8692" w14:textId="77777777" w:rsidTr="0089091C">
        <w:trPr>
          <w:trHeight w:val="472"/>
        </w:trPr>
        <w:tc>
          <w:tcPr>
            <w:tcW w:w="365" w:type="pct"/>
          </w:tcPr>
          <w:p w14:paraId="0061DDCC" w14:textId="77777777" w:rsidR="00345B4C" w:rsidRPr="00ED0B51" w:rsidRDefault="00345B4C" w:rsidP="0089091C">
            <w:pPr>
              <w:pStyle w:val="naiskr"/>
              <w:spacing w:before="0" w:after="0"/>
              <w:ind w:left="57" w:right="57"/>
              <w:jc w:val="center"/>
              <w:rPr>
                <w:sz w:val="26"/>
                <w:szCs w:val="26"/>
              </w:rPr>
            </w:pPr>
            <w:r w:rsidRPr="00ED0B51">
              <w:rPr>
                <w:sz w:val="26"/>
                <w:szCs w:val="26"/>
              </w:rPr>
              <w:t>2.</w:t>
            </w:r>
          </w:p>
        </w:tc>
        <w:tc>
          <w:tcPr>
            <w:tcW w:w="1520" w:type="pct"/>
          </w:tcPr>
          <w:p w14:paraId="458687EB" w14:textId="77777777" w:rsidR="00345B4C" w:rsidRPr="00ED0B51" w:rsidRDefault="00345B4C" w:rsidP="0089091C">
            <w:pPr>
              <w:pStyle w:val="naiskr"/>
              <w:tabs>
                <w:tab w:val="left" w:pos="170"/>
              </w:tabs>
              <w:spacing w:before="0" w:after="0"/>
              <w:ind w:left="57" w:right="57"/>
              <w:rPr>
                <w:sz w:val="26"/>
                <w:szCs w:val="26"/>
              </w:rPr>
            </w:pPr>
            <w:r w:rsidRPr="00ED0B51">
              <w:rPr>
                <w:sz w:val="26"/>
                <w:szCs w:val="26"/>
              </w:rPr>
              <w:t>Pašreizējā situācija un problēmas, kuru risināšanai tiesību akta projekts izstrādāts, tiesiskā regulējuma mērķis un būtība</w:t>
            </w:r>
          </w:p>
        </w:tc>
        <w:tc>
          <w:tcPr>
            <w:tcW w:w="3115" w:type="pct"/>
          </w:tcPr>
          <w:p w14:paraId="55190DAD" w14:textId="77777777" w:rsidR="002B7E98" w:rsidRPr="00ED0B51" w:rsidRDefault="002B7E98" w:rsidP="00EE5DD3">
            <w:pPr>
              <w:pStyle w:val="NormalWeb"/>
              <w:spacing w:before="0" w:beforeAutospacing="0" w:after="0" w:afterAutospacing="0"/>
              <w:jc w:val="both"/>
              <w:rPr>
                <w:sz w:val="26"/>
                <w:szCs w:val="26"/>
              </w:rPr>
            </w:pPr>
            <w:r w:rsidRPr="00ED0B51">
              <w:rPr>
                <w:sz w:val="26"/>
                <w:szCs w:val="26"/>
              </w:rPr>
              <w:t xml:space="preserve">Nereti ir konstatētas situācijas, kad fiziskai personai nav regulāru ienākumu, </w:t>
            </w:r>
            <w:r w:rsidR="000B528C" w:rsidRPr="00ED0B51">
              <w:rPr>
                <w:sz w:val="26"/>
                <w:szCs w:val="26"/>
              </w:rPr>
              <w:t xml:space="preserve">tomēr </w:t>
            </w:r>
            <w:r w:rsidR="002E50FD" w:rsidRPr="00ED0B51">
              <w:rPr>
                <w:sz w:val="26"/>
                <w:szCs w:val="26"/>
              </w:rPr>
              <w:t xml:space="preserve">tā </w:t>
            </w:r>
            <w:r w:rsidRPr="00ED0B51">
              <w:rPr>
                <w:sz w:val="26"/>
                <w:szCs w:val="26"/>
              </w:rPr>
              <w:t xml:space="preserve">veic regulāru kredīta vai līzinga maksājumu. </w:t>
            </w:r>
            <w:r w:rsidR="000B528C" w:rsidRPr="00ED0B51">
              <w:rPr>
                <w:sz w:val="26"/>
                <w:szCs w:val="26"/>
              </w:rPr>
              <w:t>Ēnu ekonomikas īpatsvara samazināšanai, lai novērstu izvairīšanās riskus no nodokļa samaksas</w:t>
            </w:r>
            <w:r w:rsidR="00F602BC" w:rsidRPr="00ED0B51">
              <w:rPr>
                <w:sz w:val="26"/>
                <w:szCs w:val="26"/>
              </w:rPr>
              <w:t>,</w:t>
            </w:r>
            <w:r w:rsidR="000B528C" w:rsidRPr="00ED0B51">
              <w:rPr>
                <w:sz w:val="26"/>
                <w:szCs w:val="26"/>
              </w:rPr>
              <w:t xml:space="preserve"> ir nepieciešams </w:t>
            </w:r>
            <w:r w:rsidRPr="00ED0B51">
              <w:rPr>
                <w:sz w:val="26"/>
                <w:szCs w:val="26"/>
              </w:rPr>
              <w:t>pārliecināt</w:t>
            </w:r>
            <w:r w:rsidR="000B528C" w:rsidRPr="00ED0B51">
              <w:rPr>
                <w:sz w:val="26"/>
                <w:szCs w:val="26"/>
              </w:rPr>
              <w:t>ies</w:t>
            </w:r>
            <w:r w:rsidRPr="00ED0B51">
              <w:rPr>
                <w:sz w:val="26"/>
                <w:szCs w:val="26"/>
              </w:rPr>
              <w:t xml:space="preserve">, ka fiziskās personas izdevumi, kas saistīti ar kredīta </w:t>
            </w:r>
            <w:r w:rsidR="000B528C" w:rsidRPr="00ED0B51">
              <w:rPr>
                <w:sz w:val="26"/>
                <w:szCs w:val="26"/>
              </w:rPr>
              <w:t xml:space="preserve">vai līzinga </w:t>
            </w:r>
            <w:r w:rsidRPr="00ED0B51">
              <w:rPr>
                <w:sz w:val="26"/>
                <w:szCs w:val="26"/>
              </w:rPr>
              <w:t>atmaksu</w:t>
            </w:r>
            <w:r w:rsidR="00F602BC" w:rsidRPr="00ED0B51">
              <w:rPr>
                <w:sz w:val="26"/>
                <w:szCs w:val="26"/>
              </w:rPr>
              <w:t>,</w:t>
            </w:r>
            <w:r w:rsidRPr="00ED0B51">
              <w:rPr>
                <w:sz w:val="26"/>
                <w:szCs w:val="26"/>
              </w:rPr>
              <w:t xml:space="preserve"> </w:t>
            </w:r>
            <w:r w:rsidR="000B528C" w:rsidRPr="00ED0B51">
              <w:rPr>
                <w:sz w:val="26"/>
                <w:szCs w:val="26"/>
              </w:rPr>
              <w:t>nepārsniedz tā</w:t>
            </w:r>
            <w:r w:rsidR="0013471C" w:rsidRPr="00ED0B51">
              <w:rPr>
                <w:sz w:val="26"/>
                <w:szCs w:val="26"/>
              </w:rPr>
              <w:t>s</w:t>
            </w:r>
            <w:r w:rsidR="000B528C" w:rsidRPr="00ED0B51">
              <w:rPr>
                <w:sz w:val="26"/>
                <w:szCs w:val="26"/>
              </w:rPr>
              <w:t xml:space="preserve"> deklarētos ienākumus</w:t>
            </w:r>
            <w:r w:rsidR="003F3F16" w:rsidRPr="00ED0B51">
              <w:rPr>
                <w:sz w:val="26"/>
                <w:szCs w:val="26"/>
              </w:rPr>
              <w:t>.</w:t>
            </w:r>
          </w:p>
          <w:p w14:paraId="3D2E7CC4" w14:textId="377D2151" w:rsidR="00845DF7" w:rsidRPr="00ED0B51" w:rsidRDefault="000B528C" w:rsidP="00EE5DD3">
            <w:pPr>
              <w:pStyle w:val="NormalWeb"/>
              <w:spacing w:before="0" w:beforeAutospacing="0" w:after="0" w:afterAutospacing="0"/>
              <w:jc w:val="both"/>
              <w:rPr>
                <w:sz w:val="26"/>
                <w:szCs w:val="26"/>
              </w:rPr>
            </w:pPr>
            <w:r w:rsidRPr="00ED0B51">
              <w:rPr>
                <w:sz w:val="26"/>
                <w:szCs w:val="26"/>
              </w:rPr>
              <w:t>Ņemot vērā minēto, a</w:t>
            </w:r>
            <w:r w:rsidR="00845DF7" w:rsidRPr="00ED0B51">
              <w:rPr>
                <w:sz w:val="26"/>
                <w:szCs w:val="26"/>
              </w:rPr>
              <w:t>r Saeimas 2014.gada 17.decembrī pieņemtā likuma “Grozījumi likumā “Par nodokļiem un nodevām”</w:t>
            </w:r>
            <w:r w:rsidR="001A36A4" w:rsidRPr="00ED0B51">
              <w:rPr>
                <w:sz w:val="26"/>
                <w:szCs w:val="26"/>
              </w:rPr>
              <w:t>”</w:t>
            </w:r>
            <w:r w:rsidR="00845DF7" w:rsidRPr="00ED0B51">
              <w:rPr>
                <w:sz w:val="26"/>
                <w:szCs w:val="26"/>
              </w:rPr>
              <w:t xml:space="preserve"> (stājās spēkā 2015.gada 1.janvār</w:t>
            </w:r>
            <w:r w:rsidR="00A8203F" w:rsidRPr="00ED0B51">
              <w:rPr>
                <w:sz w:val="26"/>
                <w:szCs w:val="26"/>
              </w:rPr>
              <w:t>ī</w:t>
            </w:r>
            <w:r w:rsidR="00845DF7" w:rsidRPr="00ED0B51">
              <w:rPr>
                <w:sz w:val="26"/>
                <w:szCs w:val="26"/>
              </w:rPr>
              <w:t>) 3</w:t>
            </w:r>
            <w:r w:rsidR="001A36A4" w:rsidRPr="00ED0B51">
              <w:rPr>
                <w:sz w:val="26"/>
                <w:szCs w:val="26"/>
              </w:rPr>
              <w:t xml:space="preserve">. </w:t>
            </w:r>
            <w:r w:rsidR="00845DF7" w:rsidRPr="00ED0B51">
              <w:rPr>
                <w:sz w:val="26"/>
                <w:szCs w:val="26"/>
              </w:rPr>
              <w:t>un 9.pantu papildināta likuma 15.panta trešā daļa ar jaunu 5.</w:t>
            </w:r>
            <w:r w:rsidR="00845DF7" w:rsidRPr="00ED0B51">
              <w:rPr>
                <w:sz w:val="26"/>
                <w:szCs w:val="26"/>
                <w:vertAlign w:val="superscript"/>
              </w:rPr>
              <w:t>2 </w:t>
            </w:r>
            <w:r w:rsidR="00845DF7" w:rsidRPr="00ED0B51">
              <w:rPr>
                <w:sz w:val="26"/>
                <w:szCs w:val="26"/>
              </w:rPr>
              <w:t xml:space="preserve">punktu un </w:t>
            </w:r>
            <w:r w:rsidR="00EC2392" w:rsidRPr="00ED0B51">
              <w:rPr>
                <w:sz w:val="26"/>
                <w:szCs w:val="26"/>
              </w:rPr>
              <w:t>pārejas noteikum</w:t>
            </w:r>
            <w:r w:rsidR="0013471C" w:rsidRPr="00ED0B51">
              <w:rPr>
                <w:sz w:val="26"/>
                <w:szCs w:val="26"/>
              </w:rPr>
              <w:t xml:space="preserve">i ar </w:t>
            </w:r>
            <w:r w:rsidR="00EC2392" w:rsidRPr="00ED0B51">
              <w:rPr>
                <w:sz w:val="26"/>
                <w:szCs w:val="26"/>
              </w:rPr>
              <w:t>168</w:t>
            </w:r>
            <w:r w:rsidR="00845DF7" w:rsidRPr="00ED0B51">
              <w:rPr>
                <w:sz w:val="26"/>
                <w:szCs w:val="26"/>
              </w:rPr>
              <w:t>.punktu, kas paredz</w:t>
            </w:r>
            <w:r w:rsidR="00045255" w:rsidRPr="00ED0B51">
              <w:rPr>
                <w:sz w:val="26"/>
                <w:szCs w:val="26"/>
              </w:rPr>
              <w:t xml:space="preserve"> papildu pienākumu nodokļa maksātājam, kas sniedz līzinga un kreditēšanas pakalpojumus, izņemot kredītiestādes, šajā likumā un Ministru kabineta noteikumos paredzētajā kārtībā vienu reizi gadā līdz 1.februārim iesniegt Valsts ieņēmumu dienest</w:t>
            </w:r>
            <w:r w:rsidR="001A36A4" w:rsidRPr="00ED0B51">
              <w:rPr>
                <w:sz w:val="26"/>
                <w:szCs w:val="26"/>
              </w:rPr>
              <w:t>ā</w:t>
            </w:r>
            <w:r w:rsidR="00045255" w:rsidRPr="00ED0B51">
              <w:rPr>
                <w:sz w:val="26"/>
                <w:szCs w:val="26"/>
              </w:rPr>
              <w:t xml:space="preserve"> informatīvo deklarāciju par fiziskās personas – Latvijas Republikas rezidenta – veiktajiem līzinga un kredīta vai arī tikai līzinga vai tikai kredīta un ar to saistīto procentu maksājumiem, kuru summa mēnesī pārsniedz 360 </w:t>
            </w:r>
            <w:proofErr w:type="spellStart"/>
            <w:r w:rsidR="00045255" w:rsidRPr="00ED0B51">
              <w:rPr>
                <w:i/>
                <w:sz w:val="26"/>
                <w:szCs w:val="26"/>
              </w:rPr>
              <w:t>euro</w:t>
            </w:r>
            <w:proofErr w:type="spellEnd"/>
            <w:r w:rsidR="00045255" w:rsidRPr="00ED0B51">
              <w:rPr>
                <w:sz w:val="26"/>
                <w:szCs w:val="26"/>
              </w:rPr>
              <w:t xml:space="preserve"> vai šādu iemaksu kopsumma kalendār</w:t>
            </w:r>
            <w:r w:rsidR="002E50FD" w:rsidRPr="00ED0B51">
              <w:rPr>
                <w:sz w:val="26"/>
                <w:szCs w:val="26"/>
              </w:rPr>
              <w:t>a</w:t>
            </w:r>
            <w:r w:rsidR="00045255" w:rsidRPr="00ED0B51">
              <w:rPr>
                <w:sz w:val="26"/>
                <w:szCs w:val="26"/>
              </w:rPr>
              <w:t xml:space="preserve"> gada laikā pārsniedz 4320 </w:t>
            </w:r>
            <w:proofErr w:type="spellStart"/>
            <w:r w:rsidR="00045255" w:rsidRPr="00ED0B51">
              <w:rPr>
                <w:i/>
                <w:sz w:val="26"/>
                <w:szCs w:val="26"/>
              </w:rPr>
              <w:t>euro</w:t>
            </w:r>
            <w:proofErr w:type="spellEnd"/>
            <w:r w:rsidR="00045255" w:rsidRPr="00ED0B51">
              <w:rPr>
                <w:sz w:val="26"/>
                <w:szCs w:val="26"/>
              </w:rPr>
              <w:t>. Ministru kabinets nosaka šajā punktā minētajā deklarācijā norādāmās ziņas un tās iesniegšanas kārtību. Ministru kabinets līdz 2015.gada 1.jūnijam izdod šā likuma 15.panta trešās daļas 5.</w:t>
            </w:r>
            <w:r w:rsidR="00045255" w:rsidRPr="00ED0B51">
              <w:rPr>
                <w:sz w:val="26"/>
                <w:szCs w:val="26"/>
                <w:vertAlign w:val="superscript"/>
              </w:rPr>
              <w:t>2</w:t>
            </w:r>
            <w:r w:rsidR="00045255" w:rsidRPr="00ED0B51">
              <w:rPr>
                <w:sz w:val="26"/>
                <w:szCs w:val="26"/>
              </w:rPr>
              <w:t>punktā paredzētos noteikumus.</w:t>
            </w:r>
          </w:p>
          <w:p w14:paraId="3B7539A7" w14:textId="77777777" w:rsidR="00045255" w:rsidRPr="00ED0B51" w:rsidRDefault="00651F03" w:rsidP="00EE5DD3">
            <w:pPr>
              <w:pStyle w:val="NormalWeb"/>
              <w:spacing w:before="0" w:beforeAutospacing="0" w:after="0" w:afterAutospacing="0"/>
              <w:jc w:val="both"/>
              <w:rPr>
                <w:sz w:val="26"/>
                <w:szCs w:val="26"/>
              </w:rPr>
            </w:pPr>
            <w:r w:rsidRPr="00ED0B51">
              <w:rPr>
                <w:sz w:val="26"/>
                <w:szCs w:val="26"/>
              </w:rPr>
              <w:t>Likuma pārejas noteikumu 167.punkt</w:t>
            </w:r>
            <w:r w:rsidR="003F3F16" w:rsidRPr="00ED0B51">
              <w:rPr>
                <w:sz w:val="26"/>
                <w:szCs w:val="26"/>
              </w:rPr>
              <w:t>ā</w:t>
            </w:r>
            <w:r w:rsidRPr="00ED0B51">
              <w:rPr>
                <w:sz w:val="26"/>
                <w:szCs w:val="26"/>
              </w:rPr>
              <w:t xml:space="preserve"> </w:t>
            </w:r>
            <w:r w:rsidR="001A36A4" w:rsidRPr="00ED0B51">
              <w:rPr>
                <w:sz w:val="26"/>
                <w:szCs w:val="26"/>
              </w:rPr>
              <w:t>paredzēts</w:t>
            </w:r>
            <w:r w:rsidRPr="00ED0B51">
              <w:rPr>
                <w:sz w:val="26"/>
                <w:szCs w:val="26"/>
              </w:rPr>
              <w:t xml:space="preserve">, ka </w:t>
            </w:r>
            <w:r w:rsidR="00A11D5F" w:rsidRPr="00ED0B51">
              <w:rPr>
                <w:sz w:val="26"/>
                <w:szCs w:val="26"/>
              </w:rPr>
              <w:t>š</w:t>
            </w:r>
            <w:r w:rsidRPr="00ED0B51">
              <w:rPr>
                <w:sz w:val="26"/>
                <w:szCs w:val="26"/>
              </w:rPr>
              <w:t xml:space="preserve">ā likuma </w:t>
            </w:r>
            <w:hyperlink r:id="rId12" w:anchor="p15" w:tgtFrame="_blank" w:history="1">
              <w:r w:rsidRPr="00ED0B51">
                <w:rPr>
                  <w:sz w:val="26"/>
                  <w:szCs w:val="26"/>
                </w:rPr>
                <w:t>15.panta</w:t>
              </w:r>
            </w:hyperlink>
            <w:r w:rsidRPr="00ED0B51">
              <w:rPr>
                <w:sz w:val="26"/>
                <w:szCs w:val="26"/>
              </w:rPr>
              <w:t xml:space="preserve"> trešās daļas 5.</w:t>
            </w:r>
            <w:r w:rsidRPr="00ED0B51">
              <w:rPr>
                <w:sz w:val="26"/>
                <w:szCs w:val="26"/>
                <w:vertAlign w:val="superscript"/>
              </w:rPr>
              <w:t>2</w:t>
            </w:r>
            <w:r w:rsidR="003F3F16" w:rsidRPr="00ED0B51">
              <w:rPr>
                <w:sz w:val="26"/>
                <w:szCs w:val="26"/>
                <w:vertAlign w:val="superscript"/>
              </w:rPr>
              <w:t> </w:t>
            </w:r>
            <w:r w:rsidRPr="00ED0B51">
              <w:rPr>
                <w:sz w:val="26"/>
                <w:szCs w:val="26"/>
              </w:rPr>
              <w:t xml:space="preserve">punktā noteiktais informatīvās deklarācijas iesniegšanas pienākums </w:t>
            </w:r>
            <w:r w:rsidRPr="00ED0B51">
              <w:rPr>
                <w:sz w:val="26"/>
                <w:szCs w:val="26"/>
              </w:rPr>
              <w:lastRenderedPageBreak/>
              <w:t>pildāms no 2016.gada 1.janvāra, katru gadu iesniedzot attiecīgās informatīvās deklarācijas.</w:t>
            </w:r>
            <w:r w:rsidR="00A11D5F" w:rsidRPr="00ED0B51">
              <w:rPr>
                <w:sz w:val="26"/>
                <w:szCs w:val="26"/>
              </w:rPr>
              <w:t xml:space="preserve"> </w:t>
            </w:r>
            <w:r w:rsidR="00B1580C" w:rsidRPr="00ED0B51">
              <w:rPr>
                <w:sz w:val="26"/>
                <w:szCs w:val="26"/>
              </w:rPr>
              <w:t xml:space="preserve">Tādējādi </w:t>
            </w:r>
            <w:r w:rsidR="00073FF0" w:rsidRPr="00ED0B51">
              <w:rPr>
                <w:sz w:val="26"/>
                <w:szCs w:val="26"/>
              </w:rPr>
              <w:t xml:space="preserve">ir </w:t>
            </w:r>
            <w:r w:rsidR="00B1580C" w:rsidRPr="00ED0B51">
              <w:rPr>
                <w:sz w:val="26"/>
                <w:szCs w:val="26"/>
              </w:rPr>
              <w:t>izstrādāt</w:t>
            </w:r>
            <w:r w:rsidR="00073FF0" w:rsidRPr="00ED0B51">
              <w:rPr>
                <w:sz w:val="26"/>
                <w:szCs w:val="26"/>
              </w:rPr>
              <w:t>i</w:t>
            </w:r>
            <w:r w:rsidR="00B1580C" w:rsidRPr="00ED0B51">
              <w:rPr>
                <w:sz w:val="26"/>
                <w:szCs w:val="26"/>
              </w:rPr>
              <w:t xml:space="preserve"> Ministru kabineta </w:t>
            </w:r>
            <w:r w:rsidR="00073FF0" w:rsidRPr="00ED0B51">
              <w:rPr>
                <w:sz w:val="26"/>
                <w:szCs w:val="26"/>
              </w:rPr>
              <w:t>noteikumi</w:t>
            </w:r>
            <w:r w:rsidR="00B1580C" w:rsidRPr="00ED0B51">
              <w:rPr>
                <w:sz w:val="26"/>
                <w:szCs w:val="26"/>
              </w:rPr>
              <w:t xml:space="preserve">, kuri noteiks </w:t>
            </w:r>
            <w:r w:rsidR="00254C81" w:rsidRPr="00ED0B51">
              <w:rPr>
                <w:sz w:val="26"/>
                <w:szCs w:val="26"/>
              </w:rPr>
              <w:t xml:space="preserve">informatīvās </w:t>
            </w:r>
            <w:r w:rsidR="00B1580C" w:rsidRPr="00ED0B51">
              <w:rPr>
                <w:sz w:val="26"/>
                <w:szCs w:val="26"/>
              </w:rPr>
              <w:t>deklarācij</w:t>
            </w:r>
            <w:r w:rsidR="00254C81" w:rsidRPr="00ED0B51">
              <w:rPr>
                <w:sz w:val="26"/>
                <w:szCs w:val="26"/>
              </w:rPr>
              <w:t>as</w:t>
            </w:r>
            <w:r w:rsidR="007705E7" w:rsidRPr="00ED0B51">
              <w:rPr>
                <w:sz w:val="26"/>
                <w:szCs w:val="26"/>
              </w:rPr>
              <w:t xml:space="preserve"> par fiziskās personas – Latvijas Republikas rezidenta – </w:t>
            </w:r>
            <w:r w:rsidR="00186082" w:rsidRPr="00ED0B51">
              <w:rPr>
                <w:iCs/>
                <w:sz w:val="28"/>
                <w:szCs w:val="28"/>
                <w:lang w:eastAsia="en-US"/>
              </w:rPr>
              <w:t xml:space="preserve"> </w:t>
            </w:r>
            <w:r w:rsidR="00186082" w:rsidRPr="00ED0B51">
              <w:rPr>
                <w:iCs/>
                <w:sz w:val="26"/>
                <w:szCs w:val="26"/>
              </w:rPr>
              <w:t>veiktajiem līzinga un kredīta vai arī tikai līzinga vai tikai kredīta un ar to saistīto procentu maksājumiem, kuru summa mēnesī pārsniedz 360 </w:t>
            </w:r>
            <w:proofErr w:type="spellStart"/>
            <w:r w:rsidR="00186082" w:rsidRPr="00ED0B51">
              <w:rPr>
                <w:i/>
                <w:iCs/>
                <w:sz w:val="26"/>
                <w:szCs w:val="26"/>
              </w:rPr>
              <w:t>euro</w:t>
            </w:r>
            <w:proofErr w:type="spellEnd"/>
            <w:r w:rsidR="00186082" w:rsidRPr="00ED0B51">
              <w:rPr>
                <w:i/>
                <w:iCs/>
                <w:sz w:val="26"/>
                <w:szCs w:val="26"/>
              </w:rPr>
              <w:t xml:space="preserve"> </w:t>
            </w:r>
            <w:r w:rsidR="00186082" w:rsidRPr="00ED0B51">
              <w:rPr>
                <w:iCs/>
                <w:sz w:val="26"/>
                <w:szCs w:val="26"/>
              </w:rPr>
              <w:t>vai šādu iemaksu kopsumma kalendārā gada laikā pārsniedz 4320 </w:t>
            </w:r>
            <w:proofErr w:type="spellStart"/>
            <w:r w:rsidR="00186082" w:rsidRPr="00ED0B51">
              <w:rPr>
                <w:i/>
                <w:iCs/>
                <w:sz w:val="26"/>
                <w:szCs w:val="26"/>
              </w:rPr>
              <w:t>euro</w:t>
            </w:r>
            <w:proofErr w:type="spellEnd"/>
            <w:r w:rsidR="00186082" w:rsidRPr="00ED0B51">
              <w:rPr>
                <w:iCs/>
                <w:sz w:val="26"/>
                <w:szCs w:val="26"/>
              </w:rPr>
              <w:t xml:space="preserve"> </w:t>
            </w:r>
            <w:r w:rsidR="001A36A4" w:rsidRPr="00ED0B51">
              <w:rPr>
                <w:sz w:val="26"/>
                <w:szCs w:val="26"/>
              </w:rPr>
              <w:br/>
            </w:r>
            <w:r w:rsidR="00073FF0" w:rsidRPr="00ED0B51">
              <w:rPr>
                <w:sz w:val="26"/>
                <w:szCs w:val="26"/>
              </w:rPr>
              <w:t>(turpmāk –</w:t>
            </w:r>
            <w:r w:rsidR="001B7D81" w:rsidRPr="00ED0B51">
              <w:rPr>
                <w:sz w:val="26"/>
                <w:szCs w:val="26"/>
              </w:rPr>
              <w:t xml:space="preserve"> </w:t>
            </w:r>
            <w:r w:rsidR="007804AB" w:rsidRPr="00ED0B51">
              <w:rPr>
                <w:sz w:val="26"/>
                <w:szCs w:val="26"/>
              </w:rPr>
              <w:t xml:space="preserve">informatīvā </w:t>
            </w:r>
            <w:r w:rsidR="00073FF0" w:rsidRPr="00ED0B51">
              <w:rPr>
                <w:sz w:val="26"/>
                <w:szCs w:val="26"/>
              </w:rPr>
              <w:t xml:space="preserve">deklarācija) </w:t>
            </w:r>
            <w:r w:rsidR="00B1580C" w:rsidRPr="00ED0B51">
              <w:rPr>
                <w:sz w:val="26"/>
                <w:szCs w:val="26"/>
              </w:rPr>
              <w:t>veidlapas paraugu</w:t>
            </w:r>
            <w:r w:rsidR="000B528C" w:rsidRPr="00ED0B51">
              <w:rPr>
                <w:sz w:val="26"/>
                <w:szCs w:val="26"/>
              </w:rPr>
              <w:t>,</w:t>
            </w:r>
            <w:r w:rsidR="00B1580C" w:rsidRPr="00ED0B51">
              <w:rPr>
                <w:sz w:val="26"/>
                <w:szCs w:val="26"/>
              </w:rPr>
              <w:t xml:space="preserve"> </w:t>
            </w:r>
            <w:r w:rsidR="007804AB" w:rsidRPr="00ED0B51">
              <w:rPr>
                <w:szCs w:val="28"/>
              </w:rPr>
              <w:t xml:space="preserve">informatīvajā </w:t>
            </w:r>
            <w:r w:rsidR="000B528C" w:rsidRPr="00ED0B51">
              <w:rPr>
                <w:sz w:val="26"/>
                <w:szCs w:val="26"/>
              </w:rPr>
              <w:t xml:space="preserve">deklarācijā norādāmās ziņas </w:t>
            </w:r>
            <w:r w:rsidR="00B1580C" w:rsidRPr="00ED0B51">
              <w:rPr>
                <w:sz w:val="26"/>
                <w:szCs w:val="26"/>
              </w:rPr>
              <w:t>un tās aizpildīšanas kārtību.</w:t>
            </w:r>
          </w:p>
          <w:p w14:paraId="1B319C54" w14:textId="77777777" w:rsidR="00B1580C" w:rsidRPr="00ED0B51" w:rsidRDefault="00B1580C" w:rsidP="00EE5DD3">
            <w:pPr>
              <w:pStyle w:val="NormalWeb"/>
              <w:spacing w:before="0" w:beforeAutospacing="0" w:after="0" w:afterAutospacing="0"/>
              <w:jc w:val="both"/>
              <w:rPr>
                <w:sz w:val="26"/>
                <w:szCs w:val="26"/>
              </w:rPr>
            </w:pPr>
            <w:r w:rsidRPr="00ED0B51">
              <w:rPr>
                <w:sz w:val="26"/>
                <w:szCs w:val="26"/>
              </w:rPr>
              <w:t xml:space="preserve">Noteikumu projekta mērķis ir </w:t>
            </w:r>
            <w:r w:rsidR="00037A67" w:rsidRPr="00ED0B51">
              <w:rPr>
                <w:sz w:val="26"/>
                <w:szCs w:val="26"/>
              </w:rPr>
              <w:t xml:space="preserve">ēnu ekonomikas īpatsvara mazināšanai iegūt informāciju no </w:t>
            </w:r>
            <w:r w:rsidR="007C4653" w:rsidRPr="00ED0B51">
              <w:rPr>
                <w:sz w:val="26"/>
                <w:szCs w:val="26"/>
              </w:rPr>
              <w:t>k</w:t>
            </w:r>
            <w:r w:rsidR="002E50FD" w:rsidRPr="00ED0B51">
              <w:rPr>
                <w:sz w:val="26"/>
                <w:szCs w:val="26"/>
              </w:rPr>
              <w:t>o</w:t>
            </w:r>
            <w:r w:rsidR="007C4653" w:rsidRPr="00ED0B51">
              <w:rPr>
                <w:sz w:val="26"/>
                <w:szCs w:val="26"/>
              </w:rPr>
              <w:t>mercsabiedrībām</w:t>
            </w:r>
            <w:r w:rsidR="00037A67" w:rsidRPr="00ED0B51">
              <w:rPr>
                <w:sz w:val="26"/>
                <w:szCs w:val="26"/>
              </w:rPr>
              <w:t>, kas sniedz līzinga un kredīt</w:t>
            </w:r>
            <w:r w:rsidR="003F3F16" w:rsidRPr="00ED0B51">
              <w:rPr>
                <w:sz w:val="26"/>
                <w:szCs w:val="26"/>
              </w:rPr>
              <w:t xml:space="preserve">a </w:t>
            </w:r>
            <w:r w:rsidR="00037A67" w:rsidRPr="00ED0B51">
              <w:rPr>
                <w:sz w:val="26"/>
                <w:szCs w:val="26"/>
              </w:rPr>
              <w:t>pakalpojumus, izņemot kredītiestādes, lai novērstu izvairīšanos no nodokļa samaksas fiziskām personām</w:t>
            </w:r>
            <w:r w:rsidR="00270C83" w:rsidRPr="00ED0B51">
              <w:rPr>
                <w:sz w:val="26"/>
                <w:szCs w:val="26"/>
              </w:rPr>
              <w:t xml:space="preserve"> – </w:t>
            </w:r>
            <w:r w:rsidR="00037A67" w:rsidRPr="00ED0B51">
              <w:rPr>
                <w:sz w:val="26"/>
                <w:szCs w:val="26"/>
              </w:rPr>
              <w:t xml:space="preserve">Latvijas </w:t>
            </w:r>
            <w:r w:rsidR="00270C83" w:rsidRPr="00ED0B51">
              <w:rPr>
                <w:sz w:val="26"/>
                <w:szCs w:val="26"/>
              </w:rPr>
              <w:t xml:space="preserve">Republikas </w:t>
            </w:r>
            <w:r w:rsidR="00037A67" w:rsidRPr="00ED0B51">
              <w:rPr>
                <w:sz w:val="26"/>
                <w:szCs w:val="26"/>
              </w:rPr>
              <w:t>rezidentiem</w:t>
            </w:r>
            <w:r w:rsidR="00270C83" w:rsidRPr="00ED0B51">
              <w:rPr>
                <w:sz w:val="26"/>
                <w:szCs w:val="26"/>
              </w:rPr>
              <w:t xml:space="preserve"> –</w:t>
            </w:r>
            <w:r w:rsidR="00037A67" w:rsidRPr="00ED0B51">
              <w:rPr>
                <w:sz w:val="26"/>
                <w:szCs w:val="26"/>
              </w:rPr>
              <w:t>, kurām nav regulāru ienākumu, tomēr tās regulāri veic kredīta vai līzinga maksājumus par iegādāto lietu, piemēram, transportlīdzekli.</w:t>
            </w:r>
          </w:p>
          <w:p w14:paraId="59470221" w14:textId="77777777" w:rsidR="00037A67" w:rsidRPr="00ED0B51" w:rsidRDefault="00085BB0" w:rsidP="003F3F16">
            <w:pPr>
              <w:pStyle w:val="NormalWeb"/>
              <w:spacing w:before="0" w:beforeAutospacing="0" w:after="0" w:afterAutospacing="0"/>
              <w:jc w:val="both"/>
              <w:rPr>
                <w:sz w:val="26"/>
                <w:szCs w:val="26"/>
              </w:rPr>
            </w:pPr>
            <w:r w:rsidRPr="00ED0B51">
              <w:rPr>
                <w:sz w:val="26"/>
                <w:szCs w:val="26"/>
              </w:rPr>
              <w:t>Noteikumu projekt</w:t>
            </w:r>
            <w:r w:rsidR="00037A67" w:rsidRPr="00ED0B51">
              <w:rPr>
                <w:sz w:val="26"/>
                <w:szCs w:val="26"/>
              </w:rPr>
              <w:t>s</w:t>
            </w:r>
            <w:r w:rsidR="00284B7C" w:rsidRPr="00ED0B51">
              <w:rPr>
                <w:sz w:val="26"/>
                <w:szCs w:val="26"/>
              </w:rPr>
              <w:t xml:space="preserve"> </w:t>
            </w:r>
            <w:r w:rsidR="00073FF0" w:rsidRPr="00ED0B51">
              <w:rPr>
                <w:sz w:val="26"/>
                <w:szCs w:val="26"/>
              </w:rPr>
              <w:t>paredz</w:t>
            </w:r>
            <w:r w:rsidR="00037A67" w:rsidRPr="00ED0B51">
              <w:rPr>
                <w:sz w:val="26"/>
                <w:szCs w:val="26"/>
              </w:rPr>
              <w:t>:</w:t>
            </w:r>
          </w:p>
          <w:p w14:paraId="14298DFF" w14:textId="77777777" w:rsidR="00037A67" w:rsidRPr="00ED0B51" w:rsidRDefault="00037A67" w:rsidP="003F3F16">
            <w:pPr>
              <w:pStyle w:val="NormalWeb"/>
              <w:spacing w:before="0" w:beforeAutospacing="0" w:after="0" w:afterAutospacing="0"/>
              <w:jc w:val="both"/>
              <w:rPr>
                <w:sz w:val="26"/>
                <w:szCs w:val="26"/>
              </w:rPr>
            </w:pPr>
            <w:r w:rsidRPr="00ED0B51">
              <w:rPr>
                <w:sz w:val="26"/>
                <w:szCs w:val="26"/>
              </w:rPr>
              <w:t>1) kredīt</w:t>
            </w:r>
            <w:r w:rsidR="00270C83" w:rsidRPr="00ED0B51">
              <w:rPr>
                <w:sz w:val="26"/>
                <w:szCs w:val="26"/>
              </w:rPr>
              <w:t xml:space="preserve">a </w:t>
            </w:r>
            <w:r w:rsidRPr="00ED0B51">
              <w:rPr>
                <w:sz w:val="26"/>
                <w:szCs w:val="26"/>
              </w:rPr>
              <w:t>devējiem un līzinga</w:t>
            </w:r>
            <w:r w:rsidR="00270C83" w:rsidRPr="00ED0B51">
              <w:rPr>
                <w:sz w:val="26"/>
                <w:szCs w:val="26"/>
              </w:rPr>
              <w:t xml:space="preserve"> (operatīvā līzinga, finanšu līzinga)</w:t>
            </w:r>
            <w:r w:rsidRPr="00ED0B51">
              <w:rPr>
                <w:sz w:val="26"/>
                <w:szCs w:val="26"/>
              </w:rPr>
              <w:t xml:space="preserve"> devējiem, izņemot kredītiestādes, </w:t>
            </w:r>
            <w:r w:rsidR="00270C83" w:rsidRPr="00ED0B51">
              <w:rPr>
                <w:sz w:val="26"/>
                <w:szCs w:val="26"/>
              </w:rPr>
              <w:t>pienākumu vienu reizi</w:t>
            </w:r>
            <w:r w:rsidRPr="00ED0B51">
              <w:rPr>
                <w:sz w:val="26"/>
                <w:szCs w:val="26"/>
              </w:rPr>
              <w:t xml:space="preserve"> gadā sniegt informatīvo dekl</w:t>
            </w:r>
            <w:r w:rsidR="003F3F16" w:rsidRPr="00ED0B51">
              <w:rPr>
                <w:sz w:val="26"/>
                <w:szCs w:val="26"/>
              </w:rPr>
              <w:t>arāciju</w:t>
            </w:r>
            <w:r w:rsidR="002E50FD" w:rsidRPr="00ED0B51">
              <w:rPr>
                <w:sz w:val="26"/>
                <w:szCs w:val="26"/>
              </w:rPr>
              <w:t>;</w:t>
            </w:r>
            <w:r w:rsidRPr="00ED0B51">
              <w:rPr>
                <w:sz w:val="26"/>
                <w:szCs w:val="26"/>
              </w:rPr>
              <w:t xml:space="preserve"> </w:t>
            </w:r>
          </w:p>
          <w:p w14:paraId="19393998" w14:textId="77777777" w:rsidR="00284B7C" w:rsidRPr="00ED0B51" w:rsidRDefault="00037A67" w:rsidP="003F3F16">
            <w:pPr>
              <w:pStyle w:val="NormalWeb"/>
              <w:spacing w:before="0" w:beforeAutospacing="0" w:after="0" w:afterAutospacing="0"/>
              <w:jc w:val="both"/>
              <w:rPr>
                <w:sz w:val="26"/>
                <w:szCs w:val="26"/>
              </w:rPr>
            </w:pPr>
            <w:r w:rsidRPr="00ED0B51">
              <w:rPr>
                <w:sz w:val="26"/>
                <w:szCs w:val="26"/>
              </w:rPr>
              <w:t xml:space="preserve">2) sniegt ziņas par </w:t>
            </w:r>
            <w:r w:rsidR="003F3F16" w:rsidRPr="00ED0B51">
              <w:rPr>
                <w:sz w:val="26"/>
                <w:szCs w:val="26"/>
              </w:rPr>
              <w:t xml:space="preserve">fizisko personu – Latvijas Republikas rezidentu – </w:t>
            </w:r>
            <w:r w:rsidRPr="00ED0B51">
              <w:rPr>
                <w:sz w:val="26"/>
                <w:szCs w:val="26"/>
              </w:rPr>
              <w:t>veiktajiem maksājumiem kredītu un līzingu atmaksai, kas attiecīgajā mēne</w:t>
            </w:r>
            <w:r w:rsidR="003F3F16" w:rsidRPr="00ED0B51">
              <w:rPr>
                <w:sz w:val="26"/>
                <w:szCs w:val="26"/>
              </w:rPr>
              <w:t>sī</w:t>
            </w:r>
            <w:r w:rsidRPr="00ED0B51">
              <w:rPr>
                <w:sz w:val="26"/>
                <w:szCs w:val="26"/>
              </w:rPr>
              <w:t xml:space="preserve"> pārsniedz 360</w:t>
            </w:r>
            <w:r w:rsidR="003F3F16" w:rsidRPr="00ED0B51">
              <w:rPr>
                <w:sz w:val="26"/>
                <w:szCs w:val="26"/>
              </w:rPr>
              <w:t> </w:t>
            </w:r>
            <w:proofErr w:type="spellStart"/>
            <w:r w:rsidRPr="00ED0B51">
              <w:rPr>
                <w:i/>
                <w:sz w:val="26"/>
                <w:szCs w:val="26"/>
              </w:rPr>
              <w:t>euro</w:t>
            </w:r>
            <w:proofErr w:type="spellEnd"/>
            <w:r w:rsidRPr="00ED0B51">
              <w:rPr>
                <w:sz w:val="26"/>
                <w:szCs w:val="26"/>
              </w:rPr>
              <w:t xml:space="preserve"> vai kalendār</w:t>
            </w:r>
            <w:r w:rsidR="001A36A4" w:rsidRPr="00ED0B51">
              <w:rPr>
                <w:sz w:val="26"/>
                <w:szCs w:val="26"/>
              </w:rPr>
              <w:t>a</w:t>
            </w:r>
            <w:r w:rsidRPr="00ED0B51">
              <w:rPr>
                <w:sz w:val="26"/>
                <w:szCs w:val="26"/>
              </w:rPr>
              <w:t xml:space="preserve"> gada laikā 4320</w:t>
            </w:r>
            <w:r w:rsidR="003F3F16" w:rsidRPr="00ED0B51">
              <w:rPr>
                <w:sz w:val="26"/>
                <w:szCs w:val="26"/>
              </w:rPr>
              <w:t> </w:t>
            </w:r>
            <w:proofErr w:type="spellStart"/>
            <w:r w:rsidRPr="00ED0B51">
              <w:rPr>
                <w:i/>
                <w:sz w:val="26"/>
                <w:szCs w:val="26"/>
              </w:rPr>
              <w:t>euro</w:t>
            </w:r>
            <w:proofErr w:type="spellEnd"/>
            <w:r w:rsidR="003F3F16" w:rsidRPr="00ED0B51">
              <w:rPr>
                <w:sz w:val="26"/>
                <w:szCs w:val="26"/>
              </w:rPr>
              <w:t>.</w:t>
            </w:r>
            <w:r w:rsidRPr="00ED0B51">
              <w:rPr>
                <w:sz w:val="26"/>
                <w:szCs w:val="26"/>
              </w:rPr>
              <w:t xml:space="preserve"> </w:t>
            </w:r>
            <w:r w:rsidR="001320BD" w:rsidRPr="00ED0B51">
              <w:rPr>
                <w:sz w:val="26"/>
                <w:szCs w:val="26"/>
              </w:rPr>
              <w:t>Ja mēneša noteiktais kritērijs 360 </w:t>
            </w:r>
            <w:proofErr w:type="spellStart"/>
            <w:r w:rsidR="001320BD" w:rsidRPr="00ED0B51">
              <w:rPr>
                <w:i/>
                <w:sz w:val="26"/>
                <w:szCs w:val="26"/>
              </w:rPr>
              <w:t>euro</w:t>
            </w:r>
            <w:proofErr w:type="spellEnd"/>
            <w:r w:rsidR="001320BD" w:rsidRPr="00ED0B51">
              <w:rPr>
                <w:sz w:val="26"/>
                <w:szCs w:val="26"/>
              </w:rPr>
              <w:t xml:space="preserve"> kalendāra gada laikā ir izpildī</w:t>
            </w:r>
            <w:r w:rsidR="001A36A4" w:rsidRPr="00ED0B51">
              <w:rPr>
                <w:sz w:val="26"/>
                <w:szCs w:val="26"/>
              </w:rPr>
              <w:t>t</w:t>
            </w:r>
            <w:r w:rsidR="001320BD" w:rsidRPr="00ED0B51">
              <w:rPr>
                <w:sz w:val="26"/>
                <w:szCs w:val="26"/>
              </w:rPr>
              <w:t xml:space="preserve">s vairāk kā vienā mēnesī, </w:t>
            </w:r>
            <w:r w:rsidR="006B0D28" w:rsidRPr="00ED0B51">
              <w:rPr>
                <w:sz w:val="26"/>
                <w:szCs w:val="26"/>
              </w:rPr>
              <w:t xml:space="preserve">norāda </w:t>
            </w:r>
            <w:r w:rsidR="004E5F1F" w:rsidRPr="00ED0B51">
              <w:rPr>
                <w:sz w:val="26"/>
                <w:szCs w:val="26"/>
              </w:rPr>
              <w:t>tās</w:t>
            </w:r>
            <w:r w:rsidR="006B0D28" w:rsidRPr="00ED0B51">
              <w:rPr>
                <w:sz w:val="26"/>
                <w:szCs w:val="26"/>
              </w:rPr>
              <w:t xml:space="preserve"> </w:t>
            </w:r>
            <w:r w:rsidR="004E5F1F" w:rsidRPr="00ED0B51">
              <w:rPr>
                <w:sz w:val="26"/>
                <w:szCs w:val="26"/>
              </w:rPr>
              <w:t>iemaksas</w:t>
            </w:r>
            <w:r w:rsidR="001320BD" w:rsidRPr="00ED0B51">
              <w:rPr>
                <w:sz w:val="26"/>
                <w:szCs w:val="26"/>
              </w:rPr>
              <w:t xml:space="preserve"> </w:t>
            </w:r>
            <w:r w:rsidR="006B0D28" w:rsidRPr="00ED0B51">
              <w:rPr>
                <w:sz w:val="26"/>
                <w:szCs w:val="26"/>
              </w:rPr>
              <w:t>par kalendāra gadu kopā</w:t>
            </w:r>
            <w:r w:rsidR="004E5F1F" w:rsidRPr="00ED0B51">
              <w:rPr>
                <w:sz w:val="26"/>
                <w:szCs w:val="26"/>
              </w:rPr>
              <w:t>, kuras pārsniedz attiecīgajos mēnešos 360</w:t>
            </w:r>
            <w:r w:rsidR="00270C83" w:rsidRPr="00ED0B51">
              <w:rPr>
                <w:sz w:val="26"/>
                <w:szCs w:val="26"/>
              </w:rPr>
              <w:t> </w:t>
            </w:r>
            <w:proofErr w:type="spellStart"/>
            <w:r w:rsidR="004E5F1F" w:rsidRPr="00ED0B51">
              <w:rPr>
                <w:i/>
                <w:sz w:val="26"/>
                <w:szCs w:val="26"/>
              </w:rPr>
              <w:t>euro</w:t>
            </w:r>
            <w:proofErr w:type="spellEnd"/>
            <w:r w:rsidR="006B0D28" w:rsidRPr="00ED0B51">
              <w:rPr>
                <w:sz w:val="26"/>
                <w:szCs w:val="26"/>
              </w:rPr>
              <w:t>.</w:t>
            </w:r>
          </w:p>
          <w:p w14:paraId="43633A69" w14:textId="77777777" w:rsidR="004041F4" w:rsidRPr="00ED0B51" w:rsidRDefault="006E3BF2" w:rsidP="007F7DF0">
            <w:pPr>
              <w:pStyle w:val="NormalWeb"/>
              <w:spacing w:before="0" w:beforeAutospacing="0" w:after="0" w:afterAutospacing="0"/>
              <w:jc w:val="both"/>
              <w:rPr>
                <w:i/>
                <w:sz w:val="26"/>
                <w:szCs w:val="26"/>
              </w:rPr>
            </w:pPr>
            <w:r w:rsidRPr="00ED0B51">
              <w:rPr>
                <w:i/>
                <w:sz w:val="26"/>
                <w:szCs w:val="26"/>
              </w:rPr>
              <w:t xml:space="preserve">Piemēram, </w:t>
            </w:r>
            <w:proofErr w:type="spellStart"/>
            <w:r w:rsidR="004041F4" w:rsidRPr="00ED0B51">
              <w:rPr>
                <w:i/>
                <w:sz w:val="26"/>
                <w:szCs w:val="26"/>
              </w:rPr>
              <w:t>kredītdevēja</w:t>
            </w:r>
            <w:proofErr w:type="spellEnd"/>
            <w:r w:rsidR="004041F4" w:rsidRPr="00ED0B51">
              <w:rPr>
                <w:i/>
                <w:sz w:val="26"/>
                <w:szCs w:val="26"/>
              </w:rPr>
              <w:t xml:space="preserve"> komercsabiedrībai </w:t>
            </w:r>
            <w:r w:rsidR="00270C83" w:rsidRPr="00ED0B51">
              <w:rPr>
                <w:i/>
                <w:sz w:val="26"/>
                <w:szCs w:val="26"/>
              </w:rPr>
              <w:t>“</w:t>
            </w:r>
            <w:r w:rsidR="004041F4" w:rsidRPr="00ED0B51">
              <w:rPr>
                <w:i/>
                <w:sz w:val="26"/>
                <w:szCs w:val="26"/>
              </w:rPr>
              <w:t xml:space="preserve">SIA” </w:t>
            </w:r>
            <w:r w:rsidRPr="00ED0B51">
              <w:rPr>
                <w:i/>
                <w:sz w:val="26"/>
                <w:szCs w:val="26"/>
              </w:rPr>
              <w:t xml:space="preserve"> 201</w:t>
            </w:r>
            <w:r w:rsidR="007C1DD6" w:rsidRPr="00ED0B51">
              <w:rPr>
                <w:i/>
                <w:sz w:val="26"/>
                <w:szCs w:val="26"/>
              </w:rPr>
              <w:t>5</w:t>
            </w:r>
            <w:r w:rsidRPr="00ED0B51">
              <w:rPr>
                <w:i/>
                <w:sz w:val="26"/>
                <w:szCs w:val="26"/>
              </w:rPr>
              <w:t xml:space="preserve">.gadā </w:t>
            </w:r>
            <w:r w:rsidR="004041F4" w:rsidRPr="00ED0B51">
              <w:rPr>
                <w:i/>
                <w:sz w:val="26"/>
                <w:szCs w:val="26"/>
              </w:rPr>
              <w:t xml:space="preserve">fiziskās personas </w:t>
            </w:r>
            <w:r w:rsidRPr="00ED0B51">
              <w:rPr>
                <w:i/>
                <w:sz w:val="26"/>
                <w:szCs w:val="26"/>
              </w:rPr>
              <w:t>veiku</w:t>
            </w:r>
            <w:r w:rsidR="004041F4" w:rsidRPr="00ED0B51">
              <w:rPr>
                <w:i/>
                <w:sz w:val="26"/>
                <w:szCs w:val="26"/>
              </w:rPr>
              <w:t>šas</w:t>
            </w:r>
            <w:r w:rsidRPr="00ED0B51">
              <w:rPr>
                <w:i/>
                <w:sz w:val="26"/>
                <w:szCs w:val="26"/>
              </w:rPr>
              <w:t xml:space="preserve"> </w:t>
            </w:r>
            <w:r w:rsidR="004041F4" w:rsidRPr="00ED0B51">
              <w:rPr>
                <w:i/>
                <w:sz w:val="26"/>
                <w:szCs w:val="26"/>
              </w:rPr>
              <w:t xml:space="preserve">kredītu </w:t>
            </w:r>
            <w:r w:rsidRPr="00ED0B51">
              <w:rPr>
                <w:i/>
                <w:sz w:val="26"/>
                <w:szCs w:val="26"/>
              </w:rPr>
              <w:t>atmaksu</w:t>
            </w:r>
            <w:r w:rsidR="004041F4" w:rsidRPr="00ED0B51">
              <w:rPr>
                <w:i/>
                <w:sz w:val="26"/>
                <w:szCs w:val="26"/>
              </w:rPr>
              <w:t>:</w:t>
            </w:r>
          </w:p>
          <w:p w14:paraId="50C49ED7" w14:textId="77777777" w:rsidR="006E3BF2" w:rsidRPr="00ED0B51" w:rsidRDefault="004041F4" w:rsidP="007F7DF0">
            <w:pPr>
              <w:pStyle w:val="NormalWeb"/>
              <w:spacing w:before="0" w:beforeAutospacing="0" w:after="0" w:afterAutospacing="0"/>
              <w:jc w:val="both"/>
              <w:rPr>
                <w:i/>
                <w:sz w:val="26"/>
                <w:szCs w:val="26"/>
              </w:rPr>
            </w:pPr>
            <w:r w:rsidRPr="00ED0B51">
              <w:rPr>
                <w:i/>
                <w:sz w:val="26"/>
                <w:szCs w:val="26"/>
              </w:rPr>
              <w:t xml:space="preserve">fiziskā persona </w:t>
            </w:r>
            <w:r w:rsidR="0048311F" w:rsidRPr="00ED0B51">
              <w:rPr>
                <w:i/>
                <w:sz w:val="26"/>
                <w:szCs w:val="26"/>
              </w:rPr>
              <w:t>“</w:t>
            </w:r>
            <w:r w:rsidRPr="00ED0B51">
              <w:rPr>
                <w:i/>
                <w:sz w:val="26"/>
                <w:szCs w:val="26"/>
              </w:rPr>
              <w:t>A” –</w:t>
            </w:r>
            <w:r w:rsidR="00AB458D" w:rsidRPr="00ED0B51">
              <w:rPr>
                <w:i/>
                <w:sz w:val="26"/>
                <w:szCs w:val="26"/>
              </w:rPr>
              <w:t xml:space="preserve"> </w:t>
            </w:r>
            <w:r w:rsidR="006E3BF2" w:rsidRPr="00ED0B51">
              <w:rPr>
                <w:i/>
                <w:sz w:val="26"/>
                <w:szCs w:val="26"/>
              </w:rPr>
              <w:t>600 </w:t>
            </w:r>
            <w:proofErr w:type="spellStart"/>
            <w:r w:rsidR="006E3BF2" w:rsidRPr="00ED0B51">
              <w:rPr>
                <w:i/>
                <w:sz w:val="26"/>
                <w:szCs w:val="26"/>
              </w:rPr>
              <w:t>euro</w:t>
            </w:r>
            <w:proofErr w:type="spellEnd"/>
            <w:r w:rsidR="00AB458D" w:rsidRPr="00ED0B51">
              <w:rPr>
                <w:i/>
                <w:sz w:val="26"/>
                <w:szCs w:val="26"/>
              </w:rPr>
              <w:t xml:space="preserve"> janvārī</w:t>
            </w:r>
            <w:r w:rsidR="006E3BF2" w:rsidRPr="00ED0B51">
              <w:rPr>
                <w:i/>
                <w:sz w:val="26"/>
                <w:szCs w:val="26"/>
              </w:rPr>
              <w:t>, 500 </w:t>
            </w:r>
            <w:proofErr w:type="spellStart"/>
            <w:r w:rsidR="006E3BF2" w:rsidRPr="00ED0B51">
              <w:rPr>
                <w:i/>
                <w:sz w:val="26"/>
                <w:szCs w:val="26"/>
              </w:rPr>
              <w:t>euro</w:t>
            </w:r>
            <w:proofErr w:type="spellEnd"/>
            <w:r w:rsidR="00AB458D" w:rsidRPr="00ED0B51">
              <w:rPr>
                <w:i/>
                <w:sz w:val="26"/>
                <w:szCs w:val="26"/>
              </w:rPr>
              <w:t xml:space="preserve"> februārī</w:t>
            </w:r>
            <w:r w:rsidR="006E3BF2" w:rsidRPr="00ED0B51">
              <w:rPr>
                <w:i/>
                <w:sz w:val="26"/>
                <w:szCs w:val="26"/>
              </w:rPr>
              <w:t>, 400 </w:t>
            </w:r>
            <w:proofErr w:type="spellStart"/>
            <w:r w:rsidR="006E3BF2" w:rsidRPr="00ED0B51">
              <w:rPr>
                <w:i/>
                <w:sz w:val="26"/>
                <w:szCs w:val="26"/>
              </w:rPr>
              <w:t>euro</w:t>
            </w:r>
            <w:proofErr w:type="spellEnd"/>
            <w:r w:rsidR="00AB458D" w:rsidRPr="00ED0B51">
              <w:rPr>
                <w:i/>
                <w:sz w:val="26"/>
                <w:szCs w:val="26"/>
              </w:rPr>
              <w:t xml:space="preserve"> martā</w:t>
            </w:r>
            <w:r w:rsidR="006E3BF2" w:rsidRPr="00ED0B51">
              <w:rPr>
                <w:i/>
                <w:sz w:val="26"/>
                <w:szCs w:val="26"/>
              </w:rPr>
              <w:t>, 300</w:t>
            </w:r>
            <w:r w:rsidRPr="00ED0B51">
              <w:rPr>
                <w:i/>
                <w:sz w:val="26"/>
                <w:szCs w:val="26"/>
              </w:rPr>
              <w:t> </w:t>
            </w:r>
            <w:proofErr w:type="spellStart"/>
            <w:r w:rsidR="006E3BF2" w:rsidRPr="00ED0B51">
              <w:rPr>
                <w:i/>
                <w:sz w:val="26"/>
                <w:szCs w:val="26"/>
              </w:rPr>
              <w:t>euro</w:t>
            </w:r>
            <w:proofErr w:type="spellEnd"/>
            <w:r w:rsidR="00AB458D" w:rsidRPr="00ED0B51">
              <w:rPr>
                <w:i/>
                <w:sz w:val="26"/>
                <w:szCs w:val="26"/>
              </w:rPr>
              <w:t xml:space="preserve"> aprīlī </w:t>
            </w:r>
            <w:r w:rsidRPr="00ED0B51">
              <w:rPr>
                <w:i/>
                <w:sz w:val="26"/>
                <w:szCs w:val="26"/>
              </w:rPr>
              <w:t>un 200 </w:t>
            </w:r>
            <w:proofErr w:type="spellStart"/>
            <w:r w:rsidRPr="00ED0B51">
              <w:rPr>
                <w:i/>
                <w:sz w:val="26"/>
                <w:szCs w:val="26"/>
              </w:rPr>
              <w:t>euro</w:t>
            </w:r>
            <w:proofErr w:type="spellEnd"/>
            <w:r w:rsidRPr="00ED0B51">
              <w:rPr>
                <w:i/>
                <w:sz w:val="26"/>
                <w:szCs w:val="26"/>
              </w:rPr>
              <w:t xml:space="preserve"> </w:t>
            </w:r>
            <w:r w:rsidR="00AB458D" w:rsidRPr="00ED0B51">
              <w:rPr>
                <w:i/>
                <w:sz w:val="26"/>
                <w:szCs w:val="26"/>
              </w:rPr>
              <w:t xml:space="preserve"> maijā;</w:t>
            </w:r>
          </w:p>
          <w:p w14:paraId="220E9000" w14:textId="77777777" w:rsidR="00AB458D" w:rsidRPr="00ED0B51" w:rsidRDefault="00AB458D" w:rsidP="007F7DF0">
            <w:pPr>
              <w:pStyle w:val="NormalWeb"/>
              <w:spacing w:before="0" w:beforeAutospacing="0" w:after="0" w:afterAutospacing="0"/>
              <w:jc w:val="both"/>
              <w:rPr>
                <w:i/>
                <w:sz w:val="26"/>
                <w:szCs w:val="26"/>
              </w:rPr>
            </w:pPr>
            <w:r w:rsidRPr="00ED0B51">
              <w:rPr>
                <w:i/>
                <w:sz w:val="26"/>
                <w:szCs w:val="26"/>
              </w:rPr>
              <w:t xml:space="preserve">fiziskā persona </w:t>
            </w:r>
            <w:r w:rsidR="0048311F" w:rsidRPr="00ED0B51">
              <w:rPr>
                <w:i/>
                <w:sz w:val="26"/>
                <w:szCs w:val="26"/>
              </w:rPr>
              <w:t>“</w:t>
            </w:r>
            <w:r w:rsidRPr="00ED0B51">
              <w:rPr>
                <w:i/>
                <w:sz w:val="26"/>
                <w:szCs w:val="26"/>
              </w:rPr>
              <w:t>B” – 1000 </w:t>
            </w:r>
            <w:proofErr w:type="spellStart"/>
            <w:r w:rsidRPr="00ED0B51">
              <w:rPr>
                <w:i/>
                <w:sz w:val="26"/>
                <w:szCs w:val="26"/>
              </w:rPr>
              <w:t>euro</w:t>
            </w:r>
            <w:proofErr w:type="spellEnd"/>
            <w:r w:rsidRPr="00ED0B51">
              <w:rPr>
                <w:i/>
                <w:sz w:val="26"/>
                <w:szCs w:val="26"/>
              </w:rPr>
              <w:t xml:space="preserve"> martā, 1000 </w:t>
            </w:r>
            <w:proofErr w:type="spellStart"/>
            <w:r w:rsidRPr="00ED0B51">
              <w:rPr>
                <w:i/>
                <w:sz w:val="26"/>
                <w:szCs w:val="26"/>
              </w:rPr>
              <w:t>euro</w:t>
            </w:r>
            <w:proofErr w:type="spellEnd"/>
            <w:r w:rsidRPr="00ED0B51">
              <w:rPr>
                <w:i/>
                <w:sz w:val="26"/>
                <w:szCs w:val="26"/>
              </w:rPr>
              <w:t xml:space="preserve"> jūnijā, 1000 </w:t>
            </w:r>
            <w:proofErr w:type="spellStart"/>
            <w:r w:rsidRPr="00ED0B51">
              <w:rPr>
                <w:i/>
                <w:sz w:val="26"/>
                <w:szCs w:val="26"/>
              </w:rPr>
              <w:t>euro</w:t>
            </w:r>
            <w:proofErr w:type="spellEnd"/>
            <w:r w:rsidRPr="00ED0B51">
              <w:rPr>
                <w:i/>
                <w:sz w:val="26"/>
                <w:szCs w:val="26"/>
              </w:rPr>
              <w:t xml:space="preserve"> septembrī un 1000 </w:t>
            </w:r>
            <w:proofErr w:type="spellStart"/>
            <w:r w:rsidRPr="00ED0B51">
              <w:rPr>
                <w:i/>
                <w:sz w:val="26"/>
                <w:szCs w:val="26"/>
              </w:rPr>
              <w:t>euro</w:t>
            </w:r>
            <w:proofErr w:type="spellEnd"/>
            <w:r w:rsidRPr="00ED0B51">
              <w:rPr>
                <w:i/>
                <w:sz w:val="26"/>
                <w:szCs w:val="26"/>
              </w:rPr>
              <w:t xml:space="preserve"> decembrī;</w:t>
            </w:r>
          </w:p>
          <w:p w14:paraId="23B70713" w14:textId="77777777" w:rsidR="00AB458D" w:rsidRPr="00ED0B51" w:rsidRDefault="00AB458D" w:rsidP="007F7DF0">
            <w:pPr>
              <w:pStyle w:val="NormalWeb"/>
              <w:spacing w:before="0" w:beforeAutospacing="0" w:after="0" w:afterAutospacing="0"/>
              <w:jc w:val="both"/>
              <w:rPr>
                <w:i/>
                <w:sz w:val="26"/>
                <w:szCs w:val="26"/>
              </w:rPr>
            </w:pPr>
            <w:r w:rsidRPr="00ED0B51">
              <w:rPr>
                <w:i/>
                <w:sz w:val="26"/>
                <w:szCs w:val="26"/>
              </w:rPr>
              <w:t xml:space="preserve">fiziskā persona </w:t>
            </w:r>
            <w:r w:rsidR="00270C83" w:rsidRPr="00ED0B51">
              <w:rPr>
                <w:i/>
                <w:sz w:val="26"/>
                <w:szCs w:val="26"/>
              </w:rPr>
              <w:t>“</w:t>
            </w:r>
            <w:r w:rsidRPr="00ED0B51">
              <w:rPr>
                <w:i/>
                <w:sz w:val="26"/>
                <w:szCs w:val="26"/>
              </w:rPr>
              <w:t>C” – 100 </w:t>
            </w:r>
            <w:proofErr w:type="spellStart"/>
            <w:r w:rsidRPr="00ED0B51">
              <w:rPr>
                <w:i/>
                <w:sz w:val="26"/>
                <w:szCs w:val="26"/>
              </w:rPr>
              <w:t>euro</w:t>
            </w:r>
            <w:proofErr w:type="spellEnd"/>
            <w:r w:rsidRPr="00ED0B51">
              <w:rPr>
                <w:i/>
                <w:sz w:val="26"/>
                <w:szCs w:val="26"/>
              </w:rPr>
              <w:t xml:space="preserve"> aprīlī, 100 </w:t>
            </w:r>
            <w:proofErr w:type="spellStart"/>
            <w:r w:rsidRPr="00ED0B51">
              <w:rPr>
                <w:i/>
                <w:sz w:val="26"/>
                <w:szCs w:val="26"/>
              </w:rPr>
              <w:t>euro</w:t>
            </w:r>
            <w:proofErr w:type="spellEnd"/>
            <w:r w:rsidRPr="00ED0B51">
              <w:rPr>
                <w:i/>
                <w:sz w:val="26"/>
                <w:szCs w:val="26"/>
              </w:rPr>
              <w:t xml:space="preserve"> maijā, 100 </w:t>
            </w:r>
            <w:proofErr w:type="spellStart"/>
            <w:r w:rsidRPr="00ED0B51">
              <w:rPr>
                <w:i/>
                <w:sz w:val="26"/>
                <w:szCs w:val="26"/>
              </w:rPr>
              <w:t>euro</w:t>
            </w:r>
            <w:proofErr w:type="spellEnd"/>
            <w:r w:rsidRPr="00ED0B51">
              <w:rPr>
                <w:i/>
                <w:sz w:val="26"/>
                <w:szCs w:val="26"/>
              </w:rPr>
              <w:t xml:space="preserve"> jūnijā un 100 </w:t>
            </w:r>
            <w:proofErr w:type="spellStart"/>
            <w:r w:rsidRPr="00ED0B51">
              <w:rPr>
                <w:i/>
                <w:sz w:val="26"/>
                <w:szCs w:val="26"/>
              </w:rPr>
              <w:t>euro</w:t>
            </w:r>
            <w:proofErr w:type="spellEnd"/>
            <w:r w:rsidRPr="00ED0B51">
              <w:rPr>
                <w:i/>
                <w:sz w:val="26"/>
                <w:szCs w:val="26"/>
              </w:rPr>
              <w:t xml:space="preserve"> jūlijā.  </w:t>
            </w:r>
          </w:p>
          <w:p w14:paraId="3F972AC9" w14:textId="77777777" w:rsidR="00284B7C" w:rsidRPr="00ED0B51" w:rsidRDefault="00AB458D" w:rsidP="007F7DF0">
            <w:pPr>
              <w:pStyle w:val="NormalWeb"/>
              <w:spacing w:before="0" w:beforeAutospacing="0" w:after="0" w:afterAutospacing="0"/>
              <w:jc w:val="both"/>
              <w:rPr>
                <w:i/>
                <w:sz w:val="26"/>
                <w:szCs w:val="26"/>
              </w:rPr>
            </w:pPr>
            <w:r w:rsidRPr="00ED0B51">
              <w:rPr>
                <w:i/>
                <w:sz w:val="26"/>
                <w:szCs w:val="26"/>
              </w:rPr>
              <w:t xml:space="preserve">Komercsabiedrībai </w:t>
            </w:r>
            <w:r w:rsidR="00270C83" w:rsidRPr="00ED0B51">
              <w:rPr>
                <w:i/>
                <w:sz w:val="26"/>
                <w:szCs w:val="26"/>
              </w:rPr>
              <w:t>“</w:t>
            </w:r>
            <w:r w:rsidRPr="00ED0B51">
              <w:rPr>
                <w:i/>
                <w:sz w:val="26"/>
                <w:szCs w:val="26"/>
              </w:rPr>
              <w:t>SIA” līdz 201</w:t>
            </w:r>
            <w:r w:rsidR="007C1DD6" w:rsidRPr="00ED0B51">
              <w:rPr>
                <w:i/>
                <w:sz w:val="26"/>
                <w:szCs w:val="26"/>
              </w:rPr>
              <w:t>6</w:t>
            </w:r>
            <w:r w:rsidRPr="00ED0B51">
              <w:rPr>
                <w:i/>
                <w:sz w:val="26"/>
                <w:szCs w:val="26"/>
              </w:rPr>
              <w:t xml:space="preserve">.gada 1.februārim jāiesniedz informatīvā deklarācija </w:t>
            </w:r>
            <w:r w:rsidR="007F7DF0" w:rsidRPr="00ED0B51">
              <w:rPr>
                <w:i/>
                <w:sz w:val="26"/>
                <w:szCs w:val="26"/>
              </w:rPr>
              <w:t xml:space="preserve">Valsts ieņēmumu dienestā </w:t>
            </w:r>
            <w:r w:rsidRPr="00ED0B51">
              <w:rPr>
                <w:i/>
                <w:sz w:val="26"/>
                <w:szCs w:val="26"/>
              </w:rPr>
              <w:t>par fizisk</w:t>
            </w:r>
            <w:r w:rsidR="00DC5106" w:rsidRPr="00ED0B51">
              <w:rPr>
                <w:i/>
                <w:sz w:val="26"/>
                <w:szCs w:val="26"/>
              </w:rPr>
              <w:t>ajām</w:t>
            </w:r>
            <w:r w:rsidRPr="00ED0B51">
              <w:rPr>
                <w:i/>
                <w:sz w:val="26"/>
                <w:szCs w:val="26"/>
              </w:rPr>
              <w:t xml:space="preserve"> person</w:t>
            </w:r>
            <w:r w:rsidR="00DC5106" w:rsidRPr="00ED0B51">
              <w:rPr>
                <w:i/>
                <w:sz w:val="26"/>
                <w:szCs w:val="26"/>
              </w:rPr>
              <w:t>ām</w:t>
            </w:r>
            <w:r w:rsidRPr="00ED0B51">
              <w:rPr>
                <w:i/>
                <w:sz w:val="26"/>
                <w:szCs w:val="26"/>
              </w:rPr>
              <w:t xml:space="preserve"> </w:t>
            </w:r>
            <w:r w:rsidR="00270C83" w:rsidRPr="00ED0B51">
              <w:rPr>
                <w:i/>
                <w:sz w:val="26"/>
                <w:szCs w:val="26"/>
              </w:rPr>
              <w:t>“</w:t>
            </w:r>
            <w:r w:rsidRPr="00ED0B51">
              <w:rPr>
                <w:i/>
                <w:sz w:val="26"/>
                <w:szCs w:val="26"/>
              </w:rPr>
              <w:t xml:space="preserve">A” un </w:t>
            </w:r>
            <w:r w:rsidR="00270C83" w:rsidRPr="00ED0B51">
              <w:rPr>
                <w:i/>
                <w:sz w:val="26"/>
                <w:szCs w:val="26"/>
              </w:rPr>
              <w:t>“</w:t>
            </w:r>
            <w:r w:rsidRPr="00ED0B51">
              <w:rPr>
                <w:i/>
                <w:sz w:val="26"/>
                <w:szCs w:val="26"/>
              </w:rPr>
              <w:t>B”</w:t>
            </w:r>
            <w:r w:rsidR="00DC5106" w:rsidRPr="00ED0B51">
              <w:rPr>
                <w:i/>
                <w:sz w:val="26"/>
                <w:szCs w:val="26"/>
              </w:rPr>
              <w:t xml:space="preserve">, 4.ailē  norādot fiziskajai personai </w:t>
            </w:r>
            <w:r w:rsidR="00270C83" w:rsidRPr="00ED0B51">
              <w:rPr>
                <w:i/>
                <w:sz w:val="26"/>
                <w:szCs w:val="26"/>
              </w:rPr>
              <w:t>“</w:t>
            </w:r>
            <w:r w:rsidR="00DC5106" w:rsidRPr="00ED0B51">
              <w:rPr>
                <w:i/>
                <w:sz w:val="26"/>
                <w:szCs w:val="26"/>
              </w:rPr>
              <w:t>A” maksājumu summu 1500 euro</w:t>
            </w:r>
            <w:r w:rsidR="00B04BD4" w:rsidRPr="00ED0B51">
              <w:rPr>
                <w:i/>
                <w:sz w:val="26"/>
                <w:szCs w:val="26"/>
              </w:rPr>
              <w:t>(600 + 500 + 400)</w:t>
            </w:r>
            <w:r w:rsidR="00DC5106" w:rsidRPr="00ED0B51">
              <w:rPr>
                <w:i/>
                <w:sz w:val="26"/>
                <w:szCs w:val="26"/>
              </w:rPr>
              <w:t xml:space="preserve"> un </w:t>
            </w:r>
            <w:r w:rsidR="007F7DF0" w:rsidRPr="00ED0B51">
              <w:rPr>
                <w:i/>
                <w:sz w:val="26"/>
                <w:szCs w:val="26"/>
              </w:rPr>
              <w:t>fiziskajai personai</w:t>
            </w:r>
            <w:r w:rsidR="002E50FD" w:rsidRPr="00ED0B51">
              <w:rPr>
                <w:i/>
                <w:sz w:val="26"/>
                <w:szCs w:val="26"/>
              </w:rPr>
              <w:br/>
            </w:r>
            <w:r w:rsidR="00270C83" w:rsidRPr="00ED0B51">
              <w:rPr>
                <w:i/>
                <w:sz w:val="26"/>
                <w:szCs w:val="26"/>
              </w:rPr>
              <w:t>“</w:t>
            </w:r>
            <w:r w:rsidR="007F7DF0" w:rsidRPr="00ED0B51">
              <w:rPr>
                <w:i/>
                <w:sz w:val="26"/>
                <w:szCs w:val="26"/>
              </w:rPr>
              <w:t>B” – 4000 </w:t>
            </w:r>
            <w:proofErr w:type="spellStart"/>
            <w:r w:rsidR="007F7DF0" w:rsidRPr="00ED0B51">
              <w:rPr>
                <w:i/>
                <w:sz w:val="26"/>
                <w:szCs w:val="26"/>
              </w:rPr>
              <w:t>euro</w:t>
            </w:r>
            <w:proofErr w:type="spellEnd"/>
            <w:r w:rsidR="007C4653" w:rsidRPr="00ED0B51">
              <w:rPr>
                <w:i/>
                <w:sz w:val="26"/>
                <w:szCs w:val="26"/>
              </w:rPr>
              <w:t xml:space="preserve">, savukārt par fizisko personu </w:t>
            </w:r>
            <w:r w:rsidR="001A36A4" w:rsidRPr="00ED0B51">
              <w:rPr>
                <w:i/>
                <w:sz w:val="26"/>
                <w:szCs w:val="26"/>
              </w:rPr>
              <w:t>“</w:t>
            </w:r>
            <w:r w:rsidR="007C4653" w:rsidRPr="00ED0B51">
              <w:rPr>
                <w:i/>
                <w:sz w:val="26"/>
                <w:szCs w:val="26"/>
              </w:rPr>
              <w:t xml:space="preserve">C” </w:t>
            </w:r>
            <w:r w:rsidR="007C4653" w:rsidRPr="00ED0B51">
              <w:rPr>
                <w:i/>
                <w:sz w:val="26"/>
                <w:szCs w:val="26"/>
              </w:rPr>
              <w:lastRenderedPageBreak/>
              <w:t>info</w:t>
            </w:r>
            <w:r w:rsidR="00977D49" w:rsidRPr="00ED0B51">
              <w:rPr>
                <w:i/>
                <w:sz w:val="26"/>
                <w:szCs w:val="26"/>
              </w:rPr>
              <w:t>rmatīvā deklarācija nav jāsniedz</w:t>
            </w:r>
            <w:r w:rsidR="007F7DF0" w:rsidRPr="00ED0B51">
              <w:rPr>
                <w:i/>
                <w:sz w:val="26"/>
                <w:szCs w:val="26"/>
              </w:rPr>
              <w:t>.</w:t>
            </w:r>
          </w:p>
          <w:p w14:paraId="2551346B" w14:textId="77777777" w:rsidR="002F6E8B" w:rsidRPr="00ED0B51" w:rsidRDefault="002F6E8B" w:rsidP="00254C81">
            <w:pPr>
              <w:pStyle w:val="NormalWeb"/>
              <w:spacing w:before="0" w:beforeAutospacing="0" w:after="0" w:afterAutospacing="0"/>
              <w:jc w:val="both"/>
              <w:rPr>
                <w:sz w:val="26"/>
                <w:szCs w:val="26"/>
              </w:rPr>
            </w:pPr>
            <w:r w:rsidRPr="00ED0B51">
              <w:rPr>
                <w:sz w:val="26"/>
                <w:szCs w:val="26"/>
              </w:rPr>
              <w:t>Aizpildot informāciju par fizisko personu, norāda tās fiziskās personas</w:t>
            </w:r>
            <w:r w:rsidR="00270C83" w:rsidRPr="00ED0B51">
              <w:rPr>
                <w:sz w:val="26"/>
                <w:szCs w:val="26"/>
              </w:rPr>
              <w:t xml:space="preserve"> datus, kura reāli veic līzinga</w:t>
            </w:r>
            <w:r w:rsidRPr="00ED0B51">
              <w:rPr>
                <w:sz w:val="26"/>
                <w:szCs w:val="26"/>
              </w:rPr>
              <w:t>/kredīta maksājumu, ne</w:t>
            </w:r>
            <w:r w:rsidR="001A36A4" w:rsidRPr="00ED0B51">
              <w:rPr>
                <w:sz w:val="26"/>
                <w:szCs w:val="26"/>
              </w:rPr>
              <w:t>ņemot vērā</w:t>
            </w:r>
            <w:r w:rsidR="00270C83" w:rsidRPr="00ED0B51">
              <w:rPr>
                <w:sz w:val="26"/>
                <w:szCs w:val="26"/>
              </w:rPr>
              <w:t>, ka tā nav līzinga</w:t>
            </w:r>
            <w:r w:rsidRPr="00ED0B51">
              <w:rPr>
                <w:sz w:val="26"/>
                <w:szCs w:val="26"/>
              </w:rPr>
              <w:t>/kredīta ņēmēja.</w:t>
            </w:r>
            <w:r w:rsidR="00885D0C" w:rsidRPr="00ED0B51">
              <w:rPr>
                <w:sz w:val="26"/>
                <w:szCs w:val="26"/>
              </w:rPr>
              <w:t xml:space="preserve"> Tas ir, ja par līzinga ņēmēju aizdevuma atmaksu veiks trešā persona, informatīvajā deklarācijā informācij</w:t>
            </w:r>
            <w:r w:rsidR="001A36A4" w:rsidRPr="00ED0B51">
              <w:rPr>
                <w:sz w:val="26"/>
                <w:szCs w:val="26"/>
              </w:rPr>
              <w:t>a</w:t>
            </w:r>
            <w:r w:rsidR="00885D0C" w:rsidRPr="00ED0B51">
              <w:rPr>
                <w:sz w:val="26"/>
                <w:szCs w:val="26"/>
              </w:rPr>
              <w:t xml:space="preserve"> būs jāsniedz par </w:t>
            </w:r>
            <w:r w:rsidR="00223CF6" w:rsidRPr="00ED0B51">
              <w:rPr>
                <w:sz w:val="26"/>
                <w:szCs w:val="26"/>
              </w:rPr>
              <w:t xml:space="preserve">šo </w:t>
            </w:r>
            <w:r w:rsidR="00885D0C" w:rsidRPr="00ED0B51">
              <w:rPr>
                <w:sz w:val="26"/>
                <w:szCs w:val="26"/>
              </w:rPr>
              <w:t>trešo personu</w:t>
            </w:r>
            <w:r w:rsidR="00223CF6" w:rsidRPr="00ED0B51">
              <w:rPr>
                <w:sz w:val="26"/>
                <w:szCs w:val="26"/>
              </w:rPr>
              <w:t>, kura veica maksājumu</w:t>
            </w:r>
            <w:r w:rsidR="00885D0C" w:rsidRPr="00ED0B51">
              <w:rPr>
                <w:sz w:val="26"/>
                <w:szCs w:val="26"/>
              </w:rPr>
              <w:t>.</w:t>
            </w:r>
          </w:p>
          <w:p w14:paraId="3754A6B7" w14:textId="77777777" w:rsidR="002F6E8B" w:rsidRPr="00ED0B51" w:rsidRDefault="002F6E8B" w:rsidP="00254C81">
            <w:pPr>
              <w:pStyle w:val="NormalWeb"/>
              <w:spacing w:before="0" w:beforeAutospacing="0" w:after="0" w:afterAutospacing="0"/>
              <w:jc w:val="both"/>
              <w:rPr>
                <w:i/>
                <w:sz w:val="26"/>
                <w:szCs w:val="26"/>
              </w:rPr>
            </w:pPr>
            <w:r w:rsidRPr="00ED0B51">
              <w:rPr>
                <w:i/>
                <w:sz w:val="26"/>
                <w:szCs w:val="26"/>
              </w:rPr>
              <w:t xml:space="preserve">Piemēram, persona </w:t>
            </w:r>
            <w:r w:rsidR="001A36A4" w:rsidRPr="00ED0B51">
              <w:rPr>
                <w:i/>
                <w:sz w:val="26"/>
                <w:szCs w:val="26"/>
              </w:rPr>
              <w:t>“</w:t>
            </w:r>
            <w:r w:rsidRPr="00ED0B51">
              <w:rPr>
                <w:i/>
                <w:sz w:val="26"/>
                <w:szCs w:val="26"/>
              </w:rPr>
              <w:t>A” ir paņēmusi kredītu 700 </w:t>
            </w:r>
            <w:proofErr w:type="spellStart"/>
            <w:r w:rsidRPr="00ED0B51">
              <w:rPr>
                <w:i/>
                <w:sz w:val="26"/>
                <w:szCs w:val="26"/>
              </w:rPr>
              <w:t>euro</w:t>
            </w:r>
            <w:proofErr w:type="spellEnd"/>
            <w:r w:rsidRPr="00ED0B51">
              <w:rPr>
                <w:i/>
                <w:sz w:val="26"/>
                <w:szCs w:val="26"/>
              </w:rPr>
              <w:t xml:space="preserve">, savukārt </w:t>
            </w:r>
            <w:r w:rsidR="00E52762" w:rsidRPr="00ED0B51">
              <w:rPr>
                <w:i/>
                <w:sz w:val="26"/>
                <w:szCs w:val="26"/>
              </w:rPr>
              <w:t xml:space="preserve">kredīta atmaksu veica persona </w:t>
            </w:r>
            <w:r w:rsidR="001A36A4" w:rsidRPr="00ED0B51">
              <w:rPr>
                <w:i/>
                <w:sz w:val="26"/>
                <w:szCs w:val="26"/>
              </w:rPr>
              <w:t>“</w:t>
            </w:r>
            <w:r w:rsidR="00E52762" w:rsidRPr="00ED0B51">
              <w:rPr>
                <w:i/>
                <w:sz w:val="26"/>
                <w:szCs w:val="26"/>
              </w:rPr>
              <w:t xml:space="preserve">B”. </w:t>
            </w:r>
            <w:proofErr w:type="spellStart"/>
            <w:r w:rsidR="00E52762" w:rsidRPr="00ED0B51">
              <w:rPr>
                <w:i/>
                <w:sz w:val="26"/>
                <w:szCs w:val="26"/>
              </w:rPr>
              <w:t>Kredītdevēja</w:t>
            </w:r>
            <w:proofErr w:type="spellEnd"/>
            <w:r w:rsidR="00E52762" w:rsidRPr="00ED0B51">
              <w:rPr>
                <w:i/>
                <w:sz w:val="26"/>
                <w:szCs w:val="26"/>
              </w:rPr>
              <w:t xml:space="preserve"> komercsabiedrībai informācija jāsniedz par personu </w:t>
            </w:r>
            <w:r w:rsidR="001A36A4" w:rsidRPr="00ED0B51">
              <w:rPr>
                <w:i/>
                <w:sz w:val="26"/>
                <w:szCs w:val="26"/>
              </w:rPr>
              <w:t>“</w:t>
            </w:r>
            <w:r w:rsidR="00E52762" w:rsidRPr="00ED0B51">
              <w:rPr>
                <w:i/>
                <w:sz w:val="26"/>
                <w:szCs w:val="26"/>
              </w:rPr>
              <w:t>B”, tas ir</w:t>
            </w:r>
            <w:r w:rsidR="002E50FD" w:rsidRPr="00ED0B51">
              <w:rPr>
                <w:i/>
                <w:sz w:val="26"/>
                <w:szCs w:val="26"/>
              </w:rPr>
              <w:t>,</w:t>
            </w:r>
            <w:r w:rsidR="00E52762" w:rsidRPr="00ED0B51">
              <w:rPr>
                <w:i/>
                <w:sz w:val="26"/>
                <w:szCs w:val="26"/>
              </w:rPr>
              <w:t xml:space="preserve"> par personu, kura </w:t>
            </w:r>
            <w:r w:rsidR="00885D0C" w:rsidRPr="00ED0B51">
              <w:rPr>
                <w:i/>
                <w:sz w:val="26"/>
                <w:szCs w:val="26"/>
              </w:rPr>
              <w:t xml:space="preserve">reāli </w:t>
            </w:r>
            <w:r w:rsidR="00E52762" w:rsidRPr="00ED0B51">
              <w:rPr>
                <w:i/>
                <w:sz w:val="26"/>
                <w:szCs w:val="26"/>
              </w:rPr>
              <w:t>veica</w:t>
            </w:r>
            <w:r w:rsidR="00885D0C" w:rsidRPr="00ED0B51">
              <w:rPr>
                <w:i/>
                <w:sz w:val="26"/>
                <w:szCs w:val="26"/>
              </w:rPr>
              <w:t xml:space="preserve"> kredīta </w:t>
            </w:r>
            <w:r w:rsidR="00E52762" w:rsidRPr="00ED0B51">
              <w:rPr>
                <w:i/>
                <w:sz w:val="26"/>
                <w:szCs w:val="26"/>
              </w:rPr>
              <w:t>maksājumu.</w:t>
            </w:r>
          </w:p>
          <w:p w14:paraId="458C9D03" w14:textId="77777777" w:rsidR="0048311F" w:rsidRPr="00ED0B51" w:rsidRDefault="0048311F" w:rsidP="00254C81">
            <w:pPr>
              <w:pStyle w:val="NormalWeb"/>
              <w:spacing w:before="0" w:beforeAutospacing="0" w:after="0" w:afterAutospacing="0"/>
              <w:jc w:val="both"/>
              <w:rPr>
                <w:sz w:val="26"/>
                <w:szCs w:val="26"/>
              </w:rPr>
            </w:pPr>
            <w:r w:rsidRPr="00ED0B51">
              <w:rPr>
                <w:sz w:val="26"/>
                <w:szCs w:val="26"/>
              </w:rPr>
              <w:t>Informatīvo deklarāciju, sākot no 2016.gada 1.janvāra, sniedz vienu reizi gadā ik gadu</w:t>
            </w:r>
            <w:r w:rsidR="008E1241" w:rsidRPr="00ED0B51">
              <w:rPr>
                <w:sz w:val="26"/>
                <w:szCs w:val="26"/>
              </w:rPr>
              <w:t xml:space="preserve"> līdz 1.februārim</w:t>
            </w:r>
            <w:r w:rsidRPr="00ED0B51">
              <w:rPr>
                <w:sz w:val="26"/>
                <w:szCs w:val="26"/>
              </w:rPr>
              <w:t>.</w:t>
            </w:r>
            <w:r w:rsidR="00270C83" w:rsidRPr="00ED0B51">
              <w:rPr>
                <w:sz w:val="26"/>
                <w:szCs w:val="26"/>
              </w:rPr>
              <w:t xml:space="preserve"> Tādējādi pirmo </w:t>
            </w:r>
            <w:r w:rsidR="008E1241" w:rsidRPr="00ED0B51">
              <w:rPr>
                <w:sz w:val="26"/>
                <w:szCs w:val="26"/>
              </w:rPr>
              <w:t xml:space="preserve">reizi </w:t>
            </w:r>
            <w:r w:rsidR="007804AB" w:rsidRPr="00ED0B51">
              <w:rPr>
                <w:szCs w:val="28"/>
              </w:rPr>
              <w:t xml:space="preserve">informatīvo </w:t>
            </w:r>
            <w:r w:rsidR="00270C83" w:rsidRPr="00ED0B51">
              <w:rPr>
                <w:sz w:val="26"/>
                <w:szCs w:val="26"/>
              </w:rPr>
              <w:t xml:space="preserve">deklarāciju iesniedz </w:t>
            </w:r>
            <w:r w:rsidR="008E1241" w:rsidRPr="00ED0B51">
              <w:rPr>
                <w:sz w:val="26"/>
                <w:szCs w:val="26"/>
              </w:rPr>
              <w:t xml:space="preserve">līdz </w:t>
            </w:r>
            <w:r w:rsidR="00270C83" w:rsidRPr="00ED0B51">
              <w:rPr>
                <w:sz w:val="26"/>
                <w:szCs w:val="26"/>
              </w:rPr>
              <w:t>201</w:t>
            </w:r>
            <w:r w:rsidR="007C1DD6" w:rsidRPr="00ED0B51">
              <w:rPr>
                <w:sz w:val="26"/>
                <w:szCs w:val="26"/>
              </w:rPr>
              <w:t>6</w:t>
            </w:r>
            <w:r w:rsidR="00270C83" w:rsidRPr="00ED0B51">
              <w:rPr>
                <w:sz w:val="26"/>
                <w:szCs w:val="26"/>
              </w:rPr>
              <w:t>.</w:t>
            </w:r>
            <w:r w:rsidR="008E1241" w:rsidRPr="00ED0B51">
              <w:rPr>
                <w:sz w:val="26"/>
                <w:szCs w:val="26"/>
              </w:rPr>
              <w:t>g</w:t>
            </w:r>
            <w:r w:rsidR="00270C83" w:rsidRPr="00ED0B51">
              <w:rPr>
                <w:sz w:val="26"/>
                <w:szCs w:val="26"/>
              </w:rPr>
              <w:t>ad</w:t>
            </w:r>
            <w:r w:rsidR="008E1241" w:rsidRPr="00ED0B51">
              <w:rPr>
                <w:sz w:val="26"/>
                <w:szCs w:val="26"/>
              </w:rPr>
              <w:t>a 1.februārim</w:t>
            </w:r>
            <w:r w:rsidR="00270C83" w:rsidRPr="00ED0B51">
              <w:rPr>
                <w:sz w:val="26"/>
                <w:szCs w:val="26"/>
              </w:rPr>
              <w:t xml:space="preserve"> par 201</w:t>
            </w:r>
            <w:r w:rsidR="007C1DD6" w:rsidRPr="00ED0B51">
              <w:rPr>
                <w:sz w:val="26"/>
                <w:szCs w:val="26"/>
              </w:rPr>
              <w:t>5</w:t>
            </w:r>
            <w:r w:rsidR="00270C83" w:rsidRPr="00ED0B51">
              <w:rPr>
                <w:sz w:val="26"/>
                <w:szCs w:val="26"/>
              </w:rPr>
              <w:t>.gadu.</w:t>
            </w:r>
          </w:p>
          <w:p w14:paraId="3E705076" w14:textId="77777777" w:rsidR="00282D0F" w:rsidRPr="00ED0B51" w:rsidRDefault="007804AB" w:rsidP="007804AB">
            <w:pPr>
              <w:pStyle w:val="NormalWeb"/>
              <w:spacing w:before="0" w:beforeAutospacing="0" w:after="0" w:afterAutospacing="0"/>
              <w:jc w:val="both"/>
            </w:pPr>
            <w:r w:rsidRPr="00ED0B51">
              <w:rPr>
                <w:sz w:val="26"/>
                <w:szCs w:val="26"/>
              </w:rPr>
              <w:t>Informatīvās d</w:t>
            </w:r>
            <w:r w:rsidR="004D1C84" w:rsidRPr="00ED0B51">
              <w:rPr>
                <w:sz w:val="26"/>
                <w:szCs w:val="26"/>
              </w:rPr>
              <w:t xml:space="preserve">eklarācijas veidlapa ir </w:t>
            </w:r>
            <w:r w:rsidR="001B7D81" w:rsidRPr="00ED0B51">
              <w:rPr>
                <w:sz w:val="26"/>
                <w:szCs w:val="26"/>
              </w:rPr>
              <w:t xml:space="preserve">noteikta </w:t>
            </w:r>
            <w:r w:rsidR="004D1C84" w:rsidRPr="00ED0B51">
              <w:rPr>
                <w:sz w:val="26"/>
                <w:szCs w:val="26"/>
              </w:rPr>
              <w:t>noteikumu pielikumā</w:t>
            </w:r>
          </w:p>
        </w:tc>
      </w:tr>
      <w:tr w:rsidR="00ED0B51" w:rsidRPr="00ED0B51" w14:paraId="5B11362B" w14:textId="77777777" w:rsidTr="0089091C">
        <w:trPr>
          <w:trHeight w:val="476"/>
        </w:trPr>
        <w:tc>
          <w:tcPr>
            <w:tcW w:w="365" w:type="pct"/>
          </w:tcPr>
          <w:p w14:paraId="1BF688BA" w14:textId="77777777" w:rsidR="00345B4C" w:rsidRPr="00ED0B51" w:rsidRDefault="00345B4C" w:rsidP="0089091C">
            <w:pPr>
              <w:pStyle w:val="naiskr"/>
              <w:spacing w:before="0" w:after="0"/>
              <w:ind w:left="57" w:right="57"/>
              <w:jc w:val="center"/>
              <w:rPr>
                <w:sz w:val="26"/>
                <w:szCs w:val="26"/>
              </w:rPr>
            </w:pPr>
            <w:r w:rsidRPr="00ED0B51">
              <w:rPr>
                <w:sz w:val="26"/>
                <w:szCs w:val="26"/>
              </w:rPr>
              <w:lastRenderedPageBreak/>
              <w:t>3.</w:t>
            </w:r>
          </w:p>
        </w:tc>
        <w:tc>
          <w:tcPr>
            <w:tcW w:w="1520" w:type="pct"/>
          </w:tcPr>
          <w:p w14:paraId="5BE7FA72" w14:textId="77777777" w:rsidR="00345B4C" w:rsidRPr="00ED0B51" w:rsidRDefault="00345B4C" w:rsidP="0089091C">
            <w:pPr>
              <w:pStyle w:val="naiskr"/>
              <w:spacing w:before="0" w:after="0"/>
              <w:ind w:left="57" w:right="57"/>
              <w:rPr>
                <w:sz w:val="26"/>
                <w:szCs w:val="26"/>
              </w:rPr>
            </w:pPr>
            <w:r w:rsidRPr="00ED0B51">
              <w:rPr>
                <w:sz w:val="26"/>
                <w:szCs w:val="26"/>
              </w:rPr>
              <w:t>Projekta izstrādē iesaistītās institūcijas</w:t>
            </w:r>
          </w:p>
        </w:tc>
        <w:tc>
          <w:tcPr>
            <w:tcW w:w="3115" w:type="pct"/>
          </w:tcPr>
          <w:p w14:paraId="6D7FCE10" w14:textId="77777777" w:rsidR="00345B4C" w:rsidRPr="00ED0B51" w:rsidRDefault="00345B4C" w:rsidP="0089091C">
            <w:pPr>
              <w:ind w:left="57" w:right="57"/>
              <w:rPr>
                <w:b/>
                <w:sz w:val="26"/>
                <w:szCs w:val="26"/>
              </w:rPr>
            </w:pPr>
            <w:r w:rsidRPr="00ED0B51">
              <w:rPr>
                <w:sz w:val="26"/>
                <w:szCs w:val="26"/>
              </w:rPr>
              <w:t>Valsts ieņēmumu dienests</w:t>
            </w:r>
          </w:p>
        </w:tc>
      </w:tr>
      <w:tr w:rsidR="00ED0B51" w:rsidRPr="00ED0B51" w14:paraId="49569B62" w14:textId="77777777" w:rsidTr="0089091C">
        <w:tc>
          <w:tcPr>
            <w:tcW w:w="365" w:type="pct"/>
          </w:tcPr>
          <w:p w14:paraId="3E58014A" w14:textId="77777777" w:rsidR="00345B4C" w:rsidRPr="00ED0B51" w:rsidRDefault="00345B4C" w:rsidP="0089091C">
            <w:pPr>
              <w:pStyle w:val="naiskr"/>
              <w:spacing w:before="0" w:after="0"/>
              <w:ind w:left="57" w:right="57"/>
              <w:jc w:val="center"/>
              <w:rPr>
                <w:sz w:val="26"/>
                <w:szCs w:val="26"/>
              </w:rPr>
            </w:pPr>
            <w:r w:rsidRPr="00ED0B51">
              <w:rPr>
                <w:sz w:val="26"/>
                <w:szCs w:val="26"/>
              </w:rPr>
              <w:t>4.</w:t>
            </w:r>
          </w:p>
        </w:tc>
        <w:tc>
          <w:tcPr>
            <w:tcW w:w="1520" w:type="pct"/>
          </w:tcPr>
          <w:p w14:paraId="51363C6A" w14:textId="77777777" w:rsidR="00345B4C" w:rsidRPr="00ED0B51" w:rsidRDefault="00345B4C" w:rsidP="0089091C">
            <w:pPr>
              <w:pStyle w:val="naiskr"/>
              <w:spacing w:before="0" w:after="0"/>
              <w:ind w:left="57" w:right="57"/>
              <w:rPr>
                <w:sz w:val="26"/>
                <w:szCs w:val="26"/>
              </w:rPr>
            </w:pPr>
            <w:r w:rsidRPr="00ED0B51">
              <w:rPr>
                <w:sz w:val="26"/>
                <w:szCs w:val="26"/>
              </w:rPr>
              <w:t>Cita informācija</w:t>
            </w:r>
          </w:p>
        </w:tc>
        <w:tc>
          <w:tcPr>
            <w:tcW w:w="3115" w:type="pct"/>
          </w:tcPr>
          <w:p w14:paraId="28B881C1" w14:textId="77777777" w:rsidR="00345B4C" w:rsidRPr="00ED0B51" w:rsidRDefault="00345B4C" w:rsidP="0089091C">
            <w:pPr>
              <w:pStyle w:val="naiskr"/>
              <w:spacing w:before="0" w:after="0"/>
              <w:ind w:left="57" w:right="57"/>
              <w:rPr>
                <w:sz w:val="26"/>
                <w:szCs w:val="26"/>
              </w:rPr>
            </w:pPr>
            <w:r w:rsidRPr="00ED0B51">
              <w:rPr>
                <w:sz w:val="26"/>
                <w:szCs w:val="26"/>
              </w:rPr>
              <w:t>Nav</w:t>
            </w:r>
          </w:p>
        </w:tc>
      </w:tr>
    </w:tbl>
    <w:p w14:paraId="1A93E961" w14:textId="77777777" w:rsidR="00D175E9" w:rsidRPr="00ED0B51" w:rsidRDefault="00D175E9" w:rsidP="00D175E9"/>
    <w:tbl>
      <w:tblPr>
        <w:tblpPr w:leftFromText="180" w:rightFromText="180" w:vertAnchor="text" w:horzAnchor="margin" w:tblpXSpec="center" w:tblpY="119"/>
        <w:tblW w:w="9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12"/>
        <w:gridCol w:w="2795"/>
        <w:gridCol w:w="6316"/>
      </w:tblGrid>
      <w:tr w:rsidR="00ED0B51" w:rsidRPr="00ED0B51" w14:paraId="76AA8BA1" w14:textId="77777777" w:rsidTr="00102A21">
        <w:trPr>
          <w:trHeight w:val="556"/>
        </w:trPr>
        <w:tc>
          <w:tcPr>
            <w:tcW w:w="9523" w:type="dxa"/>
            <w:gridSpan w:val="3"/>
            <w:vAlign w:val="center"/>
          </w:tcPr>
          <w:p w14:paraId="376CDB7F" w14:textId="77777777" w:rsidR="00D175E9" w:rsidRPr="00ED0B51" w:rsidRDefault="00D175E9" w:rsidP="0089091C">
            <w:pPr>
              <w:pStyle w:val="naisnod"/>
              <w:spacing w:before="0" w:after="0"/>
              <w:ind w:left="57" w:right="57"/>
              <w:rPr>
                <w:sz w:val="26"/>
                <w:szCs w:val="26"/>
              </w:rPr>
            </w:pPr>
            <w:r w:rsidRPr="00ED0B51">
              <w:rPr>
                <w:sz w:val="26"/>
                <w:szCs w:val="26"/>
              </w:rPr>
              <w:t>II. Tiesību akta projekta ietekme uz sabiedrību, tautsaimniecības attīstību</w:t>
            </w:r>
            <w:r w:rsidR="002E50FD" w:rsidRPr="00ED0B51">
              <w:rPr>
                <w:sz w:val="26"/>
                <w:szCs w:val="26"/>
              </w:rPr>
              <w:t xml:space="preserve"> un</w:t>
            </w:r>
          </w:p>
          <w:p w14:paraId="662D65E2" w14:textId="77777777" w:rsidR="00D175E9" w:rsidRPr="00ED0B51" w:rsidRDefault="00D175E9" w:rsidP="002E50FD">
            <w:pPr>
              <w:pStyle w:val="naisnod"/>
              <w:spacing w:before="0" w:after="0"/>
              <w:ind w:left="57" w:right="57"/>
              <w:rPr>
                <w:b w:val="0"/>
                <w:sz w:val="26"/>
                <w:szCs w:val="26"/>
              </w:rPr>
            </w:pPr>
            <w:r w:rsidRPr="00ED0B51">
              <w:rPr>
                <w:sz w:val="26"/>
                <w:szCs w:val="26"/>
              </w:rPr>
              <w:t>administratīvo slogu</w:t>
            </w:r>
          </w:p>
        </w:tc>
      </w:tr>
      <w:tr w:rsidR="00ED0B51" w:rsidRPr="00ED0B51" w14:paraId="6A1876A9" w14:textId="77777777" w:rsidTr="00102A21">
        <w:trPr>
          <w:trHeight w:val="467"/>
        </w:trPr>
        <w:tc>
          <w:tcPr>
            <w:tcW w:w="412" w:type="dxa"/>
          </w:tcPr>
          <w:p w14:paraId="07BB9B59" w14:textId="77777777" w:rsidR="00D175E9" w:rsidRPr="00ED0B51" w:rsidRDefault="00D175E9" w:rsidP="0089091C">
            <w:pPr>
              <w:pStyle w:val="naiskr"/>
              <w:spacing w:before="0" w:after="0"/>
              <w:ind w:left="57" w:right="57"/>
              <w:jc w:val="both"/>
              <w:rPr>
                <w:sz w:val="26"/>
                <w:szCs w:val="26"/>
              </w:rPr>
            </w:pPr>
            <w:r w:rsidRPr="00ED0B51">
              <w:rPr>
                <w:sz w:val="26"/>
                <w:szCs w:val="26"/>
              </w:rPr>
              <w:t>1.</w:t>
            </w:r>
          </w:p>
        </w:tc>
        <w:tc>
          <w:tcPr>
            <w:tcW w:w="2795" w:type="dxa"/>
          </w:tcPr>
          <w:p w14:paraId="4343628C" w14:textId="77777777" w:rsidR="00D175E9" w:rsidRPr="00ED0B51" w:rsidRDefault="00D175E9" w:rsidP="0089091C">
            <w:pPr>
              <w:pStyle w:val="naiskr"/>
              <w:spacing w:before="0" w:after="0"/>
              <w:ind w:left="57" w:right="57"/>
              <w:rPr>
                <w:sz w:val="26"/>
                <w:szCs w:val="26"/>
              </w:rPr>
            </w:pPr>
            <w:r w:rsidRPr="00ED0B51">
              <w:rPr>
                <w:sz w:val="26"/>
                <w:szCs w:val="26"/>
              </w:rPr>
              <w:t xml:space="preserve">Sabiedrības </w:t>
            </w:r>
            <w:proofErr w:type="spellStart"/>
            <w:r w:rsidRPr="00ED0B51">
              <w:rPr>
                <w:sz w:val="26"/>
                <w:szCs w:val="26"/>
              </w:rPr>
              <w:t>mērķgrupas</w:t>
            </w:r>
            <w:proofErr w:type="spellEnd"/>
            <w:r w:rsidRPr="00ED0B51">
              <w:rPr>
                <w:sz w:val="26"/>
                <w:szCs w:val="26"/>
              </w:rPr>
              <w:t>, kuras tiesiskais regulējums ietekmē vai varētu ietekmēt</w:t>
            </w:r>
          </w:p>
        </w:tc>
        <w:tc>
          <w:tcPr>
            <w:tcW w:w="6316" w:type="dxa"/>
          </w:tcPr>
          <w:p w14:paraId="0B287E10" w14:textId="77777777" w:rsidR="00077296" w:rsidRPr="00ED0B51" w:rsidRDefault="0032116B" w:rsidP="00077296">
            <w:pPr>
              <w:shd w:val="clear" w:color="auto" w:fill="FFFFFF"/>
              <w:ind w:left="57" w:right="57"/>
              <w:jc w:val="both"/>
              <w:rPr>
                <w:sz w:val="26"/>
                <w:szCs w:val="26"/>
              </w:rPr>
            </w:pPr>
            <w:bookmarkStart w:id="0" w:name="p21"/>
            <w:bookmarkEnd w:id="0"/>
            <w:r w:rsidRPr="00ED0B51">
              <w:rPr>
                <w:sz w:val="26"/>
                <w:szCs w:val="26"/>
              </w:rPr>
              <w:t>Nodokļa maksātāji, kas sniedz līzinga un kreditēšanas pakalpojumus, izņemot kredītiestādes</w:t>
            </w:r>
            <w:r w:rsidR="001A36A4" w:rsidRPr="00ED0B51">
              <w:rPr>
                <w:sz w:val="26"/>
                <w:szCs w:val="26"/>
              </w:rPr>
              <w:t>.</w:t>
            </w:r>
            <w:r w:rsidR="00077296" w:rsidRPr="00ED0B51">
              <w:rPr>
                <w:sz w:val="26"/>
                <w:szCs w:val="26"/>
              </w:rPr>
              <w:t xml:space="preserve"> </w:t>
            </w:r>
          </w:p>
          <w:p w14:paraId="2B78E030" w14:textId="77777777" w:rsidR="00B555AC" w:rsidRPr="00ED0B51" w:rsidRDefault="00B555AC" w:rsidP="00B555AC">
            <w:pPr>
              <w:shd w:val="clear" w:color="auto" w:fill="FFFFFF"/>
              <w:ind w:left="57" w:right="57"/>
              <w:jc w:val="both"/>
              <w:rPr>
                <w:bCs/>
                <w:sz w:val="26"/>
                <w:szCs w:val="26"/>
              </w:rPr>
            </w:pPr>
            <w:r w:rsidRPr="00ED0B51">
              <w:rPr>
                <w:bCs/>
                <w:sz w:val="26"/>
                <w:szCs w:val="26"/>
              </w:rPr>
              <w:t>Pēc Patērētāju tiesību aizsardzības centra datiem uz 2015.gada februāri speciālo atļauju (licenci)</w:t>
            </w:r>
            <w:r w:rsidRPr="00ED0B51">
              <w:t xml:space="preserve"> </w:t>
            </w:r>
            <w:r w:rsidRPr="00ED0B51">
              <w:rPr>
                <w:bCs/>
                <w:sz w:val="26"/>
                <w:szCs w:val="26"/>
              </w:rPr>
              <w:t>patērētāju kreditēšanas pakalpojumu sniegšanai ir saņēmušas 56</w:t>
            </w:r>
            <w:r w:rsidR="002E50FD" w:rsidRPr="00ED0B51">
              <w:rPr>
                <w:bCs/>
                <w:sz w:val="26"/>
                <w:szCs w:val="26"/>
              </w:rPr>
              <w:t> </w:t>
            </w:r>
            <w:r w:rsidRPr="00ED0B51">
              <w:rPr>
                <w:bCs/>
                <w:sz w:val="26"/>
                <w:szCs w:val="26"/>
              </w:rPr>
              <w:t>kapitālsabiedrības.</w:t>
            </w:r>
          </w:p>
          <w:p w14:paraId="573D6A00" w14:textId="77777777" w:rsidR="00D175E9" w:rsidRPr="00ED0B51" w:rsidRDefault="00434DC0" w:rsidP="002E50FD">
            <w:pPr>
              <w:shd w:val="clear" w:color="auto" w:fill="FFFFFF"/>
              <w:ind w:left="57" w:right="57"/>
              <w:jc w:val="both"/>
              <w:rPr>
                <w:sz w:val="26"/>
                <w:szCs w:val="26"/>
              </w:rPr>
            </w:pPr>
            <w:r w:rsidRPr="00ED0B51">
              <w:rPr>
                <w:bCs/>
                <w:sz w:val="26"/>
                <w:szCs w:val="26"/>
              </w:rPr>
              <w:t>Papildus kapitālsabiedrībām, kuras ir saņēmušas speciālo atļauju (licenci)</w:t>
            </w:r>
            <w:r w:rsidRPr="00ED0B51">
              <w:t xml:space="preserve"> </w:t>
            </w:r>
            <w:r w:rsidRPr="00ED0B51">
              <w:rPr>
                <w:bCs/>
                <w:sz w:val="26"/>
                <w:szCs w:val="26"/>
              </w:rPr>
              <w:t>patērētāju kreditēšanas pakalpojumu sniegšanai, saskaņā ar Patērētāju tiesību aizsardzības likuma 8.panta 1.</w:t>
            </w:r>
            <w:r w:rsidRPr="00ED0B51">
              <w:rPr>
                <w:bCs/>
                <w:sz w:val="26"/>
                <w:szCs w:val="26"/>
                <w:vertAlign w:val="superscript"/>
              </w:rPr>
              <w:t>1</w:t>
            </w:r>
            <w:r w:rsidRPr="00ED0B51">
              <w:rPr>
                <w:bCs/>
                <w:sz w:val="26"/>
                <w:szCs w:val="26"/>
              </w:rPr>
              <w:t> daļas 2.</w:t>
            </w:r>
            <w:r w:rsidR="001A36A4" w:rsidRPr="00ED0B51">
              <w:rPr>
                <w:bCs/>
                <w:sz w:val="26"/>
                <w:szCs w:val="26"/>
              </w:rPr>
              <w:t xml:space="preserve"> </w:t>
            </w:r>
            <w:r w:rsidRPr="00ED0B51">
              <w:rPr>
                <w:bCs/>
                <w:sz w:val="26"/>
                <w:szCs w:val="26"/>
              </w:rPr>
              <w:t>un 3.punktu tiesības sniegt patērētāju kreditēšanas pakalpojumus, nesaņemot Patērētāju tiesību aizsardzības centra izdotu speciālo atļauju (licenci), ir arī ražotājam, pārdevēja</w:t>
            </w:r>
            <w:r w:rsidR="00A438B6" w:rsidRPr="00ED0B51">
              <w:rPr>
                <w:bCs/>
                <w:sz w:val="26"/>
                <w:szCs w:val="26"/>
              </w:rPr>
              <w:t>m</w:t>
            </w:r>
            <w:r w:rsidRPr="00ED0B51">
              <w:rPr>
                <w:bCs/>
                <w:sz w:val="26"/>
                <w:szCs w:val="26"/>
              </w:rPr>
              <w:t xml:space="preserve"> vai pakalpojuma sniedzējam, kas piedāvā norēķināties par preču vai pakalpojumu iegādi atlikta maksājuma, aizdevuma vai citas tamlīdzīgas finansiālas vienošanās veidā, nepiesaistot trešās personas finansējumu, kā arī komersantam, kurš saskaņā ar līgumu, kas noslēgts starp ražotāju, pārdevēju vai pakalpojuma sniedzēju, preču vai pakalpojumu iegādei piedāvā slēgt tikai tādus patērētāja kreditēšanas līgumus, saskaņā ar kuriem netiek maksāti procenti vai citi papildu maksājumi</w:t>
            </w:r>
            <w:r w:rsidR="006F789E" w:rsidRPr="00ED0B51">
              <w:rPr>
                <w:bCs/>
                <w:sz w:val="26"/>
                <w:szCs w:val="26"/>
              </w:rPr>
              <w:t>.</w:t>
            </w:r>
          </w:p>
        </w:tc>
      </w:tr>
      <w:tr w:rsidR="00ED0B51" w:rsidRPr="00ED0B51" w14:paraId="57FE100E" w14:textId="77777777" w:rsidTr="00102A21">
        <w:trPr>
          <w:trHeight w:val="523"/>
        </w:trPr>
        <w:tc>
          <w:tcPr>
            <w:tcW w:w="412" w:type="dxa"/>
          </w:tcPr>
          <w:p w14:paraId="478D2A7A" w14:textId="77777777" w:rsidR="00D175E9" w:rsidRPr="00ED0B51" w:rsidRDefault="00D175E9" w:rsidP="0089091C">
            <w:pPr>
              <w:pStyle w:val="naiskr"/>
              <w:spacing w:before="0" w:after="0"/>
              <w:ind w:left="57" w:right="57"/>
              <w:jc w:val="both"/>
              <w:rPr>
                <w:sz w:val="26"/>
                <w:szCs w:val="26"/>
              </w:rPr>
            </w:pPr>
            <w:r w:rsidRPr="00ED0B51">
              <w:rPr>
                <w:sz w:val="26"/>
                <w:szCs w:val="26"/>
              </w:rPr>
              <w:lastRenderedPageBreak/>
              <w:t>2.</w:t>
            </w:r>
          </w:p>
        </w:tc>
        <w:tc>
          <w:tcPr>
            <w:tcW w:w="2795" w:type="dxa"/>
          </w:tcPr>
          <w:p w14:paraId="0DA3788B" w14:textId="77777777" w:rsidR="00D175E9" w:rsidRPr="00ED0B51" w:rsidRDefault="00D175E9" w:rsidP="0089091C">
            <w:pPr>
              <w:pStyle w:val="naiskr"/>
              <w:spacing w:before="0" w:after="0"/>
              <w:ind w:left="57" w:right="57"/>
              <w:rPr>
                <w:sz w:val="26"/>
                <w:szCs w:val="26"/>
              </w:rPr>
            </w:pPr>
            <w:r w:rsidRPr="00ED0B51">
              <w:rPr>
                <w:sz w:val="26"/>
                <w:szCs w:val="26"/>
              </w:rPr>
              <w:t>Tiesiskā regulējuma ietekme uz tautsaimniecību un administratīvo slogu</w:t>
            </w:r>
          </w:p>
        </w:tc>
        <w:tc>
          <w:tcPr>
            <w:tcW w:w="6316" w:type="dxa"/>
          </w:tcPr>
          <w:p w14:paraId="53542764" w14:textId="77777777" w:rsidR="00C40BD0" w:rsidRPr="00ED0B51" w:rsidRDefault="00C72A21" w:rsidP="00C40BD0">
            <w:pPr>
              <w:shd w:val="clear" w:color="auto" w:fill="FFFFFF"/>
              <w:ind w:left="57" w:right="57"/>
              <w:jc w:val="both"/>
              <w:rPr>
                <w:bCs/>
                <w:sz w:val="26"/>
                <w:szCs w:val="26"/>
              </w:rPr>
            </w:pPr>
            <w:r w:rsidRPr="00ED0B51">
              <w:rPr>
                <w:bCs/>
                <w:sz w:val="26"/>
                <w:szCs w:val="26"/>
              </w:rPr>
              <w:t xml:space="preserve">Nodokļa maksātājiem, kas sniedz līzinga un kreditēšanas pakalpojumus, izņemot kredītiestādes, </w:t>
            </w:r>
            <w:r w:rsidR="004453FB" w:rsidRPr="00ED0B51">
              <w:rPr>
                <w:bCs/>
                <w:sz w:val="26"/>
                <w:szCs w:val="26"/>
              </w:rPr>
              <w:t xml:space="preserve">noteikumu </w:t>
            </w:r>
            <w:r w:rsidR="00C40BD0" w:rsidRPr="00ED0B51">
              <w:rPr>
                <w:bCs/>
                <w:sz w:val="26"/>
                <w:szCs w:val="26"/>
              </w:rPr>
              <w:t xml:space="preserve">projekta tiesiskais regulējums </w:t>
            </w:r>
            <w:r w:rsidRPr="00ED0B51">
              <w:rPr>
                <w:bCs/>
                <w:sz w:val="26"/>
                <w:szCs w:val="26"/>
              </w:rPr>
              <w:t xml:space="preserve">paredz ietekmi uz administratīvo slogu no 2016.gada 1.janvāra, </w:t>
            </w:r>
            <w:r w:rsidR="00B555AC" w:rsidRPr="00ED0B51">
              <w:rPr>
                <w:bCs/>
                <w:sz w:val="26"/>
                <w:szCs w:val="26"/>
              </w:rPr>
              <w:t xml:space="preserve">kad būs pienākums </w:t>
            </w:r>
            <w:r w:rsidRPr="00ED0B51">
              <w:rPr>
                <w:bCs/>
                <w:sz w:val="26"/>
                <w:szCs w:val="26"/>
              </w:rPr>
              <w:t>vienu reizi gadā iesniegt informatīvo deklarāciju par fizisko personu – Latvijas Republikas rezidentu – līzinga un/vai kredīta maksātāja veiktajiem maksājumiem, ja to maksā</w:t>
            </w:r>
            <w:r w:rsidR="00772AA7" w:rsidRPr="00ED0B51">
              <w:rPr>
                <w:bCs/>
                <w:sz w:val="26"/>
                <w:szCs w:val="26"/>
              </w:rPr>
              <w:t>jumu summa mēnesī pārsniedz 360 </w:t>
            </w:r>
            <w:proofErr w:type="spellStart"/>
            <w:r w:rsidRPr="00ED0B51">
              <w:rPr>
                <w:bCs/>
                <w:i/>
                <w:sz w:val="26"/>
                <w:szCs w:val="26"/>
              </w:rPr>
              <w:t>euro</w:t>
            </w:r>
            <w:proofErr w:type="spellEnd"/>
            <w:r w:rsidRPr="00ED0B51">
              <w:rPr>
                <w:bCs/>
                <w:sz w:val="26"/>
                <w:szCs w:val="26"/>
              </w:rPr>
              <w:t xml:space="preserve"> vai šādu maksājumu kopsumma kalendāra gada laikā pārsniedz 4320</w:t>
            </w:r>
            <w:r w:rsidR="00772AA7" w:rsidRPr="00ED0B51">
              <w:rPr>
                <w:bCs/>
                <w:sz w:val="26"/>
                <w:szCs w:val="26"/>
              </w:rPr>
              <w:t> </w:t>
            </w:r>
            <w:proofErr w:type="spellStart"/>
            <w:r w:rsidRPr="00ED0B51">
              <w:rPr>
                <w:bCs/>
                <w:i/>
                <w:sz w:val="26"/>
                <w:szCs w:val="26"/>
              </w:rPr>
              <w:t>euro</w:t>
            </w:r>
            <w:proofErr w:type="spellEnd"/>
            <w:r w:rsidR="00C40BD0" w:rsidRPr="00ED0B51">
              <w:rPr>
                <w:bCs/>
                <w:sz w:val="26"/>
                <w:szCs w:val="26"/>
              </w:rPr>
              <w:t>.</w:t>
            </w:r>
          </w:p>
          <w:p w14:paraId="5E77F853" w14:textId="77777777" w:rsidR="00EF1B0C" w:rsidRPr="00ED0B51" w:rsidRDefault="00EF1B0C" w:rsidP="00C40BD0">
            <w:pPr>
              <w:shd w:val="clear" w:color="auto" w:fill="FFFFFF"/>
              <w:ind w:left="57" w:right="57"/>
              <w:jc w:val="both"/>
              <w:rPr>
                <w:bCs/>
                <w:sz w:val="26"/>
                <w:szCs w:val="26"/>
              </w:rPr>
            </w:pPr>
            <w:r w:rsidRPr="00ED0B51">
              <w:rPr>
                <w:bCs/>
                <w:sz w:val="26"/>
                <w:szCs w:val="26"/>
              </w:rPr>
              <w:t>Patērētāju tiesību aizsardzības centra ieskatā fizisko personu skaits, kas gadā veic maksājumus 4320 </w:t>
            </w:r>
            <w:proofErr w:type="spellStart"/>
            <w:r w:rsidRPr="00ED0B51">
              <w:rPr>
                <w:bCs/>
                <w:i/>
                <w:sz w:val="26"/>
                <w:szCs w:val="26"/>
              </w:rPr>
              <w:t>euro</w:t>
            </w:r>
            <w:proofErr w:type="spellEnd"/>
            <w:r w:rsidRPr="00ED0B51">
              <w:rPr>
                <w:bCs/>
                <w:sz w:val="26"/>
                <w:szCs w:val="26"/>
              </w:rPr>
              <w:t xml:space="preserve"> apmērā un par kurām ir jāziņo Valsts ieņēmumu dienestam, kopumā varētu būt samērā mazs.</w:t>
            </w:r>
            <w:r w:rsidRPr="00ED0B51">
              <w:t xml:space="preserve"> </w:t>
            </w:r>
            <w:r w:rsidRPr="00ED0B51">
              <w:rPr>
                <w:bCs/>
                <w:sz w:val="26"/>
                <w:szCs w:val="26"/>
              </w:rPr>
              <w:t>Tas galvenokārt varētu attiekties uz hipotekāro kredītu un līzinga pakalpojumu sniedzējiem, jo saskaņā ar apkoptajiem datiem šajos darījumos vidēji izsniegtā summa pārsniedz 4320</w:t>
            </w:r>
            <w:r w:rsidR="00DD13E0" w:rsidRPr="00ED0B51">
              <w:rPr>
                <w:bCs/>
                <w:sz w:val="26"/>
                <w:szCs w:val="26"/>
              </w:rPr>
              <w:t> </w:t>
            </w:r>
            <w:proofErr w:type="spellStart"/>
            <w:r w:rsidR="00DD13E0" w:rsidRPr="00ED0B51">
              <w:rPr>
                <w:bCs/>
                <w:i/>
                <w:sz w:val="26"/>
                <w:szCs w:val="26"/>
              </w:rPr>
              <w:t>euro</w:t>
            </w:r>
            <w:proofErr w:type="spellEnd"/>
            <w:r w:rsidRPr="00ED0B51">
              <w:rPr>
                <w:bCs/>
                <w:sz w:val="26"/>
                <w:szCs w:val="26"/>
              </w:rPr>
              <w:t>.</w:t>
            </w:r>
          </w:p>
          <w:p w14:paraId="3B7E6F8E" w14:textId="77777777" w:rsidR="00EF1B0C" w:rsidRPr="00ED0B51" w:rsidRDefault="00EF1B0C" w:rsidP="00FC4195">
            <w:pPr>
              <w:pStyle w:val="ListParagraph"/>
              <w:shd w:val="clear" w:color="auto" w:fill="FFFFFF"/>
              <w:ind w:left="0"/>
              <w:jc w:val="both"/>
              <w:rPr>
                <w:bCs/>
                <w:sz w:val="26"/>
                <w:szCs w:val="26"/>
              </w:rPr>
            </w:pPr>
            <w:r w:rsidRPr="00ED0B51">
              <w:rPr>
                <w:bCs/>
                <w:sz w:val="26"/>
                <w:szCs w:val="26"/>
              </w:rPr>
              <w:t>Vidējā saskaņā ar vienu noslēgto kreditēšanas līgumu izsniegtā kredīta summa</w:t>
            </w:r>
            <w:r w:rsidR="00DD13E0" w:rsidRPr="00ED0B51">
              <w:rPr>
                <w:bCs/>
                <w:sz w:val="26"/>
                <w:szCs w:val="26"/>
              </w:rPr>
              <w:t xml:space="preserve"> (</w:t>
            </w:r>
            <w:proofErr w:type="spellStart"/>
            <w:r w:rsidR="00DD13E0" w:rsidRPr="00ED0B51">
              <w:rPr>
                <w:bCs/>
                <w:i/>
                <w:sz w:val="26"/>
                <w:szCs w:val="26"/>
              </w:rPr>
              <w:t>euro</w:t>
            </w:r>
            <w:proofErr w:type="spellEnd"/>
            <w:r w:rsidR="00DD13E0" w:rsidRPr="00ED0B51">
              <w:rPr>
                <w:bCs/>
                <w:sz w:val="26"/>
                <w:szCs w:val="26"/>
              </w:rPr>
              <w:t>)</w:t>
            </w:r>
            <w:r w:rsidRPr="00ED0B51">
              <w:rPr>
                <w:bCs/>
                <w:sz w:val="26"/>
                <w:szCs w:val="26"/>
              </w:rPr>
              <w:t xml:space="preserve"> 2014.gada 1.pusgadā:</w:t>
            </w:r>
          </w:p>
          <w:p w14:paraId="7C8A6789" w14:textId="77777777" w:rsidR="00EF1B0C" w:rsidRPr="00ED0B51" w:rsidRDefault="004453FB" w:rsidP="00CD06FB">
            <w:pPr>
              <w:pStyle w:val="ListParagraph"/>
              <w:numPr>
                <w:ilvl w:val="0"/>
                <w:numId w:val="11"/>
              </w:numPr>
              <w:shd w:val="clear" w:color="auto" w:fill="FFFFFF"/>
              <w:ind w:left="342" w:right="57" w:hanging="283"/>
              <w:jc w:val="both"/>
              <w:rPr>
                <w:bCs/>
                <w:sz w:val="26"/>
                <w:szCs w:val="26"/>
              </w:rPr>
            </w:pPr>
            <w:r w:rsidRPr="00ED0B51">
              <w:rPr>
                <w:bCs/>
                <w:sz w:val="26"/>
                <w:szCs w:val="26"/>
              </w:rPr>
              <w:t>d</w:t>
            </w:r>
            <w:r w:rsidR="00EF1B0C" w:rsidRPr="00ED0B51">
              <w:rPr>
                <w:bCs/>
                <w:sz w:val="26"/>
                <w:szCs w:val="26"/>
              </w:rPr>
              <w:t xml:space="preserve">istances kredīti </w:t>
            </w:r>
            <w:r w:rsidR="00CD06FB" w:rsidRPr="00ED0B51">
              <w:rPr>
                <w:bCs/>
                <w:sz w:val="26"/>
                <w:szCs w:val="26"/>
              </w:rPr>
              <w:t>–</w:t>
            </w:r>
            <w:r w:rsidR="00EF1B0C" w:rsidRPr="00ED0B51">
              <w:rPr>
                <w:bCs/>
                <w:sz w:val="26"/>
                <w:szCs w:val="26"/>
              </w:rPr>
              <w:t xml:space="preserve"> </w:t>
            </w:r>
            <w:r w:rsidR="00CD06FB" w:rsidRPr="00ED0B51">
              <w:rPr>
                <w:bCs/>
                <w:sz w:val="26"/>
                <w:szCs w:val="26"/>
              </w:rPr>
              <w:t>176,</w:t>
            </w:r>
            <w:r w:rsidR="00EF1B0C" w:rsidRPr="00ED0B51">
              <w:rPr>
                <w:bCs/>
                <w:sz w:val="26"/>
                <w:szCs w:val="26"/>
              </w:rPr>
              <w:t>31;</w:t>
            </w:r>
          </w:p>
          <w:p w14:paraId="64B2E183" w14:textId="77777777" w:rsidR="00EF1B0C" w:rsidRPr="00ED0B51" w:rsidRDefault="004453FB" w:rsidP="00CD06FB">
            <w:pPr>
              <w:pStyle w:val="ListParagraph"/>
              <w:numPr>
                <w:ilvl w:val="0"/>
                <w:numId w:val="11"/>
              </w:numPr>
              <w:shd w:val="clear" w:color="auto" w:fill="FFFFFF"/>
              <w:ind w:left="342" w:right="57" w:hanging="283"/>
              <w:jc w:val="both"/>
              <w:rPr>
                <w:bCs/>
                <w:sz w:val="26"/>
                <w:szCs w:val="26"/>
              </w:rPr>
            </w:pPr>
            <w:r w:rsidRPr="00ED0B51">
              <w:rPr>
                <w:bCs/>
                <w:sz w:val="26"/>
                <w:szCs w:val="26"/>
              </w:rPr>
              <w:t>p</w:t>
            </w:r>
            <w:r w:rsidR="00EF1B0C" w:rsidRPr="00ED0B51">
              <w:rPr>
                <w:bCs/>
                <w:sz w:val="26"/>
                <w:szCs w:val="26"/>
              </w:rPr>
              <w:t>atēriņa kredīti – 312</w:t>
            </w:r>
            <w:r w:rsidR="00CD06FB" w:rsidRPr="00ED0B51">
              <w:rPr>
                <w:bCs/>
                <w:sz w:val="26"/>
                <w:szCs w:val="26"/>
              </w:rPr>
              <w:t>,</w:t>
            </w:r>
            <w:r w:rsidR="00EF1B0C" w:rsidRPr="00ED0B51">
              <w:rPr>
                <w:bCs/>
                <w:sz w:val="26"/>
                <w:szCs w:val="26"/>
              </w:rPr>
              <w:t>48;</w:t>
            </w:r>
          </w:p>
          <w:p w14:paraId="3D824A6A" w14:textId="77777777" w:rsidR="00EF1B0C" w:rsidRPr="00ED0B51" w:rsidRDefault="004453FB" w:rsidP="00CD06FB">
            <w:pPr>
              <w:pStyle w:val="ListParagraph"/>
              <w:numPr>
                <w:ilvl w:val="0"/>
                <w:numId w:val="11"/>
              </w:numPr>
              <w:shd w:val="clear" w:color="auto" w:fill="FFFFFF"/>
              <w:ind w:left="342" w:right="57" w:hanging="283"/>
              <w:jc w:val="both"/>
              <w:rPr>
                <w:bCs/>
                <w:sz w:val="26"/>
                <w:szCs w:val="26"/>
              </w:rPr>
            </w:pPr>
            <w:r w:rsidRPr="00ED0B51">
              <w:rPr>
                <w:bCs/>
                <w:sz w:val="26"/>
                <w:szCs w:val="26"/>
              </w:rPr>
              <w:t>l</w:t>
            </w:r>
            <w:r w:rsidR="00EF1B0C" w:rsidRPr="00ED0B51">
              <w:rPr>
                <w:bCs/>
                <w:sz w:val="26"/>
                <w:szCs w:val="26"/>
              </w:rPr>
              <w:t xml:space="preserve">īzings, noma un citi ar </w:t>
            </w:r>
            <w:r w:rsidR="005D35F5" w:rsidRPr="00ED0B51">
              <w:rPr>
                <w:bCs/>
                <w:sz w:val="26"/>
                <w:szCs w:val="26"/>
              </w:rPr>
              <w:t>transportlīdzekļa ķīlu</w:t>
            </w:r>
            <w:r w:rsidR="00EF1B0C" w:rsidRPr="00ED0B51">
              <w:rPr>
                <w:bCs/>
                <w:sz w:val="26"/>
                <w:szCs w:val="26"/>
              </w:rPr>
              <w:t xml:space="preserve"> nodrošināti kredīti </w:t>
            </w:r>
            <w:r w:rsidR="00CD06FB" w:rsidRPr="00ED0B51">
              <w:rPr>
                <w:bCs/>
                <w:sz w:val="26"/>
                <w:szCs w:val="26"/>
              </w:rPr>
              <w:t>–</w:t>
            </w:r>
            <w:r w:rsidR="00EF1B0C" w:rsidRPr="00ED0B51">
              <w:t xml:space="preserve"> </w:t>
            </w:r>
            <w:r w:rsidR="00EF1B0C" w:rsidRPr="00ED0B51">
              <w:rPr>
                <w:bCs/>
                <w:sz w:val="26"/>
                <w:szCs w:val="26"/>
              </w:rPr>
              <w:t>6</w:t>
            </w:r>
            <w:r w:rsidR="00CD06FB" w:rsidRPr="00ED0B51">
              <w:rPr>
                <w:bCs/>
                <w:sz w:val="26"/>
                <w:szCs w:val="26"/>
              </w:rPr>
              <w:t> </w:t>
            </w:r>
            <w:r w:rsidR="00EF1B0C" w:rsidRPr="00ED0B51">
              <w:rPr>
                <w:bCs/>
                <w:sz w:val="26"/>
                <w:szCs w:val="26"/>
              </w:rPr>
              <w:t>387</w:t>
            </w:r>
            <w:r w:rsidR="00CD06FB" w:rsidRPr="00ED0B51">
              <w:rPr>
                <w:bCs/>
                <w:sz w:val="26"/>
                <w:szCs w:val="26"/>
              </w:rPr>
              <w:t>,</w:t>
            </w:r>
            <w:r w:rsidR="00EF1B0C" w:rsidRPr="00ED0B51">
              <w:rPr>
                <w:bCs/>
                <w:sz w:val="26"/>
                <w:szCs w:val="26"/>
              </w:rPr>
              <w:t>61;</w:t>
            </w:r>
          </w:p>
          <w:p w14:paraId="4A6D8698" w14:textId="77777777" w:rsidR="00EF1B0C" w:rsidRPr="00ED0B51" w:rsidRDefault="004453FB" w:rsidP="00CD06FB">
            <w:pPr>
              <w:pStyle w:val="ListParagraph"/>
              <w:numPr>
                <w:ilvl w:val="0"/>
                <w:numId w:val="11"/>
              </w:numPr>
              <w:shd w:val="clear" w:color="auto" w:fill="FFFFFF"/>
              <w:ind w:left="342" w:right="57" w:hanging="283"/>
              <w:jc w:val="both"/>
              <w:rPr>
                <w:bCs/>
                <w:sz w:val="26"/>
                <w:szCs w:val="26"/>
              </w:rPr>
            </w:pPr>
            <w:r w:rsidRPr="00ED0B51">
              <w:rPr>
                <w:bCs/>
                <w:sz w:val="26"/>
                <w:szCs w:val="26"/>
              </w:rPr>
              <w:t>h</w:t>
            </w:r>
            <w:r w:rsidR="00EF1B0C" w:rsidRPr="00ED0B51">
              <w:rPr>
                <w:bCs/>
                <w:sz w:val="26"/>
                <w:szCs w:val="26"/>
              </w:rPr>
              <w:t xml:space="preserve">ipotekārie kredīti </w:t>
            </w:r>
            <w:r w:rsidR="00CD06FB" w:rsidRPr="00ED0B51">
              <w:rPr>
                <w:bCs/>
                <w:sz w:val="26"/>
                <w:szCs w:val="26"/>
              </w:rPr>
              <w:t>–</w:t>
            </w:r>
            <w:r w:rsidR="00EF1B0C" w:rsidRPr="00ED0B51">
              <w:t xml:space="preserve"> </w:t>
            </w:r>
            <w:r w:rsidR="00EF1B0C" w:rsidRPr="00ED0B51">
              <w:rPr>
                <w:bCs/>
                <w:sz w:val="26"/>
                <w:szCs w:val="26"/>
              </w:rPr>
              <w:t>7</w:t>
            </w:r>
            <w:r w:rsidR="00CD06FB" w:rsidRPr="00ED0B51">
              <w:rPr>
                <w:bCs/>
                <w:sz w:val="26"/>
                <w:szCs w:val="26"/>
              </w:rPr>
              <w:t> </w:t>
            </w:r>
            <w:r w:rsidR="00EF1B0C" w:rsidRPr="00ED0B51">
              <w:rPr>
                <w:bCs/>
                <w:sz w:val="26"/>
                <w:szCs w:val="26"/>
              </w:rPr>
              <w:t>996</w:t>
            </w:r>
            <w:r w:rsidR="00CD06FB" w:rsidRPr="00ED0B51">
              <w:rPr>
                <w:bCs/>
                <w:sz w:val="26"/>
                <w:szCs w:val="26"/>
              </w:rPr>
              <w:t>,</w:t>
            </w:r>
            <w:r w:rsidR="00EF1B0C" w:rsidRPr="00ED0B51">
              <w:rPr>
                <w:bCs/>
                <w:sz w:val="26"/>
                <w:szCs w:val="26"/>
              </w:rPr>
              <w:t>08;</w:t>
            </w:r>
          </w:p>
          <w:p w14:paraId="66D15700" w14:textId="77777777" w:rsidR="00EF1B0C" w:rsidRPr="00ED0B51" w:rsidRDefault="004453FB" w:rsidP="00CD06FB">
            <w:pPr>
              <w:pStyle w:val="ListParagraph"/>
              <w:numPr>
                <w:ilvl w:val="0"/>
                <w:numId w:val="11"/>
              </w:numPr>
              <w:shd w:val="clear" w:color="auto" w:fill="FFFFFF"/>
              <w:ind w:left="342" w:right="57" w:hanging="283"/>
              <w:jc w:val="both"/>
              <w:rPr>
                <w:bCs/>
                <w:sz w:val="26"/>
                <w:szCs w:val="26"/>
              </w:rPr>
            </w:pPr>
            <w:r w:rsidRPr="00ED0B51">
              <w:rPr>
                <w:bCs/>
                <w:sz w:val="26"/>
                <w:szCs w:val="26"/>
              </w:rPr>
              <w:t>k</w:t>
            </w:r>
            <w:r w:rsidR="00EF1B0C" w:rsidRPr="00ED0B51">
              <w:rPr>
                <w:bCs/>
                <w:sz w:val="26"/>
                <w:szCs w:val="26"/>
              </w:rPr>
              <w:t xml:space="preserve">redīti pret kustamas lietas ķīlu </w:t>
            </w:r>
            <w:r w:rsidR="00CD06FB" w:rsidRPr="00ED0B51">
              <w:rPr>
                <w:bCs/>
                <w:sz w:val="26"/>
                <w:szCs w:val="26"/>
              </w:rPr>
              <w:t>–</w:t>
            </w:r>
            <w:r w:rsidR="00EF1B0C" w:rsidRPr="00ED0B51">
              <w:rPr>
                <w:bCs/>
                <w:sz w:val="26"/>
                <w:szCs w:val="26"/>
              </w:rPr>
              <w:t xml:space="preserve"> 53</w:t>
            </w:r>
            <w:r w:rsidR="00CD06FB" w:rsidRPr="00ED0B51">
              <w:rPr>
                <w:bCs/>
                <w:sz w:val="26"/>
                <w:szCs w:val="26"/>
              </w:rPr>
              <w:t>,</w:t>
            </w:r>
            <w:r w:rsidR="00EF1B0C" w:rsidRPr="00ED0B51">
              <w:rPr>
                <w:bCs/>
                <w:sz w:val="26"/>
                <w:szCs w:val="26"/>
              </w:rPr>
              <w:t>97</w:t>
            </w:r>
            <w:r w:rsidR="00CD06FB" w:rsidRPr="00ED0B51">
              <w:rPr>
                <w:bCs/>
                <w:sz w:val="26"/>
                <w:szCs w:val="26"/>
              </w:rPr>
              <w:t>.</w:t>
            </w:r>
          </w:p>
          <w:p w14:paraId="0803766B" w14:textId="77777777" w:rsidR="00DD13E0" w:rsidRPr="00ED0B51" w:rsidRDefault="00DD13E0" w:rsidP="00DD13E0">
            <w:pPr>
              <w:shd w:val="clear" w:color="auto" w:fill="FFFFFF"/>
              <w:ind w:right="57"/>
              <w:jc w:val="both"/>
              <w:rPr>
                <w:bCs/>
                <w:sz w:val="26"/>
                <w:szCs w:val="26"/>
              </w:rPr>
            </w:pPr>
            <w:r w:rsidRPr="00ED0B51">
              <w:rPr>
                <w:bCs/>
                <w:sz w:val="26"/>
                <w:szCs w:val="26"/>
              </w:rPr>
              <w:t xml:space="preserve">Jāņem vērā, ka šie ir ilgtermiņa kredīti un </w:t>
            </w:r>
            <w:r w:rsidR="00E52D24" w:rsidRPr="00ED0B51">
              <w:rPr>
                <w:bCs/>
                <w:sz w:val="26"/>
                <w:szCs w:val="26"/>
              </w:rPr>
              <w:t xml:space="preserve">tādēļ </w:t>
            </w:r>
            <w:r w:rsidRPr="00ED0B51">
              <w:rPr>
                <w:bCs/>
                <w:sz w:val="26"/>
                <w:szCs w:val="26"/>
              </w:rPr>
              <w:t xml:space="preserve">arī visa izsniegtā summa ir jāatdod kredīta dzīves cikla laikā, proti, vairāku gadu laikā saskaņā ar atmaksas grafikiem. </w:t>
            </w:r>
            <w:r w:rsidR="00E52D24" w:rsidRPr="00ED0B51">
              <w:rPr>
                <w:bCs/>
                <w:sz w:val="26"/>
                <w:szCs w:val="26"/>
              </w:rPr>
              <w:t>Tādējādi</w:t>
            </w:r>
            <w:r w:rsidRPr="00ED0B51">
              <w:rPr>
                <w:bCs/>
                <w:sz w:val="26"/>
                <w:szCs w:val="26"/>
              </w:rPr>
              <w:t xml:space="preserve">  deklarēšanas pienākums varētu skart katru no tirgus dalībniekiem, tomēr vienlaikus samērā mazu fizisko personu skaitu, jo tas attieksies uz tām fiziskajām personām, kuras saņēmušas kredītu ar īsu atmaksas termiņu (</w:t>
            </w:r>
            <w:r w:rsidR="00E52D24" w:rsidRPr="00ED0B51">
              <w:rPr>
                <w:bCs/>
                <w:sz w:val="26"/>
                <w:szCs w:val="26"/>
              </w:rPr>
              <w:t>tādēļ</w:t>
            </w:r>
            <w:r w:rsidRPr="00ED0B51">
              <w:rPr>
                <w:bCs/>
                <w:sz w:val="26"/>
                <w:szCs w:val="26"/>
              </w:rPr>
              <w:t xml:space="preserve"> ikmēneša maksājums būs 360 </w:t>
            </w:r>
            <w:proofErr w:type="spellStart"/>
            <w:r w:rsidRPr="00ED0B51">
              <w:rPr>
                <w:bCs/>
                <w:i/>
                <w:sz w:val="26"/>
                <w:szCs w:val="26"/>
              </w:rPr>
              <w:t>euro</w:t>
            </w:r>
            <w:proofErr w:type="spellEnd"/>
            <w:r w:rsidRPr="00ED0B51">
              <w:rPr>
                <w:bCs/>
                <w:sz w:val="26"/>
                <w:szCs w:val="26"/>
              </w:rPr>
              <w:t xml:space="preserve"> un vairāk) vai kuras būs dzēsušas kredītu pirms termiņa, samaksājot minēto summu vienā vai tikai dažos maksājumos.</w:t>
            </w:r>
          </w:p>
          <w:p w14:paraId="07E28B11" w14:textId="77777777" w:rsidR="00DD13E0" w:rsidRPr="00ED0B51" w:rsidRDefault="00DD13E0" w:rsidP="00DD13E0">
            <w:pPr>
              <w:shd w:val="clear" w:color="auto" w:fill="FFFFFF"/>
              <w:ind w:right="57"/>
              <w:jc w:val="both"/>
              <w:rPr>
                <w:bCs/>
                <w:sz w:val="26"/>
                <w:szCs w:val="26"/>
              </w:rPr>
            </w:pPr>
            <w:r w:rsidRPr="00ED0B51">
              <w:rPr>
                <w:bCs/>
                <w:sz w:val="26"/>
                <w:szCs w:val="26"/>
              </w:rPr>
              <w:t xml:space="preserve">Savukārt distances kredītu un patēriņa kredītu sniedzēju vidū šāda iespēja ir minimāla, jo vidējās kredītu summas ir ievērojami mazākas. </w:t>
            </w:r>
            <w:r w:rsidR="00E52D24" w:rsidRPr="00ED0B51">
              <w:rPr>
                <w:bCs/>
                <w:sz w:val="26"/>
                <w:szCs w:val="26"/>
              </w:rPr>
              <w:t>Tādējādi</w:t>
            </w:r>
            <w:r w:rsidRPr="00ED0B51">
              <w:rPr>
                <w:bCs/>
                <w:sz w:val="26"/>
                <w:szCs w:val="26"/>
              </w:rPr>
              <w:t xml:space="preserve"> teorētiska iespēja sasniegt limitu 4320</w:t>
            </w:r>
            <w:r w:rsidR="00DF07AD" w:rsidRPr="00ED0B51">
              <w:rPr>
                <w:bCs/>
                <w:sz w:val="26"/>
                <w:szCs w:val="26"/>
              </w:rPr>
              <w:t> </w:t>
            </w:r>
            <w:proofErr w:type="spellStart"/>
            <w:r w:rsidRPr="00ED0B51">
              <w:rPr>
                <w:bCs/>
                <w:i/>
                <w:sz w:val="26"/>
                <w:szCs w:val="26"/>
              </w:rPr>
              <w:t>euro</w:t>
            </w:r>
            <w:proofErr w:type="spellEnd"/>
            <w:r w:rsidRPr="00ED0B51">
              <w:rPr>
                <w:bCs/>
                <w:sz w:val="26"/>
                <w:szCs w:val="26"/>
              </w:rPr>
              <w:t xml:space="preserve"> ir, ja fiziskā persona regulāri aizņemas šiem kredītu veidiem samērā lielas summas un veic aizdevuma pirmstermiņa atmaksu, pēc kuras atkal slēdz jaunu aizdevuma līgumu, </w:t>
            </w:r>
            <w:r w:rsidR="00DF07AD" w:rsidRPr="00ED0B51">
              <w:rPr>
                <w:bCs/>
                <w:sz w:val="26"/>
                <w:szCs w:val="26"/>
              </w:rPr>
              <w:t>savukārt</w:t>
            </w:r>
            <w:r w:rsidRPr="00ED0B51">
              <w:rPr>
                <w:bCs/>
                <w:sz w:val="26"/>
                <w:szCs w:val="26"/>
              </w:rPr>
              <w:t xml:space="preserve"> </w:t>
            </w:r>
            <w:r w:rsidR="00DF07AD" w:rsidRPr="00ED0B51">
              <w:rPr>
                <w:bCs/>
                <w:sz w:val="26"/>
                <w:szCs w:val="26"/>
              </w:rPr>
              <w:t xml:space="preserve">Patērētāju tiesību aizsardzības centra </w:t>
            </w:r>
            <w:r w:rsidRPr="00ED0B51">
              <w:rPr>
                <w:bCs/>
                <w:sz w:val="26"/>
                <w:szCs w:val="26"/>
              </w:rPr>
              <w:t>ieskatā šāda iespēja ir minimāla.</w:t>
            </w:r>
          </w:p>
          <w:p w14:paraId="18FDB464" w14:textId="77777777" w:rsidR="00D175E9" w:rsidRPr="00ED0B51" w:rsidRDefault="00E52D24" w:rsidP="00E52D24">
            <w:pPr>
              <w:shd w:val="clear" w:color="auto" w:fill="FFFFFF"/>
              <w:ind w:right="57"/>
              <w:jc w:val="both"/>
              <w:rPr>
                <w:bCs/>
                <w:sz w:val="26"/>
                <w:szCs w:val="26"/>
              </w:rPr>
            </w:pPr>
            <w:r w:rsidRPr="00ED0B51">
              <w:rPr>
                <w:bCs/>
                <w:sz w:val="26"/>
                <w:szCs w:val="26"/>
              </w:rPr>
              <w:t xml:space="preserve">Ņemot vērā </w:t>
            </w:r>
            <w:r w:rsidR="00DD13E0" w:rsidRPr="00ED0B51">
              <w:rPr>
                <w:bCs/>
                <w:sz w:val="26"/>
                <w:szCs w:val="26"/>
              </w:rPr>
              <w:t>iepriekš sniegto viedokli, aptuveni 26</w:t>
            </w:r>
            <w:r w:rsidR="00B3508F" w:rsidRPr="00ED0B51">
              <w:rPr>
                <w:bCs/>
                <w:sz w:val="26"/>
                <w:szCs w:val="26"/>
              </w:rPr>
              <w:t> </w:t>
            </w:r>
            <w:r w:rsidR="00DD13E0" w:rsidRPr="00ED0B51">
              <w:rPr>
                <w:bCs/>
                <w:sz w:val="26"/>
                <w:szCs w:val="26"/>
              </w:rPr>
              <w:t>licencētiem tirgus dalībniekiem (hipotekāro kredītu devēji</w:t>
            </w:r>
            <w:r w:rsidR="00DF07AD" w:rsidRPr="00ED0B51">
              <w:rPr>
                <w:bCs/>
                <w:sz w:val="26"/>
                <w:szCs w:val="26"/>
              </w:rPr>
              <w:t>em</w:t>
            </w:r>
            <w:r w:rsidR="00DD13E0" w:rsidRPr="00ED0B51">
              <w:rPr>
                <w:bCs/>
                <w:sz w:val="26"/>
                <w:szCs w:val="26"/>
              </w:rPr>
              <w:t>, līzingu devēji</w:t>
            </w:r>
            <w:r w:rsidR="00DF07AD" w:rsidRPr="00ED0B51">
              <w:rPr>
                <w:bCs/>
                <w:sz w:val="26"/>
                <w:szCs w:val="26"/>
              </w:rPr>
              <w:t>em</w:t>
            </w:r>
            <w:r w:rsidR="00DD13E0" w:rsidRPr="00ED0B51">
              <w:rPr>
                <w:bCs/>
                <w:sz w:val="26"/>
                <w:szCs w:val="26"/>
              </w:rPr>
              <w:t xml:space="preserve">) būtu jāziņo </w:t>
            </w:r>
            <w:r w:rsidR="00DF07AD" w:rsidRPr="00ED0B51">
              <w:rPr>
                <w:bCs/>
                <w:sz w:val="26"/>
                <w:szCs w:val="26"/>
              </w:rPr>
              <w:t>Valsts ieņēmumu dienestam</w:t>
            </w:r>
            <w:r w:rsidR="00DD13E0" w:rsidRPr="00ED0B51">
              <w:rPr>
                <w:bCs/>
                <w:sz w:val="26"/>
                <w:szCs w:val="26"/>
              </w:rPr>
              <w:t xml:space="preserve"> par </w:t>
            </w:r>
            <w:r w:rsidR="00DF07AD" w:rsidRPr="00ED0B51">
              <w:rPr>
                <w:bCs/>
                <w:sz w:val="26"/>
                <w:szCs w:val="26"/>
              </w:rPr>
              <w:t>fiziskajām personām</w:t>
            </w:r>
            <w:r w:rsidR="00DD13E0" w:rsidRPr="00ED0B51">
              <w:rPr>
                <w:bCs/>
                <w:sz w:val="26"/>
                <w:szCs w:val="26"/>
              </w:rPr>
              <w:t xml:space="preserve">, </w:t>
            </w:r>
            <w:r w:rsidR="00DF07AD" w:rsidRPr="00ED0B51">
              <w:rPr>
                <w:bCs/>
                <w:sz w:val="26"/>
                <w:szCs w:val="26"/>
              </w:rPr>
              <w:t xml:space="preserve">kuru maksājumi </w:t>
            </w:r>
            <w:r w:rsidR="00DF07AD" w:rsidRPr="00ED0B51">
              <w:rPr>
                <w:bCs/>
                <w:sz w:val="26"/>
                <w:szCs w:val="26"/>
              </w:rPr>
              <w:lastRenderedPageBreak/>
              <w:t>pārsniegs 360 </w:t>
            </w:r>
            <w:proofErr w:type="spellStart"/>
            <w:r w:rsidR="00DF07AD" w:rsidRPr="00ED0B51">
              <w:rPr>
                <w:bCs/>
                <w:i/>
                <w:sz w:val="26"/>
                <w:szCs w:val="26"/>
              </w:rPr>
              <w:t>euro</w:t>
            </w:r>
            <w:proofErr w:type="spellEnd"/>
            <w:r w:rsidR="00DF07AD" w:rsidRPr="00ED0B51">
              <w:rPr>
                <w:bCs/>
                <w:sz w:val="26"/>
                <w:szCs w:val="26"/>
              </w:rPr>
              <w:t xml:space="preserve"> mēnesī vai 4320 </w:t>
            </w:r>
            <w:proofErr w:type="spellStart"/>
            <w:r w:rsidR="00DF07AD" w:rsidRPr="00ED0B51">
              <w:rPr>
                <w:bCs/>
                <w:i/>
                <w:sz w:val="26"/>
                <w:szCs w:val="26"/>
              </w:rPr>
              <w:t>euro</w:t>
            </w:r>
            <w:proofErr w:type="spellEnd"/>
            <w:r w:rsidR="00DF07AD" w:rsidRPr="00ED0B51">
              <w:rPr>
                <w:bCs/>
                <w:sz w:val="26"/>
                <w:szCs w:val="26"/>
              </w:rPr>
              <w:t xml:space="preserve"> gadā</w:t>
            </w:r>
            <w:r w:rsidR="006F789E" w:rsidRPr="00ED0B51">
              <w:rPr>
                <w:bCs/>
                <w:sz w:val="26"/>
                <w:szCs w:val="26"/>
              </w:rPr>
              <w:t>.</w:t>
            </w:r>
          </w:p>
        </w:tc>
      </w:tr>
      <w:tr w:rsidR="00ED0B51" w:rsidRPr="00ED0B51" w14:paraId="37FE73F1" w14:textId="77777777" w:rsidTr="00102A21">
        <w:trPr>
          <w:trHeight w:val="523"/>
        </w:trPr>
        <w:tc>
          <w:tcPr>
            <w:tcW w:w="412" w:type="dxa"/>
          </w:tcPr>
          <w:p w14:paraId="48BADDF9" w14:textId="77777777" w:rsidR="00D175E9" w:rsidRPr="00ED0B51" w:rsidRDefault="00D175E9" w:rsidP="0089091C">
            <w:pPr>
              <w:pStyle w:val="naiskr"/>
              <w:spacing w:before="0" w:after="0"/>
              <w:ind w:left="57" w:right="57"/>
              <w:jc w:val="both"/>
              <w:rPr>
                <w:sz w:val="26"/>
                <w:szCs w:val="26"/>
              </w:rPr>
            </w:pPr>
            <w:r w:rsidRPr="00ED0B51">
              <w:rPr>
                <w:sz w:val="26"/>
                <w:szCs w:val="26"/>
              </w:rPr>
              <w:lastRenderedPageBreak/>
              <w:t>3.</w:t>
            </w:r>
          </w:p>
        </w:tc>
        <w:tc>
          <w:tcPr>
            <w:tcW w:w="2795" w:type="dxa"/>
          </w:tcPr>
          <w:p w14:paraId="43E28115" w14:textId="77777777" w:rsidR="00D175E9" w:rsidRPr="00ED0B51" w:rsidRDefault="00D175E9" w:rsidP="0089091C">
            <w:pPr>
              <w:pStyle w:val="naiskr"/>
              <w:spacing w:before="0" w:after="0"/>
              <w:ind w:left="57" w:right="57"/>
              <w:rPr>
                <w:sz w:val="26"/>
                <w:szCs w:val="26"/>
              </w:rPr>
            </w:pPr>
            <w:r w:rsidRPr="00ED0B51">
              <w:rPr>
                <w:sz w:val="26"/>
                <w:szCs w:val="26"/>
              </w:rPr>
              <w:t>Administratīvo izmaksu monetārs novērtējums</w:t>
            </w:r>
          </w:p>
        </w:tc>
        <w:tc>
          <w:tcPr>
            <w:tcW w:w="6316" w:type="dxa"/>
          </w:tcPr>
          <w:p w14:paraId="637EE47C" w14:textId="77777777" w:rsidR="006A6EE7" w:rsidRPr="00ED0B51" w:rsidRDefault="006A6EE7" w:rsidP="006A6EE7">
            <w:pPr>
              <w:shd w:val="clear" w:color="auto" w:fill="FFFFFF"/>
              <w:ind w:left="57" w:right="57"/>
              <w:jc w:val="both"/>
              <w:rPr>
                <w:bCs/>
                <w:sz w:val="26"/>
                <w:szCs w:val="26"/>
              </w:rPr>
            </w:pPr>
            <w:r w:rsidRPr="00ED0B51">
              <w:rPr>
                <w:bCs/>
                <w:sz w:val="26"/>
                <w:szCs w:val="26"/>
              </w:rPr>
              <w:t xml:space="preserve">Informācijas sniegšanas pienākuma radītās izmaksas jeb administratīvās izmaksas (C) – </w:t>
            </w:r>
            <w:r w:rsidR="00C47F1B" w:rsidRPr="00ED0B51">
              <w:rPr>
                <w:bCs/>
                <w:sz w:val="26"/>
                <w:szCs w:val="26"/>
              </w:rPr>
              <w:t>2</w:t>
            </w:r>
            <w:r w:rsidR="0065188A" w:rsidRPr="00ED0B51">
              <w:rPr>
                <w:bCs/>
                <w:sz w:val="26"/>
                <w:szCs w:val="26"/>
              </w:rPr>
              <w:t>2</w:t>
            </w:r>
            <w:r w:rsidR="00C47F1B" w:rsidRPr="00ED0B51">
              <w:rPr>
                <w:bCs/>
                <w:sz w:val="26"/>
                <w:szCs w:val="26"/>
              </w:rPr>
              <w:t> </w:t>
            </w:r>
            <w:r w:rsidR="0065188A" w:rsidRPr="00ED0B51">
              <w:rPr>
                <w:bCs/>
                <w:sz w:val="26"/>
                <w:szCs w:val="26"/>
              </w:rPr>
              <w:t>40</w:t>
            </w:r>
            <w:r w:rsidR="00C47F1B" w:rsidRPr="00ED0B51">
              <w:rPr>
                <w:bCs/>
                <w:sz w:val="26"/>
                <w:szCs w:val="26"/>
              </w:rPr>
              <w:t xml:space="preserve">0 </w:t>
            </w:r>
            <w:r w:rsidR="002230C9" w:rsidRPr="00ED0B51">
              <w:rPr>
                <w:bCs/>
                <w:sz w:val="26"/>
                <w:szCs w:val="26"/>
              </w:rPr>
              <w:t> </w:t>
            </w:r>
            <w:proofErr w:type="spellStart"/>
            <w:r w:rsidRPr="00ED0B51">
              <w:rPr>
                <w:bCs/>
                <w:i/>
                <w:sz w:val="26"/>
                <w:szCs w:val="26"/>
              </w:rPr>
              <w:t>euro</w:t>
            </w:r>
            <w:proofErr w:type="spellEnd"/>
            <w:r w:rsidR="002230C9" w:rsidRPr="00ED0B51">
              <w:rPr>
                <w:bCs/>
                <w:sz w:val="26"/>
                <w:szCs w:val="26"/>
              </w:rPr>
              <w:t>.</w:t>
            </w:r>
            <w:r w:rsidR="004216A8" w:rsidRPr="00ED0B51">
              <w:rPr>
                <w:bCs/>
                <w:sz w:val="26"/>
                <w:szCs w:val="26"/>
              </w:rPr>
              <w:t xml:space="preserve"> Aprēķinā nav iekļautas vienreizējās izmaksas izmaiņu ieviešanai elektroniskās uzskaites programmās</w:t>
            </w:r>
            <w:r w:rsidR="00390C7C" w:rsidRPr="00ED0B51">
              <w:rPr>
                <w:bCs/>
                <w:sz w:val="26"/>
                <w:szCs w:val="26"/>
              </w:rPr>
              <w:t xml:space="preserve"> pirmajā gadā</w:t>
            </w:r>
            <w:r w:rsidR="004216A8" w:rsidRPr="00ED0B51">
              <w:rPr>
                <w:bCs/>
                <w:sz w:val="26"/>
                <w:szCs w:val="26"/>
              </w:rPr>
              <w:t xml:space="preserve">, pieņemot, ka viena nodokļu maksātāja izmaksas izmaiņu ieviešanai elektroniskās uzskaites programmās ir </w:t>
            </w:r>
            <w:r w:rsidR="00390C7C" w:rsidRPr="00ED0B51">
              <w:rPr>
                <w:bCs/>
                <w:sz w:val="26"/>
                <w:szCs w:val="26"/>
              </w:rPr>
              <w:t>2</w:t>
            </w:r>
            <w:r w:rsidR="0065188A" w:rsidRPr="00ED0B51">
              <w:rPr>
                <w:bCs/>
                <w:sz w:val="26"/>
                <w:szCs w:val="26"/>
              </w:rPr>
              <w:t>9</w:t>
            </w:r>
            <w:r w:rsidR="00390C7C" w:rsidRPr="00ED0B51">
              <w:rPr>
                <w:bCs/>
                <w:sz w:val="26"/>
                <w:szCs w:val="26"/>
              </w:rPr>
              <w:t>00</w:t>
            </w:r>
            <w:r w:rsidR="00E52D24" w:rsidRPr="00ED0B51">
              <w:rPr>
                <w:bCs/>
                <w:sz w:val="26"/>
                <w:szCs w:val="26"/>
              </w:rPr>
              <w:t> </w:t>
            </w:r>
            <w:proofErr w:type="spellStart"/>
            <w:r w:rsidR="004216A8" w:rsidRPr="00ED0B51">
              <w:rPr>
                <w:bCs/>
                <w:i/>
                <w:sz w:val="26"/>
                <w:szCs w:val="26"/>
              </w:rPr>
              <w:t>euro</w:t>
            </w:r>
            <w:proofErr w:type="spellEnd"/>
            <w:r w:rsidR="00390C7C" w:rsidRPr="00ED0B51">
              <w:rPr>
                <w:bCs/>
                <w:i/>
                <w:sz w:val="26"/>
                <w:szCs w:val="26"/>
              </w:rPr>
              <w:t xml:space="preserve"> </w:t>
            </w:r>
            <w:r w:rsidR="00390C7C" w:rsidRPr="00ED0B51">
              <w:rPr>
                <w:bCs/>
                <w:sz w:val="26"/>
                <w:szCs w:val="26"/>
              </w:rPr>
              <w:t>(</w:t>
            </w:r>
            <w:r w:rsidR="0065188A" w:rsidRPr="00ED0B51">
              <w:rPr>
                <w:bCs/>
                <w:sz w:val="26"/>
                <w:szCs w:val="26"/>
              </w:rPr>
              <w:t xml:space="preserve">20 stundu analītiķa darba ar izmaksām 10 </w:t>
            </w:r>
            <w:proofErr w:type="spellStart"/>
            <w:r w:rsidR="0065188A" w:rsidRPr="00ED0B51">
              <w:rPr>
                <w:bCs/>
                <w:i/>
                <w:sz w:val="26"/>
                <w:szCs w:val="26"/>
              </w:rPr>
              <w:t>euro</w:t>
            </w:r>
            <w:proofErr w:type="spellEnd"/>
            <w:r w:rsidR="0065188A" w:rsidRPr="00ED0B51">
              <w:rPr>
                <w:bCs/>
                <w:sz w:val="26"/>
                <w:szCs w:val="26"/>
              </w:rPr>
              <w:t xml:space="preserve"> stundā un </w:t>
            </w:r>
            <w:r w:rsidR="00390C7C" w:rsidRPr="00ED0B51">
              <w:rPr>
                <w:bCs/>
                <w:sz w:val="26"/>
                <w:szCs w:val="26"/>
              </w:rPr>
              <w:t>60 stundu programmētāj</w:t>
            </w:r>
            <w:r w:rsidR="008E59E5" w:rsidRPr="00ED0B51">
              <w:rPr>
                <w:bCs/>
                <w:sz w:val="26"/>
                <w:szCs w:val="26"/>
              </w:rPr>
              <w:t>a</w:t>
            </w:r>
            <w:r w:rsidR="00390C7C" w:rsidRPr="00ED0B51">
              <w:rPr>
                <w:bCs/>
                <w:sz w:val="26"/>
                <w:szCs w:val="26"/>
              </w:rPr>
              <w:t xml:space="preserve"> darbs ar izmaksām 45 </w:t>
            </w:r>
            <w:proofErr w:type="spellStart"/>
            <w:r w:rsidR="00390C7C" w:rsidRPr="00ED0B51">
              <w:rPr>
                <w:bCs/>
                <w:i/>
                <w:sz w:val="26"/>
                <w:szCs w:val="26"/>
              </w:rPr>
              <w:t>euro</w:t>
            </w:r>
            <w:proofErr w:type="spellEnd"/>
            <w:r w:rsidR="00390C7C" w:rsidRPr="00ED0B51">
              <w:rPr>
                <w:bCs/>
                <w:sz w:val="26"/>
                <w:szCs w:val="26"/>
              </w:rPr>
              <w:t xml:space="preserve"> stundā</w:t>
            </w:r>
            <w:r w:rsidR="008E59E5" w:rsidRPr="00ED0B51">
              <w:rPr>
                <w:bCs/>
                <w:sz w:val="26"/>
                <w:szCs w:val="26"/>
              </w:rPr>
              <w:t xml:space="preserve"> </w:t>
            </w:r>
            <w:r w:rsidR="00390C7C" w:rsidRPr="00ED0B51">
              <w:rPr>
                <w:bCs/>
                <w:sz w:val="26"/>
                <w:szCs w:val="26"/>
              </w:rPr>
              <w:t>)</w:t>
            </w:r>
            <w:r w:rsidR="004216A8" w:rsidRPr="00ED0B51">
              <w:rPr>
                <w:bCs/>
                <w:sz w:val="26"/>
                <w:szCs w:val="26"/>
              </w:rPr>
              <w:t>.</w:t>
            </w:r>
          </w:p>
          <w:p w14:paraId="16104B6E" w14:textId="77777777" w:rsidR="00390C7C" w:rsidRPr="00ED0B51" w:rsidRDefault="00F41E94" w:rsidP="00390C7C">
            <w:pPr>
              <w:shd w:val="clear" w:color="auto" w:fill="FFFFFF"/>
              <w:ind w:left="57" w:right="57"/>
              <w:jc w:val="both"/>
              <w:rPr>
                <w:bCs/>
                <w:sz w:val="26"/>
                <w:szCs w:val="26"/>
              </w:rPr>
            </w:pPr>
            <w:r w:rsidRPr="00ED0B51">
              <w:rPr>
                <w:bCs/>
                <w:sz w:val="26"/>
                <w:szCs w:val="26"/>
              </w:rPr>
              <w:t>Informācijas sniegšanas pienākuma radīto administratīvo izmaksu aprēķins:</w:t>
            </w:r>
            <w:r w:rsidR="0065188A" w:rsidRPr="00ED0B51">
              <w:rPr>
                <w:bCs/>
                <w:sz w:val="26"/>
                <w:szCs w:val="26"/>
              </w:rPr>
              <w:t xml:space="preserve"> </w:t>
            </w:r>
          </w:p>
          <w:p w14:paraId="0A2A8166" w14:textId="77777777" w:rsidR="00F41E94" w:rsidRPr="00ED0B51" w:rsidRDefault="00F41E94" w:rsidP="006A6EE7">
            <w:pPr>
              <w:shd w:val="clear" w:color="auto" w:fill="FFFFFF"/>
              <w:ind w:left="57" w:right="57"/>
              <w:jc w:val="both"/>
              <w:rPr>
                <w:bCs/>
                <w:sz w:val="26"/>
                <w:szCs w:val="26"/>
              </w:rPr>
            </w:pPr>
          </w:p>
          <w:p w14:paraId="1BB2CFA4" w14:textId="77777777" w:rsidR="006A6EE7" w:rsidRPr="00ED0B51" w:rsidRDefault="006A6EE7" w:rsidP="006A6EE7">
            <w:pPr>
              <w:shd w:val="clear" w:color="auto" w:fill="FFFFFF"/>
              <w:ind w:left="57" w:right="57"/>
              <w:jc w:val="both"/>
              <w:rPr>
                <w:bCs/>
                <w:sz w:val="26"/>
                <w:szCs w:val="26"/>
              </w:rPr>
            </w:pPr>
            <w:r w:rsidRPr="00ED0B51">
              <w:rPr>
                <w:bCs/>
                <w:sz w:val="26"/>
                <w:szCs w:val="26"/>
              </w:rPr>
              <w:t>C = (f x l) x (n x b)</w:t>
            </w:r>
          </w:p>
          <w:p w14:paraId="35D49926" w14:textId="77777777" w:rsidR="006A6EE7" w:rsidRPr="00ED0B51" w:rsidRDefault="006A6EE7" w:rsidP="006A6EE7">
            <w:pPr>
              <w:shd w:val="clear" w:color="auto" w:fill="FFFFFF"/>
              <w:ind w:left="57" w:right="57"/>
              <w:jc w:val="both"/>
              <w:rPr>
                <w:bCs/>
                <w:sz w:val="26"/>
                <w:szCs w:val="26"/>
              </w:rPr>
            </w:pPr>
            <w:r w:rsidRPr="00ED0B51">
              <w:rPr>
                <w:bCs/>
                <w:sz w:val="26"/>
                <w:szCs w:val="26"/>
              </w:rPr>
              <w:t>C = (</w:t>
            </w:r>
            <w:r w:rsidR="0065188A" w:rsidRPr="00ED0B51">
              <w:rPr>
                <w:bCs/>
                <w:sz w:val="26"/>
                <w:szCs w:val="26"/>
              </w:rPr>
              <w:t>5</w:t>
            </w:r>
            <w:r w:rsidRPr="00ED0B51">
              <w:rPr>
                <w:bCs/>
                <w:sz w:val="26"/>
                <w:szCs w:val="26"/>
              </w:rPr>
              <w:t xml:space="preserve"> x </w:t>
            </w:r>
            <w:r w:rsidR="0065188A" w:rsidRPr="00ED0B51">
              <w:rPr>
                <w:bCs/>
                <w:sz w:val="26"/>
                <w:szCs w:val="26"/>
              </w:rPr>
              <w:t>8</w:t>
            </w:r>
            <w:r w:rsidR="00706B39" w:rsidRPr="00ED0B51">
              <w:rPr>
                <w:bCs/>
                <w:sz w:val="26"/>
                <w:szCs w:val="26"/>
              </w:rPr>
              <w:t>0</w:t>
            </w:r>
            <w:r w:rsidRPr="00ED0B51">
              <w:rPr>
                <w:bCs/>
                <w:sz w:val="26"/>
                <w:szCs w:val="26"/>
              </w:rPr>
              <w:t>) x (</w:t>
            </w:r>
            <w:r w:rsidR="0065188A" w:rsidRPr="00ED0B51">
              <w:rPr>
                <w:bCs/>
                <w:sz w:val="26"/>
                <w:szCs w:val="26"/>
              </w:rPr>
              <w:t>56</w:t>
            </w:r>
            <w:r w:rsidRPr="00ED0B51">
              <w:rPr>
                <w:bCs/>
                <w:sz w:val="26"/>
                <w:szCs w:val="26"/>
              </w:rPr>
              <w:t>x 1)</w:t>
            </w:r>
          </w:p>
          <w:p w14:paraId="38042717" w14:textId="77777777" w:rsidR="006A6EE7" w:rsidRPr="00ED0B51" w:rsidRDefault="006A6EE7" w:rsidP="006A6EE7">
            <w:pPr>
              <w:shd w:val="clear" w:color="auto" w:fill="FFFFFF"/>
              <w:ind w:left="57" w:right="57"/>
              <w:jc w:val="both"/>
              <w:rPr>
                <w:bCs/>
                <w:sz w:val="26"/>
                <w:szCs w:val="26"/>
              </w:rPr>
            </w:pPr>
            <w:r w:rsidRPr="00ED0B51">
              <w:rPr>
                <w:bCs/>
                <w:sz w:val="26"/>
                <w:szCs w:val="26"/>
              </w:rPr>
              <w:t xml:space="preserve">C = </w:t>
            </w:r>
            <w:r w:rsidR="0065188A" w:rsidRPr="00ED0B51">
              <w:rPr>
                <w:bCs/>
                <w:sz w:val="26"/>
                <w:szCs w:val="26"/>
              </w:rPr>
              <w:t>22 400</w:t>
            </w:r>
            <w:r w:rsidRPr="00ED0B51">
              <w:rPr>
                <w:bCs/>
                <w:sz w:val="26"/>
                <w:szCs w:val="26"/>
              </w:rPr>
              <w:t> </w:t>
            </w:r>
          </w:p>
          <w:p w14:paraId="125C607F" w14:textId="77777777" w:rsidR="006A6EE7" w:rsidRPr="00ED0B51" w:rsidRDefault="006A6EE7" w:rsidP="006A6EE7">
            <w:pPr>
              <w:shd w:val="clear" w:color="auto" w:fill="FFFFFF"/>
              <w:ind w:left="57" w:right="57"/>
              <w:jc w:val="both"/>
              <w:rPr>
                <w:bCs/>
                <w:sz w:val="26"/>
                <w:szCs w:val="26"/>
              </w:rPr>
            </w:pPr>
            <w:r w:rsidRPr="00ED0B51">
              <w:rPr>
                <w:bCs/>
                <w:sz w:val="26"/>
                <w:szCs w:val="26"/>
              </w:rPr>
              <w:t xml:space="preserve">kur </w:t>
            </w:r>
          </w:p>
          <w:p w14:paraId="7CEE9205" w14:textId="77777777" w:rsidR="006A6EE7" w:rsidRPr="00ED0B51" w:rsidRDefault="00706B39" w:rsidP="006A6EE7">
            <w:pPr>
              <w:shd w:val="clear" w:color="auto" w:fill="FFFFFF"/>
              <w:ind w:left="57" w:right="57"/>
              <w:jc w:val="both"/>
              <w:rPr>
                <w:bCs/>
                <w:sz w:val="26"/>
                <w:szCs w:val="26"/>
              </w:rPr>
            </w:pPr>
            <w:r w:rsidRPr="00ED0B51">
              <w:rPr>
                <w:bCs/>
                <w:sz w:val="26"/>
                <w:szCs w:val="26"/>
              </w:rPr>
              <w:t>5</w:t>
            </w:r>
            <w:r w:rsidR="006A6EE7" w:rsidRPr="00ED0B51">
              <w:rPr>
                <w:bCs/>
                <w:sz w:val="26"/>
                <w:szCs w:val="26"/>
              </w:rPr>
              <w:t xml:space="preserve"> – </w:t>
            </w:r>
            <w:r w:rsidRPr="00ED0B51">
              <w:rPr>
                <w:bCs/>
                <w:sz w:val="26"/>
                <w:szCs w:val="26"/>
              </w:rPr>
              <w:t>finanšu līdzekļu apjoms (vidējā stundas samaksas likme</w:t>
            </w:r>
            <w:r w:rsidR="003F3DA5" w:rsidRPr="00ED0B51">
              <w:rPr>
                <w:bCs/>
                <w:sz w:val="26"/>
                <w:szCs w:val="26"/>
              </w:rPr>
              <w:t xml:space="preserve"> operatora darbam</w:t>
            </w:r>
            <w:r w:rsidRPr="00ED0B51">
              <w:rPr>
                <w:bCs/>
                <w:sz w:val="26"/>
                <w:szCs w:val="26"/>
              </w:rPr>
              <w:t>)</w:t>
            </w:r>
            <w:r w:rsidR="006A6EE7" w:rsidRPr="00ED0B51">
              <w:rPr>
                <w:bCs/>
                <w:sz w:val="26"/>
                <w:szCs w:val="26"/>
              </w:rPr>
              <w:t>;</w:t>
            </w:r>
          </w:p>
          <w:p w14:paraId="6764B842" w14:textId="77777777" w:rsidR="006A6EE7" w:rsidRPr="00ED0B51" w:rsidRDefault="0065188A" w:rsidP="006A6EE7">
            <w:pPr>
              <w:shd w:val="clear" w:color="auto" w:fill="FFFFFF"/>
              <w:ind w:left="57" w:right="57"/>
              <w:jc w:val="both"/>
              <w:rPr>
                <w:bCs/>
                <w:sz w:val="26"/>
                <w:szCs w:val="26"/>
              </w:rPr>
            </w:pPr>
            <w:r w:rsidRPr="00ED0B51">
              <w:rPr>
                <w:bCs/>
                <w:sz w:val="26"/>
                <w:szCs w:val="26"/>
              </w:rPr>
              <w:t>8</w:t>
            </w:r>
            <w:r w:rsidR="00706B39" w:rsidRPr="00ED0B51">
              <w:rPr>
                <w:bCs/>
                <w:sz w:val="26"/>
                <w:szCs w:val="26"/>
              </w:rPr>
              <w:t>0</w:t>
            </w:r>
            <w:r w:rsidR="006A6EE7" w:rsidRPr="00ED0B51">
              <w:rPr>
                <w:bCs/>
                <w:sz w:val="26"/>
                <w:szCs w:val="26"/>
              </w:rPr>
              <w:t xml:space="preserve"> – </w:t>
            </w:r>
            <w:r w:rsidR="009633FD" w:rsidRPr="00ED0B51">
              <w:rPr>
                <w:bCs/>
                <w:sz w:val="26"/>
                <w:szCs w:val="26"/>
              </w:rPr>
              <w:t>laika patēriņš</w:t>
            </w:r>
            <w:r w:rsidR="00F9122C" w:rsidRPr="00ED0B51">
              <w:rPr>
                <w:bCs/>
                <w:sz w:val="26"/>
                <w:szCs w:val="26"/>
              </w:rPr>
              <w:t xml:space="preserve">, izteikts </w:t>
            </w:r>
            <w:r w:rsidR="00270F4A" w:rsidRPr="00ED0B51">
              <w:rPr>
                <w:bCs/>
                <w:sz w:val="26"/>
                <w:szCs w:val="26"/>
              </w:rPr>
              <w:t>stundās</w:t>
            </w:r>
            <w:r w:rsidR="006A6EE7" w:rsidRPr="00ED0B51">
              <w:rPr>
                <w:bCs/>
                <w:sz w:val="26"/>
                <w:szCs w:val="26"/>
              </w:rPr>
              <w:t>;</w:t>
            </w:r>
          </w:p>
          <w:p w14:paraId="1DFDB24A" w14:textId="77777777" w:rsidR="006A6EE7" w:rsidRPr="00ED0B51" w:rsidRDefault="00E4382C" w:rsidP="006A6EE7">
            <w:pPr>
              <w:shd w:val="clear" w:color="auto" w:fill="FFFFFF"/>
              <w:ind w:left="57" w:right="57"/>
              <w:jc w:val="both"/>
              <w:rPr>
                <w:bCs/>
                <w:sz w:val="26"/>
                <w:szCs w:val="26"/>
              </w:rPr>
            </w:pPr>
            <w:r w:rsidRPr="00ED0B51">
              <w:rPr>
                <w:bCs/>
                <w:sz w:val="26"/>
                <w:szCs w:val="26"/>
              </w:rPr>
              <w:t>56</w:t>
            </w:r>
            <w:r w:rsidR="006A6EE7" w:rsidRPr="00ED0B51">
              <w:rPr>
                <w:bCs/>
                <w:sz w:val="26"/>
                <w:szCs w:val="26"/>
              </w:rPr>
              <w:t xml:space="preserve"> –</w:t>
            </w:r>
            <w:r w:rsidR="00D15A36" w:rsidRPr="00ED0B51">
              <w:rPr>
                <w:bCs/>
                <w:sz w:val="26"/>
                <w:szCs w:val="26"/>
              </w:rPr>
              <w:t xml:space="preserve"> kapitālsabiedrību</w:t>
            </w:r>
            <w:r w:rsidR="002230C9" w:rsidRPr="00ED0B51">
              <w:rPr>
                <w:bCs/>
                <w:sz w:val="26"/>
                <w:szCs w:val="26"/>
              </w:rPr>
              <w:t xml:space="preserve"> skaits</w:t>
            </w:r>
            <w:r w:rsidR="00D15A36" w:rsidRPr="00ED0B51">
              <w:rPr>
                <w:bCs/>
                <w:sz w:val="26"/>
                <w:szCs w:val="26"/>
              </w:rPr>
              <w:t>, kuras ir saņēmušas speciālo atļauju (licenci)</w:t>
            </w:r>
            <w:r w:rsidR="00D15A36" w:rsidRPr="00ED0B51">
              <w:t xml:space="preserve"> </w:t>
            </w:r>
            <w:r w:rsidR="00D15A36" w:rsidRPr="00ED0B51">
              <w:rPr>
                <w:bCs/>
                <w:sz w:val="26"/>
                <w:szCs w:val="26"/>
              </w:rPr>
              <w:t>patērētāju kreditēšanas pakalpojumu sniegšanai</w:t>
            </w:r>
            <w:r w:rsidR="006A6EE7" w:rsidRPr="00ED0B51">
              <w:rPr>
                <w:bCs/>
                <w:sz w:val="26"/>
                <w:szCs w:val="26"/>
              </w:rPr>
              <w:t>;</w:t>
            </w:r>
          </w:p>
          <w:p w14:paraId="28AD9375" w14:textId="77777777" w:rsidR="00D175E9" w:rsidRPr="00ED0B51" w:rsidRDefault="006A6EE7" w:rsidP="00FA72C7">
            <w:pPr>
              <w:shd w:val="clear" w:color="auto" w:fill="FFFFFF"/>
              <w:ind w:left="57" w:right="57"/>
              <w:jc w:val="both"/>
              <w:rPr>
                <w:bCs/>
                <w:sz w:val="26"/>
                <w:szCs w:val="26"/>
              </w:rPr>
            </w:pPr>
            <w:r w:rsidRPr="00ED0B51">
              <w:rPr>
                <w:bCs/>
                <w:sz w:val="26"/>
                <w:szCs w:val="26"/>
              </w:rPr>
              <w:t xml:space="preserve">1 – </w:t>
            </w:r>
            <w:r w:rsidR="00FA72C7" w:rsidRPr="00ED0B51">
              <w:rPr>
                <w:bCs/>
                <w:sz w:val="26"/>
                <w:szCs w:val="26"/>
              </w:rPr>
              <w:t>informatīvās deklarācijas</w:t>
            </w:r>
            <w:r w:rsidRPr="00ED0B51">
              <w:rPr>
                <w:bCs/>
                <w:sz w:val="26"/>
                <w:szCs w:val="26"/>
              </w:rPr>
              <w:t xml:space="preserve"> sniegšanas skaits gadā</w:t>
            </w:r>
            <w:r w:rsidR="00DB00DC" w:rsidRPr="00ED0B51">
              <w:rPr>
                <w:bCs/>
                <w:sz w:val="26"/>
                <w:szCs w:val="26"/>
              </w:rPr>
              <w:t>.</w:t>
            </w:r>
          </w:p>
          <w:p w14:paraId="25FEA96D" w14:textId="77777777" w:rsidR="00F41E94" w:rsidRPr="00ED0B51" w:rsidRDefault="00F41E94" w:rsidP="005D35F5">
            <w:pPr>
              <w:shd w:val="clear" w:color="auto" w:fill="FFFFFF"/>
              <w:ind w:left="57" w:right="57"/>
              <w:jc w:val="both"/>
              <w:rPr>
                <w:bCs/>
                <w:sz w:val="26"/>
                <w:szCs w:val="26"/>
              </w:rPr>
            </w:pPr>
          </w:p>
          <w:p w14:paraId="35B67DBC" w14:textId="77777777" w:rsidR="00F9122C" w:rsidRPr="00ED0B51" w:rsidRDefault="00F9122C" w:rsidP="005D35F5">
            <w:pPr>
              <w:shd w:val="clear" w:color="auto" w:fill="FFFFFF"/>
              <w:ind w:left="57" w:right="57"/>
              <w:jc w:val="both"/>
              <w:rPr>
                <w:bCs/>
                <w:sz w:val="26"/>
                <w:szCs w:val="26"/>
              </w:rPr>
            </w:pPr>
            <w:r w:rsidRPr="00ED0B51">
              <w:rPr>
                <w:bCs/>
                <w:sz w:val="26"/>
                <w:szCs w:val="26"/>
              </w:rPr>
              <w:t xml:space="preserve">Aprēķinos izmantoti </w:t>
            </w:r>
            <w:r w:rsidR="00390C7C" w:rsidRPr="00ED0B51">
              <w:rPr>
                <w:bCs/>
                <w:sz w:val="26"/>
                <w:szCs w:val="26"/>
              </w:rPr>
              <w:t xml:space="preserve">SIA „Express </w:t>
            </w:r>
            <w:proofErr w:type="spellStart"/>
            <w:r w:rsidR="00390C7C" w:rsidRPr="00ED0B51">
              <w:rPr>
                <w:bCs/>
                <w:sz w:val="26"/>
                <w:szCs w:val="26"/>
              </w:rPr>
              <w:t>Credit</w:t>
            </w:r>
            <w:proofErr w:type="spellEnd"/>
            <w:r w:rsidR="00390C7C" w:rsidRPr="00ED0B51">
              <w:rPr>
                <w:bCs/>
                <w:sz w:val="26"/>
                <w:szCs w:val="26"/>
              </w:rPr>
              <w:t>” sniegtie</w:t>
            </w:r>
            <w:r w:rsidRPr="00ED0B51">
              <w:rPr>
                <w:bCs/>
                <w:sz w:val="26"/>
                <w:szCs w:val="26"/>
              </w:rPr>
              <w:t xml:space="preserve"> dati</w:t>
            </w:r>
            <w:r w:rsidR="002230C9" w:rsidRPr="00ED0B51">
              <w:rPr>
                <w:bCs/>
                <w:sz w:val="26"/>
                <w:szCs w:val="26"/>
              </w:rPr>
              <w:t xml:space="preserve">. </w:t>
            </w:r>
          </w:p>
          <w:p w14:paraId="3502658C" w14:textId="77777777" w:rsidR="008C2091" w:rsidRPr="00ED0B51" w:rsidRDefault="008C2091" w:rsidP="00390C7C">
            <w:pPr>
              <w:shd w:val="clear" w:color="auto" w:fill="FFFFFF"/>
              <w:ind w:left="57" w:right="57"/>
              <w:jc w:val="both"/>
              <w:rPr>
                <w:bCs/>
                <w:sz w:val="26"/>
                <w:szCs w:val="26"/>
              </w:rPr>
            </w:pPr>
            <w:r w:rsidRPr="00ED0B51">
              <w:rPr>
                <w:sz w:val="26"/>
                <w:szCs w:val="26"/>
              </w:rPr>
              <w:t>Administratīvo izmaksu monetāro novērtējumu</w:t>
            </w:r>
            <w:r w:rsidRPr="00ED0B51">
              <w:rPr>
                <w:bCs/>
                <w:sz w:val="26"/>
                <w:szCs w:val="26"/>
              </w:rPr>
              <w:t xml:space="preserve"> </w:t>
            </w:r>
            <w:r w:rsidR="00E94830" w:rsidRPr="00ED0B51">
              <w:rPr>
                <w:bCs/>
                <w:sz w:val="26"/>
                <w:szCs w:val="26"/>
              </w:rPr>
              <w:t>nav iesp</w:t>
            </w:r>
            <w:r w:rsidRPr="00ED0B51">
              <w:rPr>
                <w:bCs/>
                <w:sz w:val="26"/>
                <w:szCs w:val="26"/>
              </w:rPr>
              <w:t>ējams aprēķināt attiecībā uz</w:t>
            </w:r>
            <w:r w:rsidR="00E94830" w:rsidRPr="00ED0B51">
              <w:rPr>
                <w:bCs/>
                <w:sz w:val="26"/>
                <w:szCs w:val="26"/>
              </w:rPr>
              <w:t xml:space="preserve"> tām</w:t>
            </w:r>
            <w:r w:rsidRPr="00ED0B51">
              <w:rPr>
                <w:bCs/>
                <w:sz w:val="26"/>
                <w:szCs w:val="26"/>
              </w:rPr>
              <w:t xml:space="preserve"> kapitālsabiedrībām, kurām ir tiesības sniegt patērētāju kreditēšanas pakalpojumus, nesaņemot Patērētāju tiesību aizsardzības centra izdotu speciālo atļauju (licenci), jo šādi statistikas dati netiek </w:t>
            </w:r>
            <w:r w:rsidR="00C32BE4" w:rsidRPr="00ED0B51">
              <w:rPr>
                <w:bCs/>
                <w:sz w:val="26"/>
                <w:szCs w:val="26"/>
              </w:rPr>
              <w:t>reģistrēti</w:t>
            </w:r>
            <w:r w:rsidR="006F789E" w:rsidRPr="00ED0B51">
              <w:rPr>
                <w:bCs/>
                <w:sz w:val="26"/>
                <w:szCs w:val="26"/>
              </w:rPr>
              <w:t>.</w:t>
            </w:r>
          </w:p>
        </w:tc>
      </w:tr>
      <w:tr w:rsidR="00ED0B51" w:rsidRPr="00ED0B51" w14:paraId="73E31861" w14:textId="77777777" w:rsidTr="00102A21">
        <w:trPr>
          <w:trHeight w:val="357"/>
        </w:trPr>
        <w:tc>
          <w:tcPr>
            <w:tcW w:w="412" w:type="dxa"/>
          </w:tcPr>
          <w:p w14:paraId="37B2B45A" w14:textId="77777777" w:rsidR="00D175E9" w:rsidRPr="00ED0B51" w:rsidRDefault="00D175E9" w:rsidP="0089091C">
            <w:pPr>
              <w:pStyle w:val="naiskr"/>
              <w:spacing w:before="0" w:after="0"/>
              <w:ind w:left="57" w:right="57"/>
              <w:jc w:val="both"/>
              <w:rPr>
                <w:sz w:val="26"/>
                <w:szCs w:val="26"/>
              </w:rPr>
            </w:pPr>
            <w:r w:rsidRPr="00ED0B51">
              <w:rPr>
                <w:sz w:val="26"/>
                <w:szCs w:val="26"/>
              </w:rPr>
              <w:t>4.</w:t>
            </w:r>
          </w:p>
        </w:tc>
        <w:tc>
          <w:tcPr>
            <w:tcW w:w="2795" w:type="dxa"/>
          </w:tcPr>
          <w:p w14:paraId="5DBDA554" w14:textId="77777777" w:rsidR="00D175E9" w:rsidRPr="00ED0B51" w:rsidRDefault="00D175E9" w:rsidP="0089091C">
            <w:pPr>
              <w:pStyle w:val="naiskr"/>
              <w:spacing w:before="0" w:after="0"/>
              <w:ind w:left="57" w:right="57"/>
              <w:rPr>
                <w:sz w:val="26"/>
                <w:szCs w:val="26"/>
              </w:rPr>
            </w:pPr>
            <w:r w:rsidRPr="00ED0B51">
              <w:rPr>
                <w:sz w:val="26"/>
                <w:szCs w:val="26"/>
              </w:rPr>
              <w:t>Cita informācija</w:t>
            </w:r>
          </w:p>
        </w:tc>
        <w:tc>
          <w:tcPr>
            <w:tcW w:w="6316" w:type="dxa"/>
          </w:tcPr>
          <w:p w14:paraId="4F7C700A" w14:textId="77777777" w:rsidR="00D175E9" w:rsidRPr="00ED0B51" w:rsidRDefault="00D175E9" w:rsidP="00CE5203">
            <w:pPr>
              <w:shd w:val="clear" w:color="auto" w:fill="FFFFFF"/>
              <w:ind w:left="57" w:right="57"/>
              <w:rPr>
                <w:sz w:val="26"/>
                <w:szCs w:val="26"/>
              </w:rPr>
            </w:pPr>
            <w:r w:rsidRPr="00ED0B51">
              <w:rPr>
                <w:sz w:val="26"/>
                <w:szCs w:val="26"/>
              </w:rPr>
              <w:t>Nav</w:t>
            </w:r>
          </w:p>
        </w:tc>
      </w:tr>
    </w:tbl>
    <w:p w14:paraId="6A2B3EE4" w14:textId="77777777" w:rsidR="00D175E9" w:rsidRPr="00ED0B51" w:rsidRDefault="00D175E9" w:rsidP="00D175E9"/>
    <w:tbl>
      <w:tblPr>
        <w:tblW w:w="95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1261"/>
        <w:gridCol w:w="1511"/>
        <w:gridCol w:w="1227"/>
        <w:gridCol w:w="1227"/>
        <w:gridCol w:w="1227"/>
      </w:tblGrid>
      <w:tr w:rsidR="00ED0B51" w:rsidRPr="00ED0B51" w14:paraId="04132B30" w14:textId="77777777" w:rsidTr="0089091C">
        <w:trPr>
          <w:trHeight w:val="361"/>
          <w:jc w:val="center"/>
        </w:trPr>
        <w:tc>
          <w:tcPr>
            <w:tcW w:w="9513" w:type="dxa"/>
            <w:gridSpan w:val="6"/>
            <w:vAlign w:val="center"/>
          </w:tcPr>
          <w:p w14:paraId="1818A233" w14:textId="77777777" w:rsidR="00D175E9" w:rsidRPr="00ED0B51" w:rsidRDefault="00D175E9" w:rsidP="0089091C">
            <w:pPr>
              <w:pStyle w:val="naisnod"/>
              <w:spacing w:before="0" w:after="0"/>
              <w:rPr>
                <w:i/>
                <w:sz w:val="26"/>
                <w:szCs w:val="26"/>
              </w:rPr>
            </w:pPr>
            <w:r w:rsidRPr="00ED0B51">
              <w:rPr>
                <w:sz w:val="26"/>
                <w:szCs w:val="26"/>
              </w:rPr>
              <w:br w:type="page"/>
              <w:t>III. Tiesību akta projekta ietekme uz valsts budžetu un pašvaldību budžetiem</w:t>
            </w:r>
          </w:p>
        </w:tc>
      </w:tr>
      <w:tr w:rsidR="00ED0B51" w:rsidRPr="00ED0B51" w14:paraId="2A97B9AE" w14:textId="77777777" w:rsidTr="0089091C">
        <w:trPr>
          <w:jc w:val="center"/>
        </w:trPr>
        <w:tc>
          <w:tcPr>
            <w:tcW w:w="3199" w:type="dxa"/>
            <w:vMerge w:val="restart"/>
            <w:vAlign w:val="center"/>
          </w:tcPr>
          <w:p w14:paraId="6E6C8DCD" w14:textId="77777777" w:rsidR="00D175E9" w:rsidRPr="00ED0B51" w:rsidRDefault="00D175E9" w:rsidP="0089091C">
            <w:pPr>
              <w:pStyle w:val="naisf"/>
              <w:spacing w:before="0" w:after="0"/>
              <w:jc w:val="center"/>
              <w:rPr>
                <w:b/>
                <w:sz w:val="26"/>
                <w:szCs w:val="26"/>
              </w:rPr>
            </w:pPr>
            <w:r w:rsidRPr="00ED0B51">
              <w:rPr>
                <w:b/>
                <w:sz w:val="26"/>
                <w:szCs w:val="26"/>
              </w:rPr>
              <w:t>Rādītāji</w:t>
            </w:r>
          </w:p>
        </w:tc>
        <w:tc>
          <w:tcPr>
            <w:tcW w:w="2819" w:type="dxa"/>
            <w:gridSpan w:val="2"/>
            <w:vMerge w:val="restart"/>
            <w:vAlign w:val="center"/>
          </w:tcPr>
          <w:p w14:paraId="5588E89C" w14:textId="77777777" w:rsidR="00D175E9" w:rsidRPr="00ED0B51" w:rsidRDefault="00D175E9" w:rsidP="0089091C">
            <w:pPr>
              <w:pStyle w:val="naisf"/>
              <w:spacing w:before="0" w:after="0"/>
              <w:jc w:val="center"/>
              <w:rPr>
                <w:b/>
                <w:sz w:val="26"/>
                <w:szCs w:val="26"/>
              </w:rPr>
            </w:pPr>
            <w:r w:rsidRPr="00ED0B51">
              <w:rPr>
                <w:b/>
                <w:sz w:val="26"/>
                <w:szCs w:val="26"/>
              </w:rPr>
              <w:t>n-tais gads</w:t>
            </w:r>
          </w:p>
        </w:tc>
        <w:tc>
          <w:tcPr>
            <w:tcW w:w="3495" w:type="dxa"/>
            <w:gridSpan w:val="3"/>
            <w:vAlign w:val="center"/>
          </w:tcPr>
          <w:p w14:paraId="00507B52" w14:textId="77777777" w:rsidR="00D175E9" w:rsidRPr="00ED0B51" w:rsidRDefault="00D175E9" w:rsidP="0089091C">
            <w:pPr>
              <w:pStyle w:val="naisf"/>
              <w:spacing w:before="0" w:after="0"/>
              <w:jc w:val="center"/>
              <w:rPr>
                <w:b/>
                <w:i/>
                <w:sz w:val="26"/>
                <w:szCs w:val="26"/>
              </w:rPr>
            </w:pPr>
            <w:r w:rsidRPr="00ED0B51">
              <w:rPr>
                <w:sz w:val="26"/>
                <w:szCs w:val="26"/>
              </w:rPr>
              <w:t>Turpmākie trīs gadi (</w:t>
            </w:r>
            <w:proofErr w:type="spellStart"/>
            <w:r w:rsidRPr="00ED0B51">
              <w:rPr>
                <w:i/>
                <w:sz w:val="26"/>
                <w:szCs w:val="26"/>
              </w:rPr>
              <w:t>euro</w:t>
            </w:r>
            <w:proofErr w:type="spellEnd"/>
            <w:r w:rsidRPr="00ED0B51">
              <w:rPr>
                <w:sz w:val="26"/>
                <w:szCs w:val="26"/>
              </w:rPr>
              <w:t>)</w:t>
            </w:r>
          </w:p>
        </w:tc>
      </w:tr>
      <w:tr w:rsidR="00ED0B51" w:rsidRPr="00ED0B51" w14:paraId="4811FD62" w14:textId="77777777" w:rsidTr="0089091C">
        <w:trPr>
          <w:jc w:val="center"/>
        </w:trPr>
        <w:tc>
          <w:tcPr>
            <w:tcW w:w="3199" w:type="dxa"/>
            <w:vMerge/>
            <w:vAlign w:val="center"/>
          </w:tcPr>
          <w:p w14:paraId="19BB073B" w14:textId="77777777" w:rsidR="00D175E9" w:rsidRPr="00ED0B51" w:rsidRDefault="00D175E9" w:rsidP="0089091C">
            <w:pPr>
              <w:pStyle w:val="naisf"/>
              <w:spacing w:before="0" w:after="0"/>
              <w:jc w:val="center"/>
              <w:rPr>
                <w:b/>
                <w:i/>
                <w:sz w:val="26"/>
                <w:szCs w:val="26"/>
              </w:rPr>
            </w:pPr>
          </w:p>
        </w:tc>
        <w:tc>
          <w:tcPr>
            <w:tcW w:w="2819" w:type="dxa"/>
            <w:gridSpan w:val="2"/>
            <w:vMerge/>
            <w:vAlign w:val="center"/>
          </w:tcPr>
          <w:p w14:paraId="37111B15" w14:textId="77777777" w:rsidR="00D175E9" w:rsidRPr="00ED0B51" w:rsidRDefault="00D175E9" w:rsidP="0089091C">
            <w:pPr>
              <w:pStyle w:val="naisf"/>
              <w:spacing w:before="0" w:after="0"/>
              <w:jc w:val="center"/>
              <w:rPr>
                <w:b/>
                <w:i/>
                <w:sz w:val="26"/>
                <w:szCs w:val="26"/>
              </w:rPr>
            </w:pPr>
          </w:p>
        </w:tc>
        <w:tc>
          <w:tcPr>
            <w:tcW w:w="1150" w:type="dxa"/>
            <w:vAlign w:val="center"/>
          </w:tcPr>
          <w:p w14:paraId="2648B465" w14:textId="77777777" w:rsidR="00D175E9" w:rsidRPr="00ED0B51" w:rsidRDefault="00D175E9" w:rsidP="0089091C">
            <w:pPr>
              <w:pStyle w:val="naisf"/>
              <w:spacing w:before="0" w:after="0"/>
              <w:jc w:val="center"/>
              <w:rPr>
                <w:b/>
                <w:i/>
                <w:sz w:val="26"/>
                <w:szCs w:val="26"/>
              </w:rPr>
            </w:pPr>
            <w:r w:rsidRPr="00ED0B51">
              <w:rPr>
                <w:b/>
                <w:bCs/>
                <w:sz w:val="26"/>
                <w:szCs w:val="26"/>
              </w:rPr>
              <w:t>n+1</w:t>
            </w:r>
          </w:p>
        </w:tc>
        <w:tc>
          <w:tcPr>
            <w:tcW w:w="1195" w:type="dxa"/>
            <w:vAlign w:val="center"/>
          </w:tcPr>
          <w:p w14:paraId="4E3D5045" w14:textId="77777777" w:rsidR="00D175E9" w:rsidRPr="00ED0B51" w:rsidRDefault="00D175E9" w:rsidP="0089091C">
            <w:pPr>
              <w:pStyle w:val="naisf"/>
              <w:spacing w:before="0" w:after="0"/>
              <w:jc w:val="center"/>
              <w:rPr>
                <w:b/>
                <w:i/>
                <w:sz w:val="26"/>
                <w:szCs w:val="26"/>
              </w:rPr>
            </w:pPr>
            <w:r w:rsidRPr="00ED0B51">
              <w:rPr>
                <w:b/>
                <w:bCs/>
                <w:sz w:val="26"/>
                <w:szCs w:val="26"/>
              </w:rPr>
              <w:t>n+2</w:t>
            </w:r>
          </w:p>
        </w:tc>
        <w:tc>
          <w:tcPr>
            <w:tcW w:w="1150" w:type="dxa"/>
            <w:vAlign w:val="center"/>
          </w:tcPr>
          <w:p w14:paraId="213D4F25" w14:textId="77777777" w:rsidR="00D175E9" w:rsidRPr="00ED0B51" w:rsidRDefault="00D175E9" w:rsidP="0089091C">
            <w:pPr>
              <w:pStyle w:val="naisf"/>
              <w:spacing w:before="0" w:after="0"/>
              <w:jc w:val="center"/>
              <w:rPr>
                <w:b/>
                <w:i/>
                <w:sz w:val="26"/>
                <w:szCs w:val="26"/>
              </w:rPr>
            </w:pPr>
            <w:r w:rsidRPr="00ED0B51">
              <w:rPr>
                <w:b/>
                <w:bCs/>
                <w:sz w:val="26"/>
                <w:szCs w:val="26"/>
              </w:rPr>
              <w:t>n+3</w:t>
            </w:r>
          </w:p>
        </w:tc>
      </w:tr>
      <w:tr w:rsidR="00ED0B51" w:rsidRPr="00ED0B51" w14:paraId="4F3092A8" w14:textId="77777777" w:rsidTr="0089091C">
        <w:trPr>
          <w:jc w:val="center"/>
        </w:trPr>
        <w:tc>
          <w:tcPr>
            <w:tcW w:w="3199" w:type="dxa"/>
            <w:vMerge/>
            <w:vAlign w:val="center"/>
          </w:tcPr>
          <w:p w14:paraId="75326241" w14:textId="77777777" w:rsidR="00D175E9" w:rsidRPr="00ED0B51" w:rsidRDefault="00D175E9" w:rsidP="0089091C">
            <w:pPr>
              <w:pStyle w:val="naisf"/>
              <w:spacing w:before="0" w:after="0"/>
              <w:jc w:val="center"/>
              <w:rPr>
                <w:b/>
                <w:i/>
                <w:sz w:val="26"/>
                <w:szCs w:val="26"/>
              </w:rPr>
            </w:pPr>
          </w:p>
        </w:tc>
        <w:tc>
          <w:tcPr>
            <w:tcW w:w="1276" w:type="dxa"/>
            <w:vAlign w:val="center"/>
          </w:tcPr>
          <w:p w14:paraId="28F046A9" w14:textId="77777777" w:rsidR="00D175E9" w:rsidRPr="00ED0B51" w:rsidRDefault="00D175E9" w:rsidP="00846DA7">
            <w:pPr>
              <w:pStyle w:val="naisf"/>
              <w:spacing w:before="0" w:after="0"/>
              <w:ind w:firstLine="0"/>
              <w:jc w:val="center"/>
              <w:rPr>
                <w:b/>
                <w:i/>
                <w:sz w:val="26"/>
                <w:szCs w:val="26"/>
              </w:rPr>
            </w:pPr>
            <w:r w:rsidRPr="00ED0B51">
              <w:rPr>
                <w:sz w:val="26"/>
                <w:szCs w:val="26"/>
              </w:rPr>
              <w:t>saskaņā ar valsts budžetu kārtējam gadam</w:t>
            </w:r>
          </w:p>
        </w:tc>
        <w:tc>
          <w:tcPr>
            <w:tcW w:w="1543" w:type="dxa"/>
            <w:vAlign w:val="center"/>
          </w:tcPr>
          <w:p w14:paraId="24D37C5D" w14:textId="77777777" w:rsidR="00D175E9" w:rsidRPr="00ED0B51" w:rsidRDefault="00D175E9" w:rsidP="00846DA7">
            <w:pPr>
              <w:pStyle w:val="naisf"/>
              <w:spacing w:before="0" w:after="0"/>
              <w:ind w:firstLine="0"/>
              <w:jc w:val="center"/>
              <w:rPr>
                <w:b/>
                <w:i/>
                <w:sz w:val="26"/>
                <w:szCs w:val="26"/>
              </w:rPr>
            </w:pPr>
            <w:r w:rsidRPr="00ED0B51">
              <w:rPr>
                <w:sz w:val="26"/>
                <w:szCs w:val="26"/>
              </w:rPr>
              <w:t>izmaiņas kārtējā gadā, salīdzinot ar budžetu kārtējam gadam</w:t>
            </w:r>
          </w:p>
        </w:tc>
        <w:tc>
          <w:tcPr>
            <w:tcW w:w="1150" w:type="dxa"/>
            <w:vAlign w:val="center"/>
          </w:tcPr>
          <w:p w14:paraId="6056D3C0" w14:textId="77777777" w:rsidR="00D175E9" w:rsidRPr="00ED0B51" w:rsidRDefault="00D175E9" w:rsidP="00846DA7">
            <w:pPr>
              <w:pStyle w:val="naisf"/>
              <w:spacing w:before="0" w:after="0"/>
              <w:ind w:firstLine="0"/>
              <w:jc w:val="center"/>
              <w:rPr>
                <w:b/>
                <w:i/>
                <w:sz w:val="26"/>
                <w:szCs w:val="26"/>
              </w:rPr>
            </w:pPr>
            <w:r w:rsidRPr="00ED0B51">
              <w:rPr>
                <w:sz w:val="26"/>
                <w:szCs w:val="26"/>
              </w:rPr>
              <w:t>izmaiņas, salīdzinot ar kārtējo (n) gadu</w:t>
            </w:r>
          </w:p>
        </w:tc>
        <w:tc>
          <w:tcPr>
            <w:tcW w:w="1195" w:type="dxa"/>
            <w:vAlign w:val="center"/>
          </w:tcPr>
          <w:p w14:paraId="7E065007" w14:textId="77777777" w:rsidR="00D175E9" w:rsidRPr="00ED0B51" w:rsidRDefault="00D175E9" w:rsidP="00846DA7">
            <w:pPr>
              <w:pStyle w:val="naisf"/>
              <w:spacing w:before="0" w:after="0"/>
              <w:ind w:firstLine="0"/>
              <w:jc w:val="center"/>
              <w:rPr>
                <w:b/>
                <w:i/>
                <w:sz w:val="26"/>
                <w:szCs w:val="26"/>
              </w:rPr>
            </w:pPr>
            <w:r w:rsidRPr="00ED0B51">
              <w:rPr>
                <w:sz w:val="26"/>
                <w:szCs w:val="26"/>
              </w:rPr>
              <w:t>izmaiņas, salīdzinot ar kārtējo (n) gadu</w:t>
            </w:r>
          </w:p>
        </w:tc>
        <w:tc>
          <w:tcPr>
            <w:tcW w:w="1150" w:type="dxa"/>
            <w:vAlign w:val="center"/>
          </w:tcPr>
          <w:p w14:paraId="5339103B" w14:textId="77777777" w:rsidR="00D175E9" w:rsidRPr="00ED0B51" w:rsidRDefault="00D175E9" w:rsidP="00846DA7">
            <w:pPr>
              <w:pStyle w:val="naisf"/>
              <w:spacing w:before="0" w:after="0"/>
              <w:ind w:firstLine="0"/>
              <w:jc w:val="center"/>
              <w:rPr>
                <w:b/>
                <w:i/>
                <w:sz w:val="26"/>
                <w:szCs w:val="26"/>
              </w:rPr>
            </w:pPr>
            <w:r w:rsidRPr="00ED0B51">
              <w:rPr>
                <w:sz w:val="26"/>
                <w:szCs w:val="26"/>
              </w:rPr>
              <w:t>izmaiņas, salīdzinot ar kārtējo (n) gadu</w:t>
            </w:r>
          </w:p>
        </w:tc>
      </w:tr>
      <w:tr w:rsidR="00ED0B51" w:rsidRPr="00ED0B51" w14:paraId="3004184F" w14:textId="77777777" w:rsidTr="0089091C">
        <w:trPr>
          <w:jc w:val="center"/>
        </w:trPr>
        <w:tc>
          <w:tcPr>
            <w:tcW w:w="3199" w:type="dxa"/>
            <w:vAlign w:val="center"/>
          </w:tcPr>
          <w:p w14:paraId="15770E1A" w14:textId="77777777" w:rsidR="00D175E9" w:rsidRPr="00ED0B51" w:rsidRDefault="00D175E9" w:rsidP="00846DA7">
            <w:pPr>
              <w:pStyle w:val="naisf"/>
              <w:spacing w:before="0" w:after="0"/>
              <w:ind w:firstLine="0"/>
              <w:jc w:val="center"/>
              <w:rPr>
                <w:bCs/>
                <w:sz w:val="26"/>
                <w:szCs w:val="26"/>
              </w:rPr>
            </w:pPr>
            <w:r w:rsidRPr="00ED0B51">
              <w:rPr>
                <w:bCs/>
                <w:sz w:val="26"/>
                <w:szCs w:val="26"/>
              </w:rPr>
              <w:t>1</w:t>
            </w:r>
          </w:p>
        </w:tc>
        <w:tc>
          <w:tcPr>
            <w:tcW w:w="1276" w:type="dxa"/>
            <w:vAlign w:val="center"/>
          </w:tcPr>
          <w:p w14:paraId="1364B179" w14:textId="77777777" w:rsidR="00D175E9" w:rsidRPr="00ED0B51" w:rsidRDefault="00D175E9" w:rsidP="00846DA7">
            <w:pPr>
              <w:pStyle w:val="naisf"/>
              <w:spacing w:before="0" w:after="0"/>
              <w:ind w:firstLine="0"/>
              <w:jc w:val="center"/>
              <w:rPr>
                <w:bCs/>
                <w:sz w:val="26"/>
                <w:szCs w:val="26"/>
              </w:rPr>
            </w:pPr>
            <w:r w:rsidRPr="00ED0B51">
              <w:rPr>
                <w:bCs/>
                <w:sz w:val="26"/>
                <w:szCs w:val="26"/>
              </w:rPr>
              <w:t>2</w:t>
            </w:r>
          </w:p>
        </w:tc>
        <w:tc>
          <w:tcPr>
            <w:tcW w:w="1543" w:type="dxa"/>
            <w:vAlign w:val="center"/>
          </w:tcPr>
          <w:p w14:paraId="18F92103" w14:textId="77777777" w:rsidR="00D175E9" w:rsidRPr="00ED0B51" w:rsidRDefault="00D175E9" w:rsidP="00846DA7">
            <w:pPr>
              <w:pStyle w:val="naisf"/>
              <w:spacing w:before="0" w:after="0"/>
              <w:ind w:firstLine="0"/>
              <w:jc w:val="center"/>
              <w:rPr>
                <w:bCs/>
                <w:sz w:val="26"/>
                <w:szCs w:val="26"/>
              </w:rPr>
            </w:pPr>
            <w:r w:rsidRPr="00ED0B51">
              <w:rPr>
                <w:bCs/>
                <w:sz w:val="26"/>
                <w:szCs w:val="26"/>
              </w:rPr>
              <w:t>3</w:t>
            </w:r>
          </w:p>
        </w:tc>
        <w:tc>
          <w:tcPr>
            <w:tcW w:w="1150" w:type="dxa"/>
            <w:vAlign w:val="center"/>
          </w:tcPr>
          <w:p w14:paraId="28743074" w14:textId="77777777" w:rsidR="00D175E9" w:rsidRPr="00ED0B51" w:rsidRDefault="00D175E9" w:rsidP="00846DA7">
            <w:pPr>
              <w:pStyle w:val="naisf"/>
              <w:spacing w:before="0" w:after="0"/>
              <w:ind w:firstLine="0"/>
              <w:jc w:val="center"/>
              <w:rPr>
                <w:bCs/>
                <w:sz w:val="26"/>
                <w:szCs w:val="26"/>
              </w:rPr>
            </w:pPr>
            <w:r w:rsidRPr="00ED0B51">
              <w:rPr>
                <w:bCs/>
                <w:sz w:val="26"/>
                <w:szCs w:val="26"/>
              </w:rPr>
              <w:t>4</w:t>
            </w:r>
          </w:p>
        </w:tc>
        <w:tc>
          <w:tcPr>
            <w:tcW w:w="1195" w:type="dxa"/>
            <w:vAlign w:val="center"/>
          </w:tcPr>
          <w:p w14:paraId="0C73AD1B" w14:textId="77777777" w:rsidR="00D175E9" w:rsidRPr="00ED0B51" w:rsidRDefault="00D175E9" w:rsidP="00846DA7">
            <w:pPr>
              <w:pStyle w:val="naisf"/>
              <w:spacing w:before="0" w:after="0"/>
              <w:ind w:firstLine="0"/>
              <w:jc w:val="center"/>
              <w:rPr>
                <w:bCs/>
                <w:sz w:val="26"/>
                <w:szCs w:val="26"/>
              </w:rPr>
            </w:pPr>
            <w:r w:rsidRPr="00ED0B51">
              <w:rPr>
                <w:bCs/>
                <w:sz w:val="26"/>
                <w:szCs w:val="26"/>
              </w:rPr>
              <w:t>5</w:t>
            </w:r>
          </w:p>
        </w:tc>
        <w:tc>
          <w:tcPr>
            <w:tcW w:w="1150" w:type="dxa"/>
            <w:vAlign w:val="center"/>
          </w:tcPr>
          <w:p w14:paraId="4CC4ABEA" w14:textId="77777777" w:rsidR="00D175E9" w:rsidRPr="00ED0B51" w:rsidRDefault="00D175E9" w:rsidP="00846DA7">
            <w:pPr>
              <w:pStyle w:val="naisf"/>
              <w:spacing w:before="0" w:after="0"/>
              <w:ind w:firstLine="0"/>
              <w:jc w:val="center"/>
              <w:rPr>
                <w:bCs/>
                <w:sz w:val="26"/>
                <w:szCs w:val="26"/>
              </w:rPr>
            </w:pPr>
            <w:r w:rsidRPr="00ED0B51">
              <w:rPr>
                <w:bCs/>
                <w:sz w:val="26"/>
                <w:szCs w:val="26"/>
              </w:rPr>
              <w:t>6</w:t>
            </w:r>
          </w:p>
        </w:tc>
      </w:tr>
      <w:tr w:rsidR="00ED0B51" w:rsidRPr="00ED0B51" w14:paraId="4DA3313C" w14:textId="77777777" w:rsidTr="0089091C">
        <w:trPr>
          <w:jc w:val="center"/>
        </w:trPr>
        <w:tc>
          <w:tcPr>
            <w:tcW w:w="3199" w:type="dxa"/>
          </w:tcPr>
          <w:p w14:paraId="2825628C" w14:textId="77777777" w:rsidR="00D175E9" w:rsidRPr="00ED0B51" w:rsidRDefault="00D175E9" w:rsidP="00846DA7">
            <w:pPr>
              <w:pStyle w:val="naisf"/>
              <w:spacing w:before="0" w:after="0"/>
              <w:ind w:firstLine="0"/>
              <w:jc w:val="left"/>
              <w:rPr>
                <w:i/>
                <w:sz w:val="26"/>
                <w:szCs w:val="26"/>
              </w:rPr>
            </w:pPr>
            <w:r w:rsidRPr="00ED0B51">
              <w:rPr>
                <w:sz w:val="26"/>
                <w:szCs w:val="26"/>
              </w:rPr>
              <w:t>1. Budžeta ieņēmumi:</w:t>
            </w:r>
          </w:p>
        </w:tc>
        <w:tc>
          <w:tcPr>
            <w:tcW w:w="1276" w:type="dxa"/>
          </w:tcPr>
          <w:p w14:paraId="3D425227" w14:textId="77777777" w:rsidR="00D175E9" w:rsidRPr="00ED0B51" w:rsidRDefault="00CE5203" w:rsidP="00846DA7">
            <w:pPr>
              <w:pStyle w:val="naisf"/>
              <w:spacing w:before="0" w:after="0"/>
              <w:ind w:firstLine="0"/>
              <w:jc w:val="center"/>
              <w:rPr>
                <w:b/>
                <w:i/>
                <w:sz w:val="26"/>
                <w:szCs w:val="26"/>
              </w:rPr>
            </w:pPr>
            <w:r w:rsidRPr="00ED0B51">
              <w:rPr>
                <w:sz w:val="26"/>
                <w:szCs w:val="26"/>
              </w:rPr>
              <w:t>0</w:t>
            </w:r>
          </w:p>
        </w:tc>
        <w:tc>
          <w:tcPr>
            <w:tcW w:w="1543" w:type="dxa"/>
          </w:tcPr>
          <w:p w14:paraId="34566BF9" w14:textId="77777777" w:rsidR="00D175E9" w:rsidRPr="00ED0B51" w:rsidRDefault="00CE5203" w:rsidP="00846DA7">
            <w:pPr>
              <w:pStyle w:val="naisf"/>
              <w:spacing w:before="0" w:after="0"/>
              <w:ind w:firstLine="0"/>
              <w:jc w:val="center"/>
              <w:rPr>
                <w:b/>
                <w:i/>
                <w:sz w:val="26"/>
                <w:szCs w:val="26"/>
              </w:rPr>
            </w:pPr>
            <w:r w:rsidRPr="00ED0B51">
              <w:rPr>
                <w:sz w:val="26"/>
                <w:szCs w:val="26"/>
              </w:rPr>
              <w:t>0</w:t>
            </w:r>
          </w:p>
        </w:tc>
        <w:tc>
          <w:tcPr>
            <w:tcW w:w="1150" w:type="dxa"/>
          </w:tcPr>
          <w:p w14:paraId="72790612" w14:textId="77777777" w:rsidR="00D175E9" w:rsidRPr="00ED0B51" w:rsidRDefault="00CE5203" w:rsidP="00846DA7">
            <w:pPr>
              <w:pStyle w:val="naisf"/>
              <w:spacing w:before="0" w:after="0"/>
              <w:ind w:firstLine="0"/>
              <w:jc w:val="center"/>
              <w:rPr>
                <w:b/>
                <w:i/>
                <w:sz w:val="26"/>
                <w:szCs w:val="26"/>
              </w:rPr>
            </w:pPr>
            <w:r w:rsidRPr="00ED0B51">
              <w:rPr>
                <w:sz w:val="26"/>
                <w:szCs w:val="26"/>
              </w:rPr>
              <w:t>0</w:t>
            </w:r>
          </w:p>
        </w:tc>
        <w:tc>
          <w:tcPr>
            <w:tcW w:w="1195" w:type="dxa"/>
          </w:tcPr>
          <w:p w14:paraId="27EADFD8" w14:textId="77777777" w:rsidR="00D175E9" w:rsidRPr="00ED0B51" w:rsidRDefault="00CE5203" w:rsidP="00846DA7">
            <w:pPr>
              <w:pStyle w:val="naisf"/>
              <w:spacing w:before="0" w:after="0"/>
              <w:ind w:firstLine="0"/>
              <w:jc w:val="center"/>
              <w:rPr>
                <w:b/>
                <w:i/>
                <w:sz w:val="26"/>
                <w:szCs w:val="26"/>
              </w:rPr>
            </w:pPr>
            <w:r w:rsidRPr="00ED0B51">
              <w:rPr>
                <w:sz w:val="26"/>
                <w:szCs w:val="26"/>
              </w:rPr>
              <w:t>0</w:t>
            </w:r>
          </w:p>
        </w:tc>
        <w:tc>
          <w:tcPr>
            <w:tcW w:w="1150" w:type="dxa"/>
          </w:tcPr>
          <w:p w14:paraId="789A2C52" w14:textId="77777777" w:rsidR="00D175E9" w:rsidRPr="00ED0B51" w:rsidRDefault="00CE5203" w:rsidP="00846DA7">
            <w:pPr>
              <w:pStyle w:val="naisf"/>
              <w:spacing w:before="0" w:after="0"/>
              <w:ind w:firstLine="0"/>
              <w:jc w:val="center"/>
              <w:rPr>
                <w:b/>
                <w:i/>
                <w:sz w:val="26"/>
                <w:szCs w:val="26"/>
              </w:rPr>
            </w:pPr>
            <w:r w:rsidRPr="00ED0B51">
              <w:rPr>
                <w:sz w:val="26"/>
                <w:szCs w:val="26"/>
              </w:rPr>
              <w:t>0</w:t>
            </w:r>
          </w:p>
        </w:tc>
      </w:tr>
      <w:tr w:rsidR="00ED0B51" w:rsidRPr="00ED0B51" w14:paraId="0621B201" w14:textId="77777777" w:rsidTr="0089091C">
        <w:trPr>
          <w:jc w:val="center"/>
        </w:trPr>
        <w:tc>
          <w:tcPr>
            <w:tcW w:w="3199" w:type="dxa"/>
          </w:tcPr>
          <w:p w14:paraId="08A4B6EC" w14:textId="77777777" w:rsidR="00D175E9" w:rsidRPr="00ED0B51" w:rsidRDefault="00D175E9" w:rsidP="00846DA7">
            <w:pPr>
              <w:pStyle w:val="naisf"/>
              <w:spacing w:before="0" w:after="0"/>
              <w:ind w:firstLine="0"/>
              <w:jc w:val="left"/>
              <w:rPr>
                <w:i/>
                <w:sz w:val="26"/>
                <w:szCs w:val="26"/>
              </w:rPr>
            </w:pPr>
            <w:r w:rsidRPr="00ED0B51">
              <w:rPr>
                <w:sz w:val="26"/>
                <w:szCs w:val="26"/>
              </w:rPr>
              <w:t xml:space="preserve">1.1. valsts pamatbudžets, </w:t>
            </w:r>
            <w:r w:rsidRPr="00ED0B51">
              <w:rPr>
                <w:sz w:val="26"/>
                <w:szCs w:val="26"/>
              </w:rPr>
              <w:lastRenderedPageBreak/>
              <w:t>tai skaitā ieņēmumi no maksas pakalpojumiem un citi pašu ieņēmumi</w:t>
            </w:r>
          </w:p>
        </w:tc>
        <w:tc>
          <w:tcPr>
            <w:tcW w:w="1276" w:type="dxa"/>
          </w:tcPr>
          <w:p w14:paraId="320A3355" w14:textId="77777777" w:rsidR="00D175E9" w:rsidRPr="00ED0B51" w:rsidRDefault="00CE5203" w:rsidP="00846DA7">
            <w:pPr>
              <w:pStyle w:val="naisf"/>
              <w:spacing w:before="0" w:after="0"/>
              <w:ind w:firstLine="0"/>
              <w:jc w:val="center"/>
              <w:rPr>
                <w:b/>
                <w:i/>
                <w:sz w:val="26"/>
                <w:szCs w:val="26"/>
              </w:rPr>
            </w:pPr>
            <w:r w:rsidRPr="00ED0B51">
              <w:rPr>
                <w:sz w:val="26"/>
                <w:szCs w:val="26"/>
              </w:rPr>
              <w:lastRenderedPageBreak/>
              <w:t>0</w:t>
            </w:r>
          </w:p>
        </w:tc>
        <w:tc>
          <w:tcPr>
            <w:tcW w:w="1543" w:type="dxa"/>
          </w:tcPr>
          <w:p w14:paraId="4C60152D" w14:textId="77777777" w:rsidR="00D175E9" w:rsidRPr="00ED0B51" w:rsidRDefault="00CE5203" w:rsidP="00846DA7">
            <w:pPr>
              <w:pStyle w:val="naisf"/>
              <w:spacing w:before="0" w:after="0"/>
              <w:ind w:firstLine="0"/>
              <w:jc w:val="center"/>
              <w:rPr>
                <w:b/>
                <w:i/>
                <w:sz w:val="26"/>
                <w:szCs w:val="26"/>
              </w:rPr>
            </w:pPr>
            <w:r w:rsidRPr="00ED0B51">
              <w:rPr>
                <w:sz w:val="26"/>
                <w:szCs w:val="26"/>
              </w:rPr>
              <w:t>0</w:t>
            </w:r>
          </w:p>
        </w:tc>
        <w:tc>
          <w:tcPr>
            <w:tcW w:w="1150" w:type="dxa"/>
          </w:tcPr>
          <w:p w14:paraId="1D193C43" w14:textId="77777777" w:rsidR="00D175E9" w:rsidRPr="00ED0B51" w:rsidRDefault="00CE5203" w:rsidP="00846DA7">
            <w:pPr>
              <w:pStyle w:val="naisf"/>
              <w:spacing w:before="0" w:after="0"/>
              <w:ind w:firstLine="0"/>
              <w:jc w:val="center"/>
              <w:rPr>
                <w:b/>
                <w:i/>
                <w:sz w:val="26"/>
                <w:szCs w:val="26"/>
              </w:rPr>
            </w:pPr>
            <w:r w:rsidRPr="00ED0B51">
              <w:rPr>
                <w:sz w:val="26"/>
                <w:szCs w:val="26"/>
              </w:rPr>
              <w:t>0</w:t>
            </w:r>
          </w:p>
        </w:tc>
        <w:tc>
          <w:tcPr>
            <w:tcW w:w="1195" w:type="dxa"/>
          </w:tcPr>
          <w:p w14:paraId="6C2992CE" w14:textId="77777777" w:rsidR="00D175E9" w:rsidRPr="00ED0B51" w:rsidRDefault="00CE5203" w:rsidP="00846DA7">
            <w:pPr>
              <w:pStyle w:val="naisf"/>
              <w:spacing w:before="0" w:after="0"/>
              <w:ind w:firstLine="0"/>
              <w:jc w:val="center"/>
              <w:rPr>
                <w:b/>
                <w:i/>
                <w:sz w:val="26"/>
                <w:szCs w:val="26"/>
              </w:rPr>
            </w:pPr>
            <w:r w:rsidRPr="00ED0B51">
              <w:rPr>
                <w:sz w:val="26"/>
                <w:szCs w:val="26"/>
              </w:rPr>
              <w:t>0</w:t>
            </w:r>
          </w:p>
        </w:tc>
        <w:tc>
          <w:tcPr>
            <w:tcW w:w="1150" w:type="dxa"/>
          </w:tcPr>
          <w:p w14:paraId="11F1D915" w14:textId="77777777" w:rsidR="00D175E9" w:rsidRPr="00ED0B51" w:rsidRDefault="00CE5203" w:rsidP="00846DA7">
            <w:pPr>
              <w:pStyle w:val="naisf"/>
              <w:spacing w:before="0" w:after="0"/>
              <w:ind w:firstLine="0"/>
              <w:jc w:val="center"/>
              <w:rPr>
                <w:b/>
                <w:i/>
                <w:sz w:val="26"/>
                <w:szCs w:val="26"/>
              </w:rPr>
            </w:pPr>
            <w:r w:rsidRPr="00ED0B51">
              <w:rPr>
                <w:sz w:val="26"/>
                <w:szCs w:val="26"/>
              </w:rPr>
              <w:t>0</w:t>
            </w:r>
          </w:p>
        </w:tc>
      </w:tr>
      <w:tr w:rsidR="00ED0B51" w:rsidRPr="00ED0B51" w14:paraId="5F1CEA9F" w14:textId="77777777" w:rsidTr="0089091C">
        <w:trPr>
          <w:jc w:val="center"/>
        </w:trPr>
        <w:tc>
          <w:tcPr>
            <w:tcW w:w="3199" w:type="dxa"/>
          </w:tcPr>
          <w:p w14:paraId="55B68CC1" w14:textId="77777777" w:rsidR="00D175E9" w:rsidRPr="00ED0B51" w:rsidRDefault="00D175E9" w:rsidP="00846DA7">
            <w:pPr>
              <w:pStyle w:val="naisf"/>
              <w:spacing w:before="0" w:after="0"/>
              <w:ind w:firstLine="0"/>
              <w:jc w:val="left"/>
              <w:rPr>
                <w:i/>
                <w:sz w:val="26"/>
                <w:szCs w:val="26"/>
              </w:rPr>
            </w:pPr>
            <w:r w:rsidRPr="00ED0B51">
              <w:rPr>
                <w:sz w:val="26"/>
                <w:szCs w:val="26"/>
              </w:rPr>
              <w:lastRenderedPageBreak/>
              <w:t>1.2. valsts speciālais budžets</w:t>
            </w:r>
          </w:p>
        </w:tc>
        <w:tc>
          <w:tcPr>
            <w:tcW w:w="1276" w:type="dxa"/>
          </w:tcPr>
          <w:p w14:paraId="5742B163" w14:textId="77777777" w:rsidR="00D175E9" w:rsidRPr="00ED0B51" w:rsidRDefault="00CE5203" w:rsidP="00846DA7">
            <w:pPr>
              <w:pStyle w:val="naisf"/>
              <w:spacing w:before="0" w:after="0"/>
              <w:ind w:firstLine="0"/>
              <w:jc w:val="center"/>
              <w:rPr>
                <w:b/>
                <w:i/>
                <w:sz w:val="26"/>
                <w:szCs w:val="26"/>
              </w:rPr>
            </w:pPr>
            <w:r w:rsidRPr="00ED0B51">
              <w:rPr>
                <w:sz w:val="26"/>
                <w:szCs w:val="26"/>
              </w:rPr>
              <w:t>0</w:t>
            </w:r>
          </w:p>
        </w:tc>
        <w:tc>
          <w:tcPr>
            <w:tcW w:w="1543" w:type="dxa"/>
          </w:tcPr>
          <w:p w14:paraId="349C04AC" w14:textId="77777777" w:rsidR="00D175E9" w:rsidRPr="00ED0B51" w:rsidRDefault="00CE5203" w:rsidP="00846DA7">
            <w:pPr>
              <w:pStyle w:val="naisf"/>
              <w:spacing w:before="0" w:after="0"/>
              <w:ind w:firstLine="0"/>
              <w:jc w:val="center"/>
              <w:rPr>
                <w:b/>
                <w:i/>
                <w:sz w:val="26"/>
                <w:szCs w:val="26"/>
              </w:rPr>
            </w:pPr>
            <w:r w:rsidRPr="00ED0B51">
              <w:rPr>
                <w:sz w:val="26"/>
                <w:szCs w:val="26"/>
              </w:rPr>
              <w:t>0</w:t>
            </w:r>
          </w:p>
        </w:tc>
        <w:tc>
          <w:tcPr>
            <w:tcW w:w="1150" w:type="dxa"/>
          </w:tcPr>
          <w:p w14:paraId="606C0EED" w14:textId="77777777" w:rsidR="00D175E9" w:rsidRPr="00ED0B51" w:rsidRDefault="00CE5203" w:rsidP="00846DA7">
            <w:pPr>
              <w:pStyle w:val="naisf"/>
              <w:spacing w:before="0" w:after="0"/>
              <w:ind w:firstLine="0"/>
              <w:jc w:val="center"/>
              <w:rPr>
                <w:b/>
                <w:i/>
                <w:sz w:val="26"/>
                <w:szCs w:val="26"/>
              </w:rPr>
            </w:pPr>
            <w:r w:rsidRPr="00ED0B51">
              <w:rPr>
                <w:sz w:val="26"/>
                <w:szCs w:val="26"/>
              </w:rPr>
              <w:t>0</w:t>
            </w:r>
          </w:p>
        </w:tc>
        <w:tc>
          <w:tcPr>
            <w:tcW w:w="1195" w:type="dxa"/>
          </w:tcPr>
          <w:p w14:paraId="2C858F23" w14:textId="77777777" w:rsidR="00D175E9" w:rsidRPr="00ED0B51" w:rsidRDefault="00CE5203" w:rsidP="00846DA7">
            <w:pPr>
              <w:pStyle w:val="naisf"/>
              <w:spacing w:before="0" w:after="0"/>
              <w:ind w:firstLine="0"/>
              <w:jc w:val="center"/>
              <w:rPr>
                <w:b/>
                <w:i/>
                <w:sz w:val="26"/>
                <w:szCs w:val="26"/>
              </w:rPr>
            </w:pPr>
            <w:r w:rsidRPr="00ED0B51">
              <w:rPr>
                <w:sz w:val="26"/>
                <w:szCs w:val="26"/>
              </w:rPr>
              <w:t>0</w:t>
            </w:r>
          </w:p>
        </w:tc>
        <w:tc>
          <w:tcPr>
            <w:tcW w:w="1150" w:type="dxa"/>
          </w:tcPr>
          <w:p w14:paraId="1AD100EB" w14:textId="77777777" w:rsidR="00D175E9" w:rsidRPr="00ED0B51" w:rsidRDefault="00CE5203" w:rsidP="00846DA7">
            <w:pPr>
              <w:pStyle w:val="naisf"/>
              <w:spacing w:before="0" w:after="0"/>
              <w:ind w:firstLine="0"/>
              <w:jc w:val="center"/>
              <w:rPr>
                <w:b/>
                <w:i/>
                <w:sz w:val="26"/>
                <w:szCs w:val="26"/>
              </w:rPr>
            </w:pPr>
            <w:r w:rsidRPr="00ED0B51">
              <w:rPr>
                <w:sz w:val="26"/>
                <w:szCs w:val="26"/>
              </w:rPr>
              <w:t>0</w:t>
            </w:r>
          </w:p>
        </w:tc>
      </w:tr>
      <w:tr w:rsidR="00ED0B51" w:rsidRPr="00ED0B51" w14:paraId="49EAC3D4" w14:textId="77777777" w:rsidTr="0089091C">
        <w:trPr>
          <w:jc w:val="center"/>
        </w:trPr>
        <w:tc>
          <w:tcPr>
            <w:tcW w:w="3199" w:type="dxa"/>
          </w:tcPr>
          <w:p w14:paraId="7361B8E4" w14:textId="77777777" w:rsidR="00D175E9" w:rsidRPr="00ED0B51" w:rsidRDefault="00D175E9" w:rsidP="00846DA7">
            <w:pPr>
              <w:pStyle w:val="naisf"/>
              <w:spacing w:before="0" w:after="0"/>
              <w:ind w:firstLine="0"/>
              <w:jc w:val="left"/>
              <w:rPr>
                <w:i/>
                <w:sz w:val="26"/>
                <w:szCs w:val="26"/>
              </w:rPr>
            </w:pPr>
            <w:r w:rsidRPr="00ED0B51">
              <w:rPr>
                <w:sz w:val="26"/>
                <w:szCs w:val="26"/>
              </w:rPr>
              <w:t>1.3. pašvaldību budžets</w:t>
            </w:r>
          </w:p>
        </w:tc>
        <w:tc>
          <w:tcPr>
            <w:tcW w:w="1276" w:type="dxa"/>
          </w:tcPr>
          <w:p w14:paraId="06FEE896" w14:textId="77777777" w:rsidR="00D175E9" w:rsidRPr="00ED0B51" w:rsidRDefault="00CE5203" w:rsidP="00846DA7">
            <w:pPr>
              <w:pStyle w:val="naisf"/>
              <w:spacing w:before="0" w:after="0"/>
              <w:ind w:firstLine="0"/>
              <w:jc w:val="center"/>
              <w:rPr>
                <w:b/>
                <w:i/>
                <w:sz w:val="26"/>
                <w:szCs w:val="26"/>
              </w:rPr>
            </w:pPr>
            <w:r w:rsidRPr="00ED0B51">
              <w:rPr>
                <w:sz w:val="26"/>
                <w:szCs w:val="26"/>
              </w:rPr>
              <w:t>0</w:t>
            </w:r>
          </w:p>
        </w:tc>
        <w:tc>
          <w:tcPr>
            <w:tcW w:w="1543" w:type="dxa"/>
          </w:tcPr>
          <w:p w14:paraId="7C2D6960" w14:textId="77777777" w:rsidR="00D175E9" w:rsidRPr="00ED0B51" w:rsidRDefault="00CE5203" w:rsidP="00846DA7">
            <w:pPr>
              <w:pStyle w:val="naisf"/>
              <w:spacing w:before="0" w:after="0"/>
              <w:ind w:firstLine="0"/>
              <w:jc w:val="center"/>
              <w:rPr>
                <w:b/>
                <w:i/>
                <w:sz w:val="26"/>
                <w:szCs w:val="26"/>
              </w:rPr>
            </w:pPr>
            <w:r w:rsidRPr="00ED0B51">
              <w:rPr>
                <w:sz w:val="26"/>
                <w:szCs w:val="26"/>
              </w:rPr>
              <w:t>0</w:t>
            </w:r>
          </w:p>
        </w:tc>
        <w:tc>
          <w:tcPr>
            <w:tcW w:w="1150" w:type="dxa"/>
          </w:tcPr>
          <w:p w14:paraId="7530927D" w14:textId="77777777" w:rsidR="00D175E9" w:rsidRPr="00ED0B51" w:rsidRDefault="00CE5203" w:rsidP="00846DA7">
            <w:pPr>
              <w:pStyle w:val="naisf"/>
              <w:spacing w:before="0" w:after="0"/>
              <w:ind w:firstLine="0"/>
              <w:jc w:val="center"/>
              <w:rPr>
                <w:b/>
                <w:i/>
                <w:sz w:val="26"/>
                <w:szCs w:val="26"/>
              </w:rPr>
            </w:pPr>
            <w:r w:rsidRPr="00ED0B51">
              <w:rPr>
                <w:sz w:val="26"/>
                <w:szCs w:val="26"/>
              </w:rPr>
              <w:t>0</w:t>
            </w:r>
          </w:p>
        </w:tc>
        <w:tc>
          <w:tcPr>
            <w:tcW w:w="1195" w:type="dxa"/>
          </w:tcPr>
          <w:p w14:paraId="6370C71C" w14:textId="77777777" w:rsidR="00D175E9" w:rsidRPr="00ED0B51" w:rsidRDefault="00CE5203" w:rsidP="00846DA7">
            <w:pPr>
              <w:pStyle w:val="naisf"/>
              <w:spacing w:before="0" w:after="0"/>
              <w:ind w:firstLine="0"/>
              <w:jc w:val="center"/>
              <w:rPr>
                <w:b/>
                <w:i/>
                <w:sz w:val="26"/>
                <w:szCs w:val="26"/>
              </w:rPr>
            </w:pPr>
            <w:r w:rsidRPr="00ED0B51">
              <w:rPr>
                <w:sz w:val="26"/>
                <w:szCs w:val="26"/>
              </w:rPr>
              <w:t>0</w:t>
            </w:r>
          </w:p>
        </w:tc>
        <w:tc>
          <w:tcPr>
            <w:tcW w:w="1150" w:type="dxa"/>
          </w:tcPr>
          <w:p w14:paraId="78936731" w14:textId="77777777" w:rsidR="00D175E9" w:rsidRPr="00ED0B51" w:rsidRDefault="00CE5203" w:rsidP="00846DA7">
            <w:pPr>
              <w:pStyle w:val="naisf"/>
              <w:spacing w:before="0" w:after="0"/>
              <w:ind w:firstLine="0"/>
              <w:jc w:val="center"/>
              <w:rPr>
                <w:b/>
                <w:i/>
                <w:sz w:val="26"/>
                <w:szCs w:val="26"/>
              </w:rPr>
            </w:pPr>
            <w:r w:rsidRPr="00ED0B51">
              <w:rPr>
                <w:sz w:val="26"/>
                <w:szCs w:val="26"/>
              </w:rPr>
              <w:t>0</w:t>
            </w:r>
          </w:p>
        </w:tc>
      </w:tr>
      <w:tr w:rsidR="00ED0B51" w:rsidRPr="00ED0B51" w14:paraId="2748240C" w14:textId="77777777" w:rsidTr="0089091C">
        <w:trPr>
          <w:jc w:val="center"/>
        </w:trPr>
        <w:tc>
          <w:tcPr>
            <w:tcW w:w="3199" w:type="dxa"/>
          </w:tcPr>
          <w:p w14:paraId="4E676DC3" w14:textId="77777777" w:rsidR="00D175E9" w:rsidRPr="00ED0B51" w:rsidRDefault="00D175E9" w:rsidP="001942D4">
            <w:pPr>
              <w:rPr>
                <w:sz w:val="26"/>
                <w:szCs w:val="26"/>
              </w:rPr>
            </w:pPr>
            <w:r w:rsidRPr="00ED0B51">
              <w:rPr>
                <w:sz w:val="26"/>
                <w:szCs w:val="26"/>
              </w:rPr>
              <w:t>2. Budžeta izdevumi:</w:t>
            </w:r>
          </w:p>
        </w:tc>
        <w:tc>
          <w:tcPr>
            <w:tcW w:w="1276" w:type="dxa"/>
          </w:tcPr>
          <w:p w14:paraId="70EAB232" w14:textId="77777777" w:rsidR="00D175E9" w:rsidRPr="00ED0B51" w:rsidRDefault="00CE5203" w:rsidP="00846DA7">
            <w:pPr>
              <w:pStyle w:val="naisf"/>
              <w:spacing w:before="0" w:after="0"/>
              <w:ind w:firstLine="0"/>
              <w:jc w:val="center"/>
              <w:rPr>
                <w:b/>
                <w:i/>
                <w:sz w:val="26"/>
                <w:szCs w:val="26"/>
              </w:rPr>
            </w:pPr>
            <w:r w:rsidRPr="00ED0B51">
              <w:rPr>
                <w:sz w:val="26"/>
                <w:szCs w:val="26"/>
              </w:rPr>
              <w:t>0</w:t>
            </w:r>
          </w:p>
        </w:tc>
        <w:tc>
          <w:tcPr>
            <w:tcW w:w="1543" w:type="dxa"/>
          </w:tcPr>
          <w:p w14:paraId="76C318A1" w14:textId="77777777" w:rsidR="00D175E9" w:rsidRPr="00ED0B51" w:rsidRDefault="00CE5203" w:rsidP="00846DA7">
            <w:pPr>
              <w:pStyle w:val="naisf"/>
              <w:spacing w:before="0" w:after="0"/>
              <w:ind w:firstLine="0"/>
              <w:jc w:val="center"/>
              <w:rPr>
                <w:b/>
                <w:i/>
                <w:sz w:val="26"/>
                <w:szCs w:val="26"/>
              </w:rPr>
            </w:pPr>
            <w:r w:rsidRPr="00ED0B51">
              <w:rPr>
                <w:sz w:val="26"/>
                <w:szCs w:val="26"/>
              </w:rPr>
              <w:t>0</w:t>
            </w:r>
          </w:p>
        </w:tc>
        <w:tc>
          <w:tcPr>
            <w:tcW w:w="1150" w:type="dxa"/>
          </w:tcPr>
          <w:p w14:paraId="3594CB0E" w14:textId="77777777" w:rsidR="00D175E9" w:rsidRPr="00ED0B51" w:rsidRDefault="00CE5203" w:rsidP="00846DA7">
            <w:pPr>
              <w:pStyle w:val="naisf"/>
              <w:spacing w:before="0" w:after="0"/>
              <w:ind w:firstLine="0"/>
              <w:jc w:val="center"/>
              <w:rPr>
                <w:b/>
                <w:i/>
                <w:sz w:val="26"/>
                <w:szCs w:val="26"/>
              </w:rPr>
            </w:pPr>
            <w:r w:rsidRPr="00ED0B51">
              <w:rPr>
                <w:sz w:val="26"/>
                <w:szCs w:val="26"/>
              </w:rPr>
              <w:t>0</w:t>
            </w:r>
          </w:p>
        </w:tc>
        <w:tc>
          <w:tcPr>
            <w:tcW w:w="1195" w:type="dxa"/>
          </w:tcPr>
          <w:p w14:paraId="283EA796" w14:textId="77777777" w:rsidR="00D175E9" w:rsidRPr="00ED0B51" w:rsidRDefault="00CE5203" w:rsidP="00846DA7">
            <w:pPr>
              <w:pStyle w:val="naisf"/>
              <w:spacing w:before="0" w:after="0"/>
              <w:ind w:firstLine="0"/>
              <w:jc w:val="center"/>
              <w:rPr>
                <w:b/>
                <w:i/>
                <w:sz w:val="26"/>
                <w:szCs w:val="26"/>
              </w:rPr>
            </w:pPr>
            <w:r w:rsidRPr="00ED0B51">
              <w:rPr>
                <w:sz w:val="26"/>
                <w:szCs w:val="26"/>
              </w:rPr>
              <w:t>0</w:t>
            </w:r>
          </w:p>
        </w:tc>
        <w:tc>
          <w:tcPr>
            <w:tcW w:w="1150" w:type="dxa"/>
          </w:tcPr>
          <w:p w14:paraId="06AFF49F" w14:textId="77777777" w:rsidR="00D175E9" w:rsidRPr="00ED0B51" w:rsidRDefault="00CE5203" w:rsidP="00846DA7">
            <w:pPr>
              <w:pStyle w:val="naisf"/>
              <w:spacing w:before="0" w:after="0"/>
              <w:ind w:firstLine="0"/>
              <w:jc w:val="center"/>
              <w:rPr>
                <w:b/>
                <w:i/>
                <w:sz w:val="26"/>
                <w:szCs w:val="26"/>
              </w:rPr>
            </w:pPr>
            <w:r w:rsidRPr="00ED0B51">
              <w:rPr>
                <w:sz w:val="26"/>
                <w:szCs w:val="26"/>
              </w:rPr>
              <w:t>0</w:t>
            </w:r>
          </w:p>
        </w:tc>
      </w:tr>
      <w:tr w:rsidR="00ED0B51" w:rsidRPr="00ED0B51" w14:paraId="15D8739C" w14:textId="77777777" w:rsidTr="0089091C">
        <w:trPr>
          <w:jc w:val="center"/>
        </w:trPr>
        <w:tc>
          <w:tcPr>
            <w:tcW w:w="3199" w:type="dxa"/>
          </w:tcPr>
          <w:p w14:paraId="159BA140" w14:textId="77777777" w:rsidR="00D175E9" w:rsidRPr="00ED0B51" w:rsidRDefault="00D175E9" w:rsidP="001942D4">
            <w:pPr>
              <w:rPr>
                <w:sz w:val="26"/>
                <w:szCs w:val="26"/>
              </w:rPr>
            </w:pPr>
            <w:r w:rsidRPr="00ED0B51">
              <w:rPr>
                <w:sz w:val="26"/>
                <w:szCs w:val="26"/>
              </w:rPr>
              <w:t>2.1. valsts pamatbudžets</w:t>
            </w:r>
          </w:p>
        </w:tc>
        <w:tc>
          <w:tcPr>
            <w:tcW w:w="1276" w:type="dxa"/>
          </w:tcPr>
          <w:p w14:paraId="0E85D345" w14:textId="77777777" w:rsidR="00D175E9" w:rsidRPr="00ED0B51" w:rsidRDefault="00CE5203" w:rsidP="00846DA7">
            <w:pPr>
              <w:pStyle w:val="naisf"/>
              <w:spacing w:before="0" w:after="0"/>
              <w:ind w:firstLine="0"/>
              <w:jc w:val="center"/>
              <w:rPr>
                <w:b/>
                <w:i/>
                <w:sz w:val="26"/>
                <w:szCs w:val="26"/>
              </w:rPr>
            </w:pPr>
            <w:r w:rsidRPr="00ED0B51">
              <w:rPr>
                <w:sz w:val="26"/>
                <w:szCs w:val="26"/>
              </w:rPr>
              <w:t>0</w:t>
            </w:r>
          </w:p>
        </w:tc>
        <w:tc>
          <w:tcPr>
            <w:tcW w:w="1543" w:type="dxa"/>
          </w:tcPr>
          <w:p w14:paraId="3F06A854" w14:textId="77777777" w:rsidR="00D175E9" w:rsidRPr="00ED0B51" w:rsidRDefault="00CE5203" w:rsidP="00846DA7">
            <w:pPr>
              <w:pStyle w:val="naisf"/>
              <w:spacing w:before="0" w:after="0"/>
              <w:ind w:firstLine="0"/>
              <w:jc w:val="center"/>
              <w:rPr>
                <w:b/>
                <w:i/>
                <w:sz w:val="26"/>
                <w:szCs w:val="26"/>
              </w:rPr>
            </w:pPr>
            <w:r w:rsidRPr="00ED0B51">
              <w:rPr>
                <w:sz w:val="26"/>
                <w:szCs w:val="26"/>
              </w:rPr>
              <w:t>0</w:t>
            </w:r>
          </w:p>
        </w:tc>
        <w:tc>
          <w:tcPr>
            <w:tcW w:w="1150" w:type="dxa"/>
          </w:tcPr>
          <w:p w14:paraId="7D746312" w14:textId="77777777" w:rsidR="00D175E9" w:rsidRPr="00ED0B51" w:rsidRDefault="00CE5203" w:rsidP="00846DA7">
            <w:pPr>
              <w:pStyle w:val="naisf"/>
              <w:spacing w:before="0" w:after="0"/>
              <w:ind w:firstLine="0"/>
              <w:jc w:val="center"/>
              <w:rPr>
                <w:b/>
                <w:i/>
                <w:sz w:val="26"/>
                <w:szCs w:val="26"/>
              </w:rPr>
            </w:pPr>
            <w:r w:rsidRPr="00ED0B51">
              <w:rPr>
                <w:sz w:val="26"/>
                <w:szCs w:val="26"/>
              </w:rPr>
              <w:t>0</w:t>
            </w:r>
          </w:p>
        </w:tc>
        <w:tc>
          <w:tcPr>
            <w:tcW w:w="1195" w:type="dxa"/>
          </w:tcPr>
          <w:p w14:paraId="7509B175" w14:textId="77777777" w:rsidR="00D175E9" w:rsidRPr="00ED0B51" w:rsidRDefault="00CE5203" w:rsidP="00846DA7">
            <w:pPr>
              <w:pStyle w:val="naisf"/>
              <w:spacing w:before="0" w:after="0"/>
              <w:ind w:firstLine="0"/>
              <w:jc w:val="center"/>
              <w:rPr>
                <w:b/>
                <w:i/>
                <w:sz w:val="26"/>
                <w:szCs w:val="26"/>
              </w:rPr>
            </w:pPr>
            <w:r w:rsidRPr="00ED0B51">
              <w:rPr>
                <w:sz w:val="26"/>
                <w:szCs w:val="26"/>
              </w:rPr>
              <w:t>0</w:t>
            </w:r>
          </w:p>
        </w:tc>
        <w:tc>
          <w:tcPr>
            <w:tcW w:w="1150" w:type="dxa"/>
          </w:tcPr>
          <w:p w14:paraId="0FE9C287" w14:textId="77777777" w:rsidR="00D175E9" w:rsidRPr="00ED0B51" w:rsidRDefault="00CE5203" w:rsidP="00846DA7">
            <w:pPr>
              <w:pStyle w:val="naisf"/>
              <w:spacing w:before="0" w:after="0"/>
              <w:ind w:firstLine="0"/>
              <w:jc w:val="center"/>
              <w:rPr>
                <w:b/>
                <w:i/>
                <w:sz w:val="26"/>
                <w:szCs w:val="26"/>
              </w:rPr>
            </w:pPr>
            <w:r w:rsidRPr="00ED0B51">
              <w:rPr>
                <w:sz w:val="26"/>
                <w:szCs w:val="26"/>
              </w:rPr>
              <w:t>0</w:t>
            </w:r>
          </w:p>
        </w:tc>
      </w:tr>
      <w:tr w:rsidR="00ED0B51" w:rsidRPr="00ED0B51" w14:paraId="6181C3EF" w14:textId="77777777" w:rsidTr="0089091C">
        <w:trPr>
          <w:jc w:val="center"/>
        </w:trPr>
        <w:tc>
          <w:tcPr>
            <w:tcW w:w="3199" w:type="dxa"/>
          </w:tcPr>
          <w:p w14:paraId="2BD7F4D9" w14:textId="77777777" w:rsidR="00D175E9" w:rsidRPr="00ED0B51" w:rsidRDefault="00D175E9" w:rsidP="001942D4">
            <w:pPr>
              <w:rPr>
                <w:sz w:val="26"/>
                <w:szCs w:val="26"/>
              </w:rPr>
            </w:pPr>
            <w:r w:rsidRPr="00ED0B51">
              <w:rPr>
                <w:sz w:val="26"/>
                <w:szCs w:val="26"/>
              </w:rPr>
              <w:t>2.2. valsts speciālais budžets</w:t>
            </w:r>
          </w:p>
        </w:tc>
        <w:tc>
          <w:tcPr>
            <w:tcW w:w="1276" w:type="dxa"/>
          </w:tcPr>
          <w:p w14:paraId="16D9061F" w14:textId="77777777" w:rsidR="00D175E9" w:rsidRPr="00ED0B51" w:rsidRDefault="00CE5203" w:rsidP="00846DA7">
            <w:pPr>
              <w:pStyle w:val="naisf"/>
              <w:spacing w:before="0" w:after="0"/>
              <w:ind w:firstLine="0"/>
              <w:jc w:val="center"/>
              <w:rPr>
                <w:b/>
                <w:i/>
                <w:sz w:val="26"/>
                <w:szCs w:val="26"/>
              </w:rPr>
            </w:pPr>
            <w:r w:rsidRPr="00ED0B51">
              <w:rPr>
                <w:sz w:val="26"/>
                <w:szCs w:val="26"/>
              </w:rPr>
              <w:t>0</w:t>
            </w:r>
          </w:p>
        </w:tc>
        <w:tc>
          <w:tcPr>
            <w:tcW w:w="1543" w:type="dxa"/>
          </w:tcPr>
          <w:p w14:paraId="1ECC8C36" w14:textId="77777777" w:rsidR="00D175E9" w:rsidRPr="00ED0B51" w:rsidRDefault="00CE5203" w:rsidP="00846DA7">
            <w:pPr>
              <w:pStyle w:val="naisf"/>
              <w:spacing w:before="0" w:after="0"/>
              <w:ind w:firstLine="0"/>
              <w:jc w:val="center"/>
              <w:rPr>
                <w:b/>
                <w:i/>
                <w:sz w:val="26"/>
                <w:szCs w:val="26"/>
              </w:rPr>
            </w:pPr>
            <w:r w:rsidRPr="00ED0B51">
              <w:rPr>
                <w:sz w:val="26"/>
                <w:szCs w:val="26"/>
              </w:rPr>
              <w:t>0</w:t>
            </w:r>
          </w:p>
        </w:tc>
        <w:tc>
          <w:tcPr>
            <w:tcW w:w="1150" w:type="dxa"/>
          </w:tcPr>
          <w:p w14:paraId="282BA8E5" w14:textId="77777777" w:rsidR="00D175E9" w:rsidRPr="00ED0B51" w:rsidRDefault="00CE5203" w:rsidP="00846DA7">
            <w:pPr>
              <w:pStyle w:val="naisf"/>
              <w:spacing w:before="0" w:after="0"/>
              <w:ind w:firstLine="0"/>
              <w:jc w:val="center"/>
              <w:rPr>
                <w:b/>
                <w:i/>
                <w:sz w:val="26"/>
                <w:szCs w:val="26"/>
              </w:rPr>
            </w:pPr>
            <w:r w:rsidRPr="00ED0B51">
              <w:rPr>
                <w:sz w:val="26"/>
                <w:szCs w:val="26"/>
              </w:rPr>
              <w:t>0</w:t>
            </w:r>
          </w:p>
        </w:tc>
        <w:tc>
          <w:tcPr>
            <w:tcW w:w="1195" w:type="dxa"/>
          </w:tcPr>
          <w:p w14:paraId="2DFB124A" w14:textId="77777777" w:rsidR="00D175E9" w:rsidRPr="00ED0B51" w:rsidRDefault="00CE5203" w:rsidP="00846DA7">
            <w:pPr>
              <w:pStyle w:val="naisf"/>
              <w:spacing w:before="0" w:after="0"/>
              <w:ind w:firstLine="0"/>
              <w:jc w:val="center"/>
              <w:rPr>
                <w:b/>
                <w:i/>
                <w:sz w:val="26"/>
                <w:szCs w:val="26"/>
              </w:rPr>
            </w:pPr>
            <w:r w:rsidRPr="00ED0B51">
              <w:rPr>
                <w:sz w:val="26"/>
                <w:szCs w:val="26"/>
              </w:rPr>
              <w:t>0</w:t>
            </w:r>
          </w:p>
        </w:tc>
        <w:tc>
          <w:tcPr>
            <w:tcW w:w="1150" w:type="dxa"/>
          </w:tcPr>
          <w:p w14:paraId="13F96419" w14:textId="77777777" w:rsidR="00D175E9" w:rsidRPr="00ED0B51" w:rsidRDefault="00CE5203" w:rsidP="00846DA7">
            <w:pPr>
              <w:pStyle w:val="naisf"/>
              <w:spacing w:before="0" w:after="0"/>
              <w:ind w:firstLine="0"/>
              <w:jc w:val="center"/>
              <w:rPr>
                <w:b/>
                <w:i/>
                <w:sz w:val="26"/>
                <w:szCs w:val="26"/>
              </w:rPr>
            </w:pPr>
            <w:r w:rsidRPr="00ED0B51">
              <w:rPr>
                <w:sz w:val="26"/>
                <w:szCs w:val="26"/>
              </w:rPr>
              <w:t>0</w:t>
            </w:r>
          </w:p>
        </w:tc>
      </w:tr>
      <w:tr w:rsidR="00ED0B51" w:rsidRPr="00ED0B51" w14:paraId="5136F3D4" w14:textId="77777777" w:rsidTr="0089091C">
        <w:trPr>
          <w:jc w:val="center"/>
        </w:trPr>
        <w:tc>
          <w:tcPr>
            <w:tcW w:w="3199" w:type="dxa"/>
          </w:tcPr>
          <w:p w14:paraId="4A469226" w14:textId="77777777" w:rsidR="00D175E9" w:rsidRPr="00ED0B51" w:rsidRDefault="00D175E9" w:rsidP="001942D4">
            <w:pPr>
              <w:rPr>
                <w:sz w:val="26"/>
                <w:szCs w:val="26"/>
              </w:rPr>
            </w:pPr>
            <w:r w:rsidRPr="00ED0B51">
              <w:rPr>
                <w:sz w:val="26"/>
                <w:szCs w:val="26"/>
              </w:rPr>
              <w:t xml:space="preserve">2.3. pašvaldību budžets </w:t>
            </w:r>
          </w:p>
        </w:tc>
        <w:tc>
          <w:tcPr>
            <w:tcW w:w="1276" w:type="dxa"/>
          </w:tcPr>
          <w:p w14:paraId="10618BFB" w14:textId="77777777" w:rsidR="00D175E9" w:rsidRPr="00ED0B51" w:rsidRDefault="00CE5203" w:rsidP="00846DA7">
            <w:pPr>
              <w:pStyle w:val="naisf"/>
              <w:spacing w:before="0" w:after="0"/>
              <w:ind w:firstLine="0"/>
              <w:jc w:val="center"/>
              <w:rPr>
                <w:b/>
                <w:i/>
                <w:sz w:val="26"/>
                <w:szCs w:val="26"/>
              </w:rPr>
            </w:pPr>
            <w:r w:rsidRPr="00ED0B51">
              <w:rPr>
                <w:sz w:val="26"/>
                <w:szCs w:val="26"/>
              </w:rPr>
              <w:t>0</w:t>
            </w:r>
          </w:p>
        </w:tc>
        <w:tc>
          <w:tcPr>
            <w:tcW w:w="1543" w:type="dxa"/>
          </w:tcPr>
          <w:p w14:paraId="0943DD4D" w14:textId="77777777" w:rsidR="00D175E9" w:rsidRPr="00ED0B51" w:rsidRDefault="00CE5203" w:rsidP="00846DA7">
            <w:pPr>
              <w:pStyle w:val="naisf"/>
              <w:spacing w:before="0" w:after="0"/>
              <w:ind w:firstLine="0"/>
              <w:jc w:val="center"/>
              <w:rPr>
                <w:b/>
                <w:i/>
                <w:sz w:val="26"/>
                <w:szCs w:val="26"/>
              </w:rPr>
            </w:pPr>
            <w:r w:rsidRPr="00ED0B51">
              <w:rPr>
                <w:sz w:val="26"/>
                <w:szCs w:val="26"/>
              </w:rPr>
              <w:t>0</w:t>
            </w:r>
          </w:p>
        </w:tc>
        <w:tc>
          <w:tcPr>
            <w:tcW w:w="1150" w:type="dxa"/>
          </w:tcPr>
          <w:p w14:paraId="0B8D8088" w14:textId="77777777" w:rsidR="00D175E9" w:rsidRPr="00ED0B51" w:rsidRDefault="00CE5203" w:rsidP="00846DA7">
            <w:pPr>
              <w:pStyle w:val="naisf"/>
              <w:spacing w:before="0" w:after="0"/>
              <w:ind w:firstLine="0"/>
              <w:jc w:val="center"/>
              <w:rPr>
                <w:b/>
                <w:i/>
                <w:sz w:val="26"/>
                <w:szCs w:val="26"/>
              </w:rPr>
            </w:pPr>
            <w:r w:rsidRPr="00ED0B51">
              <w:rPr>
                <w:sz w:val="26"/>
                <w:szCs w:val="26"/>
              </w:rPr>
              <w:t>0</w:t>
            </w:r>
          </w:p>
        </w:tc>
        <w:tc>
          <w:tcPr>
            <w:tcW w:w="1195" w:type="dxa"/>
          </w:tcPr>
          <w:p w14:paraId="4E88A5AA" w14:textId="77777777" w:rsidR="00D175E9" w:rsidRPr="00ED0B51" w:rsidRDefault="00CE5203" w:rsidP="00846DA7">
            <w:pPr>
              <w:pStyle w:val="naisf"/>
              <w:spacing w:before="0" w:after="0"/>
              <w:ind w:firstLine="0"/>
              <w:jc w:val="center"/>
              <w:rPr>
                <w:b/>
                <w:i/>
                <w:sz w:val="26"/>
                <w:szCs w:val="26"/>
              </w:rPr>
            </w:pPr>
            <w:r w:rsidRPr="00ED0B51">
              <w:rPr>
                <w:sz w:val="26"/>
                <w:szCs w:val="26"/>
              </w:rPr>
              <w:t>0</w:t>
            </w:r>
          </w:p>
        </w:tc>
        <w:tc>
          <w:tcPr>
            <w:tcW w:w="1150" w:type="dxa"/>
          </w:tcPr>
          <w:p w14:paraId="6B4856CD" w14:textId="77777777" w:rsidR="00D175E9" w:rsidRPr="00ED0B51" w:rsidRDefault="00CE5203" w:rsidP="00846DA7">
            <w:pPr>
              <w:pStyle w:val="naisf"/>
              <w:spacing w:before="0" w:after="0"/>
              <w:ind w:firstLine="0"/>
              <w:jc w:val="center"/>
              <w:rPr>
                <w:b/>
                <w:i/>
                <w:sz w:val="26"/>
                <w:szCs w:val="26"/>
              </w:rPr>
            </w:pPr>
            <w:r w:rsidRPr="00ED0B51">
              <w:rPr>
                <w:sz w:val="26"/>
                <w:szCs w:val="26"/>
              </w:rPr>
              <w:t>0</w:t>
            </w:r>
          </w:p>
        </w:tc>
      </w:tr>
      <w:tr w:rsidR="00ED0B51" w:rsidRPr="00ED0B51" w14:paraId="5BD5C18B" w14:textId="77777777" w:rsidTr="00F53350">
        <w:trPr>
          <w:jc w:val="center"/>
        </w:trPr>
        <w:tc>
          <w:tcPr>
            <w:tcW w:w="3199" w:type="dxa"/>
          </w:tcPr>
          <w:p w14:paraId="4434E182" w14:textId="77777777" w:rsidR="00CE5203" w:rsidRPr="00ED0B51" w:rsidRDefault="00CE5203" w:rsidP="001942D4">
            <w:pPr>
              <w:rPr>
                <w:sz w:val="26"/>
                <w:szCs w:val="26"/>
              </w:rPr>
            </w:pPr>
            <w:r w:rsidRPr="00ED0B51">
              <w:rPr>
                <w:sz w:val="26"/>
                <w:szCs w:val="26"/>
              </w:rPr>
              <w:t>3. Finansiālā ietekme:</w:t>
            </w:r>
          </w:p>
        </w:tc>
        <w:tc>
          <w:tcPr>
            <w:tcW w:w="1276" w:type="dxa"/>
            <w:shd w:val="clear" w:color="auto" w:fill="auto"/>
          </w:tcPr>
          <w:p w14:paraId="3BBC1BBB" w14:textId="77777777" w:rsidR="00CE5203" w:rsidRPr="00ED0B51" w:rsidRDefault="00CE5203" w:rsidP="00846DA7">
            <w:pPr>
              <w:pStyle w:val="naisf"/>
              <w:spacing w:before="0" w:after="0"/>
              <w:ind w:firstLine="0"/>
              <w:jc w:val="center"/>
              <w:rPr>
                <w:b/>
                <w:i/>
                <w:sz w:val="26"/>
                <w:szCs w:val="26"/>
              </w:rPr>
            </w:pPr>
            <w:r w:rsidRPr="00ED0B51">
              <w:rPr>
                <w:sz w:val="26"/>
                <w:szCs w:val="26"/>
              </w:rPr>
              <w:t>0</w:t>
            </w:r>
          </w:p>
        </w:tc>
        <w:tc>
          <w:tcPr>
            <w:tcW w:w="1543" w:type="dxa"/>
          </w:tcPr>
          <w:p w14:paraId="3A80B72A" w14:textId="77777777" w:rsidR="00CE5203" w:rsidRPr="00ED0B51" w:rsidRDefault="00CE5203" w:rsidP="00846DA7">
            <w:pPr>
              <w:pStyle w:val="naisf"/>
              <w:spacing w:before="0" w:after="0"/>
              <w:ind w:firstLine="0"/>
              <w:jc w:val="center"/>
              <w:rPr>
                <w:b/>
                <w:i/>
                <w:sz w:val="26"/>
                <w:szCs w:val="26"/>
              </w:rPr>
            </w:pPr>
            <w:r w:rsidRPr="00ED0B51">
              <w:rPr>
                <w:sz w:val="26"/>
                <w:szCs w:val="26"/>
              </w:rPr>
              <w:t>0</w:t>
            </w:r>
          </w:p>
        </w:tc>
        <w:tc>
          <w:tcPr>
            <w:tcW w:w="1150" w:type="dxa"/>
          </w:tcPr>
          <w:p w14:paraId="76FFA51D" w14:textId="77777777" w:rsidR="00CE5203" w:rsidRPr="00ED0B51" w:rsidRDefault="00CE5203" w:rsidP="00846DA7">
            <w:pPr>
              <w:pStyle w:val="naisf"/>
              <w:spacing w:before="0" w:after="0"/>
              <w:ind w:firstLine="0"/>
              <w:jc w:val="center"/>
              <w:rPr>
                <w:b/>
                <w:i/>
                <w:sz w:val="26"/>
                <w:szCs w:val="26"/>
              </w:rPr>
            </w:pPr>
            <w:r w:rsidRPr="00ED0B51">
              <w:rPr>
                <w:sz w:val="26"/>
                <w:szCs w:val="26"/>
              </w:rPr>
              <w:t>0</w:t>
            </w:r>
          </w:p>
        </w:tc>
        <w:tc>
          <w:tcPr>
            <w:tcW w:w="1195" w:type="dxa"/>
          </w:tcPr>
          <w:p w14:paraId="486E4817" w14:textId="77777777" w:rsidR="00CE5203" w:rsidRPr="00ED0B51" w:rsidRDefault="00CE5203" w:rsidP="00846DA7">
            <w:pPr>
              <w:pStyle w:val="naisf"/>
              <w:spacing w:before="0" w:after="0"/>
              <w:ind w:firstLine="0"/>
              <w:jc w:val="center"/>
              <w:rPr>
                <w:b/>
                <w:i/>
                <w:sz w:val="26"/>
                <w:szCs w:val="26"/>
              </w:rPr>
            </w:pPr>
            <w:r w:rsidRPr="00ED0B51">
              <w:rPr>
                <w:sz w:val="26"/>
                <w:szCs w:val="26"/>
              </w:rPr>
              <w:t>0</w:t>
            </w:r>
          </w:p>
        </w:tc>
        <w:tc>
          <w:tcPr>
            <w:tcW w:w="1150" w:type="dxa"/>
          </w:tcPr>
          <w:p w14:paraId="49D06C40" w14:textId="77777777" w:rsidR="00CE5203" w:rsidRPr="00ED0B51" w:rsidRDefault="00CE5203" w:rsidP="00846DA7">
            <w:pPr>
              <w:pStyle w:val="naisf"/>
              <w:spacing w:before="0" w:after="0"/>
              <w:ind w:firstLine="0"/>
              <w:jc w:val="center"/>
              <w:rPr>
                <w:b/>
                <w:i/>
                <w:sz w:val="26"/>
                <w:szCs w:val="26"/>
              </w:rPr>
            </w:pPr>
            <w:r w:rsidRPr="00ED0B51">
              <w:rPr>
                <w:sz w:val="26"/>
                <w:szCs w:val="26"/>
              </w:rPr>
              <w:t>0</w:t>
            </w:r>
          </w:p>
        </w:tc>
      </w:tr>
      <w:tr w:rsidR="00ED0B51" w:rsidRPr="00ED0B51" w14:paraId="191BC140" w14:textId="77777777" w:rsidTr="0089091C">
        <w:trPr>
          <w:jc w:val="center"/>
        </w:trPr>
        <w:tc>
          <w:tcPr>
            <w:tcW w:w="3199" w:type="dxa"/>
          </w:tcPr>
          <w:p w14:paraId="326ED9B9" w14:textId="77777777" w:rsidR="00D175E9" w:rsidRPr="00ED0B51" w:rsidRDefault="00D175E9" w:rsidP="001942D4">
            <w:pPr>
              <w:rPr>
                <w:sz w:val="26"/>
                <w:szCs w:val="26"/>
              </w:rPr>
            </w:pPr>
            <w:r w:rsidRPr="00ED0B51">
              <w:rPr>
                <w:sz w:val="26"/>
                <w:szCs w:val="26"/>
              </w:rPr>
              <w:t>3.1. valsts pamatbudžets</w:t>
            </w:r>
          </w:p>
        </w:tc>
        <w:tc>
          <w:tcPr>
            <w:tcW w:w="1276" w:type="dxa"/>
            <w:shd w:val="clear" w:color="auto" w:fill="auto"/>
          </w:tcPr>
          <w:p w14:paraId="61A35B15" w14:textId="77777777" w:rsidR="00D175E9" w:rsidRPr="00ED0B51" w:rsidRDefault="00CE5203" w:rsidP="00846DA7">
            <w:pPr>
              <w:pStyle w:val="naisf"/>
              <w:spacing w:before="0" w:after="0"/>
              <w:ind w:firstLine="0"/>
              <w:jc w:val="center"/>
              <w:rPr>
                <w:i/>
                <w:sz w:val="26"/>
                <w:szCs w:val="26"/>
              </w:rPr>
            </w:pPr>
            <w:r w:rsidRPr="00ED0B51">
              <w:rPr>
                <w:sz w:val="26"/>
                <w:szCs w:val="26"/>
              </w:rPr>
              <w:t>0</w:t>
            </w:r>
          </w:p>
        </w:tc>
        <w:tc>
          <w:tcPr>
            <w:tcW w:w="1543" w:type="dxa"/>
          </w:tcPr>
          <w:p w14:paraId="52EA1C67" w14:textId="77777777" w:rsidR="00D175E9" w:rsidRPr="00ED0B51" w:rsidRDefault="00CE5203" w:rsidP="00846DA7">
            <w:pPr>
              <w:pStyle w:val="naisf"/>
              <w:spacing w:before="0" w:after="0"/>
              <w:ind w:firstLine="0"/>
              <w:jc w:val="center"/>
              <w:rPr>
                <w:b/>
                <w:i/>
                <w:sz w:val="26"/>
                <w:szCs w:val="26"/>
              </w:rPr>
            </w:pPr>
            <w:r w:rsidRPr="00ED0B51">
              <w:rPr>
                <w:sz w:val="26"/>
                <w:szCs w:val="26"/>
              </w:rPr>
              <w:t>0</w:t>
            </w:r>
          </w:p>
        </w:tc>
        <w:tc>
          <w:tcPr>
            <w:tcW w:w="1150" w:type="dxa"/>
          </w:tcPr>
          <w:p w14:paraId="7A508B35" w14:textId="77777777" w:rsidR="00D175E9" w:rsidRPr="00ED0B51" w:rsidRDefault="00CE5203" w:rsidP="00846DA7">
            <w:pPr>
              <w:pStyle w:val="naisf"/>
              <w:spacing w:before="0" w:after="0"/>
              <w:ind w:firstLine="0"/>
              <w:jc w:val="center"/>
              <w:rPr>
                <w:b/>
                <w:i/>
                <w:sz w:val="26"/>
                <w:szCs w:val="26"/>
              </w:rPr>
            </w:pPr>
            <w:r w:rsidRPr="00ED0B51">
              <w:rPr>
                <w:sz w:val="26"/>
                <w:szCs w:val="26"/>
              </w:rPr>
              <w:t>0</w:t>
            </w:r>
          </w:p>
        </w:tc>
        <w:tc>
          <w:tcPr>
            <w:tcW w:w="1195" w:type="dxa"/>
          </w:tcPr>
          <w:p w14:paraId="7EF970C1" w14:textId="77777777" w:rsidR="00D175E9" w:rsidRPr="00ED0B51" w:rsidRDefault="00CE5203" w:rsidP="00846DA7">
            <w:pPr>
              <w:pStyle w:val="naisf"/>
              <w:spacing w:before="0" w:after="0"/>
              <w:ind w:firstLine="0"/>
              <w:jc w:val="center"/>
              <w:rPr>
                <w:b/>
                <w:i/>
                <w:sz w:val="26"/>
                <w:szCs w:val="26"/>
              </w:rPr>
            </w:pPr>
            <w:r w:rsidRPr="00ED0B51">
              <w:rPr>
                <w:sz w:val="26"/>
                <w:szCs w:val="26"/>
              </w:rPr>
              <w:t>0</w:t>
            </w:r>
          </w:p>
        </w:tc>
        <w:tc>
          <w:tcPr>
            <w:tcW w:w="1150" w:type="dxa"/>
          </w:tcPr>
          <w:p w14:paraId="426789BC" w14:textId="77777777" w:rsidR="00D175E9" w:rsidRPr="00ED0B51" w:rsidRDefault="00CE5203" w:rsidP="00846DA7">
            <w:pPr>
              <w:pStyle w:val="naisf"/>
              <w:spacing w:before="0" w:after="0"/>
              <w:ind w:firstLine="0"/>
              <w:jc w:val="center"/>
              <w:rPr>
                <w:b/>
                <w:i/>
                <w:sz w:val="26"/>
                <w:szCs w:val="26"/>
              </w:rPr>
            </w:pPr>
            <w:r w:rsidRPr="00ED0B51">
              <w:rPr>
                <w:sz w:val="26"/>
                <w:szCs w:val="26"/>
              </w:rPr>
              <w:t>0</w:t>
            </w:r>
          </w:p>
        </w:tc>
      </w:tr>
      <w:tr w:rsidR="00ED0B51" w:rsidRPr="00ED0B51" w14:paraId="75527A6D" w14:textId="77777777" w:rsidTr="0089091C">
        <w:trPr>
          <w:jc w:val="center"/>
        </w:trPr>
        <w:tc>
          <w:tcPr>
            <w:tcW w:w="3199" w:type="dxa"/>
          </w:tcPr>
          <w:p w14:paraId="58D16075" w14:textId="77777777" w:rsidR="00D175E9" w:rsidRPr="00ED0B51" w:rsidRDefault="00D175E9" w:rsidP="0089091C">
            <w:pPr>
              <w:rPr>
                <w:sz w:val="26"/>
                <w:szCs w:val="26"/>
              </w:rPr>
            </w:pPr>
            <w:r w:rsidRPr="00ED0B51">
              <w:rPr>
                <w:sz w:val="26"/>
                <w:szCs w:val="26"/>
              </w:rPr>
              <w:t>3.2. speciālais budžets</w:t>
            </w:r>
          </w:p>
        </w:tc>
        <w:tc>
          <w:tcPr>
            <w:tcW w:w="1276" w:type="dxa"/>
            <w:shd w:val="clear" w:color="auto" w:fill="auto"/>
          </w:tcPr>
          <w:p w14:paraId="736E48C9" w14:textId="77777777" w:rsidR="00D175E9" w:rsidRPr="00ED0B51" w:rsidRDefault="00CE5203" w:rsidP="00846DA7">
            <w:pPr>
              <w:pStyle w:val="naisf"/>
              <w:spacing w:before="0" w:after="0"/>
              <w:ind w:firstLine="0"/>
              <w:jc w:val="center"/>
              <w:rPr>
                <w:i/>
                <w:sz w:val="26"/>
                <w:szCs w:val="26"/>
              </w:rPr>
            </w:pPr>
            <w:r w:rsidRPr="00ED0B51">
              <w:rPr>
                <w:sz w:val="26"/>
                <w:szCs w:val="26"/>
              </w:rPr>
              <w:t>0</w:t>
            </w:r>
          </w:p>
        </w:tc>
        <w:tc>
          <w:tcPr>
            <w:tcW w:w="1543" w:type="dxa"/>
          </w:tcPr>
          <w:p w14:paraId="68EB3084" w14:textId="77777777" w:rsidR="00D175E9" w:rsidRPr="00ED0B51" w:rsidRDefault="00CE5203" w:rsidP="00846DA7">
            <w:pPr>
              <w:pStyle w:val="naisf"/>
              <w:spacing w:before="0" w:after="0"/>
              <w:ind w:firstLine="0"/>
              <w:jc w:val="center"/>
              <w:rPr>
                <w:b/>
                <w:i/>
                <w:sz w:val="26"/>
                <w:szCs w:val="26"/>
              </w:rPr>
            </w:pPr>
            <w:r w:rsidRPr="00ED0B51">
              <w:rPr>
                <w:sz w:val="26"/>
                <w:szCs w:val="26"/>
              </w:rPr>
              <w:t>0</w:t>
            </w:r>
          </w:p>
        </w:tc>
        <w:tc>
          <w:tcPr>
            <w:tcW w:w="1150" w:type="dxa"/>
          </w:tcPr>
          <w:p w14:paraId="21B12E91" w14:textId="77777777" w:rsidR="00D175E9" w:rsidRPr="00ED0B51" w:rsidRDefault="00CE5203" w:rsidP="00846DA7">
            <w:pPr>
              <w:pStyle w:val="naisf"/>
              <w:spacing w:before="0" w:after="0"/>
              <w:ind w:firstLine="0"/>
              <w:jc w:val="center"/>
              <w:rPr>
                <w:b/>
                <w:i/>
                <w:sz w:val="26"/>
                <w:szCs w:val="26"/>
              </w:rPr>
            </w:pPr>
            <w:r w:rsidRPr="00ED0B51">
              <w:rPr>
                <w:sz w:val="26"/>
                <w:szCs w:val="26"/>
              </w:rPr>
              <w:t>0</w:t>
            </w:r>
          </w:p>
        </w:tc>
        <w:tc>
          <w:tcPr>
            <w:tcW w:w="1195" w:type="dxa"/>
          </w:tcPr>
          <w:p w14:paraId="255438C2" w14:textId="77777777" w:rsidR="00D175E9" w:rsidRPr="00ED0B51" w:rsidRDefault="00CE5203" w:rsidP="00846DA7">
            <w:pPr>
              <w:pStyle w:val="naisf"/>
              <w:spacing w:before="0" w:after="0"/>
              <w:ind w:firstLine="0"/>
              <w:jc w:val="center"/>
              <w:rPr>
                <w:b/>
                <w:i/>
                <w:sz w:val="26"/>
                <w:szCs w:val="26"/>
              </w:rPr>
            </w:pPr>
            <w:r w:rsidRPr="00ED0B51">
              <w:rPr>
                <w:sz w:val="26"/>
                <w:szCs w:val="26"/>
              </w:rPr>
              <w:t>0</w:t>
            </w:r>
          </w:p>
        </w:tc>
        <w:tc>
          <w:tcPr>
            <w:tcW w:w="1150" w:type="dxa"/>
          </w:tcPr>
          <w:p w14:paraId="2B123A47" w14:textId="77777777" w:rsidR="00D175E9" w:rsidRPr="00ED0B51" w:rsidRDefault="00CE5203" w:rsidP="00846DA7">
            <w:pPr>
              <w:pStyle w:val="naisf"/>
              <w:spacing w:before="0" w:after="0"/>
              <w:ind w:firstLine="0"/>
              <w:jc w:val="center"/>
              <w:rPr>
                <w:b/>
                <w:i/>
                <w:sz w:val="26"/>
                <w:szCs w:val="26"/>
              </w:rPr>
            </w:pPr>
            <w:r w:rsidRPr="00ED0B51">
              <w:rPr>
                <w:sz w:val="26"/>
                <w:szCs w:val="26"/>
              </w:rPr>
              <w:t>0</w:t>
            </w:r>
          </w:p>
        </w:tc>
      </w:tr>
      <w:tr w:rsidR="00ED0B51" w:rsidRPr="00ED0B51" w14:paraId="6848B883" w14:textId="77777777" w:rsidTr="0089091C">
        <w:trPr>
          <w:jc w:val="center"/>
        </w:trPr>
        <w:tc>
          <w:tcPr>
            <w:tcW w:w="3199" w:type="dxa"/>
          </w:tcPr>
          <w:p w14:paraId="782F901F" w14:textId="77777777" w:rsidR="00D175E9" w:rsidRPr="00ED0B51" w:rsidRDefault="00D175E9" w:rsidP="0089091C">
            <w:pPr>
              <w:rPr>
                <w:sz w:val="26"/>
                <w:szCs w:val="26"/>
              </w:rPr>
            </w:pPr>
            <w:r w:rsidRPr="00ED0B51">
              <w:rPr>
                <w:sz w:val="26"/>
                <w:szCs w:val="26"/>
              </w:rPr>
              <w:t xml:space="preserve">3.3. pašvaldību budžets </w:t>
            </w:r>
          </w:p>
        </w:tc>
        <w:tc>
          <w:tcPr>
            <w:tcW w:w="1276" w:type="dxa"/>
            <w:shd w:val="clear" w:color="auto" w:fill="auto"/>
          </w:tcPr>
          <w:p w14:paraId="53B8DE16" w14:textId="77777777" w:rsidR="00D175E9" w:rsidRPr="00ED0B51" w:rsidRDefault="00CE5203" w:rsidP="00846DA7">
            <w:pPr>
              <w:pStyle w:val="naisf"/>
              <w:spacing w:before="0" w:after="0"/>
              <w:ind w:firstLine="0"/>
              <w:jc w:val="center"/>
              <w:rPr>
                <w:i/>
                <w:sz w:val="26"/>
                <w:szCs w:val="26"/>
              </w:rPr>
            </w:pPr>
            <w:r w:rsidRPr="00ED0B51">
              <w:rPr>
                <w:sz w:val="26"/>
                <w:szCs w:val="26"/>
              </w:rPr>
              <w:t>0</w:t>
            </w:r>
          </w:p>
        </w:tc>
        <w:tc>
          <w:tcPr>
            <w:tcW w:w="1543" w:type="dxa"/>
          </w:tcPr>
          <w:p w14:paraId="762CD053" w14:textId="77777777" w:rsidR="00D175E9" w:rsidRPr="00ED0B51" w:rsidRDefault="00CE5203" w:rsidP="00846DA7">
            <w:pPr>
              <w:pStyle w:val="naisf"/>
              <w:spacing w:before="0" w:after="0"/>
              <w:ind w:firstLine="0"/>
              <w:jc w:val="center"/>
              <w:rPr>
                <w:b/>
                <w:i/>
                <w:sz w:val="26"/>
                <w:szCs w:val="26"/>
              </w:rPr>
            </w:pPr>
            <w:r w:rsidRPr="00ED0B51">
              <w:rPr>
                <w:sz w:val="26"/>
                <w:szCs w:val="26"/>
              </w:rPr>
              <w:t>0</w:t>
            </w:r>
          </w:p>
        </w:tc>
        <w:tc>
          <w:tcPr>
            <w:tcW w:w="1150" w:type="dxa"/>
          </w:tcPr>
          <w:p w14:paraId="3040F44B" w14:textId="77777777" w:rsidR="00D175E9" w:rsidRPr="00ED0B51" w:rsidRDefault="00CE5203" w:rsidP="00846DA7">
            <w:pPr>
              <w:pStyle w:val="naisf"/>
              <w:spacing w:before="0" w:after="0"/>
              <w:ind w:firstLine="0"/>
              <w:jc w:val="center"/>
              <w:rPr>
                <w:b/>
                <w:i/>
                <w:sz w:val="26"/>
                <w:szCs w:val="26"/>
              </w:rPr>
            </w:pPr>
            <w:r w:rsidRPr="00ED0B51">
              <w:rPr>
                <w:sz w:val="26"/>
                <w:szCs w:val="26"/>
              </w:rPr>
              <w:t>0</w:t>
            </w:r>
          </w:p>
        </w:tc>
        <w:tc>
          <w:tcPr>
            <w:tcW w:w="1195" w:type="dxa"/>
          </w:tcPr>
          <w:p w14:paraId="46E8A9B4" w14:textId="77777777" w:rsidR="00D175E9" w:rsidRPr="00ED0B51" w:rsidRDefault="00CE5203" w:rsidP="00846DA7">
            <w:pPr>
              <w:pStyle w:val="naisf"/>
              <w:spacing w:before="0" w:after="0"/>
              <w:ind w:firstLine="0"/>
              <w:jc w:val="center"/>
              <w:rPr>
                <w:b/>
                <w:i/>
                <w:sz w:val="26"/>
                <w:szCs w:val="26"/>
              </w:rPr>
            </w:pPr>
            <w:r w:rsidRPr="00ED0B51">
              <w:rPr>
                <w:sz w:val="26"/>
                <w:szCs w:val="26"/>
              </w:rPr>
              <w:t>0</w:t>
            </w:r>
          </w:p>
        </w:tc>
        <w:tc>
          <w:tcPr>
            <w:tcW w:w="1150" w:type="dxa"/>
          </w:tcPr>
          <w:p w14:paraId="66C32AAA" w14:textId="77777777" w:rsidR="00D175E9" w:rsidRPr="00ED0B51" w:rsidRDefault="00CE5203" w:rsidP="00846DA7">
            <w:pPr>
              <w:pStyle w:val="naisf"/>
              <w:spacing w:before="0" w:after="0"/>
              <w:ind w:firstLine="0"/>
              <w:jc w:val="center"/>
              <w:rPr>
                <w:b/>
                <w:i/>
                <w:sz w:val="26"/>
                <w:szCs w:val="26"/>
              </w:rPr>
            </w:pPr>
            <w:r w:rsidRPr="00ED0B51">
              <w:rPr>
                <w:sz w:val="26"/>
                <w:szCs w:val="26"/>
              </w:rPr>
              <w:t>0</w:t>
            </w:r>
          </w:p>
        </w:tc>
      </w:tr>
      <w:tr w:rsidR="00ED0B51" w:rsidRPr="00ED0B51" w14:paraId="3E177020" w14:textId="77777777" w:rsidTr="0089091C">
        <w:trPr>
          <w:jc w:val="center"/>
        </w:trPr>
        <w:tc>
          <w:tcPr>
            <w:tcW w:w="3199" w:type="dxa"/>
            <w:vMerge w:val="restart"/>
          </w:tcPr>
          <w:p w14:paraId="48DB63FD" w14:textId="77777777" w:rsidR="00D175E9" w:rsidRPr="00ED0B51" w:rsidRDefault="00D175E9" w:rsidP="0089091C">
            <w:pPr>
              <w:rPr>
                <w:sz w:val="26"/>
                <w:szCs w:val="26"/>
              </w:rPr>
            </w:pPr>
            <w:r w:rsidRPr="00ED0B51">
              <w:rPr>
                <w:sz w:val="26"/>
                <w:szCs w:val="26"/>
              </w:rPr>
              <w:t>4. Finanšu līdzekļi papildu izdevumu finansēšanai (kompensējošu izdevumu samazinājumu norāda ar "+" zīmi)</w:t>
            </w:r>
          </w:p>
        </w:tc>
        <w:tc>
          <w:tcPr>
            <w:tcW w:w="1276" w:type="dxa"/>
            <w:vMerge w:val="restart"/>
          </w:tcPr>
          <w:p w14:paraId="2397B80E" w14:textId="77777777" w:rsidR="00D175E9" w:rsidRPr="00ED0B51" w:rsidRDefault="00D175E9" w:rsidP="00846DA7">
            <w:pPr>
              <w:pStyle w:val="naisf"/>
              <w:spacing w:before="0" w:after="0"/>
              <w:ind w:firstLine="0"/>
              <w:jc w:val="center"/>
              <w:rPr>
                <w:i/>
                <w:sz w:val="26"/>
                <w:szCs w:val="26"/>
              </w:rPr>
            </w:pPr>
            <w:r w:rsidRPr="00ED0B51">
              <w:rPr>
                <w:sz w:val="26"/>
                <w:szCs w:val="26"/>
              </w:rPr>
              <w:t>X</w:t>
            </w:r>
          </w:p>
        </w:tc>
        <w:tc>
          <w:tcPr>
            <w:tcW w:w="1543" w:type="dxa"/>
          </w:tcPr>
          <w:p w14:paraId="0E7CAE15" w14:textId="77777777" w:rsidR="00D175E9" w:rsidRPr="00ED0B51" w:rsidRDefault="00CE5203" w:rsidP="00846DA7">
            <w:pPr>
              <w:pStyle w:val="naisf"/>
              <w:spacing w:before="0" w:after="0"/>
              <w:ind w:firstLine="0"/>
              <w:jc w:val="center"/>
              <w:rPr>
                <w:b/>
                <w:i/>
                <w:sz w:val="26"/>
                <w:szCs w:val="26"/>
              </w:rPr>
            </w:pPr>
            <w:r w:rsidRPr="00ED0B51">
              <w:rPr>
                <w:sz w:val="26"/>
                <w:szCs w:val="26"/>
              </w:rPr>
              <w:t>0</w:t>
            </w:r>
          </w:p>
        </w:tc>
        <w:tc>
          <w:tcPr>
            <w:tcW w:w="1150" w:type="dxa"/>
          </w:tcPr>
          <w:p w14:paraId="602F098F" w14:textId="77777777" w:rsidR="00D175E9" w:rsidRPr="00ED0B51" w:rsidRDefault="00CE5203" w:rsidP="00846DA7">
            <w:pPr>
              <w:pStyle w:val="naisf"/>
              <w:spacing w:before="0" w:after="0"/>
              <w:ind w:firstLine="0"/>
              <w:jc w:val="center"/>
              <w:rPr>
                <w:b/>
                <w:i/>
                <w:sz w:val="26"/>
                <w:szCs w:val="26"/>
              </w:rPr>
            </w:pPr>
            <w:r w:rsidRPr="00ED0B51">
              <w:rPr>
                <w:sz w:val="26"/>
                <w:szCs w:val="26"/>
              </w:rPr>
              <w:t>0</w:t>
            </w:r>
          </w:p>
        </w:tc>
        <w:tc>
          <w:tcPr>
            <w:tcW w:w="1195" w:type="dxa"/>
          </w:tcPr>
          <w:p w14:paraId="078E9A0E" w14:textId="77777777" w:rsidR="00D175E9" w:rsidRPr="00ED0B51" w:rsidRDefault="00CE5203" w:rsidP="00846DA7">
            <w:pPr>
              <w:pStyle w:val="naisf"/>
              <w:spacing w:before="0" w:after="0"/>
              <w:ind w:firstLine="0"/>
              <w:jc w:val="center"/>
              <w:rPr>
                <w:b/>
                <w:i/>
                <w:sz w:val="26"/>
                <w:szCs w:val="26"/>
              </w:rPr>
            </w:pPr>
            <w:r w:rsidRPr="00ED0B51">
              <w:rPr>
                <w:sz w:val="26"/>
                <w:szCs w:val="26"/>
              </w:rPr>
              <w:t>0</w:t>
            </w:r>
          </w:p>
        </w:tc>
        <w:tc>
          <w:tcPr>
            <w:tcW w:w="1150" w:type="dxa"/>
          </w:tcPr>
          <w:p w14:paraId="04B8BC2B" w14:textId="77777777" w:rsidR="00D175E9" w:rsidRPr="00ED0B51" w:rsidRDefault="00CE5203" w:rsidP="00846DA7">
            <w:pPr>
              <w:pStyle w:val="naisf"/>
              <w:spacing w:before="0" w:after="0"/>
              <w:ind w:firstLine="0"/>
              <w:jc w:val="center"/>
              <w:rPr>
                <w:b/>
                <w:i/>
                <w:sz w:val="26"/>
                <w:szCs w:val="26"/>
              </w:rPr>
            </w:pPr>
            <w:r w:rsidRPr="00ED0B51">
              <w:rPr>
                <w:sz w:val="26"/>
                <w:szCs w:val="26"/>
              </w:rPr>
              <w:t>0</w:t>
            </w:r>
          </w:p>
        </w:tc>
      </w:tr>
      <w:tr w:rsidR="00ED0B51" w:rsidRPr="00ED0B51" w14:paraId="6B7A4353" w14:textId="77777777" w:rsidTr="0089091C">
        <w:trPr>
          <w:jc w:val="center"/>
        </w:trPr>
        <w:tc>
          <w:tcPr>
            <w:tcW w:w="3199" w:type="dxa"/>
            <w:vMerge/>
          </w:tcPr>
          <w:p w14:paraId="24353F70" w14:textId="77777777" w:rsidR="00D175E9" w:rsidRPr="00ED0B51" w:rsidRDefault="00D175E9" w:rsidP="0089091C">
            <w:pPr>
              <w:rPr>
                <w:sz w:val="26"/>
                <w:szCs w:val="26"/>
              </w:rPr>
            </w:pPr>
          </w:p>
        </w:tc>
        <w:tc>
          <w:tcPr>
            <w:tcW w:w="1276" w:type="dxa"/>
            <w:vMerge/>
          </w:tcPr>
          <w:p w14:paraId="29CF6DED" w14:textId="77777777" w:rsidR="00D175E9" w:rsidRPr="00ED0B51" w:rsidRDefault="00D175E9" w:rsidP="00846DA7">
            <w:pPr>
              <w:pStyle w:val="naisf"/>
              <w:spacing w:before="0" w:after="0"/>
              <w:ind w:firstLine="0"/>
              <w:jc w:val="center"/>
              <w:rPr>
                <w:i/>
                <w:sz w:val="26"/>
                <w:szCs w:val="26"/>
              </w:rPr>
            </w:pPr>
          </w:p>
        </w:tc>
        <w:tc>
          <w:tcPr>
            <w:tcW w:w="1543" w:type="dxa"/>
          </w:tcPr>
          <w:p w14:paraId="15B8E675" w14:textId="77777777" w:rsidR="00D175E9" w:rsidRPr="00ED0B51" w:rsidRDefault="00D175E9" w:rsidP="00846DA7">
            <w:pPr>
              <w:pStyle w:val="naisf"/>
              <w:spacing w:before="0" w:after="0"/>
              <w:ind w:firstLine="0"/>
              <w:jc w:val="center"/>
              <w:rPr>
                <w:b/>
                <w:i/>
                <w:sz w:val="26"/>
                <w:szCs w:val="26"/>
              </w:rPr>
            </w:pPr>
          </w:p>
        </w:tc>
        <w:tc>
          <w:tcPr>
            <w:tcW w:w="1150" w:type="dxa"/>
          </w:tcPr>
          <w:p w14:paraId="716DC34F" w14:textId="77777777" w:rsidR="00D175E9" w:rsidRPr="00ED0B51" w:rsidRDefault="00D175E9" w:rsidP="00846DA7">
            <w:pPr>
              <w:pStyle w:val="naisf"/>
              <w:spacing w:before="0" w:after="0"/>
              <w:ind w:firstLine="0"/>
              <w:jc w:val="center"/>
              <w:rPr>
                <w:b/>
                <w:i/>
                <w:sz w:val="26"/>
                <w:szCs w:val="26"/>
              </w:rPr>
            </w:pPr>
          </w:p>
        </w:tc>
        <w:tc>
          <w:tcPr>
            <w:tcW w:w="1195" w:type="dxa"/>
          </w:tcPr>
          <w:p w14:paraId="1AEA9F5E" w14:textId="77777777" w:rsidR="00D175E9" w:rsidRPr="00ED0B51" w:rsidRDefault="00D175E9" w:rsidP="00846DA7">
            <w:pPr>
              <w:pStyle w:val="naisf"/>
              <w:spacing w:before="0" w:after="0"/>
              <w:ind w:firstLine="0"/>
              <w:jc w:val="center"/>
              <w:rPr>
                <w:b/>
                <w:i/>
                <w:sz w:val="26"/>
                <w:szCs w:val="26"/>
              </w:rPr>
            </w:pPr>
          </w:p>
        </w:tc>
        <w:tc>
          <w:tcPr>
            <w:tcW w:w="1150" w:type="dxa"/>
          </w:tcPr>
          <w:p w14:paraId="35F0A1C1" w14:textId="77777777" w:rsidR="00D175E9" w:rsidRPr="00ED0B51" w:rsidRDefault="00D175E9" w:rsidP="00846DA7">
            <w:pPr>
              <w:pStyle w:val="naisf"/>
              <w:spacing w:before="0" w:after="0"/>
              <w:ind w:firstLine="0"/>
              <w:jc w:val="center"/>
              <w:rPr>
                <w:b/>
                <w:i/>
                <w:sz w:val="26"/>
                <w:szCs w:val="26"/>
              </w:rPr>
            </w:pPr>
          </w:p>
        </w:tc>
      </w:tr>
      <w:tr w:rsidR="00ED0B51" w:rsidRPr="00ED0B51" w14:paraId="33559AF2" w14:textId="77777777" w:rsidTr="0089091C">
        <w:trPr>
          <w:jc w:val="center"/>
        </w:trPr>
        <w:tc>
          <w:tcPr>
            <w:tcW w:w="3199" w:type="dxa"/>
            <w:vMerge/>
          </w:tcPr>
          <w:p w14:paraId="4C75BBAA" w14:textId="77777777" w:rsidR="00D175E9" w:rsidRPr="00ED0B51" w:rsidRDefault="00D175E9" w:rsidP="0089091C">
            <w:pPr>
              <w:rPr>
                <w:sz w:val="26"/>
                <w:szCs w:val="26"/>
              </w:rPr>
            </w:pPr>
          </w:p>
        </w:tc>
        <w:tc>
          <w:tcPr>
            <w:tcW w:w="1276" w:type="dxa"/>
            <w:vMerge/>
          </w:tcPr>
          <w:p w14:paraId="5BAD53FB" w14:textId="77777777" w:rsidR="00D175E9" w:rsidRPr="00ED0B51" w:rsidRDefault="00D175E9" w:rsidP="00846DA7">
            <w:pPr>
              <w:pStyle w:val="naisf"/>
              <w:spacing w:before="0" w:after="0"/>
              <w:ind w:firstLine="0"/>
              <w:jc w:val="center"/>
              <w:rPr>
                <w:i/>
                <w:sz w:val="26"/>
                <w:szCs w:val="26"/>
              </w:rPr>
            </w:pPr>
          </w:p>
        </w:tc>
        <w:tc>
          <w:tcPr>
            <w:tcW w:w="1543" w:type="dxa"/>
          </w:tcPr>
          <w:p w14:paraId="237B9B41" w14:textId="77777777" w:rsidR="00D175E9" w:rsidRPr="00ED0B51" w:rsidRDefault="00D175E9" w:rsidP="00846DA7">
            <w:pPr>
              <w:pStyle w:val="naisf"/>
              <w:spacing w:before="0" w:after="0"/>
              <w:ind w:firstLine="0"/>
              <w:jc w:val="center"/>
              <w:rPr>
                <w:b/>
                <w:i/>
                <w:sz w:val="26"/>
                <w:szCs w:val="26"/>
              </w:rPr>
            </w:pPr>
          </w:p>
        </w:tc>
        <w:tc>
          <w:tcPr>
            <w:tcW w:w="1150" w:type="dxa"/>
          </w:tcPr>
          <w:p w14:paraId="57FFC2A3" w14:textId="77777777" w:rsidR="00D175E9" w:rsidRPr="00ED0B51" w:rsidRDefault="00D175E9" w:rsidP="00846DA7">
            <w:pPr>
              <w:pStyle w:val="naisf"/>
              <w:spacing w:before="0" w:after="0"/>
              <w:ind w:firstLine="0"/>
              <w:jc w:val="center"/>
              <w:rPr>
                <w:b/>
                <w:i/>
                <w:sz w:val="26"/>
                <w:szCs w:val="26"/>
              </w:rPr>
            </w:pPr>
          </w:p>
        </w:tc>
        <w:tc>
          <w:tcPr>
            <w:tcW w:w="1195" w:type="dxa"/>
          </w:tcPr>
          <w:p w14:paraId="09DABFA2" w14:textId="77777777" w:rsidR="00D175E9" w:rsidRPr="00ED0B51" w:rsidRDefault="00D175E9" w:rsidP="00846DA7">
            <w:pPr>
              <w:pStyle w:val="naisf"/>
              <w:spacing w:before="0" w:after="0"/>
              <w:ind w:firstLine="0"/>
              <w:jc w:val="center"/>
              <w:rPr>
                <w:b/>
                <w:i/>
                <w:sz w:val="26"/>
                <w:szCs w:val="26"/>
              </w:rPr>
            </w:pPr>
          </w:p>
        </w:tc>
        <w:tc>
          <w:tcPr>
            <w:tcW w:w="1150" w:type="dxa"/>
          </w:tcPr>
          <w:p w14:paraId="27F66A37" w14:textId="77777777" w:rsidR="00D175E9" w:rsidRPr="00ED0B51" w:rsidRDefault="00D175E9" w:rsidP="00846DA7">
            <w:pPr>
              <w:pStyle w:val="naisf"/>
              <w:spacing w:before="0" w:after="0"/>
              <w:ind w:firstLine="0"/>
              <w:jc w:val="center"/>
              <w:rPr>
                <w:b/>
                <w:i/>
                <w:sz w:val="26"/>
                <w:szCs w:val="26"/>
              </w:rPr>
            </w:pPr>
          </w:p>
        </w:tc>
      </w:tr>
      <w:tr w:rsidR="00ED0B51" w:rsidRPr="00ED0B51" w14:paraId="6B58BB7A" w14:textId="77777777" w:rsidTr="0089091C">
        <w:trPr>
          <w:jc w:val="center"/>
        </w:trPr>
        <w:tc>
          <w:tcPr>
            <w:tcW w:w="3199" w:type="dxa"/>
          </w:tcPr>
          <w:p w14:paraId="7625FD05" w14:textId="77777777" w:rsidR="00D175E9" w:rsidRPr="00ED0B51" w:rsidRDefault="00D175E9" w:rsidP="0089091C">
            <w:pPr>
              <w:rPr>
                <w:sz w:val="26"/>
                <w:szCs w:val="26"/>
              </w:rPr>
            </w:pPr>
            <w:r w:rsidRPr="00ED0B51">
              <w:rPr>
                <w:sz w:val="26"/>
                <w:szCs w:val="26"/>
              </w:rPr>
              <w:t>5. Precizēta finansiālā ietekme:</w:t>
            </w:r>
          </w:p>
        </w:tc>
        <w:tc>
          <w:tcPr>
            <w:tcW w:w="1276" w:type="dxa"/>
            <w:vMerge w:val="restart"/>
          </w:tcPr>
          <w:p w14:paraId="2A68911E" w14:textId="77777777" w:rsidR="00D175E9" w:rsidRPr="00ED0B51" w:rsidRDefault="00D175E9" w:rsidP="00846DA7">
            <w:pPr>
              <w:pStyle w:val="naisf"/>
              <w:spacing w:before="0" w:after="0"/>
              <w:ind w:firstLine="0"/>
              <w:jc w:val="center"/>
              <w:rPr>
                <w:i/>
                <w:sz w:val="26"/>
                <w:szCs w:val="26"/>
              </w:rPr>
            </w:pPr>
            <w:r w:rsidRPr="00ED0B51">
              <w:rPr>
                <w:sz w:val="26"/>
                <w:szCs w:val="26"/>
              </w:rPr>
              <w:t>X</w:t>
            </w:r>
          </w:p>
        </w:tc>
        <w:tc>
          <w:tcPr>
            <w:tcW w:w="1543" w:type="dxa"/>
          </w:tcPr>
          <w:p w14:paraId="0893FFBF" w14:textId="77777777" w:rsidR="00D175E9" w:rsidRPr="00ED0B51" w:rsidRDefault="00CE5203" w:rsidP="00846DA7">
            <w:pPr>
              <w:pStyle w:val="naisf"/>
              <w:spacing w:before="0" w:after="0"/>
              <w:ind w:firstLine="0"/>
              <w:jc w:val="center"/>
              <w:rPr>
                <w:b/>
                <w:i/>
                <w:sz w:val="26"/>
                <w:szCs w:val="26"/>
              </w:rPr>
            </w:pPr>
            <w:r w:rsidRPr="00ED0B51">
              <w:rPr>
                <w:sz w:val="26"/>
                <w:szCs w:val="26"/>
              </w:rPr>
              <w:t>0</w:t>
            </w:r>
          </w:p>
        </w:tc>
        <w:tc>
          <w:tcPr>
            <w:tcW w:w="1150" w:type="dxa"/>
          </w:tcPr>
          <w:p w14:paraId="30C6FFAE" w14:textId="77777777" w:rsidR="00D175E9" w:rsidRPr="00ED0B51" w:rsidRDefault="00CE5203" w:rsidP="00846DA7">
            <w:pPr>
              <w:pStyle w:val="naisf"/>
              <w:spacing w:before="0" w:after="0"/>
              <w:ind w:firstLine="0"/>
              <w:jc w:val="center"/>
              <w:rPr>
                <w:b/>
                <w:i/>
                <w:sz w:val="26"/>
                <w:szCs w:val="26"/>
              </w:rPr>
            </w:pPr>
            <w:r w:rsidRPr="00ED0B51">
              <w:rPr>
                <w:sz w:val="26"/>
                <w:szCs w:val="26"/>
              </w:rPr>
              <w:t>0</w:t>
            </w:r>
          </w:p>
        </w:tc>
        <w:tc>
          <w:tcPr>
            <w:tcW w:w="1195" w:type="dxa"/>
          </w:tcPr>
          <w:p w14:paraId="5D4B8004" w14:textId="77777777" w:rsidR="00D175E9" w:rsidRPr="00ED0B51" w:rsidRDefault="00CE5203" w:rsidP="00846DA7">
            <w:pPr>
              <w:pStyle w:val="naisf"/>
              <w:spacing w:before="0" w:after="0"/>
              <w:ind w:firstLine="0"/>
              <w:jc w:val="center"/>
              <w:rPr>
                <w:b/>
                <w:i/>
                <w:sz w:val="26"/>
                <w:szCs w:val="26"/>
              </w:rPr>
            </w:pPr>
            <w:r w:rsidRPr="00ED0B51">
              <w:rPr>
                <w:sz w:val="26"/>
                <w:szCs w:val="26"/>
              </w:rPr>
              <w:t>0</w:t>
            </w:r>
          </w:p>
        </w:tc>
        <w:tc>
          <w:tcPr>
            <w:tcW w:w="1150" w:type="dxa"/>
          </w:tcPr>
          <w:p w14:paraId="347AF012" w14:textId="77777777" w:rsidR="00D175E9" w:rsidRPr="00ED0B51" w:rsidRDefault="00CE5203" w:rsidP="00846DA7">
            <w:pPr>
              <w:pStyle w:val="naisf"/>
              <w:spacing w:before="0" w:after="0"/>
              <w:ind w:firstLine="0"/>
              <w:jc w:val="center"/>
              <w:rPr>
                <w:b/>
                <w:i/>
                <w:sz w:val="26"/>
                <w:szCs w:val="26"/>
              </w:rPr>
            </w:pPr>
            <w:r w:rsidRPr="00ED0B51">
              <w:rPr>
                <w:sz w:val="26"/>
                <w:szCs w:val="26"/>
              </w:rPr>
              <w:t>0</w:t>
            </w:r>
          </w:p>
        </w:tc>
      </w:tr>
      <w:tr w:rsidR="00ED0B51" w:rsidRPr="00ED0B51" w14:paraId="4FE9FB19" w14:textId="77777777" w:rsidTr="0089091C">
        <w:trPr>
          <w:jc w:val="center"/>
        </w:trPr>
        <w:tc>
          <w:tcPr>
            <w:tcW w:w="3199" w:type="dxa"/>
          </w:tcPr>
          <w:p w14:paraId="461D2876" w14:textId="77777777" w:rsidR="00D175E9" w:rsidRPr="00ED0B51" w:rsidRDefault="00D175E9" w:rsidP="0089091C">
            <w:pPr>
              <w:rPr>
                <w:sz w:val="26"/>
                <w:szCs w:val="26"/>
              </w:rPr>
            </w:pPr>
            <w:r w:rsidRPr="00ED0B51">
              <w:rPr>
                <w:sz w:val="26"/>
                <w:szCs w:val="26"/>
              </w:rPr>
              <w:t>5.1. valsts pamatbudžets</w:t>
            </w:r>
          </w:p>
        </w:tc>
        <w:tc>
          <w:tcPr>
            <w:tcW w:w="1276" w:type="dxa"/>
            <w:vMerge/>
            <w:vAlign w:val="center"/>
          </w:tcPr>
          <w:p w14:paraId="67A61B7E" w14:textId="77777777" w:rsidR="00D175E9" w:rsidRPr="00ED0B51" w:rsidRDefault="00D175E9" w:rsidP="00846DA7">
            <w:pPr>
              <w:pStyle w:val="naisf"/>
              <w:spacing w:before="0" w:after="0"/>
              <w:ind w:firstLine="0"/>
              <w:jc w:val="center"/>
              <w:rPr>
                <w:i/>
                <w:sz w:val="26"/>
                <w:szCs w:val="26"/>
              </w:rPr>
            </w:pPr>
          </w:p>
        </w:tc>
        <w:tc>
          <w:tcPr>
            <w:tcW w:w="1543" w:type="dxa"/>
          </w:tcPr>
          <w:p w14:paraId="6A79AECD" w14:textId="77777777" w:rsidR="00D175E9" w:rsidRPr="00ED0B51" w:rsidRDefault="00CE5203" w:rsidP="00846DA7">
            <w:pPr>
              <w:pStyle w:val="naisf"/>
              <w:spacing w:before="0" w:after="0"/>
              <w:ind w:firstLine="0"/>
              <w:jc w:val="center"/>
              <w:rPr>
                <w:b/>
                <w:i/>
                <w:sz w:val="26"/>
                <w:szCs w:val="26"/>
              </w:rPr>
            </w:pPr>
            <w:r w:rsidRPr="00ED0B51">
              <w:rPr>
                <w:sz w:val="26"/>
                <w:szCs w:val="26"/>
              </w:rPr>
              <w:t>0</w:t>
            </w:r>
          </w:p>
        </w:tc>
        <w:tc>
          <w:tcPr>
            <w:tcW w:w="1150" w:type="dxa"/>
          </w:tcPr>
          <w:p w14:paraId="5933DC3E" w14:textId="77777777" w:rsidR="00D175E9" w:rsidRPr="00ED0B51" w:rsidRDefault="00CE5203" w:rsidP="00846DA7">
            <w:pPr>
              <w:pStyle w:val="naisf"/>
              <w:spacing w:before="0" w:after="0"/>
              <w:ind w:firstLine="0"/>
              <w:jc w:val="center"/>
              <w:rPr>
                <w:b/>
                <w:i/>
                <w:sz w:val="26"/>
                <w:szCs w:val="26"/>
              </w:rPr>
            </w:pPr>
            <w:r w:rsidRPr="00ED0B51">
              <w:rPr>
                <w:sz w:val="26"/>
                <w:szCs w:val="26"/>
              </w:rPr>
              <w:t>0</w:t>
            </w:r>
          </w:p>
        </w:tc>
        <w:tc>
          <w:tcPr>
            <w:tcW w:w="1195" w:type="dxa"/>
          </w:tcPr>
          <w:p w14:paraId="35951456" w14:textId="77777777" w:rsidR="00D175E9" w:rsidRPr="00ED0B51" w:rsidRDefault="00CE5203" w:rsidP="00846DA7">
            <w:pPr>
              <w:pStyle w:val="naisf"/>
              <w:spacing w:before="0" w:after="0"/>
              <w:ind w:firstLine="0"/>
              <w:jc w:val="center"/>
              <w:rPr>
                <w:b/>
                <w:i/>
                <w:sz w:val="26"/>
                <w:szCs w:val="26"/>
              </w:rPr>
            </w:pPr>
            <w:r w:rsidRPr="00ED0B51">
              <w:rPr>
                <w:sz w:val="26"/>
                <w:szCs w:val="26"/>
              </w:rPr>
              <w:t>0</w:t>
            </w:r>
          </w:p>
        </w:tc>
        <w:tc>
          <w:tcPr>
            <w:tcW w:w="1150" w:type="dxa"/>
          </w:tcPr>
          <w:p w14:paraId="3339EA9B" w14:textId="77777777" w:rsidR="00D175E9" w:rsidRPr="00ED0B51" w:rsidRDefault="00CE5203" w:rsidP="00846DA7">
            <w:pPr>
              <w:pStyle w:val="naisf"/>
              <w:spacing w:before="0" w:after="0"/>
              <w:ind w:firstLine="0"/>
              <w:jc w:val="center"/>
              <w:rPr>
                <w:b/>
                <w:i/>
                <w:sz w:val="26"/>
                <w:szCs w:val="26"/>
              </w:rPr>
            </w:pPr>
            <w:r w:rsidRPr="00ED0B51">
              <w:rPr>
                <w:sz w:val="26"/>
                <w:szCs w:val="26"/>
              </w:rPr>
              <w:t>0</w:t>
            </w:r>
          </w:p>
        </w:tc>
      </w:tr>
      <w:tr w:rsidR="00ED0B51" w:rsidRPr="00ED0B51" w14:paraId="74DEDF48" w14:textId="77777777" w:rsidTr="0089091C">
        <w:trPr>
          <w:jc w:val="center"/>
        </w:trPr>
        <w:tc>
          <w:tcPr>
            <w:tcW w:w="3199" w:type="dxa"/>
          </w:tcPr>
          <w:p w14:paraId="5E52D029" w14:textId="77777777" w:rsidR="00D175E9" w:rsidRPr="00ED0B51" w:rsidRDefault="00D175E9" w:rsidP="0089091C">
            <w:pPr>
              <w:rPr>
                <w:sz w:val="26"/>
                <w:szCs w:val="26"/>
              </w:rPr>
            </w:pPr>
            <w:r w:rsidRPr="00ED0B51">
              <w:rPr>
                <w:sz w:val="26"/>
                <w:szCs w:val="26"/>
              </w:rPr>
              <w:t>5.2. speciālais budžets</w:t>
            </w:r>
          </w:p>
        </w:tc>
        <w:tc>
          <w:tcPr>
            <w:tcW w:w="1276" w:type="dxa"/>
            <w:vMerge/>
            <w:vAlign w:val="center"/>
          </w:tcPr>
          <w:p w14:paraId="2A08AC2F" w14:textId="77777777" w:rsidR="00D175E9" w:rsidRPr="00ED0B51" w:rsidRDefault="00D175E9" w:rsidP="00846DA7">
            <w:pPr>
              <w:pStyle w:val="naisf"/>
              <w:spacing w:before="0" w:after="0"/>
              <w:ind w:firstLine="0"/>
              <w:jc w:val="center"/>
              <w:rPr>
                <w:i/>
                <w:sz w:val="26"/>
                <w:szCs w:val="26"/>
              </w:rPr>
            </w:pPr>
          </w:p>
        </w:tc>
        <w:tc>
          <w:tcPr>
            <w:tcW w:w="1543" w:type="dxa"/>
          </w:tcPr>
          <w:p w14:paraId="29C24125" w14:textId="77777777" w:rsidR="00D175E9" w:rsidRPr="00ED0B51" w:rsidRDefault="00CE5203" w:rsidP="00846DA7">
            <w:pPr>
              <w:pStyle w:val="naisf"/>
              <w:spacing w:before="0" w:after="0"/>
              <w:ind w:firstLine="0"/>
              <w:jc w:val="center"/>
              <w:rPr>
                <w:b/>
                <w:i/>
                <w:sz w:val="26"/>
                <w:szCs w:val="26"/>
              </w:rPr>
            </w:pPr>
            <w:r w:rsidRPr="00ED0B51">
              <w:rPr>
                <w:sz w:val="26"/>
                <w:szCs w:val="26"/>
              </w:rPr>
              <w:t>0</w:t>
            </w:r>
          </w:p>
        </w:tc>
        <w:tc>
          <w:tcPr>
            <w:tcW w:w="1150" w:type="dxa"/>
          </w:tcPr>
          <w:p w14:paraId="1C49F984" w14:textId="77777777" w:rsidR="00D175E9" w:rsidRPr="00ED0B51" w:rsidRDefault="00CE5203" w:rsidP="00846DA7">
            <w:pPr>
              <w:pStyle w:val="naisf"/>
              <w:spacing w:before="0" w:after="0"/>
              <w:ind w:firstLine="0"/>
              <w:jc w:val="center"/>
              <w:rPr>
                <w:b/>
                <w:i/>
                <w:sz w:val="26"/>
                <w:szCs w:val="26"/>
              </w:rPr>
            </w:pPr>
            <w:r w:rsidRPr="00ED0B51">
              <w:rPr>
                <w:sz w:val="26"/>
                <w:szCs w:val="26"/>
              </w:rPr>
              <w:t>0</w:t>
            </w:r>
          </w:p>
        </w:tc>
        <w:tc>
          <w:tcPr>
            <w:tcW w:w="1195" w:type="dxa"/>
          </w:tcPr>
          <w:p w14:paraId="5CF604F5" w14:textId="77777777" w:rsidR="00D175E9" w:rsidRPr="00ED0B51" w:rsidRDefault="00CE5203" w:rsidP="00846DA7">
            <w:pPr>
              <w:pStyle w:val="naisf"/>
              <w:spacing w:before="0" w:after="0"/>
              <w:ind w:firstLine="0"/>
              <w:jc w:val="center"/>
              <w:rPr>
                <w:b/>
                <w:i/>
                <w:sz w:val="26"/>
                <w:szCs w:val="26"/>
              </w:rPr>
            </w:pPr>
            <w:r w:rsidRPr="00ED0B51">
              <w:rPr>
                <w:sz w:val="26"/>
                <w:szCs w:val="26"/>
              </w:rPr>
              <w:t>0</w:t>
            </w:r>
          </w:p>
        </w:tc>
        <w:tc>
          <w:tcPr>
            <w:tcW w:w="1150" w:type="dxa"/>
          </w:tcPr>
          <w:p w14:paraId="65291A32" w14:textId="77777777" w:rsidR="00D175E9" w:rsidRPr="00ED0B51" w:rsidRDefault="00CE5203" w:rsidP="00846DA7">
            <w:pPr>
              <w:pStyle w:val="naisf"/>
              <w:spacing w:before="0" w:after="0"/>
              <w:ind w:firstLine="0"/>
              <w:jc w:val="center"/>
              <w:rPr>
                <w:b/>
                <w:i/>
                <w:sz w:val="26"/>
                <w:szCs w:val="26"/>
              </w:rPr>
            </w:pPr>
            <w:r w:rsidRPr="00ED0B51">
              <w:rPr>
                <w:sz w:val="26"/>
                <w:szCs w:val="26"/>
              </w:rPr>
              <w:t>0</w:t>
            </w:r>
          </w:p>
        </w:tc>
      </w:tr>
      <w:tr w:rsidR="00ED0B51" w:rsidRPr="00ED0B51" w14:paraId="303D6A77" w14:textId="77777777" w:rsidTr="00CE5203">
        <w:trPr>
          <w:jc w:val="center"/>
        </w:trPr>
        <w:tc>
          <w:tcPr>
            <w:tcW w:w="3199" w:type="dxa"/>
          </w:tcPr>
          <w:p w14:paraId="2528B54F" w14:textId="77777777" w:rsidR="00D175E9" w:rsidRPr="00ED0B51" w:rsidRDefault="00D175E9" w:rsidP="0089091C">
            <w:pPr>
              <w:rPr>
                <w:sz w:val="26"/>
                <w:szCs w:val="26"/>
              </w:rPr>
            </w:pPr>
            <w:r w:rsidRPr="00ED0B51">
              <w:rPr>
                <w:sz w:val="26"/>
                <w:szCs w:val="26"/>
              </w:rPr>
              <w:t xml:space="preserve">5.3. pašvaldību budžets </w:t>
            </w:r>
          </w:p>
        </w:tc>
        <w:tc>
          <w:tcPr>
            <w:tcW w:w="1276" w:type="dxa"/>
            <w:vMerge/>
            <w:tcBorders>
              <w:bottom w:val="single" w:sz="4" w:space="0" w:color="auto"/>
            </w:tcBorders>
            <w:vAlign w:val="center"/>
          </w:tcPr>
          <w:p w14:paraId="25C05DC2" w14:textId="77777777" w:rsidR="00D175E9" w:rsidRPr="00ED0B51" w:rsidRDefault="00D175E9" w:rsidP="00846DA7">
            <w:pPr>
              <w:pStyle w:val="naisf"/>
              <w:spacing w:before="0" w:after="0"/>
              <w:ind w:firstLine="0"/>
              <w:jc w:val="center"/>
              <w:rPr>
                <w:i/>
                <w:sz w:val="26"/>
                <w:szCs w:val="26"/>
              </w:rPr>
            </w:pPr>
          </w:p>
        </w:tc>
        <w:tc>
          <w:tcPr>
            <w:tcW w:w="1543" w:type="dxa"/>
            <w:tcBorders>
              <w:bottom w:val="single" w:sz="4" w:space="0" w:color="auto"/>
            </w:tcBorders>
          </w:tcPr>
          <w:p w14:paraId="5FD9AEF2" w14:textId="77777777" w:rsidR="00D175E9" w:rsidRPr="00ED0B51" w:rsidRDefault="00CE5203" w:rsidP="00846DA7">
            <w:pPr>
              <w:pStyle w:val="naisf"/>
              <w:spacing w:before="0" w:after="0"/>
              <w:ind w:firstLine="0"/>
              <w:jc w:val="center"/>
              <w:rPr>
                <w:b/>
                <w:i/>
                <w:sz w:val="26"/>
                <w:szCs w:val="26"/>
              </w:rPr>
            </w:pPr>
            <w:r w:rsidRPr="00ED0B51">
              <w:rPr>
                <w:sz w:val="26"/>
                <w:szCs w:val="26"/>
              </w:rPr>
              <w:t>0</w:t>
            </w:r>
          </w:p>
        </w:tc>
        <w:tc>
          <w:tcPr>
            <w:tcW w:w="1150" w:type="dxa"/>
            <w:tcBorders>
              <w:bottom w:val="single" w:sz="4" w:space="0" w:color="auto"/>
            </w:tcBorders>
          </w:tcPr>
          <w:p w14:paraId="3D196117" w14:textId="77777777" w:rsidR="00D175E9" w:rsidRPr="00ED0B51" w:rsidRDefault="00CE5203" w:rsidP="00846DA7">
            <w:pPr>
              <w:pStyle w:val="naisf"/>
              <w:spacing w:before="0" w:after="0"/>
              <w:ind w:firstLine="0"/>
              <w:jc w:val="center"/>
              <w:rPr>
                <w:b/>
                <w:i/>
                <w:sz w:val="26"/>
                <w:szCs w:val="26"/>
              </w:rPr>
            </w:pPr>
            <w:r w:rsidRPr="00ED0B51">
              <w:rPr>
                <w:sz w:val="26"/>
                <w:szCs w:val="26"/>
              </w:rPr>
              <w:t>0</w:t>
            </w:r>
          </w:p>
        </w:tc>
        <w:tc>
          <w:tcPr>
            <w:tcW w:w="1195" w:type="dxa"/>
            <w:tcBorders>
              <w:bottom w:val="single" w:sz="4" w:space="0" w:color="auto"/>
            </w:tcBorders>
          </w:tcPr>
          <w:p w14:paraId="11AE8DC5" w14:textId="77777777" w:rsidR="00D175E9" w:rsidRPr="00ED0B51" w:rsidRDefault="00CE5203" w:rsidP="00846DA7">
            <w:pPr>
              <w:pStyle w:val="naisf"/>
              <w:spacing w:before="0" w:after="0"/>
              <w:ind w:firstLine="0"/>
              <w:jc w:val="center"/>
              <w:rPr>
                <w:b/>
                <w:i/>
                <w:sz w:val="26"/>
                <w:szCs w:val="26"/>
              </w:rPr>
            </w:pPr>
            <w:r w:rsidRPr="00ED0B51">
              <w:rPr>
                <w:sz w:val="26"/>
                <w:szCs w:val="26"/>
              </w:rPr>
              <w:t>0</w:t>
            </w:r>
          </w:p>
        </w:tc>
        <w:tc>
          <w:tcPr>
            <w:tcW w:w="1150" w:type="dxa"/>
            <w:tcBorders>
              <w:bottom w:val="single" w:sz="4" w:space="0" w:color="auto"/>
            </w:tcBorders>
          </w:tcPr>
          <w:p w14:paraId="70816CF2" w14:textId="77777777" w:rsidR="00D175E9" w:rsidRPr="00ED0B51" w:rsidRDefault="00CE5203" w:rsidP="00846DA7">
            <w:pPr>
              <w:pStyle w:val="naisf"/>
              <w:spacing w:before="0" w:after="0"/>
              <w:ind w:firstLine="0"/>
              <w:jc w:val="center"/>
              <w:rPr>
                <w:b/>
                <w:i/>
                <w:sz w:val="26"/>
                <w:szCs w:val="26"/>
              </w:rPr>
            </w:pPr>
            <w:r w:rsidRPr="00ED0B51">
              <w:rPr>
                <w:sz w:val="26"/>
                <w:szCs w:val="26"/>
              </w:rPr>
              <w:t>0</w:t>
            </w:r>
          </w:p>
        </w:tc>
      </w:tr>
      <w:tr w:rsidR="00ED0B51" w:rsidRPr="00ED0B51" w14:paraId="7798755D" w14:textId="77777777" w:rsidTr="00F53350">
        <w:trPr>
          <w:jc w:val="center"/>
        </w:trPr>
        <w:tc>
          <w:tcPr>
            <w:tcW w:w="3199" w:type="dxa"/>
          </w:tcPr>
          <w:p w14:paraId="3F2A1618" w14:textId="77777777" w:rsidR="00CE5203" w:rsidRPr="00ED0B51" w:rsidRDefault="00CE5203" w:rsidP="00E52D24">
            <w:pPr>
              <w:rPr>
                <w:sz w:val="26"/>
                <w:szCs w:val="26"/>
              </w:rPr>
            </w:pPr>
            <w:r w:rsidRPr="00ED0B51">
              <w:rPr>
                <w:sz w:val="26"/>
                <w:szCs w:val="26"/>
              </w:rPr>
              <w:t>6.</w:t>
            </w:r>
            <w:r w:rsidR="00E52D24" w:rsidRPr="00ED0B51">
              <w:rPr>
                <w:sz w:val="26"/>
                <w:szCs w:val="26"/>
              </w:rPr>
              <w:t xml:space="preserve"> </w:t>
            </w:r>
            <w:r w:rsidRPr="00ED0B51">
              <w:rPr>
                <w:sz w:val="26"/>
                <w:szCs w:val="26"/>
              </w:rPr>
              <w:t>Detalizēts ieņēmumu un izdevumu aprēķins (ja nepieciešams, detalizētu ieņēmumu un izdevumu aprēķinu var pievienot anotācijas pielikumā):</w:t>
            </w:r>
          </w:p>
        </w:tc>
        <w:tc>
          <w:tcPr>
            <w:tcW w:w="6314" w:type="dxa"/>
            <w:gridSpan w:val="5"/>
            <w:vAlign w:val="center"/>
          </w:tcPr>
          <w:p w14:paraId="4C9E7FC5" w14:textId="77777777" w:rsidR="00CE5203" w:rsidRPr="00ED0B51" w:rsidRDefault="00CE5203" w:rsidP="004453FB">
            <w:pPr>
              <w:pStyle w:val="naisf"/>
              <w:spacing w:before="0" w:after="0"/>
              <w:rPr>
                <w:sz w:val="26"/>
                <w:szCs w:val="26"/>
              </w:rPr>
            </w:pPr>
          </w:p>
        </w:tc>
      </w:tr>
      <w:tr w:rsidR="00ED0B51" w:rsidRPr="00ED0B51" w14:paraId="6FE28459" w14:textId="77777777" w:rsidTr="00F53350">
        <w:trPr>
          <w:jc w:val="center"/>
        </w:trPr>
        <w:tc>
          <w:tcPr>
            <w:tcW w:w="3199" w:type="dxa"/>
          </w:tcPr>
          <w:p w14:paraId="2EDB77F5" w14:textId="77777777" w:rsidR="00CE5203" w:rsidRPr="00ED0B51" w:rsidRDefault="00CE5203" w:rsidP="00E52D24">
            <w:pPr>
              <w:rPr>
                <w:sz w:val="26"/>
                <w:szCs w:val="26"/>
              </w:rPr>
            </w:pPr>
            <w:r w:rsidRPr="00ED0B51">
              <w:rPr>
                <w:sz w:val="26"/>
                <w:szCs w:val="26"/>
              </w:rPr>
              <w:t>6.1.</w:t>
            </w:r>
            <w:r w:rsidR="00E52D24" w:rsidRPr="00ED0B51">
              <w:rPr>
                <w:sz w:val="26"/>
                <w:szCs w:val="26"/>
              </w:rPr>
              <w:t xml:space="preserve"> </w:t>
            </w:r>
            <w:r w:rsidRPr="00ED0B51">
              <w:rPr>
                <w:sz w:val="26"/>
                <w:szCs w:val="26"/>
              </w:rPr>
              <w:t>detalizēts ieņēmumu aprēķins</w:t>
            </w:r>
          </w:p>
        </w:tc>
        <w:tc>
          <w:tcPr>
            <w:tcW w:w="6314" w:type="dxa"/>
            <w:gridSpan w:val="5"/>
          </w:tcPr>
          <w:p w14:paraId="3495BF8E" w14:textId="77777777" w:rsidR="00CE5203" w:rsidRPr="00ED0B51" w:rsidRDefault="00CE5203" w:rsidP="0089091C">
            <w:pPr>
              <w:pStyle w:val="naisf"/>
              <w:spacing w:before="0" w:after="0"/>
              <w:rPr>
                <w:b/>
                <w:i/>
                <w:sz w:val="26"/>
                <w:szCs w:val="26"/>
              </w:rPr>
            </w:pPr>
          </w:p>
        </w:tc>
      </w:tr>
      <w:tr w:rsidR="00ED0B51" w:rsidRPr="00ED0B51" w14:paraId="319DDA1A" w14:textId="77777777" w:rsidTr="00CE5203">
        <w:trPr>
          <w:jc w:val="center"/>
        </w:trPr>
        <w:tc>
          <w:tcPr>
            <w:tcW w:w="3199" w:type="dxa"/>
          </w:tcPr>
          <w:p w14:paraId="5FFC3B66" w14:textId="77777777" w:rsidR="00696E84" w:rsidRPr="00ED0B51" w:rsidRDefault="00696E84" w:rsidP="0089091C">
            <w:pPr>
              <w:rPr>
                <w:sz w:val="26"/>
                <w:szCs w:val="26"/>
              </w:rPr>
            </w:pPr>
            <w:r w:rsidRPr="00ED0B51">
              <w:rPr>
                <w:sz w:val="26"/>
                <w:szCs w:val="26"/>
              </w:rPr>
              <w:t>6.2. detalizēts izdevumu aprēķins</w:t>
            </w:r>
          </w:p>
        </w:tc>
        <w:tc>
          <w:tcPr>
            <w:tcW w:w="6314" w:type="dxa"/>
            <w:gridSpan w:val="5"/>
            <w:tcBorders>
              <w:bottom w:val="single" w:sz="4" w:space="0" w:color="auto"/>
            </w:tcBorders>
          </w:tcPr>
          <w:p w14:paraId="6A7F95A3" w14:textId="77777777" w:rsidR="0082754E" w:rsidRPr="00ED0B51" w:rsidRDefault="0082754E" w:rsidP="0082754E">
            <w:pPr>
              <w:rPr>
                <w:b/>
              </w:rPr>
            </w:pPr>
            <w:r w:rsidRPr="00ED0B51">
              <w:rPr>
                <w:b/>
              </w:rPr>
              <w:t>V</w:t>
            </w:r>
            <w:r w:rsidR="00A438B6" w:rsidRPr="00ED0B51">
              <w:rPr>
                <w:b/>
              </w:rPr>
              <w:t>alsts ieņēmumu dienesta informācijas sistēmu</w:t>
            </w:r>
            <w:r w:rsidRPr="00ED0B51">
              <w:rPr>
                <w:b/>
              </w:rPr>
              <w:t xml:space="preserve"> izmaiņu veikšanai nepieciešamais finansējums:</w:t>
            </w:r>
          </w:p>
          <w:tbl>
            <w:tblPr>
              <w:tblW w:w="5521" w:type="dxa"/>
              <w:tblCellMar>
                <w:left w:w="0" w:type="dxa"/>
                <w:right w:w="0" w:type="dxa"/>
              </w:tblCellMar>
              <w:tblLook w:val="04A0" w:firstRow="1" w:lastRow="0" w:firstColumn="1" w:lastColumn="0" w:noHBand="0" w:noVBand="1"/>
            </w:tblPr>
            <w:tblGrid>
              <w:gridCol w:w="4153"/>
              <w:gridCol w:w="1368"/>
            </w:tblGrid>
            <w:tr w:rsidR="00ED0B51" w:rsidRPr="00ED0B51" w14:paraId="354CA736" w14:textId="77777777" w:rsidTr="00FC4195">
              <w:trPr>
                <w:trHeight w:val="600"/>
              </w:trPr>
              <w:tc>
                <w:tcPr>
                  <w:tcW w:w="4153"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14:paraId="3B9C8966" w14:textId="77777777" w:rsidR="0082754E" w:rsidRPr="00ED0B51" w:rsidRDefault="0082754E" w:rsidP="00FC4195">
                  <w:pPr>
                    <w:jc w:val="center"/>
                    <w:rPr>
                      <w:rFonts w:ascii="Calibri" w:eastAsia="Calibri" w:hAnsi="Calibri"/>
                      <w:sz w:val="20"/>
                      <w:szCs w:val="20"/>
                    </w:rPr>
                  </w:pPr>
                  <w:r w:rsidRPr="00ED0B51">
                    <w:rPr>
                      <w:sz w:val="20"/>
                      <w:szCs w:val="20"/>
                    </w:rPr>
                    <w:t>V</w:t>
                  </w:r>
                  <w:r w:rsidR="00A438B6" w:rsidRPr="00ED0B51">
                    <w:rPr>
                      <w:sz w:val="20"/>
                      <w:szCs w:val="20"/>
                    </w:rPr>
                    <w:t>alsts ieņēmumu dienesta</w:t>
                  </w:r>
                  <w:r w:rsidRPr="00ED0B51">
                    <w:rPr>
                      <w:sz w:val="20"/>
                      <w:szCs w:val="20"/>
                    </w:rPr>
                    <w:t xml:space="preserve"> informācijas sistēma</w:t>
                  </w:r>
                </w:p>
              </w:tc>
              <w:tc>
                <w:tcPr>
                  <w:tcW w:w="1368"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7F4FD934" w14:textId="77777777" w:rsidR="0082754E" w:rsidRPr="00ED0B51" w:rsidRDefault="0082754E" w:rsidP="00FC4195">
                  <w:pPr>
                    <w:jc w:val="center"/>
                    <w:rPr>
                      <w:rFonts w:ascii="Calibri" w:eastAsia="Calibri" w:hAnsi="Calibri"/>
                      <w:sz w:val="20"/>
                      <w:szCs w:val="20"/>
                    </w:rPr>
                  </w:pPr>
                  <w:r w:rsidRPr="00ED0B51">
                    <w:rPr>
                      <w:sz w:val="20"/>
                      <w:szCs w:val="20"/>
                    </w:rPr>
                    <w:t xml:space="preserve">Izmaksas, </w:t>
                  </w:r>
                  <w:proofErr w:type="spellStart"/>
                  <w:r w:rsidRPr="00ED0B51">
                    <w:rPr>
                      <w:i/>
                      <w:iCs/>
                      <w:sz w:val="20"/>
                      <w:szCs w:val="20"/>
                    </w:rPr>
                    <w:t>euro</w:t>
                  </w:r>
                  <w:proofErr w:type="spellEnd"/>
                </w:p>
              </w:tc>
            </w:tr>
            <w:tr w:rsidR="00ED0B51" w:rsidRPr="00ED0B51" w14:paraId="6765B31C" w14:textId="77777777" w:rsidTr="00424DC6">
              <w:trPr>
                <w:trHeight w:val="300"/>
              </w:trPr>
              <w:tc>
                <w:tcPr>
                  <w:tcW w:w="415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58B79E41" w14:textId="77777777" w:rsidR="0082754E" w:rsidRPr="00ED0B51" w:rsidRDefault="0082754E" w:rsidP="00424DC6">
                  <w:pPr>
                    <w:rPr>
                      <w:rFonts w:ascii="Calibri" w:eastAsia="Calibri" w:hAnsi="Calibri"/>
                      <w:sz w:val="20"/>
                      <w:szCs w:val="20"/>
                    </w:rPr>
                  </w:pPr>
                  <w:r w:rsidRPr="00ED0B51">
                    <w:rPr>
                      <w:sz w:val="20"/>
                      <w:szCs w:val="20"/>
                    </w:rPr>
                    <w:t>Nodokļu informācijas sistēma</w:t>
                  </w:r>
                </w:p>
              </w:tc>
              <w:tc>
                <w:tcPr>
                  <w:tcW w:w="136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73F0313" w14:textId="77777777" w:rsidR="0082754E" w:rsidRPr="00ED0B51" w:rsidRDefault="00647CF2" w:rsidP="00647CF2">
                  <w:pPr>
                    <w:jc w:val="right"/>
                    <w:rPr>
                      <w:sz w:val="20"/>
                      <w:szCs w:val="20"/>
                    </w:rPr>
                  </w:pPr>
                  <w:r w:rsidRPr="00ED0B51">
                    <w:rPr>
                      <w:sz w:val="20"/>
                      <w:szCs w:val="20"/>
                    </w:rPr>
                    <w:t>4</w:t>
                  </w:r>
                  <w:r w:rsidR="0082754E" w:rsidRPr="00ED0B51">
                    <w:rPr>
                      <w:sz w:val="20"/>
                      <w:szCs w:val="20"/>
                    </w:rPr>
                    <w:t>2 </w:t>
                  </w:r>
                  <w:r w:rsidRPr="00ED0B51">
                    <w:rPr>
                      <w:sz w:val="20"/>
                      <w:szCs w:val="20"/>
                    </w:rPr>
                    <w:t>127</w:t>
                  </w:r>
                </w:p>
              </w:tc>
            </w:tr>
            <w:tr w:rsidR="00ED0B51" w:rsidRPr="00ED0B51" w14:paraId="2C59FF14" w14:textId="77777777" w:rsidTr="00424DC6">
              <w:trPr>
                <w:trHeight w:val="300"/>
              </w:trPr>
              <w:tc>
                <w:tcPr>
                  <w:tcW w:w="415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439536C0" w14:textId="77777777" w:rsidR="0082754E" w:rsidRPr="00ED0B51" w:rsidRDefault="0082754E" w:rsidP="00424DC6">
                  <w:pPr>
                    <w:rPr>
                      <w:rFonts w:ascii="Calibri" w:eastAsia="Calibri" w:hAnsi="Calibri"/>
                      <w:sz w:val="20"/>
                      <w:szCs w:val="20"/>
                    </w:rPr>
                  </w:pPr>
                  <w:r w:rsidRPr="00ED0B51">
                    <w:rPr>
                      <w:sz w:val="20"/>
                      <w:szCs w:val="20"/>
                    </w:rPr>
                    <w:t>Elektroniskās deklarēšanas sistēma</w:t>
                  </w:r>
                </w:p>
              </w:tc>
              <w:tc>
                <w:tcPr>
                  <w:tcW w:w="136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E624E13" w14:textId="77777777" w:rsidR="0082754E" w:rsidRPr="00ED0B51" w:rsidRDefault="00647CF2" w:rsidP="00647CF2">
                  <w:pPr>
                    <w:jc w:val="right"/>
                    <w:rPr>
                      <w:sz w:val="20"/>
                      <w:szCs w:val="20"/>
                    </w:rPr>
                  </w:pPr>
                  <w:r w:rsidRPr="00ED0B51">
                    <w:rPr>
                      <w:sz w:val="20"/>
                      <w:szCs w:val="20"/>
                    </w:rPr>
                    <w:t>18</w:t>
                  </w:r>
                  <w:r w:rsidR="0082754E" w:rsidRPr="00ED0B51">
                    <w:rPr>
                      <w:sz w:val="20"/>
                      <w:szCs w:val="20"/>
                    </w:rPr>
                    <w:t> </w:t>
                  </w:r>
                  <w:r w:rsidRPr="00ED0B51">
                    <w:rPr>
                      <w:sz w:val="20"/>
                      <w:szCs w:val="20"/>
                    </w:rPr>
                    <w:t>513</w:t>
                  </w:r>
                </w:p>
              </w:tc>
            </w:tr>
            <w:tr w:rsidR="00ED0B51" w:rsidRPr="00ED0B51" w14:paraId="7DE96D27" w14:textId="77777777" w:rsidTr="00424DC6">
              <w:trPr>
                <w:trHeight w:val="300"/>
              </w:trPr>
              <w:tc>
                <w:tcPr>
                  <w:tcW w:w="415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39B6362" w14:textId="77777777" w:rsidR="0082754E" w:rsidRPr="00ED0B51" w:rsidRDefault="0082754E" w:rsidP="00424DC6">
                  <w:pPr>
                    <w:rPr>
                      <w:rFonts w:ascii="Calibri" w:eastAsia="Calibri" w:hAnsi="Calibri"/>
                      <w:sz w:val="20"/>
                      <w:szCs w:val="20"/>
                    </w:rPr>
                  </w:pPr>
                  <w:r w:rsidRPr="00ED0B51">
                    <w:rPr>
                      <w:sz w:val="20"/>
                      <w:szCs w:val="20"/>
                    </w:rPr>
                    <w:t>Datu noliktavas sistēma</w:t>
                  </w:r>
                </w:p>
              </w:tc>
              <w:tc>
                <w:tcPr>
                  <w:tcW w:w="136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B405428" w14:textId="77777777" w:rsidR="0082754E" w:rsidRPr="00ED0B51" w:rsidRDefault="00647CF2" w:rsidP="00647CF2">
                  <w:pPr>
                    <w:jc w:val="right"/>
                    <w:rPr>
                      <w:rFonts w:ascii="Calibri" w:eastAsia="Calibri" w:hAnsi="Calibri"/>
                      <w:sz w:val="20"/>
                      <w:szCs w:val="20"/>
                    </w:rPr>
                  </w:pPr>
                  <w:r w:rsidRPr="00ED0B51">
                    <w:rPr>
                      <w:sz w:val="20"/>
                      <w:szCs w:val="20"/>
                    </w:rPr>
                    <w:t>22</w:t>
                  </w:r>
                  <w:r w:rsidR="0082754E" w:rsidRPr="00ED0B51">
                    <w:rPr>
                      <w:sz w:val="20"/>
                      <w:szCs w:val="20"/>
                    </w:rPr>
                    <w:t xml:space="preserve"> </w:t>
                  </w:r>
                  <w:r w:rsidRPr="00ED0B51">
                    <w:rPr>
                      <w:sz w:val="20"/>
                      <w:szCs w:val="20"/>
                    </w:rPr>
                    <w:t>098</w:t>
                  </w:r>
                </w:p>
              </w:tc>
            </w:tr>
            <w:tr w:rsidR="00ED0B51" w:rsidRPr="00ED0B51" w14:paraId="14FF2EB2" w14:textId="77777777" w:rsidTr="00424DC6">
              <w:trPr>
                <w:trHeight w:val="300"/>
              </w:trPr>
              <w:tc>
                <w:tcPr>
                  <w:tcW w:w="415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F0D5D36" w14:textId="77777777" w:rsidR="0082754E" w:rsidRPr="00ED0B51" w:rsidRDefault="00647CF2" w:rsidP="006E2B8F">
                  <w:pPr>
                    <w:rPr>
                      <w:rFonts w:ascii="Calibri" w:eastAsia="Calibri" w:hAnsi="Calibri"/>
                      <w:sz w:val="20"/>
                      <w:szCs w:val="20"/>
                    </w:rPr>
                  </w:pPr>
                  <w:r w:rsidRPr="00ED0B51">
                    <w:rPr>
                      <w:sz w:val="20"/>
                      <w:szCs w:val="20"/>
                    </w:rPr>
                    <w:t>Fizisko personu riska</w:t>
                  </w:r>
                  <w:r w:rsidR="0082754E" w:rsidRPr="00ED0B51">
                    <w:rPr>
                      <w:sz w:val="20"/>
                      <w:szCs w:val="20"/>
                    </w:rPr>
                    <w:t xml:space="preserve"> </w:t>
                  </w:r>
                  <w:r w:rsidR="006E2B8F" w:rsidRPr="00ED0B51">
                    <w:rPr>
                      <w:sz w:val="20"/>
                      <w:szCs w:val="20"/>
                    </w:rPr>
                    <w:t xml:space="preserve">analīzes </w:t>
                  </w:r>
                  <w:r w:rsidR="0082754E" w:rsidRPr="00ED0B51">
                    <w:rPr>
                      <w:sz w:val="20"/>
                      <w:szCs w:val="20"/>
                    </w:rPr>
                    <w:t>sistēma</w:t>
                  </w:r>
                </w:p>
              </w:tc>
              <w:tc>
                <w:tcPr>
                  <w:tcW w:w="136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EBDDE1F" w14:textId="77777777" w:rsidR="0082754E" w:rsidRPr="00ED0B51" w:rsidRDefault="00647CF2" w:rsidP="00647CF2">
                  <w:pPr>
                    <w:jc w:val="right"/>
                    <w:rPr>
                      <w:rFonts w:ascii="Calibri" w:eastAsia="Calibri" w:hAnsi="Calibri"/>
                      <w:sz w:val="20"/>
                      <w:szCs w:val="20"/>
                    </w:rPr>
                  </w:pPr>
                  <w:r w:rsidRPr="00ED0B51">
                    <w:rPr>
                      <w:sz w:val="20"/>
                      <w:szCs w:val="20"/>
                    </w:rPr>
                    <w:t>15</w:t>
                  </w:r>
                  <w:r w:rsidR="0082754E" w:rsidRPr="00ED0B51">
                    <w:rPr>
                      <w:sz w:val="20"/>
                      <w:szCs w:val="20"/>
                    </w:rPr>
                    <w:t xml:space="preserve"> </w:t>
                  </w:r>
                  <w:r w:rsidRPr="00ED0B51">
                    <w:rPr>
                      <w:sz w:val="20"/>
                      <w:szCs w:val="20"/>
                    </w:rPr>
                    <w:t>495</w:t>
                  </w:r>
                </w:p>
              </w:tc>
            </w:tr>
            <w:tr w:rsidR="00ED0B51" w:rsidRPr="00ED0B51" w14:paraId="06BB5F11" w14:textId="77777777" w:rsidTr="00424DC6">
              <w:trPr>
                <w:trHeight w:val="285"/>
              </w:trPr>
              <w:tc>
                <w:tcPr>
                  <w:tcW w:w="4153" w:type="dxa"/>
                  <w:tcBorders>
                    <w:top w:val="nil"/>
                    <w:left w:val="single" w:sz="8" w:space="0" w:color="auto"/>
                    <w:bottom w:val="single" w:sz="8" w:space="0" w:color="auto"/>
                    <w:right w:val="single" w:sz="8" w:space="0" w:color="auto"/>
                  </w:tcBorders>
                  <w:shd w:val="clear" w:color="auto" w:fill="D9D9D9"/>
                  <w:noWrap/>
                  <w:tcMar>
                    <w:top w:w="0" w:type="dxa"/>
                    <w:left w:w="108" w:type="dxa"/>
                    <w:bottom w:w="0" w:type="dxa"/>
                    <w:right w:w="108" w:type="dxa"/>
                  </w:tcMar>
                  <w:vAlign w:val="center"/>
                  <w:hideMark/>
                </w:tcPr>
                <w:p w14:paraId="1CAF1791" w14:textId="77777777" w:rsidR="0082754E" w:rsidRPr="00ED0B51" w:rsidRDefault="0082754E" w:rsidP="00424DC6">
                  <w:pPr>
                    <w:rPr>
                      <w:rFonts w:ascii="Calibri" w:eastAsia="Calibri" w:hAnsi="Calibri"/>
                      <w:b/>
                      <w:bCs/>
                      <w:sz w:val="20"/>
                      <w:szCs w:val="20"/>
                    </w:rPr>
                  </w:pPr>
                  <w:r w:rsidRPr="00ED0B51">
                    <w:rPr>
                      <w:b/>
                      <w:bCs/>
                      <w:sz w:val="20"/>
                      <w:szCs w:val="20"/>
                    </w:rPr>
                    <w:t>Kopā</w:t>
                  </w:r>
                </w:p>
              </w:tc>
              <w:tc>
                <w:tcPr>
                  <w:tcW w:w="1368" w:type="dxa"/>
                  <w:tcBorders>
                    <w:top w:val="nil"/>
                    <w:left w:val="nil"/>
                    <w:bottom w:val="single" w:sz="8" w:space="0" w:color="auto"/>
                    <w:right w:val="single" w:sz="8" w:space="0" w:color="auto"/>
                  </w:tcBorders>
                  <w:shd w:val="clear" w:color="auto" w:fill="D9D9D9"/>
                  <w:noWrap/>
                  <w:tcMar>
                    <w:top w:w="0" w:type="dxa"/>
                    <w:left w:w="108" w:type="dxa"/>
                    <w:bottom w:w="0" w:type="dxa"/>
                    <w:right w:w="108" w:type="dxa"/>
                  </w:tcMar>
                  <w:vAlign w:val="bottom"/>
                  <w:hideMark/>
                </w:tcPr>
                <w:p w14:paraId="0427D24C" w14:textId="77777777" w:rsidR="0082754E" w:rsidRPr="00ED0B51" w:rsidRDefault="00647CF2" w:rsidP="00647CF2">
                  <w:pPr>
                    <w:jc w:val="right"/>
                    <w:rPr>
                      <w:rFonts w:ascii="Calibri" w:eastAsia="Calibri" w:hAnsi="Calibri"/>
                      <w:b/>
                      <w:bCs/>
                      <w:sz w:val="20"/>
                      <w:szCs w:val="20"/>
                    </w:rPr>
                  </w:pPr>
                  <w:r w:rsidRPr="00ED0B51">
                    <w:rPr>
                      <w:b/>
                      <w:bCs/>
                      <w:sz w:val="20"/>
                      <w:szCs w:val="20"/>
                    </w:rPr>
                    <w:t>98</w:t>
                  </w:r>
                  <w:r w:rsidR="0082754E" w:rsidRPr="00ED0B51">
                    <w:rPr>
                      <w:b/>
                      <w:bCs/>
                      <w:sz w:val="20"/>
                      <w:szCs w:val="20"/>
                    </w:rPr>
                    <w:t> 2</w:t>
                  </w:r>
                  <w:r w:rsidRPr="00ED0B51">
                    <w:rPr>
                      <w:b/>
                      <w:bCs/>
                      <w:sz w:val="20"/>
                      <w:szCs w:val="20"/>
                    </w:rPr>
                    <w:t>33</w:t>
                  </w:r>
                </w:p>
              </w:tc>
            </w:tr>
          </w:tbl>
          <w:p w14:paraId="5D3ABE28" w14:textId="77777777" w:rsidR="00696E84" w:rsidRPr="00ED0B51" w:rsidRDefault="00696E84" w:rsidP="00F53350">
            <w:pPr>
              <w:rPr>
                <w:sz w:val="26"/>
                <w:szCs w:val="26"/>
              </w:rPr>
            </w:pPr>
          </w:p>
        </w:tc>
      </w:tr>
      <w:tr w:rsidR="006E2B8F" w:rsidRPr="00ED0B51" w14:paraId="103F1F3A" w14:textId="77777777" w:rsidTr="00CE5203">
        <w:trPr>
          <w:trHeight w:val="556"/>
          <w:jc w:val="center"/>
        </w:trPr>
        <w:tc>
          <w:tcPr>
            <w:tcW w:w="3199" w:type="dxa"/>
          </w:tcPr>
          <w:p w14:paraId="0FC4DB8F" w14:textId="77777777" w:rsidR="00696E84" w:rsidRPr="00ED0B51" w:rsidRDefault="00696E84" w:rsidP="0089091C">
            <w:pPr>
              <w:rPr>
                <w:sz w:val="26"/>
                <w:szCs w:val="26"/>
              </w:rPr>
            </w:pPr>
            <w:r w:rsidRPr="00ED0B51">
              <w:rPr>
                <w:sz w:val="26"/>
                <w:szCs w:val="26"/>
              </w:rPr>
              <w:t>7. Cita informācija</w:t>
            </w:r>
          </w:p>
        </w:tc>
        <w:tc>
          <w:tcPr>
            <w:tcW w:w="6314" w:type="dxa"/>
            <w:gridSpan w:val="5"/>
            <w:tcBorders>
              <w:top w:val="single" w:sz="4" w:space="0" w:color="auto"/>
            </w:tcBorders>
          </w:tcPr>
          <w:p w14:paraId="0E27B4B3" w14:textId="77777777" w:rsidR="004453FB" w:rsidRPr="00ED0B51" w:rsidRDefault="00647CF2" w:rsidP="00417F66">
            <w:pPr>
              <w:pStyle w:val="naisf"/>
              <w:tabs>
                <w:tab w:val="left" w:pos="4644"/>
              </w:tabs>
              <w:spacing w:before="0" w:after="0"/>
              <w:ind w:firstLine="30"/>
              <w:rPr>
                <w:sz w:val="26"/>
                <w:szCs w:val="26"/>
              </w:rPr>
            </w:pPr>
            <w:r w:rsidRPr="00ED0B51">
              <w:rPr>
                <w:sz w:val="26"/>
                <w:szCs w:val="26"/>
              </w:rPr>
              <w:t xml:space="preserve">Noteikumu projekta realizācijai Valsts ieņēmumu dienesta </w:t>
            </w:r>
            <w:r w:rsidR="00E52D24" w:rsidRPr="00ED0B51">
              <w:rPr>
                <w:sz w:val="26"/>
                <w:szCs w:val="26"/>
              </w:rPr>
              <w:t>i</w:t>
            </w:r>
            <w:r w:rsidRPr="00ED0B51">
              <w:rPr>
                <w:sz w:val="26"/>
                <w:szCs w:val="26"/>
              </w:rPr>
              <w:t xml:space="preserve">nformācijas sistēmās nepieciešamais </w:t>
            </w:r>
            <w:r w:rsidR="004453FB" w:rsidRPr="00ED0B51">
              <w:rPr>
                <w:sz w:val="26"/>
                <w:szCs w:val="26"/>
              </w:rPr>
              <w:t>finansējums 98</w:t>
            </w:r>
            <w:r w:rsidRPr="00ED0B51">
              <w:rPr>
                <w:sz w:val="26"/>
                <w:szCs w:val="26"/>
              </w:rPr>
              <w:t> </w:t>
            </w:r>
            <w:r w:rsidR="004453FB" w:rsidRPr="00ED0B51">
              <w:rPr>
                <w:sz w:val="26"/>
                <w:szCs w:val="26"/>
              </w:rPr>
              <w:t>233</w:t>
            </w:r>
            <w:r w:rsidRPr="00ED0B51">
              <w:rPr>
                <w:sz w:val="26"/>
                <w:szCs w:val="26"/>
              </w:rPr>
              <w:t> </w:t>
            </w:r>
            <w:proofErr w:type="spellStart"/>
            <w:r w:rsidRPr="00ED0B51">
              <w:rPr>
                <w:i/>
                <w:sz w:val="26"/>
                <w:szCs w:val="26"/>
              </w:rPr>
              <w:t>euro</w:t>
            </w:r>
            <w:proofErr w:type="spellEnd"/>
            <w:r w:rsidR="004453FB" w:rsidRPr="00ED0B51">
              <w:rPr>
                <w:sz w:val="26"/>
                <w:szCs w:val="26"/>
              </w:rPr>
              <w:t xml:space="preserve"> apmērā, lai veiktu izmaiņas Valsts ieņēmumu dienesta </w:t>
            </w:r>
            <w:r w:rsidRPr="00ED0B51">
              <w:rPr>
                <w:sz w:val="26"/>
                <w:szCs w:val="26"/>
              </w:rPr>
              <w:t xml:space="preserve">informācijas </w:t>
            </w:r>
            <w:r w:rsidR="004453FB" w:rsidRPr="00ED0B51">
              <w:rPr>
                <w:sz w:val="26"/>
                <w:szCs w:val="26"/>
              </w:rPr>
              <w:t xml:space="preserve">sistēmās, tiks nodrošināts Valsts ieņēmumu dienestam piešķirtā budžeta ietvaros un papildus </w:t>
            </w:r>
            <w:r w:rsidR="004453FB" w:rsidRPr="00ED0B51">
              <w:rPr>
                <w:sz w:val="26"/>
                <w:szCs w:val="26"/>
              </w:rPr>
              <w:lastRenderedPageBreak/>
              <w:t xml:space="preserve">finansējums netiks pieprasīts. Izmaksas tiks segtas no </w:t>
            </w:r>
            <w:r w:rsidRPr="00ED0B51">
              <w:rPr>
                <w:sz w:val="26"/>
                <w:szCs w:val="26"/>
              </w:rPr>
              <w:t xml:space="preserve">Finanšu ministrijas </w:t>
            </w:r>
            <w:r w:rsidR="004453FB" w:rsidRPr="00ED0B51">
              <w:rPr>
                <w:sz w:val="26"/>
                <w:szCs w:val="26"/>
              </w:rPr>
              <w:t xml:space="preserve">budžeta programmas 33.00.00 </w:t>
            </w:r>
            <w:r w:rsidR="00E52D24" w:rsidRPr="00ED0B51">
              <w:rPr>
                <w:sz w:val="26"/>
                <w:szCs w:val="26"/>
              </w:rPr>
              <w:t>“</w:t>
            </w:r>
            <w:r w:rsidR="004453FB" w:rsidRPr="00ED0B51">
              <w:rPr>
                <w:sz w:val="26"/>
                <w:szCs w:val="26"/>
              </w:rPr>
              <w:t>Valsts ieņēmumu dienesta un muitas politikas nodrošināšana”.</w:t>
            </w:r>
          </w:p>
          <w:p w14:paraId="244BEFE6" w14:textId="77777777" w:rsidR="00417F66" w:rsidRPr="00ED0B51" w:rsidRDefault="00417F66" w:rsidP="00BF2464">
            <w:pPr>
              <w:pStyle w:val="naisf"/>
              <w:tabs>
                <w:tab w:val="left" w:pos="4644"/>
              </w:tabs>
              <w:spacing w:before="0" w:after="0"/>
              <w:ind w:firstLine="0"/>
              <w:rPr>
                <w:sz w:val="26"/>
                <w:szCs w:val="26"/>
              </w:rPr>
            </w:pPr>
            <w:r w:rsidRPr="00ED0B51">
              <w:rPr>
                <w:sz w:val="26"/>
                <w:szCs w:val="26"/>
              </w:rPr>
              <w:t>Nepieciešamā finansējuma summā ir iekļauta nepieciešamo izmaiņu projektēšana un realizācija Nodokļu informācijas sistēmā, Elektroniskās deklarēšanas sistēmā</w:t>
            </w:r>
            <w:r w:rsidR="0082754E" w:rsidRPr="00ED0B51">
              <w:rPr>
                <w:sz w:val="26"/>
                <w:szCs w:val="26"/>
              </w:rPr>
              <w:t>,</w:t>
            </w:r>
            <w:r w:rsidRPr="00ED0B51">
              <w:rPr>
                <w:sz w:val="26"/>
                <w:szCs w:val="26"/>
              </w:rPr>
              <w:t xml:space="preserve"> Datu noliktavas sistēmā</w:t>
            </w:r>
            <w:r w:rsidR="0082754E" w:rsidRPr="00ED0B51">
              <w:rPr>
                <w:sz w:val="26"/>
                <w:szCs w:val="26"/>
              </w:rPr>
              <w:t xml:space="preserve"> un </w:t>
            </w:r>
            <w:r w:rsidR="006E2B8F" w:rsidRPr="00ED0B51">
              <w:rPr>
                <w:sz w:val="26"/>
                <w:szCs w:val="26"/>
              </w:rPr>
              <w:t xml:space="preserve">Fizisko personu riska analīzes </w:t>
            </w:r>
            <w:r w:rsidR="0082754E" w:rsidRPr="00ED0B51">
              <w:rPr>
                <w:sz w:val="26"/>
                <w:szCs w:val="26"/>
              </w:rPr>
              <w:t>sistēmā</w:t>
            </w:r>
            <w:r w:rsidR="006F789E" w:rsidRPr="00ED0B51">
              <w:rPr>
                <w:sz w:val="26"/>
                <w:szCs w:val="26"/>
              </w:rPr>
              <w:t>.</w:t>
            </w:r>
          </w:p>
        </w:tc>
      </w:tr>
    </w:tbl>
    <w:p w14:paraId="609DB149" w14:textId="77777777" w:rsidR="00BF2464" w:rsidRPr="00ED0B51" w:rsidRDefault="00BF2464">
      <w:pPr>
        <w:rPr>
          <w:sz w:val="28"/>
          <w:szCs w:val="28"/>
        </w:rPr>
      </w:pPr>
    </w:p>
    <w:tbl>
      <w:tblPr>
        <w:tblW w:w="95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37"/>
        <w:gridCol w:w="3615"/>
        <w:gridCol w:w="5466"/>
      </w:tblGrid>
      <w:tr w:rsidR="00ED0B51" w:rsidRPr="00ED0B51" w14:paraId="53853B95" w14:textId="77777777" w:rsidTr="00F14184">
        <w:trPr>
          <w:trHeight w:val="381"/>
          <w:jc w:val="center"/>
        </w:trPr>
        <w:tc>
          <w:tcPr>
            <w:tcW w:w="9518" w:type="dxa"/>
            <w:gridSpan w:val="3"/>
            <w:vAlign w:val="center"/>
          </w:tcPr>
          <w:p w14:paraId="1CA726B9" w14:textId="77777777" w:rsidR="00594655" w:rsidRPr="00ED0B51" w:rsidRDefault="00594655" w:rsidP="00F14184">
            <w:pPr>
              <w:pStyle w:val="naisnod"/>
              <w:spacing w:before="0" w:after="0"/>
              <w:ind w:left="57" w:right="57"/>
              <w:rPr>
                <w:sz w:val="26"/>
                <w:szCs w:val="26"/>
              </w:rPr>
            </w:pPr>
            <w:r w:rsidRPr="00ED0B51">
              <w:rPr>
                <w:sz w:val="26"/>
                <w:szCs w:val="26"/>
              </w:rPr>
              <w:t>VI. Sabiedrības līdzdalība un komunikācijas aktivitātes</w:t>
            </w:r>
          </w:p>
        </w:tc>
      </w:tr>
      <w:tr w:rsidR="00ED0B51" w:rsidRPr="00ED0B51" w14:paraId="4967F530" w14:textId="77777777" w:rsidTr="00F14184">
        <w:trPr>
          <w:trHeight w:val="427"/>
          <w:jc w:val="center"/>
        </w:trPr>
        <w:tc>
          <w:tcPr>
            <w:tcW w:w="437" w:type="dxa"/>
          </w:tcPr>
          <w:p w14:paraId="394B9BB2" w14:textId="77777777" w:rsidR="00594655" w:rsidRPr="00ED0B51" w:rsidRDefault="00594655" w:rsidP="00F14184">
            <w:pPr>
              <w:pStyle w:val="naisnod"/>
              <w:spacing w:before="0" w:after="0"/>
              <w:ind w:left="57" w:right="57"/>
              <w:jc w:val="both"/>
              <w:rPr>
                <w:sz w:val="26"/>
                <w:szCs w:val="26"/>
              </w:rPr>
            </w:pPr>
            <w:r w:rsidRPr="00ED0B51">
              <w:rPr>
                <w:b w:val="0"/>
                <w:bCs w:val="0"/>
                <w:sz w:val="26"/>
                <w:szCs w:val="26"/>
              </w:rPr>
              <w:t>1.</w:t>
            </w:r>
          </w:p>
        </w:tc>
        <w:tc>
          <w:tcPr>
            <w:tcW w:w="3615" w:type="dxa"/>
          </w:tcPr>
          <w:p w14:paraId="24A0C9F7" w14:textId="77777777" w:rsidR="00594655" w:rsidRPr="00ED0B51" w:rsidRDefault="00594655" w:rsidP="00F14184">
            <w:pPr>
              <w:pStyle w:val="naisf"/>
              <w:spacing w:before="0" w:after="0"/>
              <w:ind w:firstLine="0"/>
              <w:jc w:val="left"/>
              <w:rPr>
                <w:sz w:val="26"/>
                <w:szCs w:val="26"/>
              </w:rPr>
            </w:pPr>
            <w:r w:rsidRPr="00ED0B51">
              <w:rPr>
                <w:sz w:val="26"/>
                <w:szCs w:val="26"/>
              </w:rPr>
              <w:t>Plānotās sabiedrības līdzdalības un komunikācijas aktivitātes saistībā ar projektu</w:t>
            </w:r>
          </w:p>
        </w:tc>
        <w:tc>
          <w:tcPr>
            <w:tcW w:w="5466" w:type="dxa"/>
          </w:tcPr>
          <w:p w14:paraId="4770DB74" w14:textId="77777777" w:rsidR="00847FA2" w:rsidRPr="00ED0B51" w:rsidRDefault="006162DA" w:rsidP="00847FA2">
            <w:pPr>
              <w:jc w:val="both"/>
              <w:rPr>
                <w:sz w:val="26"/>
                <w:szCs w:val="26"/>
              </w:rPr>
            </w:pPr>
            <w:r w:rsidRPr="00ED0B51">
              <w:rPr>
                <w:sz w:val="26"/>
                <w:szCs w:val="26"/>
              </w:rPr>
              <w:t>Informācija par</w:t>
            </w:r>
            <w:r w:rsidR="00847FA2" w:rsidRPr="00ED0B51">
              <w:rPr>
                <w:sz w:val="26"/>
                <w:szCs w:val="26"/>
              </w:rPr>
              <w:t xml:space="preserve"> projekt</w:t>
            </w:r>
            <w:r w:rsidRPr="00ED0B51">
              <w:rPr>
                <w:sz w:val="26"/>
                <w:szCs w:val="26"/>
              </w:rPr>
              <w:t>a izstrādi</w:t>
            </w:r>
            <w:r w:rsidR="00847FA2" w:rsidRPr="00ED0B51">
              <w:rPr>
                <w:sz w:val="26"/>
                <w:szCs w:val="26"/>
              </w:rPr>
              <w:t xml:space="preserve"> 201</w:t>
            </w:r>
            <w:r w:rsidRPr="00ED0B51">
              <w:rPr>
                <w:sz w:val="26"/>
                <w:szCs w:val="26"/>
              </w:rPr>
              <w:t>5</w:t>
            </w:r>
            <w:r w:rsidR="00847FA2" w:rsidRPr="00ED0B51">
              <w:rPr>
                <w:sz w:val="26"/>
                <w:szCs w:val="26"/>
              </w:rPr>
              <w:t xml:space="preserve">.gada </w:t>
            </w:r>
            <w:r w:rsidRPr="00ED0B51">
              <w:rPr>
                <w:sz w:val="26"/>
                <w:szCs w:val="26"/>
              </w:rPr>
              <w:t>2</w:t>
            </w:r>
            <w:r w:rsidR="00847FA2" w:rsidRPr="00ED0B51">
              <w:rPr>
                <w:sz w:val="26"/>
                <w:szCs w:val="26"/>
              </w:rPr>
              <w:t>1.</w:t>
            </w:r>
            <w:r w:rsidRPr="00ED0B51">
              <w:rPr>
                <w:sz w:val="26"/>
                <w:szCs w:val="26"/>
              </w:rPr>
              <w:t>janvārī</w:t>
            </w:r>
            <w:r w:rsidR="00847FA2" w:rsidRPr="00ED0B51">
              <w:rPr>
                <w:sz w:val="26"/>
                <w:szCs w:val="26"/>
              </w:rPr>
              <w:t xml:space="preserve"> tika publicēt</w:t>
            </w:r>
            <w:r w:rsidRPr="00ED0B51">
              <w:rPr>
                <w:sz w:val="26"/>
                <w:szCs w:val="26"/>
              </w:rPr>
              <w:t>a</w:t>
            </w:r>
            <w:r w:rsidR="00847FA2" w:rsidRPr="00ED0B51">
              <w:rPr>
                <w:sz w:val="26"/>
                <w:szCs w:val="26"/>
              </w:rPr>
              <w:t xml:space="preserve"> </w:t>
            </w:r>
            <w:r w:rsidRPr="00ED0B51">
              <w:rPr>
                <w:sz w:val="26"/>
                <w:szCs w:val="26"/>
              </w:rPr>
              <w:t>Finanšu</w:t>
            </w:r>
            <w:r w:rsidR="00847FA2" w:rsidRPr="00ED0B51">
              <w:rPr>
                <w:sz w:val="26"/>
                <w:szCs w:val="26"/>
              </w:rPr>
              <w:t xml:space="preserve"> ministrijas mājas</w:t>
            </w:r>
            <w:r w:rsidR="006F789E" w:rsidRPr="00ED0B51">
              <w:rPr>
                <w:sz w:val="26"/>
                <w:szCs w:val="26"/>
              </w:rPr>
              <w:t xml:space="preserve"> </w:t>
            </w:r>
            <w:r w:rsidR="00847FA2" w:rsidRPr="00ED0B51">
              <w:rPr>
                <w:sz w:val="26"/>
                <w:szCs w:val="26"/>
              </w:rPr>
              <w:t xml:space="preserve">lapā </w:t>
            </w:r>
            <w:r w:rsidRPr="00ED0B51">
              <w:rPr>
                <w:sz w:val="26"/>
                <w:szCs w:val="26"/>
              </w:rPr>
              <w:t>sadaļā “Sabiedrības līdzdalība”.</w:t>
            </w:r>
          </w:p>
          <w:p w14:paraId="4F9FB8FF" w14:textId="77777777" w:rsidR="00594655" w:rsidRPr="00ED0B51" w:rsidRDefault="00847FA2" w:rsidP="00847FA2">
            <w:pPr>
              <w:shd w:val="clear" w:color="auto" w:fill="FFFFFF"/>
              <w:jc w:val="both"/>
              <w:rPr>
                <w:sz w:val="26"/>
                <w:szCs w:val="26"/>
              </w:rPr>
            </w:pPr>
            <w:r w:rsidRPr="00ED0B51">
              <w:rPr>
                <w:sz w:val="26"/>
                <w:szCs w:val="26"/>
              </w:rPr>
              <w:t xml:space="preserve">Noteikumu projekts pēc tā pieņemšanas tiks publicēts oficiālajā izdevumā </w:t>
            </w:r>
            <w:r w:rsidR="006162DA" w:rsidRPr="00ED0B51">
              <w:rPr>
                <w:sz w:val="26"/>
                <w:szCs w:val="26"/>
              </w:rPr>
              <w:t>“</w:t>
            </w:r>
            <w:r w:rsidRPr="00ED0B51">
              <w:rPr>
                <w:sz w:val="26"/>
                <w:szCs w:val="26"/>
              </w:rPr>
              <w:t xml:space="preserve">Latvijas Vēstnesis”, kā arī </w:t>
            </w:r>
            <w:r w:rsidR="006162DA" w:rsidRPr="00ED0B51">
              <w:rPr>
                <w:sz w:val="26"/>
                <w:szCs w:val="26"/>
              </w:rPr>
              <w:t xml:space="preserve">interneta </w:t>
            </w:r>
            <w:r w:rsidRPr="00ED0B51">
              <w:rPr>
                <w:sz w:val="26"/>
                <w:szCs w:val="26"/>
              </w:rPr>
              <w:t xml:space="preserve">portālā </w:t>
            </w:r>
            <w:hyperlink r:id="rId13" w:history="1">
              <w:r w:rsidRPr="00ED0B51">
                <w:rPr>
                  <w:rStyle w:val="Hyperlink"/>
                  <w:color w:val="auto"/>
                  <w:sz w:val="26"/>
                  <w:szCs w:val="26"/>
                  <w:u w:val="none"/>
                </w:rPr>
                <w:t>www.likumi.lv</w:t>
              </w:r>
            </w:hyperlink>
            <w:r w:rsidRPr="00ED0B51">
              <w:rPr>
                <w:sz w:val="26"/>
                <w:szCs w:val="26"/>
              </w:rPr>
              <w:t>.</w:t>
            </w:r>
          </w:p>
          <w:p w14:paraId="3D88EFE5" w14:textId="5673EBA7" w:rsidR="006F6B4C" w:rsidRPr="00ED0B51" w:rsidRDefault="006F6B4C" w:rsidP="00BF2464">
            <w:pPr>
              <w:shd w:val="clear" w:color="auto" w:fill="FFFFFF"/>
              <w:jc w:val="both"/>
              <w:rPr>
                <w:sz w:val="26"/>
                <w:szCs w:val="26"/>
              </w:rPr>
            </w:pPr>
            <w:r w:rsidRPr="00ED0B51">
              <w:rPr>
                <w:sz w:val="26"/>
                <w:szCs w:val="26"/>
              </w:rPr>
              <w:t>Lai veiktu</w:t>
            </w:r>
            <w:r w:rsidR="002A16F5" w:rsidRPr="00ED0B51">
              <w:rPr>
                <w:sz w:val="26"/>
                <w:szCs w:val="26"/>
              </w:rPr>
              <w:t xml:space="preserve"> </w:t>
            </w:r>
            <w:r w:rsidR="004453FB" w:rsidRPr="00ED0B51">
              <w:rPr>
                <w:sz w:val="26"/>
                <w:szCs w:val="26"/>
              </w:rPr>
              <w:t xml:space="preserve">noteikumu </w:t>
            </w:r>
            <w:r w:rsidR="002A16F5" w:rsidRPr="00ED0B51">
              <w:rPr>
                <w:sz w:val="26"/>
                <w:szCs w:val="26"/>
              </w:rPr>
              <w:t>projekta</w:t>
            </w:r>
            <w:r w:rsidRPr="00ED0B51">
              <w:rPr>
                <w:sz w:val="26"/>
                <w:szCs w:val="26"/>
              </w:rPr>
              <w:t xml:space="preserve"> </w:t>
            </w:r>
            <w:r w:rsidR="002A16F5" w:rsidRPr="00ED0B51">
              <w:rPr>
                <w:sz w:val="26"/>
                <w:szCs w:val="26"/>
              </w:rPr>
              <w:t>ietekmes uz sabiedrību, tautsaimniecības attīstību un administratīvo slogu novērtējumu</w:t>
            </w:r>
            <w:r w:rsidRPr="00ED0B51">
              <w:rPr>
                <w:sz w:val="26"/>
                <w:szCs w:val="26"/>
              </w:rPr>
              <w:t xml:space="preserve">, </w:t>
            </w:r>
            <w:r w:rsidR="002A16F5" w:rsidRPr="00ED0B51">
              <w:rPr>
                <w:sz w:val="26"/>
                <w:szCs w:val="26"/>
              </w:rPr>
              <w:t>projekta izstrādē</w:t>
            </w:r>
            <w:r w:rsidRPr="00ED0B51">
              <w:rPr>
                <w:sz w:val="26"/>
                <w:szCs w:val="26"/>
              </w:rPr>
              <w:t xml:space="preserve"> tika </w:t>
            </w:r>
            <w:r w:rsidR="002A16F5" w:rsidRPr="00ED0B51">
              <w:rPr>
                <w:sz w:val="26"/>
                <w:szCs w:val="26"/>
              </w:rPr>
              <w:t>iesaistītas Latvijas Līzing</w:t>
            </w:r>
            <w:r w:rsidR="006F789E" w:rsidRPr="00ED0B51">
              <w:rPr>
                <w:sz w:val="26"/>
                <w:szCs w:val="26"/>
              </w:rPr>
              <w:t>a</w:t>
            </w:r>
            <w:r w:rsidR="002A16F5" w:rsidRPr="00ED0B51">
              <w:rPr>
                <w:sz w:val="26"/>
                <w:szCs w:val="26"/>
              </w:rPr>
              <w:t xml:space="preserve"> devēju asociācija, Latvijas </w:t>
            </w:r>
            <w:proofErr w:type="spellStart"/>
            <w:r w:rsidR="002A16F5" w:rsidRPr="00ED0B51">
              <w:rPr>
                <w:sz w:val="26"/>
                <w:szCs w:val="26"/>
              </w:rPr>
              <w:t>Nebanku</w:t>
            </w:r>
            <w:proofErr w:type="spellEnd"/>
            <w:r w:rsidR="002A16F5" w:rsidRPr="00ED0B51">
              <w:rPr>
                <w:sz w:val="26"/>
                <w:szCs w:val="26"/>
              </w:rPr>
              <w:t xml:space="preserve"> </w:t>
            </w:r>
            <w:proofErr w:type="spellStart"/>
            <w:r w:rsidR="002A16F5" w:rsidRPr="00ED0B51">
              <w:rPr>
                <w:sz w:val="26"/>
                <w:szCs w:val="26"/>
              </w:rPr>
              <w:t>kredītdevēju</w:t>
            </w:r>
            <w:proofErr w:type="spellEnd"/>
            <w:r w:rsidR="002A16F5" w:rsidRPr="00ED0B51">
              <w:rPr>
                <w:sz w:val="26"/>
                <w:szCs w:val="26"/>
              </w:rPr>
              <w:t xml:space="preserve"> asociācija, Latvijas Lombardu asociācija un Latvijas Hipotekāro </w:t>
            </w:r>
            <w:proofErr w:type="spellStart"/>
            <w:r w:rsidR="002A16F5" w:rsidRPr="00ED0B51">
              <w:rPr>
                <w:sz w:val="26"/>
                <w:szCs w:val="26"/>
              </w:rPr>
              <w:t>Nebanku</w:t>
            </w:r>
            <w:proofErr w:type="spellEnd"/>
            <w:r w:rsidR="002A16F5" w:rsidRPr="00ED0B51">
              <w:rPr>
                <w:sz w:val="26"/>
                <w:szCs w:val="26"/>
              </w:rPr>
              <w:t xml:space="preserve"> aizdevēju asociācija</w:t>
            </w:r>
            <w:r w:rsidR="006F789E" w:rsidRPr="00ED0B51">
              <w:rPr>
                <w:sz w:val="26"/>
                <w:szCs w:val="26"/>
              </w:rPr>
              <w:t>.</w:t>
            </w:r>
          </w:p>
        </w:tc>
      </w:tr>
      <w:tr w:rsidR="00ED0B51" w:rsidRPr="00ED0B51" w14:paraId="037D2B74" w14:textId="77777777" w:rsidTr="00F14184">
        <w:trPr>
          <w:trHeight w:val="463"/>
          <w:jc w:val="center"/>
        </w:trPr>
        <w:tc>
          <w:tcPr>
            <w:tcW w:w="437" w:type="dxa"/>
          </w:tcPr>
          <w:p w14:paraId="343619D7" w14:textId="77777777" w:rsidR="00594655" w:rsidRPr="00ED0B51" w:rsidRDefault="00594655" w:rsidP="00F14184">
            <w:pPr>
              <w:pStyle w:val="naisnod"/>
              <w:spacing w:before="0" w:after="0"/>
              <w:ind w:left="57" w:right="57"/>
              <w:jc w:val="both"/>
              <w:rPr>
                <w:sz w:val="26"/>
                <w:szCs w:val="26"/>
              </w:rPr>
            </w:pPr>
            <w:r w:rsidRPr="00ED0B51">
              <w:rPr>
                <w:b w:val="0"/>
                <w:bCs w:val="0"/>
                <w:sz w:val="26"/>
                <w:szCs w:val="26"/>
              </w:rPr>
              <w:t>2.</w:t>
            </w:r>
          </w:p>
        </w:tc>
        <w:tc>
          <w:tcPr>
            <w:tcW w:w="3615" w:type="dxa"/>
          </w:tcPr>
          <w:p w14:paraId="1A8A1A0F" w14:textId="77777777" w:rsidR="00594655" w:rsidRPr="00ED0B51" w:rsidRDefault="00594655" w:rsidP="00F14184">
            <w:pPr>
              <w:pStyle w:val="naisf"/>
              <w:spacing w:before="0" w:after="0"/>
              <w:ind w:firstLine="0"/>
              <w:jc w:val="left"/>
              <w:rPr>
                <w:sz w:val="26"/>
                <w:szCs w:val="26"/>
              </w:rPr>
            </w:pPr>
            <w:r w:rsidRPr="00ED0B51">
              <w:rPr>
                <w:sz w:val="26"/>
                <w:szCs w:val="26"/>
              </w:rPr>
              <w:t>Sabiedrības līdzdalība projekta izstrādē</w:t>
            </w:r>
          </w:p>
        </w:tc>
        <w:tc>
          <w:tcPr>
            <w:tcW w:w="5466" w:type="dxa"/>
          </w:tcPr>
          <w:p w14:paraId="3F1679D5" w14:textId="38244D98" w:rsidR="00594655" w:rsidRPr="00ED0B51" w:rsidRDefault="00076C42" w:rsidP="006F6B4C">
            <w:pPr>
              <w:shd w:val="clear" w:color="auto" w:fill="FFFFFF"/>
              <w:jc w:val="both"/>
              <w:rPr>
                <w:sz w:val="26"/>
                <w:szCs w:val="26"/>
              </w:rPr>
            </w:pPr>
            <w:r w:rsidRPr="00ED0B51">
              <w:rPr>
                <w:sz w:val="26"/>
                <w:szCs w:val="26"/>
              </w:rPr>
              <w:t xml:space="preserve">2015.gada 6.februārī </w:t>
            </w:r>
            <w:r w:rsidR="00F14184" w:rsidRPr="00ED0B51">
              <w:rPr>
                <w:sz w:val="26"/>
                <w:szCs w:val="26"/>
              </w:rPr>
              <w:t>Patērētāju tiesību aizsardzības centrs nosūtīja vēstuli Latvijas Līzing</w:t>
            </w:r>
            <w:r w:rsidR="00314432" w:rsidRPr="00ED0B51">
              <w:rPr>
                <w:sz w:val="26"/>
                <w:szCs w:val="26"/>
              </w:rPr>
              <w:t>a</w:t>
            </w:r>
            <w:r w:rsidR="00F14184" w:rsidRPr="00ED0B51">
              <w:rPr>
                <w:sz w:val="26"/>
                <w:szCs w:val="26"/>
              </w:rPr>
              <w:t xml:space="preserve"> devēju asociācijai, Latvijas </w:t>
            </w:r>
            <w:proofErr w:type="spellStart"/>
            <w:r w:rsidR="00F14184" w:rsidRPr="00ED0B51">
              <w:rPr>
                <w:sz w:val="26"/>
                <w:szCs w:val="26"/>
              </w:rPr>
              <w:t>Nebanku</w:t>
            </w:r>
            <w:proofErr w:type="spellEnd"/>
            <w:r w:rsidR="00F14184" w:rsidRPr="00ED0B51">
              <w:rPr>
                <w:sz w:val="26"/>
                <w:szCs w:val="26"/>
              </w:rPr>
              <w:t xml:space="preserve"> </w:t>
            </w:r>
            <w:proofErr w:type="spellStart"/>
            <w:r w:rsidR="00F14184" w:rsidRPr="00ED0B51">
              <w:rPr>
                <w:sz w:val="26"/>
                <w:szCs w:val="26"/>
              </w:rPr>
              <w:t>kredītdevēju</w:t>
            </w:r>
            <w:proofErr w:type="spellEnd"/>
            <w:r w:rsidR="00F14184" w:rsidRPr="00ED0B51">
              <w:rPr>
                <w:sz w:val="26"/>
                <w:szCs w:val="26"/>
              </w:rPr>
              <w:t xml:space="preserve"> asociācijai, Latvijas Lombardu asociācijai un Latvijas Hipotekāro </w:t>
            </w:r>
            <w:proofErr w:type="spellStart"/>
            <w:r w:rsidR="00F14184" w:rsidRPr="00ED0B51">
              <w:rPr>
                <w:sz w:val="26"/>
                <w:szCs w:val="26"/>
              </w:rPr>
              <w:t>Nebanku</w:t>
            </w:r>
            <w:proofErr w:type="spellEnd"/>
            <w:r w:rsidR="00F14184" w:rsidRPr="00ED0B51">
              <w:rPr>
                <w:sz w:val="26"/>
                <w:szCs w:val="26"/>
              </w:rPr>
              <w:t xml:space="preserve"> aizdevēju asociācijai</w:t>
            </w:r>
            <w:r w:rsidR="00E65575" w:rsidRPr="00ED0B51">
              <w:rPr>
                <w:sz w:val="26"/>
                <w:szCs w:val="26"/>
              </w:rPr>
              <w:t xml:space="preserve"> par informācijas sniegšanu Valsts ieņēmumu dienestam</w:t>
            </w:r>
            <w:r w:rsidR="008C3135" w:rsidRPr="00ED0B51">
              <w:rPr>
                <w:sz w:val="26"/>
                <w:szCs w:val="26"/>
              </w:rPr>
              <w:t>.</w:t>
            </w:r>
          </w:p>
          <w:p w14:paraId="5C4CA5B0" w14:textId="63C19795" w:rsidR="008C3135" w:rsidRPr="00ED0B51" w:rsidRDefault="00C96E98" w:rsidP="00480580">
            <w:pPr>
              <w:shd w:val="clear" w:color="auto" w:fill="FFFFFF"/>
              <w:jc w:val="both"/>
              <w:rPr>
                <w:sz w:val="26"/>
                <w:szCs w:val="26"/>
              </w:rPr>
            </w:pPr>
            <w:r w:rsidRPr="00ED0B51">
              <w:rPr>
                <w:sz w:val="26"/>
                <w:szCs w:val="26"/>
              </w:rPr>
              <w:t>Elektroniski, izmantojot e-pastu, informācijas apmaiņa tika veikta</w:t>
            </w:r>
            <w:r w:rsidR="00E65575" w:rsidRPr="00ED0B51">
              <w:rPr>
                <w:sz w:val="26"/>
                <w:szCs w:val="26"/>
              </w:rPr>
              <w:t xml:space="preserve"> </w:t>
            </w:r>
            <w:r w:rsidRPr="00ED0B51">
              <w:rPr>
                <w:sz w:val="26"/>
                <w:szCs w:val="26"/>
              </w:rPr>
              <w:t>a</w:t>
            </w:r>
            <w:r w:rsidR="008C3135" w:rsidRPr="00ED0B51">
              <w:rPr>
                <w:sz w:val="26"/>
                <w:szCs w:val="26"/>
              </w:rPr>
              <w:t>r Latvijas Līzing</w:t>
            </w:r>
            <w:r w:rsidR="00314432" w:rsidRPr="00ED0B51">
              <w:rPr>
                <w:sz w:val="26"/>
                <w:szCs w:val="26"/>
              </w:rPr>
              <w:t>a</w:t>
            </w:r>
            <w:r w:rsidR="008C3135" w:rsidRPr="00ED0B51">
              <w:rPr>
                <w:sz w:val="26"/>
                <w:szCs w:val="26"/>
              </w:rPr>
              <w:t xml:space="preserve"> devēju asociācijas</w:t>
            </w:r>
            <w:r w:rsidR="00E65575" w:rsidRPr="00ED0B51">
              <w:rPr>
                <w:sz w:val="26"/>
                <w:szCs w:val="26"/>
              </w:rPr>
              <w:t xml:space="preserve"> vadītāju</w:t>
            </w:r>
            <w:r w:rsidR="005D35F5" w:rsidRPr="00ED0B51">
              <w:rPr>
                <w:sz w:val="26"/>
                <w:szCs w:val="26"/>
              </w:rPr>
              <w:t>, Latvijas L</w:t>
            </w:r>
            <w:r w:rsidR="00F07288" w:rsidRPr="00ED0B51">
              <w:rPr>
                <w:sz w:val="26"/>
                <w:szCs w:val="26"/>
              </w:rPr>
              <w:t xml:space="preserve">ombardu asociācijas valdes priekšsēdētāju un Latvijas </w:t>
            </w:r>
            <w:proofErr w:type="spellStart"/>
            <w:r w:rsidR="00F07288" w:rsidRPr="00ED0B51">
              <w:rPr>
                <w:sz w:val="26"/>
                <w:szCs w:val="26"/>
              </w:rPr>
              <w:t>Nebanku</w:t>
            </w:r>
            <w:proofErr w:type="spellEnd"/>
            <w:r w:rsidR="00F07288" w:rsidRPr="00ED0B51">
              <w:rPr>
                <w:sz w:val="26"/>
                <w:szCs w:val="26"/>
              </w:rPr>
              <w:t xml:space="preserve"> </w:t>
            </w:r>
            <w:proofErr w:type="spellStart"/>
            <w:r w:rsidR="00F07288" w:rsidRPr="00ED0B51">
              <w:rPr>
                <w:sz w:val="26"/>
                <w:szCs w:val="26"/>
              </w:rPr>
              <w:t>Kredītdevēju</w:t>
            </w:r>
            <w:proofErr w:type="spellEnd"/>
            <w:r w:rsidR="00F07288" w:rsidRPr="00ED0B51">
              <w:rPr>
                <w:sz w:val="26"/>
                <w:szCs w:val="26"/>
              </w:rPr>
              <w:t xml:space="preserve"> asociācijas biroja vadītāju</w:t>
            </w:r>
            <w:r w:rsidR="00314432" w:rsidRPr="00ED0B51">
              <w:rPr>
                <w:sz w:val="26"/>
                <w:szCs w:val="26"/>
              </w:rPr>
              <w:t>.</w:t>
            </w:r>
          </w:p>
        </w:tc>
      </w:tr>
      <w:tr w:rsidR="00ED0B51" w:rsidRPr="00ED0B51" w14:paraId="75C79E39" w14:textId="77777777" w:rsidTr="00F14184">
        <w:trPr>
          <w:trHeight w:val="402"/>
          <w:jc w:val="center"/>
        </w:trPr>
        <w:tc>
          <w:tcPr>
            <w:tcW w:w="437" w:type="dxa"/>
            <w:tcBorders>
              <w:top w:val="single" w:sz="4" w:space="0" w:color="auto"/>
              <w:left w:val="single" w:sz="4" w:space="0" w:color="auto"/>
              <w:bottom w:val="single" w:sz="4" w:space="0" w:color="auto"/>
              <w:right w:val="single" w:sz="4" w:space="0" w:color="auto"/>
            </w:tcBorders>
          </w:tcPr>
          <w:p w14:paraId="73F8C4CC" w14:textId="77777777" w:rsidR="00594655" w:rsidRPr="00ED0B51" w:rsidRDefault="00594655" w:rsidP="00F14184">
            <w:pPr>
              <w:pStyle w:val="naisnod"/>
              <w:spacing w:before="0" w:after="0"/>
              <w:ind w:left="57" w:right="57"/>
              <w:jc w:val="both"/>
              <w:rPr>
                <w:sz w:val="26"/>
                <w:szCs w:val="26"/>
              </w:rPr>
            </w:pPr>
            <w:r w:rsidRPr="00ED0B51">
              <w:rPr>
                <w:b w:val="0"/>
                <w:bCs w:val="0"/>
                <w:sz w:val="26"/>
                <w:szCs w:val="26"/>
              </w:rPr>
              <w:t>3.</w:t>
            </w:r>
          </w:p>
        </w:tc>
        <w:tc>
          <w:tcPr>
            <w:tcW w:w="3615" w:type="dxa"/>
            <w:tcBorders>
              <w:top w:val="single" w:sz="4" w:space="0" w:color="auto"/>
              <w:left w:val="single" w:sz="4" w:space="0" w:color="auto"/>
              <w:bottom w:val="single" w:sz="4" w:space="0" w:color="auto"/>
              <w:right w:val="single" w:sz="4" w:space="0" w:color="auto"/>
            </w:tcBorders>
          </w:tcPr>
          <w:p w14:paraId="29A2C723" w14:textId="77777777" w:rsidR="00594655" w:rsidRPr="00ED0B51" w:rsidRDefault="00594655" w:rsidP="00F14184">
            <w:pPr>
              <w:pStyle w:val="naisf"/>
              <w:spacing w:before="0" w:after="0"/>
              <w:ind w:firstLine="0"/>
              <w:jc w:val="left"/>
              <w:rPr>
                <w:sz w:val="26"/>
                <w:szCs w:val="26"/>
              </w:rPr>
            </w:pPr>
            <w:r w:rsidRPr="00ED0B51">
              <w:rPr>
                <w:sz w:val="26"/>
                <w:szCs w:val="26"/>
              </w:rPr>
              <w:t>Sabiedrības līdzdalības rezultāti</w:t>
            </w:r>
          </w:p>
        </w:tc>
        <w:tc>
          <w:tcPr>
            <w:tcW w:w="5466" w:type="dxa"/>
            <w:tcBorders>
              <w:top w:val="single" w:sz="4" w:space="0" w:color="auto"/>
              <w:left w:val="single" w:sz="4" w:space="0" w:color="auto"/>
              <w:bottom w:val="single" w:sz="4" w:space="0" w:color="auto"/>
              <w:right w:val="single" w:sz="4" w:space="0" w:color="auto"/>
            </w:tcBorders>
          </w:tcPr>
          <w:p w14:paraId="64BE5B76" w14:textId="14E12764" w:rsidR="00594655" w:rsidRPr="00ED0B51" w:rsidRDefault="004453FB" w:rsidP="00A438B6">
            <w:pPr>
              <w:ind w:left="57" w:right="57"/>
              <w:jc w:val="both"/>
              <w:rPr>
                <w:sz w:val="26"/>
                <w:szCs w:val="26"/>
              </w:rPr>
            </w:pPr>
            <w:r w:rsidRPr="00ED0B51">
              <w:rPr>
                <w:sz w:val="26"/>
                <w:szCs w:val="26"/>
              </w:rPr>
              <w:t>V</w:t>
            </w:r>
            <w:r w:rsidR="002A16F5" w:rsidRPr="00ED0B51">
              <w:rPr>
                <w:sz w:val="26"/>
                <w:szCs w:val="26"/>
              </w:rPr>
              <w:t>iedokli</w:t>
            </w:r>
            <w:r w:rsidRPr="00ED0B51">
              <w:rPr>
                <w:sz w:val="26"/>
                <w:szCs w:val="26"/>
              </w:rPr>
              <w:t xml:space="preserve"> par noteikumu projektu izteica</w:t>
            </w:r>
            <w:r w:rsidR="002A16F5" w:rsidRPr="00ED0B51">
              <w:rPr>
                <w:sz w:val="26"/>
                <w:szCs w:val="26"/>
              </w:rPr>
              <w:t xml:space="preserve"> Latvijas Līzing</w:t>
            </w:r>
            <w:r w:rsidR="00314432" w:rsidRPr="00ED0B51">
              <w:rPr>
                <w:sz w:val="26"/>
                <w:szCs w:val="26"/>
              </w:rPr>
              <w:t>a</w:t>
            </w:r>
            <w:r w:rsidR="002A16F5" w:rsidRPr="00ED0B51">
              <w:rPr>
                <w:sz w:val="26"/>
                <w:szCs w:val="26"/>
              </w:rPr>
              <w:t xml:space="preserve"> devēju asociācija, kura kopumā </w:t>
            </w:r>
            <w:r w:rsidR="008A2B45" w:rsidRPr="00ED0B51">
              <w:rPr>
                <w:sz w:val="26"/>
                <w:szCs w:val="26"/>
              </w:rPr>
              <w:t>to</w:t>
            </w:r>
            <w:r w:rsidR="002A16F5" w:rsidRPr="00ED0B51">
              <w:rPr>
                <w:sz w:val="26"/>
                <w:szCs w:val="26"/>
              </w:rPr>
              <w:t xml:space="preserve"> atbalsta</w:t>
            </w:r>
            <w:r w:rsidR="00F14184" w:rsidRPr="00ED0B51">
              <w:rPr>
                <w:sz w:val="26"/>
                <w:szCs w:val="26"/>
              </w:rPr>
              <w:t>, tostarp no</w:t>
            </w:r>
            <w:r w:rsidR="002A16F5" w:rsidRPr="00ED0B51">
              <w:rPr>
                <w:sz w:val="26"/>
                <w:szCs w:val="26"/>
              </w:rPr>
              <w:t>rādot</w:t>
            </w:r>
            <w:r w:rsidR="00F14184" w:rsidRPr="00ED0B51">
              <w:rPr>
                <w:sz w:val="26"/>
                <w:szCs w:val="26"/>
              </w:rPr>
              <w:t xml:space="preserve">, ka </w:t>
            </w:r>
            <w:r w:rsidR="008A2B45" w:rsidRPr="00ED0B51">
              <w:rPr>
                <w:sz w:val="26"/>
                <w:szCs w:val="26"/>
              </w:rPr>
              <w:t xml:space="preserve">noteikumu </w:t>
            </w:r>
            <w:r w:rsidR="00F14184" w:rsidRPr="00ED0B51">
              <w:rPr>
                <w:sz w:val="26"/>
                <w:szCs w:val="26"/>
              </w:rPr>
              <w:t>projekts ir precizējams, jo nav noteikts</w:t>
            </w:r>
            <w:r w:rsidR="00BF2464" w:rsidRPr="00ED0B51">
              <w:rPr>
                <w:sz w:val="26"/>
                <w:szCs w:val="26"/>
              </w:rPr>
              <w:t>,</w:t>
            </w:r>
            <w:r w:rsidR="00F14184" w:rsidRPr="00ED0B51">
              <w:rPr>
                <w:sz w:val="26"/>
                <w:szCs w:val="26"/>
              </w:rPr>
              <w:t xml:space="preserve"> kād</w:t>
            </w:r>
            <w:r w:rsidR="00BF2464" w:rsidRPr="00ED0B51">
              <w:rPr>
                <w:sz w:val="26"/>
                <w:szCs w:val="26"/>
              </w:rPr>
              <w:t>u</w:t>
            </w:r>
            <w:r w:rsidR="00F14184" w:rsidRPr="00ED0B51">
              <w:rPr>
                <w:sz w:val="26"/>
                <w:szCs w:val="26"/>
              </w:rPr>
              <w:t xml:space="preserve"> informācij</w:t>
            </w:r>
            <w:r w:rsidR="00BF2464" w:rsidRPr="00ED0B51">
              <w:rPr>
                <w:sz w:val="26"/>
                <w:szCs w:val="26"/>
              </w:rPr>
              <w:t>u</w:t>
            </w:r>
            <w:r w:rsidR="00F14184" w:rsidRPr="00ED0B51">
              <w:rPr>
                <w:sz w:val="26"/>
                <w:szCs w:val="26"/>
              </w:rPr>
              <w:t xml:space="preserve"> norāda </w:t>
            </w:r>
            <w:r w:rsidR="002A16F5" w:rsidRPr="00ED0B51">
              <w:rPr>
                <w:sz w:val="26"/>
                <w:szCs w:val="26"/>
              </w:rPr>
              <w:t>gadījum</w:t>
            </w:r>
            <w:r w:rsidR="00F14184" w:rsidRPr="00ED0B51">
              <w:rPr>
                <w:sz w:val="26"/>
                <w:szCs w:val="26"/>
              </w:rPr>
              <w:t>ā</w:t>
            </w:r>
            <w:r w:rsidR="002A16F5" w:rsidRPr="00ED0B51">
              <w:rPr>
                <w:sz w:val="26"/>
                <w:szCs w:val="26"/>
              </w:rPr>
              <w:t xml:space="preserve">, kad līzinga/kredīta maksājumu veic trešā persona, </w:t>
            </w:r>
            <w:r w:rsidR="00BF2464" w:rsidRPr="00ED0B51">
              <w:rPr>
                <w:sz w:val="26"/>
                <w:szCs w:val="26"/>
              </w:rPr>
              <w:t>un</w:t>
            </w:r>
            <w:r w:rsidR="00F14184" w:rsidRPr="00ED0B51">
              <w:rPr>
                <w:sz w:val="26"/>
                <w:szCs w:val="26"/>
              </w:rPr>
              <w:t xml:space="preserve"> vai sniedz informācij</w:t>
            </w:r>
            <w:r w:rsidR="00BF2464" w:rsidRPr="00ED0B51">
              <w:rPr>
                <w:sz w:val="26"/>
                <w:szCs w:val="26"/>
              </w:rPr>
              <w:t>u</w:t>
            </w:r>
            <w:r w:rsidR="00F14184" w:rsidRPr="00ED0B51">
              <w:rPr>
                <w:sz w:val="26"/>
                <w:szCs w:val="26"/>
              </w:rPr>
              <w:t xml:space="preserve"> par fizisko personu maksājumiem</w:t>
            </w:r>
            <w:r w:rsidR="002A16F5" w:rsidRPr="00ED0B51">
              <w:rPr>
                <w:sz w:val="26"/>
                <w:szCs w:val="26"/>
              </w:rPr>
              <w:t xml:space="preserve">, kad tiek izmantots operatīvais līzings. Ievērojot norādīto, </w:t>
            </w:r>
            <w:r w:rsidR="00772AA7" w:rsidRPr="00ED0B51">
              <w:rPr>
                <w:sz w:val="26"/>
                <w:szCs w:val="26"/>
              </w:rPr>
              <w:t>attiecīgi tika precizēta noteikumu projekta anotācija</w:t>
            </w:r>
            <w:r w:rsidR="00314432" w:rsidRPr="00ED0B51">
              <w:rPr>
                <w:sz w:val="26"/>
                <w:szCs w:val="26"/>
              </w:rPr>
              <w:t>.</w:t>
            </w:r>
          </w:p>
        </w:tc>
      </w:tr>
      <w:tr w:rsidR="00594655" w:rsidRPr="00ED0B51" w14:paraId="0E609777" w14:textId="77777777" w:rsidTr="00F14184">
        <w:trPr>
          <w:trHeight w:val="402"/>
          <w:jc w:val="center"/>
        </w:trPr>
        <w:tc>
          <w:tcPr>
            <w:tcW w:w="437" w:type="dxa"/>
            <w:tcBorders>
              <w:top w:val="single" w:sz="4" w:space="0" w:color="auto"/>
              <w:left w:val="single" w:sz="4" w:space="0" w:color="auto"/>
              <w:bottom w:val="single" w:sz="4" w:space="0" w:color="auto"/>
              <w:right w:val="single" w:sz="4" w:space="0" w:color="auto"/>
            </w:tcBorders>
          </w:tcPr>
          <w:p w14:paraId="060DE12E" w14:textId="77777777" w:rsidR="00594655" w:rsidRPr="00ED0B51" w:rsidRDefault="00594655" w:rsidP="00F14184">
            <w:pPr>
              <w:pStyle w:val="naisnod"/>
              <w:spacing w:before="0" w:after="0"/>
              <w:ind w:left="57" w:right="57"/>
              <w:jc w:val="both"/>
              <w:rPr>
                <w:b w:val="0"/>
                <w:bCs w:val="0"/>
                <w:sz w:val="26"/>
                <w:szCs w:val="26"/>
              </w:rPr>
            </w:pPr>
            <w:r w:rsidRPr="00ED0B51">
              <w:rPr>
                <w:b w:val="0"/>
                <w:bCs w:val="0"/>
                <w:sz w:val="26"/>
                <w:szCs w:val="26"/>
              </w:rPr>
              <w:t>4.</w:t>
            </w:r>
          </w:p>
        </w:tc>
        <w:tc>
          <w:tcPr>
            <w:tcW w:w="3615" w:type="dxa"/>
            <w:tcBorders>
              <w:top w:val="single" w:sz="4" w:space="0" w:color="auto"/>
              <w:left w:val="single" w:sz="4" w:space="0" w:color="auto"/>
              <w:bottom w:val="single" w:sz="4" w:space="0" w:color="auto"/>
              <w:right w:val="single" w:sz="4" w:space="0" w:color="auto"/>
            </w:tcBorders>
          </w:tcPr>
          <w:p w14:paraId="5D84478C" w14:textId="77777777" w:rsidR="00594655" w:rsidRPr="00ED0B51" w:rsidRDefault="00594655" w:rsidP="00F14184">
            <w:pPr>
              <w:pStyle w:val="naisf"/>
              <w:spacing w:before="0" w:after="0"/>
              <w:ind w:firstLine="0"/>
              <w:jc w:val="left"/>
              <w:rPr>
                <w:sz w:val="26"/>
                <w:szCs w:val="26"/>
              </w:rPr>
            </w:pPr>
            <w:r w:rsidRPr="00ED0B51">
              <w:rPr>
                <w:sz w:val="26"/>
                <w:szCs w:val="26"/>
              </w:rPr>
              <w:t>Cita informācija</w:t>
            </w:r>
          </w:p>
        </w:tc>
        <w:tc>
          <w:tcPr>
            <w:tcW w:w="5466" w:type="dxa"/>
            <w:tcBorders>
              <w:top w:val="single" w:sz="4" w:space="0" w:color="auto"/>
              <w:left w:val="single" w:sz="4" w:space="0" w:color="auto"/>
              <w:bottom w:val="single" w:sz="4" w:space="0" w:color="auto"/>
              <w:right w:val="single" w:sz="4" w:space="0" w:color="auto"/>
            </w:tcBorders>
          </w:tcPr>
          <w:p w14:paraId="36B9BBA6" w14:textId="77777777" w:rsidR="00594655" w:rsidRPr="00ED0B51" w:rsidRDefault="00594655" w:rsidP="00F14184">
            <w:pPr>
              <w:ind w:left="57" w:right="57"/>
              <w:jc w:val="both"/>
              <w:rPr>
                <w:sz w:val="26"/>
                <w:szCs w:val="26"/>
              </w:rPr>
            </w:pPr>
            <w:r w:rsidRPr="00ED0B51">
              <w:rPr>
                <w:sz w:val="26"/>
                <w:szCs w:val="26"/>
              </w:rPr>
              <w:t>Nav</w:t>
            </w:r>
          </w:p>
        </w:tc>
      </w:tr>
    </w:tbl>
    <w:p w14:paraId="2A9F60A3" w14:textId="77777777" w:rsidR="00594655" w:rsidRPr="00ED0B51" w:rsidRDefault="00594655">
      <w:pPr>
        <w:rPr>
          <w:sz w:val="28"/>
          <w:szCs w:val="28"/>
        </w:rPr>
      </w:pPr>
    </w:p>
    <w:tbl>
      <w:tblPr>
        <w:tblW w:w="95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37"/>
        <w:gridCol w:w="3615"/>
        <w:gridCol w:w="5466"/>
      </w:tblGrid>
      <w:tr w:rsidR="00ED0B51" w:rsidRPr="00ED0B51" w14:paraId="3D5A8178" w14:textId="77777777" w:rsidTr="00EE5A4F">
        <w:trPr>
          <w:trHeight w:val="381"/>
          <w:jc w:val="center"/>
        </w:trPr>
        <w:tc>
          <w:tcPr>
            <w:tcW w:w="9518" w:type="dxa"/>
            <w:gridSpan w:val="3"/>
            <w:vAlign w:val="center"/>
          </w:tcPr>
          <w:p w14:paraId="3F4B0DBA" w14:textId="77777777" w:rsidR="00D175E9" w:rsidRPr="00ED0B51" w:rsidRDefault="00D175E9" w:rsidP="0089091C">
            <w:pPr>
              <w:pStyle w:val="naisnod"/>
              <w:spacing w:before="0" w:after="0"/>
              <w:ind w:left="57" w:right="57"/>
              <w:rPr>
                <w:sz w:val="26"/>
                <w:szCs w:val="26"/>
              </w:rPr>
            </w:pPr>
            <w:r w:rsidRPr="00ED0B51">
              <w:rPr>
                <w:sz w:val="26"/>
                <w:szCs w:val="26"/>
              </w:rPr>
              <w:lastRenderedPageBreak/>
              <w:t>VII. Tiesību akta projekta izpildes nodrošināšana un tās ietekme uz institūcijām</w:t>
            </w:r>
          </w:p>
        </w:tc>
      </w:tr>
      <w:tr w:rsidR="00ED0B51" w:rsidRPr="00ED0B51" w14:paraId="291D0E97" w14:textId="77777777" w:rsidTr="00EE5A4F">
        <w:trPr>
          <w:trHeight w:val="427"/>
          <w:jc w:val="center"/>
        </w:trPr>
        <w:tc>
          <w:tcPr>
            <w:tcW w:w="437" w:type="dxa"/>
          </w:tcPr>
          <w:p w14:paraId="5425BDD2" w14:textId="77777777" w:rsidR="00D175E9" w:rsidRPr="00ED0B51" w:rsidRDefault="00D175E9" w:rsidP="0089091C">
            <w:pPr>
              <w:pStyle w:val="naisnod"/>
              <w:spacing w:before="0" w:after="0"/>
              <w:ind w:left="57" w:right="57"/>
              <w:jc w:val="both"/>
              <w:rPr>
                <w:sz w:val="26"/>
                <w:szCs w:val="26"/>
              </w:rPr>
            </w:pPr>
            <w:r w:rsidRPr="00ED0B51">
              <w:rPr>
                <w:b w:val="0"/>
                <w:bCs w:val="0"/>
                <w:sz w:val="26"/>
                <w:szCs w:val="26"/>
              </w:rPr>
              <w:t>1.</w:t>
            </w:r>
          </w:p>
        </w:tc>
        <w:tc>
          <w:tcPr>
            <w:tcW w:w="3615" w:type="dxa"/>
          </w:tcPr>
          <w:p w14:paraId="46F00A57" w14:textId="77777777" w:rsidR="00D175E9" w:rsidRPr="00ED0B51" w:rsidRDefault="00D175E9" w:rsidP="00846DA7">
            <w:pPr>
              <w:pStyle w:val="naisf"/>
              <w:spacing w:before="0" w:after="0"/>
              <w:ind w:firstLine="0"/>
              <w:jc w:val="left"/>
              <w:rPr>
                <w:sz w:val="26"/>
                <w:szCs w:val="26"/>
              </w:rPr>
            </w:pPr>
            <w:r w:rsidRPr="00ED0B51">
              <w:rPr>
                <w:sz w:val="26"/>
                <w:szCs w:val="26"/>
              </w:rPr>
              <w:t>Projekta izpildē iesaistītās institūcijas</w:t>
            </w:r>
          </w:p>
        </w:tc>
        <w:tc>
          <w:tcPr>
            <w:tcW w:w="5466" w:type="dxa"/>
          </w:tcPr>
          <w:p w14:paraId="01C97869" w14:textId="77777777" w:rsidR="00D175E9" w:rsidRPr="00ED0B51" w:rsidRDefault="004943A0" w:rsidP="0089091C">
            <w:pPr>
              <w:shd w:val="clear" w:color="auto" w:fill="FFFFFF"/>
              <w:jc w:val="both"/>
              <w:rPr>
                <w:sz w:val="26"/>
                <w:szCs w:val="26"/>
              </w:rPr>
            </w:pPr>
            <w:bookmarkStart w:id="1" w:name="p66"/>
            <w:bookmarkStart w:id="2" w:name="p67"/>
            <w:bookmarkStart w:id="3" w:name="p68"/>
            <w:bookmarkStart w:id="4" w:name="p69"/>
            <w:bookmarkEnd w:id="1"/>
            <w:bookmarkEnd w:id="2"/>
            <w:bookmarkEnd w:id="3"/>
            <w:bookmarkEnd w:id="4"/>
            <w:r w:rsidRPr="00ED0B51">
              <w:rPr>
                <w:sz w:val="26"/>
                <w:szCs w:val="26"/>
              </w:rPr>
              <w:t>Normatīvā akta izpildi nodrošinās Valsts ieņēmumu dienests</w:t>
            </w:r>
            <w:r w:rsidR="00314432" w:rsidRPr="00ED0B51">
              <w:rPr>
                <w:sz w:val="26"/>
                <w:szCs w:val="26"/>
              </w:rPr>
              <w:t>.</w:t>
            </w:r>
          </w:p>
        </w:tc>
      </w:tr>
      <w:tr w:rsidR="00ED0B51" w:rsidRPr="00ED0B51" w14:paraId="0D9143C1" w14:textId="77777777" w:rsidTr="00EE5A4F">
        <w:trPr>
          <w:trHeight w:val="463"/>
          <w:jc w:val="center"/>
        </w:trPr>
        <w:tc>
          <w:tcPr>
            <w:tcW w:w="437" w:type="dxa"/>
          </w:tcPr>
          <w:p w14:paraId="5AC58468" w14:textId="77777777" w:rsidR="00D175E9" w:rsidRPr="00ED0B51" w:rsidRDefault="00D175E9" w:rsidP="0089091C">
            <w:pPr>
              <w:pStyle w:val="naisnod"/>
              <w:spacing w:before="0" w:after="0"/>
              <w:ind w:left="57" w:right="57"/>
              <w:jc w:val="both"/>
              <w:rPr>
                <w:sz w:val="26"/>
                <w:szCs w:val="26"/>
              </w:rPr>
            </w:pPr>
            <w:r w:rsidRPr="00ED0B51">
              <w:rPr>
                <w:b w:val="0"/>
                <w:bCs w:val="0"/>
                <w:sz w:val="26"/>
                <w:szCs w:val="26"/>
              </w:rPr>
              <w:t>2.</w:t>
            </w:r>
          </w:p>
        </w:tc>
        <w:tc>
          <w:tcPr>
            <w:tcW w:w="3615" w:type="dxa"/>
          </w:tcPr>
          <w:p w14:paraId="66757A8C" w14:textId="77777777" w:rsidR="00D175E9" w:rsidRPr="00ED0B51" w:rsidRDefault="00D175E9" w:rsidP="00846DA7">
            <w:pPr>
              <w:pStyle w:val="naisf"/>
              <w:spacing w:before="0" w:after="0"/>
              <w:ind w:firstLine="0"/>
              <w:jc w:val="left"/>
              <w:rPr>
                <w:sz w:val="26"/>
                <w:szCs w:val="26"/>
              </w:rPr>
            </w:pPr>
            <w:r w:rsidRPr="00ED0B51">
              <w:rPr>
                <w:sz w:val="26"/>
                <w:szCs w:val="26"/>
              </w:rPr>
              <w:t>Projekta izpildes ietekme uz pārvaldes funkcijām un institucionālo struktūru</w:t>
            </w:r>
          </w:p>
          <w:p w14:paraId="43EB34DC" w14:textId="77777777" w:rsidR="00D175E9" w:rsidRPr="00ED0B51" w:rsidRDefault="00D175E9" w:rsidP="00BF2464">
            <w:pPr>
              <w:pStyle w:val="naisf"/>
              <w:spacing w:before="0" w:after="0"/>
              <w:ind w:firstLine="0"/>
              <w:jc w:val="left"/>
              <w:rPr>
                <w:sz w:val="26"/>
                <w:szCs w:val="26"/>
              </w:rPr>
            </w:pPr>
            <w:r w:rsidRPr="00ED0B51">
              <w:rPr>
                <w:sz w:val="26"/>
                <w:szCs w:val="26"/>
              </w:rPr>
              <w:t>Jaunu institūciju izveide, esošu institūciju likvidācija vai reorga</w:t>
            </w:r>
            <w:r w:rsidRPr="00ED0B51">
              <w:rPr>
                <w:sz w:val="26"/>
                <w:szCs w:val="26"/>
              </w:rPr>
              <w:softHyphen/>
              <w:t>nizācija, to ietekme uz institūcijas cilvēkresursiem</w:t>
            </w:r>
          </w:p>
        </w:tc>
        <w:tc>
          <w:tcPr>
            <w:tcW w:w="5466" w:type="dxa"/>
          </w:tcPr>
          <w:p w14:paraId="3157BA42" w14:textId="77777777" w:rsidR="00D175E9" w:rsidRPr="00ED0B51" w:rsidRDefault="007A0296" w:rsidP="00A438B6">
            <w:pPr>
              <w:shd w:val="clear" w:color="auto" w:fill="FFFFFF"/>
              <w:jc w:val="both"/>
              <w:rPr>
                <w:sz w:val="26"/>
                <w:szCs w:val="26"/>
              </w:rPr>
            </w:pPr>
            <w:r w:rsidRPr="00ED0B51">
              <w:rPr>
                <w:sz w:val="26"/>
                <w:szCs w:val="26"/>
              </w:rPr>
              <w:t xml:space="preserve">Noteikumu projekta izpilde </w:t>
            </w:r>
            <w:r w:rsidR="004B1A0A" w:rsidRPr="00ED0B51">
              <w:rPr>
                <w:sz w:val="26"/>
                <w:szCs w:val="26"/>
              </w:rPr>
              <w:t>nepaplašina un nesašaurina V</w:t>
            </w:r>
            <w:r w:rsidRPr="00ED0B51">
              <w:rPr>
                <w:sz w:val="26"/>
                <w:szCs w:val="26"/>
              </w:rPr>
              <w:t>alsts ieņēmumu dienesta</w:t>
            </w:r>
            <w:r w:rsidR="004B1A0A" w:rsidRPr="00ED0B51">
              <w:rPr>
                <w:sz w:val="26"/>
                <w:szCs w:val="26"/>
              </w:rPr>
              <w:t xml:space="preserve"> līdzšinējās</w:t>
            </w:r>
            <w:r w:rsidRPr="00ED0B51">
              <w:rPr>
                <w:sz w:val="26"/>
                <w:szCs w:val="26"/>
              </w:rPr>
              <w:t xml:space="preserve"> fun</w:t>
            </w:r>
            <w:r w:rsidR="004B1A0A" w:rsidRPr="00ED0B51">
              <w:rPr>
                <w:sz w:val="26"/>
                <w:szCs w:val="26"/>
              </w:rPr>
              <w:t xml:space="preserve">kcijas un </w:t>
            </w:r>
            <w:r w:rsidRPr="00ED0B51">
              <w:rPr>
                <w:sz w:val="26"/>
                <w:szCs w:val="26"/>
              </w:rPr>
              <w:t>uzdevumus</w:t>
            </w:r>
            <w:r w:rsidR="004B1A0A" w:rsidRPr="00ED0B51">
              <w:rPr>
                <w:sz w:val="26"/>
                <w:szCs w:val="26"/>
              </w:rPr>
              <w:t>, neietekmē pieejamos cilvēkresursus</w:t>
            </w:r>
            <w:r w:rsidR="00A438B6" w:rsidRPr="00ED0B51">
              <w:rPr>
                <w:sz w:val="26"/>
                <w:szCs w:val="26"/>
              </w:rPr>
              <w:t>.</w:t>
            </w:r>
            <w:r w:rsidR="004B1A0A" w:rsidRPr="00ED0B51">
              <w:rPr>
                <w:sz w:val="26"/>
                <w:szCs w:val="26"/>
              </w:rPr>
              <w:t xml:space="preserve"> </w:t>
            </w:r>
            <w:r w:rsidR="00A438B6" w:rsidRPr="00ED0B51">
              <w:rPr>
                <w:sz w:val="26"/>
                <w:szCs w:val="26"/>
              </w:rPr>
              <w:t>N</w:t>
            </w:r>
            <w:r w:rsidR="004B1A0A" w:rsidRPr="00ED0B51">
              <w:rPr>
                <w:sz w:val="26"/>
                <w:szCs w:val="26"/>
              </w:rPr>
              <w:t>oteikumu projekts nenosaka jaunas institūcijas veidošanu vai institūciju reorganizāciju un likvidāciju</w:t>
            </w:r>
            <w:r w:rsidR="00B308FE" w:rsidRPr="00ED0B51">
              <w:rPr>
                <w:sz w:val="26"/>
                <w:szCs w:val="26"/>
              </w:rPr>
              <w:t>.</w:t>
            </w:r>
          </w:p>
        </w:tc>
      </w:tr>
      <w:tr w:rsidR="00D61D6C" w:rsidRPr="00ED0B51" w14:paraId="7A8C1CEA" w14:textId="77777777" w:rsidTr="00EE5A4F">
        <w:trPr>
          <w:trHeight w:val="402"/>
          <w:jc w:val="center"/>
        </w:trPr>
        <w:tc>
          <w:tcPr>
            <w:tcW w:w="437" w:type="dxa"/>
            <w:tcBorders>
              <w:top w:val="single" w:sz="4" w:space="0" w:color="auto"/>
              <w:left w:val="single" w:sz="4" w:space="0" w:color="auto"/>
              <w:bottom w:val="single" w:sz="4" w:space="0" w:color="auto"/>
              <w:right w:val="single" w:sz="4" w:space="0" w:color="auto"/>
            </w:tcBorders>
          </w:tcPr>
          <w:p w14:paraId="18E10B6C" w14:textId="77777777" w:rsidR="00D175E9" w:rsidRPr="00ED0B51" w:rsidRDefault="00D175E9" w:rsidP="0089091C">
            <w:pPr>
              <w:pStyle w:val="naisnod"/>
              <w:spacing w:before="0" w:after="0"/>
              <w:ind w:left="57" w:right="57"/>
              <w:jc w:val="both"/>
              <w:rPr>
                <w:sz w:val="26"/>
                <w:szCs w:val="26"/>
              </w:rPr>
            </w:pPr>
            <w:r w:rsidRPr="00ED0B51">
              <w:rPr>
                <w:b w:val="0"/>
                <w:bCs w:val="0"/>
                <w:sz w:val="26"/>
                <w:szCs w:val="26"/>
              </w:rPr>
              <w:t>3.</w:t>
            </w:r>
          </w:p>
        </w:tc>
        <w:tc>
          <w:tcPr>
            <w:tcW w:w="3615" w:type="dxa"/>
            <w:tcBorders>
              <w:top w:val="single" w:sz="4" w:space="0" w:color="auto"/>
              <w:left w:val="single" w:sz="4" w:space="0" w:color="auto"/>
              <w:bottom w:val="single" w:sz="4" w:space="0" w:color="auto"/>
              <w:right w:val="single" w:sz="4" w:space="0" w:color="auto"/>
            </w:tcBorders>
          </w:tcPr>
          <w:p w14:paraId="0C7FEC94" w14:textId="77777777" w:rsidR="00D175E9" w:rsidRPr="00ED0B51" w:rsidRDefault="00D175E9" w:rsidP="00846DA7">
            <w:pPr>
              <w:pStyle w:val="naisf"/>
              <w:spacing w:before="0" w:after="0"/>
              <w:ind w:firstLine="0"/>
              <w:jc w:val="left"/>
              <w:rPr>
                <w:sz w:val="26"/>
                <w:szCs w:val="26"/>
              </w:rPr>
            </w:pPr>
            <w:r w:rsidRPr="00ED0B51">
              <w:rPr>
                <w:sz w:val="26"/>
                <w:szCs w:val="26"/>
              </w:rPr>
              <w:t>Cita informācija</w:t>
            </w:r>
          </w:p>
        </w:tc>
        <w:tc>
          <w:tcPr>
            <w:tcW w:w="5466" w:type="dxa"/>
            <w:tcBorders>
              <w:top w:val="single" w:sz="4" w:space="0" w:color="auto"/>
              <w:left w:val="single" w:sz="4" w:space="0" w:color="auto"/>
              <w:bottom w:val="single" w:sz="4" w:space="0" w:color="auto"/>
              <w:right w:val="single" w:sz="4" w:space="0" w:color="auto"/>
            </w:tcBorders>
          </w:tcPr>
          <w:p w14:paraId="22A3A20A" w14:textId="77777777" w:rsidR="00D175E9" w:rsidRPr="00ED0B51" w:rsidRDefault="00D175E9" w:rsidP="004943A0">
            <w:pPr>
              <w:ind w:left="57" w:right="57"/>
              <w:jc w:val="both"/>
              <w:rPr>
                <w:sz w:val="26"/>
                <w:szCs w:val="26"/>
              </w:rPr>
            </w:pPr>
            <w:r w:rsidRPr="00ED0B51">
              <w:rPr>
                <w:sz w:val="26"/>
                <w:szCs w:val="26"/>
              </w:rPr>
              <w:t>Nav</w:t>
            </w:r>
          </w:p>
        </w:tc>
      </w:tr>
    </w:tbl>
    <w:p w14:paraId="6C3E418E" w14:textId="77777777" w:rsidR="00EE5A4F" w:rsidRPr="00ED0B51" w:rsidRDefault="00EE5A4F" w:rsidP="007756FB">
      <w:pPr>
        <w:rPr>
          <w:sz w:val="28"/>
          <w:szCs w:val="28"/>
        </w:rPr>
      </w:pPr>
    </w:p>
    <w:p w14:paraId="2B65CADD" w14:textId="77777777" w:rsidR="00977398" w:rsidRPr="00ED0B51" w:rsidRDefault="00977398" w:rsidP="00BF2464">
      <w:pPr>
        <w:ind w:firstLine="720"/>
        <w:rPr>
          <w:sz w:val="28"/>
          <w:szCs w:val="28"/>
        </w:rPr>
      </w:pPr>
      <w:r w:rsidRPr="00ED0B51">
        <w:rPr>
          <w:sz w:val="28"/>
          <w:szCs w:val="28"/>
        </w:rPr>
        <w:t xml:space="preserve">Anotācijas </w:t>
      </w:r>
      <w:r w:rsidR="007007BD" w:rsidRPr="00ED0B51">
        <w:rPr>
          <w:sz w:val="28"/>
          <w:szCs w:val="28"/>
        </w:rPr>
        <w:t>IV</w:t>
      </w:r>
      <w:r w:rsidRPr="00ED0B51">
        <w:rPr>
          <w:sz w:val="28"/>
          <w:szCs w:val="28"/>
        </w:rPr>
        <w:t xml:space="preserve"> un V sadaļa – projekts šīs jomas neskar.</w:t>
      </w:r>
    </w:p>
    <w:p w14:paraId="7B2457DF" w14:textId="77777777" w:rsidR="00E04EB1" w:rsidRPr="00ED0B51" w:rsidRDefault="00E04EB1" w:rsidP="007756FB">
      <w:pPr>
        <w:rPr>
          <w:sz w:val="28"/>
          <w:szCs w:val="28"/>
        </w:rPr>
      </w:pPr>
    </w:p>
    <w:p w14:paraId="3C4C132D" w14:textId="77777777" w:rsidR="002B1E83" w:rsidRPr="00ED0B51" w:rsidRDefault="002B1E83" w:rsidP="007756FB">
      <w:pPr>
        <w:rPr>
          <w:sz w:val="28"/>
          <w:szCs w:val="28"/>
        </w:rPr>
      </w:pPr>
    </w:p>
    <w:p w14:paraId="48198382" w14:textId="47C456FD" w:rsidR="00B40F64" w:rsidRPr="00ED0B51" w:rsidRDefault="00B40F64" w:rsidP="00B40F64">
      <w:pPr>
        <w:rPr>
          <w:sz w:val="28"/>
          <w:szCs w:val="28"/>
        </w:rPr>
      </w:pPr>
      <w:r w:rsidRPr="00ED0B51">
        <w:rPr>
          <w:sz w:val="28"/>
          <w:szCs w:val="28"/>
        </w:rPr>
        <w:t xml:space="preserve">Finanšu ministra </w:t>
      </w:r>
      <w:r w:rsidR="009164B7">
        <w:rPr>
          <w:sz w:val="28"/>
          <w:szCs w:val="28"/>
        </w:rPr>
        <w:t>vietā –</w:t>
      </w:r>
    </w:p>
    <w:p w14:paraId="15D6ED31" w14:textId="7C5472DE" w:rsidR="00B40F64" w:rsidRPr="00ED0B51" w:rsidRDefault="009164B7" w:rsidP="00B40F64">
      <w:pPr>
        <w:rPr>
          <w:sz w:val="28"/>
          <w:szCs w:val="28"/>
        </w:rPr>
      </w:pPr>
      <w:r>
        <w:rPr>
          <w:sz w:val="28"/>
          <w:szCs w:val="28"/>
        </w:rPr>
        <w:t>i</w:t>
      </w:r>
      <w:bookmarkStart w:id="5" w:name="_GoBack"/>
      <w:bookmarkEnd w:id="5"/>
      <w:r w:rsidR="00B40F64" w:rsidRPr="00ED0B51">
        <w:rPr>
          <w:sz w:val="28"/>
          <w:szCs w:val="28"/>
        </w:rPr>
        <w:t>ekšlietu ministrs</w:t>
      </w:r>
      <w:r w:rsidR="00B40F64" w:rsidRPr="00ED0B51">
        <w:rPr>
          <w:sz w:val="28"/>
          <w:szCs w:val="28"/>
        </w:rPr>
        <w:tab/>
      </w:r>
      <w:r w:rsidR="00B40F64" w:rsidRPr="00ED0B51">
        <w:rPr>
          <w:sz w:val="28"/>
          <w:szCs w:val="28"/>
        </w:rPr>
        <w:tab/>
      </w:r>
      <w:r w:rsidR="00B40F64" w:rsidRPr="00ED0B51">
        <w:rPr>
          <w:sz w:val="28"/>
          <w:szCs w:val="28"/>
        </w:rPr>
        <w:tab/>
      </w:r>
      <w:r w:rsidR="00B40F64" w:rsidRPr="00ED0B51">
        <w:rPr>
          <w:sz w:val="28"/>
          <w:szCs w:val="28"/>
        </w:rPr>
        <w:tab/>
      </w:r>
      <w:r w:rsidR="00B40F64" w:rsidRPr="00ED0B51">
        <w:rPr>
          <w:sz w:val="28"/>
          <w:szCs w:val="28"/>
        </w:rPr>
        <w:tab/>
      </w:r>
      <w:r w:rsidR="00B40F64" w:rsidRPr="00ED0B51">
        <w:rPr>
          <w:sz w:val="28"/>
          <w:szCs w:val="28"/>
        </w:rPr>
        <w:tab/>
      </w:r>
      <w:r w:rsidR="00B40F64" w:rsidRPr="00ED0B51">
        <w:rPr>
          <w:sz w:val="28"/>
          <w:szCs w:val="28"/>
        </w:rPr>
        <w:tab/>
      </w:r>
      <w:r w:rsidR="00B40F64" w:rsidRPr="00ED0B51">
        <w:rPr>
          <w:sz w:val="28"/>
          <w:szCs w:val="28"/>
        </w:rPr>
        <w:tab/>
      </w:r>
      <w:proofErr w:type="spellStart"/>
      <w:r w:rsidR="00B40F64" w:rsidRPr="00ED0B51">
        <w:rPr>
          <w:sz w:val="28"/>
          <w:szCs w:val="28"/>
        </w:rPr>
        <w:t>R.Kozlovskis</w:t>
      </w:r>
      <w:proofErr w:type="spellEnd"/>
    </w:p>
    <w:p w14:paraId="566B85C0" w14:textId="77777777" w:rsidR="00E04EB1" w:rsidRPr="00ED0B51" w:rsidRDefault="00E04EB1" w:rsidP="007756FB">
      <w:pPr>
        <w:rPr>
          <w:sz w:val="28"/>
          <w:szCs w:val="28"/>
        </w:rPr>
      </w:pPr>
    </w:p>
    <w:p w14:paraId="659524E4" w14:textId="77777777" w:rsidR="00B40F64" w:rsidRPr="00ED0B51" w:rsidRDefault="00B40F64" w:rsidP="007756FB">
      <w:pPr>
        <w:rPr>
          <w:sz w:val="28"/>
          <w:szCs w:val="28"/>
        </w:rPr>
      </w:pPr>
    </w:p>
    <w:p w14:paraId="25B51B71" w14:textId="77777777" w:rsidR="00B40F64" w:rsidRPr="00ED0B51" w:rsidRDefault="00B40F64" w:rsidP="007756FB">
      <w:pPr>
        <w:rPr>
          <w:sz w:val="28"/>
          <w:szCs w:val="28"/>
        </w:rPr>
      </w:pPr>
    </w:p>
    <w:p w14:paraId="2FEA8502" w14:textId="77777777" w:rsidR="00B40F64" w:rsidRPr="00ED0B51" w:rsidRDefault="00B40F64" w:rsidP="007756FB">
      <w:pPr>
        <w:rPr>
          <w:sz w:val="28"/>
          <w:szCs w:val="28"/>
        </w:rPr>
      </w:pPr>
    </w:p>
    <w:p w14:paraId="52FD7817" w14:textId="77777777" w:rsidR="00B40F64" w:rsidRPr="00ED0B51" w:rsidRDefault="00B40F64" w:rsidP="007756FB">
      <w:pPr>
        <w:rPr>
          <w:sz w:val="28"/>
          <w:szCs w:val="28"/>
        </w:rPr>
      </w:pPr>
    </w:p>
    <w:p w14:paraId="60F4E671" w14:textId="77777777" w:rsidR="00B40F64" w:rsidRPr="00ED0B51" w:rsidRDefault="00B40F64" w:rsidP="007756FB">
      <w:pPr>
        <w:rPr>
          <w:sz w:val="28"/>
          <w:szCs w:val="28"/>
        </w:rPr>
      </w:pPr>
    </w:p>
    <w:p w14:paraId="2E395FF5" w14:textId="77777777" w:rsidR="00B40F64" w:rsidRPr="00ED0B51" w:rsidRDefault="00B40F64" w:rsidP="007756FB">
      <w:pPr>
        <w:rPr>
          <w:sz w:val="28"/>
          <w:szCs w:val="28"/>
        </w:rPr>
      </w:pPr>
    </w:p>
    <w:p w14:paraId="6A230AD9" w14:textId="77777777" w:rsidR="00B40F64" w:rsidRPr="00ED0B51" w:rsidRDefault="00B40F64" w:rsidP="007756FB">
      <w:pPr>
        <w:rPr>
          <w:sz w:val="28"/>
          <w:szCs w:val="28"/>
        </w:rPr>
      </w:pPr>
    </w:p>
    <w:p w14:paraId="5D6426A9" w14:textId="77777777" w:rsidR="00B40F64" w:rsidRPr="00ED0B51" w:rsidRDefault="00B40F64" w:rsidP="007756FB">
      <w:pPr>
        <w:rPr>
          <w:sz w:val="28"/>
          <w:szCs w:val="28"/>
        </w:rPr>
      </w:pPr>
    </w:p>
    <w:p w14:paraId="662BF696" w14:textId="77777777" w:rsidR="00B40F64" w:rsidRPr="00ED0B51" w:rsidRDefault="00B40F64" w:rsidP="007756FB">
      <w:pPr>
        <w:rPr>
          <w:sz w:val="28"/>
          <w:szCs w:val="28"/>
        </w:rPr>
      </w:pPr>
    </w:p>
    <w:p w14:paraId="3F9FC67D" w14:textId="77777777" w:rsidR="00B40F64" w:rsidRPr="00ED0B51" w:rsidRDefault="00B40F64" w:rsidP="007756FB">
      <w:pPr>
        <w:rPr>
          <w:sz w:val="28"/>
          <w:szCs w:val="28"/>
        </w:rPr>
      </w:pPr>
    </w:p>
    <w:p w14:paraId="6F8E75C2" w14:textId="77777777" w:rsidR="00B40F64" w:rsidRPr="00ED0B51" w:rsidRDefault="00B40F64" w:rsidP="007756FB">
      <w:pPr>
        <w:rPr>
          <w:sz w:val="28"/>
          <w:szCs w:val="28"/>
        </w:rPr>
      </w:pPr>
    </w:p>
    <w:p w14:paraId="47489733" w14:textId="77777777" w:rsidR="00B40F64" w:rsidRPr="00ED0B51" w:rsidRDefault="00B40F64" w:rsidP="007756FB">
      <w:pPr>
        <w:rPr>
          <w:sz w:val="28"/>
          <w:szCs w:val="28"/>
        </w:rPr>
      </w:pPr>
    </w:p>
    <w:p w14:paraId="24E8A150" w14:textId="77777777" w:rsidR="00B40F64" w:rsidRPr="00ED0B51" w:rsidRDefault="00B40F64" w:rsidP="007756FB">
      <w:pPr>
        <w:rPr>
          <w:sz w:val="28"/>
          <w:szCs w:val="28"/>
        </w:rPr>
      </w:pPr>
    </w:p>
    <w:p w14:paraId="46DD65F4" w14:textId="77777777" w:rsidR="00B40F64" w:rsidRPr="00ED0B51" w:rsidRDefault="00B40F64" w:rsidP="007756FB">
      <w:pPr>
        <w:rPr>
          <w:sz w:val="28"/>
          <w:szCs w:val="28"/>
        </w:rPr>
      </w:pPr>
    </w:p>
    <w:p w14:paraId="60E00C80" w14:textId="77777777" w:rsidR="00B40F64" w:rsidRPr="00ED0B51" w:rsidRDefault="00B40F64" w:rsidP="007756FB">
      <w:pPr>
        <w:rPr>
          <w:sz w:val="28"/>
          <w:szCs w:val="28"/>
        </w:rPr>
      </w:pPr>
    </w:p>
    <w:p w14:paraId="0E4C6C6F" w14:textId="77777777" w:rsidR="00B40F64" w:rsidRPr="00ED0B51" w:rsidRDefault="00B40F64" w:rsidP="007756FB">
      <w:pPr>
        <w:rPr>
          <w:sz w:val="28"/>
          <w:szCs w:val="28"/>
        </w:rPr>
      </w:pPr>
    </w:p>
    <w:p w14:paraId="75F70D6F" w14:textId="2B058073" w:rsidR="00BF2464" w:rsidRPr="00ED0B51" w:rsidRDefault="00C61238" w:rsidP="00C934E4">
      <w:r w:rsidRPr="00ED0B51">
        <w:t>2</w:t>
      </w:r>
      <w:r w:rsidR="00ED0B51">
        <w:t>8</w:t>
      </w:r>
      <w:r w:rsidR="00BF2464" w:rsidRPr="00ED0B51">
        <w:t>.0</w:t>
      </w:r>
      <w:r w:rsidR="003B4CAE" w:rsidRPr="00ED0B51">
        <w:t>4</w:t>
      </w:r>
      <w:r w:rsidR="00BF2464" w:rsidRPr="00ED0B51">
        <w:t xml:space="preserve">.2015. </w:t>
      </w:r>
      <w:r w:rsidR="003B4CAE" w:rsidRPr="00ED0B51">
        <w:t>1</w:t>
      </w:r>
      <w:r w:rsidR="00ED0B51">
        <w:t>0</w:t>
      </w:r>
      <w:r w:rsidR="00A438B6" w:rsidRPr="00ED0B51">
        <w:t>.</w:t>
      </w:r>
      <w:r w:rsidRPr="00ED0B51">
        <w:t>29</w:t>
      </w:r>
    </w:p>
    <w:p w14:paraId="21CB50BD" w14:textId="04C6754C" w:rsidR="00C934E4" w:rsidRPr="00ED0B51" w:rsidRDefault="00977D49" w:rsidP="00C934E4">
      <w:r w:rsidRPr="00ED0B51">
        <w:rPr>
          <w:iCs/>
        </w:rPr>
        <w:t>20</w:t>
      </w:r>
      <w:r w:rsidR="00B40F64" w:rsidRPr="00ED0B51">
        <w:rPr>
          <w:iCs/>
        </w:rPr>
        <w:t>69</w:t>
      </w:r>
    </w:p>
    <w:p w14:paraId="0FE52E6A" w14:textId="77777777" w:rsidR="007D1A10" w:rsidRPr="00ED0B51" w:rsidRDefault="007D1A10" w:rsidP="00C934E4">
      <w:r w:rsidRPr="00ED0B51">
        <w:t>Inese Riekstiņa</w:t>
      </w:r>
    </w:p>
    <w:p w14:paraId="6632647C" w14:textId="77777777" w:rsidR="007D1A10" w:rsidRPr="00ED0B51" w:rsidRDefault="007D1A10" w:rsidP="00D80B20">
      <w:r w:rsidRPr="00ED0B51">
        <w:t>Valsts ieņēmumu dienesta</w:t>
      </w:r>
    </w:p>
    <w:p w14:paraId="3645C9EE" w14:textId="77777777" w:rsidR="007D1A10" w:rsidRPr="00ED0B51" w:rsidRDefault="007D1A10" w:rsidP="00D80B20">
      <w:r w:rsidRPr="00ED0B51">
        <w:t xml:space="preserve">Nodokļu pārvaldes Fizisko personu </w:t>
      </w:r>
    </w:p>
    <w:p w14:paraId="2E6083FB" w14:textId="77777777" w:rsidR="007D1A10" w:rsidRPr="00ED0B51" w:rsidRDefault="007D1A10" w:rsidP="00D80B20">
      <w:r w:rsidRPr="00ED0B51">
        <w:t>tiešo nodokļu metodikas daļas</w:t>
      </w:r>
    </w:p>
    <w:p w14:paraId="47B409D4" w14:textId="77777777" w:rsidR="007D1A10" w:rsidRPr="00ED0B51" w:rsidRDefault="002B1E83" w:rsidP="00D80B20">
      <w:r w:rsidRPr="00ED0B51">
        <w:t xml:space="preserve">Pirmās nodaļas </w:t>
      </w:r>
      <w:r w:rsidR="007D1A10" w:rsidRPr="00ED0B51">
        <w:t>galvenā nodokļu inspektore</w:t>
      </w:r>
    </w:p>
    <w:p w14:paraId="60E9D518" w14:textId="77777777" w:rsidR="007D1A10" w:rsidRPr="00ED0B51" w:rsidRDefault="002B1E83" w:rsidP="00D80B20">
      <w:r w:rsidRPr="00ED0B51">
        <w:t>67121816</w:t>
      </w:r>
      <w:r w:rsidR="007D1A10" w:rsidRPr="00ED0B51">
        <w:t xml:space="preserve">, fakss </w:t>
      </w:r>
      <w:r w:rsidRPr="00ED0B51">
        <w:t>67122947</w:t>
      </w:r>
    </w:p>
    <w:p w14:paraId="05A0D3B6" w14:textId="77777777" w:rsidR="00B713F4" w:rsidRPr="00ED0B51" w:rsidRDefault="007E1BEC" w:rsidP="00D80B20">
      <w:pPr>
        <w:rPr>
          <w:rStyle w:val="Hyperlink"/>
          <w:color w:val="auto"/>
          <w:u w:val="none"/>
        </w:rPr>
      </w:pPr>
      <w:hyperlink r:id="rId14" w:history="1">
        <w:r w:rsidR="006A6EE7" w:rsidRPr="00ED0B51">
          <w:rPr>
            <w:rStyle w:val="Hyperlink"/>
            <w:color w:val="auto"/>
            <w:u w:val="none"/>
          </w:rPr>
          <w:t>Inese.Riekstina@vid.gov.lv</w:t>
        </w:r>
      </w:hyperlink>
    </w:p>
    <w:p w14:paraId="05E6A65E" w14:textId="77777777" w:rsidR="00B713F4" w:rsidRPr="00ED0B51" w:rsidRDefault="00B713F4" w:rsidP="00B713F4"/>
    <w:sectPr w:rsidR="00B713F4" w:rsidRPr="00ED0B51" w:rsidSect="00F602BC">
      <w:headerReference w:type="even" r:id="rId15"/>
      <w:headerReference w:type="default" r:id="rId16"/>
      <w:footerReference w:type="default" r:id="rId17"/>
      <w:footerReference w:type="first" r:id="rId18"/>
      <w:pgSz w:w="11906" w:h="16838" w:code="9"/>
      <w:pgMar w:top="1134" w:right="1134" w:bottom="1134" w:left="1701" w:header="709" w:footer="720"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6C05258" w15:done="0"/>
  <w15:commentEx w15:paraId="7B23DD9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FFF1EF" w14:textId="77777777" w:rsidR="007E1BEC" w:rsidRDefault="007E1BEC">
      <w:r>
        <w:separator/>
      </w:r>
    </w:p>
  </w:endnote>
  <w:endnote w:type="continuationSeparator" w:id="0">
    <w:p w14:paraId="6B7B14B6" w14:textId="77777777" w:rsidR="007E1BEC" w:rsidRDefault="007E1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4E083C" w14:textId="688762E2" w:rsidR="00F14184" w:rsidRPr="00E26158" w:rsidRDefault="006C5BB3" w:rsidP="00FC4195">
    <w:pPr>
      <w:pStyle w:val="Footer"/>
      <w:jc w:val="both"/>
    </w:pPr>
    <w:r>
      <w:rPr>
        <w:sz w:val="20"/>
        <w:szCs w:val="20"/>
      </w:rPr>
      <w:t>FMAnot_</w:t>
    </w:r>
    <w:r w:rsidR="00C61238">
      <w:rPr>
        <w:sz w:val="20"/>
        <w:szCs w:val="20"/>
      </w:rPr>
      <w:t>2</w:t>
    </w:r>
    <w:r w:rsidR="00ED0B51">
      <w:rPr>
        <w:sz w:val="20"/>
        <w:szCs w:val="20"/>
      </w:rPr>
      <w:t>8</w:t>
    </w:r>
    <w:r w:rsidR="003B4CAE">
      <w:rPr>
        <w:sz w:val="20"/>
        <w:szCs w:val="20"/>
      </w:rPr>
      <w:t>04</w:t>
    </w:r>
    <w:r w:rsidR="00F14184" w:rsidRPr="005D2404">
      <w:rPr>
        <w:sz w:val="20"/>
        <w:szCs w:val="20"/>
      </w:rPr>
      <w:t>15_MK_lizing</w:t>
    </w:r>
    <w:r w:rsidR="00F14184" w:rsidRPr="00E26158">
      <w:rPr>
        <w:sz w:val="20"/>
        <w:szCs w:val="20"/>
      </w:rPr>
      <w:t>; Ministru kabineta noteikumu projekta “</w:t>
    </w:r>
    <w:r w:rsidR="001F648E" w:rsidRPr="001F648E">
      <w:rPr>
        <w:sz w:val="20"/>
        <w:szCs w:val="20"/>
      </w:rPr>
      <w:t>Noteikumi par līzinga, kredīta un ar to saistīto procentu maksājumu deklarāciju</w:t>
    </w:r>
    <w:r w:rsidR="00F14184" w:rsidRPr="00E26158">
      <w:rPr>
        <w:sz w:val="20"/>
        <w:szCs w:val="20"/>
      </w:rPr>
      <w:t>”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69B389" w14:textId="7992D25A" w:rsidR="00F14184" w:rsidRPr="00846DA7" w:rsidRDefault="00F14184" w:rsidP="00846DA7">
    <w:pPr>
      <w:pStyle w:val="Footer"/>
      <w:jc w:val="both"/>
      <w:rPr>
        <w:sz w:val="20"/>
        <w:szCs w:val="20"/>
      </w:rPr>
    </w:pPr>
    <w:r w:rsidRPr="005D2404">
      <w:rPr>
        <w:sz w:val="20"/>
        <w:szCs w:val="20"/>
      </w:rPr>
      <w:t>FMAnot_</w:t>
    </w:r>
    <w:r w:rsidR="00C61238">
      <w:rPr>
        <w:sz w:val="20"/>
        <w:szCs w:val="20"/>
      </w:rPr>
      <w:t>2</w:t>
    </w:r>
    <w:r w:rsidR="00ED0B51">
      <w:rPr>
        <w:sz w:val="20"/>
        <w:szCs w:val="20"/>
      </w:rPr>
      <w:t>8</w:t>
    </w:r>
    <w:r w:rsidR="003B4CAE">
      <w:rPr>
        <w:sz w:val="20"/>
        <w:szCs w:val="20"/>
      </w:rPr>
      <w:t>04</w:t>
    </w:r>
    <w:r w:rsidRPr="005D2404">
      <w:rPr>
        <w:sz w:val="20"/>
        <w:szCs w:val="20"/>
      </w:rPr>
      <w:t>15_MK_lizing</w:t>
    </w:r>
    <w:r w:rsidRPr="00846DA7">
      <w:rPr>
        <w:sz w:val="20"/>
        <w:szCs w:val="20"/>
      </w:rPr>
      <w:t>; Ministru kabineta noteikumu projekta “</w:t>
    </w:r>
    <w:r w:rsidR="001F648E" w:rsidRPr="001F648E">
      <w:rPr>
        <w:sz w:val="20"/>
        <w:szCs w:val="20"/>
      </w:rPr>
      <w:t>Noteikumi par līzinga, kredīta un ar to saistīto procentu maksājumu deklarāciju</w:t>
    </w:r>
    <w:r w:rsidRPr="00102A21">
      <w:rPr>
        <w:sz w:val="20"/>
        <w:szCs w:val="20"/>
      </w:rPr>
      <w:t>”</w:t>
    </w:r>
    <w:r w:rsidRPr="00846DA7">
      <w:rPr>
        <w:sz w:val="20"/>
        <w:szCs w:val="20"/>
      </w:rPr>
      <w:t xml:space="preserve">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D7508B" w14:textId="77777777" w:rsidR="007E1BEC" w:rsidRDefault="007E1BEC">
      <w:r>
        <w:separator/>
      </w:r>
    </w:p>
  </w:footnote>
  <w:footnote w:type="continuationSeparator" w:id="0">
    <w:p w14:paraId="4EBFF2F4" w14:textId="77777777" w:rsidR="007E1BEC" w:rsidRDefault="007E1B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EE1957" w14:textId="77777777" w:rsidR="00F14184" w:rsidRDefault="00F14184" w:rsidP="00F4391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04F064F" w14:textId="77777777" w:rsidR="00F14184" w:rsidRDefault="00F1418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324E27" w14:textId="77777777" w:rsidR="00F14184" w:rsidRDefault="00F14184" w:rsidP="00F4391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164B7">
      <w:rPr>
        <w:rStyle w:val="PageNumber"/>
        <w:noProof/>
      </w:rPr>
      <w:t>8</w:t>
    </w:r>
    <w:r>
      <w:rPr>
        <w:rStyle w:val="PageNumber"/>
      </w:rPr>
      <w:fldChar w:fldCharType="end"/>
    </w:r>
  </w:p>
  <w:p w14:paraId="29ED1B57" w14:textId="77777777" w:rsidR="00F14184" w:rsidRDefault="00F141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D6A83"/>
    <w:multiLevelType w:val="hybridMultilevel"/>
    <w:tmpl w:val="21620D9A"/>
    <w:lvl w:ilvl="0" w:tplc="A66CF7BA">
      <w:start w:val="1"/>
      <w:numFmt w:val="decimal"/>
      <w:lvlText w:val="%1)"/>
      <w:lvlJc w:val="left"/>
      <w:pPr>
        <w:ind w:left="795" w:hanging="435"/>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
    <w:nsid w:val="069F2453"/>
    <w:multiLevelType w:val="hybridMultilevel"/>
    <w:tmpl w:val="B252751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106B1484"/>
    <w:multiLevelType w:val="hybridMultilevel"/>
    <w:tmpl w:val="1E10A724"/>
    <w:lvl w:ilvl="0" w:tplc="1FBCE5EC">
      <w:start w:val="1"/>
      <w:numFmt w:val="decimal"/>
      <w:lvlText w:val="%1)"/>
      <w:lvlJc w:val="left"/>
      <w:pPr>
        <w:ind w:left="1561" w:hanging="960"/>
      </w:pPr>
      <w:rPr>
        <w:rFonts w:cs="Times New Roman" w:hint="default"/>
      </w:rPr>
    </w:lvl>
    <w:lvl w:ilvl="1" w:tplc="04260019" w:tentative="1">
      <w:start w:val="1"/>
      <w:numFmt w:val="lowerLetter"/>
      <w:lvlText w:val="%2."/>
      <w:lvlJc w:val="left"/>
      <w:pPr>
        <w:ind w:left="1681" w:hanging="360"/>
      </w:pPr>
      <w:rPr>
        <w:rFonts w:cs="Times New Roman"/>
      </w:rPr>
    </w:lvl>
    <w:lvl w:ilvl="2" w:tplc="0426001B" w:tentative="1">
      <w:start w:val="1"/>
      <w:numFmt w:val="lowerRoman"/>
      <w:lvlText w:val="%3."/>
      <w:lvlJc w:val="right"/>
      <w:pPr>
        <w:ind w:left="2401" w:hanging="180"/>
      </w:pPr>
      <w:rPr>
        <w:rFonts w:cs="Times New Roman"/>
      </w:rPr>
    </w:lvl>
    <w:lvl w:ilvl="3" w:tplc="0426000F" w:tentative="1">
      <w:start w:val="1"/>
      <w:numFmt w:val="decimal"/>
      <w:lvlText w:val="%4."/>
      <w:lvlJc w:val="left"/>
      <w:pPr>
        <w:ind w:left="3121" w:hanging="360"/>
      </w:pPr>
      <w:rPr>
        <w:rFonts w:cs="Times New Roman"/>
      </w:rPr>
    </w:lvl>
    <w:lvl w:ilvl="4" w:tplc="04260019" w:tentative="1">
      <w:start w:val="1"/>
      <w:numFmt w:val="lowerLetter"/>
      <w:lvlText w:val="%5."/>
      <w:lvlJc w:val="left"/>
      <w:pPr>
        <w:ind w:left="3841" w:hanging="360"/>
      </w:pPr>
      <w:rPr>
        <w:rFonts w:cs="Times New Roman"/>
      </w:rPr>
    </w:lvl>
    <w:lvl w:ilvl="5" w:tplc="0426001B" w:tentative="1">
      <w:start w:val="1"/>
      <w:numFmt w:val="lowerRoman"/>
      <w:lvlText w:val="%6."/>
      <w:lvlJc w:val="right"/>
      <w:pPr>
        <w:ind w:left="4561" w:hanging="180"/>
      </w:pPr>
      <w:rPr>
        <w:rFonts w:cs="Times New Roman"/>
      </w:rPr>
    </w:lvl>
    <w:lvl w:ilvl="6" w:tplc="0426000F" w:tentative="1">
      <w:start w:val="1"/>
      <w:numFmt w:val="decimal"/>
      <w:lvlText w:val="%7."/>
      <w:lvlJc w:val="left"/>
      <w:pPr>
        <w:ind w:left="5281" w:hanging="360"/>
      </w:pPr>
      <w:rPr>
        <w:rFonts w:cs="Times New Roman"/>
      </w:rPr>
    </w:lvl>
    <w:lvl w:ilvl="7" w:tplc="04260019" w:tentative="1">
      <w:start w:val="1"/>
      <w:numFmt w:val="lowerLetter"/>
      <w:lvlText w:val="%8."/>
      <w:lvlJc w:val="left"/>
      <w:pPr>
        <w:ind w:left="6001" w:hanging="360"/>
      </w:pPr>
      <w:rPr>
        <w:rFonts w:cs="Times New Roman"/>
      </w:rPr>
    </w:lvl>
    <w:lvl w:ilvl="8" w:tplc="0426001B" w:tentative="1">
      <w:start w:val="1"/>
      <w:numFmt w:val="lowerRoman"/>
      <w:lvlText w:val="%9."/>
      <w:lvlJc w:val="right"/>
      <w:pPr>
        <w:ind w:left="6721" w:hanging="180"/>
      </w:pPr>
      <w:rPr>
        <w:rFonts w:cs="Times New Roman"/>
      </w:rPr>
    </w:lvl>
  </w:abstractNum>
  <w:abstractNum w:abstractNumId="3">
    <w:nsid w:val="1909278D"/>
    <w:multiLevelType w:val="hybridMultilevel"/>
    <w:tmpl w:val="38EE7E92"/>
    <w:lvl w:ilvl="0" w:tplc="7BAE266A">
      <w:start w:val="1"/>
      <w:numFmt w:val="bullet"/>
      <w:lvlText w:val="-"/>
      <w:lvlJc w:val="left"/>
      <w:pPr>
        <w:ind w:left="720" w:hanging="360"/>
      </w:pPr>
      <w:rPr>
        <w:rFonts w:ascii="Times New Roman" w:eastAsia="Times New Roman" w:hAnsi="Times New Roman" w:cs="Times New Roman" w:hint="default"/>
        <w:color w:val="auto"/>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4">
    <w:nsid w:val="3B2C3A4B"/>
    <w:multiLevelType w:val="hybridMultilevel"/>
    <w:tmpl w:val="D8C21B5A"/>
    <w:lvl w:ilvl="0" w:tplc="E8DCFCF4">
      <w:start w:val="1"/>
      <w:numFmt w:val="upperRoman"/>
      <w:lvlText w:val="%1."/>
      <w:lvlJc w:val="left"/>
      <w:pPr>
        <w:ind w:left="1080" w:hanging="72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5">
    <w:nsid w:val="4415269E"/>
    <w:multiLevelType w:val="hybridMultilevel"/>
    <w:tmpl w:val="5E06861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57C03AF0"/>
    <w:multiLevelType w:val="hybridMultilevel"/>
    <w:tmpl w:val="08A4F5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5E9B3391"/>
    <w:multiLevelType w:val="hybridMultilevel"/>
    <w:tmpl w:val="04F4797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5F482352"/>
    <w:multiLevelType w:val="hybridMultilevel"/>
    <w:tmpl w:val="D5A4B682"/>
    <w:lvl w:ilvl="0" w:tplc="18EA453E">
      <w:start w:val="2013"/>
      <w:numFmt w:val="bullet"/>
      <w:lvlText w:val="-"/>
      <w:lvlJc w:val="left"/>
      <w:pPr>
        <w:ind w:left="615" w:hanging="360"/>
      </w:pPr>
      <w:rPr>
        <w:rFonts w:ascii="Times New Roman" w:eastAsia="Times New Roman" w:hAnsi="Times New Roman" w:cs="Times New Roman" w:hint="default"/>
      </w:rPr>
    </w:lvl>
    <w:lvl w:ilvl="1" w:tplc="04260003" w:tentative="1">
      <w:start w:val="1"/>
      <w:numFmt w:val="bullet"/>
      <w:lvlText w:val="o"/>
      <w:lvlJc w:val="left"/>
      <w:pPr>
        <w:ind w:left="1335" w:hanging="360"/>
      </w:pPr>
      <w:rPr>
        <w:rFonts w:ascii="Courier New" w:hAnsi="Courier New" w:cs="Courier New" w:hint="default"/>
      </w:rPr>
    </w:lvl>
    <w:lvl w:ilvl="2" w:tplc="04260005" w:tentative="1">
      <w:start w:val="1"/>
      <w:numFmt w:val="bullet"/>
      <w:lvlText w:val=""/>
      <w:lvlJc w:val="left"/>
      <w:pPr>
        <w:ind w:left="2055" w:hanging="360"/>
      </w:pPr>
      <w:rPr>
        <w:rFonts w:ascii="Wingdings" w:hAnsi="Wingdings" w:hint="default"/>
      </w:rPr>
    </w:lvl>
    <w:lvl w:ilvl="3" w:tplc="04260001" w:tentative="1">
      <w:start w:val="1"/>
      <w:numFmt w:val="bullet"/>
      <w:lvlText w:val=""/>
      <w:lvlJc w:val="left"/>
      <w:pPr>
        <w:ind w:left="2775" w:hanging="360"/>
      </w:pPr>
      <w:rPr>
        <w:rFonts w:ascii="Symbol" w:hAnsi="Symbol" w:hint="default"/>
      </w:rPr>
    </w:lvl>
    <w:lvl w:ilvl="4" w:tplc="04260003" w:tentative="1">
      <w:start w:val="1"/>
      <w:numFmt w:val="bullet"/>
      <w:lvlText w:val="o"/>
      <w:lvlJc w:val="left"/>
      <w:pPr>
        <w:ind w:left="3495" w:hanging="360"/>
      </w:pPr>
      <w:rPr>
        <w:rFonts w:ascii="Courier New" w:hAnsi="Courier New" w:cs="Courier New" w:hint="default"/>
      </w:rPr>
    </w:lvl>
    <w:lvl w:ilvl="5" w:tplc="04260005" w:tentative="1">
      <w:start w:val="1"/>
      <w:numFmt w:val="bullet"/>
      <w:lvlText w:val=""/>
      <w:lvlJc w:val="left"/>
      <w:pPr>
        <w:ind w:left="4215" w:hanging="360"/>
      </w:pPr>
      <w:rPr>
        <w:rFonts w:ascii="Wingdings" w:hAnsi="Wingdings" w:hint="default"/>
      </w:rPr>
    </w:lvl>
    <w:lvl w:ilvl="6" w:tplc="04260001" w:tentative="1">
      <w:start w:val="1"/>
      <w:numFmt w:val="bullet"/>
      <w:lvlText w:val=""/>
      <w:lvlJc w:val="left"/>
      <w:pPr>
        <w:ind w:left="4935" w:hanging="360"/>
      </w:pPr>
      <w:rPr>
        <w:rFonts w:ascii="Symbol" w:hAnsi="Symbol" w:hint="default"/>
      </w:rPr>
    </w:lvl>
    <w:lvl w:ilvl="7" w:tplc="04260003" w:tentative="1">
      <w:start w:val="1"/>
      <w:numFmt w:val="bullet"/>
      <w:lvlText w:val="o"/>
      <w:lvlJc w:val="left"/>
      <w:pPr>
        <w:ind w:left="5655" w:hanging="360"/>
      </w:pPr>
      <w:rPr>
        <w:rFonts w:ascii="Courier New" w:hAnsi="Courier New" w:cs="Courier New" w:hint="default"/>
      </w:rPr>
    </w:lvl>
    <w:lvl w:ilvl="8" w:tplc="04260005" w:tentative="1">
      <w:start w:val="1"/>
      <w:numFmt w:val="bullet"/>
      <w:lvlText w:val=""/>
      <w:lvlJc w:val="left"/>
      <w:pPr>
        <w:ind w:left="6375" w:hanging="360"/>
      </w:pPr>
      <w:rPr>
        <w:rFonts w:ascii="Wingdings" w:hAnsi="Wingdings" w:hint="default"/>
      </w:rPr>
    </w:lvl>
  </w:abstractNum>
  <w:abstractNum w:abstractNumId="9">
    <w:nsid w:val="64927190"/>
    <w:multiLevelType w:val="hybridMultilevel"/>
    <w:tmpl w:val="63C84EDA"/>
    <w:lvl w:ilvl="0" w:tplc="66380444">
      <w:start w:val="1"/>
      <w:numFmt w:val="decimal"/>
      <w:lvlText w:val="%1."/>
      <w:lvlJc w:val="left"/>
      <w:pPr>
        <w:ind w:left="1070" w:hanging="360"/>
      </w:pPr>
      <w:rPr>
        <w:rFonts w:ascii="Times New Roman" w:hAnsi="Times New Roman" w:cs="Times New Roman" w:hint="default"/>
        <w:sz w:val="28"/>
        <w:szCs w:val="28"/>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10">
    <w:nsid w:val="6D035A99"/>
    <w:multiLevelType w:val="hybridMultilevel"/>
    <w:tmpl w:val="D818B846"/>
    <w:lvl w:ilvl="0" w:tplc="04260001">
      <w:start w:val="1"/>
      <w:numFmt w:val="bullet"/>
      <w:lvlText w:val=""/>
      <w:lvlJc w:val="left"/>
      <w:pPr>
        <w:ind w:left="777" w:hanging="360"/>
      </w:pPr>
      <w:rPr>
        <w:rFonts w:ascii="Symbol" w:hAnsi="Symbol" w:hint="default"/>
      </w:rPr>
    </w:lvl>
    <w:lvl w:ilvl="1" w:tplc="04260003" w:tentative="1">
      <w:start w:val="1"/>
      <w:numFmt w:val="bullet"/>
      <w:lvlText w:val="o"/>
      <w:lvlJc w:val="left"/>
      <w:pPr>
        <w:ind w:left="1497" w:hanging="360"/>
      </w:pPr>
      <w:rPr>
        <w:rFonts w:ascii="Courier New" w:hAnsi="Courier New" w:cs="Courier New" w:hint="default"/>
      </w:rPr>
    </w:lvl>
    <w:lvl w:ilvl="2" w:tplc="04260005" w:tentative="1">
      <w:start w:val="1"/>
      <w:numFmt w:val="bullet"/>
      <w:lvlText w:val=""/>
      <w:lvlJc w:val="left"/>
      <w:pPr>
        <w:ind w:left="2217" w:hanging="360"/>
      </w:pPr>
      <w:rPr>
        <w:rFonts w:ascii="Wingdings" w:hAnsi="Wingdings" w:hint="default"/>
      </w:rPr>
    </w:lvl>
    <w:lvl w:ilvl="3" w:tplc="04260001" w:tentative="1">
      <w:start w:val="1"/>
      <w:numFmt w:val="bullet"/>
      <w:lvlText w:val=""/>
      <w:lvlJc w:val="left"/>
      <w:pPr>
        <w:ind w:left="2937" w:hanging="360"/>
      </w:pPr>
      <w:rPr>
        <w:rFonts w:ascii="Symbol" w:hAnsi="Symbol" w:hint="default"/>
      </w:rPr>
    </w:lvl>
    <w:lvl w:ilvl="4" w:tplc="04260003" w:tentative="1">
      <w:start w:val="1"/>
      <w:numFmt w:val="bullet"/>
      <w:lvlText w:val="o"/>
      <w:lvlJc w:val="left"/>
      <w:pPr>
        <w:ind w:left="3657" w:hanging="360"/>
      </w:pPr>
      <w:rPr>
        <w:rFonts w:ascii="Courier New" w:hAnsi="Courier New" w:cs="Courier New" w:hint="default"/>
      </w:rPr>
    </w:lvl>
    <w:lvl w:ilvl="5" w:tplc="04260005" w:tentative="1">
      <w:start w:val="1"/>
      <w:numFmt w:val="bullet"/>
      <w:lvlText w:val=""/>
      <w:lvlJc w:val="left"/>
      <w:pPr>
        <w:ind w:left="4377" w:hanging="360"/>
      </w:pPr>
      <w:rPr>
        <w:rFonts w:ascii="Wingdings" w:hAnsi="Wingdings" w:hint="default"/>
      </w:rPr>
    </w:lvl>
    <w:lvl w:ilvl="6" w:tplc="04260001" w:tentative="1">
      <w:start w:val="1"/>
      <w:numFmt w:val="bullet"/>
      <w:lvlText w:val=""/>
      <w:lvlJc w:val="left"/>
      <w:pPr>
        <w:ind w:left="5097" w:hanging="360"/>
      </w:pPr>
      <w:rPr>
        <w:rFonts w:ascii="Symbol" w:hAnsi="Symbol" w:hint="default"/>
      </w:rPr>
    </w:lvl>
    <w:lvl w:ilvl="7" w:tplc="04260003" w:tentative="1">
      <w:start w:val="1"/>
      <w:numFmt w:val="bullet"/>
      <w:lvlText w:val="o"/>
      <w:lvlJc w:val="left"/>
      <w:pPr>
        <w:ind w:left="5817" w:hanging="360"/>
      </w:pPr>
      <w:rPr>
        <w:rFonts w:ascii="Courier New" w:hAnsi="Courier New" w:cs="Courier New" w:hint="default"/>
      </w:rPr>
    </w:lvl>
    <w:lvl w:ilvl="8" w:tplc="04260005" w:tentative="1">
      <w:start w:val="1"/>
      <w:numFmt w:val="bullet"/>
      <w:lvlText w:val=""/>
      <w:lvlJc w:val="left"/>
      <w:pPr>
        <w:ind w:left="6537"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5"/>
  </w:num>
  <w:num w:numId="6">
    <w:abstractNumId w:val="6"/>
  </w:num>
  <w:num w:numId="7">
    <w:abstractNumId w:val="7"/>
  </w:num>
  <w:num w:numId="8">
    <w:abstractNumId w:val="8"/>
  </w:num>
  <w:num w:numId="9">
    <w:abstractNumId w:val="3"/>
  </w:num>
  <w:num w:numId="10">
    <w:abstractNumId w:val="9"/>
  </w:num>
  <w:num w:numId="11">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ngūna Runča">
    <w15:presenceInfo w15:providerId="None" w15:userId="Ingūna Runč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B4F"/>
    <w:rsid w:val="00001C71"/>
    <w:rsid w:val="000038BE"/>
    <w:rsid w:val="00003F31"/>
    <w:rsid w:val="00010695"/>
    <w:rsid w:val="000109DF"/>
    <w:rsid w:val="00016353"/>
    <w:rsid w:val="00020477"/>
    <w:rsid w:val="0002259A"/>
    <w:rsid w:val="00024D4A"/>
    <w:rsid w:val="00032C63"/>
    <w:rsid w:val="00036DE7"/>
    <w:rsid w:val="00037A67"/>
    <w:rsid w:val="000422AE"/>
    <w:rsid w:val="0004241A"/>
    <w:rsid w:val="00044F33"/>
    <w:rsid w:val="00045255"/>
    <w:rsid w:val="00055B0A"/>
    <w:rsid w:val="00060CF4"/>
    <w:rsid w:val="00062D2A"/>
    <w:rsid w:val="00067667"/>
    <w:rsid w:val="00073551"/>
    <w:rsid w:val="00073FF0"/>
    <w:rsid w:val="00074692"/>
    <w:rsid w:val="00075879"/>
    <w:rsid w:val="000758B5"/>
    <w:rsid w:val="00076C42"/>
    <w:rsid w:val="00077288"/>
    <w:rsid w:val="00077296"/>
    <w:rsid w:val="000814F3"/>
    <w:rsid w:val="00081DAB"/>
    <w:rsid w:val="00085BB0"/>
    <w:rsid w:val="00093D0E"/>
    <w:rsid w:val="000A0B63"/>
    <w:rsid w:val="000A234E"/>
    <w:rsid w:val="000A5D45"/>
    <w:rsid w:val="000A646D"/>
    <w:rsid w:val="000B3304"/>
    <w:rsid w:val="000B528C"/>
    <w:rsid w:val="000B558D"/>
    <w:rsid w:val="000B6BEE"/>
    <w:rsid w:val="000C2F8D"/>
    <w:rsid w:val="000C3DD5"/>
    <w:rsid w:val="000C73F6"/>
    <w:rsid w:val="000D6F83"/>
    <w:rsid w:val="000E06A4"/>
    <w:rsid w:val="000E1960"/>
    <w:rsid w:val="000E1F16"/>
    <w:rsid w:val="000E2FFA"/>
    <w:rsid w:val="000E4755"/>
    <w:rsid w:val="000F148C"/>
    <w:rsid w:val="000F3065"/>
    <w:rsid w:val="000F5625"/>
    <w:rsid w:val="000F7CD5"/>
    <w:rsid w:val="00100989"/>
    <w:rsid w:val="001012AA"/>
    <w:rsid w:val="00101510"/>
    <w:rsid w:val="00102A21"/>
    <w:rsid w:val="001065FC"/>
    <w:rsid w:val="00107902"/>
    <w:rsid w:val="00107D9C"/>
    <w:rsid w:val="00112EFA"/>
    <w:rsid w:val="0011642A"/>
    <w:rsid w:val="001166D1"/>
    <w:rsid w:val="0012193A"/>
    <w:rsid w:val="001320BD"/>
    <w:rsid w:val="0013216F"/>
    <w:rsid w:val="0013471C"/>
    <w:rsid w:val="001350E3"/>
    <w:rsid w:val="00142AB7"/>
    <w:rsid w:val="00144CDD"/>
    <w:rsid w:val="0015172F"/>
    <w:rsid w:val="00151DD1"/>
    <w:rsid w:val="00152C84"/>
    <w:rsid w:val="00152D5E"/>
    <w:rsid w:val="00153263"/>
    <w:rsid w:val="0015482E"/>
    <w:rsid w:val="0015730F"/>
    <w:rsid w:val="00157510"/>
    <w:rsid w:val="00161814"/>
    <w:rsid w:val="00164AB4"/>
    <w:rsid w:val="00170AC9"/>
    <w:rsid w:val="001755AD"/>
    <w:rsid w:val="00186082"/>
    <w:rsid w:val="00187174"/>
    <w:rsid w:val="001942D4"/>
    <w:rsid w:val="00196D4F"/>
    <w:rsid w:val="001975C7"/>
    <w:rsid w:val="001A0CD1"/>
    <w:rsid w:val="001A0D5C"/>
    <w:rsid w:val="001A36A4"/>
    <w:rsid w:val="001B0F07"/>
    <w:rsid w:val="001B2712"/>
    <w:rsid w:val="001B33E1"/>
    <w:rsid w:val="001B4056"/>
    <w:rsid w:val="001B530E"/>
    <w:rsid w:val="001B6E27"/>
    <w:rsid w:val="001B76CE"/>
    <w:rsid w:val="001B7D81"/>
    <w:rsid w:val="001C063D"/>
    <w:rsid w:val="001C7060"/>
    <w:rsid w:val="001D168F"/>
    <w:rsid w:val="001D5D32"/>
    <w:rsid w:val="001D73D4"/>
    <w:rsid w:val="001F0353"/>
    <w:rsid w:val="001F23CC"/>
    <w:rsid w:val="001F3AC9"/>
    <w:rsid w:val="001F648E"/>
    <w:rsid w:val="002007A1"/>
    <w:rsid w:val="00200CBA"/>
    <w:rsid w:val="00220085"/>
    <w:rsid w:val="00220B00"/>
    <w:rsid w:val="002230C9"/>
    <w:rsid w:val="00223CF6"/>
    <w:rsid w:val="002268EF"/>
    <w:rsid w:val="002300CB"/>
    <w:rsid w:val="00230AA5"/>
    <w:rsid w:val="00231E45"/>
    <w:rsid w:val="00233BD0"/>
    <w:rsid w:val="002359C6"/>
    <w:rsid w:val="00235A8C"/>
    <w:rsid w:val="0024124F"/>
    <w:rsid w:val="00242F3A"/>
    <w:rsid w:val="00243CFE"/>
    <w:rsid w:val="0024446B"/>
    <w:rsid w:val="00246D9C"/>
    <w:rsid w:val="002515C2"/>
    <w:rsid w:val="00254C81"/>
    <w:rsid w:val="00257B71"/>
    <w:rsid w:val="002641E8"/>
    <w:rsid w:val="00267711"/>
    <w:rsid w:val="00270C83"/>
    <w:rsid w:val="00270F4A"/>
    <w:rsid w:val="00271A80"/>
    <w:rsid w:val="0027384B"/>
    <w:rsid w:val="002757DE"/>
    <w:rsid w:val="00275C11"/>
    <w:rsid w:val="002829BB"/>
    <w:rsid w:val="00282D0F"/>
    <w:rsid w:val="00284B7C"/>
    <w:rsid w:val="00284F4A"/>
    <w:rsid w:val="00293C07"/>
    <w:rsid w:val="00294287"/>
    <w:rsid w:val="00294A3C"/>
    <w:rsid w:val="00296449"/>
    <w:rsid w:val="002A0ADC"/>
    <w:rsid w:val="002A154B"/>
    <w:rsid w:val="002A16F5"/>
    <w:rsid w:val="002B106A"/>
    <w:rsid w:val="002B19AB"/>
    <w:rsid w:val="002B1E83"/>
    <w:rsid w:val="002B367E"/>
    <w:rsid w:val="002B7E98"/>
    <w:rsid w:val="002C0F02"/>
    <w:rsid w:val="002C2088"/>
    <w:rsid w:val="002C25E3"/>
    <w:rsid w:val="002C5BD5"/>
    <w:rsid w:val="002C6D1F"/>
    <w:rsid w:val="002D019E"/>
    <w:rsid w:val="002D7D23"/>
    <w:rsid w:val="002E1ABA"/>
    <w:rsid w:val="002E257A"/>
    <w:rsid w:val="002E3E26"/>
    <w:rsid w:val="002E4893"/>
    <w:rsid w:val="002E50FD"/>
    <w:rsid w:val="002E629C"/>
    <w:rsid w:val="002F4B88"/>
    <w:rsid w:val="002F4C6B"/>
    <w:rsid w:val="002F6E8B"/>
    <w:rsid w:val="00301A82"/>
    <w:rsid w:val="00304A8A"/>
    <w:rsid w:val="00307F62"/>
    <w:rsid w:val="0031278B"/>
    <w:rsid w:val="003131FF"/>
    <w:rsid w:val="00314432"/>
    <w:rsid w:val="003170E0"/>
    <w:rsid w:val="0032116B"/>
    <w:rsid w:val="003231F5"/>
    <w:rsid w:val="00324570"/>
    <w:rsid w:val="00324A5D"/>
    <w:rsid w:val="003260B9"/>
    <w:rsid w:val="00330826"/>
    <w:rsid w:val="003372D0"/>
    <w:rsid w:val="00343F57"/>
    <w:rsid w:val="00345B4C"/>
    <w:rsid w:val="00352217"/>
    <w:rsid w:val="003537C1"/>
    <w:rsid w:val="00355774"/>
    <w:rsid w:val="00357EBA"/>
    <w:rsid w:val="00357F7C"/>
    <w:rsid w:val="00366209"/>
    <w:rsid w:val="0037109E"/>
    <w:rsid w:val="00372823"/>
    <w:rsid w:val="0037290F"/>
    <w:rsid w:val="003746C8"/>
    <w:rsid w:val="00376F0E"/>
    <w:rsid w:val="00377BE7"/>
    <w:rsid w:val="003804CD"/>
    <w:rsid w:val="0038306F"/>
    <w:rsid w:val="00387B30"/>
    <w:rsid w:val="00390C7C"/>
    <w:rsid w:val="003916EE"/>
    <w:rsid w:val="00396B11"/>
    <w:rsid w:val="003979C7"/>
    <w:rsid w:val="003A0C5F"/>
    <w:rsid w:val="003A7FB5"/>
    <w:rsid w:val="003B3655"/>
    <w:rsid w:val="003B3E89"/>
    <w:rsid w:val="003B411A"/>
    <w:rsid w:val="003B4CAE"/>
    <w:rsid w:val="003B790B"/>
    <w:rsid w:val="003C237A"/>
    <w:rsid w:val="003C642A"/>
    <w:rsid w:val="003D0712"/>
    <w:rsid w:val="003D0CFE"/>
    <w:rsid w:val="003D35D3"/>
    <w:rsid w:val="003D5A01"/>
    <w:rsid w:val="003D71EE"/>
    <w:rsid w:val="003D7C05"/>
    <w:rsid w:val="003E3BB1"/>
    <w:rsid w:val="003E3CA3"/>
    <w:rsid w:val="003E659D"/>
    <w:rsid w:val="003F2E64"/>
    <w:rsid w:val="003F3DA5"/>
    <w:rsid w:val="003F3F16"/>
    <w:rsid w:val="003F5A1B"/>
    <w:rsid w:val="003F5B66"/>
    <w:rsid w:val="00401BE8"/>
    <w:rsid w:val="00403090"/>
    <w:rsid w:val="00403704"/>
    <w:rsid w:val="00403888"/>
    <w:rsid w:val="004041F4"/>
    <w:rsid w:val="004068E5"/>
    <w:rsid w:val="004103AA"/>
    <w:rsid w:val="00411DBE"/>
    <w:rsid w:val="00415204"/>
    <w:rsid w:val="00417F66"/>
    <w:rsid w:val="004204CB"/>
    <w:rsid w:val="004216A8"/>
    <w:rsid w:val="00424DC6"/>
    <w:rsid w:val="004271EC"/>
    <w:rsid w:val="00432F00"/>
    <w:rsid w:val="004337BA"/>
    <w:rsid w:val="00434DC0"/>
    <w:rsid w:val="004402AD"/>
    <w:rsid w:val="004404BD"/>
    <w:rsid w:val="0044251A"/>
    <w:rsid w:val="004453FB"/>
    <w:rsid w:val="00452F83"/>
    <w:rsid w:val="00454C08"/>
    <w:rsid w:val="004551B7"/>
    <w:rsid w:val="00457BF8"/>
    <w:rsid w:val="00460694"/>
    <w:rsid w:val="00462036"/>
    <w:rsid w:val="0046217D"/>
    <w:rsid w:val="004634B3"/>
    <w:rsid w:val="004672AB"/>
    <w:rsid w:val="00470034"/>
    <w:rsid w:val="00474685"/>
    <w:rsid w:val="004800A1"/>
    <w:rsid w:val="00480580"/>
    <w:rsid w:val="00482DEA"/>
    <w:rsid w:val="0048311F"/>
    <w:rsid w:val="00483499"/>
    <w:rsid w:val="00490E60"/>
    <w:rsid w:val="00492699"/>
    <w:rsid w:val="00493009"/>
    <w:rsid w:val="004933D4"/>
    <w:rsid w:val="00493932"/>
    <w:rsid w:val="004943A0"/>
    <w:rsid w:val="004969A9"/>
    <w:rsid w:val="004A79ED"/>
    <w:rsid w:val="004B19EE"/>
    <w:rsid w:val="004B1A0A"/>
    <w:rsid w:val="004B4045"/>
    <w:rsid w:val="004B4667"/>
    <w:rsid w:val="004B4F88"/>
    <w:rsid w:val="004C2632"/>
    <w:rsid w:val="004C2705"/>
    <w:rsid w:val="004C64A4"/>
    <w:rsid w:val="004D04AA"/>
    <w:rsid w:val="004D1C84"/>
    <w:rsid w:val="004D42EC"/>
    <w:rsid w:val="004D76A5"/>
    <w:rsid w:val="004E0951"/>
    <w:rsid w:val="004E4573"/>
    <w:rsid w:val="004E5F1F"/>
    <w:rsid w:val="004E6076"/>
    <w:rsid w:val="004E683A"/>
    <w:rsid w:val="004F1B4F"/>
    <w:rsid w:val="004F22CC"/>
    <w:rsid w:val="004F56AF"/>
    <w:rsid w:val="004F7B81"/>
    <w:rsid w:val="005032A7"/>
    <w:rsid w:val="005048F8"/>
    <w:rsid w:val="005103BA"/>
    <w:rsid w:val="00517046"/>
    <w:rsid w:val="00527E2A"/>
    <w:rsid w:val="005356A0"/>
    <w:rsid w:val="00541893"/>
    <w:rsid w:val="00547F35"/>
    <w:rsid w:val="005524C9"/>
    <w:rsid w:val="00556C36"/>
    <w:rsid w:val="005571CE"/>
    <w:rsid w:val="005652D9"/>
    <w:rsid w:val="0057002D"/>
    <w:rsid w:val="00570C0F"/>
    <w:rsid w:val="00571950"/>
    <w:rsid w:val="00577AEB"/>
    <w:rsid w:val="00584DAB"/>
    <w:rsid w:val="005864CF"/>
    <w:rsid w:val="005910B1"/>
    <w:rsid w:val="00594655"/>
    <w:rsid w:val="005A020D"/>
    <w:rsid w:val="005C17D4"/>
    <w:rsid w:val="005C1EEC"/>
    <w:rsid w:val="005C3FD7"/>
    <w:rsid w:val="005C49BE"/>
    <w:rsid w:val="005C5803"/>
    <w:rsid w:val="005C584D"/>
    <w:rsid w:val="005C7E95"/>
    <w:rsid w:val="005D2404"/>
    <w:rsid w:val="005D35F5"/>
    <w:rsid w:val="005D4E24"/>
    <w:rsid w:val="005E0FE3"/>
    <w:rsid w:val="005E72E7"/>
    <w:rsid w:val="005F1981"/>
    <w:rsid w:val="005F3353"/>
    <w:rsid w:val="005F58F3"/>
    <w:rsid w:val="0060204F"/>
    <w:rsid w:val="00603BC1"/>
    <w:rsid w:val="0061103D"/>
    <w:rsid w:val="00612351"/>
    <w:rsid w:val="0061368D"/>
    <w:rsid w:val="006162DA"/>
    <w:rsid w:val="00621AD7"/>
    <w:rsid w:val="00624E57"/>
    <w:rsid w:val="0062656C"/>
    <w:rsid w:val="00630A87"/>
    <w:rsid w:val="00631D1D"/>
    <w:rsid w:val="00641C87"/>
    <w:rsid w:val="00643EAB"/>
    <w:rsid w:val="00646DD6"/>
    <w:rsid w:val="00647CF2"/>
    <w:rsid w:val="0065188A"/>
    <w:rsid w:val="00651F03"/>
    <w:rsid w:val="00652498"/>
    <w:rsid w:val="006554B1"/>
    <w:rsid w:val="00656019"/>
    <w:rsid w:val="00657D42"/>
    <w:rsid w:val="00660223"/>
    <w:rsid w:val="006608FB"/>
    <w:rsid w:val="006655C3"/>
    <w:rsid w:val="00666B6A"/>
    <w:rsid w:val="00677437"/>
    <w:rsid w:val="00682D3B"/>
    <w:rsid w:val="00684766"/>
    <w:rsid w:val="006855E7"/>
    <w:rsid w:val="00686CAE"/>
    <w:rsid w:val="006909A4"/>
    <w:rsid w:val="006924F7"/>
    <w:rsid w:val="00694740"/>
    <w:rsid w:val="00696E84"/>
    <w:rsid w:val="006A58A9"/>
    <w:rsid w:val="006A6EE7"/>
    <w:rsid w:val="006A7A60"/>
    <w:rsid w:val="006B0D28"/>
    <w:rsid w:val="006B1B31"/>
    <w:rsid w:val="006B1B83"/>
    <w:rsid w:val="006B5AEE"/>
    <w:rsid w:val="006C120F"/>
    <w:rsid w:val="006C1CF4"/>
    <w:rsid w:val="006C4098"/>
    <w:rsid w:val="006C5BB3"/>
    <w:rsid w:val="006C7023"/>
    <w:rsid w:val="006D27B2"/>
    <w:rsid w:val="006E2B8F"/>
    <w:rsid w:val="006E3BF2"/>
    <w:rsid w:val="006F2BD0"/>
    <w:rsid w:val="006F4081"/>
    <w:rsid w:val="006F6B4C"/>
    <w:rsid w:val="006F701B"/>
    <w:rsid w:val="006F789E"/>
    <w:rsid w:val="007007BD"/>
    <w:rsid w:val="00702067"/>
    <w:rsid w:val="00702A49"/>
    <w:rsid w:val="00705659"/>
    <w:rsid w:val="00706328"/>
    <w:rsid w:val="00706B39"/>
    <w:rsid w:val="007118F7"/>
    <w:rsid w:val="007146F2"/>
    <w:rsid w:val="00714D1B"/>
    <w:rsid w:val="0071539B"/>
    <w:rsid w:val="00721844"/>
    <w:rsid w:val="00725FDC"/>
    <w:rsid w:val="00732450"/>
    <w:rsid w:val="00735A85"/>
    <w:rsid w:val="00735EF4"/>
    <w:rsid w:val="007401FE"/>
    <w:rsid w:val="00743410"/>
    <w:rsid w:val="0075262D"/>
    <w:rsid w:val="0075503B"/>
    <w:rsid w:val="00760640"/>
    <w:rsid w:val="00762522"/>
    <w:rsid w:val="00763853"/>
    <w:rsid w:val="0076494E"/>
    <w:rsid w:val="00764F14"/>
    <w:rsid w:val="007705E7"/>
    <w:rsid w:val="00772AA7"/>
    <w:rsid w:val="00772C67"/>
    <w:rsid w:val="00774CA6"/>
    <w:rsid w:val="007756FB"/>
    <w:rsid w:val="007804AB"/>
    <w:rsid w:val="007833F0"/>
    <w:rsid w:val="0078381A"/>
    <w:rsid w:val="007839EA"/>
    <w:rsid w:val="00784135"/>
    <w:rsid w:val="00784D84"/>
    <w:rsid w:val="00785F87"/>
    <w:rsid w:val="00792283"/>
    <w:rsid w:val="007935FC"/>
    <w:rsid w:val="007939C8"/>
    <w:rsid w:val="007961CD"/>
    <w:rsid w:val="007A0296"/>
    <w:rsid w:val="007A07C5"/>
    <w:rsid w:val="007A3DA0"/>
    <w:rsid w:val="007B066B"/>
    <w:rsid w:val="007B0D47"/>
    <w:rsid w:val="007B1AE4"/>
    <w:rsid w:val="007B2E8C"/>
    <w:rsid w:val="007B41AF"/>
    <w:rsid w:val="007C0002"/>
    <w:rsid w:val="007C1DD6"/>
    <w:rsid w:val="007C4653"/>
    <w:rsid w:val="007D0663"/>
    <w:rsid w:val="007D1A10"/>
    <w:rsid w:val="007D5F85"/>
    <w:rsid w:val="007D6B8D"/>
    <w:rsid w:val="007E1BEC"/>
    <w:rsid w:val="007E7AF1"/>
    <w:rsid w:val="007F0F57"/>
    <w:rsid w:val="007F2674"/>
    <w:rsid w:val="007F37B3"/>
    <w:rsid w:val="007F7DF0"/>
    <w:rsid w:val="008017E8"/>
    <w:rsid w:val="00804750"/>
    <w:rsid w:val="008060DA"/>
    <w:rsid w:val="008105C4"/>
    <w:rsid w:val="00810BAF"/>
    <w:rsid w:val="00814B30"/>
    <w:rsid w:val="00815277"/>
    <w:rsid w:val="008203B4"/>
    <w:rsid w:val="008210C7"/>
    <w:rsid w:val="00822CC1"/>
    <w:rsid w:val="008270B3"/>
    <w:rsid w:val="00827512"/>
    <w:rsid w:val="0082754E"/>
    <w:rsid w:val="00830D41"/>
    <w:rsid w:val="008313CA"/>
    <w:rsid w:val="00836BAA"/>
    <w:rsid w:val="008437A6"/>
    <w:rsid w:val="008441C4"/>
    <w:rsid w:val="008452B7"/>
    <w:rsid w:val="00845DF7"/>
    <w:rsid w:val="00846DA7"/>
    <w:rsid w:val="00847FA2"/>
    <w:rsid w:val="00851A6B"/>
    <w:rsid w:val="008572A4"/>
    <w:rsid w:val="00861465"/>
    <w:rsid w:val="00862020"/>
    <w:rsid w:val="0086438E"/>
    <w:rsid w:val="00864BA4"/>
    <w:rsid w:val="008774C5"/>
    <w:rsid w:val="00883606"/>
    <w:rsid w:val="00885D0C"/>
    <w:rsid w:val="00887D10"/>
    <w:rsid w:val="0089091C"/>
    <w:rsid w:val="00894E8F"/>
    <w:rsid w:val="008961E6"/>
    <w:rsid w:val="008A13A8"/>
    <w:rsid w:val="008A2B45"/>
    <w:rsid w:val="008A2DC3"/>
    <w:rsid w:val="008C19D3"/>
    <w:rsid w:val="008C2091"/>
    <w:rsid w:val="008C3135"/>
    <w:rsid w:val="008C7D3D"/>
    <w:rsid w:val="008D09E5"/>
    <w:rsid w:val="008D3A7B"/>
    <w:rsid w:val="008E090E"/>
    <w:rsid w:val="008E1241"/>
    <w:rsid w:val="008E1EB5"/>
    <w:rsid w:val="008E2D18"/>
    <w:rsid w:val="008E59E5"/>
    <w:rsid w:val="008E682B"/>
    <w:rsid w:val="008E76BF"/>
    <w:rsid w:val="008E7763"/>
    <w:rsid w:val="008F618C"/>
    <w:rsid w:val="008F7DF2"/>
    <w:rsid w:val="009003E8"/>
    <w:rsid w:val="00906DD8"/>
    <w:rsid w:val="00910EA9"/>
    <w:rsid w:val="0091278B"/>
    <w:rsid w:val="00913C8C"/>
    <w:rsid w:val="00915C60"/>
    <w:rsid w:val="009164B7"/>
    <w:rsid w:val="00925880"/>
    <w:rsid w:val="00927EC1"/>
    <w:rsid w:val="009316B0"/>
    <w:rsid w:val="00934026"/>
    <w:rsid w:val="00934215"/>
    <w:rsid w:val="00936425"/>
    <w:rsid w:val="0094519D"/>
    <w:rsid w:val="009525A0"/>
    <w:rsid w:val="00952705"/>
    <w:rsid w:val="00953BB7"/>
    <w:rsid w:val="009545D1"/>
    <w:rsid w:val="00954D03"/>
    <w:rsid w:val="009562EA"/>
    <w:rsid w:val="009633FD"/>
    <w:rsid w:val="00964D1D"/>
    <w:rsid w:val="00976323"/>
    <w:rsid w:val="00977398"/>
    <w:rsid w:val="00977D49"/>
    <w:rsid w:val="00977DD4"/>
    <w:rsid w:val="00980171"/>
    <w:rsid w:val="00981B9B"/>
    <w:rsid w:val="00983328"/>
    <w:rsid w:val="00983706"/>
    <w:rsid w:val="009839F3"/>
    <w:rsid w:val="00984778"/>
    <w:rsid w:val="00990ED9"/>
    <w:rsid w:val="009920E0"/>
    <w:rsid w:val="0099362B"/>
    <w:rsid w:val="009947FA"/>
    <w:rsid w:val="00994A1A"/>
    <w:rsid w:val="00997C98"/>
    <w:rsid w:val="009A0F50"/>
    <w:rsid w:val="009A1F3D"/>
    <w:rsid w:val="009A4C32"/>
    <w:rsid w:val="009A4D3D"/>
    <w:rsid w:val="009A5814"/>
    <w:rsid w:val="009A66B2"/>
    <w:rsid w:val="009B0FD6"/>
    <w:rsid w:val="009C1F85"/>
    <w:rsid w:val="009C52C1"/>
    <w:rsid w:val="009C6D55"/>
    <w:rsid w:val="009C737B"/>
    <w:rsid w:val="009D4290"/>
    <w:rsid w:val="009D4DAE"/>
    <w:rsid w:val="009E38A2"/>
    <w:rsid w:val="009E5CF3"/>
    <w:rsid w:val="009F1159"/>
    <w:rsid w:val="009F2EC3"/>
    <w:rsid w:val="009F5EEF"/>
    <w:rsid w:val="009F693E"/>
    <w:rsid w:val="009F76EE"/>
    <w:rsid w:val="00A00266"/>
    <w:rsid w:val="00A10EC3"/>
    <w:rsid w:val="00A119B1"/>
    <w:rsid w:val="00A11D5F"/>
    <w:rsid w:val="00A12488"/>
    <w:rsid w:val="00A13EC7"/>
    <w:rsid w:val="00A24013"/>
    <w:rsid w:val="00A3208E"/>
    <w:rsid w:val="00A322A8"/>
    <w:rsid w:val="00A34424"/>
    <w:rsid w:val="00A37D5A"/>
    <w:rsid w:val="00A409A8"/>
    <w:rsid w:val="00A425AB"/>
    <w:rsid w:val="00A438B6"/>
    <w:rsid w:val="00A4459A"/>
    <w:rsid w:val="00A44C40"/>
    <w:rsid w:val="00A45861"/>
    <w:rsid w:val="00A45E88"/>
    <w:rsid w:val="00A51D5B"/>
    <w:rsid w:val="00A5290C"/>
    <w:rsid w:val="00A54408"/>
    <w:rsid w:val="00A57B9F"/>
    <w:rsid w:val="00A643E2"/>
    <w:rsid w:val="00A70A89"/>
    <w:rsid w:val="00A77BD9"/>
    <w:rsid w:val="00A77DC1"/>
    <w:rsid w:val="00A8203F"/>
    <w:rsid w:val="00A909D4"/>
    <w:rsid w:val="00A9178E"/>
    <w:rsid w:val="00AA1964"/>
    <w:rsid w:val="00AA415B"/>
    <w:rsid w:val="00AA7A62"/>
    <w:rsid w:val="00AB01EB"/>
    <w:rsid w:val="00AB25B1"/>
    <w:rsid w:val="00AB3C3A"/>
    <w:rsid w:val="00AB4549"/>
    <w:rsid w:val="00AB458D"/>
    <w:rsid w:val="00AB57C7"/>
    <w:rsid w:val="00AB7F36"/>
    <w:rsid w:val="00AD1C9F"/>
    <w:rsid w:val="00AD3225"/>
    <w:rsid w:val="00AD45E2"/>
    <w:rsid w:val="00AD4B36"/>
    <w:rsid w:val="00AD583F"/>
    <w:rsid w:val="00AE168A"/>
    <w:rsid w:val="00AE2CB6"/>
    <w:rsid w:val="00AE3F15"/>
    <w:rsid w:val="00AE4E30"/>
    <w:rsid w:val="00AF51EF"/>
    <w:rsid w:val="00AF6BB4"/>
    <w:rsid w:val="00B02BFC"/>
    <w:rsid w:val="00B02DFA"/>
    <w:rsid w:val="00B04BD4"/>
    <w:rsid w:val="00B0580B"/>
    <w:rsid w:val="00B1580C"/>
    <w:rsid w:val="00B16E3B"/>
    <w:rsid w:val="00B25026"/>
    <w:rsid w:val="00B260CB"/>
    <w:rsid w:val="00B308FE"/>
    <w:rsid w:val="00B3130F"/>
    <w:rsid w:val="00B32363"/>
    <w:rsid w:val="00B32A57"/>
    <w:rsid w:val="00B3508F"/>
    <w:rsid w:val="00B35925"/>
    <w:rsid w:val="00B406B7"/>
    <w:rsid w:val="00B40F64"/>
    <w:rsid w:val="00B42BE1"/>
    <w:rsid w:val="00B44248"/>
    <w:rsid w:val="00B50153"/>
    <w:rsid w:val="00B51BD2"/>
    <w:rsid w:val="00B555AC"/>
    <w:rsid w:val="00B71218"/>
    <w:rsid w:val="00B713F4"/>
    <w:rsid w:val="00B7396A"/>
    <w:rsid w:val="00B741D1"/>
    <w:rsid w:val="00B7606A"/>
    <w:rsid w:val="00B7703D"/>
    <w:rsid w:val="00B85AE4"/>
    <w:rsid w:val="00B86095"/>
    <w:rsid w:val="00B939CD"/>
    <w:rsid w:val="00B94BFC"/>
    <w:rsid w:val="00B95661"/>
    <w:rsid w:val="00BA1618"/>
    <w:rsid w:val="00BA68A0"/>
    <w:rsid w:val="00BA7295"/>
    <w:rsid w:val="00BA79D6"/>
    <w:rsid w:val="00BB060F"/>
    <w:rsid w:val="00BC13A4"/>
    <w:rsid w:val="00BC1D26"/>
    <w:rsid w:val="00BC2110"/>
    <w:rsid w:val="00BC775C"/>
    <w:rsid w:val="00BD2E79"/>
    <w:rsid w:val="00BE2689"/>
    <w:rsid w:val="00BE5202"/>
    <w:rsid w:val="00BF1CC1"/>
    <w:rsid w:val="00BF2464"/>
    <w:rsid w:val="00BF4C77"/>
    <w:rsid w:val="00C0209A"/>
    <w:rsid w:val="00C13D69"/>
    <w:rsid w:val="00C15214"/>
    <w:rsid w:val="00C154F6"/>
    <w:rsid w:val="00C1653F"/>
    <w:rsid w:val="00C21036"/>
    <w:rsid w:val="00C32BE4"/>
    <w:rsid w:val="00C40BD0"/>
    <w:rsid w:val="00C424F0"/>
    <w:rsid w:val="00C432B7"/>
    <w:rsid w:val="00C451F1"/>
    <w:rsid w:val="00C47F1B"/>
    <w:rsid w:val="00C52494"/>
    <w:rsid w:val="00C52901"/>
    <w:rsid w:val="00C541D6"/>
    <w:rsid w:val="00C55FB9"/>
    <w:rsid w:val="00C61238"/>
    <w:rsid w:val="00C61924"/>
    <w:rsid w:val="00C6730D"/>
    <w:rsid w:val="00C67531"/>
    <w:rsid w:val="00C72A21"/>
    <w:rsid w:val="00C74583"/>
    <w:rsid w:val="00C77A11"/>
    <w:rsid w:val="00C837B1"/>
    <w:rsid w:val="00C86AC2"/>
    <w:rsid w:val="00C9021E"/>
    <w:rsid w:val="00C9114D"/>
    <w:rsid w:val="00C91BBC"/>
    <w:rsid w:val="00C934E4"/>
    <w:rsid w:val="00C96E98"/>
    <w:rsid w:val="00CA23A1"/>
    <w:rsid w:val="00CA3A25"/>
    <w:rsid w:val="00CA3FFA"/>
    <w:rsid w:val="00CB3C74"/>
    <w:rsid w:val="00CB4CC7"/>
    <w:rsid w:val="00CC0E3A"/>
    <w:rsid w:val="00CD06FB"/>
    <w:rsid w:val="00CD125F"/>
    <w:rsid w:val="00CE0080"/>
    <w:rsid w:val="00CE07AD"/>
    <w:rsid w:val="00CE2005"/>
    <w:rsid w:val="00CE5203"/>
    <w:rsid w:val="00CE53AA"/>
    <w:rsid w:val="00CE6188"/>
    <w:rsid w:val="00CF01E4"/>
    <w:rsid w:val="00CF2DDB"/>
    <w:rsid w:val="00CF5BDC"/>
    <w:rsid w:val="00D02168"/>
    <w:rsid w:val="00D06937"/>
    <w:rsid w:val="00D15A36"/>
    <w:rsid w:val="00D175E9"/>
    <w:rsid w:val="00D22CE1"/>
    <w:rsid w:val="00D237D9"/>
    <w:rsid w:val="00D238CD"/>
    <w:rsid w:val="00D26D28"/>
    <w:rsid w:val="00D27150"/>
    <w:rsid w:val="00D3032B"/>
    <w:rsid w:val="00D36D69"/>
    <w:rsid w:val="00D45322"/>
    <w:rsid w:val="00D45730"/>
    <w:rsid w:val="00D51BD2"/>
    <w:rsid w:val="00D52EA6"/>
    <w:rsid w:val="00D531B8"/>
    <w:rsid w:val="00D564B1"/>
    <w:rsid w:val="00D57C0A"/>
    <w:rsid w:val="00D57E14"/>
    <w:rsid w:val="00D60652"/>
    <w:rsid w:val="00D61D6C"/>
    <w:rsid w:val="00D65B64"/>
    <w:rsid w:val="00D66311"/>
    <w:rsid w:val="00D722A3"/>
    <w:rsid w:val="00D744B6"/>
    <w:rsid w:val="00D75003"/>
    <w:rsid w:val="00D760DB"/>
    <w:rsid w:val="00D80B20"/>
    <w:rsid w:val="00D812E4"/>
    <w:rsid w:val="00D84D6D"/>
    <w:rsid w:val="00D874C6"/>
    <w:rsid w:val="00D91E04"/>
    <w:rsid w:val="00D92FB0"/>
    <w:rsid w:val="00DA111F"/>
    <w:rsid w:val="00DA236D"/>
    <w:rsid w:val="00DB00DC"/>
    <w:rsid w:val="00DB0B72"/>
    <w:rsid w:val="00DC0231"/>
    <w:rsid w:val="00DC5106"/>
    <w:rsid w:val="00DD0108"/>
    <w:rsid w:val="00DD10D9"/>
    <w:rsid w:val="00DD13E0"/>
    <w:rsid w:val="00DD2A13"/>
    <w:rsid w:val="00DD63DA"/>
    <w:rsid w:val="00DE0625"/>
    <w:rsid w:val="00DE1124"/>
    <w:rsid w:val="00DE3821"/>
    <w:rsid w:val="00DE3D90"/>
    <w:rsid w:val="00DE521C"/>
    <w:rsid w:val="00DF07AD"/>
    <w:rsid w:val="00DF18FC"/>
    <w:rsid w:val="00DF3289"/>
    <w:rsid w:val="00DF3CBC"/>
    <w:rsid w:val="00DF4FC9"/>
    <w:rsid w:val="00E00069"/>
    <w:rsid w:val="00E0169F"/>
    <w:rsid w:val="00E04EB1"/>
    <w:rsid w:val="00E07878"/>
    <w:rsid w:val="00E11110"/>
    <w:rsid w:val="00E158EC"/>
    <w:rsid w:val="00E20AE9"/>
    <w:rsid w:val="00E21835"/>
    <w:rsid w:val="00E22BB2"/>
    <w:rsid w:val="00E22FC4"/>
    <w:rsid w:val="00E26158"/>
    <w:rsid w:val="00E30105"/>
    <w:rsid w:val="00E316DA"/>
    <w:rsid w:val="00E31D77"/>
    <w:rsid w:val="00E42F8A"/>
    <w:rsid w:val="00E4382C"/>
    <w:rsid w:val="00E47181"/>
    <w:rsid w:val="00E51879"/>
    <w:rsid w:val="00E52762"/>
    <w:rsid w:val="00E52D24"/>
    <w:rsid w:val="00E60D8F"/>
    <w:rsid w:val="00E63872"/>
    <w:rsid w:val="00E65575"/>
    <w:rsid w:val="00E72CB8"/>
    <w:rsid w:val="00E74CB0"/>
    <w:rsid w:val="00E74D8B"/>
    <w:rsid w:val="00E76EB0"/>
    <w:rsid w:val="00E773F9"/>
    <w:rsid w:val="00E82843"/>
    <w:rsid w:val="00E82CCB"/>
    <w:rsid w:val="00E87604"/>
    <w:rsid w:val="00E90A57"/>
    <w:rsid w:val="00E93F94"/>
    <w:rsid w:val="00E94830"/>
    <w:rsid w:val="00E961D5"/>
    <w:rsid w:val="00EA1287"/>
    <w:rsid w:val="00EA232C"/>
    <w:rsid w:val="00EA527E"/>
    <w:rsid w:val="00EA5FA1"/>
    <w:rsid w:val="00EB050E"/>
    <w:rsid w:val="00EB1818"/>
    <w:rsid w:val="00EB2BF6"/>
    <w:rsid w:val="00EC2392"/>
    <w:rsid w:val="00EC4E42"/>
    <w:rsid w:val="00ED0B51"/>
    <w:rsid w:val="00EE5A4F"/>
    <w:rsid w:val="00EE5DD3"/>
    <w:rsid w:val="00EF0B31"/>
    <w:rsid w:val="00EF1B0C"/>
    <w:rsid w:val="00EF3C4D"/>
    <w:rsid w:val="00EF54F9"/>
    <w:rsid w:val="00EF6D54"/>
    <w:rsid w:val="00F0480D"/>
    <w:rsid w:val="00F06673"/>
    <w:rsid w:val="00F07288"/>
    <w:rsid w:val="00F1055D"/>
    <w:rsid w:val="00F14184"/>
    <w:rsid w:val="00F141B8"/>
    <w:rsid w:val="00F144B1"/>
    <w:rsid w:val="00F22ACC"/>
    <w:rsid w:val="00F24904"/>
    <w:rsid w:val="00F2683C"/>
    <w:rsid w:val="00F309B7"/>
    <w:rsid w:val="00F34E2D"/>
    <w:rsid w:val="00F40D44"/>
    <w:rsid w:val="00F41E94"/>
    <w:rsid w:val="00F420C0"/>
    <w:rsid w:val="00F43911"/>
    <w:rsid w:val="00F454F5"/>
    <w:rsid w:val="00F46C4F"/>
    <w:rsid w:val="00F47011"/>
    <w:rsid w:val="00F472D9"/>
    <w:rsid w:val="00F50932"/>
    <w:rsid w:val="00F50E37"/>
    <w:rsid w:val="00F50F65"/>
    <w:rsid w:val="00F524C0"/>
    <w:rsid w:val="00F53350"/>
    <w:rsid w:val="00F5515A"/>
    <w:rsid w:val="00F57180"/>
    <w:rsid w:val="00F5723C"/>
    <w:rsid w:val="00F602BC"/>
    <w:rsid w:val="00F629BC"/>
    <w:rsid w:val="00F65706"/>
    <w:rsid w:val="00F65903"/>
    <w:rsid w:val="00F707A9"/>
    <w:rsid w:val="00F71CC6"/>
    <w:rsid w:val="00F81DAE"/>
    <w:rsid w:val="00F9122C"/>
    <w:rsid w:val="00F9296D"/>
    <w:rsid w:val="00F970AA"/>
    <w:rsid w:val="00FA35FE"/>
    <w:rsid w:val="00FA51B1"/>
    <w:rsid w:val="00FA61B7"/>
    <w:rsid w:val="00FA728C"/>
    <w:rsid w:val="00FA72C7"/>
    <w:rsid w:val="00FB0272"/>
    <w:rsid w:val="00FB0C45"/>
    <w:rsid w:val="00FB10E3"/>
    <w:rsid w:val="00FB4789"/>
    <w:rsid w:val="00FB5AD9"/>
    <w:rsid w:val="00FB5DDA"/>
    <w:rsid w:val="00FC4195"/>
    <w:rsid w:val="00FD0B0A"/>
    <w:rsid w:val="00FD13B6"/>
    <w:rsid w:val="00FD2229"/>
    <w:rsid w:val="00FD27DC"/>
    <w:rsid w:val="00FD4443"/>
    <w:rsid w:val="00FD5C9B"/>
    <w:rsid w:val="00FD6F89"/>
    <w:rsid w:val="00FE294F"/>
    <w:rsid w:val="00FE2DE7"/>
    <w:rsid w:val="00FE6B83"/>
    <w:rsid w:val="00FE779F"/>
    <w:rsid w:val="00FF28D3"/>
    <w:rsid w:val="00FF2D35"/>
    <w:rsid w:val="00FF593A"/>
    <w:rsid w:val="00FF67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A857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B4F"/>
    <w:rPr>
      <w:rFonts w:eastAsia="Times New Roman"/>
      <w:sz w:val="24"/>
      <w:szCs w:val="24"/>
      <w:lang w:val="lv-LV" w:eastAsia="lv-LV"/>
    </w:rPr>
  </w:style>
  <w:style w:type="paragraph" w:styleId="Heading3">
    <w:name w:val="heading 3"/>
    <w:basedOn w:val="Normal"/>
    <w:link w:val="Heading3Char"/>
    <w:uiPriority w:val="9"/>
    <w:qFormat/>
    <w:locked/>
    <w:rsid w:val="00D175E9"/>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F1B4F"/>
    <w:pPr>
      <w:tabs>
        <w:tab w:val="center" w:pos="4153"/>
        <w:tab w:val="right" w:pos="8306"/>
      </w:tabs>
    </w:pPr>
  </w:style>
  <w:style w:type="character" w:customStyle="1" w:styleId="HeaderChar">
    <w:name w:val="Header Char"/>
    <w:link w:val="Header"/>
    <w:uiPriority w:val="99"/>
    <w:locked/>
    <w:rsid w:val="004F1B4F"/>
    <w:rPr>
      <w:rFonts w:eastAsia="Times New Roman" w:cs="Times New Roman"/>
      <w:sz w:val="24"/>
      <w:szCs w:val="24"/>
      <w:lang w:eastAsia="lv-LV"/>
    </w:rPr>
  </w:style>
  <w:style w:type="character" w:styleId="PageNumber">
    <w:name w:val="page number"/>
    <w:uiPriority w:val="99"/>
    <w:rsid w:val="004F1B4F"/>
    <w:rPr>
      <w:rFonts w:cs="Times New Roman"/>
    </w:rPr>
  </w:style>
  <w:style w:type="paragraph" w:customStyle="1" w:styleId="naisf">
    <w:name w:val="naisf"/>
    <w:basedOn w:val="Normal"/>
    <w:rsid w:val="004F1B4F"/>
    <w:pPr>
      <w:spacing w:before="75" w:after="75"/>
      <w:ind w:firstLine="375"/>
      <w:jc w:val="both"/>
    </w:pPr>
  </w:style>
  <w:style w:type="paragraph" w:customStyle="1" w:styleId="naisnod">
    <w:name w:val="naisnod"/>
    <w:basedOn w:val="Normal"/>
    <w:rsid w:val="004F1B4F"/>
    <w:pPr>
      <w:spacing w:before="150" w:after="150"/>
      <w:jc w:val="center"/>
    </w:pPr>
    <w:rPr>
      <w:b/>
      <w:bCs/>
    </w:rPr>
  </w:style>
  <w:style w:type="paragraph" w:customStyle="1" w:styleId="naislab">
    <w:name w:val="naislab"/>
    <w:basedOn w:val="Normal"/>
    <w:uiPriority w:val="99"/>
    <w:rsid w:val="004F1B4F"/>
    <w:pPr>
      <w:spacing w:before="75" w:after="75"/>
      <w:jc w:val="right"/>
    </w:pPr>
  </w:style>
  <w:style w:type="paragraph" w:customStyle="1" w:styleId="naiskr">
    <w:name w:val="naiskr"/>
    <w:basedOn w:val="Normal"/>
    <w:rsid w:val="004F1B4F"/>
    <w:pPr>
      <w:spacing w:before="75" w:after="75"/>
    </w:pPr>
  </w:style>
  <w:style w:type="paragraph" w:customStyle="1" w:styleId="naisc">
    <w:name w:val="naisc"/>
    <w:basedOn w:val="Normal"/>
    <w:uiPriority w:val="99"/>
    <w:rsid w:val="004F1B4F"/>
    <w:pPr>
      <w:spacing w:before="75" w:after="75"/>
      <w:jc w:val="center"/>
    </w:pPr>
  </w:style>
  <w:style w:type="character" w:customStyle="1" w:styleId="apple-style-span">
    <w:name w:val="apple-style-span"/>
    <w:uiPriority w:val="99"/>
    <w:rsid w:val="004F1B4F"/>
    <w:rPr>
      <w:rFonts w:cs="Times New Roman"/>
    </w:rPr>
  </w:style>
  <w:style w:type="paragraph" w:styleId="NormalWeb">
    <w:name w:val="Normal (Web)"/>
    <w:basedOn w:val="Normal"/>
    <w:uiPriority w:val="99"/>
    <w:rsid w:val="004F1B4F"/>
    <w:pPr>
      <w:spacing w:before="100" w:beforeAutospacing="1" w:after="100" w:afterAutospacing="1"/>
    </w:pPr>
  </w:style>
  <w:style w:type="paragraph" w:styleId="BalloonText">
    <w:name w:val="Balloon Text"/>
    <w:basedOn w:val="Normal"/>
    <w:link w:val="BalloonTextChar"/>
    <w:uiPriority w:val="99"/>
    <w:semiHidden/>
    <w:rsid w:val="004F1B4F"/>
    <w:rPr>
      <w:rFonts w:ascii="Tahoma" w:eastAsia="Calibri" w:hAnsi="Tahoma"/>
      <w:sz w:val="16"/>
      <w:szCs w:val="16"/>
    </w:rPr>
  </w:style>
  <w:style w:type="character" w:customStyle="1" w:styleId="BalloonTextChar">
    <w:name w:val="Balloon Text Char"/>
    <w:link w:val="BalloonText"/>
    <w:uiPriority w:val="99"/>
    <w:semiHidden/>
    <w:locked/>
    <w:rsid w:val="004F1B4F"/>
    <w:rPr>
      <w:rFonts w:ascii="Tahoma" w:hAnsi="Tahoma" w:cs="Tahoma"/>
      <w:sz w:val="16"/>
      <w:szCs w:val="16"/>
      <w:lang w:eastAsia="lv-LV"/>
    </w:rPr>
  </w:style>
  <w:style w:type="paragraph" w:styleId="Footer">
    <w:name w:val="footer"/>
    <w:basedOn w:val="Normal"/>
    <w:link w:val="FooterChar"/>
    <w:uiPriority w:val="99"/>
    <w:rsid w:val="00994A1A"/>
    <w:pPr>
      <w:tabs>
        <w:tab w:val="center" w:pos="4153"/>
        <w:tab w:val="right" w:pos="8306"/>
      </w:tabs>
    </w:pPr>
  </w:style>
  <w:style w:type="character" w:customStyle="1" w:styleId="FooterChar">
    <w:name w:val="Footer Char"/>
    <w:link w:val="Footer"/>
    <w:uiPriority w:val="99"/>
    <w:locked/>
    <w:rsid w:val="00994A1A"/>
    <w:rPr>
      <w:rFonts w:eastAsia="Times New Roman" w:cs="Times New Roman"/>
      <w:sz w:val="24"/>
      <w:szCs w:val="24"/>
      <w:lang w:eastAsia="lv-LV"/>
    </w:rPr>
  </w:style>
  <w:style w:type="character" w:styleId="Hyperlink">
    <w:name w:val="Hyperlink"/>
    <w:uiPriority w:val="99"/>
    <w:rsid w:val="007756FB"/>
    <w:rPr>
      <w:rFonts w:cs="Times New Roman"/>
      <w:color w:val="0000FF"/>
      <w:u w:val="single"/>
    </w:rPr>
  </w:style>
  <w:style w:type="paragraph" w:styleId="ListParagraph">
    <w:name w:val="List Paragraph"/>
    <w:basedOn w:val="Normal"/>
    <w:uiPriority w:val="99"/>
    <w:qFormat/>
    <w:rsid w:val="007756FB"/>
    <w:pPr>
      <w:ind w:left="720"/>
      <w:contextualSpacing/>
    </w:pPr>
  </w:style>
  <w:style w:type="character" w:styleId="CommentReference">
    <w:name w:val="annotation reference"/>
    <w:uiPriority w:val="99"/>
    <w:rsid w:val="00075879"/>
    <w:rPr>
      <w:rFonts w:cs="Times New Roman"/>
      <w:sz w:val="16"/>
      <w:szCs w:val="16"/>
    </w:rPr>
  </w:style>
  <w:style w:type="paragraph" w:styleId="CommentText">
    <w:name w:val="annotation text"/>
    <w:basedOn w:val="Normal"/>
    <w:link w:val="CommentTextChar"/>
    <w:uiPriority w:val="99"/>
    <w:rsid w:val="00075879"/>
    <w:rPr>
      <w:sz w:val="20"/>
      <w:szCs w:val="20"/>
    </w:rPr>
  </w:style>
  <w:style w:type="character" w:customStyle="1" w:styleId="CommentTextChar">
    <w:name w:val="Comment Text Char"/>
    <w:link w:val="CommentText"/>
    <w:uiPriority w:val="99"/>
    <w:locked/>
    <w:rsid w:val="00075879"/>
    <w:rPr>
      <w:rFonts w:eastAsia="Times New Roman" w:cs="Times New Roman"/>
      <w:sz w:val="20"/>
      <w:szCs w:val="20"/>
      <w:lang w:eastAsia="lv-LV"/>
    </w:rPr>
  </w:style>
  <w:style w:type="table" w:styleId="TableGrid">
    <w:name w:val="Table Grid"/>
    <w:basedOn w:val="TableNormal"/>
    <w:uiPriority w:val="59"/>
    <w:locked/>
    <w:rsid w:val="00FD2229"/>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uiPriority w:val="9"/>
    <w:rsid w:val="00D175E9"/>
    <w:rPr>
      <w:rFonts w:eastAsia="Times New Roman"/>
      <w:b/>
      <w:bCs/>
      <w:sz w:val="27"/>
      <w:szCs w:val="27"/>
    </w:rPr>
  </w:style>
  <w:style w:type="character" w:styleId="FollowedHyperlink">
    <w:name w:val="FollowedHyperlink"/>
    <w:uiPriority w:val="99"/>
    <w:semiHidden/>
    <w:unhideWhenUsed/>
    <w:rsid w:val="00952705"/>
    <w:rPr>
      <w:color w:val="800080"/>
      <w:u w:val="single"/>
    </w:rPr>
  </w:style>
  <w:style w:type="paragraph" w:styleId="CommentSubject">
    <w:name w:val="annotation subject"/>
    <w:basedOn w:val="CommentText"/>
    <w:next w:val="CommentText"/>
    <w:link w:val="CommentSubjectChar"/>
    <w:uiPriority w:val="99"/>
    <w:semiHidden/>
    <w:unhideWhenUsed/>
    <w:rsid w:val="00A425AB"/>
    <w:rPr>
      <w:b/>
      <w:bCs/>
    </w:rPr>
  </w:style>
  <w:style w:type="character" w:customStyle="1" w:styleId="CommentSubjectChar">
    <w:name w:val="Comment Subject Char"/>
    <w:link w:val="CommentSubject"/>
    <w:uiPriority w:val="99"/>
    <w:semiHidden/>
    <w:rsid w:val="00A425AB"/>
    <w:rPr>
      <w:rFonts w:eastAsia="Times New Roman" w:cs="Times New Roman"/>
      <w:b/>
      <w:bCs/>
      <w:sz w:val="20"/>
      <w:szCs w:val="20"/>
      <w:lang w:eastAsia="lv-LV"/>
    </w:rPr>
  </w:style>
  <w:style w:type="character" w:customStyle="1" w:styleId="c4">
    <w:name w:val="c4"/>
    <w:basedOn w:val="DefaultParagraphFont"/>
    <w:rsid w:val="0082754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B4F"/>
    <w:rPr>
      <w:rFonts w:eastAsia="Times New Roman"/>
      <w:sz w:val="24"/>
      <w:szCs w:val="24"/>
      <w:lang w:val="lv-LV" w:eastAsia="lv-LV"/>
    </w:rPr>
  </w:style>
  <w:style w:type="paragraph" w:styleId="Heading3">
    <w:name w:val="heading 3"/>
    <w:basedOn w:val="Normal"/>
    <w:link w:val="Heading3Char"/>
    <w:uiPriority w:val="9"/>
    <w:qFormat/>
    <w:locked/>
    <w:rsid w:val="00D175E9"/>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F1B4F"/>
    <w:pPr>
      <w:tabs>
        <w:tab w:val="center" w:pos="4153"/>
        <w:tab w:val="right" w:pos="8306"/>
      </w:tabs>
    </w:pPr>
  </w:style>
  <w:style w:type="character" w:customStyle="1" w:styleId="HeaderChar">
    <w:name w:val="Header Char"/>
    <w:link w:val="Header"/>
    <w:uiPriority w:val="99"/>
    <w:locked/>
    <w:rsid w:val="004F1B4F"/>
    <w:rPr>
      <w:rFonts w:eastAsia="Times New Roman" w:cs="Times New Roman"/>
      <w:sz w:val="24"/>
      <w:szCs w:val="24"/>
      <w:lang w:eastAsia="lv-LV"/>
    </w:rPr>
  </w:style>
  <w:style w:type="character" w:styleId="PageNumber">
    <w:name w:val="page number"/>
    <w:uiPriority w:val="99"/>
    <w:rsid w:val="004F1B4F"/>
    <w:rPr>
      <w:rFonts w:cs="Times New Roman"/>
    </w:rPr>
  </w:style>
  <w:style w:type="paragraph" w:customStyle="1" w:styleId="naisf">
    <w:name w:val="naisf"/>
    <w:basedOn w:val="Normal"/>
    <w:rsid w:val="004F1B4F"/>
    <w:pPr>
      <w:spacing w:before="75" w:after="75"/>
      <w:ind w:firstLine="375"/>
      <w:jc w:val="both"/>
    </w:pPr>
  </w:style>
  <w:style w:type="paragraph" w:customStyle="1" w:styleId="naisnod">
    <w:name w:val="naisnod"/>
    <w:basedOn w:val="Normal"/>
    <w:rsid w:val="004F1B4F"/>
    <w:pPr>
      <w:spacing w:before="150" w:after="150"/>
      <w:jc w:val="center"/>
    </w:pPr>
    <w:rPr>
      <w:b/>
      <w:bCs/>
    </w:rPr>
  </w:style>
  <w:style w:type="paragraph" w:customStyle="1" w:styleId="naislab">
    <w:name w:val="naislab"/>
    <w:basedOn w:val="Normal"/>
    <w:uiPriority w:val="99"/>
    <w:rsid w:val="004F1B4F"/>
    <w:pPr>
      <w:spacing w:before="75" w:after="75"/>
      <w:jc w:val="right"/>
    </w:pPr>
  </w:style>
  <w:style w:type="paragraph" w:customStyle="1" w:styleId="naiskr">
    <w:name w:val="naiskr"/>
    <w:basedOn w:val="Normal"/>
    <w:rsid w:val="004F1B4F"/>
    <w:pPr>
      <w:spacing w:before="75" w:after="75"/>
    </w:pPr>
  </w:style>
  <w:style w:type="paragraph" w:customStyle="1" w:styleId="naisc">
    <w:name w:val="naisc"/>
    <w:basedOn w:val="Normal"/>
    <w:uiPriority w:val="99"/>
    <w:rsid w:val="004F1B4F"/>
    <w:pPr>
      <w:spacing w:before="75" w:after="75"/>
      <w:jc w:val="center"/>
    </w:pPr>
  </w:style>
  <w:style w:type="character" w:customStyle="1" w:styleId="apple-style-span">
    <w:name w:val="apple-style-span"/>
    <w:uiPriority w:val="99"/>
    <w:rsid w:val="004F1B4F"/>
    <w:rPr>
      <w:rFonts w:cs="Times New Roman"/>
    </w:rPr>
  </w:style>
  <w:style w:type="paragraph" w:styleId="NormalWeb">
    <w:name w:val="Normal (Web)"/>
    <w:basedOn w:val="Normal"/>
    <w:uiPriority w:val="99"/>
    <w:rsid w:val="004F1B4F"/>
    <w:pPr>
      <w:spacing w:before="100" w:beforeAutospacing="1" w:after="100" w:afterAutospacing="1"/>
    </w:pPr>
  </w:style>
  <w:style w:type="paragraph" w:styleId="BalloonText">
    <w:name w:val="Balloon Text"/>
    <w:basedOn w:val="Normal"/>
    <w:link w:val="BalloonTextChar"/>
    <w:uiPriority w:val="99"/>
    <w:semiHidden/>
    <w:rsid w:val="004F1B4F"/>
    <w:rPr>
      <w:rFonts w:ascii="Tahoma" w:eastAsia="Calibri" w:hAnsi="Tahoma"/>
      <w:sz w:val="16"/>
      <w:szCs w:val="16"/>
    </w:rPr>
  </w:style>
  <w:style w:type="character" w:customStyle="1" w:styleId="BalloonTextChar">
    <w:name w:val="Balloon Text Char"/>
    <w:link w:val="BalloonText"/>
    <w:uiPriority w:val="99"/>
    <w:semiHidden/>
    <w:locked/>
    <w:rsid w:val="004F1B4F"/>
    <w:rPr>
      <w:rFonts w:ascii="Tahoma" w:hAnsi="Tahoma" w:cs="Tahoma"/>
      <w:sz w:val="16"/>
      <w:szCs w:val="16"/>
      <w:lang w:eastAsia="lv-LV"/>
    </w:rPr>
  </w:style>
  <w:style w:type="paragraph" w:styleId="Footer">
    <w:name w:val="footer"/>
    <w:basedOn w:val="Normal"/>
    <w:link w:val="FooterChar"/>
    <w:uiPriority w:val="99"/>
    <w:rsid w:val="00994A1A"/>
    <w:pPr>
      <w:tabs>
        <w:tab w:val="center" w:pos="4153"/>
        <w:tab w:val="right" w:pos="8306"/>
      </w:tabs>
    </w:pPr>
  </w:style>
  <w:style w:type="character" w:customStyle="1" w:styleId="FooterChar">
    <w:name w:val="Footer Char"/>
    <w:link w:val="Footer"/>
    <w:uiPriority w:val="99"/>
    <w:locked/>
    <w:rsid w:val="00994A1A"/>
    <w:rPr>
      <w:rFonts w:eastAsia="Times New Roman" w:cs="Times New Roman"/>
      <w:sz w:val="24"/>
      <w:szCs w:val="24"/>
      <w:lang w:eastAsia="lv-LV"/>
    </w:rPr>
  </w:style>
  <w:style w:type="character" w:styleId="Hyperlink">
    <w:name w:val="Hyperlink"/>
    <w:uiPriority w:val="99"/>
    <w:rsid w:val="007756FB"/>
    <w:rPr>
      <w:rFonts w:cs="Times New Roman"/>
      <w:color w:val="0000FF"/>
      <w:u w:val="single"/>
    </w:rPr>
  </w:style>
  <w:style w:type="paragraph" w:styleId="ListParagraph">
    <w:name w:val="List Paragraph"/>
    <w:basedOn w:val="Normal"/>
    <w:uiPriority w:val="99"/>
    <w:qFormat/>
    <w:rsid w:val="007756FB"/>
    <w:pPr>
      <w:ind w:left="720"/>
      <w:contextualSpacing/>
    </w:pPr>
  </w:style>
  <w:style w:type="character" w:styleId="CommentReference">
    <w:name w:val="annotation reference"/>
    <w:uiPriority w:val="99"/>
    <w:rsid w:val="00075879"/>
    <w:rPr>
      <w:rFonts w:cs="Times New Roman"/>
      <w:sz w:val="16"/>
      <w:szCs w:val="16"/>
    </w:rPr>
  </w:style>
  <w:style w:type="paragraph" w:styleId="CommentText">
    <w:name w:val="annotation text"/>
    <w:basedOn w:val="Normal"/>
    <w:link w:val="CommentTextChar"/>
    <w:uiPriority w:val="99"/>
    <w:rsid w:val="00075879"/>
    <w:rPr>
      <w:sz w:val="20"/>
      <w:szCs w:val="20"/>
    </w:rPr>
  </w:style>
  <w:style w:type="character" w:customStyle="1" w:styleId="CommentTextChar">
    <w:name w:val="Comment Text Char"/>
    <w:link w:val="CommentText"/>
    <w:uiPriority w:val="99"/>
    <w:locked/>
    <w:rsid w:val="00075879"/>
    <w:rPr>
      <w:rFonts w:eastAsia="Times New Roman" w:cs="Times New Roman"/>
      <w:sz w:val="20"/>
      <w:szCs w:val="20"/>
      <w:lang w:eastAsia="lv-LV"/>
    </w:rPr>
  </w:style>
  <w:style w:type="table" w:styleId="TableGrid">
    <w:name w:val="Table Grid"/>
    <w:basedOn w:val="TableNormal"/>
    <w:uiPriority w:val="59"/>
    <w:locked/>
    <w:rsid w:val="00FD2229"/>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uiPriority w:val="9"/>
    <w:rsid w:val="00D175E9"/>
    <w:rPr>
      <w:rFonts w:eastAsia="Times New Roman"/>
      <w:b/>
      <w:bCs/>
      <w:sz w:val="27"/>
      <w:szCs w:val="27"/>
    </w:rPr>
  </w:style>
  <w:style w:type="character" w:styleId="FollowedHyperlink">
    <w:name w:val="FollowedHyperlink"/>
    <w:uiPriority w:val="99"/>
    <w:semiHidden/>
    <w:unhideWhenUsed/>
    <w:rsid w:val="00952705"/>
    <w:rPr>
      <w:color w:val="800080"/>
      <w:u w:val="single"/>
    </w:rPr>
  </w:style>
  <w:style w:type="paragraph" w:styleId="CommentSubject">
    <w:name w:val="annotation subject"/>
    <w:basedOn w:val="CommentText"/>
    <w:next w:val="CommentText"/>
    <w:link w:val="CommentSubjectChar"/>
    <w:uiPriority w:val="99"/>
    <w:semiHidden/>
    <w:unhideWhenUsed/>
    <w:rsid w:val="00A425AB"/>
    <w:rPr>
      <w:b/>
      <w:bCs/>
    </w:rPr>
  </w:style>
  <w:style w:type="character" w:customStyle="1" w:styleId="CommentSubjectChar">
    <w:name w:val="Comment Subject Char"/>
    <w:link w:val="CommentSubject"/>
    <w:uiPriority w:val="99"/>
    <w:semiHidden/>
    <w:rsid w:val="00A425AB"/>
    <w:rPr>
      <w:rFonts w:eastAsia="Times New Roman" w:cs="Times New Roman"/>
      <w:b/>
      <w:bCs/>
      <w:sz w:val="20"/>
      <w:szCs w:val="20"/>
      <w:lang w:eastAsia="lv-LV"/>
    </w:rPr>
  </w:style>
  <w:style w:type="character" w:customStyle="1" w:styleId="c4">
    <w:name w:val="c4"/>
    <w:basedOn w:val="DefaultParagraphFont"/>
    <w:rsid w:val="008275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745750">
      <w:bodyDiv w:val="1"/>
      <w:marLeft w:val="0"/>
      <w:marRight w:val="0"/>
      <w:marTop w:val="0"/>
      <w:marBottom w:val="0"/>
      <w:divBdr>
        <w:top w:val="none" w:sz="0" w:space="0" w:color="auto"/>
        <w:left w:val="none" w:sz="0" w:space="0" w:color="auto"/>
        <w:bottom w:val="none" w:sz="0" w:space="0" w:color="auto"/>
        <w:right w:val="none" w:sz="0" w:space="0" w:color="auto"/>
      </w:divBdr>
    </w:div>
    <w:div w:id="197354606">
      <w:bodyDiv w:val="1"/>
      <w:marLeft w:val="0"/>
      <w:marRight w:val="0"/>
      <w:marTop w:val="0"/>
      <w:marBottom w:val="0"/>
      <w:divBdr>
        <w:top w:val="none" w:sz="0" w:space="0" w:color="auto"/>
        <w:left w:val="none" w:sz="0" w:space="0" w:color="auto"/>
        <w:bottom w:val="none" w:sz="0" w:space="0" w:color="auto"/>
        <w:right w:val="none" w:sz="0" w:space="0" w:color="auto"/>
      </w:divBdr>
    </w:div>
    <w:div w:id="233929637">
      <w:bodyDiv w:val="1"/>
      <w:marLeft w:val="0"/>
      <w:marRight w:val="0"/>
      <w:marTop w:val="0"/>
      <w:marBottom w:val="0"/>
      <w:divBdr>
        <w:top w:val="none" w:sz="0" w:space="0" w:color="auto"/>
        <w:left w:val="none" w:sz="0" w:space="0" w:color="auto"/>
        <w:bottom w:val="none" w:sz="0" w:space="0" w:color="auto"/>
        <w:right w:val="none" w:sz="0" w:space="0" w:color="auto"/>
      </w:divBdr>
    </w:div>
    <w:div w:id="335621412">
      <w:bodyDiv w:val="1"/>
      <w:marLeft w:val="0"/>
      <w:marRight w:val="0"/>
      <w:marTop w:val="0"/>
      <w:marBottom w:val="0"/>
      <w:divBdr>
        <w:top w:val="none" w:sz="0" w:space="0" w:color="auto"/>
        <w:left w:val="none" w:sz="0" w:space="0" w:color="auto"/>
        <w:bottom w:val="none" w:sz="0" w:space="0" w:color="auto"/>
        <w:right w:val="none" w:sz="0" w:space="0" w:color="auto"/>
      </w:divBdr>
    </w:div>
    <w:div w:id="448668423">
      <w:bodyDiv w:val="1"/>
      <w:marLeft w:val="0"/>
      <w:marRight w:val="0"/>
      <w:marTop w:val="0"/>
      <w:marBottom w:val="0"/>
      <w:divBdr>
        <w:top w:val="none" w:sz="0" w:space="0" w:color="auto"/>
        <w:left w:val="none" w:sz="0" w:space="0" w:color="auto"/>
        <w:bottom w:val="none" w:sz="0" w:space="0" w:color="auto"/>
        <w:right w:val="none" w:sz="0" w:space="0" w:color="auto"/>
      </w:divBdr>
    </w:div>
    <w:div w:id="457989380">
      <w:bodyDiv w:val="1"/>
      <w:marLeft w:val="0"/>
      <w:marRight w:val="0"/>
      <w:marTop w:val="0"/>
      <w:marBottom w:val="0"/>
      <w:divBdr>
        <w:top w:val="none" w:sz="0" w:space="0" w:color="auto"/>
        <w:left w:val="none" w:sz="0" w:space="0" w:color="auto"/>
        <w:bottom w:val="none" w:sz="0" w:space="0" w:color="auto"/>
        <w:right w:val="none" w:sz="0" w:space="0" w:color="auto"/>
      </w:divBdr>
    </w:div>
    <w:div w:id="518931228">
      <w:bodyDiv w:val="1"/>
      <w:marLeft w:val="0"/>
      <w:marRight w:val="0"/>
      <w:marTop w:val="0"/>
      <w:marBottom w:val="0"/>
      <w:divBdr>
        <w:top w:val="none" w:sz="0" w:space="0" w:color="auto"/>
        <w:left w:val="none" w:sz="0" w:space="0" w:color="auto"/>
        <w:bottom w:val="none" w:sz="0" w:space="0" w:color="auto"/>
        <w:right w:val="none" w:sz="0" w:space="0" w:color="auto"/>
      </w:divBdr>
    </w:div>
    <w:div w:id="659382531">
      <w:marLeft w:val="0"/>
      <w:marRight w:val="0"/>
      <w:marTop w:val="0"/>
      <w:marBottom w:val="0"/>
      <w:divBdr>
        <w:top w:val="none" w:sz="0" w:space="0" w:color="auto"/>
        <w:left w:val="none" w:sz="0" w:space="0" w:color="auto"/>
        <w:bottom w:val="none" w:sz="0" w:space="0" w:color="auto"/>
        <w:right w:val="none" w:sz="0" w:space="0" w:color="auto"/>
      </w:divBdr>
    </w:div>
    <w:div w:id="659382532">
      <w:marLeft w:val="0"/>
      <w:marRight w:val="0"/>
      <w:marTop w:val="0"/>
      <w:marBottom w:val="0"/>
      <w:divBdr>
        <w:top w:val="none" w:sz="0" w:space="0" w:color="auto"/>
        <w:left w:val="none" w:sz="0" w:space="0" w:color="auto"/>
        <w:bottom w:val="none" w:sz="0" w:space="0" w:color="auto"/>
        <w:right w:val="none" w:sz="0" w:space="0" w:color="auto"/>
      </w:divBdr>
    </w:div>
    <w:div w:id="659382533">
      <w:marLeft w:val="0"/>
      <w:marRight w:val="0"/>
      <w:marTop w:val="0"/>
      <w:marBottom w:val="0"/>
      <w:divBdr>
        <w:top w:val="none" w:sz="0" w:space="0" w:color="auto"/>
        <w:left w:val="none" w:sz="0" w:space="0" w:color="auto"/>
        <w:bottom w:val="none" w:sz="0" w:space="0" w:color="auto"/>
        <w:right w:val="none" w:sz="0" w:space="0" w:color="auto"/>
      </w:divBdr>
    </w:div>
    <w:div w:id="659382534">
      <w:marLeft w:val="0"/>
      <w:marRight w:val="0"/>
      <w:marTop w:val="0"/>
      <w:marBottom w:val="0"/>
      <w:divBdr>
        <w:top w:val="none" w:sz="0" w:space="0" w:color="auto"/>
        <w:left w:val="none" w:sz="0" w:space="0" w:color="auto"/>
        <w:bottom w:val="none" w:sz="0" w:space="0" w:color="auto"/>
        <w:right w:val="none" w:sz="0" w:space="0" w:color="auto"/>
      </w:divBdr>
    </w:div>
    <w:div w:id="659382535">
      <w:marLeft w:val="0"/>
      <w:marRight w:val="0"/>
      <w:marTop w:val="0"/>
      <w:marBottom w:val="0"/>
      <w:divBdr>
        <w:top w:val="none" w:sz="0" w:space="0" w:color="auto"/>
        <w:left w:val="none" w:sz="0" w:space="0" w:color="auto"/>
        <w:bottom w:val="none" w:sz="0" w:space="0" w:color="auto"/>
        <w:right w:val="none" w:sz="0" w:space="0" w:color="auto"/>
      </w:divBdr>
    </w:div>
    <w:div w:id="659382536">
      <w:marLeft w:val="0"/>
      <w:marRight w:val="0"/>
      <w:marTop w:val="0"/>
      <w:marBottom w:val="0"/>
      <w:divBdr>
        <w:top w:val="none" w:sz="0" w:space="0" w:color="auto"/>
        <w:left w:val="none" w:sz="0" w:space="0" w:color="auto"/>
        <w:bottom w:val="none" w:sz="0" w:space="0" w:color="auto"/>
        <w:right w:val="none" w:sz="0" w:space="0" w:color="auto"/>
      </w:divBdr>
    </w:div>
    <w:div w:id="659382537">
      <w:marLeft w:val="0"/>
      <w:marRight w:val="0"/>
      <w:marTop w:val="0"/>
      <w:marBottom w:val="0"/>
      <w:divBdr>
        <w:top w:val="none" w:sz="0" w:space="0" w:color="auto"/>
        <w:left w:val="none" w:sz="0" w:space="0" w:color="auto"/>
        <w:bottom w:val="none" w:sz="0" w:space="0" w:color="auto"/>
        <w:right w:val="none" w:sz="0" w:space="0" w:color="auto"/>
      </w:divBdr>
    </w:div>
    <w:div w:id="940987711">
      <w:bodyDiv w:val="1"/>
      <w:marLeft w:val="0"/>
      <w:marRight w:val="0"/>
      <w:marTop w:val="0"/>
      <w:marBottom w:val="0"/>
      <w:divBdr>
        <w:top w:val="none" w:sz="0" w:space="0" w:color="auto"/>
        <w:left w:val="none" w:sz="0" w:space="0" w:color="auto"/>
        <w:bottom w:val="none" w:sz="0" w:space="0" w:color="auto"/>
        <w:right w:val="none" w:sz="0" w:space="0" w:color="auto"/>
      </w:divBdr>
    </w:div>
    <w:div w:id="1110900915">
      <w:bodyDiv w:val="1"/>
      <w:marLeft w:val="0"/>
      <w:marRight w:val="0"/>
      <w:marTop w:val="0"/>
      <w:marBottom w:val="0"/>
      <w:divBdr>
        <w:top w:val="none" w:sz="0" w:space="0" w:color="auto"/>
        <w:left w:val="none" w:sz="0" w:space="0" w:color="auto"/>
        <w:bottom w:val="none" w:sz="0" w:space="0" w:color="auto"/>
        <w:right w:val="none" w:sz="0" w:space="0" w:color="auto"/>
      </w:divBdr>
    </w:div>
    <w:div w:id="1340280594">
      <w:bodyDiv w:val="1"/>
      <w:marLeft w:val="0"/>
      <w:marRight w:val="0"/>
      <w:marTop w:val="0"/>
      <w:marBottom w:val="0"/>
      <w:divBdr>
        <w:top w:val="none" w:sz="0" w:space="0" w:color="auto"/>
        <w:left w:val="none" w:sz="0" w:space="0" w:color="auto"/>
        <w:bottom w:val="none" w:sz="0" w:space="0" w:color="auto"/>
        <w:right w:val="none" w:sz="0" w:space="0" w:color="auto"/>
      </w:divBdr>
    </w:div>
    <w:div w:id="1434933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likumi.lv" TargetMode="External"/><Relationship Id="rId18" Type="http://schemas.openxmlformats.org/officeDocument/2006/relationships/footer" Target="footer2.xml"/><Relationship Id="rId3" Type="http://schemas.openxmlformats.org/officeDocument/2006/relationships/customXml" Target="../customXml/item3.xml"/><Relationship Id="rId21" Type="http://schemas.microsoft.com/office/2011/relationships/commentsExtended" Target="commentsExtended.xml"/><Relationship Id="rId7" Type="http://schemas.microsoft.com/office/2007/relationships/stylesWithEffects" Target="stylesWithEffects.xml"/><Relationship Id="rId12" Type="http://schemas.openxmlformats.org/officeDocument/2006/relationships/hyperlink" Target="http://likumi.lv/doc.php?id=33946"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Inese.Riekstina@vid.gov.lv" TargetMode="Externa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Vad_x012b_t_x0101_js xmlns="2e5bb04e-596e-45bd-9003-43ca78b1ba16" xsi:nil="true"/>
    <Kategorija xmlns="2e5bb04e-596e-45bd-9003-43ca78b1ba16">Anotācija</Kategorija>
    <DKP xmlns="2e5bb04e-596e-45bd-9003-43ca78b1ba16">94</DKP>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1B7EA197AA1D704C9843F1E46D9D5619" ma:contentTypeVersion="5" ma:contentTypeDescription="Izveidot jaunu dokumentu." ma:contentTypeScope="" ma:versionID="ecec2a297dd0403be6b14195d4c72fab">
  <xsd:schema xmlns:xsd="http://www.w3.org/2001/XMLSchema" xmlns:p="http://schemas.microsoft.com/office/2006/metadata/properties" xmlns:ns1="2e5bb04e-596e-45bd-9003-43ca78b1ba16" targetNamespace="http://schemas.microsoft.com/office/2006/metadata/properties" ma:root="true" ma:fieldsID="cf9a047bef5cfc5e048969db0a13affc" ns1:_="">
    <xsd:import namespace="2e5bb04e-596e-45bd-9003-43ca78b1ba16"/>
    <xsd:element name="properties">
      <xsd:complexType>
        <xsd:sequence>
          <xsd:element name="documentManagement">
            <xsd:complexType>
              <xsd:all>
                <xsd:element ref="ns1:DKP" minOccurs="0"/>
                <xsd:element ref="ns1:Kategorija"/>
                <xsd:element ref="ns1:Vad_x012b_t_x0101_js" minOccurs="0"/>
              </xsd:all>
            </xsd:complexType>
          </xsd:element>
        </xsd:sequence>
      </xsd:complexType>
    </xsd:element>
  </xsd:schema>
  <xsd:schema xmlns:xsd="http://www.w3.org/2001/XMLSchema" xmlns:dms="http://schemas.microsoft.com/office/2006/documentManagement/types" targetNamespace="2e5bb04e-596e-45bd-9003-43ca78b1ba16" elementFormDefault="qualified">
    <xsd:import namespace="http://schemas.microsoft.com/office/2006/documentManagement/types"/>
    <xsd:element name="DKP" ma:index="0" nillable="true" ma:displayName="TAP" ma:list="{DBCF012D-8B84-4824-B988-F2807DC0F451}" ma:internalName="DKP" ma:readOnly="false" ma:showField="NPK">
      <xsd:simpleType>
        <xsd:restriction base="dms:Lookup"/>
      </xsd:simpleType>
    </xsd:element>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8" ma:displayName="Satura tips" ma:readOnly="true"/>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E98176-B9D9-4839-9ACF-813F34F4840A}">
  <ds:schemaRefs>
    <ds:schemaRef ds:uri="http://schemas.microsoft.com/sharepoint/v3/contenttype/forms"/>
  </ds:schemaRefs>
</ds:datastoreItem>
</file>

<file path=customXml/itemProps2.xml><?xml version="1.0" encoding="utf-8"?>
<ds:datastoreItem xmlns:ds="http://schemas.openxmlformats.org/officeDocument/2006/customXml" ds:itemID="{33C671F2-B5D3-42C0-BE92-6EAAB8A349BF}">
  <ds:schemaRefs>
    <ds:schemaRef ds:uri="http://schemas.microsoft.com/office/2006/metadata/properties"/>
    <ds:schemaRef ds:uri="2e5bb04e-596e-45bd-9003-43ca78b1ba16"/>
  </ds:schemaRefs>
</ds:datastoreItem>
</file>

<file path=customXml/itemProps3.xml><?xml version="1.0" encoding="utf-8"?>
<ds:datastoreItem xmlns:ds="http://schemas.openxmlformats.org/officeDocument/2006/customXml" ds:itemID="{118228FB-BAAF-433A-93B7-ADE543B51D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FC1E95AA-A1B5-4238-AA78-4314C713A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8</Pages>
  <Words>10289</Words>
  <Characters>5865</Characters>
  <Application>Microsoft Office Word</Application>
  <DocSecurity>0</DocSecurity>
  <Lines>48</Lines>
  <Paragraphs>32</Paragraphs>
  <ScaleCrop>false</ScaleCrop>
  <HeadingPairs>
    <vt:vector size="2" baseType="variant">
      <vt:variant>
        <vt:lpstr>Title</vt:lpstr>
      </vt:variant>
      <vt:variant>
        <vt:i4>1</vt:i4>
      </vt:variant>
    </vt:vector>
  </HeadingPairs>
  <TitlesOfParts>
    <vt:vector size="1" baseType="lpstr">
      <vt:lpstr>Ministru kabineta noteikumu projekta “Noteikumi par līzinga, kredīta un ar to saistīto procentu maksājumu deklarāciju” sākotnējās ietekmes novērtējuma ziņojums (anotācija)</vt:lpstr>
    </vt:vector>
  </TitlesOfParts>
  <Company>Valsts ieņēmumu dienests</Company>
  <LinksUpToDate>false</LinksUpToDate>
  <CharactersWithSpaces>16122</CharactersWithSpaces>
  <SharedDoc>false</SharedDoc>
  <HLinks>
    <vt:vector size="18" baseType="variant">
      <vt:variant>
        <vt:i4>524559</vt:i4>
      </vt:variant>
      <vt:variant>
        <vt:i4>6</vt:i4>
      </vt:variant>
      <vt:variant>
        <vt:i4>0</vt:i4>
      </vt:variant>
      <vt:variant>
        <vt:i4>5</vt:i4>
      </vt:variant>
      <vt:variant>
        <vt:lpwstr>mailto:Inese.Riekstiņa@vid.gov.lv</vt:lpwstr>
      </vt:variant>
      <vt:variant>
        <vt:lpwstr/>
      </vt:variant>
      <vt:variant>
        <vt:i4>4980746</vt:i4>
      </vt:variant>
      <vt:variant>
        <vt:i4>3</vt:i4>
      </vt:variant>
      <vt:variant>
        <vt:i4>0</vt:i4>
      </vt:variant>
      <vt:variant>
        <vt:i4>5</vt:i4>
      </vt:variant>
      <vt:variant>
        <vt:lpwstr>http://likumi.lv/doc.php?id=215302</vt:lpwstr>
      </vt:variant>
      <vt:variant>
        <vt:lpwstr>p6</vt:lpwstr>
      </vt:variant>
      <vt:variant>
        <vt:i4>7995514</vt:i4>
      </vt:variant>
      <vt:variant>
        <vt:i4>0</vt:i4>
      </vt:variant>
      <vt:variant>
        <vt:i4>0</vt:i4>
      </vt:variant>
      <vt:variant>
        <vt:i4>5</vt:i4>
      </vt:variant>
      <vt:variant>
        <vt:lpwstr>http://likumi.lv/doc.php?id=215302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“Noteikumi par līzinga, kredīta un ar to saistīto procentu maksājumu deklarāciju” sākotnējās ietekmes novērtējuma ziņojums (anotācija)</dc:title>
  <dc:subject>anotācija</dc:subject>
  <dc:creator>I.Riekstiņa</dc:creator>
  <dc:description>e-pasta adrese: Inese.Riekstina@vid.gov.lv _x000d_
tālrunis: 67121816</dc:description>
  <cp:lastModifiedBy>Inese Riekstiņa</cp:lastModifiedBy>
  <cp:revision>8</cp:revision>
  <cp:lastPrinted>2015-04-28T05:15:00Z</cp:lastPrinted>
  <dcterms:created xsi:type="dcterms:W3CDTF">2015-04-28T04:27:00Z</dcterms:created>
  <dcterms:modified xsi:type="dcterms:W3CDTF">2015-04-28T06:25:00Z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0x0101001B7EA197AA1D704C9843F1E46D9D5619</vt:lpwstr>
  </property>
</Properties>
</file>