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A3390" w14:textId="77777777" w:rsidR="001E7227" w:rsidRDefault="00B36423" w:rsidP="001E7227">
      <w:pPr>
        <w:ind w:firstLine="0"/>
        <w:jc w:val="center"/>
        <w:rPr>
          <w:rFonts w:cs="Times New Roman"/>
          <w:b/>
          <w:bCs/>
          <w:kern w:val="52"/>
          <w:sz w:val="56"/>
        </w:rPr>
      </w:pPr>
      <w:bookmarkStart w:id="0" w:name="OLE_LINK1"/>
      <w:bookmarkStart w:id="1" w:name="OLE_LINK2"/>
      <w:r>
        <w:rPr>
          <w:noProof/>
          <w:color w:val="1F497D"/>
          <w:lang w:eastAsia="lv-LV"/>
        </w:rPr>
        <w:drawing>
          <wp:inline distT="0" distB="0" distL="0" distR="0" wp14:anchorId="1F68D518" wp14:editId="13C3B032">
            <wp:extent cx="2372264" cy="724178"/>
            <wp:effectExtent l="0" t="0" r="0" b="0"/>
            <wp:docPr id="3" name="Picture 3" descr="cid:image001.jpg@01D0874F.DACDA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0874F.DACDA22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33158" cy="742767"/>
                    </a:xfrm>
                    <a:prstGeom prst="rect">
                      <a:avLst/>
                    </a:prstGeom>
                    <a:noFill/>
                    <a:ln>
                      <a:noFill/>
                    </a:ln>
                  </pic:spPr>
                </pic:pic>
              </a:graphicData>
            </a:graphic>
          </wp:inline>
        </w:drawing>
      </w:r>
    </w:p>
    <w:p w14:paraId="2188EAAA" w14:textId="77777777" w:rsidR="001E7227" w:rsidRDefault="001E7227" w:rsidP="001E7227">
      <w:pPr>
        <w:ind w:firstLine="0"/>
        <w:jc w:val="center"/>
        <w:rPr>
          <w:rFonts w:cs="Times New Roman"/>
          <w:b/>
          <w:bCs/>
          <w:kern w:val="52"/>
          <w:sz w:val="56"/>
        </w:rPr>
      </w:pPr>
    </w:p>
    <w:p w14:paraId="1C9F3CF3" w14:textId="77777777" w:rsidR="001E7227" w:rsidRDefault="001E7227" w:rsidP="001E7227">
      <w:pPr>
        <w:ind w:firstLine="0"/>
        <w:jc w:val="center"/>
        <w:rPr>
          <w:rFonts w:cs="Times New Roman"/>
          <w:b/>
          <w:bCs/>
          <w:kern w:val="52"/>
          <w:sz w:val="56"/>
        </w:rPr>
      </w:pPr>
    </w:p>
    <w:p w14:paraId="23F1EACE" w14:textId="77777777" w:rsidR="001E7227" w:rsidRDefault="001E7227" w:rsidP="001E7227">
      <w:pPr>
        <w:ind w:firstLine="0"/>
        <w:jc w:val="center"/>
        <w:rPr>
          <w:rFonts w:cs="Times New Roman"/>
          <w:b/>
          <w:bCs/>
          <w:kern w:val="52"/>
          <w:sz w:val="56"/>
        </w:rPr>
      </w:pPr>
    </w:p>
    <w:p w14:paraId="12C9A0FA" w14:textId="77777777" w:rsidR="00881D12" w:rsidRDefault="00881D12" w:rsidP="001E7227">
      <w:pPr>
        <w:ind w:firstLine="0"/>
        <w:jc w:val="center"/>
        <w:rPr>
          <w:rFonts w:cs="Times New Roman"/>
          <w:b/>
          <w:bCs/>
          <w:kern w:val="52"/>
          <w:sz w:val="56"/>
        </w:rPr>
      </w:pPr>
    </w:p>
    <w:p w14:paraId="5C315CE0" w14:textId="77777777" w:rsidR="001E7227" w:rsidRDefault="001E7227" w:rsidP="001E7227">
      <w:pPr>
        <w:ind w:firstLine="0"/>
        <w:jc w:val="center"/>
        <w:rPr>
          <w:rFonts w:cs="Times New Roman"/>
          <w:b/>
          <w:bCs/>
          <w:kern w:val="52"/>
          <w:sz w:val="56"/>
        </w:rPr>
      </w:pPr>
    </w:p>
    <w:p w14:paraId="6CC4F735" w14:textId="77777777" w:rsidR="001E7227" w:rsidRDefault="001E7227" w:rsidP="00881D12">
      <w:pPr>
        <w:ind w:firstLine="0"/>
        <w:jc w:val="center"/>
        <w:rPr>
          <w:rFonts w:cs="Times New Roman"/>
          <w:b/>
          <w:bCs/>
          <w:kern w:val="52"/>
          <w:sz w:val="56"/>
        </w:rPr>
      </w:pPr>
      <w:r w:rsidRPr="003927D1">
        <w:rPr>
          <w:rFonts w:cs="Times New Roman"/>
          <w:b/>
          <w:bCs/>
          <w:kern w:val="52"/>
          <w:sz w:val="56"/>
        </w:rPr>
        <w:t>Par tautsaimniecības attīstību u</w:t>
      </w:r>
      <w:r>
        <w:rPr>
          <w:rFonts w:cs="Times New Roman"/>
          <w:b/>
          <w:bCs/>
          <w:kern w:val="52"/>
          <w:sz w:val="56"/>
        </w:rPr>
        <w:t>n kopbudžeta izpildes gaitu 201</w:t>
      </w:r>
      <w:r w:rsidR="00C1297C">
        <w:rPr>
          <w:rFonts w:cs="Times New Roman"/>
          <w:b/>
          <w:bCs/>
          <w:kern w:val="52"/>
          <w:sz w:val="56"/>
        </w:rPr>
        <w:t>5</w:t>
      </w:r>
      <w:r w:rsidR="008F42F1">
        <w:rPr>
          <w:rFonts w:cs="Times New Roman"/>
          <w:b/>
          <w:bCs/>
          <w:kern w:val="52"/>
          <w:sz w:val="56"/>
        </w:rPr>
        <w:t>.</w:t>
      </w:r>
      <w:r w:rsidR="000E4583">
        <w:rPr>
          <w:rFonts w:cs="Times New Roman"/>
          <w:b/>
          <w:bCs/>
          <w:kern w:val="52"/>
          <w:sz w:val="56"/>
        </w:rPr>
        <w:t> </w:t>
      </w:r>
      <w:r w:rsidRPr="003927D1">
        <w:rPr>
          <w:rFonts w:cs="Times New Roman"/>
          <w:b/>
          <w:bCs/>
          <w:kern w:val="52"/>
          <w:sz w:val="56"/>
        </w:rPr>
        <w:t xml:space="preserve">gada </w:t>
      </w:r>
      <w:r w:rsidR="00D05689">
        <w:rPr>
          <w:rFonts w:cs="Times New Roman"/>
          <w:b/>
          <w:bCs/>
          <w:kern w:val="52"/>
          <w:sz w:val="56"/>
        </w:rPr>
        <w:t>1.</w:t>
      </w:r>
      <w:r w:rsidR="00881D12">
        <w:rPr>
          <w:rFonts w:cs="Times New Roman"/>
          <w:b/>
          <w:bCs/>
          <w:kern w:val="52"/>
          <w:sz w:val="56"/>
        </w:rPr>
        <w:t> </w:t>
      </w:r>
      <w:r>
        <w:rPr>
          <w:rFonts w:cs="Times New Roman"/>
          <w:b/>
          <w:bCs/>
          <w:kern w:val="52"/>
          <w:sz w:val="56"/>
        </w:rPr>
        <w:t>c</w:t>
      </w:r>
      <w:r w:rsidRPr="003927D1">
        <w:rPr>
          <w:rFonts w:cs="Times New Roman"/>
          <w:b/>
          <w:bCs/>
          <w:kern w:val="52"/>
          <w:sz w:val="56"/>
        </w:rPr>
        <w:t>eturksnī</w:t>
      </w:r>
      <w:bookmarkEnd w:id="0"/>
      <w:bookmarkEnd w:id="1"/>
    </w:p>
    <w:p w14:paraId="5B4C936E" w14:textId="77777777" w:rsidR="001E7227" w:rsidRDefault="001E7227" w:rsidP="001E7227">
      <w:pPr>
        <w:ind w:firstLine="0"/>
        <w:jc w:val="center"/>
        <w:rPr>
          <w:rFonts w:cs="Times New Roman"/>
        </w:rPr>
      </w:pPr>
    </w:p>
    <w:p w14:paraId="23C0C173" w14:textId="77777777" w:rsidR="001E7227" w:rsidRDefault="001E7227" w:rsidP="001E7227">
      <w:pPr>
        <w:ind w:firstLine="0"/>
        <w:jc w:val="center"/>
        <w:rPr>
          <w:rFonts w:cs="Times New Roman"/>
        </w:rPr>
      </w:pPr>
    </w:p>
    <w:p w14:paraId="34CA0E21" w14:textId="77777777" w:rsidR="001E7227" w:rsidRDefault="001E7227" w:rsidP="001E7227">
      <w:pPr>
        <w:ind w:firstLine="0"/>
        <w:jc w:val="center"/>
        <w:rPr>
          <w:rFonts w:cs="Times New Roman"/>
        </w:rPr>
      </w:pPr>
    </w:p>
    <w:p w14:paraId="468CC80D" w14:textId="77777777" w:rsidR="001E7227" w:rsidRDefault="001E7227" w:rsidP="001E7227">
      <w:pPr>
        <w:ind w:firstLine="0"/>
        <w:jc w:val="center"/>
        <w:rPr>
          <w:rFonts w:cs="Times New Roman"/>
        </w:rPr>
      </w:pPr>
    </w:p>
    <w:p w14:paraId="21E3802D" w14:textId="77777777" w:rsidR="001E7227" w:rsidRDefault="001E7227" w:rsidP="001E7227">
      <w:pPr>
        <w:ind w:firstLine="0"/>
        <w:jc w:val="center"/>
        <w:rPr>
          <w:rFonts w:cs="Times New Roman"/>
        </w:rPr>
      </w:pPr>
    </w:p>
    <w:p w14:paraId="2FB915F1" w14:textId="77777777" w:rsidR="001E7227" w:rsidRDefault="001E7227" w:rsidP="001E7227">
      <w:pPr>
        <w:ind w:firstLine="0"/>
        <w:jc w:val="center"/>
        <w:rPr>
          <w:rFonts w:cs="Times New Roman"/>
        </w:rPr>
      </w:pPr>
    </w:p>
    <w:p w14:paraId="6A8B7EFD" w14:textId="77777777" w:rsidR="001E7227" w:rsidRDefault="001E7227" w:rsidP="001E7227">
      <w:pPr>
        <w:ind w:firstLine="0"/>
        <w:jc w:val="center"/>
        <w:rPr>
          <w:rFonts w:cs="Times New Roman"/>
        </w:rPr>
      </w:pPr>
    </w:p>
    <w:p w14:paraId="049391D8" w14:textId="77777777" w:rsidR="001E7227" w:rsidRDefault="001E7227" w:rsidP="001E7227">
      <w:pPr>
        <w:ind w:firstLine="0"/>
        <w:jc w:val="center"/>
        <w:rPr>
          <w:rFonts w:cs="Times New Roman"/>
        </w:rPr>
      </w:pPr>
    </w:p>
    <w:p w14:paraId="2C4ECE75" w14:textId="77777777" w:rsidR="00881D12" w:rsidRDefault="00881D12" w:rsidP="002E5168">
      <w:pPr>
        <w:tabs>
          <w:tab w:val="left" w:pos="1989"/>
        </w:tabs>
        <w:ind w:firstLine="0"/>
        <w:jc w:val="left"/>
        <w:rPr>
          <w:rFonts w:cs="Times New Roman"/>
        </w:rPr>
      </w:pPr>
    </w:p>
    <w:p w14:paraId="665320D0" w14:textId="77777777" w:rsidR="00881D12" w:rsidRDefault="00881D12" w:rsidP="002E5168">
      <w:pPr>
        <w:tabs>
          <w:tab w:val="left" w:pos="1989"/>
        </w:tabs>
        <w:ind w:firstLine="0"/>
        <w:jc w:val="left"/>
        <w:rPr>
          <w:rFonts w:cs="Times New Roman"/>
        </w:rPr>
      </w:pPr>
    </w:p>
    <w:p w14:paraId="1E1EC240" w14:textId="77777777" w:rsidR="00881D12" w:rsidRPr="003927D1" w:rsidRDefault="00881D12" w:rsidP="002E5168">
      <w:pPr>
        <w:tabs>
          <w:tab w:val="left" w:pos="1989"/>
        </w:tabs>
        <w:ind w:firstLine="0"/>
        <w:jc w:val="left"/>
        <w:rPr>
          <w:rFonts w:cs="Times New Roman"/>
        </w:rPr>
      </w:pPr>
    </w:p>
    <w:p w14:paraId="1D0EE04D" w14:textId="77777777" w:rsidR="001E7227" w:rsidRPr="003927D1" w:rsidRDefault="001E7227" w:rsidP="001E7227">
      <w:pPr>
        <w:ind w:firstLine="0"/>
        <w:jc w:val="left"/>
        <w:rPr>
          <w:rFonts w:cs="Times New Roman"/>
        </w:rPr>
      </w:pPr>
    </w:p>
    <w:p w14:paraId="5EBFB5A6" w14:textId="77777777" w:rsidR="001E7227" w:rsidRPr="003927D1" w:rsidRDefault="001E7227" w:rsidP="001E7227">
      <w:pPr>
        <w:jc w:val="left"/>
        <w:rPr>
          <w:rFonts w:cs="Times New Roman"/>
          <w:sz w:val="20"/>
        </w:rPr>
      </w:pPr>
    </w:p>
    <w:p w14:paraId="7BA88CAC" w14:textId="77777777" w:rsidR="00B36423" w:rsidRDefault="001E7227" w:rsidP="00B36423">
      <w:pPr>
        <w:pBdr>
          <w:top w:val="single" w:sz="4" w:space="4" w:color="auto"/>
        </w:pBdr>
        <w:ind w:firstLine="0"/>
        <w:jc w:val="left"/>
        <w:rPr>
          <w:rFonts w:cs="Times New Roman"/>
        </w:rPr>
      </w:pPr>
      <w:r>
        <w:rPr>
          <w:rFonts w:cs="Times New Roman"/>
        </w:rPr>
        <w:t>201</w:t>
      </w:r>
      <w:r w:rsidR="00C1297C">
        <w:rPr>
          <w:rFonts w:cs="Times New Roman"/>
        </w:rPr>
        <w:t>5</w:t>
      </w:r>
      <w:r w:rsidR="004803EA">
        <w:rPr>
          <w:rFonts w:cs="Times New Roman"/>
        </w:rPr>
        <w:t>.</w:t>
      </w:r>
      <w:r w:rsidRPr="003927D1">
        <w:rPr>
          <w:rFonts w:cs="Times New Roman"/>
        </w:rPr>
        <w:t>gada maijs</w:t>
      </w:r>
      <w:r w:rsidR="00B36423">
        <w:rPr>
          <w:rFonts w:cs="Times New Roman"/>
        </w:rPr>
        <w:br w:type="page"/>
      </w:r>
    </w:p>
    <w:p w14:paraId="0C29ADDB" w14:textId="77777777" w:rsidR="00B36423" w:rsidRDefault="00B36423" w:rsidP="00A8463B">
      <w:pPr>
        <w:tabs>
          <w:tab w:val="left" w:pos="1629"/>
        </w:tabs>
        <w:ind w:firstLine="0"/>
        <w:rPr>
          <w:rFonts w:cs="Times New Roman"/>
        </w:rPr>
      </w:pPr>
    </w:p>
    <w:sdt>
      <w:sdtPr>
        <w:rPr>
          <w:rFonts w:ascii="Times New Roman" w:eastAsiaTheme="minorHAnsi" w:hAnsi="Times New Roman" w:cstheme="minorBidi"/>
          <w:b w:val="0"/>
          <w:bCs w:val="0"/>
          <w:color w:val="auto"/>
          <w:sz w:val="22"/>
          <w:lang w:val="lv-LV" w:eastAsia="en-US"/>
        </w:rPr>
        <w:id w:val="-582242"/>
        <w:docPartObj>
          <w:docPartGallery w:val="Table of Contents"/>
          <w:docPartUnique/>
        </w:docPartObj>
      </w:sdtPr>
      <w:sdtEndPr>
        <w:rPr>
          <w:rFonts w:cs="Times New Roman"/>
          <w:noProof/>
          <w:sz w:val="24"/>
          <w:szCs w:val="24"/>
        </w:rPr>
      </w:sdtEndPr>
      <w:sdtContent>
        <w:p w14:paraId="35FF5857" w14:textId="77777777" w:rsidR="00B36423" w:rsidRPr="00710834" w:rsidRDefault="001A3F77" w:rsidP="00710834">
          <w:pPr>
            <w:pStyle w:val="TOCHeading"/>
            <w:pBdr>
              <w:bottom w:val="single" w:sz="4" w:space="1" w:color="auto"/>
            </w:pBdr>
            <w:spacing w:before="0" w:after="240" w:line="240" w:lineRule="auto"/>
            <w:jc w:val="center"/>
            <w:rPr>
              <w:rFonts w:ascii="Times New Roman" w:hAnsi="Times New Roman" w:cs="Times New Roman"/>
              <w:color w:val="000000" w:themeColor="text1"/>
              <w:sz w:val="32"/>
            </w:rPr>
          </w:pPr>
          <w:r w:rsidRPr="00710834">
            <w:rPr>
              <w:rFonts w:ascii="Times New Roman" w:hAnsi="Times New Roman" w:cs="Times New Roman"/>
              <w:color w:val="000000" w:themeColor="text1"/>
              <w:sz w:val="32"/>
            </w:rPr>
            <w:t>SATURS</w:t>
          </w:r>
        </w:p>
        <w:p w14:paraId="1FECDAC6" w14:textId="77777777" w:rsidR="001A3F77" w:rsidRPr="000E4583" w:rsidRDefault="001A3F77" w:rsidP="00433477">
          <w:pPr>
            <w:pStyle w:val="TOC1"/>
            <w:rPr>
              <w:rFonts w:ascii="Times New Roman" w:hAnsi="Times New Roman" w:cs="Times New Roman"/>
              <w:sz w:val="24"/>
              <w:szCs w:val="24"/>
            </w:rPr>
          </w:pPr>
        </w:p>
        <w:p w14:paraId="5C919740" w14:textId="77777777" w:rsidR="000E4583" w:rsidRPr="00A23E4C" w:rsidRDefault="001A3F77">
          <w:pPr>
            <w:pStyle w:val="TOC1"/>
            <w:rPr>
              <w:rFonts w:ascii="Times New Roman" w:eastAsiaTheme="minorEastAsia" w:hAnsi="Times New Roman" w:cs="Times New Roman"/>
              <w:b w:val="0"/>
              <w:bCs w:val="0"/>
              <w:caps w:val="0"/>
              <w:noProof/>
              <w:sz w:val="24"/>
              <w:szCs w:val="24"/>
              <w:lang w:eastAsia="lv-LV"/>
            </w:rPr>
          </w:pPr>
          <w:r w:rsidRPr="00A23E4C">
            <w:rPr>
              <w:rFonts w:ascii="Times New Roman" w:hAnsi="Times New Roman" w:cs="Times New Roman"/>
              <w:caps w:val="0"/>
              <w:sz w:val="24"/>
              <w:szCs w:val="24"/>
            </w:rPr>
            <w:fldChar w:fldCharType="begin"/>
          </w:r>
          <w:r w:rsidRPr="00A23E4C">
            <w:rPr>
              <w:rFonts w:ascii="Times New Roman" w:hAnsi="Times New Roman" w:cs="Times New Roman"/>
              <w:caps w:val="0"/>
              <w:sz w:val="24"/>
              <w:szCs w:val="24"/>
            </w:rPr>
            <w:instrText xml:space="preserve"> TOC \o "1-3" \h \z \u </w:instrText>
          </w:r>
          <w:r w:rsidRPr="00A23E4C">
            <w:rPr>
              <w:rFonts w:ascii="Times New Roman" w:hAnsi="Times New Roman" w:cs="Times New Roman"/>
              <w:caps w:val="0"/>
              <w:sz w:val="24"/>
              <w:szCs w:val="24"/>
            </w:rPr>
            <w:fldChar w:fldCharType="separate"/>
          </w:r>
          <w:hyperlink w:anchor="_Toc419737722" w:history="1">
            <w:r w:rsidR="00A23E4C" w:rsidRPr="00A23E4C">
              <w:rPr>
                <w:rStyle w:val="Hyperlink"/>
                <w:rFonts w:ascii="Times New Roman" w:hAnsi="Times New Roman" w:cs="Times New Roman"/>
                <w:caps w:val="0"/>
                <w:noProof/>
                <w:sz w:val="24"/>
                <w:szCs w:val="24"/>
              </w:rPr>
              <w:t>Kopsavilkums</w:t>
            </w:r>
            <w:r w:rsidR="00A23E4C" w:rsidRPr="00A23E4C">
              <w:rPr>
                <w:rFonts w:ascii="Times New Roman" w:hAnsi="Times New Roman" w:cs="Times New Roman"/>
                <w:caps w:val="0"/>
                <w:noProof/>
                <w:webHidden/>
                <w:sz w:val="24"/>
                <w:szCs w:val="24"/>
              </w:rPr>
              <w:tab/>
            </w:r>
            <w:r w:rsidR="000E4583" w:rsidRPr="00A23E4C">
              <w:rPr>
                <w:rFonts w:ascii="Times New Roman" w:hAnsi="Times New Roman" w:cs="Times New Roman"/>
                <w:caps w:val="0"/>
                <w:noProof/>
                <w:webHidden/>
                <w:sz w:val="24"/>
                <w:szCs w:val="24"/>
              </w:rPr>
              <w:fldChar w:fldCharType="begin"/>
            </w:r>
            <w:r w:rsidR="000E4583" w:rsidRPr="00A23E4C">
              <w:rPr>
                <w:rFonts w:ascii="Times New Roman" w:hAnsi="Times New Roman" w:cs="Times New Roman"/>
                <w:caps w:val="0"/>
                <w:noProof/>
                <w:webHidden/>
                <w:sz w:val="24"/>
                <w:szCs w:val="24"/>
              </w:rPr>
              <w:instrText xml:space="preserve"> PAGEREF _Toc419737722 \h </w:instrText>
            </w:r>
            <w:r w:rsidR="000E4583" w:rsidRPr="00A23E4C">
              <w:rPr>
                <w:rFonts w:ascii="Times New Roman" w:hAnsi="Times New Roman" w:cs="Times New Roman"/>
                <w:caps w:val="0"/>
                <w:noProof/>
                <w:webHidden/>
                <w:sz w:val="24"/>
                <w:szCs w:val="24"/>
              </w:rPr>
            </w:r>
            <w:r w:rsidR="000E4583" w:rsidRPr="00A23E4C">
              <w:rPr>
                <w:rFonts w:ascii="Times New Roman" w:hAnsi="Times New Roman" w:cs="Times New Roman"/>
                <w:caps w:val="0"/>
                <w:noProof/>
                <w:webHidden/>
                <w:sz w:val="24"/>
                <w:szCs w:val="24"/>
              </w:rPr>
              <w:fldChar w:fldCharType="separate"/>
            </w:r>
            <w:r w:rsidR="000665FE">
              <w:rPr>
                <w:rFonts w:ascii="Times New Roman" w:hAnsi="Times New Roman" w:cs="Times New Roman"/>
                <w:caps w:val="0"/>
                <w:noProof/>
                <w:webHidden/>
                <w:sz w:val="24"/>
                <w:szCs w:val="24"/>
              </w:rPr>
              <w:t>3</w:t>
            </w:r>
            <w:r w:rsidR="000E4583" w:rsidRPr="00A23E4C">
              <w:rPr>
                <w:rFonts w:ascii="Times New Roman" w:hAnsi="Times New Roman" w:cs="Times New Roman"/>
                <w:caps w:val="0"/>
                <w:noProof/>
                <w:webHidden/>
                <w:sz w:val="24"/>
                <w:szCs w:val="24"/>
              </w:rPr>
              <w:fldChar w:fldCharType="end"/>
            </w:r>
          </w:hyperlink>
        </w:p>
        <w:p w14:paraId="58644A5D" w14:textId="0D160247" w:rsidR="000E4583" w:rsidRPr="00A23E4C" w:rsidRDefault="009F4B95">
          <w:pPr>
            <w:pStyle w:val="TOC1"/>
            <w:rPr>
              <w:rFonts w:ascii="Times New Roman" w:eastAsiaTheme="minorEastAsia" w:hAnsi="Times New Roman" w:cs="Times New Roman"/>
              <w:b w:val="0"/>
              <w:bCs w:val="0"/>
              <w:caps w:val="0"/>
              <w:noProof/>
              <w:sz w:val="24"/>
              <w:szCs w:val="24"/>
              <w:lang w:eastAsia="lv-LV"/>
            </w:rPr>
          </w:pPr>
          <w:hyperlink w:anchor="_Toc419737723" w:history="1">
            <w:r w:rsidR="00A23E4C" w:rsidRPr="00A23E4C">
              <w:rPr>
                <w:rStyle w:val="Hyperlink"/>
                <w:rFonts w:ascii="Times New Roman" w:hAnsi="Times New Roman" w:cs="Times New Roman"/>
                <w:caps w:val="0"/>
                <w:noProof/>
                <w:sz w:val="24"/>
                <w:szCs w:val="24"/>
              </w:rPr>
              <w:t>1. Tautsaimniecības attīstība</w:t>
            </w:r>
            <w:r w:rsidR="00A23E4C" w:rsidRPr="00A23E4C">
              <w:rPr>
                <w:rFonts w:ascii="Times New Roman" w:hAnsi="Times New Roman" w:cs="Times New Roman"/>
                <w:caps w:val="0"/>
                <w:noProof/>
                <w:webHidden/>
                <w:sz w:val="24"/>
                <w:szCs w:val="24"/>
              </w:rPr>
              <w:tab/>
            </w:r>
            <w:r w:rsidR="000E4583" w:rsidRPr="00A23E4C">
              <w:rPr>
                <w:rFonts w:ascii="Times New Roman" w:hAnsi="Times New Roman" w:cs="Times New Roman"/>
                <w:caps w:val="0"/>
                <w:noProof/>
                <w:webHidden/>
                <w:sz w:val="24"/>
                <w:szCs w:val="24"/>
              </w:rPr>
              <w:fldChar w:fldCharType="begin"/>
            </w:r>
            <w:r w:rsidR="000E4583" w:rsidRPr="00A23E4C">
              <w:rPr>
                <w:rFonts w:ascii="Times New Roman" w:hAnsi="Times New Roman" w:cs="Times New Roman"/>
                <w:caps w:val="0"/>
                <w:noProof/>
                <w:webHidden/>
                <w:sz w:val="24"/>
                <w:szCs w:val="24"/>
              </w:rPr>
              <w:instrText xml:space="preserve"> PAGEREF _Toc419737723 \h </w:instrText>
            </w:r>
            <w:r w:rsidR="000E4583" w:rsidRPr="00A23E4C">
              <w:rPr>
                <w:rFonts w:ascii="Times New Roman" w:hAnsi="Times New Roman" w:cs="Times New Roman"/>
                <w:caps w:val="0"/>
                <w:noProof/>
                <w:webHidden/>
                <w:sz w:val="24"/>
                <w:szCs w:val="24"/>
              </w:rPr>
            </w:r>
            <w:r w:rsidR="000E4583" w:rsidRPr="00A23E4C">
              <w:rPr>
                <w:rFonts w:ascii="Times New Roman" w:hAnsi="Times New Roman" w:cs="Times New Roman"/>
                <w:caps w:val="0"/>
                <w:noProof/>
                <w:webHidden/>
                <w:sz w:val="24"/>
                <w:szCs w:val="24"/>
              </w:rPr>
              <w:fldChar w:fldCharType="separate"/>
            </w:r>
            <w:r w:rsidR="000665FE">
              <w:rPr>
                <w:rFonts w:ascii="Times New Roman" w:hAnsi="Times New Roman" w:cs="Times New Roman"/>
                <w:caps w:val="0"/>
                <w:noProof/>
                <w:webHidden/>
                <w:sz w:val="24"/>
                <w:szCs w:val="24"/>
              </w:rPr>
              <w:t>4</w:t>
            </w:r>
            <w:r w:rsidR="000E4583" w:rsidRPr="00A23E4C">
              <w:rPr>
                <w:rFonts w:ascii="Times New Roman" w:hAnsi="Times New Roman" w:cs="Times New Roman"/>
                <w:caps w:val="0"/>
                <w:noProof/>
                <w:webHidden/>
                <w:sz w:val="24"/>
                <w:szCs w:val="24"/>
              </w:rPr>
              <w:fldChar w:fldCharType="end"/>
            </w:r>
          </w:hyperlink>
        </w:p>
        <w:p w14:paraId="1A85C301" w14:textId="20621637" w:rsidR="000E4583" w:rsidRPr="00A23E4C" w:rsidRDefault="009F4B95" w:rsidP="00871756">
          <w:pPr>
            <w:pStyle w:val="TOC2"/>
            <w:rPr>
              <w:rFonts w:eastAsiaTheme="minorEastAsia"/>
              <w:noProof/>
              <w:lang w:eastAsia="lv-LV"/>
            </w:rPr>
          </w:pPr>
          <w:hyperlink w:anchor="_Toc419737724" w:history="1">
            <w:r w:rsidR="00A23E4C" w:rsidRPr="00A23E4C">
              <w:rPr>
                <w:rStyle w:val="Hyperlink"/>
                <w:rFonts w:ascii="Times New Roman" w:hAnsi="Times New Roman" w:cs="Times New Roman"/>
                <w:smallCaps w:val="0"/>
                <w:noProof/>
                <w:sz w:val="24"/>
                <w:szCs w:val="24"/>
              </w:rPr>
              <w:t>1.1. Ārējā ekonomiskā vide</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_Toc419737724 \h </w:instrText>
            </w:r>
            <w:r w:rsidR="000E4583" w:rsidRPr="00A23E4C">
              <w:rPr>
                <w:noProof/>
                <w:webHidden/>
              </w:rPr>
            </w:r>
            <w:r w:rsidR="000E4583" w:rsidRPr="00A23E4C">
              <w:rPr>
                <w:noProof/>
                <w:webHidden/>
              </w:rPr>
              <w:fldChar w:fldCharType="separate"/>
            </w:r>
            <w:r w:rsidR="000665FE">
              <w:rPr>
                <w:noProof/>
                <w:webHidden/>
              </w:rPr>
              <w:t>4</w:t>
            </w:r>
            <w:r w:rsidR="000E4583" w:rsidRPr="00A23E4C">
              <w:rPr>
                <w:noProof/>
                <w:webHidden/>
              </w:rPr>
              <w:fldChar w:fldCharType="end"/>
            </w:r>
          </w:hyperlink>
        </w:p>
        <w:p w14:paraId="1896C273" w14:textId="6DFB0D33" w:rsidR="000E4583" w:rsidRPr="00A23E4C" w:rsidRDefault="009F4B95" w:rsidP="00871756">
          <w:pPr>
            <w:pStyle w:val="TOC2"/>
            <w:rPr>
              <w:rFonts w:eastAsiaTheme="minorEastAsia"/>
              <w:noProof/>
              <w:lang w:eastAsia="lv-LV"/>
            </w:rPr>
          </w:pPr>
          <w:hyperlink w:anchor="_Toc419737725" w:history="1">
            <w:r w:rsidR="00A23E4C" w:rsidRPr="00A23E4C">
              <w:rPr>
                <w:rStyle w:val="Hyperlink"/>
                <w:rFonts w:ascii="Times New Roman" w:hAnsi="Times New Roman" w:cs="Times New Roman"/>
                <w:smallCaps w:val="0"/>
                <w:noProof/>
                <w:sz w:val="24"/>
                <w:szCs w:val="24"/>
              </w:rPr>
              <w:t>1.2. Iekšzemes kopprodukts, ekonomiskā aktivitāte</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_Toc419737725 \h </w:instrText>
            </w:r>
            <w:r w:rsidR="000E4583" w:rsidRPr="00A23E4C">
              <w:rPr>
                <w:noProof/>
                <w:webHidden/>
              </w:rPr>
            </w:r>
            <w:r w:rsidR="000E4583" w:rsidRPr="00A23E4C">
              <w:rPr>
                <w:noProof/>
                <w:webHidden/>
              </w:rPr>
              <w:fldChar w:fldCharType="separate"/>
            </w:r>
            <w:r w:rsidR="000665FE">
              <w:rPr>
                <w:noProof/>
                <w:webHidden/>
              </w:rPr>
              <w:t>6</w:t>
            </w:r>
            <w:r w:rsidR="000E4583" w:rsidRPr="00A23E4C">
              <w:rPr>
                <w:noProof/>
                <w:webHidden/>
              </w:rPr>
              <w:fldChar w:fldCharType="end"/>
            </w:r>
          </w:hyperlink>
        </w:p>
        <w:p w14:paraId="6AAE7B62" w14:textId="533659D5" w:rsidR="000E4583" w:rsidRPr="00A23E4C" w:rsidRDefault="009F4B95" w:rsidP="00871756">
          <w:pPr>
            <w:pStyle w:val="TOC2"/>
            <w:rPr>
              <w:rFonts w:eastAsiaTheme="minorEastAsia"/>
              <w:noProof/>
              <w:lang w:eastAsia="lv-LV"/>
            </w:rPr>
          </w:pPr>
          <w:hyperlink w:anchor="_Toc419737726" w:history="1">
            <w:r w:rsidR="00A23E4C" w:rsidRPr="00A23E4C">
              <w:rPr>
                <w:rStyle w:val="Hyperlink"/>
                <w:rFonts w:ascii="Times New Roman" w:hAnsi="Times New Roman" w:cs="Times New Roman"/>
                <w:smallCaps w:val="0"/>
                <w:noProof/>
                <w:sz w:val="24"/>
                <w:szCs w:val="24"/>
              </w:rPr>
              <w:t>1.3. Tautsaimniecības nozaru attīstība</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_Toc419737726 \h </w:instrText>
            </w:r>
            <w:r w:rsidR="000E4583" w:rsidRPr="00A23E4C">
              <w:rPr>
                <w:noProof/>
                <w:webHidden/>
              </w:rPr>
            </w:r>
            <w:r w:rsidR="000E4583" w:rsidRPr="00A23E4C">
              <w:rPr>
                <w:noProof/>
                <w:webHidden/>
              </w:rPr>
              <w:fldChar w:fldCharType="separate"/>
            </w:r>
            <w:r w:rsidR="000665FE">
              <w:rPr>
                <w:noProof/>
                <w:webHidden/>
              </w:rPr>
              <w:t>7</w:t>
            </w:r>
            <w:r w:rsidR="000E4583" w:rsidRPr="00A23E4C">
              <w:rPr>
                <w:noProof/>
                <w:webHidden/>
              </w:rPr>
              <w:fldChar w:fldCharType="end"/>
            </w:r>
          </w:hyperlink>
        </w:p>
        <w:p w14:paraId="42C054FD" w14:textId="67212767" w:rsidR="000E4583" w:rsidRPr="00A23E4C" w:rsidRDefault="009F4B95" w:rsidP="00871756">
          <w:pPr>
            <w:pStyle w:val="TOC2"/>
            <w:rPr>
              <w:rFonts w:eastAsiaTheme="minorEastAsia"/>
              <w:noProof/>
              <w:lang w:eastAsia="lv-LV"/>
            </w:rPr>
          </w:pPr>
          <w:hyperlink w:anchor="_Toc419737727" w:history="1">
            <w:r w:rsidR="00A23E4C" w:rsidRPr="00A23E4C">
              <w:rPr>
                <w:rStyle w:val="Hyperlink"/>
                <w:rFonts w:ascii="Times New Roman" w:hAnsi="Times New Roman" w:cs="Times New Roman"/>
                <w:smallCaps w:val="0"/>
                <w:noProof/>
                <w:sz w:val="24"/>
                <w:szCs w:val="24"/>
              </w:rPr>
              <w:t>1.4. Inflācija</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_Toc419737727 \h </w:instrText>
            </w:r>
            <w:r w:rsidR="000E4583" w:rsidRPr="00A23E4C">
              <w:rPr>
                <w:noProof/>
                <w:webHidden/>
              </w:rPr>
            </w:r>
            <w:r w:rsidR="000E4583" w:rsidRPr="00A23E4C">
              <w:rPr>
                <w:noProof/>
                <w:webHidden/>
              </w:rPr>
              <w:fldChar w:fldCharType="separate"/>
            </w:r>
            <w:r w:rsidR="000665FE">
              <w:rPr>
                <w:noProof/>
                <w:webHidden/>
              </w:rPr>
              <w:t>13</w:t>
            </w:r>
            <w:r w:rsidR="000E4583" w:rsidRPr="00A23E4C">
              <w:rPr>
                <w:noProof/>
                <w:webHidden/>
              </w:rPr>
              <w:fldChar w:fldCharType="end"/>
            </w:r>
          </w:hyperlink>
        </w:p>
        <w:p w14:paraId="67894773" w14:textId="7DF19140" w:rsidR="000E4583" w:rsidRPr="00A23E4C" w:rsidRDefault="009F4B95" w:rsidP="00871756">
          <w:pPr>
            <w:pStyle w:val="TOC2"/>
            <w:rPr>
              <w:rFonts w:eastAsiaTheme="minorEastAsia"/>
              <w:noProof/>
              <w:lang w:eastAsia="lv-LV"/>
            </w:rPr>
          </w:pPr>
          <w:hyperlink w:anchor="_Toc419737728" w:history="1">
            <w:r w:rsidR="00A23E4C" w:rsidRPr="00A23E4C">
              <w:rPr>
                <w:rStyle w:val="Hyperlink"/>
                <w:rFonts w:ascii="Times New Roman" w:hAnsi="Times New Roman" w:cs="Times New Roman"/>
                <w:smallCaps w:val="0"/>
                <w:noProof/>
                <w:sz w:val="24"/>
                <w:szCs w:val="24"/>
              </w:rPr>
              <w:t>1.5. Nodarbinātība un bezdarbs</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_Toc419737728 \h </w:instrText>
            </w:r>
            <w:r w:rsidR="000E4583" w:rsidRPr="00A23E4C">
              <w:rPr>
                <w:noProof/>
                <w:webHidden/>
              </w:rPr>
            </w:r>
            <w:r w:rsidR="000E4583" w:rsidRPr="00A23E4C">
              <w:rPr>
                <w:noProof/>
                <w:webHidden/>
              </w:rPr>
              <w:fldChar w:fldCharType="separate"/>
            </w:r>
            <w:r w:rsidR="000665FE">
              <w:rPr>
                <w:noProof/>
                <w:webHidden/>
              </w:rPr>
              <w:t>15</w:t>
            </w:r>
            <w:r w:rsidR="000E4583" w:rsidRPr="00A23E4C">
              <w:rPr>
                <w:noProof/>
                <w:webHidden/>
              </w:rPr>
              <w:fldChar w:fldCharType="end"/>
            </w:r>
          </w:hyperlink>
        </w:p>
        <w:p w14:paraId="1886E2F1" w14:textId="375E479A" w:rsidR="000E4583" w:rsidRPr="00A23E4C" w:rsidRDefault="009F4B95" w:rsidP="00871756">
          <w:pPr>
            <w:pStyle w:val="TOC2"/>
            <w:rPr>
              <w:rFonts w:eastAsiaTheme="minorEastAsia"/>
              <w:noProof/>
              <w:lang w:eastAsia="lv-LV"/>
            </w:rPr>
          </w:pPr>
          <w:hyperlink w:anchor="_Toc419737729" w:history="1">
            <w:r w:rsidR="00A23E4C" w:rsidRPr="00A23E4C">
              <w:rPr>
                <w:rStyle w:val="Hyperlink"/>
                <w:rFonts w:ascii="Times New Roman" w:hAnsi="Times New Roman" w:cs="Times New Roman"/>
                <w:smallCaps w:val="0"/>
                <w:noProof/>
                <w:sz w:val="24"/>
                <w:szCs w:val="24"/>
              </w:rPr>
              <w:t>1.6. Iedzīvotāju ienākumi</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_Toc419737729 \h </w:instrText>
            </w:r>
            <w:r w:rsidR="000E4583" w:rsidRPr="00A23E4C">
              <w:rPr>
                <w:noProof/>
                <w:webHidden/>
              </w:rPr>
            </w:r>
            <w:r w:rsidR="000E4583" w:rsidRPr="00A23E4C">
              <w:rPr>
                <w:noProof/>
                <w:webHidden/>
              </w:rPr>
              <w:fldChar w:fldCharType="separate"/>
            </w:r>
            <w:r w:rsidR="000665FE">
              <w:rPr>
                <w:noProof/>
                <w:webHidden/>
              </w:rPr>
              <w:t>16</w:t>
            </w:r>
            <w:r w:rsidR="000E4583" w:rsidRPr="00A23E4C">
              <w:rPr>
                <w:noProof/>
                <w:webHidden/>
              </w:rPr>
              <w:fldChar w:fldCharType="end"/>
            </w:r>
          </w:hyperlink>
        </w:p>
        <w:p w14:paraId="09BCFB11" w14:textId="36EDA275" w:rsidR="000E4583" w:rsidRPr="00A23E4C" w:rsidRDefault="009F4B95" w:rsidP="00871756">
          <w:pPr>
            <w:pStyle w:val="TOC2"/>
            <w:rPr>
              <w:rFonts w:eastAsiaTheme="minorEastAsia"/>
              <w:noProof/>
              <w:lang w:eastAsia="lv-LV"/>
            </w:rPr>
          </w:pPr>
          <w:hyperlink w:anchor="_Toc419737730" w:history="1">
            <w:r w:rsidR="00A23E4C" w:rsidRPr="00A23E4C">
              <w:rPr>
                <w:rStyle w:val="Hyperlink"/>
                <w:rFonts w:ascii="Times New Roman" w:hAnsi="Times New Roman" w:cs="Times New Roman"/>
                <w:smallCaps w:val="0"/>
                <w:noProof/>
                <w:sz w:val="24"/>
                <w:szCs w:val="24"/>
              </w:rPr>
              <w:t>1.7. Ārējā tirdzniecība</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_Toc419737730 \h </w:instrText>
            </w:r>
            <w:r w:rsidR="000E4583" w:rsidRPr="00A23E4C">
              <w:rPr>
                <w:noProof/>
                <w:webHidden/>
              </w:rPr>
            </w:r>
            <w:r w:rsidR="000E4583" w:rsidRPr="00A23E4C">
              <w:rPr>
                <w:noProof/>
                <w:webHidden/>
              </w:rPr>
              <w:fldChar w:fldCharType="separate"/>
            </w:r>
            <w:r w:rsidR="000665FE">
              <w:rPr>
                <w:noProof/>
                <w:webHidden/>
              </w:rPr>
              <w:t>19</w:t>
            </w:r>
            <w:r w:rsidR="000E4583" w:rsidRPr="00A23E4C">
              <w:rPr>
                <w:noProof/>
                <w:webHidden/>
              </w:rPr>
              <w:fldChar w:fldCharType="end"/>
            </w:r>
          </w:hyperlink>
        </w:p>
        <w:p w14:paraId="31F8618A" w14:textId="557E2F3B" w:rsidR="000E4583" w:rsidRPr="00A23E4C" w:rsidRDefault="009F4B95" w:rsidP="00871756">
          <w:pPr>
            <w:pStyle w:val="TOC2"/>
            <w:rPr>
              <w:rFonts w:eastAsiaTheme="minorEastAsia"/>
              <w:noProof/>
              <w:lang w:eastAsia="lv-LV"/>
            </w:rPr>
          </w:pPr>
          <w:hyperlink w:anchor="_Toc419737731" w:history="1">
            <w:r w:rsidR="00A23E4C" w:rsidRPr="00A23E4C">
              <w:rPr>
                <w:rStyle w:val="Hyperlink"/>
                <w:rFonts w:ascii="Times New Roman" w:hAnsi="Times New Roman" w:cs="Times New Roman"/>
                <w:smallCaps w:val="0"/>
                <w:noProof/>
                <w:sz w:val="24"/>
                <w:szCs w:val="24"/>
              </w:rPr>
              <w:t>1.8. Valsts parāds</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_Toc419737731 \h </w:instrText>
            </w:r>
            <w:r w:rsidR="000E4583" w:rsidRPr="00A23E4C">
              <w:rPr>
                <w:noProof/>
                <w:webHidden/>
              </w:rPr>
            </w:r>
            <w:r w:rsidR="000E4583" w:rsidRPr="00A23E4C">
              <w:rPr>
                <w:noProof/>
                <w:webHidden/>
              </w:rPr>
              <w:fldChar w:fldCharType="separate"/>
            </w:r>
            <w:r w:rsidR="000665FE">
              <w:rPr>
                <w:noProof/>
                <w:webHidden/>
              </w:rPr>
              <w:t>21</w:t>
            </w:r>
            <w:r w:rsidR="000E4583" w:rsidRPr="00A23E4C">
              <w:rPr>
                <w:noProof/>
                <w:webHidden/>
              </w:rPr>
              <w:fldChar w:fldCharType="end"/>
            </w:r>
          </w:hyperlink>
        </w:p>
        <w:p w14:paraId="20C2C4F9" w14:textId="64E6C445" w:rsidR="000E4583" w:rsidRPr="00A23E4C" w:rsidRDefault="009F4B95">
          <w:pPr>
            <w:pStyle w:val="TOC1"/>
            <w:rPr>
              <w:rFonts w:ascii="Times New Roman" w:eastAsiaTheme="minorEastAsia" w:hAnsi="Times New Roman" w:cs="Times New Roman"/>
              <w:b w:val="0"/>
              <w:bCs w:val="0"/>
              <w:caps w:val="0"/>
              <w:noProof/>
              <w:sz w:val="24"/>
              <w:szCs w:val="24"/>
              <w:lang w:eastAsia="lv-LV"/>
            </w:rPr>
          </w:pPr>
          <w:hyperlink w:anchor="_Toc419737732" w:history="1">
            <w:r w:rsidR="00A23E4C" w:rsidRPr="00A23E4C">
              <w:rPr>
                <w:rStyle w:val="Hyperlink"/>
                <w:rFonts w:ascii="Times New Roman" w:hAnsi="Times New Roman" w:cs="Times New Roman"/>
                <w:caps w:val="0"/>
                <w:noProof/>
                <w:sz w:val="24"/>
                <w:szCs w:val="24"/>
              </w:rPr>
              <w:t>2. Kopbudžeta izpilde</w:t>
            </w:r>
            <w:r w:rsidR="00A23E4C" w:rsidRPr="00A23E4C">
              <w:rPr>
                <w:rFonts w:ascii="Times New Roman" w:hAnsi="Times New Roman" w:cs="Times New Roman"/>
                <w:caps w:val="0"/>
                <w:noProof/>
                <w:webHidden/>
                <w:sz w:val="24"/>
                <w:szCs w:val="24"/>
              </w:rPr>
              <w:tab/>
            </w:r>
            <w:r w:rsidR="000E4583" w:rsidRPr="00A23E4C">
              <w:rPr>
                <w:rFonts w:ascii="Times New Roman" w:hAnsi="Times New Roman" w:cs="Times New Roman"/>
                <w:caps w:val="0"/>
                <w:noProof/>
                <w:webHidden/>
                <w:sz w:val="24"/>
                <w:szCs w:val="24"/>
              </w:rPr>
              <w:fldChar w:fldCharType="begin"/>
            </w:r>
            <w:r w:rsidR="000E4583" w:rsidRPr="00A23E4C">
              <w:rPr>
                <w:rFonts w:ascii="Times New Roman" w:hAnsi="Times New Roman" w:cs="Times New Roman"/>
                <w:caps w:val="0"/>
                <w:noProof/>
                <w:webHidden/>
                <w:sz w:val="24"/>
                <w:szCs w:val="24"/>
              </w:rPr>
              <w:instrText xml:space="preserve"> PAGEREF _Toc419737732 \h </w:instrText>
            </w:r>
            <w:r w:rsidR="000E4583" w:rsidRPr="00A23E4C">
              <w:rPr>
                <w:rFonts w:ascii="Times New Roman" w:hAnsi="Times New Roman" w:cs="Times New Roman"/>
                <w:caps w:val="0"/>
                <w:noProof/>
                <w:webHidden/>
                <w:sz w:val="24"/>
                <w:szCs w:val="24"/>
              </w:rPr>
            </w:r>
            <w:r w:rsidR="000E4583" w:rsidRPr="00A23E4C">
              <w:rPr>
                <w:rFonts w:ascii="Times New Roman" w:hAnsi="Times New Roman" w:cs="Times New Roman"/>
                <w:caps w:val="0"/>
                <w:noProof/>
                <w:webHidden/>
                <w:sz w:val="24"/>
                <w:szCs w:val="24"/>
              </w:rPr>
              <w:fldChar w:fldCharType="separate"/>
            </w:r>
            <w:r w:rsidR="000665FE">
              <w:rPr>
                <w:rFonts w:ascii="Times New Roman" w:hAnsi="Times New Roman" w:cs="Times New Roman"/>
                <w:caps w:val="0"/>
                <w:noProof/>
                <w:webHidden/>
                <w:sz w:val="24"/>
                <w:szCs w:val="24"/>
              </w:rPr>
              <w:t>25</w:t>
            </w:r>
            <w:r w:rsidR="000E4583" w:rsidRPr="00A23E4C">
              <w:rPr>
                <w:rFonts w:ascii="Times New Roman" w:hAnsi="Times New Roman" w:cs="Times New Roman"/>
                <w:caps w:val="0"/>
                <w:noProof/>
                <w:webHidden/>
                <w:sz w:val="24"/>
                <w:szCs w:val="24"/>
              </w:rPr>
              <w:fldChar w:fldCharType="end"/>
            </w:r>
          </w:hyperlink>
        </w:p>
        <w:p w14:paraId="6B0B5620" w14:textId="0404831B" w:rsidR="000E4583" w:rsidRPr="00A23E4C" w:rsidRDefault="009F4B95" w:rsidP="00871756">
          <w:pPr>
            <w:pStyle w:val="TOC2"/>
            <w:rPr>
              <w:rFonts w:eastAsiaTheme="minorEastAsia"/>
              <w:noProof/>
              <w:lang w:eastAsia="lv-LV"/>
            </w:rPr>
          </w:pPr>
          <w:hyperlink w:anchor="_Toc419737733" w:history="1">
            <w:r w:rsidR="00A23E4C" w:rsidRPr="00A23E4C">
              <w:rPr>
                <w:rStyle w:val="Hyperlink"/>
                <w:rFonts w:ascii="Times New Roman" w:hAnsi="Times New Roman" w:cs="Times New Roman"/>
                <w:smallCaps w:val="0"/>
                <w:noProof/>
                <w:sz w:val="24"/>
                <w:szCs w:val="24"/>
              </w:rPr>
              <w:t>2.1. Vispārējs fiskālās situācijas raksturojums</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_Toc419737733 \h </w:instrText>
            </w:r>
            <w:r w:rsidR="000E4583" w:rsidRPr="00A23E4C">
              <w:rPr>
                <w:noProof/>
                <w:webHidden/>
              </w:rPr>
            </w:r>
            <w:r w:rsidR="000E4583" w:rsidRPr="00A23E4C">
              <w:rPr>
                <w:noProof/>
                <w:webHidden/>
              </w:rPr>
              <w:fldChar w:fldCharType="separate"/>
            </w:r>
            <w:r w:rsidR="000665FE">
              <w:rPr>
                <w:noProof/>
                <w:webHidden/>
              </w:rPr>
              <w:t>25</w:t>
            </w:r>
            <w:r w:rsidR="000E4583" w:rsidRPr="00A23E4C">
              <w:rPr>
                <w:noProof/>
                <w:webHidden/>
              </w:rPr>
              <w:fldChar w:fldCharType="end"/>
            </w:r>
          </w:hyperlink>
        </w:p>
        <w:p w14:paraId="2CF40961" w14:textId="3C2655D6" w:rsidR="000E4583" w:rsidRPr="00A23E4C" w:rsidRDefault="009F4B95" w:rsidP="00871756">
          <w:pPr>
            <w:pStyle w:val="TOC2"/>
            <w:rPr>
              <w:rFonts w:eastAsiaTheme="minorEastAsia"/>
              <w:noProof/>
              <w:lang w:eastAsia="lv-LV"/>
            </w:rPr>
          </w:pPr>
          <w:hyperlink w:anchor="_Toc419737734" w:history="1">
            <w:r w:rsidR="00A23E4C" w:rsidRPr="00A23E4C">
              <w:rPr>
                <w:rStyle w:val="Hyperlink"/>
                <w:rFonts w:ascii="Times New Roman" w:hAnsi="Times New Roman" w:cs="Times New Roman"/>
                <w:smallCaps w:val="0"/>
                <w:noProof/>
                <w:sz w:val="24"/>
                <w:szCs w:val="24"/>
              </w:rPr>
              <w:t>2.2. Nodokļu un nenodokļu ieņēmumi</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_Toc419737734 \h </w:instrText>
            </w:r>
            <w:r w:rsidR="000E4583" w:rsidRPr="00A23E4C">
              <w:rPr>
                <w:noProof/>
                <w:webHidden/>
              </w:rPr>
            </w:r>
            <w:r w:rsidR="000E4583" w:rsidRPr="00A23E4C">
              <w:rPr>
                <w:noProof/>
                <w:webHidden/>
              </w:rPr>
              <w:fldChar w:fldCharType="separate"/>
            </w:r>
            <w:r w:rsidR="000665FE">
              <w:rPr>
                <w:noProof/>
                <w:webHidden/>
              </w:rPr>
              <w:t>27</w:t>
            </w:r>
            <w:r w:rsidR="000E4583" w:rsidRPr="00A23E4C">
              <w:rPr>
                <w:noProof/>
                <w:webHidden/>
              </w:rPr>
              <w:fldChar w:fldCharType="end"/>
            </w:r>
          </w:hyperlink>
        </w:p>
        <w:p w14:paraId="29189C8A" w14:textId="25B7C0F8" w:rsidR="000E4583" w:rsidRPr="00A23E4C" w:rsidRDefault="009F4B95" w:rsidP="00871756">
          <w:pPr>
            <w:pStyle w:val="TOC2"/>
            <w:rPr>
              <w:rFonts w:eastAsiaTheme="minorEastAsia"/>
              <w:noProof/>
              <w:lang w:eastAsia="lv-LV"/>
            </w:rPr>
          </w:pPr>
          <w:hyperlink w:anchor="_Toc419737735" w:history="1">
            <w:r w:rsidR="00A23E4C" w:rsidRPr="00A23E4C">
              <w:rPr>
                <w:rStyle w:val="Hyperlink"/>
                <w:rFonts w:ascii="Times New Roman" w:hAnsi="Times New Roman" w:cs="Times New Roman"/>
                <w:smallCaps w:val="0"/>
                <w:noProof/>
                <w:sz w:val="24"/>
                <w:szCs w:val="24"/>
              </w:rPr>
              <w:t>2.2.1. Nodokļi ieņēmumu izpilde</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_Toc419737735 \h </w:instrText>
            </w:r>
            <w:r w:rsidR="000E4583" w:rsidRPr="00A23E4C">
              <w:rPr>
                <w:noProof/>
                <w:webHidden/>
              </w:rPr>
            </w:r>
            <w:r w:rsidR="000E4583" w:rsidRPr="00A23E4C">
              <w:rPr>
                <w:noProof/>
                <w:webHidden/>
              </w:rPr>
              <w:fldChar w:fldCharType="separate"/>
            </w:r>
            <w:r w:rsidR="000665FE">
              <w:rPr>
                <w:noProof/>
                <w:webHidden/>
              </w:rPr>
              <w:t>27</w:t>
            </w:r>
            <w:r w:rsidR="000E4583" w:rsidRPr="00A23E4C">
              <w:rPr>
                <w:noProof/>
                <w:webHidden/>
              </w:rPr>
              <w:fldChar w:fldCharType="end"/>
            </w:r>
          </w:hyperlink>
        </w:p>
        <w:p w14:paraId="303A2CDB" w14:textId="1572B5D9" w:rsidR="000E4583" w:rsidRPr="00A23E4C" w:rsidRDefault="009F4B95" w:rsidP="00871756">
          <w:pPr>
            <w:pStyle w:val="TOC2"/>
            <w:rPr>
              <w:rFonts w:eastAsiaTheme="minorEastAsia"/>
              <w:noProof/>
              <w:lang w:eastAsia="lv-LV"/>
            </w:rPr>
          </w:pPr>
          <w:hyperlink w:anchor="_Toc419737736" w:history="1">
            <w:r w:rsidR="00A23E4C" w:rsidRPr="00A23E4C">
              <w:rPr>
                <w:rStyle w:val="Hyperlink"/>
                <w:rFonts w:ascii="Times New Roman" w:hAnsi="Times New Roman" w:cs="Times New Roman"/>
                <w:smallCaps w:val="0"/>
                <w:noProof/>
                <w:sz w:val="24"/>
                <w:szCs w:val="24"/>
              </w:rPr>
              <w:t>2.2.2. Valsts pamatbudžeta nenodokļu ieņēmumu izpilde</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_Toc419737736 \h </w:instrText>
            </w:r>
            <w:r w:rsidR="000E4583" w:rsidRPr="00A23E4C">
              <w:rPr>
                <w:noProof/>
                <w:webHidden/>
              </w:rPr>
            </w:r>
            <w:r w:rsidR="000E4583" w:rsidRPr="00A23E4C">
              <w:rPr>
                <w:noProof/>
                <w:webHidden/>
              </w:rPr>
              <w:fldChar w:fldCharType="separate"/>
            </w:r>
            <w:r w:rsidR="000665FE">
              <w:rPr>
                <w:noProof/>
                <w:webHidden/>
              </w:rPr>
              <w:t>38</w:t>
            </w:r>
            <w:r w:rsidR="000E4583" w:rsidRPr="00A23E4C">
              <w:rPr>
                <w:noProof/>
                <w:webHidden/>
              </w:rPr>
              <w:fldChar w:fldCharType="end"/>
            </w:r>
          </w:hyperlink>
        </w:p>
        <w:p w14:paraId="42D7956A" w14:textId="6CB711CF" w:rsidR="000E4583" w:rsidRPr="00A23E4C" w:rsidRDefault="009F4B95" w:rsidP="00871756">
          <w:pPr>
            <w:pStyle w:val="TOC2"/>
            <w:rPr>
              <w:rFonts w:eastAsiaTheme="minorEastAsia"/>
              <w:noProof/>
              <w:lang w:eastAsia="lv-LV"/>
            </w:rPr>
          </w:pPr>
          <w:hyperlink w:anchor="_Toc419737737" w:history="1">
            <w:r w:rsidR="00A23E4C" w:rsidRPr="00A23E4C">
              <w:rPr>
                <w:rStyle w:val="Hyperlink"/>
                <w:rFonts w:ascii="Times New Roman" w:hAnsi="Times New Roman" w:cs="Times New Roman"/>
                <w:smallCaps w:val="0"/>
                <w:noProof/>
                <w:sz w:val="24"/>
                <w:szCs w:val="24"/>
              </w:rPr>
              <w:t>2.3. Valsts konsolidētā budžeta izpilde</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_Toc419737737 \h </w:instrText>
            </w:r>
            <w:r w:rsidR="000E4583" w:rsidRPr="00A23E4C">
              <w:rPr>
                <w:noProof/>
                <w:webHidden/>
              </w:rPr>
            </w:r>
            <w:r w:rsidR="000E4583" w:rsidRPr="00A23E4C">
              <w:rPr>
                <w:noProof/>
                <w:webHidden/>
              </w:rPr>
              <w:fldChar w:fldCharType="separate"/>
            </w:r>
            <w:r w:rsidR="000665FE">
              <w:rPr>
                <w:noProof/>
                <w:webHidden/>
              </w:rPr>
              <w:t>39</w:t>
            </w:r>
            <w:r w:rsidR="000E4583" w:rsidRPr="00A23E4C">
              <w:rPr>
                <w:noProof/>
                <w:webHidden/>
              </w:rPr>
              <w:fldChar w:fldCharType="end"/>
            </w:r>
          </w:hyperlink>
        </w:p>
        <w:p w14:paraId="638BE4C3" w14:textId="46331315" w:rsidR="000E4583" w:rsidRPr="00A23E4C" w:rsidRDefault="009F4B95" w:rsidP="00871756">
          <w:pPr>
            <w:pStyle w:val="TOC2"/>
            <w:rPr>
              <w:rFonts w:eastAsiaTheme="minorEastAsia"/>
              <w:noProof/>
              <w:lang w:eastAsia="lv-LV"/>
            </w:rPr>
          </w:pPr>
          <w:hyperlink w:anchor="_Toc419737738" w:history="1">
            <w:r w:rsidR="00A23E4C" w:rsidRPr="00A23E4C">
              <w:rPr>
                <w:rStyle w:val="Hyperlink"/>
                <w:rFonts w:ascii="Times New Roman" w:hAnsi="Times New Roman" w:cs="Times New Roman"/>
                <w:smallCaps w:val="0"/>
                <w:noProof/>
                <w:sz w:val="24"/>
                <w:szCs w:val="24"/>
              </w:rPr>
              <w:t>2.3.1. Valsts pamatbudžeta izpilde</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_Toc419737738 \h </w:instrText>
            </w:r>
            <w:r w:rsidR="000E4583" w:rsidRPr="00A23E4C">
              <w:rPr>
                <w:noProof/>
                <w:webHidden/>
              </w:rPr>
            </w:r>
            <w:r w:rsidR="000E4583" w:rsidRPr="00A23E4C">
              <w:rPr>
                <w:noProof/>
                <w:webHidden/>
              </w:rPr>
              <w:fldChar w:fldCharType="separate"/>
            </w:r>
            <w:r w:rsidR="000665FE">
              <w:rPr>
                <w:noProof/>
                <w:webHidden/>
              </w:rPr>
              <w:t>39</w:t>
            </w:r>
            <w:r w:rsidR="000E4583" w:rsidRPr="00A23E4C">
              <w:rPr>
                <w:noProof/>
                <w:webHidden/>
              </w:rPr>
              <w:fldChar w:fldCharType="end"/>
            </w:r>
          </w:hyperlink>
        </w:p>
        <w:p w14:paraId="08D40434" w14:textId="306FE139" w:rsidR="000E4583" w:rsidRPr="00A23E4C" w:rsidRDefault="009F4B95" w:rsidP="00871756">
          <w:pPr>
            <w:pStyle w:val="TOC2"/>
            <w:rPr>
              <w:rFonts w:eastAsiaTheme="minorEastAsia"/>
              <w:noProof/>
              <w:lang w:eastAsia="lv-LV"/>
            </w:rPr>
          </w:pPr>
          <w:hyperlink w:anchor="_Toc419737739" w:history="1">
            <w:r w:rsidR="00A23E4C" w:rsidRPr="00A23E4C">
              <w:rPr>
                <w:rStyle w:val="Hyperlink"/>
                <w:rFonts w:ascii="Times New Roman" w:hAnsi="Times New Roman" w:cs="Times New Roman"/>
                <w:smallCaps w:val="0"/>
                <w:noProof/>
                <w:sz w:val="24"/>
                <w:szCs w:val="24"/>
              </w:rPr>
              <w:t>2.3.2. Sociālās apdrošināšanas budžeta izpilde</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_Toc419737739 \h </w:instrText>
            </w:r>
            <w:r w:rsidR="000E4583" w:rsidRPr="00A23E4C">
              <w:rPr>
                <w:noProof/>
                <w:webHidden/>
              </w:rPr>
            </w:r>
            <w:r w:rsidR="000E4583" w:rsidRPr="00A23E4C">
              <w:rPr>
                <w:noProof/>
                <w:webHidden/>
              </w:rPr>
              <w:fldChar w:fldCharType="separate"/>
            </w:r>
            <w:r w:rsidR="000665FE">
              <w:rPr>
                <w:noProof/>
                <w:webHidden/>
              </w:rPr>
              <w:t>43</w:t>
            </w:r>
            <w:r w:rsidR="000E4583" w:rsidRPr="00A23E4C">
              <w:rPr>
                <w:noProof/>
                <w:webHidden/>
              </w:rPr>
              <w:fldChar w:fldCharType="end"/>
            </w:r>
          </w:hyperlink>
        </w:p>
        <w:p w14:paraId="48B1FFEE" w14:textId="4F202451" w:rsidR="000E4583" w:rsidRPr="00A23E4C" w:rsidRDefault="009F4B95" w:rsidP="00871756">
          <w:pPr>
            <w:pStyle w:val="TOC2"/>
            <w:rPr>
              <w:rFonts w:eastAsiaTheme="minorEastAsia"/>
              <w:noProof/>
              <w:lang w:eastAsia="lv-LV"/>
            </w:rPr>
          </w:pPr>
          <w:hyperlink w:anchor="_Toc419737740" w:history="1">
            <w:r w:rsidR="00A23E4C" w:rsidRPr="00A23E4C">
              <w:rPr>
                <w:rStyle w:val="Hyperlink"/>
                <w:rFonts w:ascii="Times New Roman" w:hAnsi="Times New Roman" w:cs="Times New Roman"/>
                <w:smallCaps w:val="0"/>
                <w:noProof/>
                <w:sz w:val="24"/>
                <w:szCs w:val="24"/>
              </w:rPr>
              <w:t>2.3.3</w:t>
            </w:r>
            <w:r w:rsidR="00A23E4C" w:rsidRPr="00A23E4C">
              <w:rPr>
                <w:rStyle w:val="Hyperlink"/>
                <w:rFonts w:ascii="Times New Roman" w:hAnsi="Times New Roman" w:cs="Times New Roman"/>
                <w:i/>
                <w:smallCaps w:val="0"/>
                <w:noProof/>
                <w:sz w:val="24"/>
                <w:szCs w:val="24"/>
              </w:rPr>
              <w:t>. </w:t>
            </w:r>
            <w:r w:rsidR="00A23E4C" w:rsidRPr="00A23E4C">
              <w:rPr>
                <w:rStyle w:val="Hyperlink"/>
                <w:rFonts w:ascii="Times New Roman" w:hAnsi="Times New Roman" w:cs="Times New Roman"/>
                <w:smallCaps w:val="0"/>
                <w:noProof/>
                <w:sz w:val="24"/>
                <w:szCs w:val="24"/>
              </w:rPr>
              <w:t xml:space="preserve">Valsts pamatbudžeta izpilde valsts pamatfunkciju un </w:t>
            </w:r>
            <w:r w:rsidR="00A23E4C" w:rsidRPr="00A23E4C">
              <w:rPr>
                <w:rStyle w:val="Hyperlink"/>
                <w:rFonts w:ascii="Times New Roman" w:hAnsi="Times New Roman" w:cs="Times New Roman"/>
                <w:smallCaps w:val="0"/>
                <w:noProof/>
                <w:sz w:val="24"/>
                <w:szCs w:val="24"/>
                <w:lang w:eastAsia="lv-LV"/>
              </w:rPr>
              <w:t>eiropas savienības politiku instrumentu un pārējās ārvalstu finanšu palīdzības līdzfinansēto un finansēto projektu un pasākumu īstenošanai</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_Toc419737740 \h </w:instrText>
            </w:r>
            <w:r w:rsidR="000E4583" w:rsidRPr="00A23E4C">
              <w:rPr>
                <w:noProof/>
                <w:webHidden/>
              </w:rPr>
            </w:r>
            <w:r w:rsidR="000E4583" w:rsidRPr="00A23E4C">
              <w:rPr>
                <w:noProof/>
                <w:webHidden/>
              </w:rPr>
              <w:fldChar w:fldCharType="separate"/>
            </w:r>
            <w:r w:rsidR="000665FE">
              <w:rPr>
                <w:noProof/>
                <w:webHidden/>
              </w:rPr>
              <w:t>45</w:t>
            </w:r>
            <w:r w:rsidR="000E4583" w:rsidRPr="00A23E4C">
              <w:rPr>
                <w:noProof/>
                <w:webHidden/>
              </w:rPr>
              <w:fldChar w:fldCharType="end"/>
            </w:r>
          </w:hyperlink>
        </w:p>
        <w:p w14:paraId="6FB41A69" w14:textId="1F1E24C0" w:rsidR="000E4583" w:rsidRPr="00A23E4C" w:rsidRDefault="009F4B95" w:rsidP="00871756">
          <w:pPr>
            <w:pStyle w:val="TOC2"/>
            <w:rPr>
              <w:rFonts w:eastAsiaTheme="minorEastAsia"/>
              <w:noProof/>
              <w:lang w:eastAsia="lv-LV"/>
            </w:rPr>
          </w:pPr>
          <w:hyperlink w:anchor="_Toc419737741" w:history="1">
            <w:r w:rsidR="00A23E4C" w:rsidRPr="00A23E4C">
              <w:rPr>
                <w:rStyle w:val="Hyperlink"/>
                <w:rFonts w:ascii="Times New Roman" w:hAnsi="Times New Roman" w:cs="Times New Roman"/>
                <w:smallCaps w:val="0"/>
                <w:noProof/>
                <w:sz w:val="24"/>
                <w:szCs w:val="24"/>
              </w:rPr>
              <w:t>2.4. Pašvaldību budžeta izpilde</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_Toc419737741 \h </w:instrText>
            </w:r>
            <w:r w:rsidR="000E4583" w:rsidRPr="00A23E4C">
              <w:rPr>
                <w:noProof/>
                <w:webHidden/>
              </w:rPr>
            </w:r>
            <w:r w:rsidR="000E4583" w:rsidRPr="00A23E4C">
              <w:rPr>
                <w:noProof/>
                <w:webHidden/>
              </w:rPr>
              <w:fldChar w:fldCharType="separate"/>
            </w:r>
            <w:r w:rsidR="000665FE">
              <w:rPr>
                <w:noProof/>
                <w:webHidden/>
              </w:rPr>
              <w:t>49</w:t>
            </w:r>
            <w:r w:rsidR="000E4583" w:rsidRPr="00A23E4C">
              <w:rPr>
                <w:noProof/>
                <w:webHidden/>
              </w:rPr>
              <w:fldChar w:fldCharType="end"/>
            </w:r>
          </w:hyperlink>
        </w:p>
        <w:p w14:paraId="6B661CE3" w14:textId="62748DC0" w:rsidR="000E4583" w:rsidRPr="00A23E4C" w:rsidRDefault="009F4B95" w:rsidP="00871756">
          <w:pPr>
            <w:pStyle w:val="TOC2"/>
            <w:rPr>
              <w:rFonts w:eastAsiaTheme="minorEastAsia"/>
              <w:noProof/>
              <w:lang w:eastAsia="lv-LV"/>
            </w:rPr>
          </w:pPr>
          <w:hyperlink w:anchor="_Toc419737742" w:history="1">
            <w:r w:rsidR="00A23E4C" w:rsidRPr="00A23E4C">
              <w:rPr>
                <w:rStyle w:val="Hyperlink"/>
                <w:rFonts w:ascii="Times New Roman" w:hAnsi="Times New Roman" w:cs="Times New Roman"/>
                <w:smallCaps w:val="0"/>
                <w:noProof/>
                <w:sz w:val="24"/>
                <w:szCs w:val="24"/>
              </w:rPr>
              <w:t>2.5. </w:t>
            </w:r>
            <w:r w:rsidR="00A23E4C" w:rsidRPr="00A23E4C">
              <w:rPr>
                <w:rStyle w:val="Hyperlink"/>
                <w:rFonts w:ascii="Times New Roman" w:eastAsiaTheme="majorEastAsia" w:hAnsi="Times New Roman" w:cs="Times New Roman"/>
                <w:smallCaps w:val="0"/>
                <w:noProof/>
                <w:sz w:val="24"/>
                <w:szCs w:val="24"/>
              </w:rPr>
              <w:t>Valsts aizdevumu kopsavilkums</w:t>
            </w:r>
            <w:r w:rsidR="00A23E4C" w:rsidRPr="00A23E4C">
              <w:rPr>
                <w:noProof/>
                <w:webHidden/>
              </w:rPr>
              <w:tab/>
            </w:r>
            <w:r w:rsidR="000E4583" w:rsidRPr="00A23E4C">
              <w:rPr>
                <w:noProof/>
                <w:webHidden/>
              </w:rPr>
              <w:fldChar w:fldCharType="begin"/>
            </w:r>
            <w:r w:rsidR="000E4583" w:rsidRPr="00A23E4C">
              <w:rPr>
                <w:noProof/>
                <w:webHidden/>
              </w:rPr>
              <w:instrText xml:space="preserve"> PAGEREF _Toc419737742 \h </w:instrText>
            </w:r>
            <w:r w:rsidR="000E4583" w:rsidRPr="00A23E4C">
              <w:rPr>
                <w:noProof/>
                <w:webHidden/>
              </w:rPr>
            </w:r>
            <w:r w:rsidR="000E4583" w:rsidRPr="00A23E4C">
              <w:rPr>
                <w:noProof/>
                <w:webHidden/>
              </w:rPr>
              <w:fldChar w:fldCharType="separate"/>
            </w:r>
            <w:r w:rsidR="000665FE">
              <w:rPr>
                <w:noProof/>
                <w:webHidden/>
              </w:rPr>
              <w:t>50</w:t>
            </w:r>
            <w:r w:rsidR="000E4583" w:rsidRPr="00A23E4C">
              <w:rPr>
                <w:noProof/>
                <w:webHidden/>
              </w:rPr>
              <w:fldChar w:fldCharType="end"/>
            </w:r>
          </w:hyperlink>
        </w:p>
        <w:p w14:paraId="476F1C49" w14:textId="77777777" w:rsidR="00B36423" w:rsidRPr="000E4583" w:rsidRDefault="001A3F77" w:rsidP="001A3F77">
          <w:pPr>
            <w:tabs>
              <w:tab w:val="left" w:pos="7797"/>
              <w:tab w:val="left" w:pos="8931"/>
              <w:tab w:val="right" w:leader="dot" w:pos="9061"/>
            </w:tabs>
            <w:spacing w:after="0"/>
            <w:ind w:left="1276" w:right="-1" w:hanging="567"/>
            <w:rPr>
              <w:rFonts w:cs="Times New Roman"/>
              <w:sz w:val="24"/>
              <w:szCs w:val="24"/>
            </w:rPr>
          </w:pPr>
          <w:r w:rsidRPr="00A23E4C">
            <w:rPr>
              <w:rFonts w:cs="Times New Roman"/>
              <w:sz w:val="24"/>
              <w:szCs w:val="24"/>
            </w:rPr>
            <w:fldChar w:fldCharType="end"/>
          </w:r>
        </w:p>
      </w:sdtContent>
    </w:sdt>
    <w:p w14:paraId="0C9D050C" w14:textId="77777777" w:rsidR="00B36423" w:rsidRPr="000E4583" w:rsidRDefault="00B36423" w:rsidP="00710834">
      <w:pPr>
        <w:tabs>
          <w:tab w:val="left" w:pos="1629"/>
          <w:tab w:val="right" w:leader="dot" w:pos="7797"/>
        </w:tabs>
        <w:spacing w:after="0"/>
        <w:ind w:firstLine="0"/>
        <w:rPr>
          <w:rFonts w:cs="Times New Roman"/>
        </w:rPr>
      </w:pPr>
      <w:r w:rsidRPr="000E4583">
        <w:rPr>
          <w:rFonts w:cs="Times New Roman"/>
        </w:rPr>
        <w:br w:type="page"/>
      </w:r>
      <w:bookmarkStart w:id="2" w:name="_GoBack"/>
      <w:bookmarkEnd w:id="2"/>
    </w:p>
    <w:p w14:paraId="7ED75FBE" w14:textId="77777777" w:rsidR="00B36423" w:rsidRPr="00881D12" w:rsidRDefault="001A3F77" w:rsidP="00881D12">
      <w:pPr>
        <w:pStyle w:val="Style1"/>
      </w:pPr>
      <w:bookmarkStart w:id="3" w:name="_Toc387845613"/>
      <w:bookmarkStart w:id="4" w:name="_Toc387911137"/>
      <w:bookmarkStart w:id="5" w:name="_Toc419737722"/>
      <w:r w:rsidRPr="00881D12">
        <w:lastRenderedPageBreak/>
        <w:t>KOPSAVILKUMS</w:t>
      </w:r>
      <w:bookmarkEnd w:id="3"/>
      <w:bookmarkEnd w:id="4"/>
      <w:bookmarkEnd w:id="5"/>
    </w:p>
    <w:p w14:paraId="2780F9AE" w14:textId="77777777" w:rsidR="00B36423" w:rsidRPr="00953456" w:rsidRDefault="00B36423" w:rsidP="00B36423">
      <w:pPr>
        <w:spacing w:after="0"/>
        <w:ind w:firstLine="720"/>
        <w:rPr>
          <w:sz w:val="24"/>
        </w:rPr>
      </w:pPr>
    </w:p>
    <w:p w14:paraId="40403800" w14:textId="77777777" w:rsidR="00835E30" w:rsidRPr="00881D12" w:rsidRDefault="00835E30" w:rsidP="00835E30">
      <w:pPr>
        <w:pStyle w:val="Default"/>
        <w:spacing w:after="60"/>
        <w:ind w:firstLine="720"/>
        <w:jc w:val="both"/>
        <w:rPr>
          <w:szCs w:val="23"/>
        </w:rPr>
      </w:pPr>
      <w:r w:rsidRPr="00881D12">
        <w:rPr>
          <w:szCs w:val="23"/>
        </w:rPr>
        <w:t>Pēc vairākiem spēcīgas ekonomiskās izaugsmes gadiem, kad laika periodā no 2011.gada līdz 2013.gadam Latvijas ekonomika pieauga par 4-5% gadā, 2014.gadā Latvijas IKP pieauguma tempi palēninājās, uzrādot 2,4% izaugsmi. Ekonomikas izaugsme sabremzējās dažādu iekšējo un ārējo faktoru ietekmē, starp kuriem svarīgākie ir ģeopolitiskās situācijas pasliktināšanās, tirdzniecības sankciju ieviešana un Krievijas ekonomikas recesija. Neskatoties uz izaugsmes tempu palēnināšanos, Latvijas IKP pieaugums pērn ir bijis viens no augstākajiem ES dalībvalstu vidū, par 1 procentpunktu pārsniedzot ES vidējo izaugsmes līmeni.</w:t>
      </w:r>
    </w:p>
    <w:p w14:paraId="7C4D45B4" w14:textId="4460F735" w:rsidR="00835E30" w:rsidRDefault="00835E30" w:rsidP="00953456">
      <w:pPr>
        <w:pStyle w:val="Default"/>
        <w:spacing w:after="60"/>
        <w:ind w:firstLine="720"/>
        <w:jc w:val="both"/>
        <w:rPr>
          <w:iCs/>
          <w:szCs w:val="23"/>
        </w:rPr>
      </w:pPr>
      <w:r w:rsidRPr="00881D12">
        <w:rPr>
          <w:szCs w:val="23"/>
        </w:rPr>
        <w:t xml:space="preserve">Saskaņā ar IKP ātro novērtējumu Latvijas ekonomikas izaugsme 2015.gada pirmajā ceturksnī, salīdzinot ar 2014.gada attiecīgo laika periodu, noslīdējusi līdz 2,0%, kas </w:t>
      </w:r>
      <w:r w:rsidRPr="00881D12">
        <w:t>ir lēnākais IKP pieaugums kopš 2011. gada sākuma</w:t>
      </w:r>
      <w:r w:rsidRPr="00881D12">
        <w:rPr>
          <w:szCs w:val="23"/>
        </w:rPr>
        <w:t xml:space="preserve">. Līdzīgi kā pērn arī š.g. pirmajos trīs mēnešos ekonomikas izaugsmi stimulēja iekšējais patēriņš, pakalpojumu nozaru (izņemot tirdzniecību) pievienotās vērtības pieaugumam sasniedzot 2%. </w:t>
      </w:r>
      <w:r w:rsidRPr="00881D12">
        <w:rPr>
          <w:iCs/>
          <w:szCs w:val="23"/>
        </w:rPr>
        <w:t>Jāatzīmē, ka ārējās vides riski turpinās apdraudēt ekonomiskās izaugsmes perspektīvas arī nākošajos š.g. ceturkšņos, taču iekšējās vides priekšnoteikumi ekonomikas straujākai izaugsmei ir labvēlīgi, ko apstiprina pieejamie statistikas dati un Latvijas uzņēmēju un patērētāju konfidences līmeņa pieaugums š.g. sākumā.</w:t>
      </w:r>
    </w:p>
    <w:p w14:paraId="3B780367" w14:textId="77777777" w:rsidR="00DF7939" w:rsidRPr="00E757B9" w:rsidRDefault="00DF7939" w:rsidP="00DF7939">
      <w:pPr>
        <w:spacing w:after="0"/>
        <w:ind w:firstLine="720"/>
        <w:rPr>
          <w:rFonts w:cs="Times New Roman"/>
          <w:sz w:val="24"/>
        </w:rPr>
      </w:pPr>
      <w:r w:rsidRPr="00E757B9">
        <w:rPr>
          <w:rFonts w:cs="Times New Roman"/>
          <w:sz w:val="24"/>
        </w:rPr>
        <w:t>Tāpat kā iepriekšējā gadā, pārpalikumu kopbudžetā pamatā nodrošināja pārpalikums pašvaldību budžetā, kas bija 65,6 milj. </w:t>
      </w:r>
      <w:r w:rsidRPr="00E757B9">
        <w:rPr>
          <w:rFonts w:cs="Times New Roman"/>
          <w:i/>
          <w:sz w:val="24"/>
        </w:rPr>
        <w:t>euro</w:t>
      </w:r>
      <w:r w:rsidRPr="00E757B9">
        <w:rPr>
          <w:rFonts w:cs="Times New Roman"/>
          <w:sz w:val="24"/>
        </w:rPr>
        <w:t xml:space="preserve"> apmērā. Turpretī valsts konsolidētajā budžetā bija izveidojies deficīts 31,1 milj. </w:t>
      </w:r>
      <w:r w:rsidRPr="00E757B9">
        <w:rPr>
          <w:rFonts w:cs="Times New Roman"/>
          <w:i/>
          <w:sz w:val="24"/>
        </w:rPr>
        <w:t>euro</w:t>
      </w:r>
      <w:r w:rsidRPr="00E757B9">
        <w:rPr>
          <w:rFonts w:cs="Times New Roman"/>
          <w:sz w:val="24"/>
        </w:rPr>
        <w:t xml:space="preserve"> apmērā, kas salīdzinājumā ar iepriekšējā gada pirmo ceturksni ir samazinājies par 20,2 milj. </w:t>
      </w:r>
      <w:r w:rsidRPr="00E757B9">
        <w:rPr>
          <w:rFonts w:cs="Times New Roman"/>
          <w:i/>
          <w:sz w:val="24"/>
        </w:rPr>
        <w:t>euro,</w:t>
      </w:r>
      <w:r w:rsidRPr="00E757B9">
        <w:rPr>
          <w:sz w:val="24"/>
        </w:rPr>
        <w:t xml:space="preserve"> ko pamatā noteica lielāki ārvalstu finanšu palīdzības ieņēmumi.</w:t>
      </w:r>
      <w:r w:rsidRPr="00E757B9">
        <w:rPr>
          <w:rFonts w:cs="Times New Roman"/>
          <w:sz w:val="24"/>
        </w:rPr>
        <w:t xml:space="preserve"> Ja analizē valsts konsolidētā budžeta izpildi pa apakšlīmeņiem, tad redzams, ka valsts pamatbudžetā pirmajā ceturksnī bija deficīts 16,3 milj. </w:t>
      </w:r>
      <w:r w:rsidRPr="00E757B9">
        <w:rPr>
          <w:rFonts w:cs="Times New Roman"/>
          <w:i/>
          <w:sz w:val="24"/>
        </w:rPr>
        <w:t>euro</w:t>
      </w:r>
      <w:r w:rsidRPr="00E757B9">
        <w:rPr>
          <w:rFonts w:cs="Times New Roman"/>
          <w:sz w:val="24"/>
        </w:rPr>
        <w:t xml:space="preserve"> apmērā, savukārt valsts speciālajā budžetā deficīts bija 9,2 milj. </w:t>
      </w:r>
      <w:r w:rsidRPr="00E757B9">
        <w:rPr>
          <w:rFonts w:cs="Times New Roman"/>
          <w:i/>
          <w:sz w:val="24"/>
        </w:rPr>
        <w:t>euro</w:t>
      </w:r>
      <w:r w:rsidRPr="00E757B9">
        <w:rPr>
          <w:rFonts w:cs="Times New Roman"/>
          <w:sz w:val="24"/>
        </w:rPr>
        <w:t>. Deficīts valsts speciālajā budžetā galvenokārt skaidrojams ar lielākiem budžeta izdevumiem sociāliem pabalstiem.</w:t>
      </w:r>
    </w:p>
    <w:p w14:paraId="06274762" w14:textId="131B7663" w:rsidR="00DF7939" w:rsidRPr="00E757B9" w:rsidRDefault="00DF7939" w:rsidP="00DF7939">
      <w:pPr>
        <w:ind w:firstLine="720"/>
        <w:rPr>
          <w:sz w:val="24"/>
          <w:highlight w:val="yellow"/>
        </w:rPr>
      </w:pPr>
      <w:r w:rsidRPr="00E757B9">
        <w:rPr>
          <w:rFonts w:cs="Times New Roman"/>
          <w:sz w:val="24"/>
        </w:rPr>
        <w:t>Kopējie nodokļu ieņēmumi (ieskaitot valsts fondēto pensiju shēmas līdzekļus un mikrouzņēmuma nodokļa nesadalītos ieņēmumus) 2015.gada pirmajā ceturksnī bija 1 726,9 milj. </w:t>
      </w:r>
      <w:r w:rsidRPr="00E757B9">
        <w:rPr>
          <w:rFonts w:cs="Times New Roman"/>
          <w:i/>
          <w:sz w:val="24"/>
          <w:szCs w:val="24"/>
        </w:rPr>
        <w:t>euro</w:t>
      </w:r>
      <w:r w:rsidRPr="00E757B9">
        <w:rPr>
          <w:rFonts w:cs="Times New Roman"/>
          <w:sz w:val="24"/>
        </w:rPr>
        <w:t>, kas ir par 3,2 milj. </w:t>
      </w:r>
      <w:r w:rsidRPr="00E757B9">
        <w:rPr>
          <w:rFonts w:cs="Times New Roman"/>
          <w:i/>
          <w:sz w:val="24"/>
          <w:szCs w:val="24"/>
        </w:rPr>
        <w:t>euro</w:t>
      </w:r>
      <w:r w:rsidRPr="00E757B9">
        <w:rPr>
          <w:rFonts w:cs="Times New Roman"/>
          <w:sz w:val="24"/>
        </w:rPr>
        <w:t xml:space="preserve"> jeb 0,2% mazāk nekā plānots.</w:t>
      </w:r>
      <w:r w:rsidR="008101CF">
        <w:rPr>
          <w:rFonts w:cs="Times New Roman"/>
          <w:sz w:val="24"/>
        </w:rPr>
        <w:t xml:space="preserve"> </w:t>
      </w:r>
      <w:r w:rsidRPr="00E757B9">
        <w:rPr>
          <w:rFonts w:cs="Times New Roman"/>
          <w:sz w:val="24"/>
        </w:rPr>
        <w:t>2015.gada pirmajā ceturksnī, salīdzinot ar 2014.gada pirmo ceturksni, kopējie nodokļu ieņēmumi bija par 95,7 milj. </w:t>
      </w:r>
      <w:r w:rsidRPr="00E757B9">
        <w:rPr>
          <w:rFonts w:cs="Times New Roman"/>
          <w:i/>
          <w:sz w:val="24"/>
          <w:szCs w:val="24"/>
        </w:rPr>
        <w:t>euro</w:t>
      </w:r>
      <w:r w:rsidRPr="00E757B9">
        <w:rPr>
          <w:rFonts w:cs="Times New Roman"/>
          <w:sz w:val="24"/>
        </w:rPr>
        <w:t xml:space="preserve"> jeb 5,9% vairāk. Lielākais īpatsvars 2015.gada pirmajā ceturksnī kopējos nodokļu ieņēmumos bija sociālās apdrošināšanas iemaksu ieņēmumiem – 31,7%, pievienotās vērtības nodokļa ieņēmumiem – 25,1% un iedzīvotāju ienākuma nodokļa ieņēmumiem –19,0 procenti.</w:t>
      </w:r>
    </w:p>
    <w:p w14:paraId="2BEA4096" w14:textId="42D0C178" w:rsidR="00DF7939" w:rsidRPr="001C1C52" w:rsidRDefault="00DF7939" w:rsidP="009C4C87">
      <w:pPr>
        <w:ind w:firstLine="720"/>
        <w:rPr>
          <w:rFonts w:cs="Times New Roman"/>
          <w:sz w:val="24"/>
        </w:rPr>
      </w:pPr>
      <w:r w:rsidRPr="00DF7939">
        <w:rPr>
          <w:rFonts w:cs="Times New Roman"/>
          <w:sz w:val="24"/>
        </w:rPr>
        <w:t>Nenodokļu ieņēmumi</w:t>
      </w:r>
      <w:r w:rsidRPr="001C1C52">
        <w:rPr>
          <w:rFonts w:cs="Times New Roman"/>
          <w:sz w:val="24"/>
        </w:rPr>
        <w:t xml:space="preserve"> 2015.gada pirmajā ceturksnī bija 71,2 milj. </w:t>
      </w:r>
      <w:r w:rsidRPr="001C1C52">
        <w:rPr>
          <w:rFonts w:cs="Times New Roman"/>
          <w:i/>
          <w:sz w:val="24"/>
        </w:rPr>
        <w:t>euro</w:t>
      </w:r>
      <w:r w:rsidRPr="001C1C52">
        <w:rPr>
          <w:rFonts w:cs="Times New Roman"/>
          <w:sz w:val="24"/>
        </w:rPr>
        <w:t>, līdz ar to pirmā ceturkšņa plāna izpilde bija 100,1</w:t>
      </w:r>
      <w:r w:rsidR="00953456">
        <w:rPr>
          <w:rFonts w:cs="Times New Roman"/>
          <w:sz w:val="24"/>
        </w:rPr>
        <w:t>%</w:t>
      </w:r>
      <w:r w:rsidRPr="001C1C52">
        <w:rPr>
          <w:rFonts w:cs="Times New Roman"/>
          <w:sz w:val="24"/>
        </w:rPr>
        <w:t>. Nenodokļu ieņēmumi 2015.gada pirmajā ceturksnī iekasēti par 7,7 milj. </w:t>
      </w:r>
      <w:r w:rsidRPr="001C1C52">
        <w:rPr>
          <w:rFonts w:cs="Times New Roman"/>
          <w:i/>
          <w:sz w:val="24"/>
        </w:rPr>
        <w:t>euro</w:t>
      </w:r>
      <w:r w:rsidRPr="001C1C52">
        <w:rPr>
          <w:rFonts w:cs="Times New Roman"/>
          <w:sz w:val="24"/>
        </w:rPr>
        <w:t xml:space="preserve"> vairāk nekā 2014.gada pirmajā ceturksnī, ko galvenokārt ietekmēja augstāki maksājumi no budžeta iestāžu saņemto un iepriekšējos gados neizlietoto budžeta līdzekļu atmaksāšanas, ieņēmumi un ieņēmumu zaudējumi no atvasināto finanšu instrumentu rezultāta un autoceļu lietošanas nodeva, kas stājas spēkā 2014.gada 1.jūlijā.</w:t>
      </w:r>
    </w:p>
    <w:p w14:paraId="3EDD2413" w14:textId="032072C0" w:rsidR="00C46E2C" w:rsidRPr="001C1C52" w:rsidRDefault="00DF7939" w:rsidP="00953456">
      <w:pPr>
        <w:rPr>
          <w:rFonts w:eastAsia="Times New Roman"/>
          <w:sz w:val="24"/>
          <w:szCs w:val="20"/>
        </w:rPr>
      </w:pPr>
      <w:r w:rsidRPr="001C1C52">
        <w:rPr>
          <w:rFonts w:eastAsia="Times New Roman"/>
          <w:sz w:val="24"/>
          <w:szCs w:val="20"/>
        </w:rPr>
        <w:t xml:space="preserve">2015.gada pirmajā ceturksnī, salīdzinot ar 2014.gada atbilstošo periodu, valsts pamatbudžeta izlietotie līdzekļi ir palielinājušies par 73,6 milj. </w:t>
      </w:r>
      <w:r w:rsidRPr="001C1C52">
        <w:rPr>
          <w:rFonts w:eastAsia="Times New Roman"/>
          <w:i/>
          <w:sz w:val="24"/>
          <w:szCs w:val="20"/>
        </w:rPr>
        <w:t>euro</w:t>
      </w:r>
      <w:r w:rsidRPr="001C1C52">
        <w:rPr>
          <w:rFonts w:eastAsia="Times New Roman"/>
          <w:sz w:val="24"/>
          <w:szCs w:val="20"/>
        </w:rPr>
        <w:t xml:space="preserve"> jeb 6,0</w:t>
      </w:r>
      <w:r w:rsidR="008101CF">
        <w:rPr>
          <w:rFonts w:eastAsia="Times New Roman"/>
          <w:sz w:val="24"/>
          <w:szCs w:val="20"/>
        </w:rPr>
        <w:t>%</w:t>
      </w:r>
      <w:r w:rsidRPr="001C1C52">
        <w:rPr>
          <w:rFonts w:eastAsia="Times New Roman"/>
          <w:sz w:val="24"/>
          <w:szCs w:val="20"/>
        </w:rPr>
        <w:t>.</w:t>
      </w:r>
      <w:r w:rsidR="00953456" w:rsidRPr="00953456">
        <w:rPr>
          <w:sz w:val="24"/>
        </w:rPr>
        <w:t xml:space="preserve"> </w:t>
      </w:r>
      <w:r w:rsidR="00953456" w:rsidRPr="001C1C52">
        <w:rPr>
          <w:sz w:val="24"/>
        </w:rPr>
        <w:t>Valsts pamatbudžetā</w:t>
      </w:r>
      <w:r w:rsidR="00953456" w:rsidRPr="001C1C52">
        <w:rPr>
          <w:b/>
          <w:sz w:val="24"/>
        </w:rPr>
        <w:t xml:space="preserve"> </w:t>
      </w:r>
      <w:r w:rsidR="00953456" w:rsidRPr="001C1C52">
        <w:rPr>
          <w:sz w:val="24"/>
        </w:rPr>
        <w:t xml:space="preserve">2015.gada pirmajā ceturksnī kopējie izdevumi bija 1 306,0 milj. </w:t>
      </w:r>
      <w:r w:rsidR="00953456" w:rsidRPr="001C1C52">
        <w:rPr>
          <w:i/>
          <w:sz w:val="24"/>
        </w:rPr>
        <w:t>euro</w:t>
      </w:r>
      <w:r w:rsidR="00953456">
        <w:rPr>
          <w:i/>
          <w:sz w:val="24"/>
        </w:rPr>
        <w:t>.</w:t>
      </w:r>
      <w:r w:rsidR="00953456">
        <w:rPr>
          <w:rFonts w:eastAsia="Times New Roman"/>
          <w:sz w:val="24"/>
          <w:szCs w:val="20"/>
        </w:rPr>
        <w:t xml:space="preserve"> </w:t>
      </w:r>
      <w:r w:rsidR="00C46E2C" w:rsidRPr="008101CF">
        <w:rPr>
          <w:rFonts w:eastAsia="Times New Roman"/>
          <w:sz w:val="24"/>
          <w:szCs w:val="20"/>
        </w:rPr>
        <w:t>Valsts speciālā budžeta</w:t>
      </w:r>
      <w:r w:rsidR="00C46E2C" w:rsidRPr="001C1C52">
        <w:rPr>
          <w:rFonts w:eastAsia="Times New Roman"/>
          <w:sz w:val="24"/>
          <w:szCs w:val="20"/>
        </w:rPr>
        <w:t xml:space="preserve"> izlietotie līdzekļi 2015.gada pirmajā ceturksnī, salīdzinot ar 2014.gada atbilstošo periodu, palielinājušies par 61,6 milj. </w:t>
      </w:r>
      <w:r w:rsidR="00C46E2C" w:rsidRPr="001C1C52">
        <w:rPr>
          <w:rFonts w:eastAsia="Times New Roman"/>
          <w:i/>
          <w:sz w:val="24"/>
          <w:szCs w:val="20"/>
        </w:rPr>
        <w:t>euro</w:t>
      </w:r>
      <w:r w:rsidR="00C46E2C" w:rsidRPr="001C1C52">
        <w:rPr>
          <w:rFonts w:eastAsia="Times New Roman"/>
          <w:sz w:val="24"/>
          <w:szCs w:val="20"/>
        </w:rPr>
        <w:t xml:space="preserve"> jeb 12,6%. 2015.gada pirmajā ceturksnī speciālajā budžetā kopumā izlietoti 552,3 milj. </w:t>
      </w:r>
      <w:r w:rsidR="00C46E2C" w:rsidRPr="001C1C52">
        <w:rPr>
          <w:rFonts w:eastAsia="Times New Roman"/>
          <w:i/>
          <w:sz w:val="24"/>
        </w:rPr>
        <w:t>euro</w:t>
      </w:r>
      <w:r w:rsidR="00C46E2C" w:rsidRPr="001C1C52">
        <w:rPr>
          <w:rFonts w:eastAsia="Times New Roman"/>
          <w:sz w:val="24"/>
          <w:szCs w:val="20"/>
        </w:rPr>
        <w:t xml:space="preserve">, kas ir par 5,4 milj. </w:t>
      </w:r>
      <w:r w:rsidR="00C46E2C" w:rsidRPr="001C1C52">
        <w:rPr>
          <w:rFonts w:eastAsia="Times New Roman"/>
          <w:i/>
          <w:sz w:val="24"/>
        </w:rPr>
        <w:t>euro</w:t>
      </w:r>
      <w:r w:rsidR="00C46E2C" w:rsidRPr="001C1C52">
        <w:rPr>
          <w:rFonts w:eastAsia="Times New Roman"/>
          <w:sz w:val="24"/>
          <w:szCs w:val="20"/>
        </w:rPr>
        <w:t xml:space="preserve"> mazāk nekā plānots. </w:t>
      </w:r>
    </w:p>
    <w:p w14:paraId="5C8B2E59" w14:textId="7936CFDA" w:rsidR="00DF7939" w:rsidRDefault="00C46E2C" w:rsidP="009C4C87">
      <w:pPr>
        <w:spacing w:after="0"/>
      </w:pPr>
      <w:r w:rsidRPr="001C1C52">
        <w:rPr>
          <w:sz w:val="24"/>
        </w:rPr>
        <w:t>Pašvaldību konsolidētajā budžetā š</w:t>
      </w:r>
      <w:r w:rsidR="002C692A">
        <w:rPr>
          <w:sz w:val="24"/>
        </w:rPr>
        <w:t>.</w:t>
      </w:r>
      <w:r w:rsidR="002C692A" w:rsidRPr="001C1C52">
        <w:rPr>
          <w:sz w:val="24"/>
        </w:rPr>
        <w:t>g</w:t>
      </w:r>
      <w:r w:rsidR="002C692A">
        <w:rPr>
          <w:sz w:val="24"/>
        </w:rPr>
        <w:t>.</w:t>
      </w:r>
      <w:r w:rsidR="002C692A" w:rsidRPr="001C1C52">
        <w:rPr>
          <w:sz w:val="24"/>
        </w:rPr>
        <w:t xml:space="preserve"> </w:t>
      </w:r>
      <w:r w:rsidRPr="001C1C52">
        <w:rPr>
          <w:sz w:val="24"/>
        </w:rPr>
        <w:t xml:space="preserve">pirmajā ceturksnī bija izveidojies finansiālais pārpalikums 65,6 milj. </w:t>
      </w:r>
      <w:r w:rsidRPr="001C1C52">
        <w:rPr>
          <w:i/>
          <w:sz w:val="24"/>
        </w:rPr>
        <w:t>euro</w:t>
      </w:r>
      <w:r w:rsidRPr="001C1C52">
        <w:rPr>
          <w:sz w:val="24"/>
        </w:rPr>
        <w:t xml:space="preserve"> apmērā, kas salīdzinājumā ar iepriekšējo gadu ir samazinājies par 12,6 milj. </w:t>
      </w:r>
      <w:r w:rsidRPr="001C1C52">
        <w:rPr>
          <w:i/>
          <w:sz w:val="24"/>
        </w:rPr>
        <w:t>euro</w:t>
      </w:r>
      <w:r w:rsidRPr="001C1C52">
        <w:rPr>
          <w:sz w:val="24"/>
        </w:rPr>
        <w:t>. Finansiālā pārpalikuma samazinājumu pamatā noteica mazāki pašvaldību transfertu ieņēmumi no valsts pamatbudžeta ES fondu projektu īstenošanai.</w:t>
      </w:r>
    </w:p>
    <w:p w14:paraId="627DF90D" w14:textId="77777777" w:rsidR="00B36423" w:rsidRDefault="00B36423">
      <w:pPr>
        <w:spacing w:after="0"/>
        <w:ind w:firstLine="0"/>
        <w:jc w:val="left"/>
        <w:rPr>
          <w:rFonts w:cs="Times New Roman"/>
        </w:rPr>
      </w:pPr>
      <w:r>
        <w:rPr>
          <w:rFonts w:cs="Times New Roman"/>
        </w:rPr>
        <w:br w:type="page"/>
      </w:r>
    </w:p>
    <w:p w14:paraId="15C85712" w14:textId="77777777" w:rsidR="007722BA" w:rsidRDefault="00881D12" w:rsidP="00881D12">
      <w:pPr>
        <w:pStyle w:val="Style1"/>
      </w:pPr>
      <w:bookmarkStart w:id="6" w:name="_Toc387911138"/>
      <w:bookmarkStart w:id="7" w:name="_Toc419737723"/>
      <w:bookmarkStart w:id="8" w:name="_Toc325101912"/>
      <w:bookmarkStart w:id="9" w:name="_Toc387845615"/>
      <w:r>
        <w:t>1. </w:t>
      </w:r>
      <w:r w:rsidR="001A3F77" w:rsidRPr="006E5EF0">
        <w:t>TAUTSAIMNIECĪBAS ATTĪSTĪBA</w:t>
      </w:r>
      <w:bookmarkEnd w:id="6"/>
      <w:bookmarkEnd w:id="7"/>
    </w:p>
    <w:p w14:paraId="41C0FDDE" w14:textId="77777777" w:rsidR="007722BA" w:rsidRPr="00881D12" w:rsidRDefault="007722BA" w:rsidP="00E757B9">
      <w:pPr>
        <w:pStyle w:val="Style2"/>
        <w:jc w:val="center"/>
      </w:pPr>
      <w:bookmarkStart w:id="10" w:name="_Toc387911139"/>
      <w:bookmarkStart w:id="11" w:name="_Toc419737724"/>
      <w:r w:rsidRPr="00881D12">
        <w:t>1.1. Ārējā ekonomiskā vide</w:t>
      </w:r>
      <w:bookmarkEnd w:id="8"/>
      <w:bookmarkEnd w:id="9"/>
      <w:bookmarkEnd w:id="10"/>
      <w:bookmarkEnd w:id="11"/>
    </w:p>
    <w:p w14:paraId="23D80D8F" w14:textId="77777777" w:rsidR="007722BA" w:rsidRPr="00881D12" w:rsidRDefault="007722BA" w:rsidP="007722BA">
      <w:pPr>
        <w:spacing w:after="60"/>
        <w:ind w:firstLine="720"/>
        <w:rPr>
          <w:rFonts w:cs="Times New Roman"/>
          <w:sz w:val="24"/>
          <w:szCs w:val="20"/>
        </w:rPr>
      </w:pPr>
      <w:bookmarkStart w:id="12" w:name="_Toc262026540"/>
      <w:bookmarkStart w:id="13" w:name="_Toc262026541"/>
      <w:r w:rsidRPr="00881D12">
        <w:rPr>
          <w:rFonts w:cs="Times New Roman"/>
          <w:sz w:val="24"/>
          <w:szCs w:val="20"/>
        </w:rPr>
        <w:t xml:space="preserve">Pasaules ekonomika joprojām attīstās nevienmērīgi un kopumā 2014.gadā globālā izaugsme bija 3,4% līmenī salīdzinājumā ar 2013.gadu. Pasaules ekonomikas attīstības tendences pērn noteica vairāki globāla mēroga notikumi – ģeopolitiskā nestabilitāte Ukrainā un Tuvajos Austrumos, zemā </w:t>
      </w:r>
      <w:r w:rsidRPr="00881D12">
        <w:rPr>
          <w:rFonts w:cs="Times New Roman"/>
          <w:i/>
          <w:sz w:val="24"/>
          <w:szCs w:val="20"/>
        </w:rPr>
        <w:t>euro</w:t>
      </w:r>
      <w:r w:rsidRPr="00881D12">
        <w:rPr>
          <w:rFonts w:cs="Times New Roman"/>
          <w:sz w:val="24"/>
          <w:szCs w:val="20"/>
        </w:rPr>
        <w:t xml:space="preserve"> zonas ekonomiskā izaugsme, kā arī straujais naftas cenu kritums 2014.gada nogalē. Kopumā pasaules izaugsme lēnām paātrinās, taču pieauguma tempi nav tik spēcīgi kā iepriekš prognozēts.</w:t>
      </w:r>
    </w:p>
    <w:p w14:paraId="328CED9C" w14:textId="77777777" w:rsidR="007722BA" w:rsidRPr="00881D12" w:rsidRDefault="007722BA" w:rsidP="007722BA">
      <w:pPr>
        <w:spacing w:after="60"/>
        <w:ind w:firstLine="720"/>
        <w:rPr>
          <w:rFonts w:cs="Times New Roman"/>
          <w:sz w:val="24"/>
          <w:szCs w:val="20"/>
        </w:rPr>
      </w:pPr>
      <w:r w:rsidRPr="00881D12">
        <w:rPr>
          <w:rFonts w:cs="Times New Roman"/>
          <w:sz w:val="24"/>
          <w:szCs w:val="20"/>
        </w:rPr>
        <w:t xml:space="preserve">ES ekonomikas izaugsme 2014.gadā sasniedza 1,4%. Šis izaugsmes rādītājs ir jūtams progress salīdzinājumā ar iepriekšējiem gadiem, kad ES IKP 2012.gadā samazinājās par 0,5% un 2013.gadā nemainījās. Pērnā gada sākumā manāmi uzlabojās ES patērētāju un uzņēmēju konfidences līmenis, signalizējot par pozitīvām ekonomiskās attīstības tendencēm, taču gada otrajā pusē līdz ar ģeopolitiskā konflikta saasināšanos un ieviestajām sankcijām starp ES un Krieviju konfidence kritās. Tas atspoguļojās arī IKP dinamikā, jo 2014.gada nogalē izaugsme bija nedaudz vājāka nekā gada sākumā.  IKP ātrais novērtējums par ES izaugsmi š.g. pirmajā ceturksnī liecina, ka ekonomiskā situācija reģionā turpina pakāpeniski uzlaboties, jo IKP ir pieaudzis par 1,4%, salīdzinot ar 2014. gada pirmo ceturksni. </w:t>
      </w:r>
    </w:p>
    <w:p w14:paraId="63843829" w14:textId="77777777" w:rsidR="007722BA" w:rsidRPr="00881D12" w:rsidRDefault="007722BA" w:rsidP="007722BA">
      <w:pPr>
        <w:spacing w:after="60"/>
        <w:ind w:firstLine="720"/>
        <w:rPr>
          <w:rFonts w:cs="Times New Roman"/>
          <w:sz w:val="24"/>
          <w:szCs w:val="24"/>
        </w:rPr>
      </w:pPr>
      <w:r w:rsidRPr="00881D12">
        <w:rPr>
          <w:rFonts w:cs="Times New Roman"/>
          <w:sz w:val="24"/>
          <w:szCs w:val="20"/>
        </w:rPr>
        <w:t>Krievijas ekonomiskā situācija bija sarežģīta jau kopš 2013.gada, bet tās ievainojamību pastiprināja tieši ģeopolitiskais saspīlējums, kā rezultātā pērn Krievijas IKP pieaugums sasniedza vien 0,6%. Atbilstoši EK prognozēm Krievijas ekonomika 2015.gadā samazināsies par 3,5% un pieaugs vien par 0,2% 2016.gadā. Krievijas ekonomiku negatīvi ietekmē ES ekonomiskās sankcijas, naftas cenu un rubļa kursa kritums, kā rezultātā samazinās Krievijas patērētāju pirktspēja un pieprasījums pēc importa precēm. Tas savukārt negatīvi ietekmē eksportējošos uzņēmumus, kas darbojas Krievijas tirgū. Turklāt 2014.gada augustā Krievijas noteiktais tirdzniecības embargo atsevišķām lauksaimniecības un pārtikas precēm vēl vairāk saasina konkurenci ES, papildus negatīvi ietekmējot Latvijas eksporta potenciālu.</w:t>
      </w:r>
    </w:p>
    <w:p w14:paraId="626B6977" w14:textId="77777777" w:rsidR="007722BA" w:rsidRPr="00881D12" w:rsidRDefault="007722BA" w:rsidP="007722BA">
      <w:pPr>
        <w:spacing w:after="60"/>
        <w:ind w:firstLine="720"/>
        <w:rPr>
          <w:rFonts w:cs="Times New Roman"/>
          <w:sz w:val="24"/>
          <w:szCs w:val="20"/>
        </w:rPr>
      </w:pPr>
      <w:r w:rsidRPr="00881D12">
        <w:rPr>
          <w:rFonts w:cs="Times New Roman"/>
          <w:sz w:val="24"/>
          <w:szCs w:val="20"/>
        </w:rPr>
        <w:t>Pārējo pasaules valstu ekonomiskā attīstība ir svārstīga un neviendabīga. Tā, piemēram, ASV ir viena no retajām valstīm, kur ekonomiskā izaugsme 2014.gadā bija spēcīgāka par prognozēto, ko galvenokārt ietekmēja enerģijas cenu straujais kritums. Lai arī š.g. pirmajā ceturksnī ASV IKP izaugsme sabremzējās, tiek prognozēts, ka privātais patēriņš stimulēs ekonomikas pieaugumu turpmākajos 2015.gada ceturkšņos. Ķīnā 2014.gada sākums iezīmējies ar vāju izaugsmi, gadā kopumā IKP pieaugumam noslīdot līdz 7,4%. Turklāt 2015. gada pirmajā ceturksnī Ķīnas IKP uzrādīja vēl mazāku gada pieaugumu 7% apmērā. Savukārt Japānas ekonomikā pērnā gada vidū bija reģistrēts pat kritums, bet gadā kopumā IKP palika nemainīgs. Arī šo valstu un Āzijas reģiona kopējo izaugsmi turpmāk veicinās zemās naftas cenas, stimulējot pieprasījuma pieaugumu.</w:t>
      </w:r>
    </w:p>
    <w:p w14:paraId="4DB9DBA3" w14:textId="77777777" w:rsidR="00234FC7" w:rsidRDefault="00DE56E7" w:rsidP="00DE56E7">
      <w:pPr>
        <w:spacing w:before="240" w:after="0"/>
        <w:jc w:val="right"/>
        <w:rPr>
          <w:rFonts w:cs="Times New Roman"/>
          <w:b/>
          <w:sz w:val="20"/>
          <w:szCs w:val="24"/>
        </w:rPr>
      </w:pPr>
      <w:r w:rsidRPr="00234FC7">
        <w:rPr>
          <w:rFonts w:cs="Times New Roman"/>
          <w:b/>
          <w:sz w:val="20"/>
          <w:szCs w:val="24"/>
        </w:rPr>
        <w:t>1.</w:t>
      </w:r>
      <w:r w:rsidR="007722BA" w:rsidRPr="00234FC7">
        <w:rPr>
          <w:rFonts w:cs="Times New Roman"/>
          <w:b/>
          <w:sz w:val="20"/>
          <w:szCs w:val="24"/>
        </w:rPr>
        <w:t xml:space="preserve">1.tabula. Lielāko pasaules ekonomiku IKP pieauguma tempi </w:t>
      </w:r>
    </w:p>
    <w:p w14:paraId="6E2BDB26" w14:textId="77777777" w:rsidR="007722BA" w:rsidRPr="00234FC7" w:rsidRDefault="007722BA" w:rsidP="00234FC7">
      <w:pPr>
        <w:spacing w:after="0"/>
        <w:jc w:val="right"/>
        <w:rPr>
          <w:rFonts w:cs="Times New Roman"/>
          <w:b/>
          <w:sz w:val="20"/>
          <w:szCs w:val="24"/>
        </w:rPr>
      </w:pPr>
      <w:r w:rsidRPr="00234FC7">
        <w:rPr>
          <w:rFonts w:cs="Times New Roman"/>
          <w:b/>
          <w:sz w:val="20"/>
          <w:szCs w:val="24"/>
        </w:rPr>
        <w:t>un prognozes, % pret iepriekšējo gadu</w:t>
      </w:r>
      <w:r w:rsidRPr="00234FC7">
        <w:rPr>
          <w:rStyle w:val="FootnoteReference"/>
          <w:rFonts w:ascii="Times New Roman" w:hAnsi="Times New Roman" w:cs="Times New Roman"/>
          <w:b/>
          <w:sz w:val="20"/>
          <w:szCs w:val="24"/>
        </w:rPr>
        <w:footnoteReference w:id="1"/>
      </w: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4962"/>
        <w:gridCol w:w="1012"/>
        <w:gridCol w:w="1012"/>
        <w:gridCol w:w="1012"/>
        <w:gridCol w:w="1012"/>
      </w:tblGrid>
      <w:tr w:rsidR="007722BA" w:rsidRPr="00402F6F" w14:paraId="049DDCCA" w14:textId="77777777" w:rsidTr="00881D12">
        <w:trPr>
          <w:trHeight w:val="324"/>
          <w:jc w:val="center"/>
        </w:trPr>
        <w:tc>
          <w:tcPr>
            <w:tcW w:w="4962" w:type="dxa"/>
            <w:shd w:val="clear" w:color="auto" w:fill="auto"/>
          </w:tcPr>
          <w:p w14:paraId="23831FF7" w14:textId="77777777" w:rsidR="007722BA" w:rsidRPr="00402F6F" w:rsidRDefault="007722BA" w:rsidP="00881D12">
            <w:pPr>
              <w:spacing w:after="0"/>
              <w:rPr>
                <w:bCs/>
                <w:sz w:val="24"/>
                <w:szCs w:val="20"/>
              </w:rPr>
            </w:pPr>
          </w:p>
        </w:tc>
        <w:tc>
          <w:tcPr>
            <w:tcW w:w="1012" w:type="dxa"/>
            <w:shd w:val="clear" w:color="auto" w:fill="auto"/>
            <w:vAlign w:val="center"/>
          </w:tcPr>
          <w:p w14:paraId="786E1494" w14:textId="77777777" w:rsidR="007722BA" w:rsidRPr="00402F6F" w:rsidRDefault="007722BA" w:rsidP="00881D12">
            <w:pPr>
              <w:spacing w:after="0"/>
              <w:ind w:hanging="113"/>
              <w:jc w:val="center"/>
              <w:rPr>
                <w:b/>
                <w:bCs/>
                <w:sz w:val="24"/>
                <w:szCs w:val="20"/>
              </w:rPr>
            </w:pPr>
            <w:r w:rsidRPr="00402F6F">
              <w:rPr>
                <w:b/>
                <w:bCs/>
                <w:sz w:val="24"/>
                <w:szCs w:val="20"/>
              </w:rPr>
              <w:t>2013</w:t>
            </w:r>
          </w:p>
        </w:tc>
        <w:tc>
          <w:tcPr>
            <w:tcW w:w="1012" w:type="dxa"/>
            <w:shd w:val="clear" w:color="auto" w:fill="auto"/>
            <w:vAlign w:val="center"/>
          </w:tcPr>
          <w:p w14:paraId="32186767" w14:textId="77777777" w:rsidR="007722BA" w:rsidRPr="00402F6F" w:rsidRDefault="007722BA" w:rsidP="00881D12">
            <w:pPr>
              <w:spacing w:after="0"/>
              <w:ind w:hanging="113"/>
              <w:jc w:val="center"/>
              <w:rPr>
                <w:b/>
                <w:bCs/>
                <w:sz w:val="24"/>
                <w:szCs w:val="20"/>
              </w:rPr>
            </w:pPr>
            <w:r w:rsidRPr="00402F6F">
              <w:rPr>
                <w:b/>
                <w:bCs/>
                <w:sz w:val="24"/>
                <w:szCs w:val="20"/>
              </w:rPr>
              <w:t>2014</w:t>
            </w:r>
          </w:p>
        </w:tc>
        <w:tc>
          <w:tcPr>
            <w:tcW w:w="1012" w:type="dxa"/>
            <w:shd w:val="clear" w:color="auto" w:fill="auto"/>
            <w:vAlign w:val="center"/>
          </w:tcPr>
          <w:p w14:paraId="6D43BB26" w14:textId="77777777" w:rsidR="007722BA" w:rsidRPr="00402F6F" w:rsidRDefault="007722BA" w:rsidP="00881D12">
            <w:pPr>
              <w:spacing w:after="0"/>
              <w:ind w:hanging="113"/>
              <w:jc w:val="center"/>
              <w:rPr>
                <w:b/>
                <w:bCs/>
                <w:sz w:val="24"/>
                <w:szCs w:val="20"/>
              </w:rPr>
            </w:pPr>
            <w:r w:rsidRPr="00402F6F">
              <w:rPr>
                <w:b/>
                <w:bCs/>
                <w:sz w:val="24"/>
                <w:szCs w:val="20"/>
              </w:rPr>
              <w:t>2015p</w:t>
            </w:r>
          </w:p>
        </w:tc>
        <w:tc>
          <w:tcPr>
            <w:tcW w:w="1012" w:type="dxa"/>
            <w:shd w:val="clear" w:color="auto" w:fill="auto"/>
            <w:vAlign w:val="center"/>
          </w:tcPr>
          <w:p w14:paraId="5A6F8DC0" w14:textId="77777777" w:rsidR="007722BA" w:rsidRPr="00402F6F" w:rsidRDefault="007722BA" w:rsidP="00881D12">
            <w:pPr>
              <w:spacing w:after="0"/>
              <w:ind w:hanging="113"/>
              <w:jc w:val="center"/>
              <w:rPr>
                <w:b/>
                <w:bCs/>
                <w:sz w:val="24"/>
                <w:szCs w:val="20"/>
              </w:rPr>
            </w:pPr>
            <w:r w:rsidRPr="00402F6F">
              <w:rPr>
                <w:b/>
                <w:bCs/>
                <w:sz w:val="24"/>
                <w:szCs w:val="20"/>
              </w:rPr>
              <w:t>2016p</w:t>
            </w:r>
          </w:p>
        </w:tc>
      </w:tr>
      <w:tr w:rsidR="007722BA" w:rsidRPr="00402F6F" w14:paraId="2634E7A5" w14:textId="77777777" w:rsidTr="00881D12">
        <w:trPr>
          <w:trHeight w:val="245"/>
          <w:jc w:val="center"/>
        </w:trPr>
        <w:tc>
          <w:tcPr>
            <w:tcW w:w="4962" w:type="dxa"/>
            <w:shd w:val="clear" w:color="auto" w:fill="auto"/>
          </w:tcPr>
          <w:p w14:paraId="372BE349" w14:textId="77777777" w:rsidR="007722BA" w:rsidRPr="00402F6F" w:rsidRDefault="007722BA" w:rsidP="00881D12">
            <w:pPr>
              <w:spacing w:after="0"/>
              <w:rPr>
                <w:bCs/>
                <w:sz w:val="24"/>
                <w:szCs w:val="20"/>
              </w:rPr>
            </w:pPr>
            <w:r w:rsidRPr="00402F6F">
              <w:rPr>
                <w:bCs/>
                <w:sz w:val="24"/>
                <w:szCs w:val="20"/>
              </w:rPr>
              <w:t>Pasaule</w:t>
            </w:r>
          </w:p>
        </w:tc>
        <w:tc>
          <w:tcPr>
            <w:tcW w:w="1012" w:type="dxa"/>
            <w:shd w:val="clear" w:color="auto" w:fill="auto"/>
          </w:tcPr>
          <w:p w14:paraId="29BB4050" w14:textId="77777777" w:rsidR="007722BA" w:rsidRPr="00402F6F" w:rsidRDefault="007722BA" w:rsidP="00881D12">
            <w:pPr>
              <w:spacing w:after="0"/>
              <w:ind w:hanging="113"/>
              <w:jc w:val="center"/>
              <w:rPr>
                <w:sz w:val="24"/>
                <w:szCs w:val="20"/>
              </w:rPr>
            </w:pPr>
            <w:r w:rsidRPr="00402F6F">
              <w:rPr>
                <w:sz w:val="24"/>
                <w:szCs w:val="20"/>
              </w:rPr>
              <w:t>3,3</w:t>
            </w:r>
          </w:p>
        </w:tc>
        <w:tc>
          <w:tcPr>
            <w:tcW w:w="1012" w:type="dxa"/>
            <w:shd w:val="clear" w:color="auto" w:fill="auto"/>
          </w:tcPr>
          <w:p w14:paraId="0F9EF9E8" w14:textId="77777777" w:rsidR="007722BA" w:rsidRPr="00402F6F" w:rsidRDefault="007722BA" w:rsidP="00881D12">
            <w:pPr>
              <w:spacing w:after="0"/>
              <w:ind w:hanging="113"/>
              <w:jc w:val="center"/>
              <w:rPr>
                <w:sz w:val="24"/>
                <w:szCs w:val="20"/>
              </w:rPr>
            </w:pPr>
            <w:r w:rsidRPr="00402F6F">
              <w:rPr>
                <w:sz w:val="24"/>
                <w:szCs w:val="20"/>
              </w:rPr>
              <w:t>3,4</w:t>
            </w:r>
          </w:p>
        </w:tc>
        <w:tc>
          <w:tcPr>
            <w:tcW w:w="1012" w:type="dxa"/>
            <w:shd w:val="clear" w:color="auto" w:fill="auto"/>
          </w:tcPr>
          <w:p w14:paraId="60E5FFA3" w14:textId="77777777" w:rsidR="007722BA" w:rsidRPr="00402F6F" w:rsidRDefault="007722BA" w:rsidP="00881D12">
            <w:pPr>
              <w:spacing w:after="0"/>
              <w:ind w:hanging="113"/>
              <w:jc w:val="center"/>
              <w:rPr>
                <w:sz w:val="24"/>
                <w:szCs w:val="20"/>
              </w:rPr>
            </w:pPr>
            <w:r w:rsidRPr="00402F6F">
              <w:rPr>
                <w:sz w:val="24"/>
                <w:szCs w:val="20"/>
              </w:rPr>
              <w:t>3,5</w:t>
            </w:r>
          </w:p>
        </w:tc>
        <w:tc>
          <w:tcPr>
            <w:tcW w:w="1012" w:type="dxa"/>
            <w:shd w:val="clear" w:color="auto" w:fill="auto"/>
          </w:tcPr>
          <w:p w14:paraId="728CFF8E" w14:textId="77777777" w:rsidR="007722BA" w:rsidRPr="00402F6F" w:rsidRDefault="007722BA" w:rsidP="00881D12">
            <w:pPr>
              <w:spacing w:after="0"/>
              <w:ind w:hanging="113"/>
              <w:jc w:val="center"/>
              <w:rPr>
                <w:sz w:val="24"/>
                <w:szCs w:val="20"/>
              </w:rPr>
            </w:pPr>
            <w:r w:rsidRPr="00402F6F">
              <w:rPr>
                <w:sz w:val="24"/>
                <w:szCs w:val="20"/>
              </w:rPr>
              <w:t>3,9</w:t>
            </w:r>
          </w:p>
        </w:tc>
      </w:tr>
      <w:tr w:rsidR="007722BA" w:rsidRPr="00402F6F" w14:paraId="5DF93C48" w14:textId="77777777" w:rsidTr="00881D12">
        <w:trPr>
          <w:trHeight w:val="264"/>
          <w:jc w:val="center"/>
        </w:trPr>
        <w:tc>
          <w:tcPr>
            <w:tcW w:w="4962" w:type="dxa"/>
            <w:shd w:val="clear" w:color="auto" w:fill="auto"/>
          </w:tcPr>
          <w:p w14:paraId="56A75E8F" w14:textId="77777777" w:rsidR="007722BA" w:rsidRPr="00402F6F" w:rsidRDefault="007722BA" w:rsidP="00881D12">
            <w:pPr>
              <w:spacing w:after="0"/>
              <w:rPr>
                <w:bCs/>
                <w:sz w:val="24"/>
                <w:szCs w:val="20"/>
              </w:rPr>
            </w:pPr>
            <w:r w:rsidRPr="00402F6F">
              <w:rPr>
                <w:bCs/>
                <w:i/>
                <w:sz w:val="24"/>
                <w:szCs w:val="20"/>
              </w:rPr>
              <w:t>Euro</w:t>
            </w:r>
            <w:r w:rsidRPr="00402F6F">
              <w:rPr>
                <w:bCs/>
                <w:sz w:val="24"/>
                <w:szCs w:val="20"/>
              </w:rPr>
              <w:t xml:space="preserve"> zona</w:t>
            </w:r>
          </w:p>
        </w:tc>
        <w:tc>
          <w:tcPr>
            <w:tcW w:w="1012" w:type="dxa"/>
            <w:shd w:val="clear" w:color="auto" w:fill="auto"/>
          </w:tcPr>
          <w:p w14:paraId="6DE387F0" w14:textId="77777777" w:rsidR="007722BA" w:rsidRPr="00402F6F" w:rsidRDefault="007722BA" w:rsidP="00881D12">
            <w:pPr>
              <w:spacing w:after="0"/>
              <w:ind w:hanging="113"/>
              <w:jc w:val="center"/>
              <w:rPr>
                <w:sz w:val="24"/>
                <w:szCs w:val="20"/>
              </w:rPr>
            </w:pPr>
            <w:r w:rsidRPr="00402F6F">
              <w:rPr>
                <w:sz w:val="24"/>
                <w:szCs w:val="20"/>
              </w:rPr>
              <w:t>-0,4</w:t>
            </w:r>
          </w:p>
        </w:tc>
        <w:tc>
          <w:tcPr>
            <w:tcW w:w="1012" w:type="dxa"/>
            <w:shd w:val="clear" w:color="auto" w:fill="auto"/>
          </w:tcPr>
          <w:p w14:paraId="4CE2E2EB" w14:textId="77777777" w:rsidR="007722BA" w:rsidRPr="00402F6F" w:rsidRDefault="007722BA" w:rsidP="00881D12">
            <w:pPr>
              <w:spacing w:after="0"/>
              <w:ind w:hanging="113"/>
              <w:jc w:val="center"/>
              <w:rPr>
                <w:sz w:val="24"/>
                <w:szCs w:val="20"/>
              </w:rPr>
            </w:pPr>
            <w:r w:rsidRPr="00402F6F">
              <w:rPr>
                <w:sz w:val="24"/>
                <w:szCs w:val="20"/>
              </w:rPr>
              <w:t>0,9</w:t>
            </w:r>
          </w:p>
        </w:tc>
        <w:tc>
          <w:tcPr>
            <w:tcW w:w="1012" w:type="dxa"/>
            <w:shd w:val="clear" w:color="auto" w:fill="auto"/>
          </w:tcPr>
          <w:p w14:paraId="37283E65" w14:textId="77777777" w:rsidR="007722BA" w:rsidRPr="00402F6F" w:rsidRDefault="007722BA" w:rsidP="00881D12">
            <w:pPr>
              <w:spacing w:after="0"/>
              <w:ind w:hanging="113"/>
              <w:jc w:val="center"/>
              <w:rPr>
                <w:sz w:val="24"/>
                <w:szCs w:val="20"/>
              </w:rPr>
            </w:pPr>
            <w:r w:rsidRPr="00402F6F">
              <w:rPr>
                <w:sz w:val="24"/>
                <w:szCs w:val="20"/>
              </w:rPr>
              <w:t>1,5</w:t>
            </w:r>
          </w:p>
        </w:tc>
        <w:tc>
          <w:tcPr>
            <w:tcW w:w="1012" w:type="dxa"/>
            <w:shd w:val="clear" w:color="auto" w:fill="auto"/>
          </w:tcPr>
          <w:p w14:paraId="1DEE672F" w14:textId="77777777" w:rsidR="007722BA" w:rsidRPr="00402F6F" w:rsidRDefault="007722BA" w:rsidP="00881D12">
            <w:pPr>
              <w:spacing w:after="0"/>
              <w:ind w:hanging="113"/>
              <w:jc w:val="center"/>
              <w:rPr>
                <w:sz w:val="24"/>
                <w:szCs w:val="20"/>
              </w:rPr>
            </w:pPr>
            <w:r w:rsidRPr="00402F6F">
              <w:rPr>
                <w:sz w:val="24"/>
                <w:szCs w:val="20"/>
              </w:rPr>
              <w:t>1,9</w:t>
            </w:r>
          </w:p>
        </w:tc>
      </w:tr>
      <w:tr w:rsidR="007722BA" w:rsidRPr="00402F6F" w14:paraId="6F6F4DA0" w14:textId="77777777" w:rsidTr="00881D12">
        <w:trPr>
          <w:trHeight w:val="281"/>
          <w:jc w:val="center"/>
        </w:trPr>
        <w:tc>
          <w:tcPr>
            <w:tcW w:w="4962" w:type="dxa"/>
            <w:shd w:val="clear" w:color="auto" w:fill="auto"/>
          </w:tcPr>
          <w:p w14:paraId="3D8A7790" w14:textId="77777777" w:rsidR="007722BA" w:rsidRPr="00402F6F" w:rsidRDefault="007722BA" w:rsidP="00881D12">
            <w:pPr>
              <w:spacing w:after="0"/>
              <w:rPr>
                <w:bCs/>
                <w:sz w:val="24"/>
                <w:szCs w:val="20"/>
              </w:rPr>
            </w:pPr>
            <w:r w:rsidRPr="00402F6F">
              <w:rPr>
                <w:bCs/>
                <w:sz w:val="24"/>
                <w:szCs w:val="20"/>
              </w:rPr>
              <w:t>Vācija</w:t>
            </w:r>
          </w:p>
        </w:tc>
        <w:tc>
          <w:tcPr>
            <w:tcW w:w="1012" w:type="dxa"/>
            <w:shd w:val="clear" w:color="auto" w:fill="auto"/>
          </w:tcPr>
          <w:p w14:paraId="0419AE40" w14:textId="77777777" w:rsidR="007722BA" w:rsidRPr="00402F6F" w:rsidRDefault="007722BA" w:rsidP="00881D12">
            <w:pPr>
              <w:spacing w:after="0"/>
              <w:ind w:hanging="113"/>
              <w:jc w:val="center"/>
              <w:rPr>
                <w:sz w:val="24"/>
                <w:szCs w:val="20"/>
              </w:rPr>
            </w:pPr>
            <w:r w:rsidRPr="00402F6F">
              <w:rPr>
                <w:sz w:val="24"/>
                <w:szCs w:val="20"/>
              </w:rPr>
              <w:t>0,1</w:t>
            </w:r>
          </w:p>
        </w:tc>
        <w:tc>
          <w:tcPr>
            <w:tcW w:w="1012" w:type="dxa"/>
            <w:shd w:val="clear" w:color="auto" w:fill="auto"/>
          </w:tcPr>
          <w:p w14:paraId="683E860B" w14:textId="77777777" w:rsidR="007722BA" w:rsidRPr="00402F6F" w:rsidRDefault="007722BA" w:rsidP="00881D12">
            <w:pPr>
              <w:spacing w:after="0"/>
              <w:ind w:hanging="113"/>
              <w:jc w:val="center"/>
              <w:rPr>
                <w:sz w:val="24"/>
                <w:szCs w:val="20"/>
              </w:rPr>
            </w:pPr>
            <w:r w:rsidRPr="00402F6F">
              <w:rPr>
                <w:sz w:val="24"/>
                <w:szCs w:val="20"/>
              </w:rPr>
              <w:t>1,6</w:t>
            </w:r>
          </w:p>
        </w:tc>
        <w:tc>
          <w:tcPr>
            <w:tcW w:w="1012" w:type="dxa"/>
            <w:shd w:val="clear" w:color="auto" w:fill="auto"/>
          </w:tcPr>
          <w:p w14:paraId="41A9480F" w14:textId="77777777" w:rsidR="007722BA" w:rsidRPr="00402F6F" w:rsidRDefault="007722BA" w:rsidP="00881D12">
            <w:pPr>
              <w:spacing w:after="0"/>
              <w:ind w:hanging="113"/>
              <w:jc w:val="center"/>
              <w:rPr>
                <w:sz w:val="24"/>
                <w:szCs w:val="20"/>
              </w:rPr>
            </w:pPr>
            <w:r w:rsidRPr="00402F6F">
              <w:rPr>
                <w:sz w:val="24"/>
                <w:szCs w:val="20"/>
              </w:rPr>
              <w:t>1,9</w:t>
            </w:r>
          </w:p>
        </w:tc>
        <w:tc>
          <w:tcPr>
            <w:tcW w:w="1012" w:type="dxa"/>
            <w:shd w:val="clear" w:color="auto" w:fill="auto"/>
          </w:tcPr>
          <w:p w14:paraId="163E4F27" w14:textId="77777777" w:rsidR="007722BA" w:rsidRPr="00402F6F" w:rsidRDefault="007722BA" w:rsidP="00881D12">
            <w:pPr>
              <w:spacing w:after="0"/>
              <w:ind w:hanging="113"/>
              <w:jc w:val="center"/>
              <w:rPr>
                <w:sz w:val="24"/>
                <w:szCs w:val="20"/>
              </w:rPr>
            </w:pPr>
            <w:r w:rsidRPr="00402F6F">
              <w:rPr>
                <w:sz w:val="24"/>
                <w:szCs w:val="20"/>
              </w:rPr>
              <w:t>2,0</w:t>
            </w:r>
          </w:p>
        </w:tc>
      </w:tr>
      <w:tr w:rsidR="007722BA" w:rsidRPr="00402F6F" w14:paraId="2DC703FD" w14:textId="77777777" w:rsidTr="00881D12">
        <w:trPr>
          <w:trHeight w:val="271"/>
          <w:jc w:val="center"/>
        </w:trPr>
        <w:tc>
          <w:tcPr>
            <w:tcW w:w="4962" w:type="dxa"/>
            <w:shd w:val="clear" w:color="auto" w:fill="auto"/>
          </w:tcPr>
          <w:p w14:paraId="1C01F7C0" w14:textId="77777777" w:rsidR="007722BA" w:rsidRPr="00402F6F" w:rsidRDefault="007722BA" w:rsidP="00881D12">
            <w:pPr>
              <w:spacing w:after="0"/>
              <w:rPr>
                <w:bCs/>
                <w:sz w:val="24"/>
                <w:szCs w:val="20"/>
              </w:rPr>
            </w:pPr>
            <w:r w:rsidRPr="00402F6F">
              <w:rPr>
                <w:bCs/>
                <w:sz w:val="24"/>
                <w:szCs w:val="20"/>
              </w:rPr>
              <w:t>Lielbritānija</w:t>
            </w:r>
          </w:p>
        </w:tc>
        <w:tc>
          <w:tcPr>
            <w:tcW w:w="1012" w:type="dxa"/>
            <w:shd w:val="clear" w:color="auto" w:fill="auto"/>
          </w:tcPr>
          <w:p w14:paraId="128A47B6" w14:textId="77777777" w:rsidR="007722BA" w:rsidRPr="00402F6F" w:rsidRDefault="007722BA" w:rsidP="00881D12">
            <w:pPr>
              <w:spacing w:after="0"/>
              <w:ind w:hanging="113"/>
              <w:jc w:val="center"/>
              <w:rPr>
                <w:sz w:val="24"/>
                <w:szCs w:val="20"/>
              </w:rPr>
            </w:pPr>
            <w:r w:rsidRPr="00402F6F">
              <w:rPr>
                <w:sz w:val="24"/>
                <w:szCs w:val="20"/>
              </w:rPr>
              <w:t>1,7</w:t>
            </w:r>
          </w:p>
        </w:tc>
        <w:tc>
          <w:tcPr>
            <w:tcW w:w="1012" w:type="dxa"/>
            <w:shd w:val="clear" w:color="auto" w:fill="auto"/>
          </w:tcPr>
          <w:p w14:paraId="5DEDC51E" w14:textId="77777777" w:rsidR="007722BA" w:rsidRPr="00402F6F" w:rsidRDefault="007722BA" w:rsidP="00881D12">
            <w:pPr>
              <w:spacing w:after="0"/>
              <w:ind w:hanging="113"/>
              <w:jc w:val="center"/>
              <w:rPr>
                <w:sz w:val="24"/>
                <w:szCs w:val="20"/>
              </w:rPr>
            </w:pPr>
            <w:r w:rsidRPr="00402F6F">
              <w:rPr>
                <w:sz w:val="24"/>
                <w:szCs w:val="20"/>
              </w:rPr>
              <w:t>2,8</w:t>
            </w:r>
          </w:p>
        </w:tc>
        <w:tc>
          <w:tcPr>
            <w:tcW w:w="1012" w:type="dxa"/>
            <w:shd w:val="clear" w:color="auto" w:fill="auto"/>
          </w:tcPr>
          <w:p w14:paraId="05AFEBFD" w14:textId="77777777" w:rsidR="007722BA" w:rsidRPr="00402F6F" w:rsidRDefault="007722BA" w:rsidP="00881D12">
            <w:pPr>
              <w:spacing w:after="0"/>
              <w:ind w:hanging="113"/>
              <w:jc w:val="center"/>
              <w:rPr>
                <w:sz w:val="24"/>
                <w:szCs w:val="20"/>
              </w:rPr>
            </w:pPr>
            <w:r w:rsidRPr="00402F6F">
              <w:rPr>
                <w:sz w:val="24"/>
                <w:szCs w:val="20"/>
              </w:rPr>
              <w:t>2,6</w:t>
            </w:r>
          </w:p>
        </w:tc>
        <w:tc>
          <w:tcPr>
            <w:tcW w:w="1012" w:type="dxa"/>
            <w:shd w:val="clear" w:color="auto" w:fill="auto"/>
          </w:tcPr>
          <w:p w14:paraId="48FD0574" w14:textId="77777777" w:rsidR="007722BA" w:rsidRPr="00402F6F" w:rsidRDefault="007722BA" w:rsidP="00881D12">
            <w:pPr>
              <w:spacing w:after="0"/>
              <w:ind w:hanging="113"/>
              <w:jc w:val="center"/>
              <w:rPr>
                <w:sz w:val="24"/>
                <w:szCs w:val="20"/>
              </w:rPr>
            </w:pPr>
            <w:r w:rsidRPr="00402F6F">
              <w:rPr>
                <w:sz w:val="24"/>
                <w:szCs w:val="20"/>
              </w:rPr>
              <w:t>2,4</w:t>
            </w:r>
          </w:p>
        </w:tc>
      </w:tr>
      <w:tr w:rsidR="007722BA" w:rsidRPr="00402F6F" w14:paraId="6F7C2A38" w14:textId="77777777" w:rsidTr="00881D12">
        <w:trPr>
          <w:trHeight w:val="275"/>
          <w:jc w:val="center"/>
        </w:trPr>
        <w:tc>
          <w:tcPr>
            <w:tcW w:w="4962" w:type="dxa"/>
            <w:shd w:val="clear" w:color="auto" w:fill="auto"/>
          </w:tcPr>
          <w:p w14:paraId="46F0DA60" w14:textId="77777777" w:rsidR="007722BA" w:rsidRPr="00402F6F" w:rsidRDefault="007722BA" w:rsidP="00881D12">
            <w:pPr>
              <w:spacing w:after="0"/>
              <w:rPr>
                <w:bCs/>
                <w:sz w:val="24"/>
                <w:szCs w:val="20"/>
              </w:rPr>
            </w:pPr>
            <w:r w:rsidRPr="00402F6F">
              <w:rPr>
                <w:bCs/>
                <w:sz w:val="24"/>
                <w:szCs w:val="20"/>
              </w:rPr>
              <w:t>ASV</w:t>
            </w:r>
          </w:p>
        </w:tc>
        <w:tc>
          <w:tcPr>
            <w:tcW w:w="1012" w:type="dxa"/>
            <w:shd w:val="clear" w:color="auto" w:fill="auto"/>
          </w:tcPr>
          <w:p w14:paraId="20F66A12" w14:textId="77777777" w:rsidR="007722BA" w:rsidRPr="00402F6F" w:rsidRDefault="007722BA" w:rsidP="00881D12">
            <w:pPr>
              <w:spacing w:after="0"/>
              <w:ind w:hanging="113"/>
              <w:jc w:val="center"/>
              <w:rPr>
                <w:sz w:val="24"/>
                <w:szCs w:val="20"/>
              </w:rPr>
            </w:pPr>
            <w:r w:rsidRPr="00402F6F">
              <w:rPr>
                <w:sz w:val="24"/>
                <w:szCs w:val="20"/>
              </w:rPr>
              <w:t>2,2</w:t>
            </w:r>
          </w:p>
        </w:tc>
        <w:tc>
          <w:tcPr>
            <w:tcW w:w="1012" w:type="dxa"/>
            <w:shd w:val="clear" w:color="auto" w:fill="auto"/>
          </w:tcPr>
          <w:p w14:paraId="284FFC2C" w14:textId="77777777" w:rsidR="007722BA" w:rsidRPr="00402F6F" w:rsidRDefault="007722BA" w:rsidP="00881D12">
            <w:pPr>
              <w:spacing w:after="0"/>
              <w:ind w:hanging="113"/>
              <w:jc w:val="center"/>
              <w:rPr>
                <w:sz w:val="24"/>
                <w:szCs w:val="20"/>
              </w:rPr>
            </w:pPr>
            <w:r w:rsidRPr="00402F6F">
              <w:rPr>
                <w:sz w:val="24"/>
                <w:szCs w:val="20"/>
              </w:rPr>
              <w:t>2,4</w:t>
            </w:r>
          </w:p>
        </w:tc>
        <w:tc>
          <w:tcPr>
            <w:tcW w:w="1012" w:type="dxa"/>
            <w:shd w:val="clear" w:color="auto" w:fill="auto"/>
          </w:tcPr>
          <w:p w14:paraId="1F89F057" w14:textId="77777777" w:rsidR="007722BA" w:rsidRPr="00402F6F" w:rsidRDefault="007722BA" w:rsidP="00881D12">
            <w:pPr>
              <w:spacing w:after="0"/>
              <w:ind w:hanging="113"/>
              <w:jc w:val="center"/>
              <w:rPr>
                <w:sz w:val="24"/>
                <w:szCs w:val="20"/>
              </w:rPr>
            </w:pPr>
            <w:r w:rsidRPr="00402F6F">
              <w:rPr>
                <w:sz w:val="24"/>
                <w:szCs w:val="20"/>
              </w:rPr>
              <w:t>3,1</w:t>
            </w:r>
          </w:p>
        </w:tc>
        <w:tc>
          <w:tcPr>
            <w:tcW w:w="1012" w:type="dxa"/>
            <w:shd w:val="clear" w:color="auto" w:fill="auto"/>
          </w:tcPr>
          <w:p w14:paraId="09D5F09B" w14:textId="77777777" w:rsidR="007722BA" w:rsidRPr="00402F6F" w:rsidRDefault="007722BA" w:rsidP="00881D12">
            <w:pPr>
              <w:spacing w:after="0"/>
              <w:ind w:hanging="113"/>
              <w:jc w:val="center"/>
              <w:rPr>
                <w:sz w:val="24"/>
                <w:szCs w:val="20"/>
              </w:rPr>
            </w:pPr>
            <w:r w:rsidRPr="00402F6F">
              <w:rPr>
                <w:sz w:val="24"/>
                <w:szCs w:val="20"/>
              </w:rPr>
              <w:t>3,0</w:t>
            </w:r>
          </w:p>
        </w:tc>
      </w:tr>
      <w:tr w:rsidR="007722BA" w:rsidRPr="00402F6F" w14:paraId="5C06DA83" w14:textId="77777777" w:rsidTr="00881D12">
        <w:trPr>
          <w:trHeight w:val="279"/>
          <w:jc w:val="center"/>
        </w:trPr>
        <w:tc>
          <w:tcPr>
            <w:tcW w:w="4962" w:type="dxa"/>
            <w:shd w:val="clear" w:color="auto" w:fill="auto"/>
          </w:tcPr>
          <w:p w14:paraId="096CA43A" w14:textId="77777777" w:rsidR="007722BA" w:rsidRPr="00402F6F" w:rsidRDefault="007722BA" w:rsidP="00881D12">
            <w:pPr>
              <w:spacing w:after="0"/>
              <w:rPr>
                <w:bCs/>
                <w:sz w:val="24"/>
                <w:szCs w:val="20"/>
              </w:rPr>
            </w:pPr>
            <w:r w:rsidRPr="00402F6F">
              <w:rPr>
                <w:bCs/>
                <w:sz w:val="24"/>
                <w:szCs w:val="20"/>
              </w:rPr>
              <w:t>Japāna</w:t>
            </w:r>
          </w:p>
        </w:tc>
        <w:tc>
          <w:tcPr>
            <w:tcW w:w="1012" w:type="dxa"/>
            <w:shd w:val="clear" w:color="auto" w:fill="auto"/>
          </w:tcPr>
          <w:p w14:paraId="27E4FE8B" w14:textId="77777777" w:rsidR="007722BA" w:rsidRPr="00402F6F" w:rsidRDefault="007722BA" w:rsidP="00881D12">
            <w:pPr>
              <w:spacing w:after="0"/>
              <w:ind w:hanging="113"/>
              <w:jc w:val="center"/>
              <w:rPr>
                <w:sz w:val="24"/>
                <w:szCs w:val="20"/>
              </w:rPr>
            </w:pPr>
            <w:r w:rsidRPr="00402F6F">
              <w:rPr>
                <w:sz w:val="24"/>
                <w:szCs w:val="20"/>
              </w:rPr>
              <w:t>1,6</w:t>
            </w:r>
          </w:p>
        </w:tc>
        <w:tc>
          <w:tcPr>
            <w:tcW w:w="1012" w:type="dxa"/>
            <w:shd w:val="clear" w:color="auto" w:fill="auto"/>
          </w:tcPr>
          <w:p w14:paraId="1705DA30" w14:textId="77777777" w:rsidR="007722BA" w:rsidRPr="00402F6F" w:rsidRDefault="007722BA" w:rsidP="00881D12">
            <w:pPr>
              <w:spacing w:after="0"/>
              <w:ind w:hanging="113"/>
              <w:jc w:val="center"/>
              <w:rPr>
                <w:sz w:val="24"/>
                <w:szCs w:val="20"/>
              </w:rPr>
            </w:pPr>
            <w:r w:rsidRPr="00402F6F">
              <w:rPr>
                <w:sz w:val="24"/>
                <w:szCs w:val="20"/>
              </w:rPr>
              <w:t>0,0</w:t>
            </w:r>
          </w:p>
        </w:tc>
        <w:tc>
          <w:tcPr>
            <w:tcW w:w="1012" w:type="dxa"/>
            <w:shd w:val="clear" w:color="auto" w:fill="auto"/>
          </w:tcPr>
          <w:p w14:paraId="5690260C" w14:textId="77777777" w:rsidR="007722BA" w:rsidRPr="00402F6F" w:rsidRDefault="007722BA" w:rsidP="00881D12">
            <w:pPr>
              <w:spacing w:after="0"/>
              <w:ind w:hanging="113"/>
              <w:jc w:val="center"/>
              <w:rPr>
                <w:sz w:val="24"/>
                <w:szCs w:val="20"/>
              </w:rPr>
            </w:pPr>
            <w:r w:rsidRPr="00402F6F">
              <w:rPr>
                <w:sz w:val="24"/>
                <w:szCs w:val="20"/>
              </w:rPr>
              <w:t>1,1</w:t>
            </w:r>
          </w:p>
        </w:tc>
        <w:tc>
          <w:tcPr>
            <w:tcW w:w="1012" w:type="dxa"/>
            <w:shd w:val="clear" w:color="auto" w:fill="auto"/>
          </w:tcPr>
          <w:p w14:paraId="7310868E" w14:textId="77777777" w:rsidR="007722BA" w:rsidRPr="00402F6F" w:rsidRDefault="007722BA" w:rsidP="00881D12">
            <w:pPr>
              <w:spacing w:after="0"/>
              <w:ind w:hanging="113"/>
              <w:jc w:val="center"/>
              <w:rPr>
                <w:sz w:val="24"/>
                <w:szCs w:val="20"/>
              </w:rPr>
            </w:pPr>
            <w:r w:rsidRPr="00402F6F">
              <w:rPr>
                <w:sz w:val="24"/>
                <w:szCs w:val="20"/>
              </w:rPr>
              <w:t>1,4</w:t>
            </w:r>
          </w:p>
        </w:tc>
      </w:tr>
      <w:tr w:rsidR="007722BA" w:rsidRPr="00402F6F" w14:paraId="410C33A8" w14:textId="77777777" w:rsidTr="00881D12">
        <w:trPr>
          <w:trHeight w:val="127"/>
          <w:jc w:val="center"/>
        </w:trPr>
        <w:tc>
          <w:tcPr>
            <w:tcW w:w="4962" w:type="dxa"/>
            <w:shd w:val="clear" w:color="auto" w:fill="auto"/>
          </w:tcPr>
          <w:p w14:paraId="0DF9C735" w14:textId="77777777" w:rsidR="007722BA" w:rsidRPr="00402F6F" w:rsidRDefault="007722BA" w:rsidP="00881D12">
            <w:pPr>
              <w:spacing w:after="0"/>
              <w:rPr>
                <w:bCs/>
                <w:sz w:val="24"/>
                <w:szCs w:val="20"/>
              </w:rPr>
            </w:pPr>
            <w:r w:rsidRPr="00402F6F">
              <w:rPr>
                <w:bCs/>
                <w:sz w:val="24"/>
                <w:szCs w:val="20"/>
              </w:rPr>
              <w:t>Ķīna</w:t>
            </w:r>
          </w:p>
        </w:tc>
        <w:tc>
          <w:tcPr>
            <w:tcW w:w="1012" w:type="dxa"/>
            <w:shd w:val="clear" w:color="auto" w:fill="auto"/>
          </w:tcPr>
          <w:p w14:paraId="425BFA25" w14:textId="77777777" w:rsidR="007722BA" w:rsidRPr="00402F6F" w:rsidRDefault="007722BA" w:rsidP="00881D12">
            <w:pPr>
              <w:spacing w:after="0"/>
              <w:ind w:hanging="113"/>
              <w:jc w:val="center"/>
              <w:rPr>
                <w:sz w:val="24"/>
                <w:szCs w:val="20"/>
              </w:rPr>
            </w:pPr>
            <w:r w:rsidRPr="00402F6F">
              <w:rPr>
                <w:sz w:val="24"/>
                <w:szCs w:val="20"/>
              </w:rPr>
              <w:t>7,6</w:t>
            </w:r>
          </w:p>
        </w:tc>
        <w:tc>
          <w:tcPr>
            <w:tcW w:w="1012" w:type="dxa"/>
            <w:shd w:val="clear" w:color="auto" w:fill="auto"/>
          </w:tcPr>
          <w:p w14:paraId="5D9838A1" w14:textId="77777777" w:rsidR="007722BA" w:rsidRPr="00402F6F" w:rsidRDefault="007722BA" w:rsidP="00881D12">
            <w:pPr>
              <w:spacing w:after="0"/>
              <w:ind w:hanging="113"/>
              <w:jc w:val="center"/>
              <w:rPr>
                <w:sz w:val="24"/>
                <w:szCs w:val="20"/>
              </w:rPr>
            </w:pPr>
            <w:r w:rsidRPr="00402F6F">
              <w:rPr>
                <w:sz w:val="24"/>
                <w:szCs w:val="20"/>
              </w:rPr>
              <w:t>7,4</w:t>
            </w:r>
          </w:p>
        </w:tc>
        <w:tc>
          <w:tcPr>
            <w:tcW w:w="1012" w:type="dxa"/>
            <w:shd w:val="clear" w:color="auto" w:fill="auto"/>
          </w:tcPr>
          <w:p w14:paraId="33C15480" w14:textId="77777777" w:rsidR="007722BA" w:rsidRPr="00402F6F" w:rsidRDefault="007722BA" w:rsidP="00881D12">
            <w:pPr>
              <w:spacing w:after="0"/>
              <w:ind w:hanging="113"/>
              <w:jc w:val="center"/>
              <w:rPr>
                <w:sz w:val="24"/>
                <w:szCs w:val="20"/>
              </w:rPr>
            </w:pPr>
            <w:r w:rsidRPr="00402F6F">
              <w:rPr>
                <w:sz w:val="24"/>
                <w:szCs w:val="20"/>
              </w:rPr>
              <w:t>7,0</w:t>
            </w:r>
          </w:p>
        </w:tc>
        <w:tc>
          <w:tcPr>
            <w:tcW w:w="1012" w:type="dxa"/>
            <w:shd w:val="clear" w:color="auto" w:fill="auto"/>
          </w:tcPr>
          <w:p w14:paraId="1AD38E71" w14:textId="77777777" w:rsidR="007722BA" w:rsidRPr="00402F6F" w:rsidRDefault="007722BA" w:rsidP="00881D12">
            <w:pPr>
              <w:spacing w:after="0"/>
              <w:ind w:hanging="113"/>
              <w:jc w:val="center"/>
              <w:rPr>
                <w:sz w:val="24"/>
                <w:szCs w:val="20"/>
              </w:rPr>
            </w:pPr>
            <w:r w:rsidRPr="00402F6F">
              <w:rPr>
                <w:sz w:val="24"/>
                <w:szCs w:val="20"/>
              </w:rPr>
              <w:t>6,8</w:t>
            </w:r>
          </w:p>
        </w:tc>
      </w:tr>
    </w:tbl>
    <w:p w14:paraId="0C268D20" w14:textId="77777777" w:rsidR="007722BA" w:rsidRPr="00881D12" w:rsidRDefault="007722BA" w:rsidP="007722BA">
      <w:pPr>
        <w:pStyle w:val="Default"/>
        <w:spacing w:after="60"/>
        <w:ind w:firstLine="720"/>
        <w:jc w:val="both"/>
      </w:pPr>
      <w:r w:rsidRPr="00881D12">
        <w:t>Tomēr naftas cenu sarukums ne visu pasaules valstu ekonomiku ietekmē pozitīvi. Piemēram, naftas eksportētājvalstis, kas galvenokārt ir attīstības valstis, ir zaudētājas naftas cenu krituma rezultātā, jo būtiski samazinās to budžeta ieņēmumi. Neskatoties uz naftas cenu atšķirīgo ekonomisko ietekmi dažādos reģionos, starptautisko finanšu institūciju prognozes liecina, ka naftas cenu krituma kopējā ietekme uz pasaules ekonomiku būs pozitīva. Piemēram, SVF eksperti ir aprēķinājuši, ka zemās naftas cenas var pozitīvi ietekmēt globālo izaugsmi 2015. un 2016. gadā, nodrošinot papildus IKP pieaugumu par  0,5-1%.</w:t>
      </w:r>
      <w:r w:rsidRPr="00881D12">
        <w:rPr>
          <w:vertAlign w:val="superscript"/>
        </w:rPr>
        <w:footnoteReference w:id="2"/>
      </w:r>
    </w:p>
    <w:p w14:paraId="3E00B6FA" w14:textId="77777777" w:rsidR="007722BA" w:rsidRPr="00881D12" w:rsidRDefault="007722BA" w:rsidP="007722BA">
      <w:pPr>
        <w:pStyle w:val="Default"/>
        <w:spacing w:before="120" w:after="60"/>
        <w:ind w:firstLine="720"/>
        <w:jc w:val="both"/>
      </w:pPr>
      <w:r w:rsidRPr="00881D12">
        <w:t xml:space="preserve">Jāatzīmē, ka kopš aprīļa naftas cenu dinamikai ir pretēja tendence, jo tās ir nedaudz pieaugušas. Salīdzinot ar naftas cenas zemāko punktu, kas tika fiksēts š.g. janvāra vidū, maija vidū </w:t>
      </w:r>
      <w:r w:rsidRPr="00881D12">
        <w:rPr>
          <w:i/>
        </w:rPr>
        <w:t>Brent</w:t>
      </w:r>
      <w:r w:rsidRPr="00881D12">
        <w:t xml:space="preserve"> jēlnaftas cenas bija par 44% augstākas. Taču tās ir joprojām zemas, jo par 39% atpaliek no naftas cenām gadu iepriekš. Ir grūti noteikt turpmāko naftas cenu attīstības dinamiku, bet to izmaiņas neapšaubāmi ieviesīs zināmas korekcijas pasaules valstu izaugsmes potenciālā.</w:t>
      </w:r>
    </w:p>
    <w:p w14:paraId="3C78710F" w14:textId="77777777" w:rsidR="007722BA" w:rsidRPr="00881D12" w:rsidRDefault="007722BA" w:rsidP="007722BA">
      <w:pPr>
        <w:spacing w:after="60"/>
        <w:ind w:firstLine="720"/>
        <w:rPr>
          <w:rFonts w:cs="Times New Roman"/>
          <w:sz w:val="24"/>
          <w:szCs w:val="24"/>
        </w:rPr>
      </w:pPr>
      <w:r w:rsidRPr="00881D12">
        <w:rPr>
          <w:rFonts w:cs="Times New Roman"/>
          <w:color w:val="000000"/>
          <w:sz w:val="24"/>
          <w:szCs w:val="24"/>
          <w:lang w:eastAsia="lv-LV"/>
        </w:rPr>
        <w:t>Tādējādi ievērojot atšķirīgo naftas cenu izmaiņu ietekmi uz dažādām pasaules ekonomikām, aprīlī EK ir nedaudz samazinājusi globālās izaugsmes prognozi 2015.gadam no 3,6% uz 3,5%, bet 2016.gadam – no 4,0% uz 3,9%. Taču ES IKP pieauguma prognoze 2015.gadam, tieši otrādi, tika paaugstināta – par 0,1 procentpunktu uz 1,8%, bet 2016.gadam netika mainīta, saglabājot 2,1%. Papildus zemajām naftas cenām augstāku izaugsmi ES veicinās ECB aktīvu iegādes programmas paplašināšana, eiro kursa kritums un EK jaunais investīciju plāns.</w:t>
      </w:r>
    </w:p>
    <w:p w14:paraId="739616ED" w14:textId="77777777" w:rsidR="007722BA" w:rsidRPr="00881D12" w:rsidRDefault="007722BA" w:rsidP="007722BA">
      <w:pPr>
        <w:spacing w:after="60"/>
        <w:ind w:firstLine="720"/>
        <w:rPr>
          <w:rFonts w:cs="Times New Roman"/>
          <w:color w:val="000000"/>
          <w:sz w:val="24"/>
          <w:szCs w:val="24"/>
          <w:lang w:eastAsia="lv-LV"/>
        </w:rPr>
      </w:pPr>
      <w:r w:rsidRPr="00881D12">
        <w:rPr>
          <w:rFonts w:cs="Times New Roman"/>
          <w:color w:val="000000"/>
          <w:sz w:val="24"/>
          <w:szCs w:val="24"/>
          <w:lang w:eastAsia="lv-LV"/>
        </w:rPr>
        <w:t xml:space="preserve">ECB deflācijas novēršanai un ekonomiskās izaugsmes veicināšanai ir paplašinājusi savus monetārās stimulēšanas pasākumus, no 2015.gada marta savā aktīvu iegādes programmā ietverot arī valdību vērtspapīrus. Aktīvu iegāžu kopējais apjoms mēnesī sasniegs 60 miljardus </w:t>
      </w:r>
      <w:r w:rsidRPr="00881D12">
        <w:rPr>
          <w:rFonts w:cs="Times New Roman"/>
          <w:i/>
          <w:color w:val="000000"/>
          <w:sz w:val="24"/>
          <w:szCs w:val="24"/>
          <w:lang w:eastAsia="lv-LV"/>
        </w:rPr>
        <w:t>euro</w:t>
      </w:r>
      <w:r w:rsidRPr="00881D12">
        <w:rPr>
          <w:rFonts w:cs="Times New Roman"/>
          <w:color w:val="000000"/>
          <w:sz w:val="24"/>
          <w:szCs w:val="24"/>
          <w:lang w:eastAsia="lv-LV"/>
        </w:rPr>
        <w:t xml:space="preserve"> un programma darbosies vismaz līdz 2016.gada septembra beigām, veicinot uzņēmumu un privātpersonu kreditēšanu, iepludinot ekonomikā papildus naudas līdzekļus un stimulējot ekonomisko aktivitāti </w:t>
      </w:r>
      <w:r w:rsidRPr="00881D12">
        <w:rPr>
          <w:rFonts w:cs="Times New Roman"/>
          <w:i/>
          <w:color w:val="000000"/>
          <w:sz w:val="24"/>
          <w:szCs w:val="24"/>
          <w:lang w:eastAsia="lv-LV"/>
        </w:rPr>
        <w:t>euro</w:t>
      </w:r>
      <w:r w:rsidRPr="00881D12">
        <w:rPr>
          <w:rFonts w:cs="Times New Roman"/>
          <w:color w:val="000000"/>
          <w:sz w:val="24"/>
          <w:szCs w:val="24"/>
          <w:lang w:eastAsia="lv-LV"/>
        </w:rPr>
        <w:t xml:space="preserve"> zonā. Arī </w:t>
      </w:r>
      <w:r w:rsidRPr="00881D12">
        <w:rPr>
          <w:rFonts w:cs="Times New Roman"/>
          <w:i/>
          <w:color w:val="000000"/>
          <w:sz w:val="24"/>
          <w:szCs w:val="24"/>
          <w:lang w:eastAsia="lv-LV"/>
        </w:rPr>
        <w:t>euro</w:t>
      </w:r>
      <w:r w:rsidRPr="00881D12">
        <w:rPr>
          <w:rFonts w:cs="Times New Roman"/>
          <w:color w:val="000000"/>
          <w:sz w:val="24"/>
          <w:szCs w:val="24"/>
          <w:lang w:eastAsia="lv-LV"/>
        </w:rPr>
        <w:t xml:space="preserve"> vērtības samazināšanās pret ASV dolāru nostiprinās </w:t>
      </w:r>
      <w:r w:rsidRPr="00881D12">
        <w:rPr>
          <w:rFonts w:cs="Times New Roman"/>
          <w:i/>
          <w:color w:val="000000"/>
          <w:sz w:val="24"/>
          <w:szCs w:val="24"/>
          <w:lang w:eastAsia="lv-LV"/>
        </w:rPr>
        <w:t>euro</w:t>
      </w:r>
      <w:r w:rsidRPr="00881D12">
        <w:rPr>
          <w:rFonts w:cs="Times New Roman"/>
          <w:color w:val="000000"/>
          <w:sz w:val="24"/>
          <w:szCs w:val="24"/>
          <w:lang w:eastAsia="lv-LV"/>
        </w:rPr>
        <w:t xml:space="preserve"> zonas uzņēmumu cenu konkurētspēju un veicinās eksportu. Savukārt EK savā investīciju plāna ietvaros paredz laikā līdz 2017.gadam piesaistīt ekonomikā jaunas publiskās un privātās investīcijas vismaz 315 miljardu </w:t>
      </w:r>
      <w:r w:rsidRPr="00881D12">
        <w:rPr>
          <w:rFonts w:cs="Times New Roman"/>
          <w:i/>
          <w:color w:val="000000"/>
          <w:sz w:val="24"/>
          <w:szCs w:val="24"/>
          <w:lang w:eastAsia="lv-LV"/>
        </w:rPr>
        <w:t>euro</w:t>
      </w:r>
      <w:r w:rsidRPr="00881D12">
        <w:rPr>
          <w:rFonts w:cs="Times New Roman"/>
          <w:color w:val="000000"/>
          <w:sz w:val="24"/>
          <w:szCs w:val="24"/>
          <w:lang w:eastAsia="lv-LV"/>
        </w:rPr>
        <w:t xml:space="preserve"> apmērā. </w:t>
      </w:r>
    </w:p>
    <w:p w14:paraId="5FFA7111" w14:textId="77777777" w:rsidR="007722BA" w:rsidRPr="00881D12" w:rsidRDefault="007722BA" w:rsidP="007722BA">
      <w:pPr>
        <w:pStyle w:val="Default"/>
        <w:spacing w:after="60"/>
        <w:ind w:firstLine="720"/>
        <w:jc w:val="both"/>
      </w:pPr>
      <w:r w:rsidRPr="00881D12">
        <w:t>Latvijas un tās galveno tirdzniecības partnervalstu vidējā svērtā ekonomikas izaugsme 2014.gada nogalē bija vienā līmenī, aizvien pārsniedzot ES vidējo rādītāju, tomēr izaugsmes tempu dinamika norāda uz ekonomikas pieaugumu tuvināšanos. Turklāt atbilstoši prognozēm 2015.gadā ES kopējā izaugsme pārsniegs Latvijas tirdzniecības partneru izaugsmi, kas skaidrojams ar negatīvo IKP pieauguma prognozi Krievijai.</w:t>
      </w:r>
    </w:p>
    <w:p w14:paraId="25D07377" w14:textId="77777777" w:rsidR="007722BA" w:rsidRPr="00A02E4F" w:rsidRDefault="007722BA" w:rsidP="007722BA">
      <w:pPr>
        <w:ind w:firstLine="0"/>
        <w:jc w:val="center"/>
        <w:rPr>
          <w:b/>
          <w:sz w:val="24"/>
          <w:szCs w:val="24"/>
        </w:rPr>
      </w:pPr>
      <w:r>
        <w:rPr>
          <w:noProof/>
          <w:lang w:eastAsia="lv-LV"/>
        </w:rPr>
        <w:drawing>
          <wp:inline distT="0" distB="0" distL="0" distR="0" wp14:anchorId="554B23A9" wp14:editId="3EA3FEC2">
            <wp:extent cx="5907405" cy="2509284"/>
            <wp:effectExtent l="0" t="0" r="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8EA7159" w14:textId="77777777" w:rsidR="007722BA" w:rsidRPr="00234FC7" w:rsidRDefault="00DE56E7" w:rsidP="00DE56E7">
      <w:pPr>
        <w:pStyle w:val="ListParagraph"/>
        <w:spacing w:before="120"/>
        <w:ind w:left="1069" w:firstLine="0"/>
        <w:jc w:val="center"/>
        <w:rPr>
          <w:b/>
          <w:sz w:val="20"/>
          <w:szCs w:val="20"/>
        </w:rPr>
      </w:pPr>
      <w:r w:rsidRPr="00234FC7">
        <w:rPr>
          <w:b/>
          <w:sz w:val="20"/>
          <w:szCs w:val="20"/>
        </w:rPr>
        <w:t>1.1. </w:t>
      </w:r>
      <w:r w:rsidR="007722BA" w:rsidRPr="00234FC7">
        <w:rPr>
          <w:b/>
          <w:sz w:val="20"/>
          <w:szCs w:val="20"/>
        </w:rPr>
        <w:t>att. Latvijas partnervalstu</w:t>
      </w:r>
      <w:r w:rsidR="007722BA" w:rsidRPr="00234FC7">
        <w:rPr>
          <w:sz w:val="20"/>
          <w:szCs w:val="20"/>
          <w:vertAlign w:val="superscript"/>
        </w:rPr>
        <w:footnoteReference w:id="3"/>
      </w:r>
      <w:r w:rsidR="007722BA" w:rsidRPr="00234FC7">
        <w:rPr>
          <w:b/>
          <w:sz w:val="20"/>
          <w:szCs w:val="20"/>
        </w:rPr>
        <w:t xml:space="preserve"> un ES IKP pieauguma tempi un prognozes, %</w:t>
      </w:r>
    </w:p>
    <w:p w14:paraId="650B4A5B" w14:textId="77777777" w:rsidR="007722BA" w:rsidRPr="00881D12" w:rsidRDefault="007722BA" w:rsidP="007722BA">
      <w:pPr>
        <w:spacing w:after="0"/>
        <w:rPr>
          <w:sz w:val="24"/>
        </w:rPr>
      </w:pPr>
      <w:r w:rsidRPr="00881D12">
        <w:rPr>
          <w:sz w:val="24"/>
        </w:rPr>
        <w:t>Tajā pašā laikā jāatzīmē, ka kopumā situācija ES darba tirgū pakāpeniski uzlabojas un ieviestās strukturālās reformas pamazām sniedz rezultātus, kas par spīti ārējās vides nestabilitātei un iekšējām ekonomiskajām problēmām labvēlīgi ietekmēs reģiona izaugsmi 2015.gadā.</w:t>
      </w:r>
    </w:p>
    <w:p w14:paraId="7D307BE4" w14:textId="77777777" w:rsidR="007722BA" w:rsidRPr="00062774" w:rsidRDefault="007722BA" w:rsidP="007722BA"/>
    <w:p w14:paraId="480DDD2D" w14:textId="77777777" w:rsidR="007722BA" w:rsidRDefault="007722BA" w:rsidP="009F4B95">
      <w:pPr>
        <w:pStyle w:val="Style2"/>
        <w:jc w:val="center"/>
      </w:pPr>
      <w:bookmarkStart w:id="14" w:name="_Toc356399249"/>
      <w:bookmarkStart w:id="15" w:name="_Toc387845616"/>
      <w:bookmarkStart w:id="16" w:name="_Toc387911140"/>
      <w:bookmarkStart w:id="17" w:name="_Toc419737725"/>
      <w:bookmarkStart w:id="18" w:name="_Toc104093072"/>
      <w:bookmarkStart w:id="19" w:name="_Toc167254134"/>
      <w:bookmarkStart w:id="20" w:name="_Toc262026544"/>
      <w:bookmarkEnd w:id="12"/>
      <w:bookmarkEnd w:id="13"/>
      <w:r w:rsidRPr="00062774">
        <w:t>1.2. Iekšzemes kopprodukts, ekonomiskā aktivitāte</w:t>
      </w:r>
      <w:bookmarkEnd w:id="14"/>
      <w:bookmarkEnd w:id="15"/>
      <w:bookmarkEnd w:id="16"/>
      <w:bookmarkEnd w:id="17"/>
    </w:p>
    <w:p w14:paraId="56EAF138" w14:textId="77777777" w:rsidR="007722BA" w:rsidRPr="00881D12" w:rsidRDefault="007722BA" w:rsidP="007722BA">
      <w:pPr>
        <w:pStyle w:val="Default"/>
        <w:spacing w:after="60"/>
        <w:ind w:firstLine="720"/>
        <w:jc w:val="both"/>
        <w:rPr>
          <w:szCs w:val="23"/>
        </w:rPr>
      </w:pPr>
      <w:r w:rsidRPr="00881D12">
        <w:rPr>
          <w:szCs w:val="23"/>
        </w:rPr>
        <w:t>Pēc vairākiem spēcīgas ekonomiskās izaugsmes gadiem, kad laika periodā no 2011.gada līdz 2013.gadam Latvijas ekonomika pieauga par 4-5% gadā, 2014.gadā Latvijas IKP pieauguma tempi palēninājās, uzrādot 2,4% izaugsmi. Ekonomikas izaugsme sabremzējās dažādu iekšējo un ārējo faktoru ietekmē, starp kuriem svarīgākie ir ģeopolitiskās situācijas pasliktināšanās, tirdzniecības sankciju ieviešana un Krievijas ekonomikas recesija. Neskatoties uz izaugsmes tempu palēnināšanos, Latvijas IKP pieaugums pērn ir bijis viens no augstākajiem ES dalībvalstu vidū, par 1 procentpunktu pārsniedzot ES vidējo izaugsmes līmeni.</w:t>
      </w:r>
    </w:p>
    <w:p w14:paraId="0E34E470" w14:textId="77777777" w:rsidR="007722BA" w:rsidRPr="00881D12" w:rsidRDefault="007722BA" w:rsidP="007722BA">
      <w:pPr>
        <w:pStyle w:val="Default"/>
        <w:spacing w:after="60"/>
        <w:ind w:firstLine="720"/>
        <w:jc w:val="both"/>
        <w:rPr>
          <w:szCs w:val="23"/>
        </w:rPr>
      </w:pPr>
      <w:r w:rsidRPr="00881D12">
        <w:rPr>
          <w:szCs w:val="23"/>
        </w:rPr>
        <w:t xml:space="preserve">Saskaņā ar IKP ātro novērtējumu Latvijas ekonomikas izaugsme 2015. gada pirmajā ceturksnī, salīdzinot ar 2014. gada attiecīgo laika periodu, noslīdējusi līdz 2,0%, kas </w:t>
      </w:r>
      <w:r w:rsidRPr="00881D12">
        <w:t>ir lēnākais IKP pieaugums kopš 2011. gada sākuma</w:t>
      </w:r>
      <w:r w:rsidRPr="00881D12">
        <w:rPr>
          <w:szCs w:val="23"/>
        </w:rPr>
        <w:t>. Ekonomikas izaugsmi turpināja negatīvi ietekmēt ārējās vides faktori, jo galvenais izaugsmes virzītājs bija iekšējais tirgus, ko noteica stabilais algu un nodarbinātības pieaugums.</w:t>
      </w:r>
    </w:p>
    <w:p w14:paraId="1E2C502A" w14:textId="77777777" w:rsidR="007722BA" w:rsidRDefault="007722BA" w:rsidP="007722BA">
      <w:pPr>
        <w:pStyle w:val="Default"/>
        <w:spacing w:after="60"/>
        <w:ind w:firstLine="720"/>
        <w:rPr>
          <w:szCs w:val="23"/>
        </w:rPr>
      </w:pPr>
      <w:r w:rsidRPr="00000F4A">
        <w:rPr>
          <w:noProof/>
        </w:rPr>
        <w:drawing>
          <wp:inline distT="0" distB="0" distL="0" distR="0" wp14:anchorId="347135B0" wp14:editId="76257946">
            <wp:extent cx="5334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szCs w:val="23"/>
        </w:rPr>
        <w:t>’</w:t>
      </w:r>
    </w:p>
    <w:p w14:paraId="250C2CEE" w14:textId="77777777" w:rsidR="007722BA" w:rsidRPr="00234FC7" w:rsidRDefault="00DE56E7" w:rsidP="00DE56E7">
      <w:pPr>
        <w:pStyle w:val="ListParagraph"/>
        <w:ind w:left="1429" w:firstLine="0"/>
        <w:jc w:val="center"/>
        <w:rPr>
          <w:rFonts w:cs="Times New Roman"/>
          <w:b/>
          <w:sz w:val="20"/>
          <w:szCs w:val="24"/>
        </w:rPr>
      </w:pPr>
      <w:r w:rsidRPr="00234FC7">
        <w:rPr>
          <w:rFonts w:cs="Times New Roman"/>
          <w:b/>
          <w:sz w:val="20"/>
          <w:szCs w:val="24"/>
        </w:rPr>
        <w:t>1.2. </w:t>
      </w:r>
      <w:r w:rsidR="007722BA" w:rsidRPr="00234FC7">
        <w:rPr>
          <w:rFonts w:cs="Times New Roman"/>
          <w:b/>
          <w:sz w:val="20"/>
          <w:szCs w:val="24"/>
        </w:rPr>
        <w:t>att. IKP apjoma izmaiņas salīdzināmajās cenās, %</w:t>
      </w:r>
    </w:p>
    <w:p w14:paraId="5F247FD9" w14:textId="77777777" w:rsidR="007722BA" w:rsidRPr="00881D12" w:rsidRDefault="007722BA" w:rsidP="007722BA">
      <w:pPr>
        <w:pStyle w:val="Default"/>
        <w:spacing w:after="60"/>
        <w:ind w:firstLine="720"/>
        <w:jc w:val="both"/>
        <w:rPr>
          <w:szCs w:val="23"/>
        </w:rPr>
      </w:pPr>
      <w:r w:rsidRPr="00881D12">
        <w:rPr>
          <w:szCs w:val="23"/>
        </w:rPr>
        <w:t>Līdzīgi kā pērn arī š.g. pirmajos trīs mēnešos ekonomikas izaugsmi stimulēja iekšējais patēriņš, pakalpojumu nozaru (izņemot tirdzniecību) pievienotās vērtības pieaugumam sasniedzot 2%. Šādas ekonomiskās attīstības tendences nosaka gan uzlabojumi darba tirgū, gan zemā inflācija. Turklāt mazumtirdzniecības apgrozījums 2015. gada pirmo trīs mēnešu laikā ir pieaudzis par 7,5%, kas ir straujākais kāpums pēdējo divu gadu laikā. Taču kopējie tirdzniecības apjomi š.g. pirmajā ceturksnī saglabājās iepriekšējā gada līmenī.</w:t>
      </w:r>
    </w:p>
    <w:p w14:paraId="16499C6C" w14:textId="77777777" w:rsidR="007722BA" w:rsidRPr="00881D12" w:rsidRDefault="007722BA" w:rsidP="007722BA">
      <w:pPr>
        <w:pStyle w:val="Default"/>
        <w:spacing w:after="60"/>
        <w:ind w:firstLine="720"/>
        <w:jc w:val="both"/>
        <w:rPr>
          <w:szCs w:val="23"/>
        </w:rPr>
      </w:pPr>
      <w:r w:rsidRPr="00881D12">
        <w:rPr>
          <w:szCs w:val="23"/>
        </w:rPr>
        <w:t>Savukārt straujāko kāpumu š.g. pirmajā ceturksnī uzrādījusi apstrādes rūpniecība, nozares pievienotajai vērtībai augot par 4% salīdzinājumā ar atbilstošo laika periodu 2014. gadā. To pozitīvi ietekmēja metālu nozare, februārī atsākoties ražošanai metalurģijas uzņēmumā AS “KVV Liepājas metalurgs”. Bet būvniecības pievienotas vērtības samazinājumu par 1% ietekmēja salīdzinoši augstā bāze iepriekšējā gada pirmajā ceturksnī un pērnā gada otrajā pusē pieņemtās izmaiņas Imigrācijas likumā,</w:t>
      </w:r>
      <w:r w:rsidRPr="00881D12">
        <w:t xml:space="preserve"> kā rezultātā tika paaugstināta minimālā nekustamā īpašuma iegādes vērtība, kas nerezidentiem ir jāiegulda apmaiņā pret uzturēšanās atļauju</w:t>
      </w:r>
      <w:r w:rsidRPr="00881D12">
        <w:rPr>
          <w:szCs w:val="23"/>
        </w:rPr>
        <w:t xml:space="preserve">. </w:t>
      </w:r>
    </w:p>
    <w:p w14:paraId="2102A6FD" w14:textId="77777777" w:rsidR="007722BA" w:rsidRPr="00881D12" w:rsidRDefault="007722BA" w:rsidP="007722BA">
      <w:pPr>
        <w:pStyle w:val="Default"/>
        <w:spacing w:after="60"/>
        <w:ind w:firstLine="720"/>
        <w:jc w:val="both"/>
        <w:rPr>
          <w:szCs w:val="23"/>
        </w:rPr>
      </w:pPr>
      <w:r w:rsidRPr="00881D12">
        <w:rPr>
          <w:szCs w:val="23"/>
        </w:rPr>
        <w:t>Preču eksports 2015. gada sākumā attīstījies nevienmērīgi, pirmajos divos š.g. mēnešos uzrādot vien 0,7% pieaugumu. Šajā laika posmā ir ievērojami kritušies eksporta apjomi uz Krieviju, taču  jāatzīmē, ka priekšnosacījumi tendences maiņai ir uzlabojušies, jo kopš marta sākuma rubļa kurss pret eiro ir būtiski pieaudzis. Šāds rubļa vērtības kāpums pozitīvi ietekmēs Latvijas uzņēmēju konkurētspēju. Tāpat tas uzlabos arī Latvijas eksporta iespējas uz Krieviju.</w:t>
      </w:r>
    </w:p>
    <w:p w14:paraId="7DCD03E2" w14:textId="77777777" w:rsidR="007722BA" w:rsidRPr="00881D12" w:rsidRDefault="007722BA" w:rsidP="007722BA">
      <w:pPr>
        <w:pStyle w:val="Default"/>
        <w:spacing w:after="60"/>
        <w:ind w:firstLine="720"/>
        <w:jc w:val="both"/>
        <w:rPr>
          <w:iCs/>
          <w:szCs w:val="23"/>
        </w:rPr>
      </w:pPr>
      <w:r w:rsidRPr="00881D12">
        <w:rPr>
          <w:szCs w:val="23"/>
        </w:rPr>
        <w:t xml:space="preserve">Kopumā, </w:t>
      </w:r>
      <w:r w:rsidRPr="00881D12">
        <w:rPr>
          <w:iCs/>
          <w:szCs w:val="23"/>
        </w:rPr>
        <w:t xml:space="preserve">ievērojot aizvien saspringto un nestabilo ģeopolitisko situāciju reģionā un tās izraisītās tiešās un netiešās sekas, Latvijas ekonomikas izaugsme š.g. pirmajā ceturksnī </w:t>
      </w:r>
      <w:r w:rsidRPr="00881D12">
        <w:rPr>
          <w:szCs w:val="23"/>
        </w:rPr>
        <w:t xml:space="preserve"> </w:t>
      </w:r>
      <w:r w:rsidRPr="00881D12">
        <w:rPr>
          <w:iCs/>
          <w:szCs w:val="23"/>
        </w:rPr>
        <w:t>vērtējama pozitīvi, jo IKP pieaugums gada sākumā ir bijis tuvu FM prognozētajam līmenim. FM prognozē, ka 2015.gadā kopumā ekonomikas izaugsme būs 2,1%, savukārt 2016.gadā IKP pieauguma temps sasniegs 3% līmeni.</w:t>
      </w:r>
    </w:p>
    <w:p w14:paraId="3D1AFC59" w14:textId="77777777" w:rsidR="007722BA" w:rsidRPr="00881D12" w:rsidRDefault="007722BA" w:rsidP="007722BA">
      <w:pPr>
        <w:pStyle w:val="Default"/>
        <w:spacing w:after="60"/>
        <w:ind w:firstLine="720"/>
        <w:jc w:val="both"/>
        <w:rPr>
          <w:iCs/>
          <w:szCs w:val="23"/>
        </w:rPr>
      </w:pPr>
      <w:r w:rsidRPr="00881D12">
        <w:rPr>
          <w:iCs/>
          <w:szCs w:val="23"/>
        </w:rPr>
        <w:t>Jāatzīmē, ka ārējās vides riski turpinās apdraudēt ekonomiskās izaugsmes perspektīvas arī nākošajos š.g. ceturkšņos, taču iekšējās vides priekšnoteikumi ekonomikas straujākai izaugsmei ir labvēlīgi, ko apstiprina pieejamie statistikas dati un Latvijas uzņēmēju un patērētāju konfidences līmeņa pieaugums š.g. sākumā.</w:t>
      </w:r>
    </w:p>
    <w:p w14:paraId="4F4FB6ED" w14:textId="77777777" w:rsidR="007722BA" w:rsidRPr="00062774" w:rsidRDefault="007722BA" w:rsidP="00E757B9">
      <w:pPr>
        <w:pStyle w:val="Style2"/>
        <w:jc w:val="center"/>
      </w:pPr>
      <w:bookmarkStart w:id="21" w:name="_Toc325101914"/>
      <w:bookmarkStart w:id="22" w:name="_Toc387845617"/>
      <w:bookmarkStart w:id="23" w:name="_Toc387911141"/>
      <w:bookmarkStart w:id="24" w:name="_Toc419737726"/>
      <w:r w:rsidRPr="00062774">
        <w:t>1.3. Tautsaimniecības nozaru attīstība</w:t>
      </w:r>
      <w:bookmarkEnd w:id="21"/>
      <w:bookmarkEnd w:id="22"/>
      <w:bookmarkEnd w:id="23"/>
      <w:bookmarkEnd w:id="24"/>
    </w:p>
    <w:p w14:paraId="40297EB6" w14:textId="77777777" w:rsidR="007722BA" w:rsidRPr="00062774" w:rsidRDefault="007722BA" w:rsidP="007722BA">
      <w:pPr>
        <w:jc w:val="center"/>
        <w:rPr>
          <w:b/>
        </w:rPr>
      </w:pPr>
      <w:bookmarkStart w:id="25" w:name="_Toc262026542"/>
      <w:r w:rsidRPr="00062774">
        <w:rPr>
          <w:b/>
        </w:rPr>
        <w:t>Rūpniecība</w:t>
      </w:r>
      <w:bookmarkEnd w:id="25"/>
    </w:p>
    <w:p w14:paraId="12EED314" w14:textId="77777777" w:rsidR="007722BA" w:rsidRPr="00E757B9" w:rsidRDefault="007722BA" w:rsidP="007722BA">
      <w:pPr>
        <w:keepNext/>
        <w:tabs>
          <w:tab w:val="left" w:pos="7797"/>
        </w:tabs>
        <w:rPr>
          <w:rFonts w:eastAsia="Times New Roman" w:cs="Times New Roman"/>
          <w:sz w:val="24"/>
          <w:szCs w:val="24"/>
        </w:rPr>
      </w:pPr>
      <w:r w:rsidRPr="00E757B9">
        <w:rPr>
          <w:rFonts w:eastAsia="Times New Roman" w:cs="Times New Roman"/>
          <w:sz w:val="24"/>
          <w:szCs w:val="24"/>
        </w:rPr>
        <w:t xml:space="preserve">Latvijas IKP pievienotās vērtības struktūrā rūpniecība ir viena no svarīgākajām nozarēm, 2014.gadā veidojot 16,5%, no kuriem 12,5% sastādīja tieši apstrādes rūpniecība. Nozares attīstība lielā mērā ir atkarīga no ārējā pieprasījuma, jo gandrīz 2/3 no apstrādes rūpniecībā saražotās produkcijas tiek eksportētas. </w:t>
      </w:r>
    </w:p>
    <w:p w14:paraId="6F245A43" w14:textId="77777777" w:rsidR="007722BA" w:rsidRPr="00E757B9" w:rsidRDefault="007722BA" w:rsidP="007722BA">
      <w:pPr>
        <w:keepNext/>
        <w:tabs>
          <w:tab w:val="left" w:pos="7797"/>
        </w:tabs>
        <w:rPr>
          <w:rFonts w:eastAsia="Times New Roman" w:cs="Times New Roman"/>
          <w:b/>
          <w:sz w:val="24"/>
          <w:szCs w:val="24"/>
        </w:rPr>
      </w:pPr>
      <w:r w:rsidRPr="00E757B9">
        <w:rPr>
          <w:rFonts w:eastAsia="Times New Roman" w:cs="Times New Roman"/>
          <w:sz w:val="24"/>
          <w:szCs w:val="24"/>
        </w:rPr>
        <w:t>2014.gads Latvijas rūpniecības attīstībai nav bijis labvēlīgs – to ietekmēja gan iekšējie faktori, gan ārējās vides satricinājumi. Starp galvenajiem iekšējiem faktoriem minami uzņēmuma “Liepājas metalurgs” dīkstāve, kā arī zemie saražotās elektroenerģijas apjomi silto laika apstākļu dēļ. Savukārt ārējās vides pasliktināšanos noteica ģeopolitiskais konflikts un tā izrietošās sekas - Krievijas ekonomikas recesija un Krievijas noteiktais importa embargo atsevišķām lauksaimniecības un pārtikas precēm. Tā rezultātā rūpniecībā saražotās produkcijas apjoms pērn samazinājās par 0,9%, bet apstrādes rūpniecības izlaide saglabājās tuva 2013.gada līmenim, uzrādot kritumu 0,1% apmērā salīdzinājumā ar 2013.gadu.</w:t>
      </w:r>
    </w:p>
    <w:p w14:paraId="60A7BECA" w14:textId="77777777" w:rsidR="007722BA" w:rsidRDefault="007722BA" w:rsidP="007722BA">
      <w:pPr>
        <w:keepNext/>
        <w:tabs>
          <w:tab w:val="left" w:pos="7797"/>
        </w:tabs>
        <w:rPr>
          <w:rFonts w:eastAsia="Times New Roman" w:cs="Times New Roman"/>
          <w:sz w:val="24"/>
          <w:szCs w:val="24"/>
        </w:rPr>
      </w:pPr>
      <w:r w:rsidRPr="00E757B9">
        <w:rPr>
          <w:rFonts w:eastAsia="Times New Roman" w:cs="Times New Roman"/>
          <w:sz w:val="24"/>
          <w:szCs w:val="24"/>
        </w:rPr>
        <w:t>Arī 2015.gada pirmajā ceturksnī rūpniecības nozares attīstība bija lielā mērā pakļauta ārējās vides negatīvajai ietekmei. Turklāt līdzīgi kā pērn arī š.g pirmajos divos mēnešos elektroenerģijas izlaides apjomi bija vāji, taču apstrādes rūpniecībā, īpaši metālu nozarē, vērojami uzlabojumi, jo š.g. februārī ražošana tika atsākta uzņēmumā AS “KVV Liepājas metalurgs”. Tā rezultātā - ja gada pirmajos divos mēnešos rūpniecības izaugsme bija negatīva, spēcīgais rūpniecības izlaides pieaugums martā noteica to, ka kopumā š.g. pirmajā ceturksnī, salīdzinot ar 2014.gada atbilstošo laika periodu, rūpniecības produkcijas apjoms pieauga par 1,6%.</w:t>
      </w:r>
    </w:p>
    <w:p w14:paraId="44013197" w14:textId="77777777" w:rsidR="009F4B95" w:rsidRPr="009F4B95" w:rsidRDefault="009F4B95" w:rsidP="009F4B95">
      <w:pPr>
        <w:pStyle w:val="Default"/>
        <w:spacing w:after="60"/>
        <w:ind w:firstLine="720"/>
        <w:jc w:val="both"/>
        <w:rPr>
          <w:iCs/>
          <w:szCs w:val="23"/>
        </w:rPr>
      </w:pPr>
    </w:p>
    <w:p w14:paraId="7CD83C87" w14:textId="77777777" w:rsidR="009F4B95" w:rsidRPr="009F4B95" w:rsidRDefault="009F4B95" w:rsidP="009F4B95">
      <w:pPr>
        <w:pStyle w:val="Default"/>
        <w:spacing w:after="60"/>
        <w:ind w:firstLine="720"/>
        <w:jc w:val="both"/>
        <w:rPr>
          <w:iCs/>
          <w:szCs w:val="23"/>
        </w:rPr>
      </w:pPr>
    </w:p>
    <w:p w14:paraId="0E97139D" w14:textId="77777777" w:rsidR="009F4B95" w:rsidRPr="009F4B95" w:rsidRDefault="009F4B95" w:rsidP="009F4B95">
      <w:pPr>
        <w:pStyle w:val="Default"/>
        <w:spacing w:after="60"/>
        <w:ind w:firstLine="720"/>
        <w:jc w:val="both"/>
        <w:rPr>
          <w:iCs/>
          <w:szCs w:val="23"/>
        </w:rPr>
      </w:pPr>
    </w:p>
    <w:p w14:paraId="54D81838" w14:textId="77777777" w:rsidR="009F4B95" w:rsidRPr="009F4B95" w:rsidRDefault="009F4B95" w:rsidP="009F4B95">
      <w:pPr>
        <w:pStyle w:val="Default"/>
        <w:spacing w:after="60"/>
        <w:ind w:firstLine="720"/>
        <w:jc w:val="both"/>
        <w:rPr>
          <w:iCs/>
          <w:szCs w:val="23"/>
        </w:rPr>
      </w:pPr>
    </w:p>
    <w:p w14:paraId="0126004D" w14:textId="77777777" w:rsidR="009F4B95" w:rsidRPr="009F4B95" w:rsidRDefault="009F4B95" w:rsidP="009F4B95">
      <w:pPr>
        <w:pStyle w:val="Default"/>
        <w:spacing w:after="60"/>
        <w:ind w:firstLine="720"/>
        <w:jc w:val="both"/>
        <w:rPr>
          <w:iCs/>
          <w:szCs w:val="23"/>
        </w:rPr>
      </w:pPr>
    </w:p>
    <w:p w14:paraId="48DDDF44" w14:textId="77777777" w:rsidR="009F4B95" w:rsidRPr="009F4B95" w:rsidRDefault="009F4B95" w:rsidP="009F4B95">
      <w:pPr>
        <w:pStyle w:val="Default"/>
        <w:spacing w:after="60"/>
        <w:ind w:firstLine="720"/>
        <w:jc w:val="both"/>
        <w:rPr>
          <w:iCs/>
          <w:szCs w:val="23"/>
        </w:rPr>
      </w:pPr>
    </w:p>
    <w:p w14:paraId="02CB156A" w14:textId="77777777" w:rsidR="009F4B95" w:rsidRPr="009F4B95" w:rsidRDefault="009F4B95" w:rsidP="009F4B95">
      <w:pPr>
        <w:pStyle w:val="Default"/>
        <w:spacing w:after="60"/>
        <w:ind w:firstLine="720"/>
        <w:jc w:val="both"/>
        <w:rPr>
          <w:iCs/>
          <w:szCs w:val="23"/>
        </w:rPr>
      </w:pPr>
    </w:p>
    <w:p w14:paraId="1E4F2E5E" w14:textId="77777777" w:rsidR="007722BA" w:rsidRDefault="007722BA" w:rsidP="007722BA">
      <w:pPr>
        <w:keepNext/>
        <w:tabs>
          <w:tab w:val="left" w:pos="7797"/>
        </w:tabs>
        <w:ind w:firstLine="0"/>
        <w:rPr>
          <w:rFonts w:eastAsia="Times New Roman" w:cs="Times New Roman"/>
          <w:sz w:val="24"/>
          <w:szCs w:val="24"/>
        </w:rPr>
      </w:pPr>
      <w:r>
        <w:rPr>
          <w:noProof/>
          <w:lang w:eastAsia="lv-LV"/>
        </w:rPr>
        <w:drawing>
          <wp:inline distT="0" distB="0" distL="0" distR="0" wp14:anchorId="16AA788E" wp14:editId="24DF9875">
            <wp:extent cx="6019800" cy="33909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EB27D99" w14:textId="77777777" w:rsidR="007722BA" w:rsidRPr="00234FC7" w:rsidRDefault="00DE56E7" w:rsidP="007722BA">
      <w:pPr>
        <w:jc w:val="center"/>
        <w:rPr>
          <w:rFonts w:cs="Times New Roman"/>
          <w:b/>
          <w:sz w:val="20"/>
          <w:szCs w:val="24"/>
        </w:rPr>
      </w:pPr>
      <w:r w:rsidRPr="00234FC7">
        <w:rPr>
          <w:rFonts w:cs="Times New Roman"/>
          <w:b/>
          <w:sz w:val="20"/>
          <w:szCs w:val="24"/>
        </w:rPr>
        <w:t>1.3. </w:t>
      </w:r>
      <w:r w:rsidR="007722BA" w:rsidRPr="00234FC7">
        <w:rPr>
          <w:rFonts w:cs="Times New Roman"/>
          <w:b/>
          <w:sz w:val="20"/>
          <w:szCs w:val="24"/>
        </w:rPr>
        <w:t>att. Rūpniecības produkcijas apjoma indekss un tā gada pieauguma tempi pret iepriekšējā gada attiecīgo mēnesi</w:t>
      </w:r>
    </w:p>
    <w:p w14:paraId="0089524B" w14:textId="77777777" w:rsidR="007722BA" w:rsidRPr="00E757B9" w:rsidRDefault="007722BA" w:rsidP="007722BA">
      <w:pPr>
        <w:keepNext/>
        <w:tabs>
          <w:tab w:val="left" w:pos="7797"/>
        </w:tabs>
        <w:ind w:firstLine="851"/>
        <w:rPr>
          <w:rFonts w:eastAsia="Times New Roman" w:cs="Times New Roman"/>
          <w:sz w:val="24"/>
          <w:szCs w:val="24"/>
        </w:rPr>
      </w:pPr>
      <w:r w:rsidRPr="00E757B9">
        <w:rPr>
          <w:rFonts w:eastAsia="Times New Roman" w:cs="Times New Roman"/>
          <w:sz w:val="24"/>
          <w:szCs w:val="24"/>
        </w:rPr>
        <w:t>Rūpniecības straujāku izaugsmi š.g. pirmajā ceturksnī kavēja kritums elektroenerģijas un gāzes apgādes nozarē par 7,7%, salīdzinot ar pērnā gada pirmo ceturksni. To noteica netipiski siltie laika apstākļi gada sākumā, kā dēļ pieprasījums pēc siltumenerģijas bija vājš, tādējādi koģenerācijas stacijās saražotās enerģijas apjoms kritās. Šo samazinājumu nespēja kompensēt š.g. pirmajos trīs mēnešos saražotās elektroenerģijas apjomu pieaugums hidroelektrostacijās.</w:t>
      </w:r>
    </w:p>
    <w:p w14:paraId="2F26B674" w14:textId="77777777" w:rsidR="007722BA" w:rsidRPr="00E757B9" w:rsidRDefault="007722BA" w:rsidP="007722BA">
      <w:pPr>
        <w:keepNext/>
        <w:tabs>
          <w:tab w:val="left" w:pos="7797"/>
        </w:tabs>
        <w:ind w:firstLine="851"/>
        <w:rPr>
          <w:rFonts w:eastAsia="Times New Roman" w:cs="Times New Roman"/>
          <w:sz w:val="24"/>
          <w:szCs w:val="24"/>
        </w:rPr>
      </w:pPr>
      <w:r w:rsidRPr="00E757B9">
        <w:rPr>
          <w:rFonts w:eastAsia="Times New Roman" w:cs="Times New Roman"/>
          <w:sz w:val="24"/>
          <w:szCs w:val="24"/>
        </w:rPr>
        <w:t xml:space="preserve">Savukārt ieguves rūpniecībā 2015.gada pirmajā ceturksnī reģistrēts pieaugums 10,4% apjomā, salīdzinot ar pirmo ceturksni gadu iepriekš. Izlaides apjomu pieaugums katrā no š.g. pirmā ceturkšņa mēnešiem tika fiksēts arī apstrādes rūpniecībā, kopumā šajā laika periodā izaugsmei sasniedzot 4,2% gada izteiksmē. </w:t>
      </w:r>
    </w:p>
    <w:p w14:paraId="7B324440" w14:textId="77777777" w:rsidR="007722BA" w:rsidRPr="00E757B9" w:rsidRDefault="007722BA" w:rsidP="007722BA">
      <w:pPr>
        <w:keepNext/>
        <w:tabs>
          <w:tab w:val="left" w:pos="7797"/>
        </w:tabs>
        <w:ind w:firstLine="851"/>
        <w:rPr>
          <w:rFonts w:eastAsia="Times New Roman" w:cs="Times New Roman"/>
          <w:sz w:val="24"/>
          <w:szCs w:val="24"/>
        </w:rPr>
      </w:pPr>
      <w:r w:rsidRPr="00E757B9">
        <w:rPr>
          <w:rFonts w:eastAsia="Times New Roman" w:cs="Times New Roman"/>
          <w:sz w:val="24"/>
          <w:szCs w:val="24"/>
        </w:rPr>
        <w:t>Nozīmīgāko devumu apstrādes rūpniecības izaugsmē sniedza lielākā tās apakšnozare – kokrūpniecība, jo priekšnoteikumi tās attīstībai ir bijuši labvēlīgi. Noturīgais ārējās pieprasījums noteica kokrūpniecības izaugsmi, kas š.g. pirmajā ceturksnī sasniedza 8,7%, salīdzinot ar 2014.gada attiecīgo ceturksni. Turklāt pērn veiktās investīcijas apakšnozarē jau gada vidū radīs papildus ražošanas jaudas un arī turpmāk garantēs stabilus izlaides apjomus.</w:t>
      </w:r>
    </w:p>
    <w:p w14:paraId="527134DC" w14:textId="77777777" w:rsidR="007722BA" w:rsidRPr="00E757B9" w:rsidRDefault="007722BA" w:rsidP="007722BA">
      <w:pPr>
        <w:keepNext/>
        <w:tabs>
          <w:tab w:val="left" w:pos="7797"/>
        </w:tabs>
        <w:ind w:firstLine="851"/>
        <w:rPr>
          <w:rFonts w:eastAsia="Times New Roman" w:cs="Times New Roman"/>
          <w:sz w:val="24"/>
          <w:szCs w:val="24"/>
        </w:rPr>
      </w:pPr>
      <w:r w:rsidRPr="00E757B9">
        <w:rPr>
          <w:rFonts w:eastAsia="Times New Roman" w:cs="Times New Roman"/>
          <w:sz w:val="24"/>
          <w:szCs w:val="24"/>
        </w:rPr>
        <w:t>Līdz ar kokrūpniecības kāpumu, š.g. sākumā spēcīgi izaugsmes tempi reģistrēti arī mēbeļu ražošanā, pirmajā ceturksnī kopumā uzrādot 12,8% pieaugumu gada griezumā. Izcilus pieauguma tempus turpina uzrādīt datoru, elektronisko un optisko iekārtu ražotāji – apakšnozares izaugsme 2015.gada pirmajos trīs mēnešos ir sasniegusi 79%.</w:t>
      </w:r>
    </w:p>
    <w:p w14:paraId="5C05C9D7" w14:textId="77777777" w:rsidR="007722BA" w:rsidRPr="00E757B9" w:rsidRDefault="007722BA" w:rsidP="007722BA">
      <w:pPr>
        <w:keepNext/>
        <w:tabs>
          <w:tab w:val="left" w:pos="7797"/>
        </w:tabs>
        <w:ind w:firstLine="851"/>
        <w:rPr>
          <w:rFonts w:eastAsia="Times New Roman" w:cs="Times New Roman"/>
          <w:sz w:val="24"/>
          <w:szCs w:val="24"/>
        </w:rPr>
      </w:pPr>
      <w:r w:rsidRPr="00E757B9">
        <w:rPr>
          <w:rFonts w:eastAsia="Times New Roman" w:cs="Times New Roman"/>
          <w:sz w:val="24"/>
          <w:szCs w:val="24"/>
        </w:rPr>
        <w:t>2015.gada pirmajā ceturksnī labi veicies visām mašīnbūves un metālapstrādes apakšnozarēm, izņemot elektrisko iekārtu ražošanu. Tā, piemēram, gatavo metālizstrādājumu ražošanā fiksēts pieaugums par 1,5% salīdzinājumā ar 2014.gada pirmo ceturksni, iekārtu, mehānismu un darba mašīnu ražošanas apjomi palielinājušies par 1,3% un automobiļu un piekabju ražošanā - pieaugums 1,6% apmērā. Jāatzīmē gan, ka attīstība augstākminētajās apakšnozarēs pirmajos trīs š.g. mēnešos ir bijusi svārstīga, kas atspoguļo nozares uzņēmumu zaudējumus saistībā ar sarežģījumiem austrumu tirgos un centienus apgūt jaunus eksporta galamērķus.</w:t>
      </w:r>
    </w:p>
    <w:p w14:paraId="651D28DA" w14:textId="77777777" w:rsidR="007722BA" w:rsidRPr="00E757B9" w:rsidRDefault="007722BA" w:rsidP="007722BA">
      <w:pPr>
        <w:keepNext/>
        <w:tabs>
          <w:tab w:val="left" w:pos="7797"/>
        </w:tabs>
        <w:ind w:firstLine="851"/>
        <w:rPr>
          <w:rFonts w:eastAsia="Times New Roman" w:cs="Times New Roman"/>
          <w:sz w:val="24"/>
          <w:szCs w:val="24"/>
        </w:rPr>
      </w:pPr>
      <w:r w:rsidRPr="00E757B9">
        <w:rPr>
          <w:rFonts w:eastAsia="Times New Roman" w:cs="Times New Roman"/>
          <w:sz w:val="24"/>
          <w:szCs w:val="24"/>
        </w:rPr>
        <w:t>Savukārt metālu ražošanā izaugsme bijusi daudz spēcīgāka. Š.g. janvārī un februārī apakšnozares ražošanas apjomu pieaugums sasniedza attiecīgi 5% un 21%, salīdzinot ar atbilstošo mēnesi pērn. Bet martā, t.i., mēnesī, kad AS “KVV Liepājas metalurgs” pirmo reizi iesniedza datus par saviem ražošanas apjomiem, izaugsme bijusi vēl spēcīgāka, taču konfidencionalitātes saglabāšanas nolūkos nav zināms precīzs šīs izaugsmes apjoms.</w:t>
      </w:r>
    </w:p>
    <w:p w14:paraId="2AB514AE" w14:textId="77777777" w:rsidR="007722BA" w:rsidRPr="00E757B9" w:rsidRDefault="007722BA" w:rsidP="007722BA">
      <w:pPr>
        <w:keepNext/>
        <w:tabs>
          <w:tab w:val="left" w:pos="7797"/>
        </w:tabs>
        <w:ind w:firstLine="851"/>
        <w:rPr>
          <w:rFonts w:eastAsia="Times New Roman" w:cs="Times New Roman"/>
          <w:sz w:val="24"/>
          <w:szCs w:val="24"/>
        </w:rPr>
      </w:pPr>
      <w:r w:rsidRPr="00E757B9">
        <w:rPr>
          <w:rFonts w:eastAsia="Times New Roman" w:cs="Times New Roman"/>
          <w:sz w:val="24"/>
          <w:szCs w:val="24"/>
        </w:rPr>
        <w:t>Tajā pašā laikā elektrisko iekārtu ražotāji uzrādīja izlaides apjomu samazinājumu, kas š.g. pirmajā ceturksnī sasniedza jau 15,9% salīdzinājumā ar 2014.gada pirmo ceturksni. Šī negatīvā tendences ir saistīta ar pieprasījuma kritumu ārējos tirgos, īpaši ar Krievijas ekonomisko situāciju – rubļa kursa kritumu un iedzīvotāju maksātspējas pasliktināšanos.</w:t>
      </w:r>
    </w:p>
    <w:p w14:paraId="7FE716BF" w14:textId="77777777" w:rsidR="007722BA" w:rsidRPr="00E757B9" w:rsidRDefault="007722BA" w:rsidP="007722BA">
      <w:pPr>
        <w:keepNext/>
        <w:tabs>
          <w:tab w:val="left" w:pos="7797"/>
        </w:tabs>
        <w:ind w:firstLine="851"/>
        <w:rPr>
          <w:rFonts w:eastAsia="Times New Roman" w:cs="Times New Roman"/>
          <w:sz w:val="24"/>
          <w:szCs w:val="24"/>
        </w:rPr>
      </w:pPr>
      <w:r w:rsidRPr="00E757B9">
        <w:rPr>
          <w:rFonts w:eastAsia="Times New Roman" w:cs="Times New Roman"/>
          <w:sz w:val="24"/>
          <w:szCs w:val="24"/>
        </w:rPr>
        <w:t xml:space="preserve">Krievijas ekonomikas recesija līdzīgi ietekmē arī citas apstrādes rūpniecības apakšnozares. Piemēram, pārtikas produktu ražošana, kas pērn bija viena no straujāk augošajām apakšnozarēm, š.g. pirmajā ceturksnī uzrādījusi kritumu 5,1% apmērā. Pārtikas ražotājus papildus negatīvi ietekmē Krievijas importa embargo, kas ir noteikts atsevišķiem pārtikas un lauksaimniecības produktiem, tādēļ vietējie pārtikas ražotāji mērķtiecīgi iesaistās jaunu eksporta tirgu apgūšanas pasākumos. Neskatoties uz to, ka šis process ir laikietilpīgs un sarežģīts, vietējo uzņēmēju aktivitāte ir nesusi panākumus, jo ir noslēgti jauni eksporta sadarbības līgumi ar citām valstīm, t.sk., Ķīnu. </w:t>
      </w:r>
    </w:p>
    <w:p w14:paraId="5F609EC9" w14:textId="77777777" w:rsidR="007722BA" w:rsidRPr="00E757B9" w:rsidRDefault="007722BA" w:rsidP="007722BA">
      <w:pPr>
        <w:keepNext/>
        <w:tabs>
          <w:tab w:val="left" w:pos="7797"/>
        </w:tabs>
        <w:ind w:firstLine="851"/>
        <w:rPr>
          <w:rFonts w:eastAsia="Times New Roman" w:cs="Times New Roman"/>
          <w:sz w:val="24"/>
          <w:szCs w:val="24"/>
        </w:rPr>
      </w:pPr>
      <w:r w:rsidRPr="00E757B9">
        <w:rPr>
          <w:rFonts w:eastAsia="Times New Roman" w:cs="Times New Roman"/>
          <w:sz w:val="24"/>
          <w:szCs w:val="24"/>
        </w:rPr>
        <w:t xml:space="preserve">Tāpat kā pērn arī šogad ievērojami izlaides apjomu kritumi saglabājas vieglajā rūpniecībā – samazinājums par 21,8% un 17,4% attiecīgi tekstilizstrādājumu un apģērbu ražošanas apakšnozarēs š.g. pirmajā ceturksnī salīdzinājumā ar 2014.gada pirmajiem trīs mēnešiem. Šo rezultātu noteica pieprasījuma kritums gan austrumu tirgos, gan ES. </w:t>
      </w:r>
    </w:p>
    <w:p w14:paraId="18B87989" w14:textId="77777777" w:rsidR="007722BA" w:rsidRPr="00E757B9" w:rsidRDefault="007722BA" w:rsidP="007722BA">
      <w:pPr>
        <w:keepNext/>
        <w:tabs>
          <w:tab w:val="left" w:pos="7797"/>
        </w:tabs>
        <w:ind w:firstLine="851"/>
        <w:rPr>
          <w:rFonts w:eastAsia="Times New Roman" w:cs="Times New Roman"/>
          <w:sz w:val="24"/>
          <w:szCs w:val="24"/>
        </w:rPr>
      </w:pPr>
      <w:r w:rsidRPr="00E757B9">
        <w:rPr>
          <w:rFonts w:eastAsia="Times New Roman" w:cs="Times New Roman"/>
          <w:sz w:val="24"/>
          <w:szCs w:val="24"/>
        </w:rPr>
        <w:t xml:space="preserve">Būvniecības sabremzēšanās Latvijā š.g. pirmajā ceturksnī, kā arī būvniecības apjomu samazinājums ES š.g. pirmajos divos mēnešos noteica kritumu nemetālisko minerālu ražošanā par 6% š.g. pirmajos trīs mēnešos. Ražošanas apjomu sarukums 2015.gada pirmajā ceturksnī reģistrēts arī ķīmisko vielu un ķīmisko produktu ražošanā (-5,9%), kā arī samazinājās iekārtu un ierīču remonta apjomi (-4,5%).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5103"/>
      </w:tblGrid>
      <w:tr w:rsidR="007722BA" w14:paraId="71567E27" w14:textId="77777777" w:rsidTr="00881D12">
        <w:tc>
          <w:tcPr>
            <w:tcW w:w="4815" w:type="dxa"/>
          </w:tcPr>
          <w:p w14:paraId="781B418D" w14:textId="77777777" w:rsidR="007722BA" w:rsidRDefault="007722BA" w:rsidP="00881D12">
            <w:pPr>
              <w:keepNext/>
              <w:tabs>
                <w:tab w:val="left" w:pos="7797"/>
              </w:tabs>
              <w:ind w:firstLine="0"/>
              <w:rPr>
                <w:sz w:val="24"/>
                <w:szCs w:val="24"/>
              </w:rPr>
            </w:pPr>
            <w:r>
              <w:rPr>
                <w:noProof/>
              </w:rPr>
              <w:drawing>
                <wp:inline distT="0" distB="0" distL="0" distR="0" wp14:anchorId="30E8952D" wp14:editId="65AF9C90">
                  <wp:extent cx="3009900" cy="301942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103" w:type="dxa"/>
          </w:tcPr>
          <w:p w14:paraId="48AEB4AF" w14:textId="77777777" w:rsidR="007722BA" w:rsidRDefault="007722BA" w:rsidP="00881D12">
            <w:pPr>
              <w:keepNext/>
              <w:tabs>
                <w:tab w:val="left" w:pos="7797"/>
              </w:tabs>
              <w:ind w:firstLine="0"/>
              <w:rPr>
                <w:sz w:val="24"/>
                <w:szCs w:val="24"/>
              </w:rPr>
            </w:pPr>
            <w:r>
              <w:rPr>
                <w:noProof/>
              </w:rPr>
              <w:drawing>
                <wp:inline distT="0" distB="0" distL="0" distR="0" wp14:anchorId="1D162984" wp14:editId="76436153">
                  <wp:extent cx="3076575" cy="30194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7722BA" w:rsidRPr="00234FC7" w14:paraId="58C32972" w14:textId="77777777" w:rsidTr="00881D12">
        <w:tc>
          <w:tcPr>
            <w:tcW w:w="4815" w:type="dxa"/>
          </w:tcPr>
          <w:p w14:paraId="1E32A38B" w14:textId="77777777" w:rsidR="007722BA" w:rsidRPr="00234FC7" w:rsidRDefault="00DE56E7" w:rsidP="00881D12">
            <w:pPr>
              <w:ind w:firstLine="0"/>
              <w:rPr>
                <w:b/>
              </w:rPr>
            </w:pPr>
            <w:r w:rsidRPr="00234FC7">
              <w:rPr>
                <w:b/>
              </w:rPr>
              <w:t>1.</w:t>
            </w:r>
            <w:r w:rsidR="007722BA" w:rsidRPr="00234FC7">
              <w:rPr>
                <w:b/>
              </w:rPr>
              <w:t>4. att. Apstrādes rūpniecības izlaides struktūra 2014. gadā (faktiskajās cenās, %)</w:t>
            </w:r>
          </w:p>
          <w:p w14:paraId="17B8CB43" w14:textId="77777777" w:rsidR="007722BA" w:rsidRPr="00234FC7" w:rsidRDefault="007722BA" w:rsidP="00881D12">
            <w:pPr>
              <w:keepNext/>
              <w:tabs>
                <w:tab w:val="left" w:pos="7797"/>
              </w:tabs>
              <w:rPr>
                <w:szCs w:val="24"/>
              </w:rPr>
            </w:pPr>
          </w:p>
        </w:tc>
        <w:tc>
          <w:tcPr>
            <w:tcW w:w="5103" w:type="dxa"/>
          </w:tcPr>
          <w:p w14:paraId="275A92EC" w14:textId="77777777" w:rsidR="007722BA" w:rsidRPr="00234FC7" w:rsidRDefault="00DE56E7" w:rsidP="00881D12">
            <w:pPr>
              <w:ind w:firstLine="0"/>
              <w:rPr>
                <w:szCs w:val="24"/>
              </w:rPr>
            </w:pPr>
            <w:r w:rsidRPr="00234FC7">
              <w:rPr>
                <w:b/>
              </w:rPr>
              <w:t>1.</w:t>
            </w:r>
            <w:r w:rsidR="007722BA" w:rsidRPr="00234FC7">
              <w:rPr>
                <w:b/>
              </w:rPr>
              <w:t>5. att. Apstrādes rūpniecības nozaru izlaides apjoma izmaiņas 2014.g. pirmajā ceturksnī, salīdzinot ar attiecīgo laika periodu 2013.gadā (salīdzināmajās cenās, kalendāri izlīdzināti dati, %)</w:t>
            </w:r>
          </w:p>
        </w:tc>
      </w:tr>
    </w:tbl>
    <w:p w14:paraId="5219DFB7" w14:textId="77777777" w:rsidR="007722BA" w:rsidRPr="00E757B9" w:rsidRDefault="007722BA" w:rsidP="007722BA">
      <w:pPr>
        <w:keepNext/>
        <w:tabs>
          <w:tab w:val="left" w:pos="7797"/>
        </w:tabs>
        <w:ind w:firstLine="0"/>
        <w:rPr>
          <w:rFonts w:eastAsia="Times New Roman" w:cs="Times New Roman"/>
          <w:sz w:val="24"/>
          <w:szCs w:val="24"/>
        </w:rPr>
      </w:pPr>
      <w:r w:rsidRPr="00E757B9">
        <w:rPr>
          <w:rFonts w:eastAsia="Times New Roman" w:cs="Times New Roman"/>
          <w:sz w:val="24"/>
          <w:szCs w:val="24"/>
        </w:rPr>
        <w:t>Ražotāju cenas 2015. gada 1. ceturksnī salīdzinājumā ar 2014. gada attiecīgo periodu ir samazinājušās par 0,2%. Vērojamas zināmas atšķirības cenu dinamikā starp ražotāju cenām eksportētajai produkcijai un vietējā tirgū realizētajiem produktiem. Ja vietējā tirgū realizētās produkcijas cenas 2015.gada pirmajā ceturksnī nemainījās, salīdzinot ar 2014.gada pirmo ceturksni, tad eksporta cenu samazinājums š.g. pirmajā ceturksnī sasniedza 0,4%. Šādu cenu dinamiku galvenokārt noteica cenu samazinājums datoriem, elektroniskajām un optiskajām iekārtām, kuru eksporta daļa pārsniedz 90% un ražotāju cenu samazinājums eksportētajai produkcijai sastādīja 15,6%. Tajā pašā laikā pārtikas produktu ražotāju cenas kopumā ir kritušās par 3,8%, bet lielākie ražotāju cenu pieaugumi reģistrēti papīra izstrādājumu ražošanā (+5,2%), apģērbu ražošanā (+3,4%) un iekārtu un ierīču remonta nozarē (+3,3%). Sagaidāms, ka spiedienu uz ražotāju cenām radīs darbaspēka izmaksas, kas, būtiski pieaugot darba algām, palielinājās jau pērn.</w:t>
      </w:r>
    </w:p>
    <w:p w14:paraId="45A85F80" w14:textId="77777777" w:rsidR="007722BA" w:rsidRDefault="007722BA" w:rsidP="007722BA">
      <w:pPr>
        <w:keepNext/>
        <w:tabs>
          <w:tab w:val="left" w:pos="7797"/>
        </w:tabs>
        <w:ind w:firstLine="0"/>
        <w:jc w:val="center"/>
        <w:rPr>
          <w:rFonts w:eastAsia="Times New Roman" w:cs="Times New Roman"/>
          <w:sz w:val="24"/>
          <w:szCs w:val="24"/>
        </w:rPr>
      </w:pPr>
      <w:r>
        <w:rPr>
          <w:noProof/>
          <w:lang w:eastAsia="lv-LV"/>
        </w:rPr>
        <w:drawing>
          <wp:inline distT="0" distB="0" distL="0" distR="0" wp14:anchorId="11F9AC16" wp14:editId="324B7014">
            <wp:extent cx="5695950" cy="25431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647A2E" w14:textId="77777777" w:rsidR="007722BA" w:rsidRPr="00234FC7" w:rsidRDefault="00DE56E7" w:rsidP="007722BA">
      <w:pPr>
        <w:jc w:val="center"/>
        <w:rPr>
          <w:rFonts w:cs="Times New Roman"/>
          <w:b/>
          <w:i/>
          <w:sz w:val="20"/>
          <w:szCs w:val="24"/>
        </w:rPr>
      </w:pPr>
      <w:r w:rsidRPr="00234FC7">
        <w:rPr>
          <w:rFonts w:cs="Times New Roman"/>
          <w:b/>
          <w:i/>
          <w:sz w:val="20"/>
          <w:szCs w:val="24"/>
        </w:rPr>
        <w:t>1.</w:t>
      </w:r>
      <w:r w:rsidR="007722BA" w:rsidRPr="00234FC7">
        <w:rPr>
          <w:rFonts w:cs="Times New Roman"/>
          <w:b/>
          <w:i/>
          <w:sz w:val="20"/>
          <w:szCs w:val="24"/>
        </w:rPr>
        <w:t>6. att. Ražotāju cenu izmaiņas, % salīdzinājumā ar iepriekšējā gada atbilstošo periodu</w:t>
      </w:r>
    </w:p>
    <w:p w14:paraId="14B017E5" w14:textId="77777777" w:rsidR="007722BA" w:rsidRPr="00E757B9" w:rsidRDefault="007722BA" w:rsidP="007722BA">
      <w:pPr>
        <w:pStyle w:val="NormalWeb"/>
        <w:spacing w:line="270" w:lineRule="atLeast"/>
        <w:ind w:firstLine="720"/>
        <w:jc w:val="both"/>
      </w:pPr>
      <w:r w:rsidRPr="00E757B9">
        <w:t xml:space="preserve">Apstrādes rūpniecības attīstību šogad ietekmēs vairāki faktori. No vienas puses, ģeopolitiskā situācija un no tās izrietošās sekas saglabāsies kā galvenais negatīvais risks nozares turpmākai izaugsmei. Bet no otras puses, ES ekonomiskās izaugsmes nostiprināšanās labvēlīgi ietekmes nozares eksporta un līdz ar to arī izlaides potenciālu. Kā liecina jaunākie Eiropas Komisijas apkopotie patērētāju un uzņēmēju aptauju rezultāti, kopējais ES patērētāju un uzņēmēju noskaņojums turpina uzlaboties, ekonomikas sentimenta indeksa vērtībai pieaugot jau piekto mēnesi pēc kārtas. Šī tendence pašreizējos ģeopolitiskajos apstākļos, kad ir vērojams nozīmīgs eksporta apjomu kritums uz Krieviju, ir pozitīvs signāls vietējiem eksportētājiem, meklējot jaunus noieta tirgus vai kāpinot esošos eksporta apjomus rietumos. </w:t>
      </w:r>
    </w:p>
    <w:p w14:paraId="42917639" w14:textId="77777777" w:rsidR="007722BA" w:rsidRPr="00E757B9" w:rsidRDefault="007722BA" w:rsidP="007722BA">
      <w:pPr>
        <w:pStyle w:val="NormalWeb"/>
        <w:spacing w:line="270" w:lineRule="atLeast"/>
        <w:ind w:firstLine="720"/>
        <w:jc w:val="both"/>
      </w:pPr>
      <w:r w:rsidRPr="00E757B9">
        <w:t>Turklāt arī iekšējie apstākļi rūpniecības attīstībai ir labvēlīgi, jo Latvijas rūpnieku konfidence pakāpeniski uzlabojas. Šādas izmaiņas galvenokārt noteica vērtējums par kopējiem pasūtījuma apjomiem uzņēmumā ražotajai produkcijai, kā arī pozitīvās prognozes attiecībā uz ražošanas attīstību turpmāk. Pie tam vērtējums par ražošanas jaudu pietiekamību, ievērojot esošos produkcijas pasūtījumus un gaidāmo pieprasījumu turpmākajos mēnešos, šā gada otrajā ceturksnī ir augstākais pēdējo 2,5 gadu laikā. Tajā pašā laikā AS “KVV Liepājas metalurgs” darbības atjaunošana stimulēs kopējo ekonomikas izaugsmi un spēcīgais darba algu pieaugums nodrošinās iekšējā pieprasījuma noturīgumu pēc Latvijā ražotajām precēm.</w:t>
      </w:r>
    </w:p>
    <w:p w14:paraId="61712DDD" w14:textId="77777777" w:rsidR="007722BA" w:rsidRPr="00062774" w:rsidRDefault="007722BA" w:rsidP="007722BA">
      <w:pPr>
        <w:ind w:firstLine="0"/>
        <w:rPr>
          <w:b/>
        </w:rPr>
      </w:pPr>
    </w:p>
    <w:p w14:paraId="4DF96A3A" w14:textId="77777777" w:rsidR="007722BA" w:rsidRPr="00062774" w:rsidRDefault="007722BA" w:rsidP="007722BA">
      <w:pPr>
        <w:jc w:val="center"/>
        <w:rPr>
          <w:b/>
        </w:rPr>
      </w:pPr>
      <w:r w:rsidRPr="00062774">
        <w:rPr>
          <w:b/>
        </w:rPr>
        <w:t>Mazumtirdzniecība</w:t>
      </w:r>
    </w:p>
    <w:p w14:paraId="746CFEF8" w14:textId="77777777" w:rsidR="007722BA" w:rsidRPr="00E757B9" w:rsidRDefault="007722BA" w:rsidP="007722BA">
      <w:pPr>
        <w:spacing w:after="0"/>
        <w:rPr>
          <w:sz w:val="24"/>
        </w:rPr>
      </w:pPr>
      <w:r w:rsidRPr="00E757B9">
        <w:rPr>
          <w:sz w:val="24"/>
        </w:rPr>
        <w:t>Mazumtirdzniecības apgrozījums 2014.gadā salīdzinājumā ar 2013.gadu palielinājās par 3,6%, uzrādot nedaudz zemāku kāpumu, kā to varēja gaidīt, ņemot vērā būtisko darba samaksas kāpumu, zemo inflāciju un būtiski pieaugušo iedzīvotāju pirktspēju. 2015.gada pirmajā ceturksnī turpretim šie faktori savu ietekmi jau ir parādījuši pilnā apmērā, un mazumtirdzniecības apgrozījums, salīdzot ar 2014.gada pirmo ceturksni, ir palielinājies par 7,5%.</w:t>
      </w:r>
    </w:p>
    <w:p w14:paraId="147E7060" w14:textId="77777777" w:rsidR="007722BA" w:rsidRPr="00E757B9" w:rsidRDefault="007722BA" w:rsidP="007722BA">
      <w:pPr>
        <w:spacing w:after="0"/>
        <w:rPr>
          <w:sz w:val="24"/>
        </w:rPr>
      </w:pPr>
      <w:r w:rsidRPr="00E757B9">
        <w:rPr>
          <w:sz w:val="24"/>
        </w:rPr>
        <w:t>Lielākais pieaugums bijis nepārtikas preču tirdzniecībā, kur mazumtirdzniecības apgrozījums, salīdzinot par attiecīgo periodu pirms gada, audzis par 9,8%. Būtiska loma šajā pieaugumā bijusi degvielas tirdzniecības apjomu kāpumam par 18,7%, ko veicinājis benzīna un dīzeļdegvielas cenu kritums salīdzinājumā ar pagājušā gada attiecīgajiem mēnešiem. No citām nepārtikas precēm būtiski augusi mājsaimniecības elektropreču (+47,7%), audio un videoierīču (+19,2%), tekstilizstrādājumu (+19,2) un sporta preču (+26,3% mazumtirdzniecība. Tradicionāli pēdējos gados spēcīgi palielinās tirdzniecība pa pastu un interneta veikalos, kur 2015.gada pirmajā ceturksnī fiksēts 34,2% pieaugums.</w:t>
      </w:r>
    </w:p>
    <w:p w14:paraId="51A9C527" w14:textId="77777777" w:rsidR="007722BA" w:rsidRPr="00E757B9" w:rsidRDefault="007722BA" w:rsidP="007722BA">
      <w:pPr>
        <w:spacing w:after="0"/>
        <w:rPr>
          <w:sz w:val="24"/>
        </w:rPr>
      </w:pPr>
      <w:r w:rsidRPr="00E757B9">
        <w:rPr>
          <w:sz w:val="24"/>
        </w:rPr>
        <w:t>Salīdzinoši neelastīgākā pārtikas preču mazumtirdzniecība gada pirmajos trīs mēnešos, salīdzinot ar 2014.gada attiecīgo periodu, palielinājusies mērenāk – par 4,0%. Ja gada pirmajos divos mēnešos pārtikas mazumtirdzniecības pieaugums tikai nedaudz atpalika no pieauguma nepārtikas preču tirdzniecībā, martā pārtikas tirdzniecība palielinājās vairs tikai par 1,4%.</w:t>
      </w:r>
    </w:p>
    <w:p w14:paraId="78FD3E6F" w14:textId="77777777" w:rsidR="007722BA" w:rsidRDefault="007722BA" w:rsidP="007722BA">
      <w:pPr>
        <w:spacing w:after="0"/>
        <w:ind w:firstLine="0"/>
        <w:jc w:val="center"/>
      </w:pPr>
      <w:r>
        <w:rPr>
          <w:noProof/>
          <w:lang w:eastAsia="lv-LV"/>
        </w:rPr>
        <w:drawing>
          <wp:inline distT="0" distB="0" distL="0" distR="0" wp14:anchorId="13178FED" wp14:editId="09F936B7">
            <wp:extent cx="5274310" cy="3324225"/>
            <wp:effectExtent l="0" t="0" r="254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511D4A" w14:textId="77777777" w:rsidR="007722BA" w:rsidRPr="00234FC7" w:rsidRDefault="00DE56E7" w:rsidP="007722BA">
      <w:pPr>
        <w:ind w:firstLine="284"/>
        <w:jc w:val="center"/>
        <w:rPr>
          <w:b/>
          <w:i/>
          <w:sz w:val="20"/>
          <w:szCs w:val="24"/>
        </w:rPr>
      </w:pPr>
      <w:r w:rsidRPr="00234FC7">
        <w:rPr>
          <w:b/>
          <w:i/>
          <w:sz w:val="20"/>
          <w:szCs w:val="24"/>
        </w:rPr>
        <w:t>1.</w:t>
      </w:r>
      <w:r w:rsidR="007722BA" w:rsidRPr="00234FC7">
        <w:rPr>
          <w:b/>
          <w:i/>
          <w:sz w:val="20"/>
          <w:szCs w:val="24"/>
        </w:rPr>
        <w:t>7. att. Mazumtirdzniecības apgrozījums, gada pieaugumi, pēc preču grupas, %</w:t>
      </w:r>
    </w:p>
    <w:p w14:paraId="10DD6831" w14:textId="77777777" w:rsidR="007722BA" w:rsidRPr="00E757B9" w:rsidRDefault="007722BA" w:rsidP="007722BA">
      <w:pPr>
        <w:spacing w:after="0"/>
        <w:rPr>
          <w:sz w:val="24"/>
          <w:szCs w:val="24"/>
        </w:rPr>
      </w:pPr>
      <w:r w:rsidRPr="00E757B9">
        <w:rPr>
          <w:sz w:val="24"/>
          <w:szCs w:val="24"/>
        </w:rPr>
        <w:t xml:space="preserve">Mazumtirdzniecības apgrozījuma spēcīgo pieaugumu pirmajā ceturksnī noteica bruto darba samaksas kāpums, kas vienlaikus ar ļoti zemo inflāciju un iedzīvotāju ienākuma nodokļa pazemināšanu būtiski paaugstināja iedzīvotāju pirktspēju. </w:t>
      </w:r>
    </w:p>
    <w:p w14:paraId="18F2DE25" w14:textId="77777777" w:rsidR="007722BA" w:rsidRPr="00E757B9" w:rsidRDefault="007722BA" w:rsidP="007722BA">
      <w:pPr>
        <w:spacing w:after="0"/>
        <w:rPr>
          <w:sz w:val="24"/>
          <w:szCs w:val="24"/>
        </w:rPr>
      </w:pPr>
      <w:r w:rsidRPr="00E757B9">
        <w:rPr>
          <w:sz w:val="24"/>
          <w:szCs w:val="24"/>
        </w:rPr>
        <w:t>Papildus tam iedzīvotāju finansiālo situāciju uzlaboja arī pēdējā laika tendences kreditēšanas tirgū, kur vienlaikus ar kopējā mājsaimniecību kredītu sloga samazināšanos pēdējos mēnešos vērojams no jauna izsniegto kredītu pieaugums. Ja kredīti mājsaimniecībām nekustamā īpašuma iegādei joprojām turpina samazināties, jauno patēriņa kredītu apjoms 2014.gada beigās būtiski pieaudzis, veicinot iedzīvotāju pirkumu iespējas.</w:t>
      </w:r>
    </w:p>
    <w:p w14:paraId="3840E9B7" w14:textId="77777777" w:rsidR="007722BA" w:rsidRPr="00E757B9" w:rsidRDefault="007722BA" w:rsidP="007722BA">
      <w:pPr>
        <w:spacing w:after="0"/>
        <w:rPr>
          <w:sz w:val="24"/>
          <w:szCs w:val="24"/>
        </w:rPr>
      </w:pPr>
      <w:r w:rsidRPr="00E757B9">
        <w:rPr>
          <w:sz w:val="24"/>
          <w:szCs w:val="24"/>
        </w:rPr>
        <w:t>Vēl viens faktors, kas noteica mazumtirdzniecības apgrozījuma straujo kāpumu šā gada pirmajā ceturksnī, bija 2014.gada zemā bāze, kad gada pirmajos mēnešos iedzīvotāji bija piesardzīgāki savos tēriņos pēc eiro ieviešanas.</w:t>
      </w:r>
    </w:p>
    <w:p w14:paraId="2D52D4C4" w14:textId="77777777" w:rsidR="007722BA" w:rsidRPr="00E757B9" w:rsidRDefault="007722BA" w:rsidP="007722BA">
      <w:pPr>
        <w:spacing w:after="0"/>
        <w:rPr>
          <w:sz w:val="24"/>
          <w:szCs w:val="24"/>
        </w:rPr>
      </w:pPr>
      <w:r w:rsidRPr="00E757B9">
        <w:rPr>
          <w:sz w:val="24"/>
          <w:szCs w:val="24"/>
        </w:rPr>
        <w:t xml:space="preserve">Jaunākie dati par Latvijas uzņēmēju un patērētāju noskaņojumu rāda, ka arī turpmākajos mēnešos varētu saglabāties labi priekšnosacījumi mazumtirdzniecības apgrozījuma tālākam pieaugumam. Aprīlī kopējais ekonomiskās pārliecības indekss (ESI) Latvijā pakāpies līdz 104,2 punktiem, atgriežoties līmenī, kādā tas bija pirms Krievijas ekonomisko sankciju ieviešanas pagājušā gada augustā. Spēcīgāko kāpumu pēdējā laikā uzrāda tieši patērētāju noskaņojuma indekss, kas aprīlī sasniedzis augstāko līmeni kopš 2007.gada jūnija. </w:t>
      </w:r>
    </w:p>
    <w:p w14:paraId="5DB94163" w14:textId="77777777" w:rsidR="007722BA" w:rsidRPr="00E757B9" w:rsidRDefault="007722BA" w:rsidP="007722BA">
      <w:pPr>
        <w:spacing w:after="0"/>
        <w:rPr>
          <w:sz w:val="24"/>
          <w:szCs w:val="24"/>
        </w:rPr>
      </w:pPr>
      <w:r w:rsidRPr="00E757B9">
        <w:rPr>
          <w:sz w:val="24"/>
          <w:szCs w:val="24"/>
        </w:rPr>
        <w:t>Pozitīvais patērētāju noskaņojums kopā ar joprojām spēcīgo ienākumu pieaugumu dod pamatu sagaidīt labus tirdzniecības pieaugumus arī turpmākajos mēnešos. Līdz ar to arī 2015.gadā kopumā privātais patēriņš un mazumtirdzniecība saglabāsies kā galvenie ekonomiskās attīstības nodrošinātāji, kompensējot lejupslīdi nozarēs, kuras saistītas ar ģeopolitiskās situācijas un ārējās vides apstākļu negatīvo ietekmi.</w:t>
      </w:r>
    </w:p>
    <w:p w14:paraId="270E592B" w14:textId="77777777" w:rsidR="007722BA" w:rsidRPr="00E757B9" w:rsidRDefault="007722BA" w:rsidP="007722BA">
      <w:pPr>
        <w:jc w:val="center"/>
        <w:rPr>
          <w:b/>
          <w:sz w:val="24"/>
          <w:szCs w:val="24"/>
        </w:rPr>
      </w:pPr>
    </w:p>
    <w:p w14:paraId="5E634011" w14:textId="77777777" w:rsidR="003A1C49" w:rsidRDefault="003A1C49" w:rsidP="007722BA">
      <w:pPr>
        <w:jc w:val="center"/>
        <w:rPr>
          <w:b/>
          <w:sz w:val="24"/>
        </w:rPr>
      </w:pPr>
    </w:p>
    <w:p w14:paraId="209DB72D" w14:textId="77777777" w:rsidR="003A1C49" w:rsidRDefault="003A1C49" w:rsidP="007722BA">
      <w:pPr>
        <w:jc w:val="center"/>
        <w:rPr>
          <w:b/>
          <w:sz w:val="24"/>
        </w:rPr>
      </w:pPr>
    </w:p>
    <w:p w14:paraId="6C7F972B" w14:textId="77777777" w:rsidR="007722BA" w:rsidRPr="00E757B9" w:rsidRDefault="007722BA" w:rsidP="007722BA">
      <w:pPr>
        <w:jc w:val="center"/>
        <w:rPr>
          <w:b/>
          <w:sz w:val="24"/>
        </w:rPr>
      </w:pPr>
      <w:r w:rsidRPr="00E757B9">
        <w:rPr>
          <w:b/>
          <w:sz w:val="24"/>
        </w:rPr>
        <w:t>Transports</w:t>
      </w:r>
      <w:bookmarkEnd w:id="18"/>
      <w:bookmarkEnd w:id="19"/>
      <w:bookmarkEnd w:id="20"/>
    </w:p>
    <w:p w14:paraId="75D73093" w14:textId="77777777" w:rsidR="007722BA" w:rsidRPr="00E757B9" w:rsidRDefault="007722BA" w:rsidP="007722BA">
      <w:pPr>
        <w:spacing w:after="0"/>
        <w:rPr>
          <w:sz w:val="24"/>
        </w:rPr>
      </w:pPr>
      <w:r w:rsidRPr="00E757B9">
        <w:rPr>
          <w:sz w:val="24"/>
        </w:rPr>
        <w:t xml:space="preserve">Transporta nozarei izdevīgā ģeogrāfiskā stāvokļa dēļ ir salīdzinoši augsts īpatsvars Latvijas ekonomikā. Pagājušās ekonomiskās krīzes laikā tā salīdzinājumā ar citām nozarēm uzrādīja salīdzinoši labus rezultātus, un attīstība turpinājās arī pēc krīzes. 2014.gadā arī pēc Eiropas Savienības un Krievijas ekonomisko attiecību pasliktināšanās kravu plūsma caur Latviju turpināja pieaugt, un 2015.gada pirmajā ceturksnī ir piedzīvots tikai nebūtisks apjomu samazinājums. </w:t>
      </w:r>
    </w:p>
    <w:p w14:paraId="5B6F5D3B" w14:textId="77777777" w:rsidR="007722BA" w:rsidRPr="00E757B9" w:rsidRDefault="007722BA" w:rsidP="007722BA">
      <w:pPr>
        <w:spacing w:after="0"/>
        <w:rPr>
          <w:sz w:val="24"/>
        </w:rPr>
      </w:pPr>
      <w:r w:rsidRPr="00E757B9">
        <w:rPr>
          <w:sz w:val="24"/>
        </w:rPr>
        <w:t>Tajā pašā laikā nozares attīstības perspektīvas joprojām var negatīvi ietekmēt Krievijas ilgtermiņa plāni pārorientēt kravu plūsmu uz savām Baltijas jūras ostām, savukārt īstermiņa perspektīvā nav izslēgts tranzīta krass samazinājums ģeopolitiskā konflikta ietekmē.</w:t>
      </w:r>
    </w:p>
    <w:p w14:paraId="5A587494" w14:textId="77777777" w:rsidR="007722BA" w:rsidRPr="00E757B9" w:rsidRDefault="007722BA" w:rsidP="007722BA">
      <w:pPr>
        <w:spacing w:after="0"/>
        <w:rPr>
          <w:sz w:val="24"/>
        </w:rPr>
      </w:pPr>
      <w:r w:rsidRPr="00E757B9">
        <w:rPr>
          <w:sz w:val="24"/>
        </w:rPr>
        <w:t>Kopumā 2014.gadā transporta un uzglabāšanas nozarē tika sasniegts 3,2% pieaugums, kas ir labāks rādītājs nekā 2013.gadā, kad nozare bija augusi par 1,6%. Transporta nozares attīstību nodrošināja augošie kravu pārvadājumu apjomi gan ostās, gan dzelzceļā, gan autotransportā, kamēr pasažieru skaits turpināja samazināties.</w:t>
      </w:r>
    </w:p>
    <w:p w14:paraId="0E7D2AEF" w14:textId="77777777" w:rsidR="007722BA" w:rsidRPr="00E757B9" w:rsidRDefault="007722BA" w:rsidP="007722BA">
      <w:pPr>
        <w:rPr>
          <w:sz w:val="24"/>
        </w:rPr>
      </w:pPr>
      <w:r w:rsidRPr="00E757B9">
        <w:rPr>
          <w:sz w:val="24"/>
        </w:rPr>
        <w:t>Latvijas ostās 2014.gadā tika pārkrauti 74,2 milj. tonnu kravu, kas bija par 5,2% vairāk nekā 2013.gadā. Kopējo kravu apgrozījuma pieaugumu noteica galvenokārt lielāki naftas produktu pārkraušanas apjomi – par 11,3%, bet palielinājās arī beramkravu, pirmām kārtām labības, un ģenerālkravu apgrozījums. Īpaši pozitīvi, ka ģenerālkravu grupā par 6,8% palielinājās augstākas vērtības kravu – konteineru - pārkraušanas apjoms. No atsevišķām ostām kravu apgrozījums pieauga Rīgas ostā un Liepājas ostā – attiecīgi par 15,8% un 9,5%, bet Ventspils ostā tas samazinājās par 8,9%.</w:t>
      </w:r>
    </w:p>
    <w:p w14:paraId="72E4CC24" w14:textId="77777777" w:rsidR="007722BA" w:rsidRPr="00E757B9" w:rsidRDefault="007722BA" w:rsidP="007722BA">
      <w:pPr>
        <w:rPr>
          <w:sz w:val="24"/>
        </w:rPr>
      </w:pPr>
      <w:r w:rsidRPr="00E757B9">
        <w:rPr>
          <w:sz w:val="24"/>
        </w:rPr>
        <w:t>2015.gada pirmajā ceturksnī kravu apgrozījums Latvijas ostās, salīdzot ar iepriekšējā gada attiecīgo ceturksni, samazinājās par 4,5% līdz 19,8% milj. tonnu. Ņemot vērā ģeopolitisko situāciju un 2014.gadā sasniegto pārkraušanas rekordapjomu, tas joprojām vērtējams kā labs rezultāts. Līdzīgi kā 2014.gadā, Rīgas ostas kravu apgrozījums turpināja palielināties, sasniedzot 10,6 miljonus tonnu, kas bija par 6,7% vairāk nekā 2014.gada pirmajā ceturksnī. Ventspilī turpinājās kravu apgrozījuma kritums – par 16,7%, un kravu apgrozījums samazinājās arī Liepājā – par 3,6%. Pārkraušanas apjomi pirmajā ceturksnī nedaudz samazinājās visās nozīmīgākajās kravu grupās.</w:t>
      </w:r>
    </w:p>
    <w:p w14:paraId="4E787F8E" w14:textId="77777777" w:rsidR="007722BA" w:rsidRDefault="007722BA" w:rsidP="007722BA">
      <w:pPr>
        <w:ind w:firstLine="0"/>
        <w:jc w:val="center"/>
        <w:rPr>
          <w:b/>
          <w:i/>
          <w:color w:val="FF0000"/>
        </w:rPr>
      </w:pPr>
      <w:r>
        <w:rPr>
          <w:noProof/>
          <w:lang w:eastAsia="lv-LV"/>
        </w:rPr>
        <w:drawing>
          <wp:inline distT="0" distB="0" distL="0" distR="0" wp14:anchorId="38B4C620" wp14:editId="0A218395">
            <wp:extent cx="5238750" cy="3023235"/>
            <wp:effectExtent l="0" t="0" r="0" b="57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C25BCD" w14:textId="77777777" w:rsidR="007722BA" w:rsidRPr="00234FC7" w:rsidRDefault="00433477" w:rsidP="007722BA">
      <w:pPr>
        <w:rPr>
          <w:sz w:val="20"/>
          <w:szCs w:val="24"/>
        </w:rPr>
      </w:pPr>
      <w:r w:rsidRPr="00234FC7">
        <w:rPr>
          <w:b/>
          <w:i/>
          <w:sz w:val="20"/>
          <w:szCs w:val="24"/>
        </w:rPr>
        <w:t>1.</w:t>
      </w:r>
      <w:r w:rsidR="007722BA" w:rsidRPr="00234FC7">
        <w:rPr>
          <w:b/>
          <w:i/>
          <w:sz w:val="20"/>
          <w:szCs w:val="24"/>
        </w:rPr>
        <w:t>8. att. Kravu apgrozījums Latvijas ostās gada pirmajā ceturksnī, tūkst. tonnu</w:t>
      </w:r>
    </w:p>
    <w:p w14:paraId="5E48B2EB" w14:textId="77777777" w:rsidR="007722BA" w:rsidRPr="00E757B9" w:rsidRDefault="007722BA" w:rsidP="007722BA">
      <w:pPr>
        <w:rPr>
          <w:color w:val="000000" w:themeColor="text1"/>
          <w:sz w:val="24"/>
        </w:rPr>
      </w:pPr>
      <w:r w:rsidRPr="00E757B9">
        <w:rPr>
          <w:color w:val="000000" w:themeColor="text1"/>
          <w:sz w:val="24"/>
        </w:rPr>
        <w:t>Skatoties kopējās kravu plūsmas Baltijas jūras austrumkrasta ostās, redzams, ka arī 2015.gadā Krievija turpina kravu pakāpenisku pārorientāciju uz savām ostām. Lai gan kopējais kravu apgrozījums Baltijas austrumkrasta ostās šā gada 1.ceturksnī audzis par 2,1%, pašas Krievijas ostās tas palielinājies par 4,1%, bet Baltijas valstu ostās kopā – samazinājies par 2,5%. Tāpat kā iepriekšējos gados, Baltijas valstīs vērojamas spēcīgas kravu plūsmu svārstības pa ostām, un šogad lielākās ieguvējas bijušas Rīgas un Klaipēdas ostas, kamēr Tallinas ostā kravu apgrozījums pirmajā ceturksnī bijis par 24,0% mazāks nekā pirms gada.</w:t>
      </w:r>
    </w:p>
    <w:p w14:paraId="2604CD7F" w14:textId="77777777" w:rsidR="00433477" w:rsidRPr="00234FC7" w:rsidRDefault="00433477" w:rsidP="00433477">
      <w:pPr>
        <w:spacing w:after="0"/>
        <w:ind w:firstLine="0"/>
        <w:jc w:val="right"/>
        <w:rPr>
          <w:b/>
          <w:sz w:val="20"/>
          <w:szCs w:val="24"/>
        </w:rPr>
      </w:pPr>
      <w:r w:rsidRPr="00234FC7">
        <w:rPr>
          <w:b/>
          <w:sz w:val="20"/>
          <w:szCs w:val="24"/>
        </w:rPr>
        <w:t>1.</w:t>
      </w:r>
      <w:r w:rsidR="007722BA" w:rsidRPr="00234FC7">
        <w:rPr>
          <w:b/>
          <w:sz w:val="20"/>
          <w:szCs w:val="24"/>
        </w:rPr>
        <w:t xml:space="preserve">2. tabula. Kravu apgrozījums Baltijas jūras </w:t>
      </w:r>
    </w:p>
    <w:p w14:paraId="214C38BC" w14:textId="77777777" w:rsidR="007722BA" w:rsidRPr="00234FC7" w:rsidRDefault="007722BA" w:rsidP="00433477">
      <w:pPr>
        <w:ind w:firstLine="0"/>
        <w:jc w:val="right"/>
        <w:rPr>
          <w:b/>
          <w:sz w:val="20"/>
          <w:szCs w:val="24"/>
        </w:rPr>
      </w:pPr>
      <w:r w:rsidRPr="00234FC7">
        <w:rPr>
          <w:b/>
          <w:sz w:val="20"/>
          <w:szCs w:val="24"/>
        </w:rPr>
        <w:t>austrumkrasta ostās, tūkst. t</w:t>
      </w:r>
      <w:r w:rsidRPr="00234FC7">
        <w:rPr>
          <w:b/>
          <w:sz w:val="20"/>
          <w:szCs w:val="24"/>
          <w:vertAlign w:val="superscript"/>
        </w:rPr>
        <w:footnoteReference w:id="4"/>
      </w:r>
    </w:p>
    <w:tbl>
      <w:tblPr>
        <w:tblStyle w:val="GridTable1Light-Accent1"/>
        <w:tblW w:w="8332" w:type="dxa"/>
        <w:jc w:val="center"/>
        <w:tblLook w:val="04A0" w:firstRow="1" w:lastRow="0" w:firstColumn="1" w:lastColumn="0" w:noHBand="0" w:noVBand="1"/>
      </w:tblPr>
      <w:tblGrid>
        <w:gridCol w:w="2498"/>
        <w:gridCol w:w="2015"/>
        <w:gridCol w:w="1940"/>
        <w:gridCol w:w="1879"/>
      </w:tblGrid>
      <w:tr w:rsidR="007722BA" w:rsidRPr="004E4838" w14:paraId="09DACBB6" w14:textId="77777777" w:rsidTr="00433477">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302" w:type="dxa"/>
            <w:hideMark/>
          </w:tcPr>
          <w:p w14:paraId="04295599" w14:textId="77777777" w:rsidR="007722BA" w:rsidRPr="00C2364A" w:rsidRDefault="007722BA" w:rsidP="00881D12">
            <w:pPr>
              <w:spacing w:after="0"/>
              <w:rPr>
                <w:bCs w:val="0"/>
                <w:sz w:val="24"/>
                <w:szCs w:val="20"/>
              </w:rPr>
            </w:pPr>
            <w:r w:rsidRPr="00C2364A">
              <w:rPr>
                <w:sz w:val="24"/>
                <w:szCs w:val="20"/>
              </w:rPr>
              <w:t>Osta</w:t>
            </w:r>
          </w:p>
        </w:tc>
        <w:tc>
          <w:tcPr>
            <w:tcW w:w="2093" w:type="dxa"/>
          </w:tcPr>
          <w:p w14:paraId="40C58521" w14:textId="77777777" w:rsidR="007722BA" w:rsidRPr="00C2364A" w:rsidRDefault="007722BA" w:rsidP="00881D12">
            <w:pPr>
              <w:spacing w:after="0"/>
              <w:ind w:firstLine="0"/>
              <w:jc w:val="center"/>
              <w:cnfStyle w:val="100000000000" w:firstRow="1" w:lastRow="0" w:firstColumn="0" w:lastColumn="0" w:oddVBand="0" w:evenVBand="0" w:oddHBand="0" w:evenHBand="0" w:firstRowFirstColumn="0" w:firstRowLastColumn="0" w:lastRowFirstColumn="0" w:lastRowLastColumn="0"/>
              <w:rPr>
                <w:bCs w:val="0"/>
                <w:sz w:val="24"/>
                <w:szCs w:val="20"/>
              </w:rPr>
            </w:pPr>
            <w:r w:rsidRPr="00C2364A">
              <w:rPr>
                <w:sz w:val="24"/>
                <w:szCs w:val="20"/>
              </w:rPr>
              <w:t>2014.gada</w:t>
            </w:r>
          </w:p>
          <w:p w14:paraId="749125D1" w14:textId="77777777" w:rsidR="007722BA" w:rsidRPr="00C2364A" w:rsidRDefault="007722BA" w:rsidP="00881D12">
            <w:pPr>
              <w:spacing w:after="0"/>
              <w:ind w:firstLine="0"/>
              <w:jc w:val="center"/>
              <w:cnfStyle w:val="100000000000" w:firstRow="1" w:lastRow="0" w:firstColumn="0" w:lastColumn="0" w:oddVBand="0" w:evenVBand="0" w:oddHBand="0" w:evenHBand="0" w:firstRowFirstColumn="0" w:firstRowLastColumn="0" w:lastRowFirstColumn="0" w:lastRowLastColumn="0"/>
              <w:rPr>
                <w:bCs w:val="0"/>
                <w:sz w:val="24"/>
                <w:szCs w:val="20"/>
              </w:rPr>
            </w:pPr>
            <w:r w:rsidRPr="00C2364A">
              <w:rPr>
                <w:sz w:val="24"/>
                <w:szCs w:val="20"/>
              </w:rPr>
              <w:t>3 mēneši</w:t>
            </w:r>
          </w:p>
        </w:tc>
        <w:tc>
          <w:tcPr>
            <w:tcW w:w="2018" w:type="dxa"/>
          </w:tcPr>
          <w:p w14:paraId="7F64B32A" w14:textId="77777777" w:rsidR="007722BA" w:rsidRPr="00C2364A" w:rsidRDefault="007722BA" w:rsidP="00881D12">
            <w:pPr>
              <w:spacing w:after="0"/>
              <w:ind w:firstLine="0"/>
              <w:jc w:val="center"/>
              <w:cnfStyle w:val="100000000000" w:firstRow="1" w:lastRow="0" w:firstColumn="0" w:lastColumn="0" w:oddVBand="0" w:evenVBand="0" w:oddHBand="0" w:evenHBand="0" w:firstRowFirstColumn="0" w:firstRowLastColumn="0" w:lastRowFirstColumn="0" w:lastRowLastColumn="0"/>
              <w:rPr>
                <w:bCs w:val="0"/>
                <w:sz w:val="24"/>
                <w:szCs w:val="20"/>
              </w:rPr>
            </w:pPr>
            <w:r w:rsidRPr="00C2364A">
              <w:rPr>
                <w:sz w:val="24"/>
                <w:szCs w:val="20"/>
              </w:rPr>
              <w:t>2015. gada</w:t>
            </w:r>
          </w:p>
          <w:p w14:paraId="553A565B" w14:textId="77777777" w:rsidR="007722BA" w:rsidRPr="00C2364A" w:rsidRDefault="007722BA" w:rsidP="00881D12">
            <w:pPr>
              <w:spacing w:after="0"/>
              <w:ind w:firstLine="0"/>
              <w:jc w:val="center"/>
              <w:cnfStyle w:val="100000000000" w:firstRow="1" w:lastRow="0" w:firstColumn="0" w:lastColumn="0" w:oddVBand="0" w:evenVBand="0" w:oddHBand="0" w:evenHBand="0" w:firstRowFirstColumn="0" w:firstRowLastColumn="0" w:lastRowFirstColumn="0" w:lastRowLastColumn="0"/>
              <w:rPr>
                <w:bCs w:val="0"/>
                <w:sz w:val="24"/>
                <w:szCs w:val="20"/>
              </w:rPr>
            </w:pPr>
            <w:r w:rsidRPr="00C2364A">
              <w:rPr>
                <w:sz w:val="24"/>
                <w:szCs w:val="20"/>
              </w:rPr>
              <w:t>3 mēneši</w:t>
            </w:r>
          </w:p>
        </w:tc>
        <w:tc>
          <w:tcPr>
            <w:tcW w:w="1919" w:type="dxa"/>
            <w:hideMark/>
          </w:tcPr>
          <w:p w14:paraId="3A0FC3E4" w14:textId="77777777" w:rsidR="007722BA" w:rsidRPr="00C2364A" w:rsidRDefault="007722BA" w:rsidP="00881D12">
            <w:pPr>
              <w:spacing w:after="0"/>
              <w:ind w:firstLine="0"/>
              <w:jc w:val="center"/>
              <w:cnfStyle w:val="100000000000" w:firstRow="1" w:lastRow="0" w:firstColumn="0" w:lastColumn="0" w:oddVBand="0" w:evenVBand="0" w:oddHBand="0" w:evenHBand="0" w:firstRowFirstColumn="0" w:firstRowLastColumn="0" w:lastRowFirstColumn="0" w:lastRowLastColumn="0"/>
              <w:rPr>
                <w:bCs w:val="0"/>
                <w:sz w:val="24"/>
                <w:szCs w:val="20"/>
              </w:rPr>
            </w:pPr>
            <w:r w:rsidRPr="00C2364A">
              <w:rPr>
                <w:sz w:val="24"/>
                <w:szCs w:val="20"/>
              </w:rPr>
              <w:t>Izmaiņas, %</w:t>
            </w:r>
          </w:p>
        </w:tc>
      </w:tr>
      <w:tr w:rsidR="007722BA" w:rsidRPr="004E4838" w14:paraId="326F3B3E"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hideMark/>
          </w:tcPr>
          <w:p w14:paraId="29C5BC57" w14:textId="77777777" w:rsidR="007722BA" w:rsidRPr="00C2364A" w:rsidRDefault="007722BA" w:rsidP="00881D12">
            <w:pPr>
              <w:spacing w:after="0"/>
              <w:rPr>
                <w:b w:val="0"/>
                <w:bCs w:val="0"/>
                <w:sz w:val="24"/>
                <w:szCs w:val="20"/>
              </w:rPr>
            </w:pPr>
            <w:r w:rsidRPr="00C2364A">
              <w:rPr>
                <w:b w:val="0"/>
                <w:sz w:val="24"/>
                <w:szCs w:val="20"/>
              </w:rPr>
              <w:t>Ustjluga</w:t>
            </w:r>
          </w:p>
        </w:tc>
        <w:tc>
          <w:tcPr>
            <w:tcW w:w="2093" w:type="dxa"/>
            <w:hideMark/>
          </w:tcPr>
          <w:p w14:paraId="21D72A6D"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16 561,0</w:t>
            </w:r>
          </w:p>
        </w:tc>
        <w:tc>
          <w:tcPr>
            <w:tcW w:w="2018" w:type="dxa"/>
          </w:tcPr>
          <w:p w14:paraId="568362C0"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21 033,2</w:t>
            </w:r>
          </w:p>
        </w:tc>
        <w:tc>
          <w:tcPr>
            <w:tcW w:w="1919" w:type="dxa"/>
          </w:tcPr>
          <w:p w14:paraId="097040B6"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+27,0</w:t>
            </w:r>
          </w:p>
        </w:tc>
      </w:tr>
      <w:tr w:rsidR="007722BA" w:rsidRPr="004E4838" w14:paraId="2102F06E"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hideMark/>
          </w:tcPr>
          <w:p w14:paraId="70408B0B" w14:textId="77777777" w:rsidR="007722BA" w:rsidRPr="00C2364A" w:rsidRDefault="007722BA" w:rsidP="00881D12">
            <w:pPr>
              <w:spacing w:after="0"/>
              <w:rPr>
                <w:b w:val="0"/>
                <w:bCs w:val="0"/>
                <w:sz w:val="24"/>
                <w:szCs w:val="20"/>
              </w:rPr>
            </w:pPr>
            <w:r w:rsidRPr="00C2364A">
              <w:rPr>
                <w:b w:val="0"/>
                <w:sz w:val="24"/>
                <w:szCs w:val="20"/>
              </w:rPr>
              <w:t>Primorska</w:t>
            </w:r>
          </w:p>
        </w:tc>
        <w:tc>
          <w:tcPr>
            <w:tcW w:w="2093" w:type="dxa"/>
          </w:tcPr>
          <w:p w14:paraId="772316CF"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13 897,8</w:t>
            </w:r>
          </w:p>
        </w:tc>
        <w:tc>
          <w:tcPr>
            <w:tcW w:w="2018" w:type="dxa"/>
          </w:tcPr>
          <w:p w14:paraId="182F001C"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14 645,1</w:t>
            </w:r>
          </w:p>
        </w:tc>
        <w:tc>
          <w:tcPr>
            <w:tcW w:w="1919" w:type="dxa"/>
          </w:tcPr>
          <w:p w14:paraId="5E23DDDB"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+5,4</w:t>
            </w:r>
          </w:p>
        </w:tc>
      </w:tr>
      <w:tr w:rsidR="007722BA" w:rsidRPr="004E4838" w14:paraId="1EBE2544"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hideMark/>
          </w:tcPr>
          <w:p w14:paraId="08CE6596" w14:textId="77777777" w:rsidR="007722BA" w:rsidRPr="00C2364A" w:rsidRDefault="007722BA" w:rsidP="00881D12">
            <w:pPr>
              <w:spacing w:after="0"/>
              <w:rPr>
                <w:b w:val="0"/>
                <w:bCs w:val="0"/>
                <w:sz w:val="24"/>
                <w:szCs w:val="20"/>
              </w:rPr>
            </w:pPr>
            <w:r w:rsidRPr="00C2364A">
              <w:rPr>
                <w:b w:val="0"/>
                <w:sz w:val="24"/>
                <w:szCs w:val="20"/>
              </w:rPr>
              <w:t>Sanktpēterburga</w:t>
            </w:r>
          </w:p>
        </w:tc>
        <w:tc>
          <w:tcPr>
            <w:tcW w:w="2093" w:type="dxa"/>
          </w:tcPr>
          <w:p w14:paraId="711BD2C0"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14 033,0</w:t>
            </w:r>
          </w:p>
        </w:tc>
        <w:tc>
          <w:tcPr>
            <w:tcW w:w="2018" w:type="dxa"/>
          </w:tcPr>
          <w:p w14:paraId="537116D8"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12 964,5</w:t>
            </w:r>
          </w:p>
        </w:tc>
        <w:tc>
          <w:tcPr>
            <w:tcW w:w="1919" w:type="dxa"/>
          </w:tcPr>
          <w:p w14:paraId="3486497E"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-7,6</w:t>
            </w:r>
          </w:p>
        </w:tc>
      </w:tr>
      <w:tr w:rsidR="007722BA" w:rsidRPr="004E4838" w14:paraId="18DC8D73"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hideMark/>
          </w:tcPr>
          <w:p w14:paraId="7FA867E8" w14:textId="77777777" w:rsidR="007722BA" w:rsidRPr="00C2364A" w:rsidRDefault="007722BA" w:rsidP="00881D12">
            <w:pPr>
              <w:spacing w:after="0"/>
              <w:rPr>
                <w:b w:val="0"/>
                <w:bCs w:val="0"/>
                <w:sz w:val="24"/>
                <w:szCs w:val="20"/>
              </w:rPr>
            </w:pPr>
            <w:r w:rsidRPr="00C2364A">
              <w:rPr>
                <w:b w:val="0"/>
                <w:sz w:val="24"/>
                <w:szCs w:val="20"/>
              </w:rPr>
              <w:t>Rīga</w:t>
            </w:r>
          </w:p>
        </w:tc>
        <w:tc>
          <w:tcPr>
            <w:tcW w:w="2093" w:type="dxa"/>
          </w:tcPr>
          <w:p w14:paraId="7AA7370C"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9 920,4</w:t>
            </w:r>
          </w:p>
        </w:tc>
        <w:tc>
          <w:tcPr>
            <w:tcW w:w="2018" w:type="dxa"/>
          </w:tcPr>
          <w:p w14:paraId="7BF7CCA7"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10 583,2</w:t>
            </w:r>
          </w:p>
        </w:tc>
        <w:tc>
          <w:tcPr>
            <w:tcW w:w="1919" w:type="dxa"/>
          </w:tcPr>
          <w:p w14:paraId="6C732843"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+6,7</w:t>
            </w:r>
          </w:p>
        </w:tc>
      </w:tr>
      <w:tr w:rsidR="007722BA" w:rsidRPr="004E4838" w14:paraId="0E21A55E"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tcPr>
          <w:p w14:paraId="602B3909" w14:textId="77777777" w:rsidR="007722BA" w:rsidRPr="00C2364A" w:rsidRDefault="007722BA" w:rsidP="00881D12">
            <w:pPr>
              <w:spacing w:after="0"/>
              <w:rPr>
                <w:b w:val="0"/>
                <w:bCs w:val="0"/>
                <w:sz w:val="24"/>
                <w:szCs w:val="20"/>
              </w:rPr>
            </w:pPr>
            <w:r w:rsidRPr="00C2364A">
              <w:rPr>
                <w:b w:val="0"/>
                <w:sz w:val="24"/>
                <w:szCs w:val="20"/>
              </w:rPr>
              <w:t>Klaipēda</w:t>
            </w:r>
          </w:p>
        </w:tc>
        <w:tc>
          <w:tcPr>
            <w:tcW w:w="2093" w:type="dxa"/>
          </w:tcPr>
          <w:p w14:paraId="7537FA50"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8 708,8</w:t>
            </w:r>
          </w:p>
        </w:tc>
        <w:tc>
          <w:tcPr>
            <w:tcW w:w="2018" w:type="dxa"/>
          </w:tcPr>
          <w:p w14:paraId="7F8ACC6A"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9 042,4</w:t>
            </w:r>
          </w:p>
        </w:tc>
        <w:tc>
          <w:tcPr>
            <w:tcW w:w="1919" w:type="dxa"/>
          </w:tcPr>
          <w:p w14:paraId="0AD0FA5E"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+3,8</w:t>
            </w:r>
          </w:p>
        </w:tc>
      </w:tr>
      <w:tr w:rsidR="007722BA" w:rsidRPr="004E4838" w14:paraId="4B7641B5"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hideMark/>
          </w:tcPr>
          <w:p w14:paraId="3BD1C9FC" w14:textId="77777777" w:rsidR="007722BA" w:rsidRPr="00C2364A" w:rsidRDefault="007722BA" w:rsidP="00881D12">
            <w:pPr>
              <w:spacing w:after="0"/>
              <w:rPr>
                <w:b w:val="0"/>
                <w:bCs w:val="0"/>
                <w:sz w:val="24"/>
                <w:szCs w:val="20"/>
              </w:rPr>
            </w:pPr>
            <w:r w:rsidRPr="00C2364A">
              <w:rPr>
                <w:b w:val="0"/>
                <w:sz w:val="24"/>
                <w:szCs w:val="20"/>
              </w:rPr>
              <w:t>Ventspils</w:t>
            </w:r>
          </w:p>
        </w:tc>
        <w:tc>
          <w:tcPr>
            <w:tcW w:w="2093" w:type="dxa"/>
          </w:tcPr>
          <w:p w14:paraId="7A3EA348"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8 989,0</w:t>
            </w:r>
          </w:p>
        </w:tc>
        <w:tc>
          <w:tcPr>
            <w:tcW w:w="2018" w:type="dxa"/>
          </w:tcPr>
          <w:p w14:paraId="500B0016"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7 489,0</w:t>
            </w:r>
          </w:p>
        </w:tc>
        <w:tc>
          <w:tcPr>
            <w:tcW w:w="1919" w:type="dxa"/>
          </w:tcPr>
          <w:p w14:paraId="510F1A71"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-16,7</w:t>
            </w:r>
          </w:p>
        </w:tc>
      </w:tr>
      <w:tr w:rsidR="007722BA" w:rsidRPr="004E4838" w14:paraId="34649271"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hideMark/>
          </w:tcPr>
          <w:p w14:paraId="12C3A2BC" w14:textId="77777777" w:rsidR="007722BA" w:rsidRPr="00C2364A" w:rsidRDefault="007722BA" w:rsidP="00881D12">
            <w:pPr>
              <w:spacing w:after="0"/>
              <w:rPr>
                <w:b w:val="0"/>
                <w:bCs w:val="0"/>
                <w:sz w:val="24"/>
                <w:szCs w:val="20"/>
              </w:rPr>
            </w:pPr>
            <w:r w:rsidRPr="00C2364A">
              <w:rPr>
                <w:b w:val="0"/>
                <w:sz w:val="24"/>
                <w:szCs w:val="20"/>
              </w:rPr>
              <w:t>Tallina</w:t>
            </w:r>
          </w:p>
        </w:tc>
        <w:tc>
          <w:tcPr>
            <w:tcW w:w="2093" w:type="dxa"/>
          </w:tcPr>
          <w:p w14:paraId="7646C1F0"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8 283,0</w:t>
            </w:r>
          </w:p>
        </w:tc>
        <w:tc>
          <w:tcPr>
            <w:tcW w:w="2018" w:type="dxa"/>
          </w:tcPr>
          <w:p w14:paraId="138B0482"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6 294,2</w:t>
            </w:r>
          </w:p>
        </w:tc>
        <w:tc>
          <w:tcPr>
            <w:tcW w:w="1919" w:type="dxa"/>
          </w:tcPr>
          <w:p w14:paraId="5738AD7E"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-24,0</w:t>
            </w:r>
          </w:p>
        </w:tc>
      </w:tr>
      <w:tr w:rsidR="007722BA" w:rsidRPr="004E4838" w14:paraId="67BD4210"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hideMark/>
          </w:tcPr>
          <w:p w14:paraId="1152C076" w14:textId="77777777" w:rsidR="007722BA" w:rsidRPr="00C2364A" w:rsidRDefault="007722BA" w:rsidP="00881D12">
            <w:pPr>
              <w:spacing w:after="0"/>
              <w:rPr>
                <w:b w:val="0"/>
                <w:bCs w:val="0"/>
                <w:sz w:val="24"/>
                <w:szCs w:val="20"/>
              </w:rPr>
            </w:pPr>
            <w:r w:rsidRPr="00C2364A">
              <w:rPr>
                <w:b w:val="0"/>
                <w:sz w:val="24"/>
                <w:szCs w:val="20"/>
              </w:rPr>
              <w:t>Visocka</w:t>
            </w:r>
          </w:p>
        </w:tc>
        <w:tc>
          <w:tcPr>
            <w:tcW w:w="2093" w:type="dxa"/>
          </w:tcPr>
          <w:p w14:paraId="2EAE2651"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3 900,5</w:t>
            </w:r>
          </w:p>
        </w:tc>
        <w:tc>
          <w:tcPr>
            <w:tcW w:w="2018" w:type="dxa"/>
          </w:tcPr>
          <w:p w14:paraId="6A00B4C9"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3 985,2</w:t>
            </w:r>
          </w:p>
        </w:tc>
        <w:tc>
          <w:tcPr>
            <w:tcW w:w="1919" w:type="dxa"/>
          </w:tcPr>
          <w:p w14:paraId="3824682C"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+2,2</w:t>
            </w:r>
          </w:p>
        </w:tc>
      </w:tr>
      <w:tr w:rsidR="007722BA" w:rsidRPr="004E4838" w14:paraId="5A5C310D"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hideMark/>
          </w:tcPr>
          <w:p w14:paraId="629C5719" w14:textId="77777777" w:rsidR="007722BA" w:rsidRPr="00C2364A" w:rsidRDefault="007722BA" w:rsidP="00881D12">
            <w:pPr>
              <w:spacing w:after="0"/>
              <w:rPr>
                <w:b w:val="0"/>
                <w:bCs w:val="0"/>
                <w:sz w:val="24"/>
                <w:szCs w:val="20"/>
              </w:rPr>
            </w:pPr>
            <w:r w:rsidRPr="00C2364A">
              <w:rPr>
                <w:b w:val="0"/>
                <w:sz w:val="24"/>
                <w:szCs w:val="20"/>
              </w:rPr>
              <w:t>Kaļiņingrada</w:t>
            </w:r>
          </w:p>
        </w:tc>
        <w:tc>
          <w:tcPr>
            <w:tcW w:w="2093" w:type="dxa"/>
          </w:tcPr>
          <w:p w14:paraId="22C63A84"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3 261,2</w:t>
            </w:r>
          </w:p>
        </w:tc>
        <w:tc>
          <w:tcPr>
            <w:tcW w:w="2018" w:type="dxa"/>
          </w:tcPr>
          <w:p w14:paraId="29BFAB07"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3 257,8</w:t>
            </w:r>
          </w:p>
        </w:tc>
        <w:tc>
          <w:tcPr>
            <w:tcW w:w="1919" w:type="dxa"/>
          </w:tcPr>
          <w:p w14:paraId="3910F38D"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-0,1</w:t>
            </w:r>
          </w:p>
        </w:tc>
      </w:tr>
      <w:tr w:rsidR="007722BA" w:rsidRPr="004E4838" w14:paraId="097B8A0F"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tcPr>
          <w:p w14:paraId="1DD2AED8" w14:textId="77777777" w:rsidR="007722BA" w:rsidRPr="00C2364A" w:rsidRDefault="007722BA" w:rsidP="00881D12">
            <w:pPr>
              <w:spacing w:after="0"/>
              <w:rPr>
                <w:b w:val="0"/>
                <w:bCs w:val="0"/>
                <w:sz w:val="24"/>
                <w:szCs w:val="20"/>
              </w:rPr>
            </w:pPr>
            <w:r w:rsidRPr="00C2364A">
              <w:rPr>
                <w:b w:val="0"/>
                <w:sz w:val="24"/>
                <w:szCs w:val="20"/>
              </w:rPr>
              <w:t>Būtiņģe</w:t>
            </w:r>
          </w:p>
        </w:tc>
        <w:tc>
          <w:tcPr>
            <w:tcW w:w="2093" w:type="dxa"/>
          </w:tcPr>
          <w:p w14:paraId="368A5642"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1 511,8</w:t>
            </w:r>
          </w:p>
        </w:tc>
        <w:tc>
          <w:tcPr>
            <w:tcW w:w="2018" w:type="dxa"/>
          </w:tcPr>
          <w:p w14:paraId="741BE7E2"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1 828,4</w:t>
            </w:r>
          </w:p>
        </w:tc>
        <w:tc>
          <w:tcPr>
            <w:tcW w:w="1919" w:type="dxa"/>
          </w:tcPr>
          <w:p w14:paraId="6D9BB4FF"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+20,9</w:t>
            </w:r>
          </w:p>
        </w:tc>
      </w:tr>
      <w:tr w:rsidR="007722BA" w:rsidRPr="0023708B" w14:paraId="6CC87E5F" w14:textId="77777777" w:rsidTr="00433477">
        <w:trPr>
          <w:jc w:val="center"/>
        </w:trPr>
        <w:tc>
          <w:tcPr>
            <w:cnfStyle w:val="001000000000" w:firstRow="0" w:lastRow="0" w:firstColumn="1" w:lastColumn="0" w:oddVBand="0" w:evenVBand="0" w:oddHBand="0" w:evenHBand="0" w:firstRowFirstColumn="0" w:firstRowLastColumn="0" w:lastRowFirstColumn="0" w:lastRowLastColumn="0"/>
            <w:tcW w:w="2302" w:type="dxa"/>
            <w:hideMark/>
          </w:tcPr>
          <w:p w14:paraId="636C18D2" w14:textId="77777777" w:rsidR="007722BA" w:rsidRPr="00C2364A" w:rsidRDefault="007722BA" w:rsidP="00881D12">
            <w:pPr>
              <w:spacing w:after="0"/>
              <w:rPr>
                <w:b w:val="0"/>
                <w:bCs w:val="0"/>
                <w:sz w:val="24"/>
                <w:szCs w:val="20"/>
              </w:rPr>
            </w:pPr>
            <w:r w:rsidRPr="00C2364A">
              <w:rPr>
                <w:b w:val="0"/>
                <w:sz w:val="24"/>
                <w:szCs w:val="20"/>
              </w:rPr>
              <w:t>Liepāja</w:t>
            </w:r>
          </w:p>
        </w:tc>
        <w:tc>
          <w:tcPr>
            <w:tcW w:w="2093" w:type="dxa"/>
          </w:tcPr>
          <w:p w14:paraId="4501130B"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1 416,7</w:t>
            </w:r>
          </w:p>
        </w:tc>
        <w:tc>
          <w:tcPr>
            <w:tcW w:w="2018" w:type="dxa"/>
          </w:tcPr>
          <w:p w14:paraId="55447645"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1 365,0</w:t>
            </w:r>
          </w:p>
        </w:tc>
        <w:tc>
          <w:tcPr>
            <w:tcW w:w="1919" w:type="dxa"/>
          </w:tcPr>
          <w:p w14:paraId="3E7A16C6" w14:textId="77777777" w:rsidR="007722BA" w:rsidRPr="00C2364A" w:rsidRDefault="007722BA" w:rsidP="00881D12">
            <w:pPr>
              <w:spacing w:after="0"/>
              <w:cnfStyle w:val="000000000000" w:firstRow="0" w:lastRow="0" w:firstColumn="0" w:lastColumn="0" w:oddVBand="0" w:evenVBand="0" w:oddHBand="0" w:evenHBand="0" w:firstRowFirstColumn="0" w:firstRowLastColumn="0" w:lastRowFirstColumn="0" w:lastRowLastColumn="0"/>
              <w:rPr>
                <w:bCs/>
                <w:sz w:val="24"/>
                <w:szCs w:val="20"/>
              </w:rPr>
            </w:pPr>
            <w:r w:rsidRPr="00C2364A">
              <w:rPr>
                <w:bCs/>
                <w:sz w:val="24"/>
                <w:szCs w:val="20"/>
              </w:rPr>
              <w:t>-3,6</w:t>
            </w:r>
          </w:p>
        </w:tc>
      </w:tr>
    </w:tbl>
    <w:p w14:paraId="62A4F78C" w14:textId="77777777" w:rsidR="007722BA" w:rsidRDefault="007722BA" w:rsidP="007722BA"/>
    <w:p w14:paraId="6DB9AB92" w14:textId="77777777" w:rsidR="007722BA" w:rsidRPr="00E757B9" w:rsidRDefault="007722BA" w:rsidP="007722BA">
      <w:pPr>
        <w:rPr>
          <w:sz w:val="24"/>
        </w:rPr>
      </w:pPr>
      <w:r w:rsidRPr="00E757B9">
        <w:rPr>
          <w:sz w:val="24"/>
        </w:rPr>
        <w:t>Līdzīgi kā ostās mainījušies kravu pārvadājumu apjomi arī dzelzceļā, kas apkalpo galvenokārt tranzītpārvadājumus caur Latvijas ostām. 2014.gadā kopā dzelzceļā pārvadāto kravu apjoms pieauga par 2,2% līdz 57,0 milj. tonnu, bet 2015.gada pirmajā ceturksnī bija vērojams neliels pārvadājumu apjoma samazinājums – par 3,9% līdz 16,4 milj. tonnu.</w:t>
      </w:r>
    </w:p>
    <w:p w14:paraId="06F7E798" w14:textId="77777777" w:rsidR="007722BA" w:rsidRPr="00E757B9" w:rsidRDefault="007722BA" w:rsidP="007722BA">
      <w:pPr>
        <w:rPr>
          <w:sz w:val="24"/>
        </w:rPr>
      </w:pPr>
      <w:r w:rsidRPr="00E757B9">
        <w:rPr>
          <w:sz w:val="24"/>
        </w:rPr>
        <w:t xml:space="preserve">Pieaugums 2014.gadā sasniegts arī kravu pārvadājumos ar autotransportu, kur pārvadāto kravu apjoms, salīdzinot ar 2013.gadu, palielinājies par 2,8% līdz 62,2 milj. tonnu. Pretstatā bažām par Krievijas sankciju nelabvēlīgo ietekmi uz Latvijas starptautisko autopārvadātāju darbu,  starptautiskajā satiksmē  kravu apjoms pērn audzis par 15,3%, bet iekšzemes satiksmē, kas veido lielāko autopārvadājumu daļu, fiksēts tikai 0,2% pieaugums. </w:t>
      </w:r>
    </w:p>
    <w:p w14:paraId="6F7C66E4" w14:textId="77777777" w:rsidR="007722BA" w:rsidRPr="00E757B9" w:rsidRDefault="007722BA" w:rsidP="007722BA">
      <w:pPr>
        <w:ind w:firstLine="0"/>
        <w:rPr>
          <w:sz w:val="24"/>
        </w:rPr>
      </w:pPr>
      <w:r w:rsidRPr="00E757B9">
        <w:rPr>
          <w:sz w:val="24"/>
        </w:rPr>
        <w:tab/>
        <w:t>Turpinot iepriekšējo gadu tendenci, 2014.gadā nedaudz samazinājies arī pasažieru pārvadājumu apjoms. Lai gan nedaudz audzis ar tramvajiem pārvadāto cilvēku skaits, kopējais pasažieru skaits visos sauszemes transporta veidos 2014.gadā bijis par 0,7% mazāks nekā pirms gada. Dzelzceļā pasažieru skaits samazinājies par 2,8% līdz 19,2 miljoniem, autopārvadājumos bijis kritums par 0,8% līdz 146,1 miljonam, bet trolejbusu pasažieru skaits sarucis par 1,9% līdz 47,0 miljoniem. Tramvajos pasažieru skaits bijis par 1,7% lielāks nekā pirms gada, sasniedzot 45,0 miljonus.</w:t>
      </w:r>
    </w:p>
    <w:p w14:paraId="12842D45" w14:textId="77777777" w:rsidR="007722BA" w:rsidRPr="00E757B9" w:rsidRDefault="007722BA" w:rsidP="007722BA">
      <w:pPr>
        <w:rPr>
          <w:sz w:val="24"/>
        </w:rPr>
      </w:pPr>
      <w:r w:rsidRPr="00E757B9">
        <w:rPr>
          <w:sz w:val="24"/>
        </w:rPr>
        <w:t>Pasažieru skaits lidostā „Rīga” 2014.gadā bija palielinājies par 0,5% līdz 4,8 miljoniem, bet 2015.gada pirmajā ceturksnī, salīdzinot ar attiecīgo ceturksni pirms gada, sasniegts jau 7,6% pieaugums līdz 986,9 tūkstošiem.</w:t>
      </w:r>
    </w:p>
    <w:p w14:paraId="73C96E07" w14:textId="77777777" w:rsidR="007722BA" w:rsidRPr="00E757B9" w:rsidRDefault="007722BA" w:rsidP="007722BA">
      <w:pPr>
        <w:rPr>
          <w:sz w:val="24"/>
        </w:rPr>
      </w:pPr>
      <w:r w:rsidRPr="00E757B9">
        <w:rPr>
          <w:sz w:val="24"/>
        </w:rPr>
        <w:t>Vienlaikus ar aviopasažieru skaita pieaugumu, visai būtiski samazinājies jūras ostās apkalpoto pasažieru skaits. 2014.gadā kopā ostās apkalpoti 864 tūkstoši pasažieru, kas ir par 8,2% mazāk nekā pirms gada. 2015.gada pirmajā ceturksnī kritums palielinājies jau līdz 34,3% un ostās uzņemti 120 tūkstoši pasažieru.</w:t>
      </w:r>
    </w:p>
    <w:p w14:paraId="37A83CDB" w14:textId="77777777" w:rsidR="007722BA" w:rsidRPr="00062774" w:rsidRDefault="007722BA" w:rsidP="00E757B9">
      <w:pPr>
        <w:pStyle w:val="Style2"/>
        <w:jc w:val="center"/>
      </w:pPr>
      <w:bookmarkStart w:id="26" w:name="_Toc262026545"/>
      <w:bookmarkStart w:id="27" w:name="_Toc325101915"/>
      <w:bookmarkStart w:id="28" w:name="_Toc387845618"/>
      <w:bookmarkStart w:id="29" w:name="_Toc387911142"/>
      <w:bookmarkStart w:id="30" w:name="_Toc419737727"/>
      <w:r w:rsidRPr="00062774">
        <w:t>1.4. Inflācija</w:t>
      </w:r>
      <w:bookmarkEnd w:id="26"/>
      <w:bookmarkEnd w:id="27"/>
      <w:bookmarkEnd w:id="28"/>
      <w:bookmarkEnd w:id="29"/>
      <w:bookmarkEnd w:id="30"/>
    </w:p>
    <w:p w14:paraId="4C336171" w14:textId="77777777" w:rsidR="007722BA" w:rsidRPr="00E757B9" w:rsidRDefault="007722BA" w:rsidP="007722BA">
      <w:pPr>
        <w:pStyle w:val="Default"/>
        <w:spacing w:after="60"/>
        <w:ind w:firstLine="720"/>
        <w:jc w:val="both"/>
        <w:rPr>
          <w:rFonts w:eastAsiaTheme="minorHAnsi" w:cstheme="minorBidi"/>
          <w:color w:val="auto"/>
          <w:szCs w:val="28"/>
          <w:lang w:eastAsia="en-US"/>
        </w:rPr>
      </w:pPr>
      <w:bookmarkStart w:id="31" w:name="_Toc262026546"/>
      <w:bookmarkStart w:id="32" w:name="_Toc325101916"/>
      <w:r w:rsidRPr="00E757B9">
        <w:rPr>
          <w:rFonts w:eastAsiaTheme="minorHAnsi" w:cstheme="minorBidi"/>
          <w:color w:val="auto"/>
          <w:szCs w:val="28"/>
          <w:lang w:eastAsia="en-US"/>
        </w:rPr>
        <w:t xml:space="preserve">Patēriņa cenu pieaugums 2014. gadā saglabājās zems, ko noteica galvenokārt ārējie faktori. Tajā pašā laikā inflācija Latvijā bija augstāka par </w:t>
      </w:r>
      <w:r w:rsidRPr="00E757B9">
        <w:rPr>
          <w:rFonts w:eastAsiaTheme="minorHAnsi" w:cstheme="minorBidi"/>
          <w:i/>
          <w:color w:val="auto"/>
          <w:szCs w:val="28"/>
          <w:lang w:eastAsia="en-US"/>
        </w:rPr>
        <w:t>euro</w:t>
      </w:r>
      <w:r w:rsidRPr="00E757B9">
        <w:rPr>
          <w:rFonts w:eastAsiaTheme="minorHAnsi" w:cstheme="minorBidi"/>
          <w:color w:val="auto"/>
          <w:szCs w:val="28"/>
          <w:lang w:eastAsia="en-US"/>
        </w:rPr>
        <w:t xml:space="preserve"> zonas vidējo inflācijas līmeni. 2014.gadā kopumā patēriņa cenas auga tikai par 0,6%, turklāt decembrī inflācija noslīdēja līdz 0,2%. Preču cenas 2014.gadā samazinājās par 0,2%, bet pakalpojumu cenas pieauga par 2,9%. Inflācijas kritumu 2014. gada nogalē noteica straujais naftas cenu kritums un zemās neapstrādātās pārtikas cenas pasaules tirgos. </w:t>
      </w:r>
    </w:p>
    <w:p w14:paraId="6A2E1B9E" w14:textId="77777777" w:rsidR="007722BA" w:rsidRPr="00E757B9" w:rsidRDefault="007722BA" w:rsidP="007722BA">
      <w:pPr>
        <w:pStyle w:val="Default"/>
        <w:spacing w:after="60"/>
        <w:ind w:firstLine="720"/>
        <w:jc w:val="both"/>
        <w:rPr>
          <w:rFonts w:eastAsiaTheme="minorHAnsi" w:cstheme="minorBidi"/>
          <w:color w:val="auto"/>
          <w:szCs w:val="28"/>
          <w:lang w:eastAsia="en-US"/>
        </w:rPr>
      </w:pPr>
      <w:r w:rsidRPr="00E757B9">
        <w:rPr>
          <w:rFonts w:eastAsiaTheme="minorHAnsi" w:cstheme="minorBidi"/>
          <w:color w:val="auto"/>
          <w:szCs w:val="28"/>
          <w:lang w:eastAsia="en-US"/>
        </w:rPr>
        <w:t xml:space="preserve">Patēriņa cenu izmaiņas arī 2015. gada pirmajā ceturksnī lielā mērā noteica ārējie faktori. Energoresursu un pārtikas cenu krituma rezultātā 2015. gada pirmajā ceturksnī kopumā salīdzinājumā ar 2014. gada pirmo ceturksni patēriņa cenas Latvijā palika nemainīgas. Ceturkšņa ietvaros deflācija tika novērota gada pirmajos divos mēnešos, savukārt martā gada inflācija jau atkal kļuva pozitīva. Tas skaidrojams ar pasaules naftas cenu un USD/eiro kursa dinamiku kopš 2015. gada janvāra, kad naftas cenas bija to zemākajā līmenī kopš 2009. gada. </w:t>
      </w:r>
    </w:p>
    <w:p w14:paraId="05E66800" w14:textId="77777777" w:rsidR="007722BA" w:rsidRPr="00E757B9" w:rsidRDefault="007722BA" w:rsidP="007722BA">
      <w:pPr>
        <w:pStyle w:val="Default"/>
        <w:spacing w:after="60"/>
        <w:ind w:firstLine="720"/>
        <w:jc w:val="both"/>
        <w:rPr>
          <w:rFonts w:eastAsiaTheme="minorHAnsi" w:cstheme="minorBidi"/>
          <w:color w:val="auto"/>
          <w:szCs w:val="28"/>
          <w:lang w:eastAsia="en-US"/>
        </w:rPr>
      </w:pPr>
      <w:r w:rsidRPr="00E757B9">
        <w:rPr>
          <w:rFonts w:eastAsiaTheme="minorHAnsi" w:cstheme="minorBidi"/>
          <w:color w:val="auto"/>
          <w:szCs w:val="28"/>
          <w:lang w:eastAsia="en-US"/>
        </w:rPr>
        <w:t>Vienlaikus turpinās stabils pamatinflācijas pieaugums, ko vislabāk raksturo pakalpojumu cenu izmaiņas. 2015. gada pirmajā ceturksnī salīdzinājumā ar iepriekšējā gada attiecīgo periodu pakalpojumu cenas augušas par 2,4%, kamēr preču cenas kritušās par 0,9%. Tas skaidrojams ar pozitīvajām tendencēm darba tirgū, kur vērojams stabils darba samaksas un nodarbinātības pieaugums. Tā rezultātā sagaidāms, ka pamatinflācija būs galvenais inflācijas virzītājs arī turpmākajos ceturkšņos.</w:t>
      </w:r>
    </w:p>
    <w:p w14:paraId="7330752E" w14:textId="77777777" w:rsidR="007722BA" w:rsidRDefault="007722BA" w:rsidP="007722BA">
      <w:pPr>
        <w:keepNext/>
        <w:keepLines/>
        <w:ind w:firstLine="0"/>
        <w:jc w:val="center"/>
      </w:pPr>
      <w:r>
        <w:rPr>
          <w:noProof/>
          <w:lang w:eastAsia="lv-LV"/>
        </w:rPr>
        <w:drawing>
          <wp:inline distT="0" distB="0" distL="0" distR="0" wp14:anchorId="42C1A952" wp14:editId="1A897F7D">
            <wp:extent cx="5274310" cy="3531870"/>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0C53DC" w14:textId="77777777" w:rsidR="007722BA" w:rsidRPr="00234FC7" w:rsidRDefault="00433477" w:rsidP="007722BA">
      <w:pPr>
        <w:pStyle w:val="Z"/>
        <w:spacing w:before="120"/>
        <w:rPr>
          <w:b w:val="0"/>
          <w:i w:val="0"/>
          <w:sz w:val="20"/>
          <w:szCs w:val="24"/>
        </w:rPr>
      </w:pPr>
      <w:r w:rsidRPr="00234FC7">
        <w:rPr>
          <w:i w:val="0"/>
          <w:sz w:val="20"/>
          <w:szCs w:val="24"/>
        </w:rPr>
        <w:t>1.</w:t>
      </w:r>
      <w:r w:rsidR="007722BA" w:rsidRPr="00234FC7">
        <w:rPr>
          <w:i w:val="0"/>
          <w:sz w:val="20"/>
          <w:szCs w:val="24"/>
        </w:rPr>
        <w:t>9. att. Gada inflācija pēc izcelsmes avota</w:t>
      </w:r>
    </w:p>
    <w:p w14:paraId="64F9D2FF" w14:textId="77777777" w:rsidR="007722BA" w:rsidRPr="00E757B9" w:rsidRDefault="007722BA" w:rsidP="007722BA">
      <w:pPr>
        <w:pStyle w:val="Default"/>
        <w:spacing w:after="60"/>
        <w:ind w:firstLine="720"/>
        <w:jc w:val="both"/>
        <w:rPr>
          <w:rFonts w:eastAsiaTheme="minorHAnsi" w:cstheme="minorBidi"/>
          <w:color w:val="auto"/>
          <w:szCs w:val="28"/>
          <w:lang w:eastAsia="en-US"/>
        </w:rPr>
      </w:pPr>
      <w:r w:rsidRPr="00E757B9">
        <w:rPr>
          <w:rFonts w:eastAsiaTheme="minorHAnsi" w:cstheme="minorBidi"/>
          <w:color w:val="auto"/>
          <w:szCs w:val="28"/>
          <w:lang w:eastAsia="en-US"/>
        </w:rPr>
        <w:t>Pasaules naftas cenu samazinājuma rezultātā 2015. gada pirmajā ceturksnī salīdzinājumā ar 2014. gada attiecīgo periodu degvielas cenas samazinājās par 16,8%, kā arī par 0,3% kritās siltumenerģijas cenas. Vienlaikus globālo tendenču ietekmē 2015. gada pirmajā ceturksnī par 0,3% kritās pārtikas cenas, un atšķirībā no citiem gadiem janvārī nebija vērojams sezonāls dārzeņu cenu pieaugums. Saskaņā ar Pārtikas un lauksaimniecības organizācijas informāciju, 2015. gada pirmajā ceturksnī neapstrādātās pārtikas cenas pasaulē bija par 15,6% zemākas nekā gadu iepriekš. Latvijā šo pasaules pārtikas cenu dinamiku papildus vēl ietekmē Krievijas noteiktās sankcijas dažādām pārtikas preču kategorijām, kas ir saasinājusi konkurenci starp pārtikas ražotājiem visā reģionā.</w:t>
      </w:r>
    </w:p>
    <w:p w14:paraId="5F2063B1" w14:textId="77777777" w:rsidR="007722BA" w:rsidRPr="00E757B9" w:rsidRDefault="007722BA" w:rsidP="007722BA">
      <w:pPr>
        <w:pStyle w:val="Default"/>
        <w:spacing w:after="60"/>
        <w:ind w:firstLine="720"/>
        <w:jc w:val="both"/>
        <w:rPr>
          <w:rFonts w:eastAsiaTheme="minorHAnsi" w:cstheme="minorBidi"/>
          <w:color w:val="auto"/>
          <w:szCs w:val="28"/>
          <w:lang w:eastAsia="en-US"/>
        </w:rPr>
      </w:pPr>
      <w:r w:rsidRPr="00E757B9">
        <w:rPr>
          <w:rFonts w:eastAsiaTheme="minorHAnsi" w:cstheme="minorBidi"/>
          <w:color w:val="auto"/>
          <w:szCs w:val="28"/>
          <w:lang w:eastAsia="en-US"/>
        </w:rPr>
        <w:t>Inflāciju 2015.gada pirmajā ceturksnī ietekmēja arī vairāki vienreizēji faktori. Elektroenerģijas tirgus liberalizācija, kas stājās spēkā ar 2015.gada 1.janvāri, palielināja inflāciju par 0,88 procentpunktiem. Tāpat ar 2015.gada 1.februāri tika palielināta braukšanas maksa Rīgas sabiedriskajā transportā, kas vidējo cenu līmeni palielināja par aptuveni 0,2 procentpunktiem. Šie ir galvenie faktori, kas noteica, ka Latvijā atšķirībā no kaimiņvalstīm Lietuvas un Igaunijas 2015. gada pirmajā ceturksnī netika novērota būtiska deflācija.</w:t>
      </w:r>
    </w:p>
    <w:p w14:paraId="789D5C15" w14:textId="77777777" w:rsidR="007722BA" w:rsidRPr="00E757B9" w:rsidRDefault="007722BA" w:rsidP="007722BA">
      <w:pPr>
        <w:pStyle w:val="Default"/>
        <w:spacing w:after="60"/>
        <w:ind w:firstLine="720"/>
        <w:jc w:val="both"/>
        <w:rPr>
          <w:rFonts w:eastAsiaTheme="minorHAnsi" w:cstheme="minorBidi"/>
          <w:color w:val="auto"/>
          <w:szCs w:val="28"/>
          <w:lang w:eastAsia="en-US"/>
        </w:rPr>
      </w:pPr>
      <w:r w:rsidRPr="00E757B9">
        <w:rPr>
          <w:rFonts w:eastAsiaTheme="minorHAnsi" w:cstheme="minorBidi"/>
          <w:color w:val="auto"/>
          <w:szCs w:val="28"/>
          <w:lang w:eastAsia="en-US"/>
        </w:rPr>
        <w:t>Saskaņā ar AS “Latvijas Gāze” noslēgto līgumu, dabasgāzes iepirkuma cena no Krievijas un dabasgāzes tarifi Latvijā ir atkarīgi no naftas produktu (mazuta un dīzeļdegvielas) cenām pasaules biržās, kas tiek rēķināta atbilstoši iepriekšējo 9 mēnešu mazuta un dīzeļdegvielas kotācijai. Tādējādi siltumenerģijas cenas Latvijā turpinās samazināties līdz šā gada otrajai pusei. Ņemot vērā šos faktorus sagaidāms, ka inflācija Latvijā arī šogad būs ļoti zema. Saskaņā ar Finanšu ministrijas aktualizētajām prognozēm inflācija Latvijā šogad būs 0,4%, savukārt nākamgad 1,9%.</w:t>
      </w:r>
    </w:p>
    <w:p w14:paraId="47E28937" w14:textId="77777777" w:rsidR="007722BA" w:rsidRPr="00E757B9" w:rsidRDefault="007722BA" w:rsidP="009D14C4">
      <w:pPr>
        <w:spacing w:after="0"/>
        <w:rPr>
          <w:sz w:val="24"/>
        </w:rPr>
      </w:pPr>
    </w:p>
    <w:p w14:paraId="58B6D8EC" w14:textId="77777777" w:rsidR="007722BA" w:rsidRPr="00062774" w:rsidRDefault="007722BA" w:rsidP="009D14C4">
      <w:pPr>
        <w:pStyle w:val="Style2"/>
        <w:spacing w:before="120"/>
        <w:jc w:val="center"/>
      </w:pPr>
      <w:bookmarkStart w:id="33" w:name="_Toc387845619"/>
      <w:bookmarkStart w:id="34" w:name="_Toc387911143"/>
      <w:bookmarkStart w:id="35" w:name="_Toc419737728"/>
      <w:r w:rsidRPr="00062774">
        <w:t>1.5. Nodarbinātība un bezdarbs</w:t>
      </w:r>
      <w:bookmarkEnd w:id="31"/>
      <w:bookmarkEnd w:id="32"/>
      <w:bookmarkEnd w:id="33"/>
      <w:bookmarkEnd w:id="34"/>
      <w:bookmarkEnd w:id="35"/>
    </w:p>
    <w:p w14:paraId="79ACBCAF" w14:textId="77777777" w:rsidR="007722BA" w:rsidRPr="00E757B9" w:rsidRDefault="007722BA" w:rsidP="007722BA">
      <w:pPr>
        <w:rPr>
          <w:rFonts w:cs="Times New Roman"/>
          <w:sz w:val="24"/>
        </w:rPr>
      </w:pPr>
      <w:bookmarkStart w:id="36" w:name="_Toc262026548"/>
      <w:r w:rsidRPr="00E757B9">
        <w:rPr>
          <w:rFonts w:cs="Times New Roman"/>
          <w:sz w:val="24"/>
        </w:rPr>
        <w:t>Ekonomiskajai izaugsmei nedaudz palēninoties, uzlabojumi darba tirgū 2014. gadā bija kļuvuši lēnāki, tomēr turpinājās. Darba meklētāju īpatsvars pēc darbaspēka apsekojuma rezultātiem 2014. gadā samazinājies līdz 10,8%, kas ir par 1,1 procentpunktu mazāk nekā 2013. gadā un ir zemākais rādītājs kopš 2008. gada. Tomēr bezdarba samazināšanās bijusi lēnāka nekā iepriekšējā gadā, kad darba meklētāju īpatsvars bija sarucis par 3,1 procentpunktu.</w:t>
      </w:r>
    </w:p>
    <w:p w14:paraId="72CF7570" w14:textId="77777777" w:rsidR="007722BA" w:rsidRPr="00E757B9" w:rsidRDefault="007722BA" w:rsidP="007722BA">
      <w:pPr>
        <w:rPr>
          <w:sz w:val="24"/>
        </w:rPr>
      </w:pPr>
      <w:r w:rsidRPr="00E757B9">
        <w:rPr>
          <w:rFonts w:cs="Times New Roman"/>
          <w:sz w:val="24"/>
        </w:rPr>
        <w:t>Bezdarba samazināšanās turpinās arī 2015.gada pirmajā ceturksnī, kad d</w:t>
      </w:r>
      <w:r w:rsidRPr="00E757B9">
        <w:rPr>
          <w:sz w:val="24"/>
        </w:rPr>
        <w:t>arba meklētāju īpatsvars ir samazinājies līdz 10,2% no ekonomiski aktīvajiem iedzīvotājiem.  Šis rādītājs ir par 1,7 procentpunktiem zemāks nekā attiecīgajā ceturksnī pirms gada. Vienlaikus ar bezdarba līmeņa kritumu darbaspēka apsekojums parāda arī divu citu darba tirgus rādītāju uzlabošanos pēdējā gada laikā. No visiem darbspējas vecuma iedzīvotājiem šā gada pirmajā ceturksnī nodarbināti bija 59,7%, kas ir vairāk nekā pirms gada, kad pirmajā ceturksnī strādāja 58,6% darbspējīgo iedzīvotāju. Tāpat pēdējos gadu laikā palielinājies arī ekonomiski aktīvo iedzīvotāju īpatsvars, pirmajā ceturksnī sasniedzot 66,5% no visiem darbspējas vecuma iedzīvotājiem.</w:t>
      </w:r>
    </w:p>
    <w:p w14:paraId="1BD9513C" w14:textId="77777777" w:rsidR="007722BA" w:rsidRPr="00E757B9" w:rsidRDefault="007722BA" w:rsidP="007722BA">
      <w:pPr>
        <w:rPr>
          <w:sz w:val="24"/>
        </w:rPr>
      </w:pPr>
      <w:r w:rsidRPr="00E757B9">
        <w:rPr>
          <w:sz w:val="24"/>
        </w:rPr>
        <w:t>Nodarbinātības un ekonomiskās aktivitātes pieaugums apstiprina, ka bezdarba līmeņa samazināšanos nodrošinājis darba vietu skaita pieaugums. Nodarbināto iedzīvotāju skaits pirmajā ceturksnī, salīdzinot ar pagājušā gada attiecīgo ceturksni, ir palielinājies par 0,3% līdz 884,1 tūkstotim.</w:t>
      </w:r>
    </w:p>
    <w:p w14:paraId="7B0E34E6" w14:textId="77777777" w:rsidR="007722BA" w:rsidRPr="00E757B9" w:rsidRDefault="007722BA" w:rsidP="007722BA">
      <w:pPr>
        <w:rPr>
          <w:sz w:val="24"/>
        </w:rPr>
      </w:pPr>
      <w:r w:rsidRPr="00E757B9">
        <w:rPr>
          <w:sz w:val="24"/>
        </w:rPr>
        <w:t xml:space="preserve">Vēl nedaudz straujāku darba vietu skaita pieaugumu uzrāda Valsts ieņēmumu dienesta dati par darba ņēmēju skaitu, pēc kuriem šā gada pirmajos mēnešos strādājošo iedzīvotāju skaits ir pieaudzis par 0,7%, uzrādot aptuveni tādu pašu dinamiku kā 2014.gadā. Tāpat kā pagājušajā gadā, arī šogad lielākais darba vietu veidotājs bijis budžeta sektors. Kopumā darba vietu skaits budžeta sektorā šā gada pirmajos mēnešos bijis aptuveni par 2% lielāks nekā pirms gada, kamēr privātajā sektorā palielinājums bijis 0,5% līmenī. Šī pēdējā gada laikā vērojamā tendence gan atšķiras no visa iepriekšējā pēckrīzes laika rādītājiem, kad darba vietu skaits auga galvenokārt privātajā sektorā, un daļēji saistīta ar Latvijas prezidentūras nodrošināšanu Eiropas Savienības Padomē. </w:t>
      </w:r>
    </w:p>
    <w:p w14:paraId="6B104E0B" w14:textId="77777777" w:rsidR="007722BA" w:rsidRPr="00E757B9" w:rsidRDefault="007722BA" w:rsidP="007722BA">
      <w:pPr>
        <w:rPr>
          <w:sz w:val="24"/>
        </w:rPr>
      </w:pPr>
      <w:r w:rsidRPr="00E757B9">
        <w:rPr>
          <w:sz w:val="24"/>
        </w:rPr>
        <w:t xml:space="preserve">Skatoties pa nozarēm, darba vietas pēdējā gada laikā visvairāk veidojušās informācijas un komunikāciju pakalpojumu, veselības aprūpes, kā arī ēdināšanas un izmitināšanas pakalpojumu nozarēs. Aizņemto darba vietu skaits šajās nozarēs 2015.gada sākumā bijis attiecīgi par 8,5%, 6,7% un 4,8% lielāks nekā pirms gada, un arī skaitliski šīs nozares bijušas lielākās darba vietu veidotājas. </w:t>
      </w:r>
    </w:p>
    <w:p w14:paraId="6B8EEAD0" w14:textId="77777777" w:rsidR="007722BA" w:rsidRPr="00E757B9" w:rsidRDefault="007722BA" w:rsidP="007722BA">
      <w:pPr>
        <w:rPr>
          <w:sz w:val="24"/>
        </w:rPr>
      </w:pPr>
      <w:r w:rsidRPr="00E757B9">
        <w:rPr>
          <w:sz w:val="24"/>
        </w:rPr>
        <w:t>Tajā pašā laikā darba vietu skaits apstrādes rūpniecībā pēdējā gada laikā samazinājies par 2,5%. Metālu nozarē situāciju gan gada laikā var mainīt AS “KVV Liepājas Metalurgs” darbības atjaunošana, kamēr pārtikas ražošanā visdrīzāk jārēķinās ar ilglaicīgākiem samazinājumiem.  Otra nozare, kur strādājošo skaits pretēji apstrādes rūpniecībai pakāpeniski ir sarucis visus pēdējos gadus, ir finanšu pakalpojumu nozare, kur līdz ar banku filiāļu slēgšanu reģionos strādājošo skaits gada laikā samazinājies par 1,7%.</w:t>
      </w:r>
    </w:p>
    <w:p w14:paraId="64D32047" w14:textId="77777777" w:rsidR="007722BA" w:rsidRPr="00E757B9" w:rsidRDefault="007722BA" w:rsidP="007722BA">
      <w:pPr>
        <w:rPr>
          <w:sz w:val="24"/>
          <w:lang w:eastAsia="lv-LV"/>
        </w:rPr>
      </w:pPr>
      <w:r w:rsidRPr="00E757B9">
        <w:rPr>
          <w:sz w:val="24"/>
        </w:rPr>
        <w:t>Darba tirgus situācijas uzlabošanos apstiprina</w:t>
      </w:r>
      <w:r w:rsidRPr="00E757B9">
        <w:rPr>
          <w:sz w:val="24"/>
          <w:lang w:eastAsia="lv-LV"/>
        </w:rPr>
        <w:t xml:space="preserve"> Nodarbinātības valsts aģentūras dati par reģistrēto bezdarbu. 2015.gada pirmā ceturkšņa beigās reģistrētais bezdarbs bija 9,2% - par 0,6 procentpunktiem zemāks nekā pirms gada. No visaugstākā bezdarba līmeņa, kas bija sasniegts 2010.gada martā un bija 17,3%, tas ir samazinājums par 8,1 procentpunktu. Reģistrēto bezdarbnieku skaits gada laikā krities par 10,3% līdz 86,6 tūkstošiem 2015.gada marta beigās.</w:t>
      </w:r>
    </w:p>
    <w:p w14:paraId="128A213B" w14:textId="77777777" w:rsidR="007722BA" w:rsidRPr="00062774" w:rsidRDefault="007722BA" w:rsidP="007722BA">
      <w:pPr>
        <w:ind w:firstLine="0"/>
        <w:jc w:val="center"/>
        <w:rPr>
          <w:lang w:eastAsia="lv-LV"/>
        </w:rPr>
      </w:pPr>
      <w:r>
        <w:rPr>
          <w:noProof/>
          <w:lang w:eastAsia="lv-LV"/>
        </w:rPr>
        <w:drawing>
          <wp:inline distT="0" distB="0" distL="0" distR="0" wp14:anchorId="27ECA9F1" wp14:editId="3D4039A0">
            <wp:extent cx="5572125" cy="34290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299B51" w14:textId="77777777" w:rsidR="007722BA" w:rsidRPr="00234FC7" w:rsidRDefault="00433477" w:rsidP="007722BA">
      <w:pPr>
        <w:jc w:val="center"/>
        <w:rPr>
          <w:rFonts w:cs="Times New Roman"/>
          <w:b/>
          <w:sz w:val="20"/>
        </w:rPr>
      </w:pPr>
      <w:r w:rsidRPr="00234FC7">
        <w:rPr>
          <w:rFonts w:cs="Times New Roman"/>
          <w:b/>
          <w:sz w:val="20"/>
        </w:rPr>
        <w:t>1.</w:t>
      </w:r>
      <w:r w:rsidR="007722BA" w:rsidRPr="00234FC7">
        <w:rPr>
          <w:rFonts w:cs="Times New Roman"/>
          <w:b/>
          <w:sz w:val="20"/>
        </w:rPr>
        <w:t>10. att. Reģistrētā bezdarba līmenis un darba meklētāju īpatsvars (% no ekonomiski aktīvajiem iedzīvotājiem)</w:t>
      </w:r>
    </w:p>
    <w:p w14:paraId="4F3845D2" w14:textId="77777777" w:rsidR="007722BA" w:rsidRPr="00E757B9" w:rsidRDefault="007722BA" w:rsidP="007722BA">
      <w:pPr>
        <w:rPr>
          <w:sz w:val="24"/>
          <w:lang w:eastAsia="lv-LV"/>
        </w:rPr>
      </w:pPr>
      <w:r w:rsidRPr="00E757B9">
        <w:rPr>
          <w:sz w:val="24"/>
          <w:lang w:eastAsia="lv-LV"/>
        </w:rPr>
        <w:t>Vienlaikus ar kopējā bezdarbnieku skaita samazināšanos pēdējā gada laikā pazeminājies arī ilgstošo bezdarbnieku īpatsvars, tomēr tas joprojām saglabājas samērā augsts. 2015.gada marta beigās ilgstošie bezdarbnieki veidoja 31,1% no visiem bezdarbniekiem, kas ir par 3,3 procentpunktiem mazāk nekā 2014.gada marta beigās. Pēdējā gada laikā ilgstošo bezdarbnieku skaits ir krities par 18,9% un marta beigās tas bija 26,9 tūkstoši cilvēku.</w:t>
      </w:r>
    </w:p>
    <w:p w14:paraId="3CDB697F" w14:textId="77777777" w:rsidR="007722BA" w:rsidRPr="00E757B9" w:rsidRDefault="007722BA" w:rsidP="007722BA">
      <w:pPr>
        <w:rPr>
          <w:sz w:val="24"/>
        </w:rPr>
      </w:pPr>
      <w:r w:rsidRPr="00E757B9">
        <w:rPr>
          <w:sz w:val="24"/>
          <w:lang w:eastAsia="lv-LV"/>
        </w:rPr>
        <w:t xml:space="preserve">Saglabājoties ekonomikas izaugsmei, nodarbinātības pieaugums un bezdarba līmeņa samazināšanās turpināsies visa 2015.gada laikā, tomēr īstermiņā to var vājināt ģeopolitiskais konflikts reģionā, kamēr </w:t>
      </w:r>
      <w:r w:rsidRPr="00E757B9">
        <w:rPr>
          <w:sz w:val="24"/>
        </w:rPr>
        <w:t>vidējā termiņā situāciju jūtamāk sāks ietekmēt darbspējas vecuma iedzīvotāju skaita samazināšanās, kā arī tas, ka ekonomikas izaugsmes iespējas uz nodarbinātības pieauguma rēķina kļūst arvien mazākas.</w:t>
      </w:r>
    </w:p>
    <w:p w14:paraId="486B0FAB" w14:textId="77777777" w:rsidR="007722BA" w:rsidRPr="00062774" w:rsidRDefault="007722BA" w:rsidP="007722BA">
      <w:pPr>
        <w:rPr>
          <w:lang w:eastAsia="lv-LV"/>
        </w:rPr>
      </w:pPr>
    </w:p>
    <w:p w14:paraId="4E44E77D" w14:textId="77777777" w:rsidR="007722BA" w:rsidRPr="00062774" w:rsidRDefault="007722BA" w:rsidP="00E757B9">
      <w:pPr>
        <w:pStyle w:val="Style2"/>
        <w:jc w:val="center"/>
      </w:pPr>
      <w:bookmarkStart w:id="37" w:name="_Toc325101917"/>
      <w:bookmarkStart w:id="38" w:name="_Toc387845620"/>
      <w:bookmarkStart w:id="39" w:name="_Toc387911144"/>
      <w:bookmarkStart w:id="40" w:name="_Toc419737729"/>
      <w:r w:rsidRPr="00062774">
        <w:t>1.6. Iedzīvotāju ienākumi</w:t>
      </w:r>
      <w:bookmarkEnd w:id="37"/>
      <w:bookmarkEnd w:id="38"/>
      <w:bookmarkEnd w:id="39"/>
      <w:bookmarkEnd w:id="40"/>
    </w:p>
    <w:p w14:paraId="4471947B" w14:textId="77777777" w:rsidR="007722BA" w:rsidRPr="00E757B9" w:rsidRDefault="007722BA" w:rsidP="007722BA">
      <w:pPr>
        <w:rPr>
          <w:sz w:val="24"/>
        </w:rPr>
      </w:pPr>
      <w:bookmarkStart w:id="41" w:name="_Toc279341944"/>
      <w:r w:rsidRPr="00E757B9">
        <w:rPr>
          <w:sz w:val="24"/>
        </w:rPr>
        <w:t>Atspoguļojot iepriekšējos gados sasniegto spēcīgo ekonomikas izaugsmi, kā arī minimālās algas paaugstināšanu, 2014.gadā būtiski palielinājušies iedzīvotāju ienākumi, un pieaugums turpinās arī 2015.gada pirmajos mēnešos.</w:t>
      </w:r>
    </w:p>
    <w:p w14:paraId="545A0601" w14:textId="77777777" w:rsidR="007722BA" w:rsidRPr="00E757B9" w:rsidRDefault="007722BA" w:rsidP="007722BA">
      <w:pPr>
        <w:rPr>
          <w:sz w:val="24"/>
        </w:rPr>
      </w:pPr>
      <w:r w:rsidRPr="00E757B9">
        <w:rPr>
          <w:sz w:val="24"/>
        </w:rPr>
        <w:t xml:space="preserve">2014.gadā kopā vidējā bruto darba samaksa tautsaimniecībā sasniedza 765 </w:t>
      </w:r>
      <w:r w:rsidRPr="00E757B9">
        <w:rPr>
          <w:i/>
          <w:sz w:val="24"/>
        </w:rPr>
        <w:t>euro</w:t>
      </w:r>
      <w:r w:rsidRPr="00E757B9">
        <w:rPr>
          <w:sz w:val="24"/>
        </w:rPr>
        <w:t>, kas bija par 6,8% vairāk nekā 2013.gadā. Darba samaksas pieaugums 2014.gadā bijis būtiski straujāks nekā divos iepriekšējos gados, kad vidējā darba samaksa attiecīgi palielinājās par 3,7 procentiem 2012.gadā un 4,6 procentiem 2013.gadā.</w:t>
      </w:r>
    </w:p>
    <w:p w14:paraId="1CA52D9B" w14:textId="77777777" w:rsidR="007722BA" w:rsidRPr="00E757B9" w:rsidRDefault="007722BA" w:rsidP="007722BA">
      <w:pPr>
        <w:rPr>
          <w:sz w:val="24"/>
        </w:rPr>
      </w:pPr>
      <w:r w:rsidRPr="00E757B9">
        <w:rPr>
          <w:sz w:val="24"/>
        </w:rPr>
        <w:t xml:space="preserve">Augstāka darba samaksa Latvijā tradicionāli ir sabiedriskajā sektorā, kur vidējā bruto darba samaksa 2014.gadā bija 813 </w:t>
      </w:r>
      <w:r w:rsidRPr="00E757B9">
        <w:rPr>
          <w:i/>
          <w:sz w:val="24"/>
        </w:rPr>
        <w:t>euro</w:t>
      </w:r>
      <w:r w:rsidRPr="00E757B9">
        <w:rPr>
          <w:sz w:val="24"/>
        </w:rPr>
        <w:t xml:space="preserve"> – par 6,1% lielāka nekā 2013.gadā. Privātajā sektorā vidējā bruto darba samaksa gada laikā palielinājusies par 7,4% un 2014.gadā tā bija 741 </w:t>
      </w:r>
      <w:r w:rsidRPr="00E757B9">
        <w:rPr>
          <w:i/>
          <w:sz w:val="24"/>
        </w:rPr>
        <w:t>euro</w:t>
      </w:r>
      <w:r w:rsidRPr="00E757B9">
        <w:rPr>
          <w:sz w:val="24"/>
        </w:rPr>
        <w:t xml:space="preserve">. Augstāko darba samaksas līmeni sabiedriskajā sektorā nosaka augstais samaksas līmenis valsts un pašvaldību kapitālsabiedrībās, kur mēneša vidējā bruto darba samaksa 2014.gadā bija 965 </w:t>
      </w:r>
      <w:r w:rsidRPr="00E757B9">
        <w:rPr>
          <w:i/>
          <w:sz w:val="24"/>
        </w:rPr>
        <w:t>euro</w:t>
      </w:r>
      <w:r w:rsidRPr="00E757B9">
        <w:rPr>
          <w:sz w:val="24"/>
        </w:rPr>
        <w:t xml:space="preserve">, un gada laikā tā palielinājusies par 5,5%. Savukārt vispārējās valdības sektorā, kas ietver valsts un pašvaldību budžeta iestādes, mēneša vidējā bruto darba samaksa tikai nedaudz pārsniedza privātā sektora līmeni un bija 750 </w:t>
      </w:r>
      <w:r w:rsidRPr="00E757B9">
        <w:rPr>
          <w:i/>
          <w:sz w:val="24"/>
        </w:rPr>
        <w:t>euro</w:t>
      </w:r>
      <w:r w:rsidRPr="00E757B9">
        <w:rPr>
          <w:sz w:val="24"/>
        </w:rPr>
        <w:t>, gada laikā palielinoties par 7,0%.</w:t>
      </w:r>
    </w:p>
    <w:p w14:paraId="07D3539A" w14:textId="77777777" w:rsidR="007722BA" w:rsidRPr="00E757B9" w:rsidRDefault="007722BA" w:rsidP="007722BA">
      <w:pPr>
        <w:rPr>
          <w:sz w:val="24"/>
        </w:rPr>
      </w:pPr>
      <w:r w:rsidRPr="00E757B9">
        <w:rPr>
          <w:sz w:val="24"/>
        </w:rPr>
        <w:t>Lai gan sabiedriskajā sektorā kopumā darba vidējā bruto darba samaksa ir augstāka nekā privātajā sektorā, tā 2014.gadā tikai par 0,9% pārsniegusi  pirmskrīzes laikā 2008.gadā sasniegto augstāko līmeni. Savukārt privātajā sektorā vidējā bruto darba samaksa kopš 2008.gada pieaugusi jau par 18,9%, kamēr kopumā valstī vidējā bruto darba samaksa pirmskrīzes laika augstāko līmeni pārsniedz par 12,2%. Atšķirīgā samaksas dinamika sabiedriskajā un privātajā sektorā izskaidrojama pirmām kārtām ar  norisēm krīzes laikā, kad sabiedriskajā sektorā tika veikti lielāki algu samazinājumi, kamēr privātā sektora uzņēmēji vairāk samazināja strādājošo skaitu, būtiski nemainot atalgojuma līmeni.</w:t>
      </w:r>
    </w:p>
    <w:p w14:paraId="513AE893" w14:textId="77777777" w:rsidR="007722BA" w:rsidRPr="00835E30" w:rsidRDefault="007722BA" w:rsidP="00DF7939">
      <w:pPr>
        <w:spacing w:after="0"/>
        <w:ind w:firstLine="0"/>
        <w:jc w:val="center"/>
        <w:rPr>
          <w:rFonts w:cs="Times New Roman"/>
        </w:rPr>
      </w:pPr>
      <w:r w:rsidRPr="00835E30">
        <w:rPr>
          <w:rFonts w:asciiTheme="minorHAnsi" w:hAnsiTheme="minorHAnsi"/>
          <w:noProof/>
          <w:lang w:eastAsia="lv-LV"/>
        </w:rPr>
        <w:drawing>
          <wp:inline distT="0" distB="0" distL="0" distR="0" wp14:anchorId="63EF7601" wp14:editId="748EFE1E">
            <wp:extent cx="5343348" cy="327577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5793" cy="3277278"/>
                    </a:xfrm>
                    <a:prstGeom prst="rect">
                      <a:avLst/>
                    </a:prstGeom>
                    <a:noFill/>
                    <a:ln>
                      <a:noFill/>
                    </a:ln>
                  </pic:spPr>
                </pic:pic>
              </a:graphicData>
            </a:graphic>
          </wp:inline>
        </w:drawing>
      </w:r>
    </w:p>
    <w:p w14:paraId="5BF940FE" w14:textId="77777777" w:rsidR="007722BA" w:rsidRPr="00234FC7" w:rsidRDefault="00433477" w:rsidP="00DF7939">
      <w:pPr>
        <w:spacing w:after="240"/>
        <w:ind w:firstLine="0"/>
        <w:jc w:val="center"/>
        <w:rPr>
          <w:b/>
          <w:sz w:val="20"/>
          <w:szCs w:val="24"/>
        </w:rPr>
      </w:pPr>
      <w:r w:rsidRPr="00234FC7">
        <w:rPr>
          <w:rFonts w:cs="Times New Roman"/>
          <w:b/>
          <w:sz w:val="20"/>
          <w:szCs w:val="24"/>
        </w:rPr>
        <w:t>1.</w:t>
      </w:r>
      <w:r w:rsidR="007722BA" w:rsidRPr="00234FC7">
        <w:rPr>
          <w:rFonts w:cs="Times New Roman"/>
          <w:b/>
          <w:sz w:val="20"/>
          <w:szCs w:val="24"/>
        </w:rPr>
        <w:t>11. att. Strādājošo mēneša vidējā bruto darba samaksa valstī, pa sektoriem, euro</w:t>
      </w:r>
    </w:p>
    <w:p w14:paraId="043F3834" w14:textId="77777777" w:rsidR="007722BA" w:rsidRPr="00E757B9" w:rsidRDefault="007722BA" w:rsidP="007722BA">
      <w:pPr>
        <w:spacing w:after="0"/>
        <w:ind w:firstLine="0"/>
        <w:rPr>
          <w:sz w:val="24"/>
        </w:rPr>
      </w:pPr>
      <w:r w:rsidRPr="00E757B9">
        <w:rPr>
          <w:sz w:val="24"/>
        </w:rPr>
        <w:tab/>
        <w:t xml:space="preserve">No atsevišķām ekonomikas nozarēm augstākā mēneša vidējā bruto darba samaksa Latvijā ir finanšu un apdrošināšanas nozarē, kur tā 2014.gadā sasniedza 1682 </w:t>
      </w:r>
      <w:r w:rsidRPr="00E757B9">
        <w:rPr>
          <w:i/>
          <w:sz w:val="24"/>
        </w:rPr>
        <w:t>euro</w:t>
      </w:r>
      <w:r w:rsidRPr="00E757B9">
        <w:rPr>
          <w:sz w:val="24"/>
        </w:rPr>
        <w:t>, salīdzinājumā ar 2013.gadu palielinoties par 9,8%. Savukārt zemākā bruto darba samaksa ir izmitināšanas un ēdināšanas pakalpojumu nozarē – 493</w:t>
      </w:r>
      <w:r w:rsidRPr="00E757B9">
        <w:rPr>
          <w:rFonts w:eastAsia="Times New Roman" w:cs="Times New Roman"/>
          <w:color w:val="000000"/>
          <w:sz w:val="22"/>
          <w:szCs w:val="24"/>
          <w:lang w:eastAsia="lv-LV"/>
        </w:rPr>
        <w:t xml:space="preserve"> </w:t>
      </w:r>
      <w:r w:rsidRPr="00E757B9">
        <w:rPr>
          <w:i/>
          <w:sz w:val="24"/>
        </w:rPr>
        <w:t>euro</w:t>
      </w:r>
      <w:r w:rsidRPr="00E757B9">
        <w:rPr>
          <w:sz w:val="24"/>
        </w:rPr>
        <w:t xml:space="preserve">, un šajā nozarē darba samaksa gada laikā palielinājusies par 8,3%. Visvairāk darba samaksa 2014.gadā pieaugusi operācijās ar nekustamo īpašumu – par 11,0%, kā arī finanšu un apdrošināšanas nozarē. Vismazākais darba samaksas pieaugums pērn bijis mākslas, izklaides un atpūtas nozarē – par 2,2% un profesionālo, zinātnisko un tehnisko pakalpojumu nozarē - par 4,1%. </w:t>
      </w:r>
    </w:p>
    <w:p w14:paraId="085BD3E6" w14:textId="77777777" w:rsidR="007722BA" w:rsidRPr="00E757B9" w:rsidRDefault="007722BA" w:rsidP="007722BA">
      <w:pPr>
        <w:ind w:firstLine="0"/>
        <w:rPr>
          <w:sz w:val="24"/>
        </w:rPr>
      </w:pPr>
      <w:r w:rsidRPr="00E757B9">
        <w:rPr>
          <w:sz w:val="24"/>
        </w:rPr>
        <w:tab/>
        <w:t>Ja mēneša vidējā bruto darba samaksa Latvijā pakāpeniski palielinās jau no 2010. gada otrā ceturkšņa, reālā darba samaksa, kurā ņemtas vērā patēriņa cenu izmaiņas, vērā ņemamu kāpumu sāka uzrādīt ievērojami vēlāk – sākot no 2012.gada otrās puses. 2013.gadā iedzīvotāju reālie ienākumi pieauga par 5,6%, bet 2014.gadā – jau par 8,0%. Reālās algas būtisko pieaugumu pēdējos gados noteica gan zemā inflācija, gan algas nodokļu pazemināšana. Arī 2015.gada pirmajā ceturksnī saglabājās labi priekšnosacījumi iedzīvotāju pirktspējas pieaugumam, jo ceturksnī bija fiksēta neliela deflācija, bet iedzīvotāju ienākuma nodokļa likme no 1.janvāra tika samazināta par vienu procentpunktu.</w:t>
      </w:r>
    </w:p>
    <w:p w14:paraId="45DCCA17" w14:textId="77777777" w:rsidR="007722BA" w:rsidRPr="00062774" w:rsidRDefault="007722BA" w:rsidP="00DF7939">
      <w:pPr>
        <w:ind w:firstLine="0"/>
        <w:jc w:val="center"/>
      </w:pPr>
      <w:r>
        <w:rPr>
          <w:noProof/>
          <w:lang w:eastAsia="lv-LV"/>
        </w:rPr>
        <w:drawing>
          <wp:inline distT="0" distB="0" distL="0" distR="0" wp14:anchorId="2CB7CB79" wp14:editId="22059D20">
            <wp:extent cx="5476875"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419C49" w14:textId="77777777" w:rsidR="007722BA" w:rsidRPr="00234FC7" w:rsidRDefault="00433477" w:rsidP="007722BA">
      <w:pPr>
        <w:ind w:firstLine="0"/>
        <w:jc w:val="center"/>
        <w:rPr>
          <w:b/>
          <w:sz w:val="20"/>
          <w:szCs w:val="24"/>
        </w:rPr>
      </w:pPr>
      <w:r w:rsidRPr="00234FC7">
        <w:rPr>
          <w:rFonts w:cs="Times New Roman"/>
          <w:b/>
          <w:sz w:val="20"/>
          <w:szCs w:val="24"/>
        </w:rPr>
        <w:t>1.</w:t>
      </w:r>
      <w:r w:rsidR="007722BA" w:rsidRPr="00234FC7">
        <w:rPr>
          <w:rFonts w:cs="Times New Roman"/>
          <w:b/>
          <w:sz w:val="20"/>
          <w:szCs w:val="24"/>
        </w:rPr>
        <w:t>12. att. Strādājošo reālās un bruto darba samaksas izmaiņas pa ceturkšņiem, %</w:t>
      </w:r>
    </w:p>
    <w:p w14:paraId="6A1584BE" w14:textId="77777777" w:rsidR="007722BA" w:rsidRPr="00E757B9" w:rsidRDefault="007722BA" w:rsidP="007722BA">
      <w:pPr>
        <w:spacing w:after="0"/>
        <w:rPr>
          <w:sz w:val="24"/>
        </w:rPr>
      </w:pPr>
      <w:r w:rsidRPr="00E757B9">
        <w:rPr>
          <w:sz w:val="24"/>
        </w:rPr>
        <w:t xml:space="preserve">Līdzās darba samaksai nozīmīgai iedzīvotāju daļai Latvijā lielāko ienākumu daļu veido pensija. 2015.gada pirmajā ceturksnī valstī bija 569,5 tūkstoši pensionāru, un, salīdzinot ar 2014.gada pirmo ceturksni, pensionāru skaits ir samazinājies par 1,0%. Vidējais vecuma pensijas apmērs šā gada pirmajā ceturksnī bija 272,46 </w:t>
      </w:r>
      <w:r w:rsidRPr="00E757B9">
        <w:rPr>
          <w:i/>
          <w:sz w:val="24"/>
        </w:rPr>
        <w:t>euro</w:t>
      </w:r>
      <w:r w:rsidRPr="00E757B9">
        <w:rPr>
          <w:sz w:val="24"/>
        </w:rPr>
        <w:t>, un gada laikā tas ir palielinājies par 2,9%, atpaliekot no vidējās darba samaksas pieauguma.</w:t>
      </w:r>
    </w:p>
    <w:p w14:paraId="56926043" w14:textId="77777777" w:rsidR="007722BA" w:rsidRPr="00E757B9" w:rsidRDefault="007722BA" w:rsidP="007722BA">
      <w:pPr>
        <w:rPr>
          <w:sz w:val="24"/>
        </w:rPr>
      </w:pPr>
      <w:r w:rsidRPr="00E757B9">
        <w:rPr>
          <w:sz w:val="24"/>
        </w:rPr>
        <w:t>Bezdarbnieka pabalstus 2015.gada pirmajā ceturksnī saņēma 38,1 tūkstoši cilvēku un salīdzinājumā ar 2014.gada pirmo ceturksni bezdarbnieka pabalstu saņēmēju skaits ir samazinājies par 0,7%. Šāds samazinājums saistīts gan ar bezdarba līmeņa tālāku samazināšanos, gan iepriekšējā gada augsto bāzi, kad jauno bezdarbnieku skaits bija pieaudzis, Nodarbinātības valsts aģentūrā reģistrējoties tobrīd darbu zaudējušajiem uzņēmuma “Liepājas metalurgs” strādniekiem.</w:t>
      </w:r>
    </w:p>
    <w:p w14:paraId="4883D21E" w14:textId="77777777" w:rsidR="007722BA" w:rsidRDefault="007722BA" w:rsidP="007722BA">
      <w:pPr>
        <w:ind w:firstLine="0"/>
        <w:jc w:val="center"/>
      </w:pPr>
      <w:r>
        <w:rPr>
          <w:noProof/>
          <w:lang w:eastAsia="lv-LV"/>
        </w:rPr>
        <w:drawing>
          <wp:inline distT="0" distB="0" distL="0" distR="0" wp14:anchorId="4C69A8FE" wp14:editId="0C850659">
            <wp:extent cx="4905375" cy="33337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209255" w14:textId="77777777" w:rsidR="007722BA" w:rsidRPr="00234FC7" w:rsidRDefault="00433477" w:rsidP="007722BA">
      <w:pPr>
        <w:ind w:firstLine="0"/>
        <w:jc w:val="center"/>
        <w:rPr>
          <w:b/>
          <w:sz w:val="20"/>
          <w:szCs w:val="24"/>
        </w:rPr>
      </w:pPr>
      <w:r w:rsidRPr="00234FC7">
        <w:rPr>
          <w:rFonts w:cs="Times New Roman"/>
          <w:b/>
          <w:sz w:val="20"/>
          <w:szCs w:val="24"/>
        </w:rPr>
        <w:t>1.</w:t>
      </w:r>
      <w:r w:rsidR="007722BA" w:rsidRPr="00234FC7">
        <w:rPr>
          <w:rFonts w:cs="Times New Roman"/>
          <w:b/>
          <w:sz w:val="20"/>
          <w:szCs w:val="24"/>
        </w:rPr>
        <w:t>13. att. Bezdarbnieku pabalsta saņēmēju skaits un vidējais pabalsta lielums</w:t>
      </w:r>
    </w:p>
    <w:p w14:paraId="709A7AA7" w14:textId="77777777" w:rsidR="007722BA" w:rsidRPr="00E757B9" w:rsidRDefault="007722BA" w:rsidP="007722BA">
      <w:pPr>
        <w:rPr>
          <w:sz w:val="24"/>
        </w:rPr>
      </w:pPr>
      <w:r w:rsidRPr="00E757B9">
        <w:rPr>
          <w:sz w:val="24"/>
        </w:rPr>
        <w:t>Bezdarbnieku pabalstu saņēmēju īpatsvars starp visiem reģistrētajiem bezdarbniekiem 2015.gada pirmajā ceturksnī bija 43,8%, kas ir par 4,3 procentpunktiem vairāk nekā 2014.gada pirmajā ceturksnī. Šāda dinamika liecina, ka, krītoties kopējam bezdarbnieku skaitam, no jauna reģistrēto bezdarbnieku īpatsvars tajā pieaug un ilgstošo bezdarbnieku īpatsvars samazinās.</w:t>
      </w:r>
    </w:p>
    <w:p w14:paraId="71604636" w14:textId="77777777" w:rsidR="007722BA" w:rsidRPr="00E757B9" w:rsidRDefault="007722BA" w:rsidP="007722BA">
      <w:pPr>
        <w:rPr>
          <w:sz w:val="24"/>
        </w:rPr>
      </w:pPr>
      <w:r w:rsidRPr="00E757B9">
        <w:rPr>
          <w:sz w:val="24"/>
        </w:rPr>
        <w:t xml:space="preserve">Vidējais bezdarbnieka pabalsta apmērs 2015.gada pirmajā ceturksnī bija 212,3 </w:t>
      </w:r>
      <w:r w:rsidRPr="00E757B9">
        <w:rPr>
          <w:i/>
          <w:sz w:val="24"/>
        </w:rPr>
        <w:t>euro</w:t>
      </w:r>
      <w:r w:rsidRPr="00E757B9">
        <w:rPr>
          <w:sz w:val="24"/>
        </w:rPr>
        <w:t xml:space="preserve"> – par 6,1% lielāks nekā attiecīgajā ceturksnī pirms gada.</w:t>
      </w:r>
    </w:p>
    <w:p w14:paraId="1572750A" w14:textId="77777777" w:rsidR="007722BA" w:rsidRPr="00062774" w:rsidRDefault="007722BA" w:rsidP="007722BA"/>
    <w:p w14:paraId="6300B801" w14:textId="77777777" w:rsidR="007722BA" w:rsidRDefault="007722BA" w:rsidP="00E757B9">
      <w:pPr>
        <w:pStyle w:val="Style2"/>
        <w:jc w:val="center"/>
      </w:pPr>
      <w:bookmarkStart w:id="42" w:name="_Toc325101918"/>
      <w:bookmarkStart w:id="43" w:name="_Toc387845621"/>
      <w:bookmarkStart w:id="44" w:name="_Toc387911145"/>
      <w:bookmarkStart w:id="45" w:name="_Toc419737730"/>
      <w:bookmarkEnd w:id="41"/>
      <w:r w:rsidRPr="00062774">
        <w:t>1.7. Ārējā tirdzniecība</w:t>
      </w:r>
      <w:bookmarkEnd w:id="36"/>
      <w:bookmarkEnd w:id="42"/>
      <w:bookmarkEnd w:id="43"/>
      <w:bookmarkEnd w:id="44"/>
      <w:bookmarkEnd w:id="45"/>
    </w:p>
    <w:p w14:paraId="2D9FE11F" w14:textId="77777777" w:rsidR="007722BA" w:rsidRPr="00E757B9" w:rsidRDefault="007722BA" w:rsidP="007722BA">
      <w:pPr>
        <w:ind w:firstLine="720"/>
        <w:rPr>
          <w:rFonts w:cs="Times New Roman"/>
          <w:sz w:val="24"/>
          <w:szCs w:val="24"/>
        </w:rPr>
      </w:pPr>
      <w:r w:rsidRPr="00E757B9">
        <w:rPr>
          <w:rFonts w:cs="Times New Roman"/>
          <w:sz w:val="24"/>
          <w:szCs w:val="24"/>
        </w:rPr>
        <w:t xml:space="preserve">Latvijas preču eksporta attīstību 2014. gadā negatīvi ietekmēja vairāki nelabvēlīgi notikumi ārējā vidē. Būtiskākie no tiem bija Krievijas noteiktās sankcijas atsevišķām pārtikas un lauksaimniecības precēm, Krievijas rubļa vērtības straujais samazinājums un ekonomiskās situācijas pasliktināšanās, kā arī vājāka nekā prognozēts eirozonas valstu ekonomikas attīstība. Tomēr stabili ekonomikas izaugsmes tempi vairākās valstīs - Lielbritānijā, Zviedrijā, Lietuvā, kā arī Spānijā, spēja ne tikai kompensēt augstāk minēto faktoru negatīvo ietekmi, bet pat palielināt preču eksporta kopējo apjomu salīdzinājumā ar 2013. gadu par 2,3%. Jau otro gadu pēc kārtas atzinīgus eksporta pieauguma tempus uzrāda kokapstrāde, kas ir viena no lielākajām eksporta nozarēm Latvijā. Kopumā 2014. gadā koksnes eksports pieauga par 6,6%. Savukārt lielāko pieaugumu nodrošināja elektroierīču un elektroiekārtu eksports, kas 2014. gadā pieauga par 16,9% salīdzinājumā ar 2013. gadu, kas galvenokārt tika sasniegts uz reeksporta rēķina. </w:t>
      </w:r>
    </w:p>
    <w:p w14:paraId="698C252C" w14:textId="77777777" w:rsidR="007722BA" w:rsidRPr="00382261" w:rsidRDefault="007722BA" w:rsidP="00DF7939">
      <w:pPr>
        <w:spacing w:after="0"/>
        <w:ind w:firstLine="0"/>
        <w:jc w:val="center"/>
        <w:rPr>
          <w:rFonts w:cs="Times New Roman"/>
          <w:sz w:val="24"/>
          <w:szCs w:val="24"/>
        </w:rPr>
      </w:pPr>
      <w:r>
        <w:rPr>
          <w:noProof/>
          <w:lang w:eastAsia="lv-LV"/>
        </w:rPr>
        <w:drawing>
          <wp:inline distT="0" distB="0" distL="0" distR="0" wp14:anchorId="66513149" wp14:editId="53DCBD1F">
            <wp:extent cx="5008496" cy="3019646"/>
            <wp:effectExtent l="0" t="0" r="190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07AEAB1" w14:textId="77777777" w:rsidR="007722BA" w:rsidRPr="00234FC7" w:rsidRDefault="00433477" w:rsidP="00DF7939">
      <w:pPr>
        <w:ind w:firstLine="0"/>
        <w:jc w:val="center"/>
        <w:rPr>
          <w:rFonts w:cs="Times New Roman"/>
          <w:b/>
          <w:sz w:val="20"/>
          <w:szCs w:val="24"/>
        </w:rPr>
      </w:pPr>
      <w:r w:rsidRPr="00234FC7">
        <w:rPr>
          <w:rFonts w:cs="Times New Roman"/>
          <w:b/>
          <w:sz w:val="20"/>
          <w:szCs w:val="24"/>
        </w:rPr>
        <w:t>1.14</w:t>
      </w:r>
      <w:r w:rsidR="007722BA" w:rsidRPr="00234FC7">
        <w:rPr>
          <w:rFonts w:cs="Times New Roman"/>
          <w:b/>
          <w:sz w:val="20"/>
          <w:szCs w:val="24"/>
        </w:rPr>
        <w:t>.att. Preču eksports pa ceturkšņiem faktiskajās cenās, milj. euro</w:t>
      </w:r>
    </w:p>
    <w:p w14:paraId="468A5CBF" w14:textId="77777777" w:rsidR="007722BA" w:rsidRPr="00F232BC" w:rsidRDefault="007722BA" w:rsidP="007722BA">
      <w:pPr>
        <w:jc w:val="center"/>
        <w:rPr>
          <w:rFonts w:cs="Times New Roman"/>
          <w:b/>
          <w:i/>
          <w:szCs w:val="24"/>
        </w:rPr>
      </w:pPr>
    </w:p>
    <w:p w14:paraId="4514DA10" w14:textId="77777777" w:rsidR="007722BA" w:rsidRPr="00E757B9" w:rsidRDefault="007722BA" w:rsidP="007722BA">
      <w:pPr>
        <w:ind w:firstLine="567"/>
        <w:rPr>
          <w:rFonts w:cs="Times New Roman"/>
          <w:color w:val="000000" w:themeColor="text1"/>
          <w:sz w:val="24"/>
          <w:szCs w:val="24"/>
        </w:rPr>
      </w:pPr>
      <w:r w:rsidRPr="00433477">
        <w:rPr>
          <w:rFonts w:cs="Times New Roman"/>
          <w:sz w:val="24"/>
          <w:szCs w:val="24"/>
        </w:rPr>
        <w:t>Arī 2015. gada pirmajā ceturksnī ārējo tirdzniecību turpināja ietekmēt nelabvēlīgā</w:t>
      </w:r>
      <w:r w:rsidRPr="00E757B9">
        <w:rPr>
          <w:rFonts w:cs="Times New Roman"/>
          <w:sz w:val="24"/>
          <w:szCs w:val="24"/>
        </w:rPr>
        <w:t xml:space="preserve"> ekonomiskā situācija Krievijā un rubļa svārstības. </w:t>
      </w:r>
      <w:r w:rsidRPr="00E757B9">
        <w:rPr>
          <w:rFonts w:cs="Times New Roman"/>
          <w:color w:val="000000" w:themeColor="text1"/>
          <w:sz w:val="24"/>
          <w:szCs w:val="24"/>
        </w:rPr>
        <w:t xml:space="preserve">Eksports uz Krieviju turpina kristies, š.g. pirmajā ceturksnī kopumā samazinoties par 28,5%. Samazinājums vērojams praktiski visās preču kategorijās, taču lielākais kritums fiksēts tieši sankcijām pakļautajām precēm, kā arī stiprajam alkoholam un transportlīdzekļiem. </w:t>
      </w:r>
    </w:p>
    <w:p w14:paraId="4BFE6703" w14:textId="77777777" w:rsidR="007722BA" w:rsidRPr="00E757B9" w:rsidRDefault="007722BA" w:rsidP="007722BA">
      <w:pPr>
        <w:ind w:firstLine="567"/>
        <w:rPr>
          <w:rFonts w:cs="Times New Roman"/>
          <w:color w:val="000000" w:themeColor="text1"/>
          <w:sz w:val="24"/>
          <w:szCs w:val="24"/>
        </w:rPr>
      </w:pPr>
      <w:r w:rsidRPr="00E757B9">
        <w:rPr>
          <w:rFonts w:cs="Times New Roman"/>
          <w:sz w:val="24"/>
          <w:szCs w:val="24"/>
        </w:rPr>
        <w:t xml:space="preserve">Tomēr </w:t>
      </w:r>
      <w:r w:rsidRPr="00E757B9">
        <w:rPr>
          <w:rFonts w:cs="Times New Roman"/>
          <w:color w:val="000000" w:themeColor="text1"/>
          <w:sz w:val="24"/>
          <w:szCs w:val="24"/>
        </w:rPr>
        <w:t xml:space="preserve">2015. gada pirmajā ceturksnī preču eksporta apjomi pieauga par 0,4% salīdzinājumā ar pagājušā gada pirmo ceturksni. Tas noticis, pateicoties noturīgam ārējam pieprasījumam ,kā arī pieaugumam ar reeksportu saistītajās preču kategorijās. Eksporta pieaugums sasniegts gan galvenajos Latvijas ārējos tirgos – Lietuvā, Dānijā, Lielbritānijā, gan samērā jaunos tirgos, kā Apvienotie Arābu Emirāti un  Ķīna. </w:t>
      </w:r>
    </w:p>
    <w:p w14:paraId="79C2B7B3" w14:textId="77777777" w:rsidR="007722BA" w:rsidRPr="00E757B9" w:rsidRDefault="007722BA" w:rsidP="007722BA">
      <w:pPr>
        <w:ind w:firstLine="567"/>
        <w:rPr>
          <w:rFonts w:cs="Times New Roman"/>
          <w:sz w:val="24"/>
          <w:szCs w:val="24"/>
        </w:rPr>
      </w:pPr>
      <w:r w:rsidRPr="00E757B9">
        <w:rPr>
          <w:rFonts w:cs="Times New Roman"/>
          <w:sz w:val="24"/>
          <w:szCs w:val="24"/>
        </w:rPr>
        <w:t xml:space="preserve">Nozaru griezumā situācija ir ļoti līdzīga kā 2014. gadā. Lielākais pieaugums fiksēts elektroierīču un elektroiekārtu eksportā, kas salīdzinājumā 2014. gada pirmo ceturksni ir audzis par 27,5%. To nodrošināja telefonu aparātu, monitoru un elektroģeneratoru eksports un, nav šaubu, ka lielāko daļu šī pieauguma nodrošināja reeksports. Pirmkārt, tikpat spēcīgs pieaugums vērojams arī importa apjomiem un, otrkārt, viss elektroierīču un elektroiekārtu eksports šā gada pirmajā ceturksnī kopumā atbilst šīs nozares apstrādes rūpniecības apgrozījumam 2014. gadā. </w:t>
      </w:r>
    </w:p>
    <w:p w14:paraId="3E0E5785" w14:textId="77777777" w:rsidR="007722BA" w:rsidRPr="00E757B9" w:rsidRDefault="007722BA" w:rsidP="007722BA">
      <w:pPr>
        <w:ind w:firstLine="720"/>
        <w:rPr>
          <w:rFonts w:cs="Times New Roman"/>
          <w:color w:val="000000" w:themeColor="text1"/>
          <w:sz w:val="24"/>
          <w:szCs w:val="24"/>
        </w:rPr>
      </w:pPr>
      <w:r w:rsidRPr="00E757B9">
        <w:rPr>
          <w:rFonts w:cs="Times New Roman"/>
          <w:sz w:val="24"/>
          <w:szCs w:val="24"/>
        </w:rPr>
        <w:t xml:space="preserve">2015. gada pirmajos trīs mēnešos koksnes eksporta pieauguma tempi mazinājās, tomēr koksne joprojām paliek viens no galvenajiem eksporta virzītājspēkiem, kopumā pirmajā ceturksnī palielinoties par 4,5%. </w:t>
      </w:r>
      <w:r w:rsidRPr="00E757B9">
        <w:rPr>
          <w:rFonts w:cs="Times New Roman"/>
          <w:color w:val="000000" w:themeColor="text1"/>
          <w:sz w:val="24"/>
          <w:szCs w:val="24"/>
        </w:rPr>
        <w:t xml:space="preserve">Latvijas koksnes eksporta pieaugumu skaidro noturīgs pieprasījums tādos tradicionālajos nozares noieta tirgos kā Lielbritānija un Dānija, kā arī augošs koksnes eksports uz Ķīnu. </w:t>
      </w:r>
    </w:p>
    <w:p w14:paraId="47406F25" w14:textId="77777777" w:rsidR="007722BA" w:rsidRPr="00E757B9" w:rsidRDefault="007722BA" w:rsidP="007722BA">
      <w:pPr>
        <w:ind w:firstLine="720"/>
        <w:rPr>
          <w:rFonts w:cs="Times New Roman"/>
          <w:color w:val="000000" w:themeColor="text1"/>
          <w:sz w:val="24"/>
          <w:szCs w:val="24"/>
        </w:rPr>
      </w:pPr>
      <w:r w:rsidRPr="00E757B9">
        <w:rPr>
          <w:rFonts w:cs="Times New Roman"/>
          <w:sz w:val="24"/>
          <w:szCs w:val="24"/>
        </w:rPr>
        <w:t xml:space="preserve">Noteiktās Krievijas sankcijas piena un atsevišķiem gaļas un zivju produktiem, kā arī graudaugu cenu kritums pasaules tirgū, bija noteicošais faktors lauksaimniecības un pārtikas produktu eksporta kritumam par 20,2% 2014. gada pirmajā ceturksnī salīdzinājumā ar 2013. gada attiecīgo periodu. </w:t>
      </w:r>
      <w:r w:rsidRPr="00E757B9">
        <w:rPr>
          <w:rFonts w:cs="Times New Roman"/>
          <w:color w:val="000000" w:themeColor="text1"/>
          <w:sz w:val="24"/>
          <w:szCs w:val="24"/>
        </w:rPr>
        <w:t xml:space="preserve">Lejupvērsta attīstības dinamika pārtikas produktu eksportā vērojama jau piekto mēnesi pēc kārtas, un šo preču īpatsvars kopējā eksportā samazinājies no 19,9% līdz 15,9% salīdzinājumā ar 2014. gada pirmo ceturksni. Ņemot vērā būtisko lauksaimniecības un pārtikas preču eksporta kritumu un lielo nozares īpatsvaru kopējā Latvijas eksportā, tas negatīvi ietekmēja eksporta attīstību.  </w:t>
      </w:r>
    </w:p>
    <w:p w14:paraId="0DF4B284" w14:textId="77777777" w:rsidR="007722BA" w:rsidRPr="00E757B9" w:rsidRDefault="007722BA" w:rsidP="007722BA">
      <w:pPr>
        <w:ind w:firstLine="720"/>
        <w:rPr>
          <w:rFonts w:cs="Times New Roman"/>
          <w:color w:val="000000" w:themeColor="text1"/>
          <w:sz w:val="24"/>
          <w:szCs w:val="24"/>
        </w:rPr>
      </w:pPr>
      <w:r w:rsidRPr="00E757B9">
        <w:rPr>
          <w:rFonts w:cs="Times New Roman"/>
          <w:sz w:val="24"/>
          <w:szCs w:val="24"/>
        </w:rPr>
        <w:t>Naftas cenas kritums ir viens no galvenajiem iemesliem importa samazinājumam par 4,1% šā gada pirmajā ceturksnī salīdzinājumā ar pērnā gada pirmo ceturksni.</w:t>
      </w:r>
      <w:r w:rsidRPr="00E757B9">
        <w:rPr>
          <w:rFonts w:cs="Times New Roman"/>
          <w:color w:val="000000" w:themeColor="text1"/>
          <w:sz w:val="24"/>
          <w:szCs w:val="24"/>
        </w:rPr>
        <w:t xml:space="preserve"> Tomēr atsevišķu naftas produktu, piemēram, naftas eļļas importa fiziskais apjoms ir ievērojami audzis, taču tas saistīts ar tranzīta pārvadājumiem. Kopumā minerālproduktu importa apjomu apgrozījums samazinājās par 22,8%. </w:t>
      </w:r>
    </w:p>
    <w:p w14:paraId="7F711DC8" w14:textId="77777777" w:rsidR="007722BA" w:rsidRPr="00E757B9" w:rsidRDefault="007722BA" w:rsidP="007722BA">
      <w:pPr>
        <w:ind w:firstLine="720"/>
        <w:rPr>
          <w:rFonts w:cs="Times New Roman"/>
          <w:color w:val="000000" w:themeColor="text1"/>
          <w:sz w:val="24"/>
          <w:szCs w:val="24"/>
        </w:rPr>
      </w:pPr>
      <w:r w:rsidRPr="00E757B9">
        <w:rPr>
          <w:rFonts w:cs="Times New Roman"/>
          <w:color w:val="000000" w:themeColor="text1"/>
          <w:sz w:val="24"/>
          <w:szCs w:val="24"/>
        </w:rPr>
        <w:t xml:space="preserve">Ievērojams importa kritums - par 13,1% - fiksēts arī lauksaimniecības un pārtikas produktiem. To daļēji var izskaidrot ar atsevišķu pārtikas izejvielu cenu kritumu pasaules tirgū, kā arī ar pieaugošo konkurenci piena, gaļa un zivju nozarēs ES kopumā Krievijas noteikto sankciju dēļ. </w:t>
      </w:r>
    </w:p>
    <w:p w14:paraId="31908BD3" w14:textId="77777777" w:rsidR="007722BA" w:rsidRPr="00E757B9" w:rsidRDefault="007722BA" w:rsidP="007722BA">
      <w:pPr>
        <w:ind w:firstLine="720"/>
        <w:rPr>
          <w:rFonts w:cs="Times New Roman"/>
          <w:sz w:val="24"/>
          <w:szCs w:val="24"/>
        </w:rPr>
      </w:pPr>
      <w:r w:rsidRPr="00E757B9">
        <w:rPr>
          <w:rFonts w:cs="Times New Roman"/>
          <w:color w:val="000000" w:themeColor="text1"/>
          <w:sz w:val="24"/>
          <w:szCs w:val="24"/>
        </w:rPr>
        <w:t xml:space="preserve">2015. gadā eksporta izaugsme būs atkarīga galvenokārt no ārējā pieprasījuma un Latvijas uzņēmumu spējām atrast jaunus noieta tirgus. EK pavasara prognozes liecina, ka ekonomiskā attīstība ES valstīs turpina uzlaboties, un lielākajā daļā Eiropas </w:t>
      </w:r>
      <w:r w:rsidRPr="00E757B9">
        <w:rPr>
          <w:rFonts w:cs="Times New Roman"/>
          <w:sz w:val="24"/>
          <w:szCs w:val="24"/>
        </w:rPr>
        <w:t>valstu ekonomiskās izaugsmes prognozes ir paaugstinātas. Pozitīvi vērtējams arī tas, ka visām lielākajām Latvijas tirdzniecības partnervalstīm ES ekonomiskā izaugsme ir virs ES vidējā līmeņa.</w:t>
      </w:r>
    </w:p>
    <w:p w14:paraId="1150F566" w14:textId="77777777" w:rsidR="007722BA" w:rsidRPr="00E757B9" w:rsidRDefault="007722BA" w:rsidP="007722BA">
      <w:pPr>
        <w:ind w:firstLine="720"/>
        <w:rPr>
          <w:rFonts w:cs="Times New Roman"/>
          <w:color w:val="000000" w:themeColor="text1"/>
          <w:sz w:val="24"/>
          <w:szCs w:val="24"/>
        </w:rPr>
      </w:pPr>
      <w:r w:rsidRPr="00E757B9">
        <w:rPr>
          <w:rFonts w:cs="Times New Roman"/>
          <w:color w:val="000000" w:themeColor="text1"/>
          <w:sz w:val="24"/>
          <w:szCs w:val="24"/>
        </w:rPr>
        <w:t>Vienlaikus jāatzīmē, ka 2014. gadā ar eksportu saistītajās nozarēs bija fiksēts investīciju kāpums – apstrādes rūpniecībā par 21,2%, transporta un uzglabāšanas nozarē par 12,2%, savukārt investīcijas vairumtirdzniecības un mazumtirdzniecības nozarē pieauga par 29,7%.</w:t>
      </w:r>
      <w:r w:rsidRPr="00E757B9">
        <w:rPr>
          <w:rFonts w:cs="Times New Roman"/>
          <w:sz w:val="24"/>
          <w:szCs w:val="24"/>
        </w:rPr>
        <w:t xml:space="preserve"> Tas kopā ar AS “KVV Liepājas metalurga” darbības atjaunošanu varētu veicināt straujāku eksporta attīstību 2015. gada otrajā pusē. Martā arī ECB uzsāka valsts sektora vērtspapīru pirkšanas programmas īstenošanu, kā rezultātā kritusies eiro vērtība. Tas uzlabo eksporta perspektīvas, padarot to konkurētspējīgāku cenu ziņā. </w:t>
      </w:r>
      <w:r w:rsidRPr="00E757B9">
        <w:rPr>
          <w:rFonts w:cs="Times New Roman"/>
          <w:color w:val="000000" w:themeColor="text1"/>
          <w:sz w:val="24"/>
          <w:szCs w:val="24"/>
        </w:rPr>
        <w:t>Tajā pašā laikā galvenais negatīvais risks eksporta attīstībai joprojām saglabājas ģeopolitiskā nenoteiktība.</w:t>
      </w:r>
    </w:p>
    <w:p w14:paraId="69E2F210" w14:textId="77777777" w:rsidR="007722BA" w:rsidRPr="00E757B9" w:rsidRDefault="007722BA">
      <w:pPr>
        <w:spacing w:after="0"/>
        <w:ind w:firstLine="0"/>
        <w:jc w:val="left"/>
        <w:rPr>
          <w:rFonts w:cs="Times New Roman"/>
          <w:sz w:val="24"/>
        </w:rPr>
      </w:pPr>
    </w:p>
    <w:p w14:paraId="426D4FDD" w14:textId="77777777" w:rsidR="007722BA" w:rsidRPr="00E757B9" w:rsidRDefault="007722BA">
      <w:pPr>
        <w:spacing w:after="0"/>
        <w:ind w:firstLine="0"/>
        <w:jc w:val="left"/>
        <w:rPr>
          <w:rFonts w:cs="Times New Roman"/>
          <w:sz w:val="24"/>
        </w:rPr>
      </w:pPr>
    </w:p>
    <w:p w14:paraId="769DBB61" w14:textId="77777777" w:rsidR="007722BA" w:rsidRDefault="007722BA">
      <w:pPr>
        <w:spacing w:after="0"/>
        <w:ind w:firstLine="0"/>
        <w:jc w:val="left"/>
        <w:rPr>
          <w:rFonts w:cs="Times New Roman"/>
        </w:rPr>
      </w:pPr>
      <w:r>
        <w:rPr>
          <w:rFonts w:cs="Times New Roman"/>
        </w:rPr>
        <w:br w:type="page"/>
      </w:r>
    </w:p>
    <w:p w14:paraId="1C2A803C" w14:textId="77777777" w:rsidR="007722BA" w:rsidRPr="00396ED7" w:rsidRDefault="007722BA" w:rsidP="00E757B9">
      <w:pPr>
        <w:pStyle w:val="Style2"/>
        <w:jc w:val="center"/>
      </w:pPr>
      <w:bookmarkStart w:id="46" w:name="_Toc419737731"/>
      <w:r w:rsidRPr="00396ED7">
        <w:t xml:space="preserve">1.8. </w:t>
      </w:r>
      <w:bookmarkStart w:id="47" w:name="_Toc356399756"/>
      <w:bookmarkStart w:id="48" w:name="_Toc262026552"/>
      <w:r w:rsidRPr="00396ED7">
        <w:t>Valsts parāds</w:t>
      </w:r>
      <w:bookmarkEnd w:id="47"/>
      <w:bookmarkEnd w:id="46"/>
    </w:p>
    <w:p w14:paraId="25864B59" w14:textId="77777777" w:rsidR="007722BA" w:rsidRPr="00E757B9" w:rsidRDefault="007722BA" w:rsidP="007722BA">
      <w:pPr>
        <w:rPr>
          <w:sz w:val="24"/>
        </w:rPr>
      </w:pPr>
      <w:r w:rsidRPr="00E757B9">
        <w:rPr>
          <w:sz w:val="24"/>
        </w:rPr>
        <w:t>Aizņemšanās apjomu un valsts parāda līmeni kopumā ietekmē kopējās finansēšanas nepieciešamības apjoms, kuru veido valsts budžeta izpildes nodrošināšanai, kā arī valsts parāda saistību finansēšanai un likviditātes rezerves uzturēšanai nepieciešamā finansējuma apjoms. Saskaņā ar likumu „Par valsts budžetu 2015.gadam” maksimāli pieļaujamais valsts parāda apjoms pēc nomināla 2015.gada beigās ir noteikts 8,65 mljrd.</w:t>
      </w:r>
      <w:r w:rsidRPr="00E757B9">
        <w:rPr>
          <w:i/>
          <w:sz w:val="24"/>
        </w:rPr>
        <w:t>euro</w:t>
      </w:r>
      <w:r w:rsidRPr="00E757B9">
        <w:rPr>
          <w:sz w:val="24"/>
        </w:rPr>
        <w:t xml:space="preserve"> apmērā. </w:t>
      </w:r>
    </w:p>
    <w:p w14:paraId="2C056F19" w14:textId="77777777" w:rsidR="007722BA" w:rsidRPr="00E757B9" w:rsidRDefault="007722BA" w:rsidP="007722BA">
      <w:pPr>
        <w:rPr>
          <w:sz w:val="24"/>
        </w:rPr>
      </w:pPr>
      <w:r w:rsidRPr="00E757B9">
        <w:rPr>
          <w:sz w:val="24"/>
        </w:rPr>
        <w:t>Valsts parāds 2015.gada pirmā ceturkšņa beigās veidoja 8 205,9 milj.</w:t>
      </w:r>
      <w:r w:rsidRPr="00E757B9">
        <w:rPr>
          <w:i/>
          <w:sz w:val="24"/>
        </w:rPr>
        <w:t>euro</w:t>
      </w:r>
      <w:r w:rsidRPr="00E757B9">
        <w:rPr>
          <w:sz w:val="24"/>
        </w:rPr>
        <w:t xml:space="preserve"> jeb ~32% no prognozētā IKP, kas ir par 806,4 milj.</w:t>
      </w:r>
      <w:r w:rsidRPr="00E757B9">
        <w:rPr>
          <w:i/>
          <w:sz w:val="24"/>
        </w:rPr>
        <w:t>euro</w:t>
      </w:r>
      <w:r w:rsidRPr="00E757B9">
        <w:rPr>
          <w:sz w:val="24"/>
        </w:rPr>
        <w:t xml:space="preserve"> mazāks salīdzinājumā ar 2014.gada beigām (skat. 1.att.), ko noteica galvenokārt 2015.gada janvārī veiktā Eiropas Komisijas aizdevuma atmaksa 1,2 mljrd.euro apmērā.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671"/>
      </w:tblGrid>
      <w:tr w:rsidR="007722BA" w14:paraId="555DEE40" w14:textId="77777777" w:rsidTr="00881D12">
        <w:trPr>
          <w:trHeight w:val="3142"/>
        </w:trPr>
        <w:tc>
          <w:tcPr>
            <w:tcW w:w="4957" w:type="dxa"/>
          </w:tcPr>
          <w:p w14:paraId="6783DCC9" w14:textId="77777777" w:rsidR="007722BA" w:rsidRPr="00396ED7" w:rsidRDefault="007722BA" w:rsidP="00881D12">
            <w:pPr>
              <w:ind w:firstLine="0"/>
            </w:pPr>
          </w:p>
          <w:p w14:paraId="48B9E888" w14:textId="77777777" w:rsidR="007722BA" w:rsidRDefault="007722BA" w:rsidP="00881D12">
            <w:pPr>
              <w:widowControl w:val="0"/>
              <w:autoSpaceDE w:val="0"/>
              <w:autoSpaceDN w:val="0"/>
              <w:adjustRightInd w:val="0"/>
              <w:ind w:firstLine="0"/>
              <w:jc w:val="center"/>
              <w:rPr>
                <w:noProof/>
              </w:rPr>
            </w:pPr>
            <w:r>
              <w:rPr>
                <w:noProof/>
              </w:rPr>
              <w:drawing>
                <wp:inline distT="0" distB="0" distL="0" distR="0" wp14:anchorId="565034EA" wp14:editId="5E0AC900">
                  <wp:extent cx="3063240" cy="1899778"/>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6501" cy="1901801"/>
                          </a:xfrm>
                          <a:prstGeom prst="rect">
                            <a:avLst/>
                          </a:prstGeom>
                          <a:noFill/>
                        </pic:spPr>
                      </pic:pic>
                    </a:graphicData>
                  </a:graphic>
                </wp:inline>
              </w:drawing>
            </w:r>
          </w:p>
        </w:tc>
        <w:tc>
          <w:tcPr>
            <w:tcW w:w="4671" w:type="dxa"/>
          </w:tcPr>
          <w:p w14:paraId="1F1A7742" w14:textId="77777777" w:rsidR="007722BA" w:rsidRDefault="007722BA" w:rsidP="00881D12">
            <w:pPr>
              <w:widowControl w:val="0"/>
              <w:autoSpaceDE w:val="0"/>
              <w:autoSpaceDN w:val="0"/>
              <w:adjustRightInd w:val="0"/>
              <w:ind w:firstLine="0"/>
              <w:jc w:val="center"/>
              <w:rPr>
                <w:noProof/>
              </w:rPr>
            </w:pPr>
            <w:r>
              <w:rPr>
                <w:noProof/>
              </w:rPr>
              <w:drawing>
                <wp:inline distT="0" distB="0" distL="0" distR="0" wp14:anchorId="5ECDF697" wp14:editId="1E79E6C9">
                  <wp:extent cx="2475436" cy="196596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7651" cy="1967719"/>
                          </a:xfrm>
                          <a:prstGeom prst="rect">
                            <a:avLst/>
                          </a:prstGeom>
                          <a:noFill/>
                        </pic:spPr>
                      </pic:pic>
                    </a:graphicData>
                  </a:graphic>
                </wp:inline>
              </w:drawing>
            </w:r>
          </w:p>
        </w:tc>
      </w:tr>
      <w:tr w:rsidR="007722BA" w:rsidRPr="00234FC7" w14:paraId="1531E94D" w14:textId="77777777" w:rsidTr="00881D12">
        <w:tc>
          <w:tcPr>
            <w:tcW w:w="4957" w:type="dxa"/>
          </w:tcPr>
          <w:p w14:paraId="0F89EDD6" w14:textId="77777777" w:rsidR="007722BA" w:rsidRPr="00234FC7" w:rsidRDefault="00F81ACB" w:rsidP="00881D12">
            <w:pPr>
              <w:widowControl w:val="0"/>
              <w:autoSpaceDE w:val="0"/>
              <w:autoSpaceDN w:val="0"/>
              <w:adjustRightInd w:val="0"/>
              <w:ind w:firstLine="0"/>
              <w:jc w:val="center"/>
              <w:rPr>
                <w:rFonts w:eastAsiaTheme="minorHAnsi" w:cstheme="minorBidi"/>
                <w:noProof/>
                <w:szCs w:val="24"/>
                <w:lang w:eastAsia="en-US"/>
              </w:rPr>
            </w:pPr>
            <w:r w:rsidRPr="00234FC7">
              <w:rPr>
                <w:b/>
                <w:szCs w:val="24"/>
              </w:rPr>
              <w:t>1.</w:t>
            </w:r>
            <w:r w:rsidR="007722BA" w:rsidRPr="00234FC7">
              <w:rPr>
                <w:rFonts w:eastAsiaTheme="minorHAnsi"/>
                <w:b/>
                <w:szCs w:val="24"/>
              </w:rPr>
              <w:t>1</w:t>
            </w:r>
            <w:r w:rsidRPr="00234FC7">
              <w:rPr>
                <w:rFonts w:eastAsiaTheme="minorHAnsi"/>
                <w:b/>
                <w:szCs w:val="24"/>
              </w:rPr>
              <w:t>5</w:t>
            </w:r>
            <w:r w:rsidR="007722BA" w:rsidRPr="00234FC7">
              <w:rPr>
                <w:rFonts w:eastAsiaTheme="minorHAnsi"/>
                <w:b/>
                <w:szCs w:val="24"/>
              </w:rPr>
              <w:t>.att. Valsts parāds 2014.-2015./I cet.</w:t>
            </w:r>
          </w:p>
          <w:p w14:paraId="3975E364" w14:textId="77777777" w:rsidR="007722BA" w:rsidRPr="00234FC7" w:rsidRDefault="007722BA" w:rsidP="00881D12">
            <w:pPr>
              <w:ind w:firstLine="0"/>
              <w:rPr>
                <w:b/>
                <w:szCs w:val="24"/>
              </w:rPr>
            </w:pPr>
          </w:p>
        </w:tc>
        <w:tc>
          <w:tcPr>
            <w:tcW w:w="4671" w:type="dxa"/>
          </w:tcPr>
          <w:p w14:paraId="7AA13317" w14:textId="77777777" w:rsidR="007722BA" w:rsidRPr="00234FC7" w:rsidRDefault="00F81ACB" w:rsidP="00F81ACB">
            <w:pPr>
              <w:spacing w:after="0"/>
              <w:ind w:firstLine="0"/>
              <w:rPr>
                <w:rFonts w:eastAsiaTheme="minorHAnsi"/>
                <w:b/>
                <w:szCs w:val="24"/>
              </w:rPr>
            </w:pPr>
            <w:r w:rsidRPr="00234FC7">
              <w:rPr>
                <w:b/>
                <w:szCs w:val="24"/>
              </w:rPr>
              <w:t>1.</w:t>
            </w:r>
            <w:r w:rsidRPr="00234FC7">
              <w:rPr>
                <w:rFonts w:eastAsiaTheme="minorHAnsi"/>
                <w:b/>
                <w:szCs w:val="24"/>
              </w:rPr>
              <w:t>16</w:t>
            </w:r>
            <w:r w:rsidR="007722BA" w:rsidRPr="00234FC7">
              <w:rPr>
                <w:rFonts w:eastAsiaTheme="minorHAnsi"/>
                <w:b/>
                <w:szCs w:val="24"/>
              </w:rPr>
              <w:t>.att. Valsts parāda struktūra nominālvērtībā 2015.gada I cet. beigās, milj.</w:t>
            </w:r>
            <w:r w:rsidRPr="00234FC7">
              <w:rPr>
                <w:rFonts w:eastAsiaTheme="minorHAnsi"/>
                <w:b/>
                <w:szCs w:val="24"/>
              </w:rPr>
              <w:t xml:space="preserve"> </w:t>
            </w:r>
            <w:r w:rsidR="007722BA" w:rsidRPr="00234FC7">
              <w:rPr>
                <w:rFonts w:eastAsiaTheme="minorHAnsi"/>
                <w:b/>
                <w:i/>
                <w:szCs w:val="24"/>
              </w:rPr>
              <w:t>euro</w:t>
            </w:r>
          </w:p>
        </w:tc>
      </w:tr>
    </w:tbl>
    <w:p w14:paraId="36CFF0D6" w14:textId="77777777" w:rsidR="007722BA" w:rsidRPr="00E757B9" w:rsidRDefault="007722BA" w:rsidP="007722BA">
      <w:pPr>
        <w:rPr>
          <w:sz w:val="24"/>
        </w:rPr>
      </w:pPr>
      <w:r w:rsidRPr="00E757B9">
        <w:rPr>
          <w:sz w:val="24"/>
        </w:rPr>
        <w:t>Valsts parāda struktūrā lielāko īpatsvaru veido ārējais parāds, sasniedzot 81% no kopējā valsts parāda uz 2015.gada pirmā ceturkšņa beigām (skat. 2.att.). Lielāko ārējā parāda daļu (60% no valsts parāda kopējā apjoma) veido starptautiskajos finanšu tirgos emitētās eiroobligācijas.</w:t>
      </w:r>
    </w:p>
    <w:p w14:paraId="62570E9E" w14:textId="77777777" w:rsidR="007722BA" w:rsidRPr="001C1C52" w:rsidRDefault="007722BA" w:rsidP="007722BA">
      <w:pPr>
        <w:jc w:val="center"/>
        <w:rPr>
          <w:b/>
        </w:rPr>
      </w:pPr>
      <w:r w:rsidRPr="001C1C52">
        <w:rPr>
          <w:b/>
        </w:rPr>
        <w:t>Valsts iekšējais parāds</w:t>
      </w:r>
    </w:p>
    <w:p w14:paraId="40D8AB2D" w14:textId="77777777" w:rsidR="007722BA" w:rsidRPr="00E757B9" w:rsidRDefault="007722BA" w:rsidP="007722BA">
      <w:pPr>
        <w:rPr>
          <w:sz w:val="24"/>
        </w:rPr>
      </w:pPr>
      <w:r w:rsidRPr="00E757B9">
        <w:rPr>
          <w:sz w:val="24"/>
        </w:rPr>
        <w:t>Valsts iekšējais parāds nominālvērtībā 2014.gada beigās veidoja 1 384,3 milj.</w:t>
      </w:r>
      <w:r w:rsidRPr="00E757B9">
        <w:rPr>
          <w:i/>
          <w:sz w:val="24"/>
        </w:rPr>
        <w:t>euro</w:t>
      </w:r>
      <w:r w:rsidRPr="00E757B9">
        <w:rPr>
          <w:sz w:val="24"/>
        </w:rPr>
        <w:t>, 2015.gada pirmā ceturkšņa beigās 1 521,9 milj.</w:t>
      </w:r>
      <w:r w:rsidRPr="00E757B9">
        <w:rPr>
          <w:i/>
          <w:sz w:val="24"/>
        </w:rPr>
        <w:t>euro</w:t>
      </w:r>
      <w:r w:rsidRPr="00E757B9">
        <w:rPr>
          <w:sz w:val="24"/>
        </w:rPr>
        <w:t>, ceturkšņa laikā pieaugot par 137,6 milj.</w:t>
      </w:r>
      <w:r w:rsidRPr="00E757B9">
        <w:rPr>
          <w:i/>
          <w:sz w:val="24"/>
        </w:rPr>
        <w:t>euro</w:t>
      </w:r>
      <w:r w:rsidRPr="00E757B9">
        <w:rPr>
          <w:sz w:val="24"/>
        </w:rPr>
        <w:t>.</w:t>
      </w:r>
    </w:p>
    <w:p w14:paraId="532BA6C7" w14:textId="77777777" w:rsidR="007722BA" w:rsidRPr="00E757B9" w:rsidRDefault="007722BA" w:rsidP="007722BA">
      <w:pPr>
        <w:rPr>
          <w:sz w:val="24"/>
        </w:rPr>
      </w:pPr>
      <w:r w:rsidRPr="00E757B9">
        <w:rPr>
          <w:sz w:val="24"/>
        </w:rPr>
        <w:t>Valsts iekšējo parādu galvenokārt veido emitētās valsts iekšējā aizņēmuma parādzīmes un obligācijas, kuru nominālvērtība 2014.gada 31.decembrī bija  1 046,5 milj.</w:t>
      </w:r>
      <w:r w:rsidRPr="00E757B9">
        <w:rPr>
          <w:i/>
          <w:sz w:val="24"/>
        </w:rPr>
        <w:t>euro</w:t>
      </w:r>
      <w:r w:rsidRPr="00E757B9">
        <w:rPr>
          <w:sz w:val="24"/>
        </w:rPr>
        <w:t>. 2015.gada pirmā ceturkšņa beigās emitēto valsts iekšējā aizņēmuma parādzīmju un obligāciju apjoms bija  1 157,1 milj.</w:t>
      </w:r>
      <w:r w:rsidRPr="00E757B9">
        <w:rPr>
          <w:i/>
          <w:sz w:val="24"/>
        </w:rPr>
        <w:t>euro</w:t>
      </w:r>
      <w:r w:rsidRPr="00E757B9">
        <w:rPr>
          <w:sz w:val="24"/>
        </w:rPr>
        <w:t>, veidojot  14% no kopējā valsts parāda apjoma. Valsts iekšējā aizņēmuma apjomam pārsniedzot valsts iekšējā aizņēmuma atmaksāto apjomu, 2015.gada pirmajā ceturksnī emitēto valsts parādzīmju un obligāciju apjoms</w:t>
      </w:r>
      <w:r w:rsidRPr="00E757B9" w:rsidDel="008043F5">
        <w:rPr>
          <w:sz w:val="24"/>
        </w:rPr>
        <w:t xml:space="preserve"> </w:t>
      </w:r>
      <w:r w:rsidRPr="00E757B9">
        <w:rPr>
          <w:sz w:val="24"/>
        </w:rPr>
        <w:t>ir pieaudzis par  110,6 milj.</w:t>
      </w:r>
      <w:r w:rsidRPr="00E757B9">
        <w:rPr>
          <w:i/>
          <w:sz w:val="24"/>
        </w:rPr>
        <w:t>euro</w:t>
      </w:r>
      <w:r w:rsidRPr="00E757B9">
        <w:rPr>
          <w:sz w:val="24"/>
        </w:rPr>
        <w:t xml:space="preserve"> salīdzinot ar 2014.gada beigām.</w:t>
      </w:r>
    </w:p>
    <w:p w14:paraId="4CA9FA6E" w14:textId="77777777" w:rsidR="007722BA" w:rsidRPr="00E757B9" w:rsidRDefault="007722BA" w:rsidP="007722BA">
      <w:pPr>
        <w:rPr>
          <w:sz w:val="24"/>
        </w:rPr>
      </w:pPr>
      <w:r w:rsidRPr="00E757B9">
        <w:rPr>
          <w:sz w:val="24"/>
        </w:rPr>
        <w:t>Finansējums iekšējā finanšu tirgū pamatā tiek piesaistīts, organizējot regulāras valsts iekšējā aizņēmuma vērtspapīru emisijas. 2015.gada pirmajā ceturksnī Valsts kase turpināja regulāras valsts vērtspapīru izsoles, piedāvājot investoriem gan parādzīmes, gan obligācijas. Parādzīmju izsoles galvenokārt nodrošina salīdzinoši lētus resursus likviditātes vadībai un uztur etalona likmes iekšējā aizņēmuma vērtspapīru tirgū. Savukārt, obligāciju piedāvājums nodrošina pamata finansējumu un institucionālajiem investoriem iespēju ieguldīt valsts vērtspapīros.</w:t>
      </w:r>
    </w:p>
    <w:p w14:paraId="2FF93B82" w14:textId="77777777" w:rsidR="007722BA" w:rsidRPr="00396ED7" w:rsidRDefault="007722BA" w:rsidP="007722BA">
      <w:pPr>
        <w:ind w:firstLine="0"/>
        <w:jc w:val="center"/>
      </w:pPr>
      <w:r>
        <w:rPr>
          <w:noProof/>
          <w:lang w:eastAsia="lv-LV"/>
        </w:rPr>
        <w:drawing>
          <wp:inline distT="0" distB="0" distL="0" distR="0" wp14:anchorId="45975E06" wp14:editId="5AFEDE13">
            <wp:extent cx="4492803" cy="257415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1794" cy="2579302"/>
                    </a:xfrm>
                    <a:prstGeom prst="rect">
                      <a:avLst/>
                    </a:prstGeom>
                    <a:noFill/>
                  </pic:spPr>
                </pic:pic>
              </a:graphicData>
            </a:graphic>
          </wp:inline>
        </w:drawing>
      </w:r>
    </w:p>
    <w:p w14:paraId="076CB323" w14:textId="77777777" w:rsidR="007722BA" w:rsidRPr="00234FC7" w:rsidRDefault="00234FC7" w:rsidP="007722BA">
      <w:pPr>
        <w:jc w:val="center"/>
        <w:rPr>
          <w:rFonts w:cs="Times New Roman"/>
          <w:b/>
          <w:sz w:val="20"/>
        </w:rPr>
      </w:pPr>
      <w:r w:rsidRPr="00234FC7">
        <w:rPr>
          <w:rFonts w:cs="Times New Roman"/>
          <w:b/>
          <w:sz w:val="20"/>
        </w:rPr>
        <w:t>1.17.</w:t>
      </w:r>
      <w:r w:rsidR="007722BA" w:rsidRPr="00234FC7">
        <w:rPr>
          <w:rFonts w:cs="Times New Roman"/>
          <w:b/>
          <w:sz w:val="20"/>
        </w:rPr>
        <w:t xml:space="preserve"> att. Apgrozībā esošo valsts iekšējā aizņēmuma vērtspapīru struktūras</w:t>
      </w:r>
      <w:r w:rsidR="007722BA" w:rsidRPr="00234FC7">
        <w:rPr>
          <w:b/>
          <w:sz w:val="22"/>
        </w:rPr>
        <w:t xml:space="preserve"> </w:t>
      </w:r>
      <w:r w:rsidR="007722BA" w:rsidRPr="00234FC7">
        <w:rPr>
          <w:rFonts w:cs="Times New Roman"/>
          <w:b/>
          <w:sz w:val="20"/>
        </w:rPr>
        <w:t>attīstība līdz 2015.gada I ceturkšņa beigām</w:t>
      </w:r>
    </w:p>
    <w:p w14:paraId="7020EF13" w14:textId="77777777" w:rsidR="007722BA" w:rsidRPr="00FB3DD1" w:rsidRDefault="007722BA" w:rsidP="007722BA">
      <w:pPr>
        <w:rPr>
          <w:b/>
          <w:i/>
          <w:sz w:val="2"/>
        </w:rPr>
      </w:pPr>
    </w:p>
    <w:p w14:paraId="3A808FEF" w14:textId="77777777" w:rsidR="007722BA" w:rsidRPr="00E757B9" w:rsidRDefault="007722BA" w:rsidP="007722BA">
      <w:pPr>
        <w:rPr>
          <w:sz w:val="24"/>
        </w:rPr>
      </w:pPr>
      <w:r w:rsidRPr="00E757B9">
        <w:rPr>
          <w:sz w:val="24"/>
        </w:rPr>
        <w:t>2015.gada pirmajā ceturksnī tika uzsākta jauna  trīs gadu obligāciju emisijas programma 80,0 milj.</w:t>
      </w:r>
      <w:r w:rsidRPr="00E757B9">
        <w:rPr>
          <w:i/>
          <w:sz w:val="24"/>
        </w:rPr>
        <w:t>euro</w:t>
      </w:r>
      <w:r w:rsidRPr="00E757B9">
        <w:rPr>
          <w:sz w:val="24"/>
        </w:rPr>
        <w:t xml:space="preserve"> apjomā. Šis apjoms tika sasniegts trijās konkurējošās un trijās  nekonkurējošās izsolēs kopā, katrā nākamā izsolē sasniedzot vēsturiski zemāko likmi šāda termiņa vērtspapīriem (0,280%, 0,257% un 0,194%). 2015.gada pirmā ceturkšņa beigās obligāciju īpatsvars iekšējā parāda portfelī sasniedza  87% no kopējā apgrozībā esošā vērtspapīru apjoma (skat. 3.att.), kas apliecina, ka investoru uzticību valsts kredītspējai saglabājas augsta.</w:t>
      </w:r>
    </w:p>
    <w:p w14:paraId="711E8A2E" w14:textId="77777777" w:rsidR="007722BA" w:rsidRPr="00E757B9" w:rsidRDefault="007722BA" w:rsidP="007722BA">
      <w:pPr>
        <w:rPr>
          <w:sz w:val="24"/>
        </w:rPr>
      </w:pPr>
      <w:r w:rsidRPr="00E757B9">
        <w:rPr>
          <w:sz w:val="24"/>
        </w:rPr>
        <w:t>Īstermiņa parādzīmes ar atlikušo termiņu līdz dzēšanai 6 mēneši tika emitētas  60 milj.</w:t>
      </w:r>
      <w:r w:rsidRPr="00E757B9">
        <w:rPr>
          <w:i/>
          <w:sz w:val="24"/>
        </w:rPr>
        <w:t>euro</w:t>
      </w:r>
      <w:r w:rsidRPr="00E757B9">
        <w:rPr>
          <w:sz w:val="24"/>
        </w:rPr>
        <w:t xml:space="preserve"> apjomā vienā konkurējošā un vienā nekonkurējošā izsolē ar vidējo svērto peļņas likmi 0,041%.</w:t>
      </w:r>
    </w:p>
    <w:p w14:paraId="3BA7F60E" w14:textId="77777777" w:rsidR="007722BA" w:rsidRPr="0079557A" w:rsidRDefault="007722BA" w:rsidP="007722BA">
      <w:pPr>
        <w:widowControl w:val="0"/>
        <w:autoSpaceDE w:val="0"/>
        <w:autoSpaceDN w:val="0"/>
        <w:adjustRightInd w:val="0"/>
        <w:ind w:firstLine="0"/>
        <w:jc w:val="center"/>
        <w:rPr>
          <w:noProof/>
          <w:lang w:eastAsia="lv-LV"/>
        </w:rPr>
      </w:pPr>
      <w:r>
        <w:rPr>
          <w:noProof/>
          <w:lang w:eastAsia="lv-LV"/>
        </w:rPr>
        <w:drawing>
          <wp:inline distT="0" distB="0" distL="0" distR="0" wp14:anchorId="7E9A6D31" wp14:editId="055BFF65">
            <wp:extent cx="3258971" cy="2854766"/>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1563" cy="2857036"/>
                    </a:xfrm>
                    <a:prstGeom prst="rect">
                      <a:avLst/>
                    </a:prstGeom>
                    <a:noFill/>
                  </pic:spPr>
                </pic:pic>
              </a:graphicData>
            </a:graphic>
          </wp:inline>
        </w:drawing>
      </w:r>
    </w:p>
    <w:p w14:paraId="35974DEE" w14:textId="77777777" w:rsidR="007722BA" w:rsidRPr="00234FC7" w:rsidRDefault="00234FC7" w:rsidP="007722BA">
      <w:pPr>
        <w:ind w:firstLine="0"/>
        <w:jc w:val="center"/>
        <w:rPr>
          <w:rFonts w:cs="Times New Roman"/>
          <w:b/>
          <w:sz w:val="20"/>
        </w:rPr>
      </w:pPr>
      <w:r w:rsidRPr="00234FC7">
        <w:rPr>
          <w:rFonts w:cs="Times New Roman"/>
          <w:b/>
          <w:sz w:val="20"/>
        </w:rPr>
        <w:t>1.18</w:t>
      </w:r>
      <w:r w:rsidR="007722BA" w:rsidRPr="00234FC7">
        <w:rPr>
          <w:rFonts w:cs="Times New Roman"/>
          <w:b/>
          <w:sz w:val="20"/>
        </w:rPr>
        <w:t>.att. Apgrozībā esošo valsts iekšējā aizņēmuma vērtspapīru struktūra 2015.gada I cet. beigās</w:t>
      </w:r>
    </w:p>
    <w:p w14:paraId="08956AF2" w14:textId="77777777" w:rsidR="007722BA" w:rsidRPr="00E757B9" w:rsidRDefault="007722BA" w:rsidP="007722BA">
      <w:pPr>
        <w:rPr>
          <w:sz w:val="24"/>
        </w:rPr>
      </w:pPr>
      <w:r w:rsidRPr="00E757B9">
        <w:rPr>
          <w:sz w:val="24"/>
        </w:rPr>
        <w:t>2015.gada pirmajā ceturksnī, pateicoties zemajiem procentu likmju līmeņiem globālajos finanšu tirgos un sekmīgai primāro dīleru sistēmas darbībai, valsts vērtspapīru procentu likmes sasniedza rekordzemus līmeņus (skat. 5.att.).</w:t>
      </w:r>
    </w:p>
    <w:p w14:paraId="67348454" w14:textId="77777777" w:rsidR="007722BA" w:rsidRPr="00396ED7" w:rsidRDefault="007722BA" w:rsidP="007722BA">
      <w:pPr>
        <w:widowControl w:val="0"/>
        <w:autoSpaceDE w:val="0"/>
        <w:autoSpaceDN w:val="0"/>
        <w:adjustRightInd w:val="0"/>
        <w:ind w:firstLine="0"/>
        <w:jc w:val="center"/>
        <w:rPr>
          <w:noProof/>
          <w:lang w:eastAsia="lv-LV"/>
        </w:rPr>
      </w:pPr>
      <w:r>
        <w:rPr>
          <w:noProof/>
          <w:lang w:eastAsia="lv-LV"/>
        </w:rPr>
        <w:drawing>
          <wp:inline distT="0" distB="0" distL="0" distR="0" wp14:anchorId="35616C48" wp14:editId="7583CE89">
            <wp:extent cx="5133949" cy="29583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4758" cy="2958819"/>
                    </a:xfrm>
                    <a:prstGeom prst="rect">
                      <a:avLst/>
                    </a:prstGeom>
                    <a:noFill/>
                  </pic:spPr>
                </pic:pic>
              </a:graphicData>
            </a:graphic>
          </wp:inline>
        </w:drawing>
      </w:r>
    </w:p>
    <w:p w14:paraId="64C5701E" w14:textId="77777777" w:rsidR="007722BA" w:rsidRPr="00234FC7" w:rsidRDefault="00234FC7" w:rsidP="007722BA">
      <w:pPr>
        <w:ind w:firstLine="0"/>
        <w:jc w:val="center"/>
        <w:rPr>
          <w:rFonts w:cs="Times New Roman"/>
          <w:b/>
          <w:sz w:val="20"/>
        </w:rPr>
      </w:pPr>
      <w:r w:rsidRPr="00234FC7">
        <w:rPr>
          <w:rFonts w:cs="Times New Roman"/>
          <w:b/>
          <w:sz w:val="20"/>
        </w:rPr>
        <w:t>1.19</w:t>
      </w:r>
      <w:r w:rsidR="007722BA" w:rsidRPr="00234FC7">
        <w:rPr>
          <w:rFonts w:cs="Times New Roman"/>
          <w:b/>
          <w:sz w:val="20"/>
        </w:rPr>
        <w:t>.att. Valsts vērtspapīru konkurējošās daudzcenu izsolēs noteiktās vidējās svērtās procentu likmes līdz 2015.gada I cet. beigām</w:t>
      </w:r>
    </w:p>
    <w:p w14:paraId="056B146E" w14:textId="77777777" w:rsidR="007722BA" w:rsidRPr="00E757B9" w:rsidRDefault="007722BA" w:rsidP="007722BA">
      <w:pPr>
        <w:rPr>
          <w:sz w:val="24"/>
        </w:rPr>
      </w:pPr>
      <w:r w:rsidRPr="00E757B9">
        <w:rPr>
          <w:sz w:val="24"/>
        </w:rPr>
        <w:t>Arī turpmāk, saglabājoties pozitīvām finanšu tirgus un ekonomikas attīstības tendencēm, ir plānots finansējumu iekšējā finanšu tirgū piesaistīt ar dažāda termiņa vērtspapīriem likviditātes vadības un piedāvājuma uzturēšanas iekšējā finanšu tirgū ietvaros.</w:t>
      </w:r>
    </w:p>
    <w:p w14:paraId="77FB7827" w14:textId="77777777" w:rsidR="007722BA" w:rsidRPr="00E757B9" w:rsidRDefault="007722BA" w:rsidP="007722BA">
      <w:pPr>
        <w:rPr>
          <w:sz w:val="24"/>
        </w:rPr>
      </w:pPr>
      <w:r w:rsidRPr="00E757B9">
        <w:rPr>
          <w:sz w:val="24"/>
        </w:rPr>
        <w:t>Lai attīstītu Latvijas valsts vērtspapīru tirgu un veicinātu iedzīvotāju uzticību iekšējam finanšu tirgum, kopš 2013.gada vidus Valsts kase uztur regulāru krājobligāciju piedāvājumu. Iedzīvotājiem tiek piedāvātas sešu un divpadsmit mēnešu, kā arī piecu un desmit gadu krājobligācijas. 2015.gada pirmā ceturkšņa beigās apgrozībā esošās krājobligācijas sasniedza 5,1 milj.</w:t>
      </w:r>
      <w:r w:rsidRPr="00E757B9">
        <w:rPr>
          <w:i/>
          <w:sz w:val="24"/>
        </w:rPr>
        <w:t>euro</w:t>
      </w:r>
      <w:r w:rsidRPr="00E757B9">
        <w:rPr>
          <w:sz w:val="24"/>
        </w:rPr>
        <w:t xml:space="preserve"> apjomu, no kurām lielāko daļu veido desmit gadu krājobligācijas (skat. 6.att).</w:t>
      </w:r>
    </w:p>
    <w:p w14:paraId="053D7937" w14:textId="77777777" w:rsidR="007722BA" w:rsidRPr="00396ED7" w:rsidRDefault="007722BA" w:rsidP="007722BA">
      <w:pPr>
        <w:ind w:firstLine="0"/>
        <w:jc w:val="center"/>
      </w:pPr>
      <w:r>
        <w:rPr>
          <w:noProof/>
          <w:lang w:eastAsia="lv-LV"/>
        </w:rPr>
        <w:drawing>
          <wp:inline distT="0" distB="0" distL="0" distR="0" wp14:anchorId="5C974971" wp14:editId="32E94EA4">
            <wp:extent cx="2266790" cy="1789045"/>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7899" cy="1789920"/>
                    </a:xfrm>
                    <a:prstGeom prst="rect">
                      <a:avLst/>
                    </a:prstGeom>
                    <a:noFill/>
                  </pic:spPr>
                </pic:pic>
              </a:graphicData>
            </a:graphic>
          </wp:inline>
        </w:drawing>
      </w:r>
    </w:p>
    <w:p w14:paraId="225FEF00" w14:textId="77777777" w:rsidR="007722BA" w:rsidRPr="00234FC7" w:rsidRDefault="00234FC7" w:rsidP="007722BA">
      <w:pPr>
        <w:ind w:firstLine="0"/>
        <w:jc w:val="center"/>
        <w:rPr>
          <w:rFonts w:cs="Times New Roman"/>
          <w:b/>
          <w:sz w:val="20"/>
        </w:rPr>
      </w:pPr>
      <w:r w:rsidRPr="00234FC7">
        <w:rPr>
          <w:rFonts w:cs="Times New Roman"/>
          <w:b/>
          <w:sz w:val="20"/>
        </w:rPr>
        <w:t>1.20</w:t>
      </w:r>
      <w:r w:rsidR="007722BA" w:rsidRPr="00234FC7">
        <w:rPr>
          <w:rFonts w:cs="Times New Roman"/>
          <w:b/>
          <w:sz w:val="20"/>
        </w:rPr>
        <w:t>.att. Apgrozībā esošais krājobligāciju apjoms uz 2015.gada I cet. beigām</w:t>
      </w:r>
    </w:p>
    <w:p w14:paraId="5560996E" w14:textId="77777777" w:rsidR="007722BA" w:rsidRPr="00E757B9" w:rsidRDefault="007722BA" w:rsidP="007722BA">
      <w:pPr>
        <w:rPr>
          <w:sz w:val="24"/>
        </w:rPr>
      </w:pPr>
      <w:r w:rsidRPr="00E757B9">
        <w:rPr>
          <w:sz w:val="24"/>
        </w:rPr>
        <w:t>Valsts iekšējo parādu veido arī Valsts kases klientu kontu atlikumi un noguldījumi Valsts kasē. 2015.gada pirmā ceturkšņa beigās tie bija 344,3 milj.</w:t>
      </w:r>
      <w:r w:rsidRPr="00E757B9">
        <w:rPr>
          <w:i/>
          <w:sz w:val="24"/>
        </w:rPr>
        <w:t>euro</w:t>
      </w:r>
      <w:r w:rsidRPr="00E757B9">
        <w:rPr>
          <w:sz w:val="24"/>
        </w:rPr>
        <w:t>, kas ir par 24,1 milj.</w:t>
      </w:r>
      <w:r w:rsidRPr="00E757B9">
        <w:rPr>
          <w:i/>
          <w:sz w:val="24"/>
        </w:rPr>
        <w:t>euro</w:t>
      </w:r>
      <w:r w:rsidRPr="00E757B9">
        <w:rPr>
          <w:sz w:val="24"/>
        </w:rPr>
        <w:t xml:space="preserve"> vairāk salīdzinot ar 2014.gada beigām.</w:t>
      </w:r>
    </w:p>
    <w:p w14:paraId="75EB0745" w14:textId="77777777" w:rsidR="007722BA" w:rsidRPr="001C1C52" w:rsidRDefault="007722BA" w:rsidP="007722BA">
      <w:pPr>
        <w:spacing w:before="100" w:beforeAutospacing="1" w:after="100" w:afterAutospacing="1"/>
        <w:jc w:val="center"/>
        <w:rPr>
          <w:b/>
        </w:rPr>
      </w:pPr>
      <w:r w:rsidRPr="001C1C52">
        <w:rPr>
          <w:b/>
        </w:rPr>
        <w:t>Valsts ārējais parāds</w:t>
      </w:r>
    </w:p>
    <w:p w14:paraId="5482DB00" w14:textId="77777777" w:rsidR="007722BA" w:rsidRPr="00E757B9" w:rsidRDefault="007722BA" w:rsidP="007722BA">
      <w:pPr>
        <w:rPr>
          <w:sz w:val="24"/>
        </w:rPr>
      </w:pPr>
      <w:r w:rsidRPr="00E757B9">
        <w:rPr>
          <w:sz w:val="24"/>
        </w:rPr>
        <w:t>Valsts ārējais parāds nominālvērtībā 2014.gada beigās veidoja 7 628,0 milj.</w:t>
      </w:r>
      <w:r w:rsidRPr="00E757B9">
        <w:rPr>
          <w:i/>
          <w:sz w:val="24"/>
        </w:rPr>
        <w:t>euro</w:t>
      </w:r>
      <w:r w:rsidRPr="00E757B9">
        <w:rPr>
          <w:sz w:val="24"/>
        </w:rPr>
        <w:t>, 2015.gada pirmā ceturkšņa beigās 6 684,0 milj.</w:t>
      </w:r>
      <w:r w:rsidRPr="00E757B9">
        <w:rPr>
          <w:i/>
          <w:sz w:val="24"/>
        </w:rPr>
        <w:t>euro</w:t>
      </w:r>
      <w:r w:rsidRPr="00E757B9">
        <w:rPr>
          <w:sz w:val="24"/>
        </w:rPr>
        <w:t>, ceturkšņa laikā samazinoties par 944,0 milj.</w:t>
      </w:r>
      <w:r w:rsidRPr="00E757B9">
        <w:rPr>
          <w:i/>
          <w:sz w:val="24"/>
        </w:rPr>
        <w:t>euro</w:t>
      </w:r>
      <w:r w:rsidRPr="00E757B9">
        <w:rPr>
          <w:sz w:val="24"/>
        </w:rPr>
        <w:t>.</w:t>
      </w:r>
    </w:p>
    <w:p w14:paraId="3B186F6F" w14:textId="77777777" w:rsidR="007722BA" w:rsidRPr="00E757B9" w:rsidRDefault="007722BA" w:rsidP="007722BA">
      <w:pPr>
        <w:rPr>
          <w:sz w:val="24"/>
        </w:rPr>
      </w:pPr>
      <w:r w:rsidRPr="00E757B9">
        <w:rPr>
          <w:sz w:val="24"/>
        </w:rPr>
        <w:t>2015.gada pirmajā ceturksnī atmaksājot aizņēmuma otro daļu Eiropas Komisijai starptautiskās aizņēmuma programmas ietvaros, izmantojot 2014.gadā starptautiskajos finanšu tirgos veikto eiroobligāciju emisiju rezultātā piesaistītos resursus, ārējā parāda struktūrā pieaudzis eiroobligāciju īpatsvars no 56% uz 2014.gada pirmā ceturkšņa beigām līdz 74% uz 2015.gada pirmā ceturkšņa beigām un samazinājies starptautiskās aizņēmuma programmas īpatsvars no 34% uz 2014.gada pirmā ceturkšņa beigām līdz 16% uz 2015.gada pirmā ceturkšņa beigām no valsts ārējā parāda apjoma (skat. 7., 8.att.).</w:t>
      </w:r>
    </w:p>
    <w:p w14:paraId="3377C666" w14:textId="77777777" w:rsidR="007722BA" w:rsidRPr="0079557A" w:rsidRDefault="007722BA" w:rsidP="007722BA">
      <w:pPr>
        <w:widowControl w:val="0"/>
        <w:autoSpaceDE w:val="0"/>
        <w:autoSpaceDN w:val="0"/>
        <w:adjustRightInd w:val="0"/>
        <w:ind w:firstLine="0"/>
        <w:jc w:val="center"/>
        <w:rPr>
          <w:noProof/>
          <w:lang w:eastAsia="lv-LV"/>
        </w:rPr>
      </w:pPr>
      <w:r>
        <w:rPr>
          <w:noProof/>
          <w:lang w:eastAsia="lv-LV"/>
        </w:rPr>
        <w:drawing>
          <wp:inline distT="0" distB="0" distL="0" distR="0" wp14:anchorId="3B7AB435" wp14:editId="6D602BCB">
            <wp:extent cx="3427441" cy="2324863"/>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951" cy="2326566"/>
                    </a:xfrm>
                    <a:prstGeom prst="rect">
                      <a:avLst/>
                    </a:prstGeom>
                    <a:noFill/>
                  </pic:spPr>
                </pic:pic>
              </a:graphicData>
            </a:graphic>
          </wp:inline>
        </w:drawing>
      </w:r>
    </w:p>
    <w:p w14:paraId="1502FF10" w14:textId="77777777" w:rsidR="007722BA" w:rsidRPr="00234FC7" w:rsidRDefault="00234FC7" w:rsidP="007722BA">
      <w:pPr>
        <w:ind w:firstLine="0"/>
        <w:jc w:val="center"/>
        <w:rPr>
          <w:rFonts w:cs="Times New Roman"/>
          <w:b/>
          <w:sz w:val="20"/>
        </w:rPr>
      </w:pPr>
      <w:r>
        <w:rPr>
          <w:rFonts w:cs="Times New Roman"/>
          <w:b/>
          <w:sz w:val="20"/>
        </w:rPr>
        <w:t>1.21</w:t>
      </w:r>
      <w:r w:rsidR="007722BA" w:rsidRPr="00234FC7">
        <w:rPr>
          <w:rFonts w:cs="Times New Roman"/>
          <w:b/>
          <w:sz w:val="20"/>
        </w:rPr>
        <w:t>. att. Valsts ārējā parāda struktūra pa gadiem, milj.euro</w:t>
      </w:r>
    </w:p>
    <w:p w14:paraId="2EFFD1A5" w14:textId="77777777" w:rsidR="007722BA" w:rsidRPr="00396ED7" w:rsidRDefault="007722BA" w:rsidP="007722BA">
      <w:pPr>
        <w:widowControl w:val="0"/>
        <w:autoSpaceDE w:val="0"/>
        <w:autoSpaceDN w:val="0"/>
        <w:adjustRightInd w:val="0"/>
        <w:ind w:firstLine="0"/>
        <w:jc w:val="center"/>
        <w:rPr>
          <w:noProof/>
          <w:lang w:eastAsia="lv-LV"/>
        </w:rPr>
      </w:pPr>
      <w:r>
        <w:rPr>
          <w:noProof/>
          <w:lang w:eastAsia="lv-LV"/>
        </w:rPr>
        <w:drawing>
          <wp:inline distT="0" distB="0" distL="0" distR="0" wp14:anchorId="1D7D0315" wp14:editId="5FEC0BAD">
            <wp:extent cx="3327186" cy="2416923"/>
            <wp:effectExtent l="0" t="0" r="698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0209" cy="2419119"/>
                    </a:xfrm>
                    <a:prstGeom prst="rect">
                      <a:avLst/>
                    </a:prstGeom>
                    <a:noFill/>
                  </pic:spPr>
                </pic:pic>
              </a:graphicData>
            </a:graphic>
          </wp:inline>
        </w:drawing>
      </w:r>
    </w:p>
    <w:p w14:paraId="271A6FB3" w14:textId="77777777" w:rsidR="007722BA" w:rsidRPr="00234FC7" w:rsidRDefault="00234FC7" w:rsidP="007722BA">
      <w:pPr>
        <w:ind w:firstLine="0"/>
        <w:jc w:val="center"/>
        <w:rPr>
          <w:b/>
          <w:sz w:val="20"/>
        </w:rPr>
      </w:pPr>
      <w:r w:rsidRPr="00234FC7">
        <w:rPr>
          <w:rFonts w:cs="Times New Roman"/>
          <w:b/>
          <w:sz w:val="20"/>
        </w:rPr>
        <w:t>1.22</w:t>
      </w:r>
      <w:r w:rsidR="007722BA" w:rsidRPr="00234FC7">
        <w:rPr>
          <w:rFonts w:cs="Times New Roman"/>
          <w:b/>
          <w:sz w:val="20"/>
        </w:rPr>
        <w:t>.att. Valsts ārējā parāda struktūra 2015.gada I cet. beigās, milj.euro</w:t>
      </w:r>
    </w:p>
    <w:p w14:paraId="3C3BE7D1" w14:textId="77777777" w:rsidR="007722BA" w:rsidRPr="00E757B9" w:rsidRDefault="007722BA" w:rsidP="007722BA">
      <w:pPr>
        <w:rPr>
          <w:rFonts w:eastAsia="Times New Roman" w:cs="Times New Roman"/>
          <w:sz w:val="24"/>
          <w:szCs w:val="24"/>
        </w:rPr>
      </w:pPr>
      <w:r w:rsidRPr="00E757B9">
        <w:rPr>
          <w:rFonts w:eastAsia="Times New Roman" w:cs="Times New Roman"/>
          <w:sz w:val="24"/>
          <w:szCs w:val="24"/>
        </w:rPr>
        <w:t>Ārējā parāda atlikušo daļu veido iepriekš noslēgto līgumu ietvaros dažādu projektu finansēšanai saņemtie aizņēmumi no Eiropas Investīciju bankas, Ziemeļu Investīciju bankas un citām finanšu institūcijām.</w:t>
      </w:r>
    </w:p>
    <w:p w14:paraId="613902D5" w14:textId="77777777" w:rsidR="007722BA" w:rsidRPr="00E757B9" w:rsidRDefault="007722BA" w:rsidP="00E757B9">
      <w:pPr>
        <w:spacing w:after="0"/>
        <w:ind w:firstLine="720"/>
        <w:rPr>
          <w:rFonts w:cs="Times New Roman"/>
          <w:sz w:val="24"/>
        </w:rPr>
      </w:pPr>
      <w:r w:rsidRPr="00E757B9">
        <w:rPr>
          <w:rFonts w:eastAsia="Times New Roman" w:cs="Times New Roman"/>
          <w:sz w:val="24"/>
        </w:rPr>
        <w:t>Atbilstoši Latvijas valsts parāda vadības stratēģijai, lai novērstu valsts parāda pārfinansēšanas risku vidējā termiņā un savlaicīgi nodrošinātu priekšnosacījumus valsts ārējā parāda saistību atmaksai, tiek turpināta pakāpeniska aizņemšanās starptautiskajos finanšu tirgos, organizējot regulāras publiskas valsts parāda vērtspapīru emisijas un nodrošinot investoru bāzes diversificēšanu, kā arī optimāla aizņemšanās izmaksu līmeņa sasniegšanu.</w:t>
      </w:r>
      <w:bookmarkEnd w:id="48"/>
    </w:p>
    <w:p w14:paraId="632E9146" w14:textId="77777777" w:rsidR="007722BA" w:rsidRDefault="007722BA">
      <w:pPr>
        <w:spacing w:after="0"/>
        <w:ind w:firstLine="0"/>
        <w:jc w:val="left"/>
        <w:rPr>
          <w:rFonts w:cs="Times New Roman"/>
        </w:rPr>
      </w:pPr>
      <w:r>
        <w:rPr>
          <w:rFonts w:cs="Times New Roman"/>
        </w:rPr>
        <w:br w:type="page"/>
      </w:r>
    </w:p>
    <w:p w14:paraId="0C8819DA" w14:textId="77777777" w:rsidR="006415B1" w:rsidRPr="00FC0227" w:rsidRDefault="001C1C52" w:rsidP="001C1C52">
      <w:pPr>
        <w:pStyle w:val="Style1"/>
      </w:pPr>
      <w:bookmarkStart w:id="49" w:name="_Toc387911147"/>
      <w:bookmarkStart w:id="50" w:name="_Toc419737732"/>
      <w:r>
        <w:t>2. </w:t>
      </w:r>
      <w:r w:rsidR="001A3F77" w:rsidRPr="00FC0227">
        <w:t>KOPBUDŽETA IZPILDE</w:t>
      </w:r>
      <w:bookmarkEnd w:id="49"/>
      <w:bookmarkEnd w:id="50"/>
    </w:p>
    <w:p w14:paraId="5C54777E" w14:textId="77777777" w:rsidR="006415B1" w:rsidRPr="00062774" w:rsidRDefault="006415B1" w:rsidP="00234FC7">
      <w:pPr>
        <w:pStyle w:val="Style2"/>
        <w:jc w:val="center"/>
      </w:pPr>
      <w:bookmarkStart w:id="51" w:name="_Toc160359659"/>
      <w:bookmarkStart w:id="52" w:name="_Toc167254144"/>
      <w:bookmarkStart w:id="53" w:name="_Toc226433811"/>
      <w:bookmarkStart w:id="54" w:name="_Toc262026554"/>
      <w:bookmarkStart w:id="55" w:name="_Toc293496369"/>
      <w:bookmarkStart w:id="56" w:name="_Toc293499490"/>
      <w:bookmarkStart w:id="57" w:name="_Toc356399257"/>
      <w:bookmarkStart w:id="58" w:name="_Toc387845624"/>
      <w:bookmarkStart w:id="59" w:name="_Toc387911148"/>
      <w:bookmarkStart w:id="60" w:name="_Toc419737733"/>
      <w:r w:rsidRPr="00062774">
        <w:t>2.1. Vispārējs fiskālās situācijas raksturojums</w:t>
      </w:r>
      <w:bookmarkEnd w:id="51"/>
      <w:bookmarkEnd w:id="52"/>
      <w:bookmarkEnd w:id="53"/>
      <w:bookmarkEnd w:id="54"/>
      <w:bookmarkEnd w:id="55"/>
      <w:bookmarkEnd w:id="56"/>
      <w:bookmarkEnd w:id="57"/>
      <w:bookmarkEnd w:id="58"/>
      <w:bookmarkEnd w:id="59"/>
      <w:bookmarkEnd w:id="60"/>
    </w:p>
    <w:p w14:paraId="2F78F890" w14:textId="77777777" w:rsidR="006415B1" w:rsidRPr="00E757B9" w:rsidRDefault="006415B1" w:rsidP="006415B1">
      <w:pPr>
        <w:spacing w:before="240" w:after="0"/>
        <w:ind w:firstLine="720"/>
        <w:rPr>
          <w:rFonts w:cs="Times New Roman"/>
          <w:sz w:val="24"/>
          <w:highlight w:val="yellow"/>
        </w:rPr>
      </w:pPr>
      <w:r w:rsidRPr="00E757B9">
        <w:rPr>
          <w:rFonts w:eastAsia="Times New Roman"/>
          <w:bCs/>
          <w:kern w:val="36"/>
          <w:sz w:val="24"/>
          <w:lang w:eastAsia="lv-LV"/>
        </w:rPr>
        <w:t>Kopbudžeta ieņēmumu un izdevumu pieauguma temps pirmajā ceturksnī ir izlīdzinājies. Ieņēmumiem pieaugot par 9,5% un izdevumiem par 9,3%, pārpalikums kopbudžetā bija 34,5 miljoni </w:t>
      </w:r>
      <w:r w:rsidRPr="00E757B9">
        <w:rPr>
          <w:rFonts w:eastAsia="Times New Roman"/>
          <w:bCs/>
          <w:i/>
          <w:kern w:val="36"/>
          <w:sz w:val="24"/>
          <w:lang w:eastAsia="lv-LV"/>
        </w:rPr>
        <w:t>euro</w:t>
      </w:r>
      <w:r w:rsidRPr="00E757B9">
        <w:rPr>
          <w:rFonts w:eastAsia="Times New Roman"/>
          <w:bCs/>
          <w:kern w:val="36"/>
          <w:sz w:val="24"/>
          <w:lang w:eastAsia="lv-LV"/>
        </w:rPr>
        <w:t>. Tas, salīdzinājumā ar pērnā gada pirmo ceturksni, ir par 7,5 miljoniem </w:t>
      </w:r>
      <w:r w:rsidRPr="00E757B9">
        <w:rPr>
          <w:rFonts w:eastAsia="Times New Roman"/>
          <w:bCs/>
          <w:i/>
          <w:kern w:val="36"/>
          <w:sz w:val="24"/>
          <w:lang w:eastAsia="lv-LV"/>
        </w:rPr>
        <w:t>euro</w:t>
      </w:r>
      <w:r w:rsidRPr="00E757B9">
        <w:rPr>
          <w:rFonts w:eastAsia="Times New Roman"/>
          <w:bCs/>
          <w:kern w:val="36"/>
          <w:sz w:val="24"/>
          <w:lang w:eastAsia="lv-LV"/>
        </w:rPr>
        <w:t xml:space="preserve"> vairāk. Ieņēmumu pieaugums galvenokārt skaidrojams ar š.g. martā saņemtajiem līdzekļiem no ārvalstu finanšu palīdzības.</w:t>
      </w:r>
    </w:p>
    <w:p w14:paraId="4EE47358" w14:textId="77777777" w:rsidR="006415B1" w:rsidRPr="00E757B9" w:rsidRDefault="006415B1" w:rsidP="006415B1">
      <w:pPr>
        <w:spacing w:after="0"/>
        <w:ind w:firstLine="720"/>
        <w:rPr>
          <w:rFonts w:cs="Times New Roman"/>
          <w:sz w:val="24"/>
        </w:rPr>
      </w:pPr>
      <w:r w:rsidRPr="00E757B9">
        <w:rPr>
          <w:rFonts w:cs="Times New Roman"/>
          <w:sz w:val="24"/>
        </w:rPr>
        <w:t>Tāpat kā iepriekšējā gadā, pārpalikumu kopbudžetā pamatā nodrošināja pārpalikums pašvaldību budžetā, kas bija 65,6 milj. </w:t>
      </w:r>
      <w:r w:rsidRPr="00E757B9">
        <w:rPr>
          <w:rFonts w:cs="Times New Roman"/>
          <w:i/>
          <w:sz w:val="24"/>
        </w:rPr>
        <w:t>euro</w:t>
      </w:r>
      <w:r w:rsidRPr="00E757B9">
        <w:rPr>
          <w:rFonts w:cs="Times New Roman"/>
          <w:sz w:val="24"/>
        </w:rPr>
        <w:t xml:space="preserve"> apmērā. Turpretī valsts konsolidētajā budžetā bija izveidojies deficīts 31,1 milj. </w:t>
      </w:r>
      <w:r w:rsidRPr="00E757B9">
        <w:rPr>
          <w:rFonts w:cs="Times New Roman"/>
          <w:i/>
          <w:sz w:val="24"/>
        </w:rPr>
        <w:t>euro</w:t>
      </w:r>
      <w:r w:rsidRPr="00E757B9">
        <w:rPr>
          <w:rFonts w:cs="Times New Roman"/>
          <w:sz w:val="24"/>
        </w:rPr>
        <w:t xml:space="preserve"> apmērā, kas salīdzinājumā ar iepriekšējā gada pirmo ceturksni ir samazinājies par 20,2 milj. </w:t>
      </w:r>
      <w:r w:rsidRPr="00E757B9">
        <w:rPr>
          <w:rFonts w:cs="Times New Roman"/>
          <w:i/>
          <w:sz w:val="24"/>
        </w:rPr>
        <w:t>euro,</w:t>
      </w:r>
      <w:r w:rsidRPr="00E757B9">
        <w:rPr>
          <w:sz w:val="24"/>
        </w:rPr>
        <w:t xml:space="preserve"> ko pamatā noteica lielāki ārvalstu finanšu palīdzības ieņēmumi.</w:t>
      </w:r>
      <w:r w:rsidRPr="00E757B9">
        <w:rPr>
          <w:rFonts w:cs="Times New Roman"/>
          <w:sz w:val="24"/>
        </w:rPr>
        <w:t xml:space="preserve"> Ja analizē valsts konsolidētā budžeta izpildi pa apakšlīmeņiem, tad redzams, ka valsts pamatbudžetā pirmajā ceturksnī bija deficīts 16,3 milj. </w:t>
      </w:r>
      <w:r w:rsidRPr="00E757B9">
        <w:rPr>
          <w:rFonts w:cs="Times New Roman"/>
          <w:i/>
          <w:sz w:val="24"/>
        </w:rPr>
        <w:t>euro</w:t>
      </w:r>
      <w:r w:rsidRPr="00E757B9">
        <w:rPr>
          <w:rFonts w:cs="Times New Roman"/>
          <w:sz w:val="24"/>
        </w:rPr>
        <w:t xml:space="preserve"> apmērā, savukārt valsts speciālajā budžetā deficīts bija 9,2 milj. </w:t>
      </w:r>
      <w:r w:rsidRPr="00E757B9">
        <w:rPr>
          <w:rFonts w:cs="Times New Roman"/>
          <w:i/>
          <w:sz w:val="24"/>
        </w:rPr>
        <w:t>euro</w:t>
      </w:r>
      <w:r w:rsidRPr="00E757B9">
        <w:rPr>
          <w:rFonts w:cs="Times New Roman"/>
          <w:sz w:val="24"/>
        </w:rPr>
        <w:t>. Deficīts valsts speciālajā budžetā galvenokārt skaidrojams ar lielākiem budžeta izdevumiem sociāliem pabalstiem.</w:t>
      </w:r>
    </w:p>
    <w:p w14:paraId="2D29D84D" w14:textId="77777777" w:rsidR="006415B1" w:rsidRPr="00062774" w:rsidRDefault="006415B1" w:rsidP="006415B1">
      <w:pPr>
        <w:spacing w:after="0"/>
        <w:ind w:firstLine="720"/>
        <w:rPr>
          <w:rFonts w:cs="Times New Roman"/>
        </w:rPr>
      </w:pPr>
    </w:p>
    <w:p w14:paraId="395BD9F0" w14:textId="77777777" w:rsidR="006415B1" w:rsidRPr="00234FC7" w:rsidRDefault="00E757B9" w:rsidP="00234FC7">
      <w:pPr>
        <w:jc w:val="right"/>
        <w:rPr>
          <w:rFonts w:cs="Times New Roman"/>
          <w:b/>
          <w:sz w:val="20"/>
        </w:rPr>
      </w:pPr>
      <w:r w:rsidRPr="00234FC7">
        <w:rPr>
          <w:rFonts w:cs="Times New Roman"/>
          <w:b/>
          <w:sz w:val="20"/>
        </w:rPr>
        <w:t>2.1</w:t>
      </w:r>
      <w:r w:rsidR="006415B1" w:rsidRPr="00234FC7">
        <w:rPr>
          <w:rFonts w:cs="Times New Roman"/>
          <w:b/>
          <w:sz w:val="20"/>
        </w:rPr>
        <w:t>.tabula. Konsolidētā kopbudžeta ieņēmumi un izdevumi</w:t>
      </w:r>
    </w:p>
    <w:tbl>
      <w:tblPr>
        <w:tblW w:w="8417" w:type="dxa"/>
        <w:jc w:val="center"/>
        <w:tblLook w:val="04A0" w:firstRow="1" w:lastRow="0" w:firstColumn="1" w:lastColumn="0" w:noHBand="0" w:noVBand="1"/>
      </w:tblPr>
      <w:tblGrid>
        <w:gridCol w:w="878"/>
        <w:gridCol w:w="189"/>
        <w:gridCol w:w="425"/>
        <w:gridCol w:w="325"/>
        <w:gridCol w:w="289"/>
        <w:gridCol w:w="695"/>
        <w:gridCol w:w="885"/>
        <w:gridCol w:w="620"/>
        <w:gridCol w:w="618"/>
        <w:gridCol w:w="321"/>
        <w:gridCol w:w="1559"/>
        <w:gridCol w:w="724"/>
        <w:gridCol w:w="889"/>
      </w:tblGrid>
      <w:tr w:rsidR="006415B1" w:rsidRPr="008E3F1A" w14:paraId="4325E8A9" w14:textId="77777777" w:rsidTr="00234FC7">
        <w:trPr>
          <w:trHeight w:val="274"/>
          <w:jc w:val="center"/>
        </w:trPr>
        <w:tc>
          <w:tcPr>
            <w:tcW w:w="1067" w:type="dxa"/>
            <w:gridSpan w:val="2"/>
            <w:shd w:val="clear" w:color="000000" w:fill="FFFFFF"/>
            <w:noWrap/>
            <w:vAlign w:val="bottom"/>
            <w:hideMark/>
          </w:tcPr>
          <w:p w14:paraId="13C4AF78"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750" w:type="dxa"/>
            <w:gridSpan w:val="2"/>
            <w:shd w:val="clear" w:color="000000" w:fill="FFFFFF"/>
            <w:noWrap/>
            <w:vAlign w:val="bottom"/>
            <w:hideMark/>
          </w:tcPr>
          <w:p w14:paraId="7B8C5BEB"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984" w:type="dxa"/>
            <w:gridSpan w:val="2"/>
            <w:shd w:val="clear" w:color="000000" w:fill="FFFFFF"/>
            <w:noWrap/>
            <w:vAlign w:val="bottom"/>
            <w:hideMark/>
          </w:tcPr>
          <w:p w14:paraId="52AF3198"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shd w:val="clear" w:color="000000" w:fill="FFFFFF"/>
            <w:noWrap/>
            <w:vAlign w:val="bottom"/>
            <w:hideMark/>
          </w:tcPr>
          <w:p w14:paraId="260E6B5D"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shd w:val="clear" w:color="000000" w:fill="F2F2F2"/>
            <w:vAlign w:val="center"/>
            <w:hideMark/>
          </w:tcPr>
          <w:p w14:paraId="12398BC8" w14:textId="77777777" w:rsidR="006415B1" w:rsidRPr="008E3F1A" w:rsidRDefault="006415B1" w:rsidP="00881D12">
            <w:pPr>
              <w:spacing w:after="0"/>
              <w:ind w:firstLine="0"/>
              <w:jc w:val="center"/>
              <w:rPr>
                <w:rFonts w:eastAsia="Times New Roman" w:cs="Times New Roman"/>
                <w:b/>
                <w:bCs/>
                <w:color w:val="000000"/>
                <w:sz w:val="16"/>
                <w:szCs w:val="16"/>
                <w:lang w:eastAsia="lv-LV"/>
              </w:rPr>
            </w:pPr>
            <w:r>
              <w:rPr>
                <w:rFonts w:eastAsia="Times New Roman" w:cs="Times New Roman"/>
                <w:b/>
                <w:bCs/>
                <w:color w:val="000000"/>
                <w:sz w:val="16"/>
                <w:szCs w:val="16"/>
                <w:lang w:eastAsia="lv-LV"/>
              </w:rPr>
              <w:t>2014.g. I</w:t>
            </w:r>
            <w:r w:rsidRPr="008E3F1A">
              <w:rPr>
                <w:rFonts w:eastAsia="Times New Roman" w:cs="Times New Roman"/>
                <w:b/>
                <w:bCs/>
                <w:color w:val="000000"/>
                <w:sz w:val="16"/>
                <w:szCs w:val="16"/>
                <w:lang w:eastAsia="lv-LV"/>
              </w:rPr>
              <w:t xml:space="preserve"> </w:t>
            </w:r>
            <w:r>
              <w:rPr>
                <w:rFonts w:eastAsia="Times New Roman" w:cs="Times New Roman"/>
                <w:b/>
                <w:bCs/>
                <w:color w:val="000000"/>
                <w:sz w:val="16"/>
                <w:szCs w:val="16"/>
                <w:lang w:eastAsia="lv-LV"/>
              </w:rPr>
              <w:t>cet.</w:t>
            </w:r>
          </w:p>
        </w:tc>
        <w:tc>
          <w:tcPr>
            <w:tcW w:w="1559" w:type="dxa"/>
            <w:shd w:val="clear" w:color="000000" w:fill="FFFFFF"/>
            <w:vAlign w:val="center"/>
            <w:hideMark/>
          </w:tcPr>
          <w:p w14:paraId="44B42596" w14:textId="77777777" w:rsidR="006415B1" w:rsidRPr="008E3F1A" w:rsidRDefault="006415B1" w:rsidP="00881D12">
            <w:pPr>
              <w:spacing w:after="0"/>
              <w:ind w:firstLine="0"/>
              <w:jc w:val="center"/>
              <w:rPr>
                <w:rFonts w:eastAsia="Times New Roman" w:cs="Times New Roman"/>
                <w:b/>
                <w:bCs/>
                <w:color w:val="000000"/>
                <w:sz w:val="16"/>
                <w:szCs w:val="16"/>
                <w:lang w:eastAsia="lv-LV"/>
              </w:rPr>
            </w:pPr>
            <w:r>
              <w:rPr>
                <w:rFonts w:eastAsia="Times New Roman" w:cs="Times New Roman"/>
                <w:b/>
                <w:bCs/>
                <w:color w:val="000000"/>
                <w:sz w:val="16"/>
                <w:szCs w:val="16"/>
                <w:lang w:eastAsia="lv-LV"/>
              </w:rPr>
              <w:t>2015.g. I cet.</w:t>
            </w:r>
          </w:p>
        </w:tc>
        <w:tc>
          <w:tcPr>
            <w:tcW w:w="1613" w:type="dxa"/>
            <w:gridSpan w:val="2"/>
            <w:shd w:val="clear" w:color="000000" w:fill="F2F2F2"/>
            <w:vAlign w:val="center"/>
            <w:hideMark/>
          </w:tcPr>
          <w:p w14:paraId="4E12D298" w14:textId="77777777" w:rsidR="006415B1" w:rsidRPr="008E3F1A" w:rsidRDefault="006415B1" w:rsidP="00881D12">
            <w:pPr>
              <w:spacing w:after="0"/>
              <w:ind w:firstLine="0"/>
              <w:rPr>
                <w:rFonts w:eastAsia="Times New Roman" w:cs="Times New Roman"/>
                <w:b/>
                <w:bCs/>
                <w:sz w:val="16"/>
                <w:szCs w:val="16"/>
                <w:lang w:eastAsia="lv-LV"/>
              </w:rPr>
            </w:pPr>
            <w:r w:rsidRPr="008E3F1A">
              <w:rPr>
                <w:rFonts w:eastAsia="Times New Roman" w:cs="Times New Roman"/>
                <w:b/>
                <w:bCs/>
                <w:sz w:val="16"/>
                <w:szCs w:val="16"/>
                <w:lang w:eastAsia="lv-LV"/>
              </w:rPr>
              <w:t>2015.g./2014.g. I</w:t>
            </w:r>
            <w:r>
              <w:rPr>
                <w:rFonts w:eastAsia="Times New Roman" w:cs="Times New Roman"/>
                <w:b/>
                <w:bCs/>
                <w:sz w:val="16"/>
                <w:szCs w:val="16"/>
                <w:lang w:eastAsia="lv-LV"/>
              </w:rPr>
              <w:t xml:space="preserve"> cet.</w:t>
            </w:r>
            <w:r w:rsidRPr="008E3F1A">
              <w:rPr>
                <w:rFonts w:eastAsia="Times New Roman" w:cs="Times New Roman"/>
                <w:b/>
                <w:bCs/>
                <w:sz w:val="16"/>
                <w:szCs w:val="16"/>
                <w:lang w:eastAsia="lv-LV"/>
              </w:rPr>
              <w:t xml:space="preserve"> </w:t>
            </w:r>
          </w:p>
        </w:tc>
      </w:tr>
      <w:tr w:rsidR="006415B1" w:rsidRPr="008E3F1A" w14:paraId="24D28754" w14:textId="77777777" w:rsidTr="00234FC7">
        <w:trPr>
          <w:trHeight w:val="274"/>
          <w:jc w:val="center"/>
        </w:trPr>
        <w:tc>
          <w:tcPr>
            <w:tcW w:w="1067" w:type="dxa"/>
            <w:gridSpan w:val="2"/>
            <w:tcBorders>
              <w:bottom w:val="single" w:sz="4" w:space="0" w:color="auto"/>
            </w:tcBorders>
            <w:shd w:val="clear" w:color="000000" w:fill="FFFFFF"/>
            <w:noWrap/>
            <w:vAlign w:val="bottom"/>
            <w:hideMark/>
          </w:tcPr>
          <w:p w14:paraId="205B7443"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750" w:type="dxa"/>
            <w:gridSpan w:val="2"/>
            <w:tcBorders>
              <w:bottom w:val="single" w:sz="4" w:space="0" w:color="auto"/>
            </w:tcBorders>
            <w:shd w:val="clear" w:color="000000" w:fill="FFFFFF"/>
            <w:noWrap/>
            <w:vAlign w:val="bottom"/>
            <w:hideMark/>
          </w:tcPr>
          <w:p w14:paraId="6F87F226"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984" w:type="dxa"/>
            <w:gridSpan w:val="2"/>
            <w:tcBorders>
              <w:bottom w:val="single" w:sz="4" w:space="0" w:color="auto"/>
            </w:tcBorders>
            <w:shd w:val="clear" w:color="000000" w:fill="FFFFFF"/>
            <w:noWrap/>
            <w:vAlign w:val="bottom"/>
            <w:hideMark/>
          </w:tcPr>
          <w:p w14:paraId="4D618467"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tcBorders>
              <w:bottom w:val="single" w:sz="4" w:space="0" w:color="auto"/>
            </w:tcBorders>
            <w:shd w:val="clear" w:color="000000" w:fill="FFFFFF"/>
            <w:noWrap/>
            <w:vAlign w:val="bottom"/>
            <w:hideMark/>
          </w:tcPr>
          <w:p w14:paraId="31215323"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tcBorders>
              <w:bottom w:val="single" w:sz="4" w:space="0" w:color="auto"/>
            </w:tcBorders>
            <w:shd w:val="clear" w:color="000000" w:fill="F2F2F2"/>
            <w:vAlign w:val="center"/>
            <w:hideMark/>
          </w:tcPr>
          <w:p w14:paraId="667F38E2" w14:textId="77777777" w:rsidR="006415B1" w:rsidRPr="008E3F1A" w:rsidRDefault="006415B1" w:rsidP="00881D12">
            <w:pPr>
              <w:spacing w:after="0"/>
              <w:ind w:firstLine="0"/>
              <w:jc w:val="center"/>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xml:space="preserve"> milj. </w:t>
            </w:r>
            <w:r w:rsidRPr="001B4860">
              <w:rPr>
                <w:rFonts w:eastAsia="Times New Roman" w:cs="Times New Roman"/>
                <w:b/>
                <w:bCs/>
                <w:i/>
                <w:color w:val="000000"/>
                <w:sz w:val="16"/>
                <w:szCs w:val="16"/>
                <w:lang w:eastAsia="lv-LV"/>
              </w:rPr>
              <w:t>euro</w:t>
            </w:r>
          </w:p>
        </w:tc>
        <w:tc>
          <w:tcPr>
            <w:tcW w:w="1559" w:type="dxa"/>
            <w:tcBorders>
              <w:bottom w:val="single" w:sz="4" w:space="0" w:color="auto"/>
            </w:tcBorders>
            <w:shd w:val="clear" w:color="000000" w:fill="FFFFFF"/>
            <w:vAlign w:val="center"/>
            <w:hideMark/>
          </w:tcPr>
          <w:p w14:paraId="39B627C5" w14:textId="77777777" w:rsidR="006415B1" w:rsidRPr="008E3F1A" w:rsidRDefault="006415B1" w:rsidP="00881D12">
            <w:pPr>
              <w:spacing w:after="0"/>
              <w:ind w:firstLine="0"/>
              <w:jc w:val="center"/>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xml:space="preserve"> milj. e</w:t>
            </w:r>
            <w:r>
              <w:rPr>
                <w:rFonts w:eastAsia="Times New Roman" w:cs="Times New Roman"/>
                <w:b/>
                <w:bCs/>
                <w:color w:val="000000"/>
                <w:sz w:val="16"/>
                <w:szCs w:val="16"/>
                <w:lang w:eastAsia="lv-LV"/>
              </w:rPr>
              <w:t>u</w:t>
            </w:r>
            <w:r w:rsidRPr="008E3F1A">
              <w:rPr>
                <w:rFonts w:eastAsia="Times New Roman" w:cs="Times New Roman"/>
                <w:b/>
                <w:bCs/>
                <w:color w:val="000000"/>
                <w:sz w:val="16"/>
                <w:szCs w:val="16"/>
                <w:lang w:eastAsia="lv-LV"/>
              </w:rPr>
              <w:t>ro</w:t>
            </w:r>
          </w:p>
        </w:tc>
        <w:tc>
          <w:tcPr>
            <w:tcW w:w="1613" w:type="dxa"/>
            <w:gridSpan w:val="2"/>
            <w:tcBorders>
              <w:bottom w:val="single" w:sz="4" w:space="0" w:color="auto"/>
            </w:tcBorders>
            <w:shd w:val="clear" w:color="000000" w:fill="F2F2F2"/>
            <w:vAlign w:val="center"/>
            <w:hideMark/>
          </w:tcPr>
          <w:p w14:paraId="1C207919" w14:textId="77777777" w:rsidR="006415B1" w:rsidRPr="008E3F1A" w:rsidRDefault="006415B1" w:rsidP="00881D12">
            <w:pPr>
              <w:spacing w:after="0"/>
              <w:ind w:firstLine="0"/>
              <w:jc w:val="center"/>
              <w:rPr>
                <w:rFonts w:eastAsia="Times New Roman" w:cs="Times New Roman"/>
                <w:b/>
                <w:bCs/>
                <w:sz w:val="16"/>
                <w:szCs w:val="16"/>
                <w:lang w:eastAsia="lv-LV"/>
              </w:rPr>
            </w:pPr>
            <w:r w:rsidRPr="008E3F1A">
              <w:rPr>
                <w:rFonts w:eastAsia="Times New Roman" w:cs="Times New Roman"/>
                <w:b/>
                <w:bCs/>
                <w:sz w:val="16"/>
                <w:szCs w:val="16"/>
                <w:lang w:eastAsia="lv-LV"/>
              </w:rPr>
              <w:t>izpildes izmaiņas</w:t>
            </w:r>
          </w:p>
        </w:tc>
      </w:tr>
      <w:tr w:rsidR="006415B1" w:rsidRPr="008E3F1A" w14:paraId="3AE4E1BB" w14:textId="77777777" w:rsidTr="00234FC7">
        <w:trPr>
          <w:trHeight w:val="259"/>
          <w:jc w:val="center"/>
        </w:trPr>
        <w:tc>
          <w:tcPr>
            <w:tcW w:w="3686" w:type="dxa"/>
            <w:gridSpan w:val="7"/>
            <w:tcBorders>
              <w:top w:val="single" w:sz="4" w:space="0" w:color="auto"/>
            </w:tcBorders>
            <w:shd w:val="clear" w:color="000000" w:fill="FFFFFF"/>
            <w:noWrap/>
            <w:vAlign w:val="bottom"/>
            <w:hideMark/>
          </w:tcPr>
          <w:p w14:paraId="3B9E73CA"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xml:space="preserve">VALSTS KONSOLIDĒTAIS </w:t>
            </w:r>
            <w:r>
              <w:rPr>
                <w:rFonts w:eastAsia="Times New Roman" w:cs="Times New Roman"/>
                <w:b/>
                <w:bCs/>
                <w:color w:val="000000"/>
                <w:sz w:val="16"/>
                <w:szCs w:val="16"/>
                <w:lang w:eastAsia="lv-LV"/>
              </w:rPr>
              <w:t>K</w:t>
            </w:r>
            <w:r w:rsidRPr="008E3F1A">
              <w:rPr>
                <w:rFonts w:eastAsia="Times New Roman" w:cs="Times New Roman"/>
                <w:b/>
                <w:bCs/>
                <w:color w:val="000000"/>
                <w:sz w:val="16"/>
                <w:szCs w:val="16"/>
                <w:lang w:eastAsia="lv-LV"/>
              </w:rPr>
              <w:t>OPBUDŽETS</w:t>
            </w:r>
          </w:p>
        </w:tc>
        <w:tc>
          <w:tcPr>
            <w:tcW w:w="620" w:type="dxa"/>
            <w:tcBorders>
              <w:top w:val="single" w:sz="4" w:space="0" w:color="auto"/>
            </w:tcBorders>
            <w:shd w:val="clear" w:color="000000" w:fill="F2F2F2"/>
            <w:noWrap/>
            <w:vAlign w:val="bottom"/>
            <w:hideMark/>
          </w:tcPr>
          <w:p w14:paraId="48CCD0CB"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18" w:type="dxa"/>
            <w:tcBorders>
              <w:top w:val="single" w:sz="4" w:space="0" w:color="auto"/>
            </w:tcBorders>
            <w:shd w:val="clear" w:color="000000" w:fill="F2F2F2"/>
            <w:noWrap/>
            <w:vAlign w:val="bottom"/>
            <w:hideMark/>
          </w:tcPr>
          <w:p w14:paraId="7472CF5D"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321" w:type="dxa"/>
            <w:tcBorders>
              <w:top w:val="single" w:sz="4" w:space="0" w:color="auto"/>
            </w:tcBorders>
            <w:shd w:val="clear" w:color="000000" w:fill="F2F2F2"/>
            <w:noWrap/>
            <w:vAlign w:val="bottom"/>
            <w:hideMark/>
          </w:tcPr>
          <w:p w14:paraId="738A17E5"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tcBorders>
              <w:top w:val="single" w:sz="4" w:space="0" w:color="auto"/>
            </w:tcBorders>
            <w:shd w:val="clear" w:color="000000" w:fill="FFFFFF"/>
            <w:noWrap/>
            <w:vAlign w:val="bottom"/>
            <w:hideMark/>
          </w:tcPr>
          <w:p w14:paraId="13C3A8CD"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724" w:type="dxa"/>
            <w:tcBorders>
              <w:top w:val="single" w:sz="4" w:space="0" w:color="auto"/>
            </w:tcBorders>
            <w:shd w:val="clear" w:color="000000" w:fill="F2F2F2"/>
            <w:noWrap/>
            <w:vAlign w:val="bottom"/>
            <w:hideMark/>
          </w:tcPr>
          <w:p w14:paraId="542F76A5"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c>
          <w:tcPr>
            <w:tcW w:w="889" w:type="dxa"/>
            <w:tcBorders>
              <w:top w:val="single" w:sz="4" w:space="0" w:color="auto"/>
            </w:tcBorders>
            <w:shd w:val="clear" w:color="000000" w:fill="F2F2F2"/>
            <w:noWrap/>
            <w:vAlign w:val="bottom"/>
            <w:hideMark/>
          </w:tcPr>
          <w:p w14:paraId="3BE77E4B"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r>
      <w:tr w:rsidR="006415B1" w:rsidRPr="008E3F1A" w14:paraId="481049A2" w14:textId="77777777" w:rsidTr="00234FC7">
        <w:trPr>
          <w:trHeight w:val="259"/>
          <w:jc w:val="center"/>
        </w:trPr>
        <w:tc>
          <w:tcPr>
            <w:tcW w:w="1492" w:type="dxa"/>
            <w:gridSpan w:val="3"/>
            <w:shd w:val="clear" w:color="000000" w:fill="FFFFFF"/>
            <w:noWrap/>
            <w:vAlign w:val="bottom"/>
            <w:hideMark/>
          </w:tcPr>
          <w:p w14:paraId="79B49EA5"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Ieņēmumi</w:t>
            </w:r>
          </w:p>
        </w:tc>
        <w:tc>
          <w:tcPr>
            <w:tcW w:w="614" w:type="dxa"/>
            <w:gridSpan w:val="2"/>
            <w:shd w:val="clear" w:color="000000" w:fill="FFFFFF"/>
            <w:noWrap/>
            <w:vAlign w:val="bottom"/>
            <w:hideMark/>
          </w:tcPr>
          <w:p w14:paraId="2137065F"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95" w:type="dxa"/>
            <w:shd w:val="clear" w:color="000000" w:fill="FFFFFF"/>
            <w:noWrap/>
            <w:vAlign w:val="bottom"/>
            <w:hideMark/>
          </w:tcPr>
          <w:p w14:paraId="56FC29AD"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shd w:val="clear" w:color="000000" w:fill="FFFFFF"/>
            <w:noWrap/>
            <w:vAlign w:val="bottom"/>
            <w:hideMark/>
          </w:tcPr>
          <w:p w14:paraId="22D7B069"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shd w:val="clear" w:color="000000" w:fill="F2F2F2"/>
            <w:noWrap/>
            <w:vAlign w:val="bottom"/>
            <w:hideMark/>
          </w:tcPr>
          <w:p w14:paraId="47976876"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2.006,0</w:t>
            </w:r>
          </w:p>
        </w:tc>
        <w:tc>
          <w:tcPr>
            <w:tcW w:w="1559" w:type="dxa"/>
            <w:shd w:val="clear" w:color="000000" w:fill="FFFFFF"/>
            <w:noWrap/>
            <w:vAlign w:val="bottom"/>
            <w:hideMark/>
          </w:tcPr>
          <w:p w14:paraId="168F592D"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2.197,0</w:t>
            </w:r>
          </w:p>
        </w:tc>
        <w:tc>
          <w:tcPr>
            <w:tcW w:w="1613" w:type="dxa"/>
            <w:gridSpan w:val="2"/>
            <w:shd w:val="clear" w:color="000000" w:fill="F2F2F2"/>
            <w:noWrap/>
            <w:vAlign w:val="bottom"/>
            <w:hideMark/>
          </w:tcPr>
          <w:p w14:paraId="145CD2D1" w14:textId="77777777" w:rsidR="006415B1" w:rsidRPr="008E3F1A" w:rsidRDefault="006415B1" w:rsidP="00881D12">
            <w:pPr>
              <w:spacing w:after="0"/>
              <w:ind w:firstLine="0"/>
              <w:jc w:val="center"/>
              <w:rPr>
                <w:rFonts w:eastAsia="Times New Roman" w:cs="Times New Roman"/>
                <w:sz w:val="16"/>
                <w:szCs w:val="16"/>
                <w:lang w:eastAsia="lv-LV"/>
              </w:rPr>
            </w:pPr>
            <w:r w:rsidRPr="008E3F1A">
              <w:rPr>
                <w:rFonts w:eastAsia="Times New Roman" w:cs="Times New Roman"/>
                <w:sz w:val="16"/>
                <w:szCs w:val="16"/>
                <w:lang w:eastAsia="lv-LV"/>
              </w:rPr>
              <w:t>9,5%</w:t>
            </w:r>
          </w:p>
        </w:tc>
      </w:tr>
      <w:tr w:rsidR="006415B1" w:rsidRPr="008E3F1A" w14:paraId="29CAC15D" w14:textId="77777777" w:rsidTr="00234FC7">
        <w:trPr>
          <w:trHeight w:val="259"/>
          <w:jc w:val="center"/>
        </w:trPr>
        <w:tc>
          <w:tcPr>
            <w:tcW w:w="878" w:type="dxa"/>
            <w:shd w:val="clear" w:color="000000" w:fill="FFFFFF"/>
            <w:noWrap/>
            <w:vAlign w:val="bottom"/>
            <w:hideMark/>
          </w:tcPr>
          <w:p w14:paraId="33E59E0D"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Izdevumi</w:t>
            </w:r>
          </w:p>
        </w:tc>
        <w:tc>
          <w:tcPr>
            <w:tcW w:w="614" w:type="dxa"/>
            <w:gridSpan w:val="2"/>
            <w:shd w:val="clear" w:color="000000" w:fill="FFFFFF"/>
            <w:noWrap/>
            <w:vAlign w:val="bottom"/>
            <w:hideMark/>
          </w:tcPr>
          <w:p w14:paraId="0AED162B"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614" w:type="dxa"/>
            <w:gridSpan w:val="2"/>
            <w:shd w:val="clear" w:color="000000" w:fill="FFFFFF"/>
            <w:noWrap/>
            <w:vAlign w:val="bottom"/>
            <w:hideMark/>
          </w:tcPr>
          <w:p w14:paraId="44782100"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695" w:type="dxa"/>
            <w:shd w:val="clear" w:color="000000" w:fill="FFFFFF"/>
            <w:noWrap/>
            <w:vAlign w:val="bottom"/>
            <w:hideMark/>
          </w:tcPr>
          <w:p w14:paraId="4F96CB60"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885" w:type="dxa"/>
            <w:shd w:val="clear" w:color="000000" w:fill="FFFFFF"/>
            <w:noWrap/>
            <w:vAlign w:val="bottom"/>
            <w:hideMark/>
          </w:tcPr>
          <w:p w14:paraId="6704FB90"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1559" w:type="dxa"/>
            <w:gridSpan w:val="3"/>
            <w:shd w:val="clear" w:color="000000" w:fill="F2F2F2"/>
            <w:noWrap/>
            <w:vAlign w:val="bottom"/>
            <w:hideMark/>
          </w:tcPr>
          <w:p w14:paraId="4533AD69"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1.979,0</w:t>
            </w:r>
          </w:p>
        </w:tc>
        <w:tc>
          <w:tcPr>
            <w:tcW w:w="1559" w:type="dxa"/>
            <w:shd w:val="clear" w:color="000000" w:fill="FFFFFF"/>
            <w:noWrap/>
            <w:vAlign w:val="bottom"/>
            <w:hideMark/>
          </w:tcPr>
          <w:p w14:paraId="6A9076C6"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2.162,5</w:t>
            </w:r>
          </w:p>
        </w:tc>
        <w:tc>
          <w:tcPr>
            <w:tcW w:w="1613" w:type="dxa"/>
            <w:gridSpan w:val="2"/>
            <w:shd w:val="clear" w:color="000000" w:fill="F2F2F2"/>
            <w:noWrap/>
            <w:vAlign w:val="bottom"/>
            <w:hideMark/>
          </w:tcPr>
          <w:p w14:paraId="43297DC5" w14:textId="77777777" w:rsidR="006415B1" w:rsidRPr="008E3F1A" w:rsidRDefault="006415B1" w:rsidP="00881D12">
            <w:pPr>
              <w:spacing w:after="0"/>
              <w:ind w:firstLine="0"/>
              <w:jc w:val="center"/>
              <w:rPr>
                <w:rFonts w:eastAsia="Times New Roman" w:cs="Times New Roman"/>
                <w:sz w:val="16"/>
                <w:szCs w:val="16"/>
                <w:lang w:eastAsia="lv-LV"/>
              </w:rPr>
            </w:pPr>
            <w:r w:rsidRPr="008E3F1A">
              <w:rPr>
                <w:rFonts w:eastAsia="Times New Roman" w:cs="Times New Roman"/>
                <w:sz w:val="16"/>
                <w:szCs w:val="16"/>
                <w:lang w:eastAsia="lv-LV"/>
              </w:rPr>
              <w:t>9,3%</w:t>
            </w:r>
          </w:p>
        </w:tc>
      </w:tr>
      <w:tr w:rsidR="006415B1" w:rsidRPr="008E3F1A" w14:paraId="7FC2B03E" w14:textId="77777777" w:rsidTr="00234FC7">
        <w:trPr>
          <w:trHeight w:val="259"/>
          <w:jc w:val="center"/>
        </w:trPr>
        <w:tc>
          <w:tcPr>
            <w:tcW w:w="1492" w:type="dxa"/>
            <w:gridSpan w:val="3"/>
            <w:shd w:val="clear" w:color="000000" w:fill="FFFFFF"/>
            <w:noWrap/>
            <w:vAlign w:val="bottom"/>
            <w:hideMark/>
          </w:tcPr>
          <w:p w14:paraId="6268DB9C" w14:textId="77777777" w:rsidR="006415B1" w:rsidRPr="008E3F1A" w:rsidRDefault="006415B1" w:rsidP="00881D12">
            <w:pPr>
              <w:spacing w:after="0"/>
              <w:ind w:firstLine="0"/>
              <w:jc w:val="left"/>
              <w:rPr>
                <w:rFonts w:eastAsia="Times New Roman" w:cs="Times New Roman"/>
                <w:i/>
                <w:iCs/>
                <w:color w:val="000000"/>
                <w:sz w:val="16"/>
                <w:szCs w:val="16"/>
                <w:lang w:eastAsia="lv-LV"/>
              </w:rPr>
            </w:pPr>
            <w:r w:rsidRPr="008E3F1A">
              <w:rPr>
                <w:rFonts w:eastAsia="Times New Roman" w:cs="Times New Roman"/>
                <w:i/>
                <w:iCs/>
                <w:color w:val="000000"/>
                <w:sz w:val="16"/>
                <w:szCs w:val="16"/>
                <w:lang w:eastAsia="lv-LV"/>
              </w:rPr>
              <w:t>Finansiālā bilance</w:t>
            </w:r>
          </w:p>
        </w:tc>
        <w:tc>
          <w:tcPr>
            <w:tcW w:w="614" w:type="dxa"/>
            <w:gridSpan w:val="2"/>
            <w:shd w:val="clear" w:color="000000" w:fill="FFFFFF"/>
            <w:noWrap/>
            <w:vAlign w:val="bottom"/>
            <w:hideMark/>
          </w:tcPr>
          <w:p w14:paraId="6BBDCCCE"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695" w:type="dxa"/>
            <w:shd w:val="clear" w:color="000000" w:fill="FFFFFF"/>
            <w:noWrap/>
            <w:vAlign w:val="bottom"/>
            <w:hideMark/>
          </w:tcPr>
          <w:p w14:paraId="6B66F292"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885" w:type="dxa"/>
            <w:shd w:val="clear" w:color="000000" w:fill="FFFFFF"/>
            <w:noWrap/>
            <w:vAlign w:val="bottom"/>
            <w:hideMark/>
          </w:tcPr>
          <w:p w14:paraId="6774AF11"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1559" w:type="dxa"/>
            <w:gridSpan w:val="3"/>
            <w:shd w:val="clear" w:color="000000" w:fill="F2F2F2"/>
            <w:noWrap/>
            <w:vAlign w:val="bottom"/>
            <w:hideMark/>
          </w:tcPr>
          <w:p w14:paraId="026D0BE7" w14:textId="77777777" w:rsidR="006415B1" w:rsidRPr="008E3F1A" w:rsidRDefault="006415B1" w:rsidP="00881D12">
            <w:pPr>
              <w:spacing w:after="0"/>
              <w:ind w:firstLine="0"/>
              <w:jc w:val="center"/>
              <w:rPr>
                <w:rFonts w:eastAsia="Times New Roman" w:cs="Times New Roman"/>
                <w:b/>
                <w:bCs/>
                <w:i/>
                <w:iCs/>
                <w:color w:val="000000"/>
                <w:sz w:val="16"/>
                <w:szCs w:val="16"/>
                <w:lang w:eastAsia="lv-LV"/>
              </w:rPr>
            </w:pPr>
            <w:r w:rsidRPr="008E3F1A">
              <w:rPr>
                <w:rFonts w:eastAsia="Times New Roman" w:cs="Times New Roman"/>
                <w:b/>
                <w:bCs/>
                <w:i/>
                <w:iCs/>
                <w:color w:val="000000"/>
                <w:sz w:val="16"/>
                <w:szCs w:val="16"/>
                <w:lang w:eastAsia="lv-LV"/>
              </w:rPr>
              <w:t>27,0</w:t>
            </w:r>
          </w:p>
        </w:tc>
        <w:tc>
          <w:tcPr>
            <w:tcW w:w="1559" w:type="dxa"/>
            <w:shd w:val="clear" w:color="000000" w:fill="FFFFFF"/>
            <w:noWrap/>
            <w:vAlign w:val="bottom"/>
            <w:hideMark/>
          </w:tcPr>
          <w:p w14:paraId="2C6E3F89" w14:textId="77777777" w:rsidR="006415B1" w:rsidRPr="008E3F1A" w:rsidRDefault="006415B1" w:rsidP="00881D12">
            <w:pPr>
              <w:spacing w:after="0"/>
              <w:ind w:firstLine="0"/>
              <w:jc w:val="center"/>
              <w:rPr>
                <w:rFonts w:eastAsia="Times New Roman" w:cs="Times New Roman"/>
                <w:b/>
                <w:bCs/>
                <w:i/>
                <w:iCs/>
                <w:color w:val="000000"/>
                <w:sz w:val="16"/>
                <w:szCs w:val="16"/>
                <w:lang w:eastAsia="lv-LV"/>
              </w:rPr>
            </w:pPr>
            <w:r w:rsidRPr="008E3F1A">
              <w:rPr>
                <w:rFonts w:eastAsia="Times New Roman" w:cs="Times New Roman"/>
                <w:b/>
                <w:bCs/>
                <w:i/>
                <w:iCs/>
                <w:color w:val="000000"/>
                <w:sz w:val="16"/>
                <w:szCs w:val="16"/>
                <w:lang w:eastAsia="lv-LV"/>
              </w:rPr>
              <w:t>34,5</w:t>
            </w:r>
          </w:p>
        </w:tc>
        <w:tc>
          <w:tcPr>
            <w:tcW w:w="724" w:type="dxa"/>
            <w:shd w:val="clear" w:color="000000" w:fill="F2F2F2"/>
            <w:noWrap/>
            <w:vAlign w:val="bottom"/>
            <w:hideMark/>
          </w:tcPr>
          <w:p w14:paraId="1C884177"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c>
          <w:tcPr>
            <w:tcW w:w="889" w:type="dxa"/>
            <w:shd w:val="clear" w:color="000000" w:fill="F2F2F2"/>
            <w:noWrap/>
            <w:vAlign w:val="bottom"/>
            <w:hideMark/>
          </w:tcPr>
          <w:p w14:paraId="324442C8"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r>
      <w:tr w:rsidR="006415B1" w:rsidRPr="008E3F1A" w14:paraId="7FEC2192" w14:textId="77777777" w:rsidTr="00234FC7">
        <w:trPr>
          <w:trHeight w:val="259"/>
          <w:jc w:val="center"/>
        </w:trPr>
        <w:tc>
          <w:tcPr>
            <w:tcW w:w="3686" w:type="dxa"/>
            <w:gridSpan w:val="7"/>
            <w:shd w:val="clear" w:color="000000" w:fill="FFFFFF"/>
            <w:noWrap/>
            <w:vAlign w:val="bottom"/>
            <w:hideMark/>
          </w:tcPr>
          <w:p w14:paraId="6AF04690"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VALSTS KONSOLIDĒTAIS BUDŽETS*</w:t>
            </w:r>
          </w:p>
        </w:tc>
        <w:tc>
          <w:tcPr>
            <w:tcW w:w="620" w:type="dxa"/>
            <w:shd w:val="clear" w:color="000000" w:fill="F2F2F2"/>
            <w:noWrap/>
            <w:vAlign w:val="bottom"/>
            <w:hideMark/>
          </w:tcPr>
          <w:p w14:paraId="1ECFEEE3"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18" w:type="dxa"/>
            <w:shd w:val="clear" w:color="000000" w:fill="F2F2F2"/>
            <w:noWrap/>
            <w:vAlign w:val="bottom"/>
            <w:hideMark/>
          </w:tcPr>
          <w:p w14:paraId="2A0C3596"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321" w:type="dxa"/>
            <w:shd w:val="clear" w:color="000000" w:fill="F2F2F2"/>
            <w:noWrap/>
            <w:vAlign w:val="bottom"/>
            <w:hideMark/>
          </w:tcPr>
          <w:p w14:paraId="31707B08"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shd w:val="clear" w:color="000000" w:fill="FFFFFF"/>
            <w:noWrap/>
            <w:vAlign w:val="bottom"/>
            <w:hideMark/>
          </w:tcPr>
          <w:p w14:paraId="432CBCF2"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724" w:type="dxa"/>
            <w:shd w:val="clear" w:color="000000" w:fill="F2F2F2"/>
            <w:noWrap/>
            <w:vAlign w:val="bottom"/>
            <w:hideMark/>
          </w:tcPr>
          <w:p w14:paraId="26595DFE"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c>
          <w:tcPr>
            <w:tcW w:w="889" w:type="dxa"/>
            <w:shd w:val="clear" w:color="000000" w:fill="F2F2F2"/>
            <w:noWrap/>
            <w:vAlign w:val="bottom"/>
            <w:hideMark/>
          </w:tcPr>
          <w:p w14:paraId="4D779717"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r>
      <w:tr w:rsidR="006415B1" w:rsidRPr="008E3F1A" w14:paraId="6752049E" w14:textId="77777777" w:rsidTr="00234FC7">
        <w:trPr>
          <w:trHeight w:val="259"/>
          <w:jc w:val="center"/>
        </w:trPr>
        <w:tc>
          <w:tcPr>
            <w:tcW w:w="1492" w:type="dxa"/>
            <w:gridSpan w:val="3"/>
            <w:shd w:val="clear" w:color="000000" w:fill="FFFFFF"/>
            <w:noWrap/>
            <w:vAlign w:val="bottom"/>
            <w:hideMark/>
          </w:tcPr>
          <w:p w14:paraId="20D0E48A"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Ieņēmumi</w:t>
            </w:r>
          </w:p>
        </w:tc>
        <w:tc>
          <w:tcPr>
            <w:tcW w:w="614" w:type="dxa"/>
            <w:gridSpan w:val="2"/>
            <w:shd w:val="clear" w:color="000000" w:fill="FFFFFF"/>
            <w:noWrap/>
            <w:vAlign w:val="bottom"/>
            <w:hideMark/>
          </w:tcPr>
          <w:p w14:paraId="08DC3769"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695" w:type="dxa"/>
            <w:shd w:val="clear" w:color="000000" w:fill="FFFFFF"/>
            <w:noWrap/>
            <w:vAlign w:val="bottom"/>
            <w:hideMark/>
          </w:tcPr>
          <w:p w14:paraId="0346703E"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885" w:type="dxa"/>
            <w:shd w:val="clear" w:color="000000" w:fill="FFFFFF"/>
            <w:noWrap/>
            <w:vAlign w:val="bottom"/>
            <w:hideMark/>
          </w:tcPr>
          <w:p w14:paraId="404CBDBC"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1559" w:type="dxa"/>
            <w:gridSpan w:val="3"/>
            <w:shd w:val="clear" w:color="000000" w:fill="F2F2F2"/>
            <w:noWrap/>
            <w:vAlign w:val="bottom"/>
            <w:hideMark/>
          </w:tcPr>
          <w:p w14:paraId="5B17AC84"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1.641,7</w:t>
            </w:r>
          </w:p>
        </w:tc>
        <w:tc>
          <w:tcPr>
            <w:tcW w:w="1559" w:type="dxa"/>
            <w:shd w:val="clear" w:color="000000" w:fill="FFFFFF"/>
            <w:noWrap/>
            <w:vAlign w:val="bottom"/>
            <w:hideMark/>
          </w:tcPr>
          <w:p w14:paraId="36421EEB"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1.811,1</w:t>
            </w:r>
          </w:p>
        </w:tc>
        <w:tc>
          <w:tcPr>
            <w:tcW w:w="1613" w:type="dxa"/>
            <w:gridSpan w:val="2"/>
            <w:shd w:val="clear" w:color="000000" w:fill="F2F2F2"/>
            <w:noWrap/>
            <w:vAlign w:val="bottom"/>
            <w:hideMark/>
          </w:tcPr>
          <w:p w14:paraId="21A8E47B" w14:textId="77777777" w:rsidR="006415B1" w:rsidRPr="008E3F1A" w:rsidRDefault="006415B1" w:rsidP="00881D12">
            <w:pPr>
              <w:spacing w:after="0"/>
              <w:ind w:firstLine="0"/>
              <w:jc w:val="center"/>
              <w:rPr>
                <w:rFonts w:eastAsia="Times New Roman" w:cs="Times New Roman"/>
                <w:sz w:val="16"/>
                <w:szCs w:val="16"/>
                <w:lang w:eastAsia="lv-LV"/>
              </w:rPr>
            </w:pPr>
            <w:r w:rsidRPr="008E3F1A">
              <w:rPr>
                <w:rFonts w:eastAsia="Times New Roman" w:cs="Times New Roman"/>
                <w:sz w:val="16"/>
                <w:szCs w:val="16"/>
                <w:lang w:eastAsia="lv-LV"/>
              </w:rPr>
              <w:t>10,3%</w:t>
            </w:r>
          </w:p>
        </w:tc>
      </w:tr>
      <w:tr w:rsidR="006415B1" w:rsidRPr="008E3F1A" w14:paraId="2AF67EC0" w14:textId="77777777" w:rsidTr="00234FC7">
        <w:trPr>
          <w:trHeight w:val="259"/>
          <w:jc w:val="center"/>
        </w:trPr>
        <w:tc>
          <w:tcPr>
            <w:tcW w:w="878" w:type="dxa"/>
            <w:shd w:val="clear" w:color="000000" w:fill="FFFFFF"/>
            <w:noWrap/>
            <w:vAlign w:val="bottom"/>
            <w:hideMark/>
          </w:tcPr>
          <w:p w14:paraId="50881B9B"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Izdevumi</w:t>
            </w:r>
          </w:p>
        </w:tc>
        <w:tc>
          <w:tcPr>
            <w:tcW w:w="614" w:type="dxa"/>
            <w:gridSpan w:val="2"/>
            <w:shd w:val="clear" w:color="000000" w:fill="FFFFFF"/>
            <w:noWrap/>
            <w:vAlign w:val="bottom"/>
            <w:hideMark/>
          </w:tcPr>
          <w:p w14:paraId="1097ECF7"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614" w:type="dxa"/>
            <w:gridSpan w:val="2"/>
            <w:shd w:val="clear" w:color="000000" w:fill="FFFFFF"/>
            <w:noWrap/>
            <w:vAlign w:val="bottom"/>
            <w:hideMark/>
          </w:tcPr>
          <w:p w14:paraId="2F6A8989"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695" w:type="dxa"/>
            <w:shd w:val="clear" w:color="000000" w:fill="FFFFFF"/>
            <w:noWrap/>
            <w:vAlign w:val="bottom"/>
            <w:hideMark/>
          </w:tcPr>
          <w:p w14:paraId="252B2363"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885" w:type="dxa"/>
            <w:shd w:val="clear" w:color="000000" w:fill="FFFFFF"/>
            <w:noWrap/>
            <w:vAlign w:val="bottom"/>
            <w:hideMark/>
          </w:tcPr>
          <w:p w14:paraId="02F965E9"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1559" w:type="dxa"/>
            <w:gridSpan w:val="3"/>
            <w:shd w:val="clear" w:color="000000" w:fill="F2F2F2"/>
            <w:noWrap/>
            <w:vAlign w:val="bottom"/>
            <w:hideMark/>
          </w:tcPr>
          <w:p w14:paraId="34C74010"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1.692,9</w:t>
            </w:r>
          </w:p>
        </w:tc>
        <w:tc>
          <w:tcPr>
            <w:tcW w:w="1559" w:type="dxa"/>
            <w:shd w:val="clear" w:color="000000" w:fill="FFFFFF"/>
            <w:noWrap/>
            <w:vAlign w:val="bottom"/>
            <w:hideMark/>
          </w:tcPr>
          <w:p w14:paraId="5AF163EE"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1.842,2</w:t>
            </w:r>
          </w:p>
        </w:tc>
        <w:tc>
          <w:tcPr>
            <w:tcW w:w="1613" w:type="dxa"/>
            <w:gridSpan w:val="2"/>
            <w:shd w:val="clear" w:color="000000" w:fill="F2F2F2"/>
            <w:noWrap/>
            <w:vAlign w:val="bottom"/>
            <w:hideMark/>
          </w:tcPr>
          <w:p w14:paraId="79938231" w14:textId="77777777" w:rsidR="006415B1" w:rsidRPr="008E3F1A" w:rsidRDefault="006415B1" w:rsidP="00881D12">
            <w:pPr>
              <w:spacing w:after="0"/>
              <w:ind w:firstLine="0"/>
              <w:jc w:val="center"/>
              <w:rPr>
                <w:rFonts w:eastAsia="Times New Roman" w:cs="Times New Roman"/>
                <w:sz w:val="16"/>
                <w:szCs w:val="16"/>
                <w:lang w:eastAsia="lv-LV"/>
              </w:rPr>
            </w:pPr>
            <w:r w:rsidRPr="008E3F1A">
              <w:rPr>
                <w:rFonts w:eastAsia="Times New Roman" w:cs="Times New Roman"/>
                <w:sz w:val="16"/>
                <w:szCs w:val="16"/>
                <w:lang w:eastAsia="lv-LV"/>
              </w:rPr>
              <w:t>8,8%</w:t>
            </w:r>
          </w:p>
        </w:tc>
      </w:tr>
      <w:tr w:rsidR="006415B1" w:rsidRPr="008E3F1A" w14:paraId="4010BC94" w14:textId="77777777" w:rsidTr="00234FC7">
        <w:trPr>
          <w:trHeight w:val="259"/>
          <w:jc w:val="center"/>
        </w:trPr>
        <w:tc>
          <w:tcPr>
            <w:tcW w:w="1492" w:type="dxa"/>
            <w:gridSpan w:val="3"/>
            <w:shd w:val="clear" w:color="000000" w:fill="FFFFFF"/>
            <w:noWrap/>
            <w:vAlign w:val="bottom"/>
            <w:hideMark/>
          </w:tcPr>
          <w:p w14:paraId="4D69436C" w14:textId="77777777" w:rsidR="006415B1" w:rsidRPr="008E3F1A" w:rsidRDefault="006415B1" w:rsidP="00881D12">
            <w:pPr>
              <w:spacing w:after="0"/>
              <w:ind w:firstLine="0"/>
              <w:jc w:val="left"/>
              <w:rPr>
                <w:rFonts w:eastAsia="Times New Roman" w:cs="Times New Roman"/>
                <w:i/>
                <w:iCs/>
                <w:color w:val="000000"/>
                <w:sz w:val="16"/>
                <w:szCs w:val="16"/>
                <w:lang w:eastAsia="lv-LV"/>
              </w:rPr>
            </w:pPr>
            <w:r w:rsidRPr="008E3F1A">
              <w:rPr>
                <w:rFonts w:eastAsia="Times New Roman" w:cs="Times New Roman"/>
                <w:i/>
                <w:iCs/>
                <w:color w:val="000000"/>
                <w:sz w:val="16"/>
                <w:szCs w:val="16"/>
                <w:lang w:eastAsia="lv-LV"/>
              </w:rPr>
              <w:t>Finansiālā bilance</w:t>
            </w:r>
          </w:p>
        </w:tc>
        <w:tc>
          <w:tcPr>
            <w:tcW w:w="614" w:type="dxa"/>
            <w:gridSpan w:val="2"/>
            <w:shd w:val="clear" w:color="000000" w:fill="FFFFFF"/>
            <w:noWrap/>
            <w:vAlign w:val="bottom"/>
            <w:hideMark/>
          </w:tcPr>
          <w:p w14:paraId="5A4C5E80"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695" w:type="dxa"/>
            <w:shd w:val="clear" w:color="000000" w:fill="FFFFFF"/>
            <w:noWrap/>
            <w:vAlign w:val="bottom"/>
            <w:hideMark/>
          </w:tcPr>
          <w:p w14:paraId="3ED22D4A"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885" w:type="dxa"/>
            <w:shd w:val="clear" w:color="000000" w:fill="FFFFFF"/>
            <w:noWrap/>
            <w:vAlign w:val="bottom"/>
            <w:hideMark/>
          </w:tcPr>
          <w:p w14:paraId="20205317"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1559" w:type="dxa"/>
            <w:gridSpan w:val="3"/>
            <w:shd w:val="clear" w:color="000000" w:fill="F2F2F2"/>
            <w:noWrap/>
            <w:vAlign w:val="bottom"/>
            <w:hideMark/>
          </w:tcPr>
          <w:p w14:paraId="13205FB7" w14:textId="77777777" w:rsidR="006415B1" w:rsidRPr="008E3F1A" w:rsidRDefault="006415B1" w:rsidP="00881D12">
            <w:pPr>
              <w:spacing w:after="0"/>
              <w:ind w:firstLine="0"/>
              <w:jc w:val="center"/>
              <w:rPr>
                <w:rFonts w:eastAsia="Times New Roman" w:cs="Times New Roman"/>
                <w:b/>
                <w:bCs/>
                <w:i/>
                <w:iCs/>
                <w:color w:val="000000"/>
                <w:sz w:val="16"/>
                <w:szCs w:val="16"/>
                <w:lang w:eastAsia="lv-LV"/>
              </w:rPr>
            </w:pPr>
            <w:r w:rsidRPr="008E3F1A">
              <w:rPr>
                <w:rFonts w:eastAsia="Times New Roman" w:cs="Times New Roman"/>
                <w:b/>
                <w:bCs/>
                <w:i/>
                <w:iCs/>
                <w:color w:val="000000"/>
                <w:sz w:val="16"/>
                <w:szCs w:val="16"/>
                <w:lang w:eastAsia="lv-LV"/>
              </w:rPr>
              <w:t>-51,3</w:t>
            </w:r>
          </w:p>
        </w:tc>
        <w:tc>
          <w:tcPr>
            <w:tcW w:w="1559" w:type="dxa"/>
            <w:shd w:val="clear" w:color="000000" w:fill="FFFFFF"/>
            <w:noWrap/>
            <w:vAlign w:val="bottom"/>
            <w:hideMark/>
          </w:tcPr>
          <w:p w14:paraId="5C04B876" w14:textId="77777777" w:rsidR="006415B1" w:rsidRPr="008E3F1A" w:rsidRDefault="006415B1" w:rsidP="00881D12">
            <w:pPr>
              <w:spacing w:after="0"/>
              <w:ind w:firstLine="0"/>
              <w:jc w:val="center"/>
              <w:rPr>
                <w:rFonts w:eastAsia="Times New Roman" w:cs="Times New Roman"/>
                <w:b/>
                <w:bCs/>
                <w:i/>
                <w:iCs/>
                <w:color w:val="000000"/>
                <w:sz w:val="16"/>
                <w:szCs w:val="16"/>
                <w:lang w:eastAsia="lv-LV"/>
              </w:rPr>
            </w:pPr>
            <w:r w:rsidRPr="008E3F1A">
              <w:rPr>
                <w:rFonts w:eastAsia="Times New Roman" w:cs="Times New Roman"/>
                <w:b/>
                <w:bCs/>
                <w:i/>
                <w:iCs/>
                <w:color w:val="000000"/>
                <w:sz w:val="16"/>
                <w:szCs w:val="16"/>
                <w:lang w:eastAsia="lv-LV"/>
              </w:rPr>
              <w:t>-31,1</w:t>
            </w:r>
          </w:p>
        </w:tc>
        <w:tc>
          <w:tcPr>
            <w:tcW w:w="724" w:type="dxa"/>
            <w:shd w:val="clear" w:color="000000" w:fill="F2F2F2"/>
            <w:noWrap/>
            <w:vAlign w:val="bottom"/>
            <w:hideMark/>
          </w:tcPr>
          <w:p w14:paraId="3C255D8F"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c>
          <w:tcPr>
            <w:tcW w:w="889" w:type="dxa"/>
            <w:shd w:val="clear" w:color="000000" w:fill="F2F2F2"/>
            <w:noWrap/>
            <w:vAlign w:val="bottom"/>
            <w:hideMark/>
          </w:tcPr>
          <w:p w14:paraId="008316DD"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r>
      <w:tr w:rsidR="006415B1" w:rsidRPr="008E3F1A" w14:paraId="72360172" w14:textId="77777777" w:rsidTr="00234FC7">
        <w:trPr>
          <w:trHeight w:val="259"/>
          <w:jc w:val="center"/>
        </w:trPr>
        <w:tc>
          <w:tcPr>
            <w:tcW w:w="3686" w:type="dxa"/>
            <w:gridSpan w:val="7"/>
            <w:shd w:val="clear" w:color="000000" w:fill="FFFFFF"/>
            <w:noWrap/>
            <w:vAlign w:val="bottom"/>
            <w:hideMark/>
          </w:tcPr>
          <w:p w14:paraId="5D1F5E9E"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Valsts pamatbudžets</w:t>
            </w:r>
          </w:p>
        </w:tc>
        <w:tc>
          <w:tcPr>
            <w:tcW w:w="620" w:type="dxa"/>
            <w:shd w:val="clear" w:color="000000" w:fill="F2F2F2"/>
            <w:noWrap/>
            <w:vAlign w:val="bottom"/>
            <w:hideMark/>
          </w:tcPr>
          <w:p w14:paraId="177DCB70"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18" w:type="dxa"/>
            <w:shd w:val="clear" w:color="000000" w:fill="F2F2F2"/>
            <w:noWrap/>
            <w:vAlign w:val="bottom"/>
            <w:hideMark/>
          </w:tcPr>
          <w:p w14:paraId="4FF23AB7"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321" w:type="dxa"/>
            <w:shd w:val="clear" w:color="000000" w:fill="F2F2F2"/>
            <w:noWrap/>
            <w:vAlign w:val="bottom"/>
            <w:hideMark/>
          </w:tcPr>
          <w:p w14:paraId="1AC34CB5"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shd w:val="clear" w:color="000000" w:fill="FFFFFF"/>
            <w:noWrap/>
            <w:vAlign w:val="bottom"/>
            <w:hideMark/>
          </w:tcPr>
          <w:p w14:paraId="51628781"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724" w:type="dxa"/>
            <w:shd w:val="clear" w:color="000000" w:fill="F2F2F2"/>
            <w:noWrap/>
            <w:vAlign w:val="bottom"/>
            <w:hideMark/>
          </w:tcPr>
          <w:p w14:paraId="4BF55234"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c>
          <w:tcPr>
            <w:tcW w:w="889" w:type="dxa"/>
            <w:shd w:val="clear" w:color="000000" w:fill="F2F2F2"/>
            <w:noWrap/>
            <w:vAlign w:val="bottom"/>
            <w:hideMark/>
          </w:tcPr>
          <w:p w14:paraId="1D5F75C6"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r>
      <w:tr w:rsidR="006415B1" w:rsidRPr="008E3F1A" w14:paraId="468942D4" w14:textId="77777777" w:rsidTr="00234FC7">
        <w:trPr>
          <w:trHeight w:val="259"/>
          <w:jc w:val="center"/>
        </w:trPr>
        <w:tc>
          <w:tcPr>
            <w:tcW w:w="1492" w:type="dxa"/>
            <w:gridSpan w:val="3"/>
            <w:shd w:val="clear" w:color="000000" w:fill="FFFFFF"/>
            <w:noWrap/>
            <w:vAlign w:val="bottom"/>
            <w:hideMark/>
          </w:tcPr>
          <w:p w14:paraId="1CE26E6C"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Ieņēmumi</w:t>
            </w:r>
          </w:p>
        </w:tc>
        <w:tc>
          <w:tcPr>
            <w:tcW w:w="614" w:type="dxa"/>
            <w:gridSpan w:val="2"/>
            <w:shd w:val="clear" w:color="000000" w:fill="FFFFFF"/>
            <w:noWrap/>
            <w:vAlign w:val="bottom"/>
            <w:hideMark/>
          </w:tcPr>
          <w:p w14:paraId="35B2F063"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95" w:type="dxa"/>
            <w:shd w:val="clear" w:color="000000" w:fill="FFFFFF"/>
            <w:noWrap/>
            <w:vAlign w:val="bottom"/>
            <w:hideMark/>
          </w:tcPr>
          <w:p w14:paraId="2CBCE6EC"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shd w:val="clear" w:color="000000" w:fill="FFFFFF"/>
            <w:noWrap/>
            <w:vAlign w:val="bottom"/>
            <w:hideMark/>
          </w:tcPr>
          <w:p w14:paraId="65F3C738"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shd w:val="clear" w:color="000000" w:fill="F2F2F2"/>
            <w:noWrap/>
            <w:vAlign w:val="bottom"/>
            <w:hideMark/>
          </w:tcPr>
          <w:p w14:paraId="542EA73A"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1.152,1</w:t>
            </w:r>
          </w:p>
        </w:tc>
        <w:tc>
          <w:tcPr>
            <w:tcW w:w="1559" w:type="dxa"/>
            <w:shd w:val="clear" w:color="000000" w:fill="FFFFFF"/>
            <w:noWrap/>
            <w:vAlign w:val="bottom"/>
            <w:hideMark/>
          </w:tcPr>
          <w:p w14:paraId="1CD24DE4"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1.289,7</w:t>
            </w:r>
          </w:p>
        </w:tc>
        <w:tc>
          <w:tcPr>
            <w:tcW w:w="1613" w:type="dxa"/>
            <w:gridSpan w:val="2"/>
            <w:shd w:val="clear" w:color="000000" w:fill="F2F2F2"/>
            <w:noWrap/>
            <w:vAlign w:val="bottom"/>
            <w:hideMark/>
          </w:tcPr>
          <w:p w14:paraId="4B02D3EF" w14:textId="77777777" w:rsidR="006415B1" w:rsidRPr="008E3F1A" w:rsidRDefault="006415B1" w:rsidP="00881D12">
            <w:pPr>
              <w:spacing w:after="0"/>
              <w:ind w:firstLine="0"/>
              <w:jc w:val="center"/>
              <w:rPr>
                <w:rFonts w:eastAsia="Times New Roman" w:cs="Times New Roman"/>
                <w:sz w:val="16"/>
                <w:szCs w:val="16"/>
                <w:lang w:eastAsia="lv-LV"/>
              </w:rPr>
            </w:pPr>
            <w:r w:rsidRPr="008E3F1A">
              <w:rPr>
                <w:rFonts w:eastAsia="Times New Roman" w:cs="Times New Roman"/>
                <w:sz w:val="16"/>
                <w:szCs w:val="16"/>
                <w:lang w:eastAsia="lv-LV"/>
              </w:rPr>
              <w:t>11,9%</w:t>
            </w:r>
          </w:p>
        </w:tc>
      </w:tr>
      <w:tr w:rsidR="006415B1" w:rsidRPr="008E3F1A" w14:paraId="0775FE8E" w14:textId="77777777" w:rsidTr="00234FC7">
        <w:trPr>
          <w:trHeight w:val="259"/>
          <w:jc w:val="center"/>
        </w:trPr>
        <w:tc>
          <w:tcPr>
            <w:tcW w:w="878" w:type="dxa"/>
            <w:shd w:val="clear" w:color="000000" w:fill="FFFFFF"/>
            <w:noWrap/>
            <w:vAlign w:val="bottom"/>
            <w:hideMark/>
          </w:tcPr>
          <w:p w14:paraId="1AD5920A"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Izdevumi</w:t>
            </w:r>
          </w:p>
        </w:tc>
        <w:tc>
          <w:tcPr>
            <w:tcW w:w="614" w:type="dxa"/>
            <w:gridSpan w:val="2"/>
            <w:shd w:val="clear" w:color="000000" w:fill="FFFFFF"/>
            <w:noWrap/>
            <w:vAlign w:val="bottom"/>
            <w:hideMark/>
          </w:tcPr>
          <w:p w14:paraId="0E504701"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614" w:type="dxa"/>
            <w:gridSpan w:val="2"/>
            <w:shd w:val="clear" w:color="000000" w:fill="FFFFFF"/>
            <w:noWrap/>
            <w:vAlign w:val="bottom"/>
            <w:hideMark/>
          </w:tcPr>
          <w:p w14:paraId="38C09BC6"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695" w:type="dxa"/>
            <w:shd w:val="clear" w:color="000000" w:fill="FFFFFF"/>
            <w:noWrap/>
            <w:vAlign w:val="bottom"/>
            <w:hideMark/>
          </w:tcPr>
          <w:p w14:paraId="5024CD6D"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885" w:type="dxa"/>
            <w:shd w:val="clear" w:color="000000" w:fill="FFFFFF"/>
            <w:noWrap/>
            <w:vAlign w:val="bottom"/>
            <w:hideMark/>
          </w:tcPr>
          <w:p w14:paraId="2EE9A7EA"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 </w:t>
            </w:r>
          </w:p>
        </w:tc>
        <w:tc>
          <w:tcPr>
            <w:tcW w:w="1559" w:type="dxa"/>
            <w:gridSpan w:val="3"/>
            <w:shd w:val="clear" w:color="000000" w:fill="F2F2F2"/>
            <w:noWrap/>
            <w:vAlign w:val="bottom"/>
            <w:hideMark/>
          </w:tcPr>
          <w:p w14:paraId="54DB8344"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1.232,4</w:t>
            </w:r>
          </w:p>
        </w:tc>
        <w:tc>
          <w:tcPr>
            <w:tcW w:w="1559" w:type="dxa"/>
            <w:shd w:val="clear" w:color="000000" w:fill="FFFFFF"/>
            <w:noWrap/>
            <w:vAlign w:val="bottom"/>
            <w:hideMark/>
          </w:tcPr>
          <w:p w14:paraId="04479795"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1.306,0</w:t>
            </w:r>
          </w:p>
        </w:tc>
        <w:tc>
          <w:tcPr>
            <w:tcW w:w="1613" w:type="dxa"/>
            <w:gridSpan w:val="2"/>
            <w:shd w:val="clear" w:color="000000" w:fill="F2F2F2"/>
            <w:noWrap/>
            <w:vAlign w:val="bottom"/>
            <w:hideMark/>
          </w:tcPr>
          <w:p w14:paraId="498ED45E" w14:textId="77777777" w:rsidR="006415B1" w:rsidRPr="008E3F1A" w:rsidRDefault="006415B1" w:rsidP="00881D12">
            <w:pPr>
              <w:spacing w:after="0"/>
              <w:ind w:firstLine="0"/>
              <w:jc w:val="center"/>
              <w:rPr>
                <w:rFonts w:eastAsia="Times New Roman" w:cs="Times New Roman"/>
                <w:sz w:val="16"/>
                <w:szCs w:val="16"/>
                <w:lang w:eastAsia="lv-LV"/>
              </w:rPr>
            </w:pPr>
            <w:r w:rsidRPr="008E3F1A">
              <w:rPr>
                <w:rFonts w:eastAsia="Times New Roman" w:cs="Times New Roman"/>
                <w:sz w:val="16"/>
                <w:szCs w:val="16"/>
                <w:lang w:eastAsia="lv-LV"/>
              </w:rPr>
              <w:t>6,0%</w:t>
            </w:r>
          </w:p>
        </w:tc>
      </w:tr>
      <w:tr w:rsidR="006415B1" w:rsidRPr="008E3F1A" w14:paraId="32A99127" w14:textId="77777777" w:rsidTr="00234FC7">
        <w:trPr>
          <w:trHeight w:val="259"/>
          <w:jc w:val="center"/>
        </w:trPr>
        <w:tc>
          <w:tcPr>
            <w:tcW w:w="1492" w:type="dxa"/>
            <w:gridSpan w:val="3"/>
            <w:shd w:val="clear" w:color="000000" w:fill="FFFFFF"/>
            <w:noWrap/>
            <w:vAlign w:val="bottom"/>
            <w:hideMark/>
          </w:tcPr>
          <w:p w14:paraId="54B35059" w14:textId="77777777" w:rsidR="006415B1" w:rsidRPr="008E3F1A" w:rsidRDefault="006415B1" w:rsidP="00881D12">
            <w:pPr>
              <w:spacing w:after="0"/>
              <w:ind w:firstLine="0"/>
              <w:jc w:val="left"/>
              <w:rPr>
                <w:rFonts w:eastAsia="Times New Roman" w:cs="Times New Roman"/>
                <w:i/>
                <w:iCs/>
                <w:color w:val="000000"/>
                <w:sz w:val="16"/>
                <w:szCs w:val="16"/>
                <w:lang w:eastAsia="lv-LV"/>
              </w:rPr>
            </w:pPr>
            <w:r w:rsidRPr="008E3F1A">
              <w:rPr>
                <w:rFonts w:eastAsia="Times New Roman" w:cs="Times New Roman"/>
                <w:i/>
                <w:iCs/>
                <w:color w:val="000000"/>
                <w:sz w:val="16"/>
                <w:szCs w:val="16"/>
                <w:lang w:eastAsia="lv-LV"/>
              </w:rPr>
              <w:t>Finansiālā bilance</w:t>
            </w:r>
          </w:p>
        </w:tc>
        <w:tc>
          <w:tcPr>
            <w:tcW w:w="614" w:type="dxa"/>
            <w:gridSpan w:val="2"/>
            <w:shd w:val="clear" w:color="000000" w:fill="FFFFFF"/>
            <w:noWrap/>
            <w:vAlign w:val="bottom"/>
            <w:hideMark/>
          </w:tcPr>
          <w:p w14:paraId="7E1E3A19"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95" w:type="dxa"/>
            <w:shd w:val="clear" w:color="000000" w:fill="FFFFFF"/>
            <w:noWrap/>
            <w:vAlign w:val="bottom"/>
            <w:hideMark/>
          </w:tcPr>
          <w:p w14:paraId="68A7D421"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shd w:val="clear" w:color="000000" w:fill="FFFFFF"/>
            <w:noWrap/>
            <w:vAlign w:val="bottom"/>
            <w:hideMark/>
          </w:tcPr>
          <w:p w14:paraId="0981EA5B"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shd w:val="clear" w:color="000000" w:fill="F2F2F2"/>
            <w:noWrap/>
            <w:vAlign w:val="bottom"/>
            <w:hideMark/>
          </w:tcPr>
          <w:p w14:paraId="58085BE8" w14:textId="77777777" w:rsidR="006415B1" w:rsidRPr="008E3F1A" w:rsidRDefault="006415B1" w:rsidP="00881D12">
            <w:pPr>
              <w:spacing w:after="0"/>
              <w:ind w:firstLine="0"/>
              <w:jc w:val="center"/>
              <w:rPr>
                <w:rFonts w:eastAsia="Times New Roman" w:cs="Times New Roman"/>
                <w:b/>
                <w:bCs/>
                <w:i/>
                <w:iCs/>
                <w:color w:val="000000"/>
                <w:sz w:val="16"/>
                <w:szCs w:val="16"/>
                <w:lang w:eastAsia="lv-LV"/>
              </w:rPr>
            </w:pPr>
            <w:r w:rsidRPr="008E3F1A">
              <w:rPr>
                <w:rFonts w:eastAsia="Times New Roman" w:cs="Times New Roman"/>
                <w:b/>
                <w:bCs/>
                <w:i/>
                <w:iCs/>
                <w:color w:val="000000"/>
                <w:sz w:val="16"/>
                <w:szCs w:val="16"/>
                <w:lang w:eastAsia="lv-LV"/>
              </w:rPr>
              <w:t>-80,3</w:t>
            </w:r>
          </w:p>
        </w:tc>
        <w:tc>
          <w:tcPr>
            <w:tcW w:w="1559" w:type="dxa"/>
            <w:shd w:val="clear" w:color="000000" w:fill="FFFFFF"/>
            <w:noWrap/>
            <w:vAlign w:val="bottom"/>
            <w:hideMark/>
          </w:tcPr>
          <w:p w14:paraId="53BAAB9F" w14:textId="77777777" w:rsidR="006415B1" w:rsidRPr="008E3F1A" w:rsidRDefault="006415B1" w:rsidP="00881D12">
            <w:pPr>
              <w:spacing w:after="0"/>
              <w:ind w:firstLine="0"/>
              <w:jc w:val="center"/>
              <w:rPr>
                <w:rFonts w:eastAsia="Times New Roman" w:cs="Times New Roman"/>
                <w:b/>
                <w:bCs/>
                <w:i/>
                <w:iCs/>
                <w:color w:val="000000"/>
                <w:sz w:val="16"/>
                <w:szCs w:val="16"/>
                <w:lang w:eastAsia="lv-LV"/>
              </w:rPr>
            </w:pPr>
            <w:r w:rsidRPr="008E3F1A">
              <w:rPr>
                <w:rFonts w:eastAsia="Times New Roman" w:cs="Times New Roman"/>
                <w:b/>
                <w:bCs/>
                <w:i/>
                <w:iCs/>
                <w:color w:val="000000"/>
                <w:sz w:val="16"/>
                <w:szCs w:val="16"/>
                <w:lang w:eastAsia="lv-LV"/>
              </w:rPr>
              <w:t>-16,3</w:t>
            </w:r>
          </w:p>
        </w:tc>
        <w:tc>
          <w:tcPr>
            <w:tcW w:w="724" w:type="dxa"/>
            <w:shd w:val="clear" w:color="000000" w:fill="F2F2F2"/>
            <w:noWrap/>
            <w:vAlign w:val="bottom"/>
            <w:hideMark/>
          </w:tcPr>
          <w:p w14:paraId="3B56D285"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c>
          <w:tcPr>
            <w:tcW w:w="889" w:type="dxa"/>
            <w:shd w:val="clear" w:color="000000" w:fill="F2F2F2"/>
            <w:noWrap/>
            <w:vAlign w:val="bottom"/>
            <w:hideMark/>
          </w:tcPr>
          <w:p w14:paraId="0CD71767"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r>
      <w:tr w:rsidR="006415B1" w:rsidRPr="008E3F1A" w14:paraId="30024561" w14:textId="77777777" w:rsidTr="00234FC7">
        <w:trPr>
          <w:trHeight w:val="259"/>
          <w:jc w:val="center"/>
        </w:trPr>
        <w:tc>
          <w:tcPr>
            <w:tcW w:w="3686" w:type="dxa"/>
            <w:gridSpan w:val="7"/>
            <w:shd w:val="clear" w:color="000000" w:fill="FFFFFF"/>
            <w:noWrap/>
            <w:vAlign w:val="bottom"/>
            <w:hideMark/>
          </w:tcPr>
          <w:p w14:paraId="2E324AA1"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Valsts speciālais budžets</w:t>
            </w:r>
          </w:p>
        </w:tc>
        <w:tc>
          <w:tcPr>
            <w:tcW w:w="620" w:type="dxa"/>
            <w:shd w:val="clear" w:color="000000" w:fill="F2F2F2"/>
            <w:noWrap/>
            <w:vAlign w:val="bottom"/>
            <w:hideMark/>
          </w:tcPr>
          <w:p w14:paraId="5A65C493"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18" w:type="dxa"/>
            <w:shd w:val="clear" w:color="000000" w:fill="F2F2F2"/>
            <w:noWrap/>
            <w:vAlign w:val="bottom"/>
            <w:hideMark/>
          </w:tcPr>
          <w:p w14:paraId="0D331D30"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321" w:type="dxa"/>
            <w:shd w:val="clear" w:color="000000" w:fill="F2F2F2"/>
            <w:noWrap/>
            <w:vAlign w:val="bottom"/>
            <w:hideMark/>
          </w:tcPr>
          <w:p w14:paraId="7CF36F7C"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shd w:val="clear" w:color="000000" w:fill="FFFFFF"/>
            <w:noWrap/>
            <w:vAlign w:val="bottom"/>
            <w:hideMark/>
          </w:tcPr>
          <w:p w14:paraId="2208D8F7"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724" w:type="dxa"/>
            <w:shd w:val="clear" w:color="000000" w:fill="F2F2F2"/>
            <w:noWrap/>
            <w:vAlign w:val="bottom"/>
            <w:hideMark/>
          </w:tcPr>
          <w:p w14:paraId="48784B61"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c>
          <w:tcPr>
            <w:tcW w:w="889" w:type="dxa"/>
            <w:shd w:val="clear" w:color="000000" w:fill="F2F2F2"/>
            <w:noWrap/>
            <w:vAlign w:val="bottom"/>
            <w:hideMark/>
          </w:tcPr>
          <w:p w14:paraId="49F0A54D"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r>
      <w:tr w:rsidR="006415B1" w:rsidRPr="008E3F1A" w14:paraId="28A0B0E3" w14:textId="77777777" w:rsidTr="00234FC7">
        <w:trPr>
          <w:trHeight w:val="259"/>
          <w:jc w:val="center"/>
        </w:trPr>
        <w:tc>
          <w:tcPr>
            <w:tcW w:w="1492" w:type="dxa"/>
            <w:gridSpan w:val="3"/>
            <w:shd w:val="clear" w:color="000000" w:fill="FFFFFF"/>
            <w:noWrap/>
            <w:vAlign w:val="bottom"/>
            <w:hideMark/>
          </w:tcPr>
          <w:p w14:paraId="622C5BE0"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Ieņēmumi</w:t>
            </w:r>
          </w:p>
        </w:tc>
        <w:tc>
          <w:tcPr>
            <w:tcW w:w="614" w:type="dxa"/>
            <w:gridSpan w:val="2"/>
            <w:shd w:val="clear" w:color="000000" w:fill="FFFFFF"/>
            <w:noWrap/>
            <w:vAlign w:val="bottom"/>
            <w:hideMark/>
          </w:tcPr>
          <w:p w14:paraId="5ACD7EB5"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95" w:type="dxa"/>
            <w:shd w:val="clear" w:color="000000" w:fill="FFFFFF"/>
            <w:noWrap/>
            <w:vAlign w:val="bottom"/>
            <w:hideMark/>
          </w:tcPr>
          <w:p w14:paraId="1882D9E5"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shd w:val="clear" w:color="000000" w:fill="FFFFFF"/>
            <w:noWrap/>
            <w:vAlign w:val="bottom"/>
            <w:hideMark/>
          </w:tcPr>
          <w:p w14:paraId="6EEDEE7F"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shd w:val="clear" w:color="000000" w:fill="F2F2F2"/>
            <w:noWrap/>
            <w:vAlign w:val="bottom"/>
            <w:hideMark/>
          </w:tcPr>
          <w:p w14:paraId="38E362D7"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514,4</w:t>
            </w:r>
          </w:p>
        </w:tc>
        <w:tc>
          <w:tcPr>
            <w:tcW w:w="1559" w:type="dxa"/>
            <w:shd w:val="clear" w:color="000000" w:fill="FFFFFF"/>
            <w:noWrap/>
            <w:vAlign w:val="bottom"/>
            <w:hideMark/>
          </w:tcPr>
          <w:p w14:paraId="0653B0BE"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543,1</w:t>
            </w:r>
          </w:p>
        </w:tc>
        <w:tc>
          <w:tcPr>
            <w:tcW w:w="1613" w:type="dxa"/>
            <w:gridSpan w:val="2"/>
            <w:shd w:val="clear" w:color="000000" w:fill="F2F2F2"/>
            <w:noWrap/>
            <w:vAlign w:val="bottom"/>
            <w:hideMark/>
          </w:tcPr>
          <w:p w14:paraId="53B02C4F" w14:textId="77777777" w:rsidR="006415B1" w:rsidRPr="008E3F1A" w:rsidRDefault="006415B1" w:rsidP="00881D12">
            <w:pPr>
              <w:spacing w:after="0"/>
              <w:ind w:firstLine="0"/>
              <w:jc w:val="center"/>
              <w:rPr>
                <w:rFonts w:eastAsia="Times New Roman" w:cs="Times New Roman"/>
                <w:sz w:val="16"/>
                <w:szCs w:val="16"/>
                <w:lang w:eastAsia="lv-LV"/>
              </w:rPr>
            </w:pPr>
            <w:r w:rsidRPr="008E3F1A">
              <w:rPr>
                <w:rFonts w:eastAsia="Times New Roman" w:cs="Times New Roman"/>
                <w:sz w:val="16"/>
                <w:szCs w:val="16"/>
                <w:lang w:eastAsia="lv-LV"/>
              </w:rPr>
              <w:t>5,6%</w:t>
            </w:r>
          </w:p>
        </w:tc>
      </w:tr>
      <w:tr w:rsidR="006415B1" w:rsidRPr="008E3F1A" w14:paraId="163ED7A3" w14:textId="77777777" w:rsidTr="00234FC7">
        <w:trPr>
          <w:trHeight w:val="259"/>
          <w:jc w:val="center"/>
        </w:trPr>
        <w:tc>
          <w:tcPr>
            <w:tcW w:w="878" w:type="dxa"/>
            <w:shd w:val="clear" w:color="000000" w:fill="FFFFFF"/>
            <w:noWrap/>
            <w:vAlign w:val="bottom"/>
            <w:hideMark/>
          </w:tcPr>
          <w:p w14:paraId="37AEB44E"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Izdevumi</w:t>
            </w:r>
          </w:p>
        </w:tc>
        <w:tc>
          <w:tcPr>
            <w:tcW w:w="614" w:type="dxa"/>
            <w:gridSpan w:val="2"/>
            <w:shd w:val="clear" w:color="000000" w:fill="FFFFFF"/>
            <w:noWrap/>
            <w:vAlign w:val="bottom"/>
            <w:hideMark/>
          </w:tcPr>
          <w:p w14:paraId="4447E4E2"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14" w:type="dxa"/>
            <w:gridSpan w:val="2"/>
            <w:shd w:val="clear" w:color="000000" w:fill="FFFFFF"/>
            <w:noWrap/>
            <w:vAlign w:val="bottom"/>
            <w:hideMark/>
          </w:tcPr>
          <w:p w14:paraId="1524960F"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95" w:type="dxa"/>
            <w:shd w:val="clear" w:color="000000" w:fill="FFFFFF"/>
            <w:noWrap/>
            <w:vAlign w:val="bottom"/>
            <w:hideMark/>
          </w:tcPr>
          <w:p w14:paraId="379D7CC4"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shd w:val="clear" w:color="000000" w:fill="FFFFFF"/>
            <w:noWrap/>
            <w:vAlign w:val="bottom"/>
            <w:hideMark/>
          </w:tcPr>
          <w:p w14:paraId="2FC83156"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shd w:val="clear" w:color="000000" w:fill="F2F2F2"/>
            <w:noWrap/>
            <w:vAlign w:val="bottom"/>
            <w:hideMark/>
          </w:tcPr>
          <w:p w14:paraId="2E198AAF"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490,6</w:t>
            </w:r>
          </w:p>
        </w:tc>
        <w:tc>
          <w:tcPr>
            <w:tcW w:w="1559" w:type="dxa"/>
            <w:shd w:val="clear" w:color="000000" w:fill="FFFFFF"/>
            <w:noWrap/>
            <w:vAlign w:val="bottom"/>
            <w:hideMark/>
          </w:tcPr>
          <w:p w14:paraId="24EA1845"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552,3</w:t>
            </w:r>
          </w:p>
        </w:tc>
        <w:tc>
          <w:tcPr>
            <w:tcW w:w="1613" w:type="dxa"/>
            <w:gridSpan w:val="2"/>
            <w:shd w:val="clear" w:color="000000" w:fill="F2F2F2"/>
            <w:noWrap/>
            <w:vAlign w:val="bottom"/>
            <w:hideMark/>
          </w:tcPr>
          <w:p w14:paraId="43B1C77D" w14:textId="77777777" w:rsidR="006415B1" w:rsidRPr="008E3F1A" w:rsidRDefault="006415B1" w:rsidP="00881D12">
            <w:pPr>
              <w:spacing w:after="0"/>
              <w:ind w:firstLine="0"/>
              <w:jc w:val="center"/>
              <w:rPr>
                <w:rFonts w:eastAsia="Times New Roman" w:cs="Times New Roman"/>
                <w:sz w:val="16"/>
                <w:szCs w:val="16"/>
                <w:lang w:eastAsia="lv-LV"/>
              </w:rPr>
            </w:pPr>
            <w:r w:rsidRPr="008E3F1A">
              <w:rPr>
                <w:rFonts w:eastAsia="Times New Roman" w:cs="Times New Roman"/>
                <w:sz w:val="16"/>
                <w:szCs w:val="16"/>
                <w:lang w:eastAsia="lv-LV"/>
              </w:rPr>
              <w:t>12,6%</w:t>
            </w:r>
          </w:p>
        </w:tc>
      </w:tr>
      <w:tr w:rsidR="006415B1" w:rsidRPr="008E3F1A" w14:paraId="56FAF941" w14:textId="77777777" w:rsidTr="00234FC7">
        <w:trPr>
          <w:trHeight w:val="259"/>
          <w:jc w:val="center"/>
        </w:trPr>
        <w:tc>
          <w:tcPr>
            <w:tcW w:w="1492" w:type="dxa"/>
            <w:gridSpan w:val="3"/>
            <w:shd w:val="clear" w:color="000000" w:fill="FFFFFF"/>
            <w:noWrap/>
            <w:vAlign w:val="bottom"/>
            <w:hideMark/>
          </w:tcPr>
          <w:p w14:paraId="03E337CC" w14:textId="77777777" w:rsidR="006415B1" w:rsidRPr="008E3F1A" w:rsidRDefault="006415B1" w:rsidP="00881D12">
            <w:pPr>
              <w:spacing w:after="0"/>
              <w:ind w:firstLine="0"/>
              <w:jc w:val="left"/>
              <w:rPr>
                <w:rFonts w:eastAsia="Times New Roman" w:cs="Times New Roman"/>
                <w:i/>
                <w:iCs/>
                <w:color w:val="000000"/>
                <w:sz w:val="16"/>
                <w:szCs w:val="16"/>
                <w:lang w:eastAsia="lv-LV"/>
              </w:rPr>
            </w:pPr>
            <w:r w:rsidRPr="008E3F1A">
              <w:rPr>
                <w:rFonts w:eastAsia="Times New Roman" w:cs="Times New Roman"/>
                <w:i/>
                <w:iCs/>
                <w:color w:val="000000"/>
                <w:sz w:val="16"/>
                <w:szCs w:val="16"/>
                <w:lang w:eastAsia="lv-LV"/>
              </w:rPr>
              <w:t>Finansiālā bilance</w:t>
            </w:r>
          </w:p>
        </w:tc>
        <w:tc>
          <w:tcPr>
            <w:tcW w:w="614" w:type="dxa"/>
            <w:gridSpan w:val="2"/>
            <w:shd w:val="clear" w:color="000000" w:fill="FFFFFF"/>
            <w:noWrap/>
            <w:vAlign w:val="bottom"/>
            <w:hideMark/>
          </w:tcPr>
          <w:p w14:paraId="3EE04DB3"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95" w:type="dxa"/>
            <w:shd w:val="clear" w:color="000000" w:fill="FFFFFF"/>
            <w:noWrap/>
            <w:vAlign w:val="bottom"/>
            <w:hideMark/>
          </w:tcPr>
          <w:p w14:paraId="3E119588"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shd w:val="clear" w:color="000000" w:fill="FFFFFF"/>
            <w:noWrap/>
            <w:vAlign w:val="bottom"/>
            <w:hideMark/>
          </w:tcPr>
          <w:p w14:paraId="43A26383"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shd w:val="clear" w:color="000000" w:fill="F2F2F2"/>
            <w:noWrap/>
            <w:vAlign w:val="bottom"/>
            <w:hideMark/>
          </w:tcPr>
          <w:p w14:paraId="47D08204" w14:textId="77777777" w:rsidR="006415B1" w:rsidRPr="008E3F1A" w:rsidRDefault="006415B1" w:rsidP="00881D12">
            <w:pPr>
              <w:spacing w:after="0"/>
              <w:ind w:firstLine="0"/>
              <w:jc w:val="center"/>
              <w:rPr>
                <w:rFonts w:eastAsia="Times New Roman" w:cs="Times New Roman"/>
                <w:b/>
                <w:bCs/>
                <w:i/>
                <w:iCs/>
                <w:color w:val="000000"/>
                <w:sz w:val="16"/>
                <w:szCs w:val="16"/>
                <w:lang w:eastAsia="lv-LV"/>
              </w:rPr>
            </w:pPr>
            <w:r w:rsidRPr="008E3F1A">
              <w:rPr>
                <w:rFonts w:eastAsia="Times New Roman" w:cs="Times New Roman"/>
                <w:b/>
                <w:bCs/>
                <w:i/>
                <w:iCs/>
                <w:color w:val="000000"/>
                <w:sz w:val="16"/>
                <w:szCs w:val="16"/>
                <w:lang w:eastAsia="lv-LV"/>
              </w:rPr>
              <w:t>23,8</w:t>
            </w:r>
          </w:p>
        </w:tc>
        <w:tc>
          <w:tcPr>
            <w:tcW w:w="1559" w:type="dxa"/>
            <w:shd w:val="clear" w:color="000000" w:fill="FFFFFF"/>
            <w:noWrap/>
            <w:vAlign w:val="bottom"/>
            <w:hideMark/>
          </w:tcPr>
          <w:p w14:paraId="25189CBC" w14:textId="77777777" w:rsidR="006415B1" w:rsidRPr="008E3F1A" w:rsidRDefault="006415B1" w:rsidP="00881D12">
            <w:pPr>
              <w:spacing w:after="0"/>
              <w:ind w:firstLine="0"/>
              <w:jc w:val="center"/>
              <w:rPr>
                <w:rFonts w:eastAsia="Times New Roman" w:cs="Times New Roman"/>
                <w:b/>
                <w:bCs/>
                <w:i/>
                <w:iCs/>
                <w:color w:val="000000"/>
                <w:sz w:val="16"/>
                <w:szCs w:val="16"/>
                <w:lang w:eastAsia="lv-LV"/>
              </w:rPr>
            </w:pPr>
            <w:r w:rsidRPr="008E3F1A">
              <w:rPr>
                <w:rFonts w:eastAsia="Times New Roman" w:cs="Times New Roman"/>
                <w:b/>
                <w:bCs/>
                <w:i/>
                <w:iCs/>
                <w:color w:val="000000"/>
                <w:sz w:val="16"/>
                <w:szCs w:val="16"/>
                <w:lang w:eastAsia="lv-LV"/>
              </w:rPr>
              <w:t>-9,2</w:t>
            </w:r>
          </w:p>
        </w:tc>
        <w:tc>
          <w:tcPr>
            <w:tcW w:w="724" w:type="dxa"/>
            <w:shd w:val="clear" w:color="000000" w:fill="F2F2F2"/>
            <w:noWrap/>
            <w:vAlign w:val="bottom"/>
            <w:hideMark/>
          </w:tcPr>
          <w:p w14:paraId="3C41A480"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c>
          <w:tcPr>
            <w:tcW w:w="889" w:type="dxa"/>
            <w:shd w:val="clear" w:color="000000" w:fill="F2F2F2"/>
            <w:noWrap/>
            <w:vAlign w:val="bottom"/>
            <w:hideMark/>
          </w:tcPr>
          <w:p w14:paraId="3D5091ED"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r>
      <w:tr w:rsidR="006415B1" w:rsidRPr="008E3F1A" w14:paraId="23598FFC" w14:textId="77777777" w:rsidTr="00234FC7">
        <w:trPr>
          <w:trHeight w:val="259"/>
          <w:jc w:val="center"/>
        </w:trPr>
        <w:tc>
          <w:tcPr>
            <w:tcW w:w="3686" w:type="dxa"/>
            <w:gridSpan w:val="7"/>
            <w:shd w:val="clear" w:color="000000" w:fill="FFFFFF"/>
            <w:noWrap/>
            <w:vAlign w:val="bottom"/>
            <w:hideMark/>
          </w:tcPr>
          <w:p w14:paraId="75390961" w14:textId="77777777" w:rsidR="006415B1" w:rsidRPr="008E3F1A" w:rsidRDefault="006415B1" w:rsidP="00881D12">
            <w:pPr>
              <w:spacing w:after="0"/>
              <w:ind w:firstLine="0"/>
              <w:jc w:val="left"/>
              <w:rPr>
                <w:rFonts w:eastAsia="Times New Roman" w:cs="Times New Roman"/>
                <w:b/>
                <w:bCs/>
                <w:color w:val="000000"/>
                <w:sz w:val="16"/>
                <w:szCs w:val="16"/>
                <w:lang w:eastAsia="lv-LV"/>
              </w:rPr>
            </w:pPr>
            <w:r w:rsidRPr="008E3F1A">
              <w:rPr>
                <w:rFonts w:eastAsia="Times New Roman" w:cs="Times New Roman"/>
                <w:b/>
                <w:bCs/>
                <w:color w:val="000000"/>
                <w:sz w:val="16"/>
                <w:szCs w:val="16"/>
                <w:lang w:eastAsia="lv-LV"/>
              </w:rPr>
              <w:t>PAŠVALDĪBU KONSOLIDĒTAIS BUDŽETS**</w:t>
            </w:r>
          </w:p>
        </w:tc>
        <w:tc>
          <w:tcPr>
            <w:tcW w:w="620" w:type="dxa"/>
            <w:shd w:val="clear" w:color="000000" w:fill="F2F2F2"/>
            <w:noWrap/>
            <w:vAlign w:val="bottom"/>
            <w:hideMark/>
          </w:tcPr>
          <w:p w14:paraId="2829B51E"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18" w:type="dxa"/>
            <w:shd w:val="clear" w:color="000000" w:fill="F2F2F2"/>
            <w:noWrap/>
            <w:vAlign w:val="bottom"/>
            <w:hideMark/>
          </w:tcPr>
          <w:p w14:paraId="63160282"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321" w:type="dxa"/>
            <w:shd w:val="clear" w:color="000000" w:fill="F2F2F2"/>
            <w:noWrap/>
            <w:vAlign w:val="bottom"/>
            <w:hideMark/>
          </w:tcPr>
          <w:p w14:paraId="5E6B216C"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shd w:val="clear" w:color="000000" w:fill="FFFFFF"/>
            <w:noWrap/>
            <w:vAlign w:val="bottom"/>
            <w:hideMark/>
          </w:tcPr>
          <w:p w14:paraId="4EEE112A"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724" w:type="dxa"/>
            <w:shd w:val="clear" w:color="000000" w:fill="F2F2F2"/>
            <w:noWrap/>
            <w:vAlign w:val="bottom"/>
            <w:hideMark/>
          </w:tcPr>
          <w:p w14:paraId="1E154570"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c>
          <w:tcPr>
            <w:tcW w:w="889" w:type="dxa"/>
            <w:shd w:val="clear" w:color="000000" w:fill="F2F2F2"/>
            <w:noWrap/>
            <w:vAlign w:val="bottom"/>
            <w:hideMark/>
          </w:tcPr>
          <w:p w14:paraId="3115909C"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r>
      <w:tr w:rsidR="006415B1" w:rsidRPr="008E3F1A" w14:paraId="2D41F00E" w14:textId="77777777" w:rsidTr="00234FC7">
        <w:trPr>
          <w:trHeight w:val="259"/>
          <w:jc w:val="center"/>
        </w:trPr>
        <w:tc>
          <w:tcPr>
            <w:tcW w:w="1492" w:type="dxa"/>
            <w:gridSpan w:val="3"/>
            <w:shd w:val="clear" w:color="000000" w:fill="FFFFFF"/>
            <w:noWrap/>
            <w:vAlign w:val="bottom"/>
            <w:hideMark/>
          </w:tcPr>
          <w:p w14:paraId="3DF56BD2"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Ieņēmumi</w:t>
            </w:r>
          </w:p>
        </w:tc>
        <w:tc>
          <w:tcPr>
            <w:tcW w:w="614" w:type="dxa"/>
            <w:gridSpan w:val="2"/>
            <w:shd w:val="clear" w:color="000000" w:fill="FFFFFF"/>
            <w:noWrap/>
            <w:vAlign w:val="bottom"/>
            <w:hideMark/>
          </w:tcPr>
          <w:p w14:paraId="0B3636C0"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95" w:type="dxa"/>
            <w:shd w:val="clear" w:color="000000" w:fill="FFFFFF"/>
            <w:noWrap/>
            <w:vAlign w:val="bottom"/>
            <w:hideMark/>
          </w:tcPr>
          <w:p w14:paraId="39DF26F6"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shd w:val="clear" w:color="000000" w:fill="FFFFFF"/>
            <w:noWrap/>
            <w:vAlign w:val="bottom"/>
            <w:hideMark/>
          </w:tcPr>
          <w:p w14:paraId="40E68296"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shd w:val="clear" w:color="000000" w:fill="F2F2F2"/>
            <w:noWrap/>
            <w:vAlign w:val="bottom"/>
            <w:hideMark/>
          </w:tcPr>
          <w:p w14:paraId="662C7873"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514,4</w:t>
            </w:r>
          </w:p>
        </w:tc>
        <w:tc>
          <w:tcPr>
            <w:tcW w:w="1559" w:type="dxa"/>
            <w:shd w:val="clear" w:color="000000" w:fill="FFFFFF"/>
            <w:noWrap/>
            <w:vAlign w:val="bottom"/>
            <w:hideMark/>
          </w:tcPr>
          <w:p w14:paraId="5315CA50"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533,4</w:t>
            </w:r>
          </w:p>
        </w:tc>
        <w:tc>
          <w:tcPr>
            <w:tcW w:w="1613" w:type="dxa"/>
            <w:gridSpan w:val="2"/>
            <w:shd w:val="clear" w:color="000000" w:fill="F2F2F2"/>
            <w:noWrap/>
            <w:vAlign w:val="bottom"/>
            <w:hideMark/>
          </w:tcPr>
          <w:p w14:paraId="05FF468B" w14:textId="77777777" w:rsidR="006415B1" w:rsidRPr="008E3F1A" w:rsidRDefault="006415B1" w:rsidP="00881D12">
            <w:pPr>
              <w:spacing w:after="0"/>
              <w:ind w:firstLine="0"/>
              <w:jc w:val="center"/>
              <w:rPr>
                <w:rFonts w:eastAsia="Times New Roman" w:cs="Times New Roman"/>
                <w:sz w:val="16"/>
                <w:szCs w:val="16"/>
                <w:lang w:eastAsia="lv-LV"/>
              </w:rPr>
            </w:pPr>
            <w:r w:rsidRPr="008E3F1A">
              <w:rPr>
                <w:rFonts w:eastAsia="Times New Roman" w:cs="Times New Roman"/>
                <w:sz w:val="16"/>
                <w:szCs w:val="16"/>
                <w:lang w:eastAsia="lv-LV"/>
              </w:rPr>
              <w:t>3,7%</w:t>
            </w:r>
          </w:p>
        </w:tc>
      </w:tr>
      <w:tr w:rsidR="006415B1" w:rsidRPr="008E3F1A" w14:paraId="2664709C" w14:textId="77777777" w:rsidTr="00234FC7">
        <w:trPr>
          <w:trHeight w:val="259"/>
          <w:jc w:val="center"/>
        </w:trPr>
        <w:tc>
          <w:tcPr>
            <w:tcW w:w="878" w:type="dxa"/>
            <w:shd w:val="clear" w:color="000000" w:fill="FFFFFF"/>
            <w:noWrap/>
            <w:vAlign w:val="bottom"/>
            <w:hideMark/>
          </w:tcPr>
          <w:p w14:paraId="55A30D58"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Izdevumi</w:t>
            </w:r>
          </w:p>
        </w:tc>
        <w:tc>
          <w:tcPr>
            <w:tcW w:w="614" w:type="dxa"/>
            <w:gridSpan w:val="2"/>
            <w:shd w:val="clear" w:color="000000" w:fill="FFFFFF"/>
            <w:noWrap/>
            <w:vAlign w:val="bottom"/>
            <w:hideMark/>
          </w:tcPr>
          <w:p w14:paraId="6B43D503"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14" w:type="dxa"/>
            <w:gridSpan w:val="2"/>
            <w:shd w:val="clear" w:color="000000" w:fill="FFFFFF"/>
            <w:noWrap/>
            <w:vAlign w:val="bottom"/>
            <w:hideMark/>
          </w:tcPr>
          <w:p w14:paraId="244FD172"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95" w:type="dxa"/>
            <w:shd w:val="clear" w:color="000000" w:fill="FFFFFF"/>
            <w:noWrap/>
            <w:vAlign w:val="bottom"/>
            <w:hideMark/>
          </w:tcPr>
          <w:p w14:paraId="2522D7E9"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shd w:val="clear" w:color="000000" w:fill="FFFFFF"/>
            <w:noWrap/>
            <w:vAlign w:val="bottom"/>
            <w:hideMark/>
          </w:tcPr>
          <w:p w14:paraId="44C1C2C9"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shd w:val="clear" w:color="000000" w:fill="F2F2F2"/>
            <w:noWrap/>
            <w:vAlign w:val="bottom"/>
            <w:hideMark/>
          </w:tcPr>
          <w:p w14:paraId="585A7B40"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436,2</w:t>
            </w:r>
          </w:p>
        </w:tc>
        <w:tc>
          <w:tcPr>
            <w:tcW w:w="1559" w:type="dxa"/>
            <w:shd w:val="clear" w:color="000000" w:fill="FFFFFF"/>
            <w:noWrap/>
            <w:vAlign w:val="bottom"/>
            <w:hideMark/>
          </w:tcPr>
          <w:p w14:paraId="2237251D" w14:textId="77777777" w:rsidR="006415B1" w:rsidRPr="008E3F1A" w:rsidRDefault="006415B1" w:rsidP="00881D12">
            <w:pPr>
              <w:spacing w:after="0"/>
              <w:ind w:firstLine="0"/>
              <w:jc w:val="center"/>
              <w:rPr>
                <w:rFonts w:eastAsia="Times New Roman" w:cs="Times New Roman"/>
                <w:color w:val="000000"/>
                <w:sz w:val="16"/>
                <w:szCs w:val="16"/>
                <w:lang w:eastAsia="lv-LV"/>
              </w:rPr>
            </w:pPr>
            <w:r w:rsidRPr="008E3F1A">
              <w:rPr>
                <w:rFonts w:eastAsia="Times New Roman" w:cs="Times New Roman"/>
                <w:color w:val="000000"/>
                <w:sz w:val="16"/>
                <w:szCs w:val="16"/>
                <w:lang w:eastAsia="lv-LV"/>
              </w:rPr>
              <w:t>467,9</w:t>
            </w:r>
          </w:p>
        </w:tc>
        <w:tc>
          <w:tcPr>
            <w:tcW w:w="1613" w:type="dxa"/>
            <w:gridSpan w:val="2"/>
            <w:shd w:val="clear" w:color="000000" w:fill="F2F2F2"/>
            <w:noWrap/>
            <w:vAlign w:val="bottom"/>
            <w:hideMark/>
          </w:tcPr>
          <w:p w14:paraId="38977B5D" w14:textId="77777777" w:rsidR="006415B1" w:rsidRPr="008E3F1A" w:rsidRDefault="006415B1" w:rsidP="00881D12">
            <w:pPr>
              <w:spacing w:after="0"/>
              <w:ind w:firstLine="0"/>
              <w:jc w:val="center"/>
              <w:rPr>
                <w:rFonts w:eastAsia="Times New Roman" w:cs="Times New Roman"/>
                <w:sz w:val="16"/>
                <w:szCs w:val="16"/>
                <w:lang w:eastAsia="lv-LV"/>
              </w:rPr>
            </w:pPr>
            <w:r w:rsidRPr="008E3F1A">
              <w:rPr>
                <w:rFonts w:eastAsia="Times New Roman" w:cs="Times New Roman"/>
                <w:sz w:val="16"/>
                <w:szCs w:val="16"/>
                <w:lang w:eastAsia="lv-LV"/>
              </w:rPr>
              <w:t>7,3%</w:t>
            </w:r>
          </w:p>
        </w:tc>
      </w:tr>
      <w:tr w:rsidR="006415B1" w:rsidRPr="008E3F1A" w14:paraId="54F7443D" w14:textId="77777777" w:rsidTr="00234FC7">
        <w:trPr>
          <w:trHeight w:val="259"/>
          <w:jc w:val="center"/>
        </w:trPr>
        <w:tc>
          <w:tcPr>
            <w:tcW w:w="1492" w:type="dxa"/>
            <w:gridSpan w:val="3"/>
            <w:shd w:val="clear" w:color="000000" w:fill="FFFFFF"/>
            <w:noWrap/>
            <w:vAlign w:val="bottom"/>
            <w:hideMark/>
          </w:tcPr>
          <w:p w14:paraId="7640D1A2" w14:textId="77777777" w:rsidR="006415B1" w:rsidRPr="008E3F1A" w:rsidRDefault="006415B1" w:rsidP="00881D12">
            <w:pPr>
              <w:spacing w:after="0"/>
              <w:ind w:firstLine="0"/>
              <w:jc w:val="left"/>
              <w:rPr>
                <w:rFonts w:eastAsia="Times New Roman" w:cs="Times New Roman"/>
                <w:i/>
                <w:iCs/>
                <w:color w:val="000000"/>
                <w:sz w:val="16"/>
                <w:szCs w:val="16"/>
                <w:lang w:eastAsia="lv-LV"/>
              </w:rPr>
            </w:pPr>
            <w:r w:rsidRPr="008E3F1A">
              <w:rPr>
                <w:rFonts w:eastAsia="Times New Roman" w:cs="Times New Roman"/>
                <w:i/>
                <w:iCs/>
                <w:color w:val="000000"/>
                <w:sz w:val="16"/>
                <w:szCs w:val="16"/>
                <w:lang w:eastAsia="lv-LV"/>
              </w:rPr>
              <w:t>Finansiālā bilance</w:t>
            </w:r>
          </w:p>
        </w:tc>
        <w:tc>
          <w:tcPr>
            <w:tcW w:w="614" w:type="dxa"/>
            <w:gridSpan w:val="2"/>
            <w:shd w:val="clear" w:color="000000" w:fill="FFFFFF"/>
            <w:noWrap/>
            <w:vAlign w:val="bottom"/>
            <w:hideMark/>
          </w:tcPr>
          <w:p w14:paraId="2FB72033"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695" w:type="dxa"/>
            <w:shd w:val="clear" w:color="000000" w:fill="FFFFFF"/>
            <w:noWrap/>
            <w:vAlign w:val="bottom"/>
            <w:hideMark/>
          </w:tcPr>
          <w:p w14:paraId="1F5B112E"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885" w:type="dxa"/>
            <w:shd w:val="clear" w:color="000000" w:fill="FFFFFF"/>
            <w:noWrap/>
            <w:vAlign w:val="bottom"/>
            <w:hideMark/>
          </w:tcPr>
          <w:p w14:paraId="03AEE496" w14:textId="77777777" w:rsidR="006415B1" w:rsidRPr="008E3F1A" w:rsidRDefault="006415B1" w:rsidP="00881D12">
            <w:pPr>
              <w:spacing w:after="0"/>
              <w:ind w:firstLine="0"/>
              <w:jc w:val="left"/>
              <w:rPr>
                <w:rFonts w:eastAsia="Times New Roman" w:cs="Times New Roman"/>
                <w:color w:val="000000"/>
                <w:sz w:val="16"/>
                <w:szCs w:val="16"/>
                <w:lang w:eastAsia="lv-LV"/>
              </w:rPr>
            </w:pPr>
            <w:r w:rsidRPr="008E3F1A">
              <w:rPr>
                <w:rFonts w:eastAsia="Times New Roman" w:cs="Times New Roman"/>
                <w:color w:val="000000"/>
                <w:sz w:val="16"/>
                <w:szCs w:val="16"/>
                <w:lang w:eastAsia="lv-LV"/>
              </w:rPr>
              <w:t> </w:t>
            </w:r>
          </w:p>
        </w:tc>
        <w:tc>
          <w:tcPr>
            <w:tcW w:w="1559" w:type="dxa"/>
            <w:gridSpan w:val="3"/>
            <w:shd w:val="clear" w:color="000000" w:fill="F2F2F2"/>
            <w:noWrap/>
            <w:vAlign w:val="bottom"/>
            <w:hideMark/>
          </w:tcPr>
          <w:p w14:paraId="6783FDEB" w14:textId="77777777" w:rsidR="006415B1" w:rsidRPr="008E3F1A" w:rsidRDefault="006415B1" w:rsidP="00881D12">
            <w:pPr>
              <w:spacing w:after="0"/>
              <w:ind w:firstLine="0"/>
              <w:jc w:val="center"/>
              <w:rPr>
                <w:rFonts w:eastAsia="Times New Roman" w:cs="Times New Roman"/>
                <w:b/>
                <w:bCs/>
                <w:i/>
                <w:iCs/>
                <w:color w:val="000000"/>
                <w:sz w:val="16"/>
                <w:szCs w:val="16"/>
                <w:lang w:eastAsia="lv-LV"/>
              </w:rPr>
            </w:pPr>
            <w:r w:rsidRPr="008E3F1A">
              <w:rPr>
                <w:rFonts w:eastAsia="Times New Roman" w:cs="Times New Roman"/>
                <w:b/>
                <w:bCs/>
                <w:i/>
                <w:iCs/>
                <w:color w:val="000000"/>
                <w:sz w:val="16"/>
                <w:szCs w:val="16"/>
                <w:lang w:eastAsia="lv-LV"/>
              </w:rPr>
              <w:t>78,2</w:t>
            </w:r>
          </w:p>
        </w:tc>
        <w:tc>
          <w:tcPr>
            <w:tcW w:w="1559" w:type="dxa"/>
            <w:shd w:val="clear" w:color="000000" w:fill="FFFFFF"/>
            <w:noWrap/>
            <w:vAlign w:val="bottom"/>
            <w:hideMark/>
          </w:tcPr>
          <w:p w14:paraId="4DB11FC0" w14:textId="77777777" w:rsidR="006415B1" w:rsidRPr="008E3F1A" w:rsidRDefault="006415B1" w:rsidP="00881D12">
            <w:pPr>
              <w:spacing w:after="0"/>
              <w:ind w:firstLine="0"/>
              <w:jc w:val="center"/>
              <w:rPr>
                <w:rFonts w:eastAsia="Times New Roman" w:cs="Times New Roman"/>
                <w:b/>
                <w:bCs/>
                <w:i/>
                <w:iCs/>
                <w:color w:val="000000"/>
                <w:sz w:val="16"/>
                <w:szCs w:val="16"/>
                <w:lang w:eastAsia="lv-LV"/>
              </w:rPr>
            </w:pPr>
            <w:r w:rsidRPr="008E3F1A">
              <w:rPr>
                <w:rFonts w:eastAsia="Times New Roman" w:cs="Times New Roman"/>
                <w:b/>
                <w:bCs/>
                <w:i/>
                <w:iCs/>
                <w:color w:val="000000"/>
                <w:sz w:val="16"/>
                <w:szCs w:val="16"/>
                <w:lang w:eastAsia="lv-LV"/>
              </w:rPr>
              <w:t>65,6</w:t>
            </w:r>
          </w:p>
        </w:tc>
        <w:tc>
          <w:tcPr>
            <w:tcW w:w="724" w:type="dxa"/>
            <w:shd w:val="clear" w:color="000000" w:fill="F2F2F2"/>
            <w:noWrap/>
            <w:vAlign w:val="bottom"/>
            <w:hideMark/>
          </w:tcPr>
          <w:p w14:paraId="1F1BDA80"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c>
          <w:tcPr>
            <w:tcW w:w="889" w:type="dxa"/>
            <w:shd w:val="clear" w:color="000000" w:fill="F2F2F2"/>
            <w:noWrap/>
            <w:vAlign w:val="bottom"/>
            <w:hideMark/>
          </w:tcPr>
          <w:p w14:paraId="0A9A1A80" w14:textId="77777777" w:rsidR="006415B1" w:rsidRPr="008E3F1A" w:rsidRDefault="006415B1" w:rsidP="00881D12">
            <w:pPr>
              <w:spacing w:after="0"/>
              <w:ind w:firstLine="0"/>
              <w:jc w:val="left"/>
              <w:rPr>
                <w:rFonts w:eastAsia="Times New Roman" w:cs="Times New Roman"/>
                <w:sz w:val="16"/>
                <w:szCs w:val="16"/>
                <w:lang w:eastAsia="lv-LV"/>
              </w:rPr>
            </w:pPr>
            <w:r w:rsidRPr="008E3F1A">
              <w:rPr>
                <w:rFonts w:eastAsia="Times New Roman" w:cs="Times New Roman"/>
                <w:sz w:val="16"/>
                <w:szCs w:val="16"/>
                <w:lang w:eastAsia="lv-LV"/>
              </w:rPr>
              <w:t> </w:t>
            </w:r>
          </w:p>
        </w:tc>
      </w:tr>
    </w:tbl>
    <w:p w14:paraId="2D01CAA7" w14:textId="77777777" w:rsidR="006415B1" w:rsidRPr="005C00B2" w:rsidRDefault="006415B1" w:rsidP="006415B1">
      <w:pPr>
        <w:rPr>
          <w:rFonts w:cs="Times New Roman"/>
          <w:b/>
          <w:i/>
          <w:sz w:val="24"/>
        </w:rPr>
      </w:pPr>
    </w:p>
    <w:p w14:paraId="38C83120" w14:textId="77777777" w:rsidR="006415B1" w:rsidRDefault="006415B1" w:rsidP="00234FC7">
      <w:pPr>
        <w:spacing w:before="120" w:after="0"/>
        <w:ind w:left="720" w:firstLine="0"/>
        <w:jc w:val="left"/>
        <w:rPr>
          <w:rFonts w:eastAsia="Times New Roman" w:cs="Times New Roman"/>
          <w:i/>
          <w:iCs/>
          <w:color w:val="000000"/>
          <w:sz w:val="16"/>
          <w:szCs w:val="16"/>
          <w:lang w:eastAsia="lv-LV"/>
        </w:rPr>
      </w:pPr>
      <w:r w:rsidRPr="00062774">
        <w:rPr>
          <w:rFonts w:eastAsia="Times New Roman" w:cs="Times New Roman"/>
          <w:i/>
          <w:iCs/>
          <w:color w:val="000000"/>
          <w:sz w:val="16"/>
          <w:szCs w:val="16"/>
          <w:lang w:eastAsia="lv-LV"/>
        </w:rPr>
        <w:t>*Ieskaitot ziedojumus, dāvinājumus un atvasinātās publiskās personas  **Ieskaitot ziedojumus un dāvinājumus</w:t>
      </w:r>
    </w:p>
    <w:p w14:paraId="731164E6" w14:textId="77777777" w:rsidR="006415B1" w:rsidRPr="00062774" w:rsidRDefault="006415B1" w:rsidP="006415B1">
      <w:pPr>
        <w:spacing w:before="120" w:after="0"/>
        <w:ind w:firstLine="0"/>
        <w:jc w:val="left"/>
        <w:rPr>
          <w:rFonts w:eastAsia="Times New Roman" w:cs="Times New Roman"/>
          <w:i/>
          <w:iCs/>
          <w:color w:val="000000"/>
          <w:sz w:val="16"/>
          <w:szCs w:val="16"/>
          <w:lang w:eastAsia="lv-LV"/>
        </w:rPr>
      </w:pPr>
    </w:p>
    <w:p w14:paraId="7D58C84F" w14:textId="77777777" w:rsidR="006415B1" w:rsidRPr="00E757B9" w:rsidRDefault="006415B1" w:rsidP="006415B1">
      <w:pPr>
        <w:spacing w:after="0"/>
        <w:ind w:firstLine="720"/>
        <w:rPr>
          <w:rFonts w:cs="Times New Roman"/>
          <w:sz w:val="24"/>
        </w:rPr>
      </w:pPr>
      <w:r w:rsidRPr="00E757B9">
        <w:rPr>
          <w:rFonts w:cs="Times New Roman"/>
          <w:sz w:val="24"/>
        </w:rPr>
        <w:t xml:space="preserve">Šā gada pirmajā ceturksnī kopbudžeta ieņēmumos tika iekasēti 2 197,0 milj. </w:t>
      </w:r>
      <w:r w:rsidRPr="00E757B9">
        <w:rPr>
          <w:rFonts w:cs="Times New Roman"/>
          <w:i/>
          <w:sz w:val="24"/>
        </w:rPr>
        <w:t>euro</w:t>
      </w:r>
      <w:r w:rsidRPr="00E757B9">
        <w:rPr>
          <w:rFonts w:cs="Times New Roman"/>
          <w:sz w:val="24"/>
        </w:rPr>
        <w:t xml:space="preserve">, kas ir par 191,1 milj. </w:t>
      </w:r>
      <w:r w:rsidRPr="00E757B9">
        <w:rPr>
          <w:rFonts w:cs="Times New Roman"/>
          <w:i/>
          <w:sz w:val="24"/>
        </w:rPr>
        <w:t>euro</w:t>
      </w:r>
      <w:r w:rsidRPr="00E757B9">
        <w:rPr>
          <w:rFonts w:cs="Times New Roman"/>
          <w:sz w:val="24"/>
        </w:rPr>
        <w:t xml:space="preserve"> vairāk salīdzinājumā ar atbilstošo periodu pērn. Lielāko pieaugumu, par 85,3 milj. </w:t>
      </w:r>
      <w:r w:rsidRPr="00E757B9">
        <w:rPr>
          <w:rFonts w:cs="Times New Roman"/>
          <w:i/>
          <w:sz w:val="24"/>
        </w:rPr>
        <w:t>euro</w:t>
      </w:r>
      <w:r w:rsidRPr="00E757B9">
        <w:rPr>
          <w:rFonts w:cs="Times New Roman"/>
          <w:sz w:val="24"/>
        </w:rPr>
        <w:t xml:space="preserve"> jeb 30,5%, nodrošināja saņemtie ieņēmumi no ārvalstu finanšu palīdzības. Kopbudžeta nodokļu ieņēmumi 2015.gada pirmajā ceturksnī bija 1 662,0 milj. </w:t>
      </w:r>
      <w:r w:rsidRPr="00E757B9">
        <w:rPr>
          <w:rFonts w:cs="Times New Roman"/>
          <w:i/>
          <w:sz w:val="24"/>
        </w:rPr>
        <w:t>euro</w:t>
      </w:r>
      <w:r w:rsidRPr="00E757B9">
        <w:rPr>
          <w:rFonts w:cs="Times New Roman"/>
          <w:sz w:val="24"/>
        </w:rPr>
        <w:t xml:space="preserve">. Nodokļu ieņēmumu plāns trijos mēnešos tika izpildīts 99,7% apmērā. Plāna neizpildi pamatā skaidro zemāki nekā plānots pievienotās vērtības nodokļa un darbaspēka nodokļu ieņēmumi. Savukārt, salīdzinājumā ar 2014. gada pirmo ceturksni nodokļu ieņēmumi pieauga par 92,1 milj. </w:t>
      </w:r>
      <w:r w:rsidRPr="00E757B9">
        <w:rPr>
          <w:rFonts w:cs="Times New Roman"/>
          <w:i/>
          <w:sz w:val="24"/>
        </w:rPr>
        <w:t>euro</w:t>
      </w:r>
      <w:r w:rsidRPr="00E757B9">
        <w:rPr>
          <w:rFonts w:cs="Times New Roman"/>
          <w:sz w:val="24"/>
        </w:rPr>
        <w:t xml:space="preserve"> jeb 5,9%. Lielākais pieaugums bija vērojams tieši darbaspēka nodokļu ieņēmumos, un skaidrojams ar nodarbināto ienākumu kāpumu. Tāpat par 12,2 milj. </w:t>
      </w:r>
      <w:r w:rsidRPr="00E757B9">
        <w:rPr>
          <w:rFonts w:cs="Times New Roman"/>
          <w:i/>
          <w:sz w:val="24"/>
        </w:rPr>
        <w:t>euro</w:t>
      </w:r>
      <w:r w:rsidRPr="00E757B9">
        <w:rPr>
          <w:rFonts w:cs="Times New Roman"/>
          <w:sz w:val="24"/>
        </w:rPr>
        <w:t xml:space="preserve"> jeb 2,9% pieauga pievienotās vērtības nodokļa ieņēmumi. Ieņēmumu pieaugums skaidrojams ar veikto nodokļa iemaksu palielināšanos, pieaugot kopējai darījumu vērtībai. </w:t>
      </w:r>
    </w:p>
    <w:p w14:paraId="5209692C" w14:textId="77777777" w:rsidR="006415B1" w:rsidRPr="00E757B9" w:rsidRDefault="006415B1" w:rsidP="006415B1">
      <w:pPr>
        <w:spacing w:after="0"/>
        <w:ind w:firstLine="720"/>
        <w:rPr>
          <w:rFonts w:cs="Times New Roman"/>
          <w:sz w:val="24"/>
        </w:rPr>
      </w:pPr>
      <w:r w:rsidRPr="00E757B9">
        <w:rPr>
          <w:rFonts w:cs="Times New Roman"/>
          <w:sz w:val="24"/>
        </w:rPr>
        <w:t xml:space="preserve">Kopbudžeta izdevumi šā gada pirmajā ceturksnī bija 2 162,5 milj. </w:t>
      </w:r>
      <w:r w:rsidRPr="00E757B9">
        <w:rPr>
          <w:rFonts w:cs="Times New Roman"/>
          <w:i/>
          <w:sz w:val="24"/>
        </w:rPr>
        <w:t>euro</w:t>
      </w:r>
      <w:r w:rsidRPr="00E757B9">
        <w:rPr>
          <w:rFonts w:cs="Times New Roman"/>
          <w:sz w:val="24"/>
        </w:rPr>
        <w:t xml:space="preserve"> un salīdzinājumā ar pērnā gada trijiem mēnešiem pieauga par 183,5 milj. </w:t>
      </w:r>
      <w:r w:rsidRPr="00E757B9">
        <w:rPr>
          <w:rFonts w:cs="Times New Roman"/>
          <w:i/>
          <w:sz w:val="24"/>
        </w:rPr>
        <w:t>euro</w:t>
      </w:r>
      <w:r w:rsidRPr="00E757B9">
        <w:rPr>
          <w:rFonts w:cs="Times New Roman"/>
          <w:sz w:val="24"/>
        </w:rPr>
        <w:t xml:space="preserve">. Lielākais izdevumu kāpums par 77,0 milj. </w:t>
      </w:r>
      <w:r w:rsidRPr="00E757B9">
        <w:rPr>
          <w:rFonts w:cs="Times New Roman"/>
          <w:i/>
          <w:sz w:val="24"/>
        </w:rPr>
        <w:t>euro</w:t>
      </w:r>
      <w:r w:rsidRPr="00E757B9">
        <w:rPr>
          <w:rFonts w:cs="Times New Roman"/>
          <w:sz w:val="24"/>
        </w:rPr>
        <w:t xml:space="preserve"> jeb 13,5% vērojams sociālajiem pabalstiem, kur izdevumi pensijām pieauga par 43,7 milj. </w:t>
      </w:r>
      <w:r w:rsidRPr="00E757B9">
        <w:rPr>
          <w:rFonts w:cs="Times New Roman"/>
          <w:i/>
          <w:sz w:val="24"/>
        </w:rPr>
        <w:t>euro</w:t>
      </w:r>
      <w:r w:rsidRPr="00E757B9">
        <w:rPr>
          <w:rFonts w:cs="Times New Roman"/>
          <w:sz w:val="24"/>
        </w:rPr>
        <w:t xml:space="preserve"> jeb 11,0% un izdevumi pārējiem sociāliem pabalstiem par 31,3 milj. </w:t>
      </w:r>
      <w:r w:rsidRPr="00E757B9">
        <w:rPr>
          <w:rFonts w:cs="Times New Roman"/>
          <w:i/>
          <w:sz w:val="24"/>
        </w:rPr>
        <w:t>euro</w:t>
      </w:r>
      <w:r w:rsidRPr="00E757B9">
        <w:rPr>
          <w:rFonts w:cs="Times New Roman"/>
          <w:sz w:val="24"/>
        </w:rPr>
        <w:t xml:space="preserve"> jeb 19,9%. Pensiju izdevumu pieaugums skaidrojams ar savlaicīgi veiktajām pensiju izmaksām, sakarā ar Lieldienu brīvdienām. Savukārt, pārējo sociālo pabalstu pieaugums skaidrojams ar sociālās apdrošināšanas pabalstu griestu atcelšanu, kā arī ģimenes valsts pabalsta apmēra palielināšanu par otro un trešo bērnu. Ar atalgojumu saistītie izdevumi kopumā pieauga par 31,5 milj. </w:t>
      </w:r>
      <w:r w:rsidRPr="00E757B9">
        <w:rPr>
          <w:rFonts w:cs="Times New Roman"/>
          <w:i/>
          <w:sz w:val="24"/>
        </w:rPr>
        <w:t>euro</w:t>
      </w:r>
      <w:r w:rsidRPr="00E757B9">
        <w:rPr>
          <w:rFonts w:cs="Times New Roman"/>
          <w:sz w:val="24"/>
        </w:rPr>
        <w:t xml:space="preserve"> jeb 10,5%. Savukārt, izdevumi subsīdijām un dotācijām pieauga par 25,5 milj. </w:t>
      </w:r>
      <w:r w:rsidRPr="00E757B9">
        <w:rPr>
          <w:rFonts w:cs="Times New Roman"/>
          <w:i/>
          <w:sz w:val="24"/>
        </w:rPr>
        <w:t>euro</w:t>
      </w:r>
      <w:r w:rsidRPr="00E757B9">
        <w:rPr>
          <w:rFonts w:cs="Times New Roman"/>
          <w:sz w:val="24"/>
        </w:rPr>
        <w:t xml:space="preserve"> jeb 6,5%, kas galvenokārt skaidrojams ar lielākiem izdevumiem ES fondu projektiem satiksmes infrastruktūras uzlabošanas un uzņēmējdarbības un inovāciju jomās.</w:t>
      </w:r>
    </w:p>
    <w:p w14:paraId="4E149B2B" w14:textId="77777777" w:rsidR="006415B1" w:rsidRPr="00062774" w:rsidRDefault="00234FC7" w:rsidP="00234FC7">
      <w:pPr>
        <w:spacing w:after="0"/>
        <w:ind w:firstLine="0"/>
        <w:jc w:val="center"/>
        <w:rPr>
          <w:rFonts w:cs="Times New Roman"/>
        </w:rPr>
      </w:pPr>
      <w:r w:rsidRPr="00E757B9">
        <w:rPr>
          <w:noProof/>
          <w:sz w:val="24"/>
          <w:lang w:eastAsia="lv-LV"/>
        </w:rPr>
        <w:drawing>
          <wp:inline distT="0" distB="0" distL="0" distR="0" wp14:anchorId="7D88DDE3" wp14:editId="06B538D7">
            <wp:extent cx="5807710" cy="3064510"/>
            <wp:effectExtent l="0" t="0" r="2540" b="254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91A6D4" w14:textId="77777777" w:rsidR="00234FC7" w:rsidRPr="00234FC7" w:rsidRDefault="00234FC7" w:rsidP="00234FC7">
      <w:pPr>
        <w:spacing w:after="0"/>
        <w:ind w:firstLine="0"/>
        <w:jc w:val="center"/>
        <w:rPr>
          <w:noProof/>
          <w:sz w:val="22"/>
          <w:lang w:eastAsia="lv-LV"/>
        </w:rPr>
      </w:pPr>
      <w:r w:rsidRPr="00234FC7">
        <w:rPr>
          <w:rFonts w:cs="Times New Roman"/>
          <w:b/>
          <w:sz w:val="20"/>
        </w:rPr>
        <w:t>2.1</w:t>
      </w:r>
      <w:r w:rsidR="006415B1" w:rsidRPr="00234FC7">
        <w:rPr>
          <w:rFonts w:cs="Times New Roman"/>
          <w:b/>
          <w:sz w:val="20"/>
        </w:rPr>
        <w:t>. att. Konsolidētā kopbudžeta finansiālā bilance, milj. euro</w:t>
      </w:r>
    </w:p>
    <w:p w14:paraId="79B9BD32" w14:textId="77777777" w:rsidR="006415B1" w:rsidRDefault="006415B1" w:rsidP="006415B1">
      <w:pPr>
        <w:spacing w:after="0"/>
        <w:ind w:firstLine="0"/>
        <w:rPr>
          <w:rFonts w:cs="Times New Roman"/>
        </w:rPr>
      </w:pPr>
      <w:r>
        <w:rPr>
          <w:rFonts w:cs="Times New Roman"/>
        </w:rPr>
        <w:t xml:space="preserve"> </w:t>
      </w:r>
      <w:r>
        <w:rPr>
          <w:rFonts w:cs="Times New Roman"/>
        </w:rPr>
        <w:br w:type="page"/>
      </w:r>
    </w:p>
    <w:p w14:paraId="659C317B" w14:textId="77777777" w:rsidR="006415B1" w:rsidRDefault="006415B1" w:rsidP="006415B1">
      <w:pPr>
        <w:spacing w:after="0"/>
        <w:ind w:firstLine="0"/>
        <w:rPr>
          <w:rFonts w:cs="Times New Roman"/>
          <w:b/>
          <w:i/>
          <w:sz w:val="24"/>
        </w:rPr>
      </w:pPr>
    </w:p>
    <w:p w14:paraId="34232183" w14:textId="77777777" w:rsidR="006415B1" w:rsidRPr="004E2AC5" w:rsidRDefault="001C1C52" w:rsidP="00E757B9">
      <w:pPr>
        <w:pStyle w:val="Style2"/>
        <w:jc w:val="center"/>
        <w:rPr>
          <w:sz w:val="48"/>
          <w:szCs w:val="20"/>
        </w:rPr>
      </w:pPr>
      <w:bookmarkStart w:id="61" w:name="_Toc356399258"/>
      <w:bookmarkStart w:id="62" w:name="_Toc356399759"/>
      <w:bookmarkStart w:id="63" w:name="_Toc419737734"/>
      <w:r>
        <w:t>2.2</w:t>
      </w:r>
      <w:r w:rsidR="006415B1" w:rsidRPr="004E2AC5">
        <w:t>. Nodokļu un nenodokļu ieņēmumi</w:t>
      </w:r>
      <w:bookmarkEnd w:id="61"/>
      <w:bookmarkEnd w:id="62"/>
      <w:bookmarkEnd w:id="63"/>
    </w:p>
    <w:p w14:paraId="42C972A9" w14:textId="77777777" w:rsidR="006415B1" w:rsidRPr="004E2AC5" w:rsidRDefault="001C1C52" w:rsidP="00E757B9">
      <w:pPr>
        <w:pStyle w:val="Style3"/>
        <w:jc w:val="center"/>
      </w:pPr>
      <w:bookmarkStart w:id="64" w:name="_Toc356399259"/>
      <w:bookmarkStart w:id="65" w:name="_Toc356399760"/>
      <w:bookmarkStart w:id="66" w:name="_Toc419737735"/>
      <w:r>
        <w:t>2.2</w:t>
      </w:r>
      <w:r w:rsidR="006415B1" w:rsidRPr="004E2AC5">
        <w:t>.1. Nodokļi ieņēmumu izpilde</w:t>
      </w:r>
      <w:bookmarkEnd w:id="64"/>
      <w:bookmarkEnd w:id="65"/>
      <w:bookmarkEnd w:id="66"/>
    </w:p>
    <w:p w14:paraId="45408F97" w14:textId="77777777" w:rsidR="006415B1" w:rsidRPr="00E757B9" w:rsidRDefault="006415B1" w:rsidP="006415B1">
      <w:pPr>
        <w:ind w:firstLine="720"/>
        <w:rPr>
          <w:rFonts w:cs="Times New Roman"/>
          <w:sz w:val="24"/>
        </w:rPr>
      </w:pPr>
      <w:r w:rsidRPr="00E757B9">
        <w:rPr>
          <w:rFonts w:cs="Times New Roman"/>
          <w:sz w:val="24"/>
        </w:rPr>
        <w:t>Kopējie nodokļu ieņēmumi (ieskaitot valsts fondēto pensiju shēmas līdzekļus un mikrouzņēmuma nodokļa nesadalītos ieņēmumus) 2015. gada pirmajā ceturksnī bija 1 726,9 milj. </w:t>
      </w:r>
      <w:r w:rsidRPr="00E757B9">
        <w:rPr>
          <w:rFonts w:cs="Times New Roman"/>
          <w:i/>
          <w:sz w:val="24"/>
          <w:szCs w:val="24"/>
        </w:rPr>
        <w:t>euro</w:t>
      </w:r>
      <w:r w:rsidRPr="00E757B9">
        <w:rPr>
          <w:rFonts w:cs="Times New Roman"/>
          <w:sz w:val="24"/>
        </w:rPr>
        <w:t>, kas ir par 3,2 milj. </w:t>
      </w:r>
      <w:r w:rsidRPr="00E757B9">
        <w:rPr>
          <w:rFonts w:cs="Times New Roman"/>
          <w:i/>
          <w:sz w:val="24"/>
          <w:szCs w:val="24"/>
        </w:rPr>
        <w:t>euro</w:t>
      </w:r>
      <w:r w:rsidRPr="00E757B9">
        <w:rPr>
          <w:rFonts w:cs="Times New Roman"/>
          <w:sz w:val="24"/>
        </w:rPr>
        <w:t xml:space="preserve"> jeb 0,2% mazāk nekā plānots.</w:t>
      </w:r>
    </w:p>
    <w:p w14:paraId="58D177A9" w14:textId="77777777" w:rsidR="006415B1" w:rsidRPr="00843F34" w:rsidRDefault="00E757B9" w:rsidP="006415B1">
      <w:pPr>
        <w:ind w:firstLine="0"/>
        <w:jc w:val="right"/>
        <w:rPr>
          <w:b/>
          <w:sz w:val="20"/>
        </w:rPr>
      </w:pPr>
      <w:r w:rsidRPr="00843F34">
        <w:rPr>
          <w:b/>
          <w:sz w:val="20"/>
        </w:rPr>
        <w:t>2.2</w:t>
      </w:r>
      <w:r w:rsidR="006415B1" w:rsidRPr="00843F34">
        <w:rPr>
          <w:b/>
          <w:sz w:val="20"/>
        </w:rPr>
        <w:t>. tabula. Nodokļu ieņēmumi, milj. euro</w:t>
      </w:r>
    </w:p>
    <w:tbl>
      <w:tblPr>
        <w:tblW w:w="91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1276"/>
        <w:gridCol w:w="1144"/>
        <w:gridCol w:w="1408"/>
        <w:gridCol w:w="1280"/>
      </w:tblGrid>
      <w:tr w:rsidR="006415B1" w:rsidRPr="00CC4E6B" w14:paraId="697E4C16" w14:textId="77777777" w:rsidTr="00881D12">
        <w:trPr>
          <w:trHeight w:val="900"/>
        </w:trPr>
        <w:tc>
          <w:tcPr>
            <w:tcW w:w="3992" w:type="dxa"/>
            <w:shd w:val="clear" w:color="auto" w:fill="auto"/>
            <w:noWrap/>
            <w:vAlign w:val="bottom"/>
            <w:hideMark/>
          </w:tcPr>
          <w:p w14:paraId="76E86622" w14:textId="77777777" w:rsidR="006415B1" w:rsidRPr="00CC4E6B" w:rsidRDefault="006415B1" w:rsidP="00881D12">
            <w:pPr>
              <w:spacing w:after="0"/>
              <w:ind w:firstLine="0"/>
              <w:jc w:val="center"/>
              <w:rPr>
                <w:sz w:val="20"/>
                <w:lang w:eastAsia="lv-LV"/>
              </w:rPr>
            </w:pPr>
          </w:p>
          <w:p w14:paraId="4CA31B17" w14:textId="77777777" w:rsidR="006415B1" w:rsidRPr="00CC4E6B" w:rsidRDefault="006415B1" w:rsidP="00881D12">
            <w:pPr>
              <w:spacing w:after="0"/>
              <w:ind w:firstLine="0"/>
              <w:jc w:val="center"/>
              <w:rPr>
                <w:sz w:val="20"/>
                <w:lang w:eastAsia="lv-LV"/>
              </w:rPr>
            </w:pPr>
          </w:p>
          <w:p w14:paraId="28531B32" w14:textId="77777777" w:rsidR="006415B1" w:rsidRPr="00CC4E6B" w:rsidRDefault="006415B1" w:rsidP="00881D12">
            <w:pPr>
              <w:spacing w:after="0"/>
              <w:ind w:firstLine="0"/>
              <w:jc w:val="center"/>
              <w:rPr>
                <w:sz w:val="20"/>
                <w:lang w:eastAsia="lv-LV"/>
              </w:rPr>
            </w:pPr>
          </w:p>
        </w:tc>
        <w:tc>
          <w:tcPr>
            <w:tcW w:w="1276" w:type="dxa"/>
            <w:shd w:val="clear" w:color="auto" w:fill="auto"/>
            <w:vAlign w:val="center"/>
            <w:hideMark/>
          </w:tcPr>
          <w:p w14:paraId="17471ED7" w14:textId="77777777" w:rsidR="006415B1" w:rsidRDefault="006415B1" w:rsidP="00881D12">
            <w:pPr>
              <w:spacing w:after="0"/>
              <w:ind w:firstLine="0"/>
              <w:jc w:val="center"/>
              <w:rPr>
                <w:sz w:val="20"/>
                <w:lang w:eastAsia="lv-LV"/>
              </w:rPr>
            </w:pPr>
            <w:r>
              <w:rPr>
                <w:sz w:val="20"/>
                <w:lang w:eastAsia="lv-LV"/>
              </w:rPr>
              <w:t>2015</w:t>
            </w:r>
            <w:r w:rsidRPr="00CC4E6B">
              <w:rPr>
                <w:sz w:val="20"/>
                <w:lang w:eastAsia="lv-LV"/>
              </w:rPr>
              <w:t>. gada I ceturksnis</w:t>
            </w:r>
          </w:p>
          <w:p w14:paraId="1E76D122" w14:textId="77777777" w:rsidR="006415B1" w:rsidRPr="00CC4E6B" w:rsidRDefault="006415B1" w:rsidP="00881D12">
            <w:pPr>
              <w:spacing w:after="0"/>
              <w:ind w:firstLine="0"/>
              <w:jc w:val="center"/>
              <w:rPr>
                <w:sz w:val="20"/>
                <w:lang w:eastAsia="lv-LV"/>
              </w:rPr>
            </w:pPr>
            <w:r>
              <w:rPr>
                <w:sz w:val="20"/>
                <w:lang w:eastAsia="lv-LV"/>
              </w:rPr>
              <w:t>plāns</w:t>
            </w:r>
            <w:r>
              <w:rPr>
                <w:rStyle w:val="FootnoteReference"/>
                <w:sz w:val="20"/>
                <w:lang w:eastAsia="lv-LV"/>
              </w:rPr>
              <w:footnoteReference w:id="5"/>
            </w:r>
          </w:p>
        </w:tc>
        <w:tc>
          <w:tcPr>
            <w:tcW w:w="1144" w:type="dxa"/>
            <w:vAlign w:val="center"/>
          </w:tcPr>
          <w:p w14:paraId="4F41D393" w14:textId="77777777" w:rsidR="006415B1" w:rsidRDefault="006415B1" w:rsidP="00881D12">
            <w:pPr>
              <w:spacing w:after="0"/>
              <w:ind w:firstLine="0"/>
              <w:jc w:val="center"/>
              <w:rPr>
                <w:sz w:val="20"/>
                <w:lang w:eastAsia="lv-LV"/>
              </w:rPr>
            </w:pPr>
            <w:r w:rsidRPr="00CC4E6B">
              <w:rPr>
                <w:sz w:val="20"/>
                <w:lang w:eastAsia="lv-LV"/>
              </w:rPr>
              <w:t>2015. gada</w:t>
            </w:r>
            <w:r w:rsidRPr="00CC4E6B">
              <w:rPr>
                <w:sz w:val="20"/>
                <w:lang w:eastAsia="lv-LV"/>
              </w:rPr>
              <w:br/>
              <w:t>I ceturksnis</w:t>
            </w:r>
          </w:p>
          <w:p w14:paraId="2B5EA085" w14:textId="77777777" w:rsidR="006415B1" w:rsidRPr="00CC4E6B" w:rsidRDefault="006415B1" w:rsidP="00881D12">
            <w:pPr>
              <w:spacing w:after="0"/>
              <w:ind w:firstLine="0"/>
              <w:jc w:val="center"/>
              <w:rPr>
                <w:sz w:val="20"/>
                <w:lang w:eastAsia="lv-LV"/>
              </w:rPr>
            </w:pPr>
            <w:r>
              <w:rPr>
                <w:sz w:val="20"/>
                <w:lang w:eastAsia="lv-LV"/>
              </w:rPr>
              <w:t>fakts</w:t>
            </w:r>
          </w:p>
        </w:tc>
        <w:tc>
          <w:tcPr>
            <w:tcW w:w="1408" w:type="dxa"/>
            <w:shd w:val="clear" w:color="auto" w:fill="auto"/>
            <w:vAlign w:val="center"/>
            <w:hideMark/>
          </w:tcPr>
          <w:p w14:paraId="6840DA4B" w14:textId="77777777" w:rsidR="006415B1" w:rsidRPr="00CC4E6B" w:rsidRDefault="006415B1" w:rsidP="00881D12">
            <w:pPr>
              <w:spacing w:after="0"/>
              <w:ind w:firstLine="0"/>
              <w:jc w:val="center"/>
              <w:rPr>
                <w:sz w:val="20"/>
                <w:lang w:eastAsia="lv-LV"/>
              </w:rPr>
            </w:pPr>
            <w:r w:rsidRPr="00CC4E6B">
              <w:rPr>
                <w:sz w:val="20"/>
                <w:lang w:eastAsia="lv-LV"/>
              </w:rPr>
              <w:t>Izmaiņas</w:t>
            </w:r>
            <w:r w:rsidRPr="00CC4E6B">
              <w:rPr>
                <w:sz w:val="20"/>
                <w:lang w:eastAsia="lv-LV"/>
              </w:rPr>
              <w:br/>
            </w:r>
            <w:r>
              <w:rPr>
                <w:sz w:val="20"/>
                <w:lang w:eastAsia="lv-LV"/>
              </w:rPr>
              <w:t>pret plānu</w:t>
            </w:r>
          </w:p>
          <w:p w14:paraId="1B035022" w14:textId="77777777" w:rsidR="006415B1" w:rsidRPr="00CC4E6B" w:rsidRDefault="006415B1" w:rsidP="00881D12">
            <w:pPr>
              <w:spacing w:after="0"/>
              <w:ind w:firstLine="0"/>
              <w:jc w:val="center"/>
              <w:rPr>
                <w:sz w:val="20"/>
                <w:lang w:eastAsia="lv-LV"/>
              </w:rPr>
            </w:pPr>
            <w:r w:rsidRPr="00CC4E6B">
              <w:rPr>
                <w:sz w:val="20"/>
                <w:lang w:eastAsia="lv-LV"/>
              </w:rPr>
              <w:t>milj. </w:t>
            </w:r>
            <w:r w:rsidRPr="00CC4E6B">
              <w:rPr>
                <w:i/>
                <w:sz w:val="20"/>
                <w:szCs w:val="24"/>
                <w:lang w:eastAsia="lv-LV"/>
              </w:rPr>
              <w:t>euro</w:t>
            </w:r>
          </w:p>
        </w:tc>
        <w:tc>
          <w:tcPr>
            <w:tcW w:w="1280" w:type="dxa"/>
            <w:shd w:val="clear" w:color="auto" w:fill="auto"/>
            <w:vAlign w:val="center"/>
            <w:hideMark/>
          </w:tcPr>
          <w:p w14:paraId="6925D681" w14:textId="77777777" w:rsidR="006415B1" w:rsidRPr="00CC4E6B" w:rsidRDefault="006415B1" w:rsidP="00881D12">
            <w:pPr>
              <w:spacing w:after="0"/>
              <w:ind w:firstLine="0"/>
              <w:jc w:val="center"/>
              <w:rPr>
                <w:sz w:val="20"/>
                <w:lang w:eastAsia="lv-LV"/>
              </w:rPr>
            </w:pPr>
            <w:r w:rsidRPr="00CC4E6B">
              <w:rPr>
                <w:sz w:val="20"/>
                <w:lang w:eastAsia="lv-LV"/>
              </w:rPr>
              <w:t>Izmaiņas</w:t>
            </w:r>
            <w:r w:rsidRPr="00CC4E6B">
              <w:rPr>
                <w:sz w:val="20"/>
                <w:lang w:eastAsia="lv-LV"/>
              </w:rPr>
              <w:br/>
            </w:r>
            <w:r>
              <w:rPr>
                <w:sz w:val="20"/>
                <w:lang w:eastAsia="lv-LV"/>
              </w:rPr>
              <w:t>pret plānu</w:t>
            </w:r>
            <w:r w:rsidRPr="00CC4E6B">
              <w:rPr>
                <w:sz w:val="20"/>
                <w:lang w:eastAsia="lv-LV"/>
              </w:rPr>
              <w:t>,</w:t>
            </w:r>
          </w:p>
          <w:p w14:paraId="6BA30EDE" w14:textId="77777777" w:rsidR="006415B1" w:rsidRPr="00CC4E6B" w:rsidRDefault="006415B1" w:rsidP="00881D12">
            <w:pPr>
              <w:spacing w:after="0"/>
              <w:ind w:firstLine="0"/>
              <w:jc w:val="center"/>
              <w:rPr>
                <w:sz w:val="20"/>
                <w:lang w:eastAsia="lv-LV"/>
              </w:rPr>
            </w:pPr>
            <w:r w:rsidRPr="00CC4E6B">
              <w:rPr>
                <w:sz w:val="20"/>
                <w:lang w:eastAsia="lv-LV"/>
              </w:rPr>
              <w:t>%</w:t>
            </w:r>
          </w:p>
        </w:tc>
      </w:tr>
      <w:tr w:rsidR="006415B1" w:rsidRPr="00CC4E6B" w14:paraId="6811AEEB" w14:textId="77777777" w:rsidTr="00881D12">
        <w:trPr>
          <w:trHeight w:val="240"/>
        </w:trPr>
        <w:tc>
          <w:tcPr>
            <w:tcW w:w="3992" w:type="dxa"/>
            <w:shd w:val="clear" w:color="auto" w:fill="auto"/>
            <w:noWrap/>
            <w:vAlign w:val="bottom"/>
            <w:hideMark/>
          </w:tcPr>
          <w:p w14:paraId="2D39E87F" w14:textId="77777777" w:rsidR="006415B1" w:rsidRPr="00CC4E6B" w:rsidRDefault="006415B1" w:rsidP="00881D12">
            <w:pPr>
              <w:spacing w:after="0"/>
              <w:ind w:firstLine="0"/>
              <w:jc w:val="left"/>
              <w:rPr>
                <w:sz w:val="20"/>
                <w:lang w:eastAsia="lv-LV"/>
              </w:rPr>
            </w:pPr>
            <w:r w:rsidRPr="00CC4E6B">
              <w:rPr>
                <w:sz w:val="20"/>
                <w:lang w:eastAsia="lv-LV"/>
              </w:rPr>
              <w:t>Uzņēmumu ienākuma nodoklis</w:t>
            </w:r>
          </w:p>
        </w:tc>
        <w:tc>
          <w:tcPr>
            <w:tcW w:w="1276" w:type="dxa"/>
            <w:noWrap/>
            <w:vAlign w:val="bottom"/>
          </w:tcPr>
          <w:p w14:paraId="21991752"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81,7</w:t>
            </w:r>
          </w:p>
        </w:tc>
        <w:tc>
          <w:tcPr>
            <w:tcW w:w="1144" w:type="dxa"/>
            <w:vAlign w:val="bottom"/>
          </w:tcPr>
          <w:p w14:paraId="09206DB3"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90,0</w:t>
            </w:r>
          </w:p>
        </w:tc>
        <w:tc>
          <w:tcPr>
            <w:tcW w:w="1408" w:type="dxa"/>
            <w:shd w:val="clear" w:color="auto" w:fill="auto"/>
            <w:noWrap/>
            <w:vAlign w:val="bottom"/>
          </w:tcPr>
          <w:p w14:paraId="3C1D1563"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8,3</w:t>
            </w:r>
          </w:p>
        </w:tc>
        <w:tc>
          <w:tcPr>
            <w:tcW w:w="1280" w:type="dxa"/>
            <w:shd w:val="clear" w:color="auto" w:fill="auto"/>
            <w:noWrap/>
            <w:vAlign w:val="bottom"/>
          </w:tcPr>
          <w:p w14:paraId="42CA5AFF"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10,2</w:t>
            </w:r>
          </w:p>
        </w:tc>
      </w:tr>
      <w:tr w:rsidR="006415B1" w:rsidRPr="00CC4E6B" w14:paraId="08CC3DED" w14:textId="77777777" w:rsidTr="00881D12">
        <w:trPr>
          <w:trHeight w:val="240"/>
        </w:trPr>
        <w:tc>
          <w:tcPr>
            <w:tcW w:w="3992" w:type="dxa"/>
            <w:shd w:val="clear" w:color="auto" w:fill="auto"/>
            <w:noWrap/>
            <w:vAlign w:val="bottom"/>
            <w:hideMark/>
          </w:tcPr>
          <w:p w14:paraId="097055C0" w14:textId="77777777" w:rsidR="006415B1" w:rsidRPr="00CC4E6B" w:rsidRDefault="006415B1" w:rsidP="00881D12">
            <w:pPr>
              <w:spacing w:after="0"/>
              <w:ind w:firstLine="0"/>
              <w:jc w:val="left"/>
              <w:rPr>
                <w:sz w:val="20"/>
                <w:lang w:eastAsia="lv-LV"/>
              </w:rPr>
            </w:pPr>
            <w:r w:rsidRPr="00CC4E6B">
              <w:rPr>
                <w:sz w:val="20"/>
                <w:lang w:eastAsia="lv-LV"/>
              </w:rPr>
              <w:t>Pievienotās vērtības nodoklis</w:t>
            </w:r>
          </w:p>
        </w:tc>
        <w:tc>
          <w:tcPr>
            <w:tcW w:w="1276" w:type="dxa"/>
            <w:noWrap/>
            <w:vAlign w:val="bottom"/>
          </w:tcPr>
          <w:p w14:paraId="35965B33"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453,5</w:t>
            </w:r>
          </w:p>
        </w:tc>
        <w:tc>
          <w:tcPr>
            <w:tcW w:w="1144" w:type="dxa"/>
            <w:vAlign w:val="bottom"/>
          </w:tcPr>
          <w:p w14:paraId="6435930F"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434,2</w:t>
            </w:r>
          </w:p>
        </w:tc>
        <w:tc>
          <w:tcPr>
            <w:tcW w:w="1408" w:type="dxa"/>
            <w:shd w:val="clear" w:color="auto" w:fill="auto"/>
            <w:noWrap/>
            <w:vAlign w:val="bottom"/>
          </w:tcPr>
          <w:p w14:paraId="765796FD"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-19,3</w:t>
            </w:r>
          </w:p>
        </w:tc>
        <w:tc>
          <w:tcPr>
            <w:tcW w:w="1280" w:type="dxa"/>
            <w:shd w:val="clear" w:color="auto" w:fill="auto"/>
            <w:noWrap/>
            <w:vAlign w:val="bottom"/>
          </w:tcPr>
          <w:p w14:paraId="1948615F"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-4,3</w:t>
            </w:r>
          </w:p>
        </w:tc>
      </w:tr>
      <w:tr w:rsidR="006415B1" w:rsidRPr="00CC4E6B" w14:paraId="10139FDD" w14:textId="77777777" w:rsidTr="00881D12">
        <w:trPr>
          <w:trHeight w:val="240"/>
        </w:trPr>
        <w:tc>
          <w:tcPr>
            <w:tcW w:w="3992" w:type="dxa"/>
            <w:shd w:val="clear" w:color="auto" w:fill="auto"/>
            <w:noWrap/>
            <w:vAlign w:val="bottom"/>
            <w:hideMark/>
          </w:tcPr>
          <w:p w14:paraId="1E705A5B" w14:textId="77777777" w:rsidR="006415B1" w:rsidRPr="00CC4E6B" w:rsidRDefault="006415B1" w:rsidP="00881D12">
            <w:pPr>
              <w:spacing w:after="0"/>
              <w:ind w:firstLine="0"/>
              <w:jc w:val="left"/>
              <w:rPr>
                <w:sz w:val="20"/>
                <w:lang w:eastAsia="lv-LV"/>
              </w:rPr>
            </w:pPr>
            <w:r w:rsidRPr="00CC4E6B">
              <w:rPr>
                <w:sz w:val="20"/>
                <w:lang w:eastAsia="lv-LV"/>
              </w:rPr>
              <w:t>Akcīzes nodoklis</w:t>
            </w:r>
          </w:p>
        </w:tc>
        <w:tc>
          <w:tcPr>
            <w:tcW w:w="1276" w:type="dxa"/>
            <w:noWrap/>
            <w:vAlign w:val="bottom"/>
          </w:tcPr>
          <w:p w14:paraId="574723CF"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179,4</w:t>
            </w:r>
          </w:p>
        </w:tc>
        <w:tc>
          <w:tcPr>
            <w:tcW w:w="1144" w:type="dxa"/>
            <w:vAlign w:val="bottom"/>
          </w:tcPr>
          <w:p w14:paraId="5F35925D"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181,1</w:t>
            </w:r>
          </w:p>
        </w:tc>
        <w:tc>
          <w:tcPr>
            <w:tcW w:w="1408" w:type="dxa"/>
            <w:shd w:val="clear" w:color="auto" w:fill="auto"/>
            <w:noWrap/>
            <w:vAlign w:val="bottom"/>
          </w:tcPr>
          <w:p w14:paraId="253CF5A5"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1,7</w:t>
            </w:r>
          </w:p>
        </w:tc>
        <w:tc>
          <w:tcPr>
            <w:tcW w:w="1280" w:type="dxa"/>
            <w:shd w:val="clear" w:color="auto" w:fill="auto"/>
            <w:noWrap/>
            <w:vAlign w:val="bottom"/>
          </w:tcPr>
          <w:p w14:paraId="2EA87816"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0,9</w:t>
            </w:r>
          </w:p>
        </w:tc>
      </w:tr>
      <w:tr w:rsidR="006415B1" w:rsidRPr="00CC4E6B" w14:paraId="533A646A" w14:textId="77777777" w:rsidTr="00881D12">
        <w:trPr>
          <w:trHeight w:val="240"/>
        </w:trPr>
        <w:tc>
          <w:tcPr>
            <w:tcW w:w="3992" w:type="dxa"/>
            <w:shd w:val="clear" w:color="auto" w:fill="auto"/>
            <w:noWrap/>
            <w:vAlign w:val="bottom"/>
            <w:hideMark/>
          </w:tcPr>
          <w:p w14:paraId="5BE899C8" w14:textId="77777777" w:rsidR="006415B1" w:rsidRPr="00CC4E6B" w:rsidRDefault="006415B1" w:rsidP="00881D12">
            <w:pPr>
              <w:spacing w:after="0"/>
              <w:ind w:firstLine="0"/>
              <w:jc w:val="left"/>
              <w:rPr>
                <w:sz w:val="20"/>
                <w:lang w:eastAsia="lv-LV"/>
              </w:rPr>
            </w:pPr>
            <w:r w:rsidRPr="00CC4E6B">
              <w:rPr>
                <w:sz w:val="20"/>
                <w:lang w:eastAsia="lv-LV"/>
              </w:rPr>
              <w:t>Vieglo automobiļu un motociklu nodoklis</w:t>
            </w:r>
          </w:p>
        </w:tc>
        <w:tc>
          <w:tcPr>
            <w:tcW w:w="1276" w:type="dxa"/>
            <w:noWrap/>
            <w:vAlign w:val="bottom"/>
          </w:tcPr>
          <w:p w14:paraId="056065DA"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2,5</w:t>
            </w:r>
          </w:p>
        </w:tc>
        <w:tc>
          <w:tcPr>
            <w:tcW w:w="1144" w:type="dxa"/>
            <w:vAlign w:val="bottom"/>
          </w:tcPr>
          <w:p w14:paraId="5E3007A7"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2,5</w:t>
            </w:r>
          </w:p>
        </w:tc>
        <w:tc>
          <w:tcPr>
            <w:tcW w:w="1408" w:type="dxa"/>
            <w:shd w:val="clear" w:color="auto" w:fill="auto"/>
            <w:noWrap/>
            <w:vAlign w:val="bottom"/>
          </w:tcPr>
          <w:p w14:paraId="73A278FE"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-0,1</w:t>
            </w:r>
          </w:p>
        </w:tc>
        <w:tc>
          <w:tcPr>
            <w:tcW w:w="1280" w:type="dxa"/>
            <w:shd w:val="clear" w:color="auto" w:fill="auto"/>
            <w:noWrap/>
            <w:vAlign w:val="bottom"/>
          </w:tcPr>
          <w:p w14:paraId="3B08949F"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-2,2</w:t>
            </w:r>
          </w:p>
        </w:tc>
      </w:tr>
      <w:tr w:rsidR="006415B1" w:rsidRPr="00CC4E6B" w14:paraId="2604219C" w14:textId="77777777" w:rsidTr="00881D12">
        <w:trPr>
          <w:trHeight w:val="240"/>
        </w:trPr>
        <w:tc>
          <w:tcPr>
            <w:tcW w:w="3992" w:type="dxa"/>
            <w:shd w:val="clear" w:color="auto" w:fill="auto"/>
            <w:noWrap/>
            <w:vAlign w:val="bottom"/>
            <w:hideMark/>
          </w:tcPr>
          <w:p w14:paraId="022B0962" w14:textId="77777777" w:rsidR="006415B1" w:rsidRPr="00CC4E6B" w:rsidRDefault="006415B1" w:rsidP="00881D12">
            <w:pPr>
              <w:spacing w:after="0"/>
              <w:ind w:firstLine="0"/>
              <w:jc w:val="left"/>
              <w:rPr>
                <w:sz w:val="20"/>
                <w:lang w:eastAsia="lv-LV"/>
              </w:rPr>
            </w:pPr>
            <w:r w:rsidRPr="00CC4E6B">
              <w:rPr>
                <w:sz w:val="20"/>
                <w:lang w:eastAsia="lv-LV"/>
              </w:rPr>
              <w:t>Sociālās apdrošināšanas iemaksas*</w:t>
            </w:r>
          </w:p>
        </w:tc>
        <w:tc>
          <w:tcPr>
            <w:tcW w:w="1276" w:type="dxa"/>
            <w:noWrap/>
            <w:vAlign w:val="bottom"/>
          </w:tcPr>
          <w:p w14:paraId="4813A408"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554,3</w:t>
            </w:r>
          </w:p>
        </w:tc>
        <w:tc>
          <w:tcPr>
            <w:tcW w:w="1144" w:type="dxa"/>
            <w:vAlign w:val="bottom"/>
          </w:tcPr>
          <w:p w14:paraId="34889FED"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548,2</w:t>
            </w:r>
          </w:p>
        </w:tc>
        <w:tc>
          <w:tcPr>
            <w:tcW w:w="1408" w:type="dxa"/>
            <w:shd w:val="clear" w:color="auto" w:fill="auto"/>
            <w:noWrap/>
            <w:vAlign w:val="bottom"/>
          </w:tcPr>
          <w:p w14:paraId="786C097B"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-6,1</w:t>
            </w:r>
          </w:p>
        </w:tc>
        <w:tc>
          <w:tcPr>
            <w:tcW w:w="1280" w:type="dxa"/>
            <w:shd w:val="clear" w:color="auto" w:fill="auto"/>
            <w:noWrap/>
            <w:vAlign w:val="bottom"/>
          </w:tcPr>
          <w:p w14:paraId="63B4B156"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-1,1</w:t>
            </w:r>
          </w:p>
        </w:tc>
      </w:tr>
      <w:tr w:rsidR="006415B1" w:rsidRPr="00CC4E6B" w14:paraId="1AC5C4CC" w14:textId="77777777" w:rsidTr="00881D12">
        <w:trPr>
          <w:trHeight w:val="240"/>
        </w:trPr>
        <w:tc>
          <w:tcPr>
            <w:tcW w:w="3992" w:type="dxa"/>
            <w:shd w:val="clear" w:color="auto" w:fill="auto"/>
            <w:noWrap/>
            <w:vAlign w:val="bottom"/>
            <w:hideMark/>
          </w:tcPr>
          <w:p w14:paraId="078A30B2" w14:textId="77777777" w:rsidR="006415B1" w:rsidRPr="00CC4E6B" w:rsidRDefault="006415B1" w:rsidP="00881D12">
            <w:pPr>
              <w:spacing w:after="0"/>
              <w:ind w:firstLine="0"/>
              <w:jc w:val="left"/>
              <w:rPr>
                <w:sz w:val="20"/>
                <w:lang w:eastAsia="lv-LV"/>
              </w:rPr>
            </w:pPr>
            <w:r w:rsidRPr="00CC4E6B">
              <w:rPr>
                <w:sz w:val="20"/>
                <w:lang w:eastAsia="lv-LV"/>
              </w:rPr>
              <w:t>Muitas nodoklis</w:t>
            </w:r>
          </w:p>
        </w:tc>
        <w:tc>
          <w:tcPr>
            <w:tcW w:w="1276" w:type="dxa"/>
            <w:noWrap/>
            <w:vAlign w:val="bottom"/>
          </w:tcPr>
          <w:p w14:paraId="5B7ADA07"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8,6</w:t>
            </w:r>
          </w:p>
        </w:tc>
        <w:tc>
          <w:tcPr>
            <w:tcW w:w="1144" w:type="dxa"/>
            <w:vAlign w:val="bottom"/>
          </w:tcPr>
          <w:p w14:paraId="130B35AF"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10,1</w:t>
            </w:r>
          </w:p>
        </w:tc>
        <w:tc>
          <w:tcPr>
            <w:tcW w:w="1408" w:type="dxa"/>
            <w:shd w:val="clear" w:color="auto" w:fill="auto"/>
            <w:noWrap/>
            <w:vAlign w:val="bottom"/>
          </w:tcPr>
          <w:p w14:paraId="301726B5"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1,4</w:t>
            </w:r>
          </w:p>
        </w:tc>
        <w:tc>
          <w:tcPr>
            <w:tcW w:w="1280" w:type="dxa"/>
            <w:shd w:val="clear" w:color="auto" w:fill="auto"/>
            <w:noWrap/>
            <w:vAlign w:val="bottom"/>
          </w:tcPr>
          <w:p w14:paraId="0334C713"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16,8</w:t>
            </w:r>
          </w:p>
        </w:tc>
      </w:tr>
      <w:tr w:rsidR="006415B1" w:rsidRPr="00CC4E6B" w14:paraId="705100B1" w14:textId="77777777" w:rsidTr="00881D12">
        <w:trPr>
          <w:trHeight w:val="240"/>
        </w:trPr>
        <w:tc>
          <w:tcPr>
            <w:tcW w:w="3992" w:type="dxa"/>
            <w:shd w:val="clear" w:color="auto" w:fill="auto"/>
            <w:noWrap/>
            <w:vAlign w:val="bottom"/>
            <w:hideMark/>
          </w:tcPr>
          <w:p w14:paraId="301B95FD" w14:textId="77777777" w:rsidR="006415B1" w:rsidRPr="00CC4E6B" w:rsidRDefault="006415B1" w:rsidP="00881D12">
            <w:pPr>
              <w:spacing w:after="0"/>
              <w:ind w:firstLine="0"/>
              <w:jc w:val="left"/>
              <w:rPr>
                <w:sz w:val="20"/>
                <w:lang w:eastAsia="lv-LV"/>
              </w:rPr>
            </w:pPr>
            <w:r w:rsidRPr="00CC4E6B">
              <w:rPr>
                <w:sz w:val="20"/>
                <w:lang w:eastAsia="lv-LV"/>
              </w:rPr>
              <w:t>Iedzīvotāju ienākuma nodoklis</w:t>
            </w:r>
          </w:p>
        </w:tc>
        <w:tc>
          <w:tcPr>
            <w:tcW w:w="1276" w:type="dxa"/>
            <w:noWrap/>
            <w:vAlign w:val="bottom"/>
          </w:tcPr>
          <w:p w14:paraId="2D55C727"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336,4</w:t>
            </w:r>
          </w:p>
        </w:tc>
        <w:tc>
          <w:tcPr>
            <w:tcW w:w="1144" w:type="dxa"/>
            <w:vAlign w:val="bottom"/>
          </w:tcPr>
          <w:p w14:paraId="4EC5FE81"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327,3</w:t>
            </w:r>
          </w:p>
        </w:tc>
        <w:tc>
          <w:tcPr>
            <w:tcW w:w="1408" w:type="dxa"/>
            <w:shd w:val="clear" w:color="auto" w:fill="auto"/>
            <w:noWrap/>
            <w:vAlign w:val="bottom"/>
          </w:tcPr>
          <w:p w14:paraId="1CC184D0"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-9,1</w:t>
            </w:r>
          </w:p>
        </w:tc>
        <w:tc>
          <w:tcPr>
            <w:tcW w:w="1280" w:type="dxa"/>
            <w:shd w:val="clear" w:color="auto" w:fill="auto"/>
            <w:noWrap/>
            <w:vAlign w:val="bottom"/>
          </w:tcPr>
          <w:p w14:paraId="4710F342"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-2,7</w:t>
            </w:r>
          </w:p>
        </w:tc>
      </w:tr>
      <w:tr w:rsidR="006415B1" w:rsidRPr="00CC4E6B" w14:paraId="1CB32FBC" w14:textId="77777777" w:rsidTr="00881D12">
        <w:trPr>
          <w:trHeight w:val="240"/>
        </w:trPr>
        <w:tc>
          <w:tcPr>
            <w:tcW w:w="3992" w:type="dxa"/>
            <w:shd w:val="clear" w:color="auto" w:fill="auto"/>
            <w:noWrap/>
            <w:vAlign w:val="bottom"/>
            <w:hideMark/>
          </w:tcPr>
          <w:p w14:paraId="6E947EB5" w14:textId="77777777" w:rsidR="006415B1" w:rsidRPr="00CC4E6B" w:rsidRDefault="006415B1" w:rsidP="00881D12">
            <w:pPr>
              <w:spacing w:after="0"/>
              <w:ind w:firstLine="0"/>
              <w:jc w:val="left"/>
              <w:rPr>
                <w:sz w:val="20"/>
                <w:lang w:eastAsia="lv-LV"/>
              </w:rPr>
            </w:pPr>
            <w:r w:rsidRPr="00CC4E6B">
              <w:rPr>
                <w:sz w:val="20"/>
                <w:lang w:eastAsia="lv-LV"/>
              </w:rPr>
              <w:t>Nekustamā īpašuma nodoklis</w:t>
            </w:r>
          </w:p>
        </w:tc>
        <w:tc>
          <w:tcPr>
            <w:tcW w:w="1276" w:type="dxa"/>
            <w:noWrap/>
            <w:vAlign w:val="bottom"/>
          </w:tcPr>
          <w:p w14:paraId="51CDE20F"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67,2</w:t>
            </w:r>
          </w:p>
        </w:tc>
        <w:tc>
          <w:tcPr>
            <w:tcW w:w="1144" w:type="dxa"/>
            <w:vAlign w:val="bottom"/>
          </w:tcPr>
          <w:p w14:paraId="62664079"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78,5</w:t>
            </w:r>
          </w:p>
        </w:tc>
        <w:tc>
          <w:tcPr>
            <w:tcW w:w="1408" w:type="dxa"/>
            <w:shd w:val="clear" w:color="auto" w:fill="auto"/>
            <w:noWrap/>
            <w:vAlign w:val="bottom"/>
          </w:tcPr>
          <w:p w14:paraId="07C458CC"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11,3</w:t>
            </w:r>
          </w:p>
        </w:tc>
        <w:tc>
          <w:tcPr>
            <w:tcW w:w="1280" w:type="dxa"/>
            <w:shd w:val="clear" w:color="auto" w:fill="auto"/>
            <w:noWrap/>
            <w:vAlign w:val="bottom"/>
          </w:tcPr>
          <w:p w14:paraId="128F40BC"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16,8</w:t>
            </w:r>
          </w:p>
        </w:tc>
      </w:tr>
      <w:tr w:rsidR="006415B1" w:rsidRPr="00CC4E6B" w14:paraId="238A4D60" w14:textId="77777777" w:rsidTr="00881D12">
        <w:trPr>
          <w:trHeight w:val="240"/>
        </w:trPr>
        <w:tc>
          <w:tcPr>
            <w:tcW w:w="3992" w:type="dxa"/>
            <w:shd w:val="clear" w:color="auto" w:fill="auto"/>
            <w:noWrap/>
            <w:vAlign w:val="bottom"/>
            <w:hideMark/>
          </w:tcPr>
          <w:p w14:paraId="213B050F" w14:textId="77777777" w:rsidR="006415B1" w:rsidRPr="00CC4E6B" w:rsidRDefault="006415B1" w:rsidP="00881D12">
            <w:pPr>
              <w:spacing w:after="0"/>
              <w:ind w:firstLine="0"/>
              <w:jc w:val="left"/>
              <w:rPr>
                <w:sz w:val="20"/>
                <w:lang w:eastAsia="lv-LV"/>
              </w:rPr>
            </w:pPr>
            <w:r w:rsidRPr="00CC4E6B">
              <w:rPr>
                <w:sz w:val="20"/>
                <w:lang w:eastAsia="lv-LV"/>
              </w:rPr>
              <w:t>Dabas resursu nodoklis</w:t>
            </w:r>
          </w:p>
        </w:tc>
        <w:tc>
          <w:tcPr>
            <w:tcW w:w="1276" w:type="dxa"/>
            <w:noWrap/>
            <w:vAlign w:val="bottom"/>
          </w:tcPr>
          <w:p w14:paraId="703DC80B"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5,7</w:t>
            </w:r>
          </w:p>
        </w:tc>
        <w:tc>
          <w:tcPr>
            <w:tcW w:w="1144" w:type="dxa"/>
            <w:vAlign w:val="bottom"/>
          </w:tcPr>
          <w:p w14:paraId="0D3045A9"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6,0</w:t>
            </w:r>
          </w:p>
        </w:tc>
        <w:tc>
          <w:tcPr>
            <w:tcW w:w="1408" w:type="dxa"/>
            <w:shd w:val="clear" w:color="auto" w:fill="auto"/>
            <w:noWrap/>
            <w:vAlign w:val="bottom"/>
          </w:tcPr>
          <w:p w14:paraId="0FED1B05"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0,3</w:t>
            </w:r>
          </w:p>
        </w:tc>
        <w:tc>
          <w:tcPr>
            <w:tcW w:w="1280" w:type="dxa"/>
            <w:shd w:val="clear" w:color="auto" w:fill="auto"/>
            <w:noWrap/>
            <w:vAlign w:val="bottom"/>
          </w:tcPr>
          <w:p w14:paraId="16325241"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4,6</w:t>
            </w:r>
          </w:p>
        </w:tc>
      </w:tr>
      <w:tr w:rsidR="006415B1" w:rsidRPr="00CC4E6B" w14:paraId="4B12830D" w14:textId="77777777" w:rsidTr="00881D12">
        <w:trPr>
          <w:trHeight w:val="240"/>
        </w:trPr>
        <w:tc>
          <w:tcPr>
            <w:tcW w:w="3992" w:type="dxa"/>
            <w:shd w:val="clear" w:color="auto" w:fill="auto"/>
            <w:noWrap/>
            <w:vAlign w:val="bottom"/>
            <w:hideMark/>
          </w:tcPr>
          <w:p w14:paraId="0BC7137A" w14:textId="77777777" w:rsidR="006415B1" w:rsidRPr="00CC4E6B" w:rsidRDefault="006415B1" w:rsidP="00881D12">
            <w:pPr>
              <w:spacing w:after="0"/>
              <w:ind w:firstLine="0"/>
              <w:jc w:val="left"/>
              <w:rPr>
                <w:sz w:val="20"/>
                <w:lang w:eastAsia="lv-LV"/>
              </w:rPr>
            </w:pPr>
            <w:r>
              <w:rPr>
                <w:sz w:val="20"/>
                <w:lang w:eastAsia="lv-LV"/>
              </w:rPr>
              <w:t>I</w:t>
            </w:r>
            <w:r w:rsidRPr="00CC4E6B">
              <w:rPr>
                <w:sz w:val="20"/>
                <w:lang w:eastAsia="lv-LV"/>
              </w:rPr>
              <w:t>zložu</w:t>
            </w:r>
            <w:r>
              <w:rPr>
                <w:sz w:val="20"/>
                <w:lang w:eastAsia="lv-LV"/>
              </w:rPr>
              <w:t xml:space="preserve"> un azartspēļu</w:t>
            </w:r>
            <w:r w:rsidRPr="00CC4E6B">
              <w:rPr>
                <w:sz w:val="20"/>
                <w:lang w:eastAsia="lv-LV"/>
              </w:rPr>
              <w:t xml:space="preserve"> nodoklis</w:t>
            </w:r>
          </w:p>
        </w:tc>
        <w:tc>
          <w:tcPr>
            <w:tcW w:w="1276" w:type="dxa"/>
            <w:noWrap/>
            <w:vAlign w:val="bottom"/>
          </w:tcPr>
          <w:p w14:paraId="6F42DA40"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7,7</w:t>
            </w:r>
          </w:p>
        </w:tc>
        <w:tc>
          <w:tcPr>
            <w:tcW w:w="1144" w:type="dxa"/>
            <w:vAlign w:val="bottom"/>
          </w:tcPr>
          <w:p w14:paraId="72BBCC86"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7,8</w:t>
            </w:r>
          </w:p>
        </w:tc>
        <w:tc>
          <w:tcPr>
            <w:tcW w:w="1408" w:type="dxa"/>
            <w:shd w:val="clear" w:color="auto" w:fill="auto"/>
            <w:noWrap/>
            <w:vAlign w:val="bottom"/>
          </w:tcPr>
          <w:p w14:paraId="29A21383"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0,1</w:t>
            </w:r>
          </w:p>
        </w:tc>
        <w:tc>
          <w:tcPr>
            <w:tcW w:w="1280" w:type="dxa"/>
            <w:shd w:val="clear" w:color="auto" w:fill="auto"/>
            <w:noWrap/>
            <w:vAlign w:val="bottom"/>
          </w:tcPr>
          <w:p w14:paraId="49D3528B"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1,3</w:t>
            </w:r>
          </w:p>
        </w:tc>
      </w:tr>
      <w:tr w:rsidR="006415B1" w:rsidRPr="00CC4E6B" w14:paraId="3DF2689F" w14:textId="77777777" w:rsidTr="00881D12">
        <w:trPr>
          <w:trHeight w:val="240"/>
        </w:trPr>
        <w:tc>
          <w:tcPr>
            <w:tcW w:w="3992" w:type="dxa"/>
            <w:shd w:val="clear" w:color="auto" w:fill="auto"/>
            <w:noWrap/>
            <w:vAlign w:val="bottom"/>
            <w:hideMark/>
          </w:tcPr>
          <w:p w14:paraId="203A5A6C" w14:textId="77777777" w:rsidR="006415B1" w:rsidRPr="00CC4E6B" w:rsidRDefault="006415B1" w:rsidP="00881D12">
            <w:pPr>
              <w:spacing w:after="0"/>
              <w:ind w:firstLine="0"/>
              <w:jc w:val="left"/>
              <w:rPr>
                <w:sz w:val="20"/>
                <w:lang w:eastAsia="lv-LV"/>
              </w:rPr>
            </w:pPr>
            <w:r w:rsidRPr="00CC4E6B">
              <w:rPr>
                <w:sz w:val="20"/>
                <w:lang w:eastAsia="lv-LV"/>
              </w:rPr>
              <w:t>Elektroenerģijas nodoklis</w:t>
            </w:r>
          </w:p>
        </w:tc>
        <w:tc>
          <w:tcPr>
            <w:tcW w:w="1276" w:type="dxa"/>
            <w:noWrap/>
            <w:vAlign w:val="bottom"/>
          </w:tcPr>
          <w:p w14:paraId="79ABACC2"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0,3</w:t>
            </w:r>
          </w:p>
        </w:tc>
        <w:tc>
          <w:tcPr>
            <w:tcW w:w="1144" w:type="dxa"/>
            <w:vAlign w:val="bottom"/>
          </w:tcPr>
          <w:p w14:paraId="4A0F9246"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0,5</w:t>
            </w:r>
          </w:p>
        </w:tc>
        <w:tc>
          <w:tcPr>
            <w:tcW w:w="1408" w:type="dxa"/>
            <w:shd w:val="clear" w:color="auto" w:fill="auto"/>
            <w:noWrap/>
            <w:vAlign w:val="bottom"/>
          </w:tcPr>
          <w:p w14:paraId="526B74C0"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0,2</w:t>
            </w:r>
          </w:p>
        </w:tc>
        <w:tc>
          <w:tcPr>
            <w:tcW w:w="1280" w:type="dxa"/>
            <w:shd w:val="clear" w:color="auto" w:fill="auto"/>
            <w:noWrap/>
            <w:vAlign w:val="bottom"/>
          </w:tcPr>
          <w:p w14:paraId="7F6AC41C"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75,7</w:t>
            </w:r>
          </w:p>
        </w:tc>
      </w:tr>
      <w:tr w:rsidR="006415B1" w:rsidRPr="00CC4E6B" w14:paraId="1061CF2A" w14:textId="77777777" w:rsidTr="00881D12">
        <w:trPr>
          <w:trHeight w:val="240"/>
        </w:trPr>
        <w:tc>
          <w:tcPr>
            <w:tcW w:w="3992" w:type="dxa"/>
            <w:shd w:val="clear" w:color="auto" w:fill="auto"/>
            <w:noWrap/>
            <w:vAlign w:val="bottom"/>
          </w:tcPr>
          <w:p w14:paraId="17A47EBF" w14:textId="77777777" w:rsidR="006415B1" w:rsidRPr="00CC4E6B" w:rsidRDefault="006415B1" w:rsidP="00881D12">
            <w:pPr>
              <w:spacing w:after="0"/>
              <w:ind w:firstLine="0"/>
              <w:jc w:val="left"/>
              <w:rPr>
                <w:sz w:val="20"/>
                <w:lang w:eastAsia="lv-LV"/>
              </w:rPr>
            </w:pPr>
            <w:r w:rsidRPr="00CC4E6B">
              <w:rPr>
                <w:sz w:val="20"/>
                <w:lang w:eastAsia="lv-LV"/>
              </w:rPr>
              <w:t>Transportlīdzekļu ekspluatācijas nodoklis**</w:t>
            </w:r>
          </w:p>
        </w:tc>
        <w:tc>
          <w:tcPr>
            <w:tcW w:w="1276" w:type="dxa"/>
            <w:noWrap/>
            <w:vAlign w:val="bottom"/>
          </w:tcPr>
          <w:p w14:paraId="1C9F16D8"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19,4</w:t>
            </w:r>
          </w:p>
        </w:tc>
        <w:tc>
          <w:tcPr>
            <w:tcW w:w="1144" w:type="dxa"/>
            <w:vAlign w:val="bottom"/>
          </w:tcPr>
          <w:p w14:paraId="1E3C0B74"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21,7</w:t>
            </w:r>
          </w:p>
        </w:tc>
        <w:tc>
          <w:tcPr>
            <w:tcW w:w="1408" w:type="dxa"/>
            <w:shd w:val="clear" w:color="auto" w:fill="auto"/>
            <w:noWrap/>
            <w:vAlign w:val="bottom"/>
          </w:tcPr>
          <w:p w14:paraId="0090105A"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2,3</w:t>
            </w:r>
          </w:p>
        </w:tc>
        <w:tc>
          <w:tcPr>
            <w:tcW w:w="1280" w:type="dxa"/>
            <w:shd w:val="clear" w:color="auto" w:fill="auto"/>
            <w:noWrap/>
            <w:vAlign w:val="bottom"/>
          </w:tcPr>
          <w:p w14:paraId="31CFEA71"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11,7</w:t>
            </w:r>
          </w:p>
        </w:tc>
      </w:tr>
      <w:tr w:rsidR="006415B1" w:rsidRPr="00CC4E6B" w14:paraId="5AC03466" w14:textId="77777777" w:rsidTr="00881D12">
        <w:trPr>
          <w:trHeight w:val="240"/>
        </w:trPr>
        <w:tc>
          <w:tcPr>
            <w:tcW w:w="3992" w:type="dxa"/>
            <w:shd w:val="clear" w:color="auto" w:fill="auto"/>
            <w:noWrap/>
            <w:vAlign w:val="bottom"/>
          </w:tcPr>
          <w:p w14:paraId="135542A2" w14:textId="77777777" w:rsidR="006415B1" w:rsidRPr="00CC4E6B" w:rsidRDefault="006415B1" w:rsidP="00881D12">
            <w:pPr>
              <w:spacing w:after="0"/>
              <w:ind w:firstLine="0"/>
              <w:jc w:val="left"/>
              <w:rPr>
                <w:sz w:val="20"/>
                <w:lang w:eastAsia="lv-LV"/>
              </w:rPr>
            </w:pPr>
            <w:r w:rsidRPr="00CC4E6B">
              <w:rPr>
                <w:sz w:val="20"/>
                <w:lang w:eastAsia="lv-LV"/>
              </w:rPr>
              <w:t>Uzņēmumu vieglo transportlīdzekļu nodoklis</w:t>
            </w:r>
          </w:p>
        </w:tc>
        <w:tc>
          <w:tcPr>
            <w:tcW w:w="1276" w:type="dxa"/>
            <w:shd w:val="clear" w:color="auto" w:fill="auto"/>
            <w:noWrap/>
            <w:vAlign w:val="bottom"/>
          </w:tcPr>
          <w:p w14:paraId="48E9FDCE"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4,2</w:t>
            </w:r>
          </w:p>
        </w:tc>
        <w:tc>
          <w:tcPr>
            <w:tcW w:w="1144" w:type="dxa"/>
            <w:shd w:val="clear" w:color="auto" w:fill="auto"/>
            <w:vAlign w:val="bottom"/>
          </w:tcPr>
          <w:p w14:paraId="53BAABD4"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4,7</w:t>
            </w:r>
          </w:p>
        </w:tc>
        <w:tc>
          <w:tcPr>
            <w:tcW w:w="1408" w:type="dxa"/>
            <w:shd w:val="clear" w:color="auto" w:fill="auto"/>
            <w:noWrap/>
            <w:vAlign w:val="bottom"/>
          </w:tcPr>
          <w:p w14:paraId="3B5EBA09"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0,5</w:t>
            </w:r>
          </w:p>
        </w:tc>
        <w:tc>
          <w:tcPr>
            <w:tcW w:w="1280" w:type="dxa"/>
            <w:shd w:val="clear" w:color="auto" w:fill="auto"/>
            <w:noWrap/>
            <w:vAlign w:val="bottom"/>
          </w:tcPr>
          <w:p w14:paraId="3C13B2D4" w14:textId="77777777" w:rsidR="006415B1" w:rsidRPr="00EA39B3" w:rsidRDefault="006415B1" w:rsidP="00881D12">
            <w:pPr>
              <w:tabs>
                <w:tab w:val="decimal" w:pos="601"/>
              </w:tabs>
              <w:spacing w:after="0"/>
              <w:ind w:firstLine="0"/>
              <w:jc w:val="left"/>
              <w:rPr>
                <w:rFonts w:cs="Times New Roman"/>
                <w:sz w:val="20"/>
                <w:szCs w:val="20"/>
                <w:lang w:eastAsia="lv-LV"/>
              </w:rPr>
            </w:pPr>
            <w:r w:rsidRPr="00EA39B3">
              <w:rPr>
                <w:rFonts w:cs="Times New Roman"/>
                <w:sz w:val="20"/>
                <w:szCs w:val="20"/>
                <w:lang w:eastAsia="lv-LV"/>
              </w:rPr>
              <w:t>13,1</w:t>
            </w:r>
          </w:p>
        </w:tc>
      </w:tr>
      <w:tr w:rsidR="006415B1" w:rsidRPr="00CC4E6B" w14:paraId="60722B77" w14:textId="77777777" w:rsidTr="00881D12">
        <w:trPr>
          <w:trHeight w:val="255"/>
        </w:trPr>
        <w:tc>
          <w:tcPr>
            <w:tcW w:w="3992" w:type="dxa"/>
            <w:shd w:val="clear" w:color="auto" w:fill="auto"/>
            <w:noWrap/>
            <w:vAlign w:val="bottom"/>
          </w:tcPr>
          <w:p w14:paraId="1AA70E8A" w14:textId="77777777" w:rsidR="006415B1" w:rsidRPr="00CC4E6B" w:rsidRDefault="006415B1" w:rsidP="00881D12">
            <w:pPr>
              <w:spacing w:after="0"/>
              <w:ind w:firstLine="0"/>
              <w:jc w:val="left"/>
              <w:rPr>
                <w:sz w:val="20"/>
                <w:lang w:eastAsia="lv-LV"/>
              </w:rPr>
            </w:pPr>
            <w:r w:rsidRPr="00CC4E6B">
              <w:rPr>
                <w:sz w:val="20"/>
                <w:lang w:eastAsia="lv-LV"/>
              </w:rPr>
              <w:t>Subsidētās elektroenerģijas nodoklis</w:t>
            </w:r>
          </w:p>
        </w:tc>
        <w:tc>
          <w:tcPr>
            <w:tcW w:w="1276" w:type="dxa"/>
            <w:noWrap/>
            <w:vAlign w:val="bottom"/>
          </w:tcPr>
          <w:p w14:paraId="15E583AD" w14:textId="77777777" w:rsidR="006415B1" w:rsidRPr="00A04B88" w:rsidRDefault="006415B1" w:rsidP="00881D12">
            <w:pPr>
              <w:tabs>
                <w:tab w:val="decimal" w:pos="601"/>
              </w:tabs>
              <w:spacing w:after="0"/>
              <w:ind w:firstLine="0"/>
              <w:jc w:val="left"/>
              <w:rPr>
                <w:rFonts w:cs="Times New Roman"/>
                <w:sz w:val="20"/>
                <w:szCs w:val="20"/>
                <w:lang w:eastAsia="lv-LV"/>
              </w:rPr>
            </w:pPr>
            <w:r w:rsidRPr="00A04B88">
              <w:rPr>
                <w:rFonts w:cs="Times New Roman"/>
                <w:sz w:val="20"/>
                <w:szCs w:val="20"/>
                <w:lang w:eastAsia="lv-LV"/>
              </w:rPr>
              <w:t>9,2</w:t>
            </w:r>
          </w:p>
        </w:tc>
        <w:tc>
          <w:tcPr>
            <w:tcW w:w="1144" w:type="dxa"/>
            <w:vAlign w:val="bottom"/>
          </w:tcPr>
          <w:p w14:paraId="20F93886" w14:textId="77777777" w:rsidR="006415B1" w:rsidRPr="00A04B88" w:rsidRDefault="006415B1" w:rsidP="00881D12">
            <w:pPr>
              <w:tabs>
                <w:tab w:val="decimal" w:pos="601"/>
              </w:tabs>
              <w:spacing w:after="0"/>
              <w:ind w:firstLine="0"/>
              <w:jc w:val="left"/>
              <w:rPr>
                <w:rFonts w:cs="Times New Roman"/>
                <w:sz w:val="20"/>
                <w:szCs w:val="20"/>
                <w:lang w:eastAsia="lv-LV"/>
              </w:rPr>
            </w:pPr>
            <w:r w:rsidRPr="00A04B88">
              <w:rPr>
                <w:rFonts w:cs="Times New Roman"/>
                <w:sz w:val="20"/>
                <w:szCs w:val="20"/>
                <w:lang w:eastAsia="lv-LV"/>
              </w:rPr>
              <w:t>8,1</w:t>
            </w:r>
          </w:p>
        </w:tc>
        <w:tc>
          <w:tcPr>
            <w:tcW w:w="1408" w:type="dxa"/>
            <w:shd w:val="clear" w:color="auto" w:fill="auto"/>
            <w:noWrap/>
            <w:vAlign w:val="bottom"/>
          </w:tcPr>
          <w:p w14:paraId="13FA3AC2" w14:textId="77777777" w:rsidR="006415B1" w:rsidRPr="00A04B88" w:rsidRDefault="006415B1" w:rsidP="00881D12">
            <w:pPr>
              <w:tabs>
                <w:tab w:val="decimal" w:pos="601"/>
              </w:tabs>
              <w:spacing w:after="0"/>
              <w:ind w:firstLine="0"/>
              <w:jc w:val="left"/>
              <w:rPr>
                <w:rFonts w:cs="Times New Roman"/>
                <w:sz w:val="20"/>
                <w:szCs w:val="20"/>
                <w:lang w:eastAsia="lv-LV"/>
              </w:rPr>
            </w:pPr>
            <w:r w:rsidRPr="00A04B88">
              <w:rPr>
                <w:rFonts w:cs="Times New Roman"/>
                <w:sz w:val="20"/>
                <w:szCs w:val="20"/>
                <w:lang w:eastAsia="lv-LV"/>
              </w:rPr>
              <w:t>-1,1</w:t>
            </w:r>
          </w:p>
        </w:tc>
        <w:tc>
          <w:tcPr>
            <w:tcW w:w="1280" w:type="dxa"/>
            <w:shd w:val="clear" w:color="auto" w:fill="auto"/>
            <w:noWrap/>
            <w:vAlign w:val="bottom"/>
          </w:tcPr>
          <w:p w14:paraId="01ACE24C" w14:textId="77777777" w:rsidR="006415B1" w:rsidRPr="00A04B88" w:rsidRDefault="006415B1" w:rsidP="00881D12">
            <w:pPr>
              <w:tabs>
                <w:tab w:val="decimal" w:pos="601"/>
              </w:tabs>
              <w:spacing w:after="0"/>
              <w:ind w:firstLine="0"/>
              <w:jc w:val="left"/>
              <w:rPr>
                <w:rFonts w:cs="Times New Roman"/>
                <w:sz w:val="20"/>
                <w:szCs w:val="20"/>
                <w:lang w:eastAsia="lv-LV"/>
              </w:rPr>
            </w:pPr>
            <w:r w:rsidRPr="00A04B88">
              <w:rPr>
                <w:rFonts w:cs="Times New Roman"/>
                <w:sz w:val="20"/>
                <w:szCs w:val="20"/>
                <w:lang w:eastAsia="lv-LV"/>
              </w:rPr>
              <w:t>-11,4</w:t>
            </w:r>
          </w:p>
        </w:tc>
      </w:tr>
      <w:tr w:rsidR="006415B1" w:rsidRPr="00CC4E6B" w14:paraId="4B1A8DF6" w14:textId="77777777" w:rsidTr="00881D12">
        <w:trPr>
          <w:trHeight w:val="255"/>
        </w:trPr>
        <w:tc>
          <w:tcPr>
            <w:tcW w:w="3992" w:type="dxa"/>
            <w:shd w:val="clear" w:color="auto" w:fill="auto"/>
            <w:noWrap/>
            <w:vAlign w:val="bottom"/>
          </w:tcPr>
          <w:p w14:paraId="16FA545E" w14:textId="77777777" w:rsidR="006415B1" w:rsidRPr="00CC4E6B" w:rsidRDefault="006415B1" w:rsidP="00881D12">
            <w:pPr>
              <w:spacing w:after="0"/>
              <w:ind w:firstLine="0"/>
              <w:jc w:val="left"/>
              <w:rPr>
                <w:sz w:val="20"/>
                <w:lang w:eastAsia="lv-LV"/>
              </w:rPr>
            </w:pPr>
            <w:r>
              <w:rPr>
                <w:sz w:val="20"/>
                <w:lang w:eastAsia="lv-LV"/>
              </w:rPr>
              <w:t>Mikrouzņēmuma ienākuma nodoklis</w:t>
            </w:r>
          </w:p>
        </w:tc>
        <w:tc>
          <w:tcPr>
            <w:tcW w:w="1276" w:type="dxa"/>
            <w:noWrap/>
            <w:vAlign w:val="bottom"/>
          </w:tcPr>
          <w:p w14:paraId="1C83665A" w14:textId="77777777" w:rsidR="006415B1" w:rsidRPr="00A04B88" w:rsidRDefault="006415B1" w:rsidP="00881D12">
            <w:pPr>
              <w:tabs>
                <w:tab w:val="decimal" w:pos="601"/>
              </w:tabs>
              <w:spacing w:after="0"/>
              <w:ind w:firstLine="0"/>
              <w:jc w:val="left"/>
              <w:rPr>
                <w:rFonts w:cs="Times New Roman"/>
                <w:sz w:val="20"/>
                <w:szCs w:val="20"/>
                <w:lang w:eastAsia="lv-LV"/>
              </w:rPr>
            </w:pPr>
          </w:p>
        </w:tc>
        <w:tc>
          <w:tcPr>
            <w:tcW w:w="1144" w:type="dxa"/>
            <w:vAlign w:val="bottom"/>
          </w:tcPr>
          <w:p w14:paraId="77FA5A1E" w14:textId="77777777" w:rsidR="006415B1" w:rsidRPr="00A04B88" w:rsidRDefault="006415B1" w:rsidP="00881D12">
            <w:pPr>
              <w:tabs>
                <w:tab w:val="decimal" w:pos="601"/>
              </w:tabs>
              <w:spacing w:after="0"/>
              <w:ind w:firstLine="0"/>
              <w:jc w:val="left"/>
              <w:rPr>
                <w:rFonts w:cs="Times New Roman"/>
                <w:sz w:val="20"/>
                <w:szCs w:val="20"/>
                <w:lang w:eastAsia="lv-LV"/>
              </w:rPr>
            </w:pPr>
            <w:r w:rsidRPr="00A04B88">
              <w:rPr>
                <w:rFonts w:cs="Times New Roman"/>
                <w:sz w:val="20"/>
                <w:szCs w:val="20"/>
                <w:lang w:eastAsia="lv-LV"/>
              </w:rPr>
              <w:t>6,2</w:t>
            </w:r>
          </w:p>
        </w:tc>
        <w:tc>
          <w:tcPr>
            <w:tcW w:w="1408" w:type="dxa"/>
            <w:shd w:val="clear" w:color="auto" w:fill="auto"/>
            <w:noWrap/>
            <w:vAlign w:val="bottom"/>
          </w:tcPr>
          <w:p w14:paraId="5A601F6B" w14:textId="77777777" w:rsidR="006415B1" w:rsidRPr="00A04B88" w:rsidRDefault="006415B1" w:rsidP="00881D12">
            <w:pPr>
              <w:tabs>
                <w:tab w:val="decimal" w:pos="601"/>
              </w:tabs>
              <w:spacing w:after="0"/>
              <w:ind w:firstLine="0"/>
              <w:jc w:val="left"/>
              <w:rPr>
                <w:rFonts w:cs="Times New Roman"/>
                <w:sz w:val="20"/>
                <w:szCs w:val="20"/>
                <w:lang w:eastAsia="lv-LV"/>
              </w:rPr>
            </w:pPr>
          </w:p>
        </w:tc>
        <w:tc>
          <w:tcPr>
            <w:tcW w:w="1280" w:type="dxa"/>
            <w:shd w:val="clear" w:color="auto" w:fill="auto"/>
            <w:noWrap/>
            <w:vAlign w:val="bottom"/>
          </w:tcPr>
          <w:p w14:paraId="34A222B7" w14:textId="77777777" w:rsidR="006415B1" w:rsidRPr="00A04B88" w:rsidRDefault="006415B1" w:rsidP="00881D12">
            <w:pPr>
              <w:tabs>
                <w:tab w:val="decimal" w:pos="601"/>
              </w:tabs>
              <w:spacing w:after="0"/>
              <w:ind w:firstLine="0"/>
              <w:jc w:val="left"/>
              <w:rPr>
                <w:rFonts w:cs="Times New Roman"/>
                <w:sz w:val="20"/>
                <w:szCs w:val="20"/>
                <w:lang w:eastAsia="lv-LV"/>
              </w:rPr>
            </w:pPr>
          </w:p>
        </w:tc>
      </w:tr>
      <w:tr w:rsidR="006415B1" w:rsidRPr="00CC4E6B" w14:paraId="7B732A26" w14:textId="77777777" w:rsidTr="00881D12">
        <w:trPr>
          <w:trHeight w:val="255"/>
        </w:trPr>
        <w:tc>
          <w:tcPr>
            <w:tcW w:w="3992" w:type="dxa"/>
            <w:shd w:val="clear" w:color="auto" w:fill="auto"/>
            <w:noWrap/>
            <w:vAlign w:val="bottom"/>
            <w:hideMark/>
          </w:tcPr>
          <w:p w14:paraId="54C4FB25" w14:textId="77777777" w:rsidR="006415B1" w:rsidRPr="00CC4E6B" w:rsidRDefault="006415B1" w:rsidP="00881D12">
            <w:pPr>
              <w:spacing w:after="0"/>
              <w:ind w:firstLine="0"/>
              <w:jc w:val="left"/>
              <w:rPr>
                <w:b/>
                <w:sz w:val="20"/>
                <w:lang w:eastAsia="lv-LV"/>
              </w:rPr>
            </w:pPr>
            <w:r w:rsidRPr="00CC4E6B">
              <w:rPr>
                <w:b/>
                <w:sz w:val="20"/>
                <w:lang w:eastAsia="lv-LV"/>
              </w:rPr>
              <w:t>Nodokļi kopā</w:t>
            </w:r>
          </w:p>
        </w:tc>
        <w:tc>
          <w:tcPr>
            <w:tcW w:w="1276" w:type="dxa"/>
            <w:shd w:val="clear" w:color="auto" w:fill="auto"/>
            <w:noWrap/>
            <w:vAlign w:val="bottom"/>
          </w:tcPr>
          <w:p w14:paraId="23E3A00C" w14:textId="77777777" w:rsidR="006415B1" w:rsidRPr="00A04B88" w:rsidRDefault="006415B1" w:rsidP="00881D12">
            <w:pPr>
              <w:tabs>
                <w:tab w:val="decimal" w:pos="601"/>
              </w:tabs>
              <w:spacing w:after="0"/>
              <w:ind w:firstLine="0"/>
              <w:jc w:val="left"/>
              <w:rPr>
                <w:rFonts w:cs="Times New Roman"/>
                <w:b/>
                <w:sz w:val="20"/>
                <w:szCs w:val="20"/>
                <w:lang w:eastAsia="lv-LV"/>
              </w:rPr>
            </w:pPr>
            <w:r w:rsidRPr="00A04B88">
              <w:rPr>
                <w:rFonts w:cs="Times New Roman"/>
                <w:b/>
                <w:sz w:val="20"/>
                <w:szCs w:val="20"/>
                <w:lang w:eastAsia="lv-LV"/>
              </w:rPr>
              <w:t>1</w:t>
            </w:r>
            <w:r>
              <w:rPr>
                <w:rFonts w:cs="Times New Roman"/>
                <w:b/>
                <w:sz w:val="20"/>
                <w:szCs w:val="20"/>
                <w:lang w:eastAsia="lv-LV"/>
              </w:rPr>
              <w:t> </w:t>
            </w:r>
            <w:r w:rsidRPr="00A04B88">
              <w:rPr>
                <w:rFonts w:cs="Times New Roman"/>
                <w:b/>
                <w:sz w:val="20"/>
                <w:szCs w:val="20"/>
                <w:lang w:eastAsia="lv-LV"/>
              </w:rPr>
              <w:t>730,2</w:t>
            </w:r>
          </w:p>
        </w:tc>
        <w:tc>
          <w:tcPr>
            <w:tcW w:w="1144" w:type="dxa"/>
            <w:vAlign w:val="bottom"/>
          </w:tcPr>
          <w:p w14:paraId="6E7FAB85" w14:textId="77777777" w:rsidR="006415B1" w:rsidRPr="00A04B88" w:rsidRDefault="006415B1" w:rsidP="00881D12">
            <w:pPr>
              <w:tabs>
                <w:tab w:val="decimal" w:pos="601"/>
              </w:tabs>
              <w:spacing w:after="0"/>
              <w:ind w:firstLine="0"/>
              <w:jc w:val="left"/>
              <w:rPr>
                <w:rFonts w:cs="Times New Roman"/>
                <w:b/>
                <w:sz w:val="20"/>
                <w:szCs w:val="20"/>
                <w:lang w:eastAsia="lv-LV"/>
              </w:rPr>
            </w:pPr>
            <w:r w:rsidRPr="00A04B88">
              <w:rPr>
                <w:rFonts w:cs="Times New Roman"/>
                <w:b/>
                <w:sz w:val="20"/>
                <w:szCs w:val="20"/>
                <w:lang w:eastAsia="lv-LV"/>
              </w:rPr>
              <w:t>1 726,9</w:t>
            </w:r>
          </w:p>
        </w:tc>
        <w:tc>
          <w:tcPr>
            <w:tcW w:w="1408" w:type="dxa"/>
            <w:shd w:val="clear" w:color="auto" w:fill="auto"/>
            <w:noWrap/>
            <w:vAlign w:val="bottom"/>
          </w:tcPr>
          <w:p w14:paraId="32E4123E" w14:textId="77777777" w:rsidR="006415B1" w:rsidRPr="00A04B88" w:rsidRDefault="006415B1" w:rsidP="00881D12">
            <w:pPr>
              <w:tabs>
                <w:tab w:val="decimal" w:pos="601"/>
              </w:tabs>
              <w:spacing w:after="0"/>
              <w:ind w:firstLine="0"/>
              <w:jc w:val="left"/>
              <w:rPr>
                <w:rFonts w:cs="Times New Roman"/>
                <w:b/>
                <w:sz w:val="20"/>
                <w:szCs w:val="20"/>
                <w:lang w:eastAsia="lv-LV"/>
              </w:rPr>
            </w:pPr>
            <w:r w:rsidRPr="00A04B88">
              <w:rPr>
                <w:rFonts w:cs="Times New Roman"/>
                <w:b/>
                <w:sz w:val="20"/>
                <w:szCs w:val="20"/>
                <w:lang w:eastAsia="lv-LV"/>
              </w:rPr>
              <w:t>-3,2</w:t>
            </w:r>
          </w:p>
        </w:tc>
        <w:tc>
          <w:tcPr>
            <w:tcW w:w="1280" w:type="dxa"/>
            <w:shd w:val="clear" w:color="auto" w:fill="auto"/>
            <w:noWrap/>
            <w:vAlign w:val="bottom"/>
          </w:tcPr>
          <w:p w14:paraId="729C90FD" w14:textId="77777777" w:rsidR="006415B1" w:rsidRPr="00A04B88" w:rsidRDefault="006415B1" w:rsidP="00881D12">
            <w:pPr>
              <w:tabs>
                <w:tab w:val="decimal" w:pos="601"/>
              </w:tabs>
              <w:spacing w:after="0"/>
              <w:ind w:firstLine="0"/>
              <w:jc w:val="left"/>
              <w:rPr>
                <w:rFonts w:cs="Times New Roman"/>
                <w:b/>
                <w:sz w:val="20"/>
                <w:szCs w:val="20"/>
                <w:lang w:eastAsia="lv-LV"/>
              </w:rPr>
            </w:pPr>
            <w:r w:rsidRPr="00A04B88">
              <w:rPr>
                <w:rFonts w:cs="Times New Roman"/>
                <w:b/>
                <w:sz w:val="20"/>
                <w:szCs w:val="20"/>
                <w:lang w:eastAsia="lv-LV"/>
              </w:rPr>
              <w:t>-0,2</w:t>
            </w:r>
          </w:p>
        </w:tc>
      </w:tr>
    </w:tbl>
    <w:p w14:paraId="0C24F7E8" w14:textId="77777777" w:rsidR="006415B1" w:rsidRPr="00CC4E6B" w:rsidRDefault="006415B1" w:rsidP="006415B1">
      <w:pPr>
        <w:spacing w:after="0"/>
        <w:ind w:left="284" w:hanging="284"/>
        <w:rPr>
          <w:sz w:val="20"/>
        </w:rPr>
      </w:pPr>
      <w:r w:rsidRPr="00CC4E6B">
        <w:rPr>
          <w:sz w:val="20"/>
        </w:rPr>
        <w:t>*</w:t>
      </w:r>
      <w:r w:rsidRPr="00CC4E6B">
        <w:rPr>
          <w:sz w:val="20"/>
        </w:rPr>
        <w:tab/>
        <w:t>ieskaitot valsts fondēto pensiju shēmas līdzekļus</w:t>
      </w:r>
      <w:r>
        <w:rPr>
          <w:sz w:val="20"/>
        </w:rPr>
        <w:t>,</w:t>
      </w:r>
      <w:r w:rsidRPr="00CC4E6B">
        <w:rPr>
          <w:sz w:val="20"/>
        </w:rPr>
        <w:t xml:space="preserve"> </w:t>
      </w:r>
      <w:r>
        <w:rPr>
          <w:sz w:val="20"/>
        </w:rPr>
        <w:t>fakts</w:t>
      </w:r>
      <w:r w:rsidRPr="00CC4E6B">
        <w:rPr>
          <w:sz w:val="20"/>
        </w:rPr>
        <w:t xml:space="preserve"> 2015. gada I ceturksnī 65,0 milj. </w:t>
      </w:r>
      <w:r w:rsidRPr="00CC4E6B">
        <w:rPr>
          <w:i/>
          <w:sz w:val="20"/>
          <w:szCs w:val="24"/>
        </w:rPr>
        <w:t>euro</w:t>
      </w:r>
      <w:r>
        <w:rPr>
          <w:sz w:val="20"/>
        </w:rPr>
        <w:t>, plāns 2015</w:t>
      </w:r>
      <w:r w:rsidRPr="00CC4E6B">
        <w:rPr>
          <w:sz w:val="20"/>
        </w:rPr>
        <w:t>. gada I ceturksnī</w:t>
      </w:r>
      <w:r>
        <w:rPr>
          <w:sz w:val="20"/>
        </w:rPr>
        <w:t xml:space="preserve"> </w:t>
      </w:r>
      <w:r w:rsidRPr="00CC4E6B">
        <w:rPr>
          <w:sz w:val="20"/>
        </w:rPr>
        <w:t>6</w:t>
      </w:r>
      <w:r>
        <w:rPr>
          <w:sz w:val="20"/>
        </w:rPr>
        <w:t>2,9</w:t>
      </w:r>
      <w:r w:rsidRPr="00CC4E6B">
        <w:rPr>
          <w:sz w:val="20"/>
        </w:rPr>
        <w:t> milj. </w:t>
      </w:r>
      <w:r w:rsidRPr="00CC4E6B">
        <w:rPr>
          <w:i/>
          <w:sz w:val="20"/>
          <w:szCs w:val="24"/>
        </w:rPr>
        <w:t>euro</w:t>
      </w:r>
      <w:r w:rsidRPr="00CC4E6B">
        <w:rPr>
          <w:sz w:val="20"/>
        </w:rPr>
        <w:t>,</w:t>
      </w:r>
    </w:p>
    <w:p w14:paraId="01473BC1" w14:textId="77777777" w:rsidR="006415B1" w:rsidRDefault="006415B1" w:rsidP="006415B1">
      <w:pPr>
        <w:spacing w:after="0"/>
        <w:ind w:left="284" w:hanging="284"/>
        <w:rPr>
          <w:sz w:val="20"/>
        </w:rPr>
      </w:pPr>
      <w:r w:rsidRPr="00CC4E6B">
        <w:rPr>
          <w:sz w:val="20"/>
        </w:rPr>
        <w:t>** ieskaitot transportlīdzekļu nodevu, kas tiek maksāta par iepriekšējiem periodiem.</w:t>
      </w:r>
    </w:p>
    <w:p w14:paraId="24CBFEA2" w14:textId="77777777" w:rsidR="006415B1" w:rsidRDefault="006415B1" w:rsidP="006415B1">
      <w:pPr>
        <w:spacing w:after="0"/>
        <w:ind w:left="284" w:hanging="284"/>
        <w:rPr>
          <w:sz w:val="20"/>
        </w:rPr>
      </w:pPr>
    </w:p>
    <w:p w14:paraId="40F44413" w14:textId="77777777" w:rsidR="006415B1" w:rsidRPr="00E757B9" w:rsidRDefault="006415B1" w:rsidP="006415B1">
      <w:pPr>
        <w:ind w:firstLine="720"/>
        <w:rPr>
          <w:sz w:val="24"/>
          <w:highlight w:val="yellow"/>
        </w:rPr>
      </w:pPr>
      <w:r w:rsidRPr="00E757B9">
        <w:rPr>
          <w:rFonts w:cs="Times New Roman"/>
          <w:sz w:val="24"/>
        </w:rPr>
        <w:t>2015. gada pirmajā ceturksnī, salīdzinot ar 2014. gada pirmo ceturksni, kopējie nodokļu ieņēmumi bija par 95,7 milj. </w:t>
      </w:r>
      <w:r w:rsidRPr="00E757B9">
        <w:rPr>
          <w:rFonts w:cs="Times New Roman"/>
          <w:i/>
          <w:sz w:val="24"/>
          <w:szCs w:val="24"/>
        </w:rPr>
        <w:t>euro</w:t>
      </w:r>
      <w:r w:rsidRPr="00E757B9">
        <w:rPr>
          <w:rFonts w:cs="Times New Roman"/>
          <w:sz w:val="24"/>
        </w:rPr>
        <w:t xml:space="preserve"> jeb 5,9% vairāk. Lielākais īpatsvars 2015. gada pirmajā ceturksnī kopējos nodokļu ieņēmumos bija sociālās apdrošināšanas iemaksu ieņēmumiem – 31,7%, pievienotās vērtības nodokļa ieņēmumiem – 25,1% un iedzīvotāju ienākuma nodokļa ieņēmumiem –19,0 procenti.</w:t>
      </w:r>
    </w:p>
    <w:p w14:paraId="75E46D38" w14:textId="77777777" w:rsidR="006415B1" w:rsidRPr="00E757B9" w:rsidRDefault="006415B1" w:rsidP="006415B1">
      <w:pPr>
        <w:rPr>
          <w:sz w:val="24"/>
          <w:szCs w:val="24"/>
        </w:rPr>
      </w:pPr>
      <w:r w:rsidRPr="00E757B9">
        <w:rPr>
          <w:b/>
          <w:sz w:val="24"/>
        </w:rPr>
        <w:t xml:space="preserve">Uzņēmumu ienākuma nodokļa ieņēmumi </w:t>
      </w:r>
      <w:r w:rsidRPr="00E757B9">
        <w:rPr>
          <w:sz w:val="24"/>
        </w:rPr>
        <w:t>(turpmāk tekstā UIN)</w:t>
      </w:r>
      <w:r w:rsidRPr="00E757B9">
        <w:rPr>
          <w:b/>
          <w:sz w:val="24"/>
        </w:rPr>
        <w:t xml:space="preserve"> </w:t>
      </w:r>
      <w:r w:rsidRPr="00E757B9">
        <w:rPr>
          <w:sz w:val="24"/>
        </w:rPr>
        <w:t>2015. gada pirmajā ceturksnī bija 90,0 milj. </w:t>
      </w:r>
      <w:r w:rsidRPr="00E757B9">
        <w:rPr>
          <w:i/>
          <w:sz w:val="24"/>
          <w:szCs w:val="24"/>
        </w:rPr>
        <w:t>euro</w:t>
      </w:r>
      <w:r w:rsidRPr="00E757B9">
        <w:rPr>
          <w:sz w:val="24"/>
        </w:rPr>
        <w:t xml:space="preserve">, kas </w:t>
      </w:r>
      <w:r w:rsidRPr="00E757B9">
        <w:rPr>
          <w:sz w:val="24"/>
          <w:szCs w:val="24"/>
        </w:rPr>
        <w:t xml:space="preserve">salīdzinot ar 2015. gada </w:t>
      </w:r>
      <w:r w:rsidRPr="00E757B9">
        <w:rPr>
          <w:sz w:val="24"/>
        </w:rPr>
        <w:t xml:space="preserve">pirmā ceturkšņa plānu </w:t>
      </w:r>
      <w:r w:rsidRPr="00E757B9">
        <w:rPr>
          <w:sz w:val="24"/>
          <w:szCs w:val="24"/>
        </w:rPr>
        <w:t>bija par 8,3 milj. </w:t>
      </w:r>
      <w:r w:rsidRPr="00E757B9">
        <w:rPr>
          <w:i/>
          <w:iCs/>
          <w:sz w:val="24"/>
          <w:szCs w:val="24"/>
        </w:rPr>
        <w:t>euro</w:t>
      </w:r>
      <w:r w:rsidRPr="00E757B9">
        <w:rPr>
          <w:sz w:val="24"/>
          <w:szCs w:val="24"/>
        </w:rPr>
        <w:t xml:space="preserve"> jeb 10,2% vairāk, kas galvenokārt saistīts ar būtisku atmaksu samazināšanos un iemaksu pieaugumu. 2015. gada pirmajā ceturksnī atmaksātās summas samazinājušās par 16,4%, salīdzinot ar 2014. gada attiecīgo periodu, bet iemaksas savukārt palielinājušās par 5,6</w:t>
      </w:r>
      <w:r w:rsidRPr="00E757B9">
        <w:rPr>
          <w:sz w:val="24"/>
        </w:rPr>
        <w:t> procentiem</w:t>
      </w:r>
      <w:r w:rsidRPr="00E757B9">
        <w:rPr>
          <w:sz w:val="24"/>
          <w:szCs w:val="24"/>
        </w:rPr>
        <w:t>.</w:t>
      </w:r>
    </w:p>
    <w:p w14:paraId="573EFD78" w14:textId="77777777" w:rsidR="006415B1" w:rsidRPr="006A17CC" w:rsidRDefault="006415B1" w:rsidP="006415B1">
      <w:pPr>
        <w:spacing w:before="240"/>
        <w:ind w:firstLine="0"/>
        <w:jc w:val="center"/>
      </w:pPr>
      <w:r>
        <w:rPr>
          <w:noProof/>
          <w:lang w:eastAsia="lv-LV"/>
        </w:rPr>
        <w:drawing>
          <wp:inline distT="0" distB="0" distL="0" distR="0" wp14:anchorId="71524ED1" wp14:editId="7DA6A966">
            <wp:extent cx="5698412" cy="28748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310" t="18659" b="4397"/>
                    <a:stretch/>
                  </pic:blipFill>
                  <pic:spPr bwMode="auto">
                    <a:xfrm>
                      <a:off x="0" y="0"/>
                      <a:ext cx="5738735" cy="2895216"/>
                    </a:xfrm>
                    <a:prstGeom prst="rect">
                      <a:avLst/>
                    </a:prstGeom>
                    <a:noFill/>
                    <a:ln w="3175">
                      <a:noFill/>
                    </a:ln>
                    <a:extLst>
                      <a:ext uri="{53640926-AAD7-44D8-BBD7-CCE9431645EC}">
                        <a14:shadowObscured xmlns:a14="http://schemas.microsoft.com/office/drawing/2010/main"/>
                      </a:ext>
                    </a:extLst>
                  </pic:spPr>
                </pic:pic>
              </a:graphicData>
            </a:graphic>
          </wp:inline>
        </w:drawing>
      </w:r>
    </w:p>
    <w:p w14:paraId="268ED5D0" w14:textId="77777777" w:rsidR="006415B1" w:rsidRPr="00234FC7" w:rsidRDefault="006415B1" w:rsidP="006415B1">
      <w:pPr>
        <w:ind w:firstLine="0"/>
        <w:jc w:val="center"/>
        <w:rPr>
          <w:b/>
          <w:sz w:val="20"/>
        </w:rPr>
      </w:pPr>
      <w:r w:rsidRPr="00234FC7">
        <w:rPr>
          <w:b/>
          <w:sz w:val="20"/>
        </w:rPr>
        <w:t>2</w:t>
      </w:r>
      <w:r w:rsidR="00234FC7" w:rsidRPr="00234FC7">
        <w:rPr>
          <w:b/>
          <w:sz w:val="20"/>
        </w:rPr>
        <w:t>.2</w:t>
      </w:r>
      <w:r w:rsidRPr="00234FC7">
        <w:rPr>
          <w:b/>
          <w:sz w:val="20"/>
        </w:rPr>
        <w:t>. att. Uzņēmumu ienākuma nodokļa ieņēmumi pa ceturkšņiem, milj. </w:t>
      </w:r>
      <w:r w:rsidRPr="00234FC7">
        <w:rPr>
          <w:b/>
          <w:sz w:val="20"/>
          <w:szCs w:val="24"/>
        </w:rPr>
        <w:t>euro</w:t>
      </w:r>
    </w:p>
    <w:p w14:paraId="50AD51A5" w14:textId="77777777" w:rsidR="006415B1" w:rsidRPr="004E2AC5" w:rsidRDefault="006415B1" w:rsidP="006415B1">
      <w:pPr>
        <w:ind w:firstLine="0"/>
        <w:jc w:val="center"/>
        <w:rPr>
          <w:b/>
          <w:i/>
          <w:sz w:val="24"/>
          <w:highlight w:val="yellow"/>
        </w:rPr>
      </w:pPr>
    </w:p>
    <w:p w14:paraId="242212EA" w14:textId="77777777" w:rsidR="006415B1" w:rsidRPr="00E757B9" w:rsidRDefault="006415B1" w:rsidP="006415B1">
      <w:pPr>
        <w:rPr>
          <w:sz w:val="24"/>
        </w:rPr>
      </w:pPr>
      <w:r w:rsidRPr="00E757B9">
        <w:rPr>
          <w:sz w:val="24"/>
        </w:rPr>
        <w:t>UIN ieņēmumi 2015. gada pirmajā ceturksnī, salīdzinājumā ar 2014. gada atbilstošo periodu bija par 6,2 milj. </w:t>
      </w:r>
      <w:r w:rsidRPr="00E757B9">
        <w:rPr>
          <w:i/>
          <w:sz w:val="24"/>
          <w:szCs w:val="24"/>
        </w:rPr>
        <w:t>euro</w:t>
      </w:r>
      <w:r w:rsidRPr="00E757B9">
        <w:rPr>
          <w:sz w:val="24"/>
        </w:rPr>
        <w:t xml:space="preserve"> jeb 7,5% vairāk. 2015. gada pirmajā ceturksnī lielie nodokļu maksātāji veikuši UIN maksājumus 50,6 milj. </w:t>
      </w:r>
      <w:r w:rsidRPr="00E757B9">
        <w:rPr>
          <w:i/>
          <w:sz w:val="24"/>
          <w:szCs w:val="24"/>
        </w:rPr>
        <w:t>euro</w:t>
      </w:r>
      <w:r w:rsidRPr="00E757B9">
        <w:rPr>
          <w:sz w:val="24"/>
        </w:rPr>
        <w:t xml:space="preserve"> apmērā jeb 56,2% no kopējiem UIN ieņēmumiem, pārējo nodokļu maksātāju veiktās UIN iemaksas bija 39,4 milj. </w:t>
      </w:r>
      <w:r w:rsidRPr="00E757B9">
        <w:rPr>
          <w:i/>
          <w:sz w:val="24"/>
          <w:szCs w:val="24"/>
        </w:rPr>
        <w:t>euro</w:t>
      </w:r>
      <w:r w:rsidRPr="00E757B9">
        <w:rPr>
          <w:sz w:val="24"/>
        </w:rPr>
        <w:t>. Lielo nodokļu maksātāju veiktie UIN maksājumi ir palielinājušies par 3,3 milj. </w:t>
      </w:r>
      <w:r w:rsidRPr="00E757B9">
        <w:rPr>
          <w:i/>
          <w:sz w:val="24"/>
          <w:szCs w:val="24"/>
        </w:rPr>
        <w:t>euro</w:t>
      </w:r>
      <w:r w:rsidRPr="00E757B9">
        <w:rPr>
          <w:sz w:val="24"/>
        </w:rPr>
        <w:t xml:space="preserve"> jeb 7,0% salīdzinājumā ar iepriekšējā gada attiecīgo periodu. </w:t>
      </w:r>
    </w:p>
    <w:p w14:paraId="4A3C6B08" w14:textId="77777777" w:rsidR="006415B1" w:rsidRPr="00E757B9" w:rsidRDefault="006415B1" w:rsidP="006415B1">
      <w:pPr>
        <w:rPr>
          <w:bCs/>
          <w:sz w:val="24"/>
          <w:szCs w:val="24"/>
        </w:rPr>
      </w:pPr>
      <w:r w:rsidRPr="00E757B9">
        <w:rPr>
          <w:bCs/>
          <w:sz w:val="24"/>
          <w:szCs w:val="24"/>
        </w:rPr>
        <w:t xml:space="preserve">Ieņēmumu pieaugumu 2015. gada pirmajā ceturksnī būtiski ietekmēja martā veiktās UIN iemaksas, kas bija par 16,7% vairāk nekā 2014. gada martā. Straujais iemaksu palielinājums skaidrojams ar budžetā iemaksātajām summām pēc UIN deklarāciju rezultātiem. Saskaņā ar </w:t>
      </w:r>
      <w:r w:rsidRPr="00E757B9">
        <w:rPr>
          <w:sz w:val="24"/>
        </w:rPr>
        <w:t xml:space="preserve">Valsts ieņēmumu dienesta (turpmāk – </w:t>
      </w:r>
      <w:r w:rsidRPr="00E757B9">
        <w:rPr>
          <w:bCs/>
          <w:sz w:val="24"/>
          <w:szCs w:val="24"/>
        </w:rPr>
        <w:t xml:space="preserve">VID) datiem pēc UIN deklarācijām 2015. gada martā budžetā papildus iemaksājumā summa bija par </w:t>
      </w:r>
      <w:r w:rsidRPr="00E757B9">
        <w:rPr>
          <w:sz w:val="24"/>
          <w:szCs w:val="24"/>
        </w:rPr>
        <w:t>3,0 milj. </w:t>
      </w:r>
      <w:r w:rsidRPr="00E757B9">
        <w:rPr>
          <w:i/>
          <w:iCs/>
          <w:sz w:val="24"/>
          <w:szCs w:val="24"/>
        </w:rPr>
        <w:t>euro</w:t>
      </w:r>
      <w:r w:rsidRPr="00E757B9">
        <w:rPr>
          <w:sz w:val="24"/>
          <w:szCs w:val="24"/>
        </w:rPr>
        <w:t xml:space="preserve"> vairāk nekā iepriekšējā gada attiecīgajā mēnesī.</w:t>
      </w:r>
      <w:r w:rsidRPr="00E757B9">
        <w:rPr>
          <w:bCs/>
          <w:sz w:val="24"/>
          <w:szCs w:val="24"/>
        </w:rPr>
        <w:t xml:space="preserve"> Savukārt </w:t>
      </w:r>
      <w:r w:rsidRPr="00E757B9">
        <w:rPr>
          <w:sz w:val="24"/>
          <w:szCs w:val="24"/>
        </w:rPr>
        <w:t xml:space="preserve">2015. gada </w:t>
      </w:r>
      <w:r w:rsidRPr="00E757B9">
        <w:rPr>
          <w:sz w:val="24"/>
        </w:rPr>
        <w:t xml:space="preserve">pirmajam ceturksnim </w:t>
      </w:r>
      <w:r w:rsidRPr="00E757B9">
        <w:rPr>
          <w:bCs/>
          <w:sz w:val="24"/>
          <w:szCs w:val="24"/>
        </w:rPr>
        <w:t xml:space="preserve">aprēķinātie avansa maksājumi bija par </w:t>
      </w:r>
      <w:r w:rsidRPr="00E757B9">
        <w:rPr>
          <w:sz w:val="24"/>
          <w:szCs w:val="24"/>
        </w:rPr>
        <w:t>2,3 milj. </w:t>
      </w:r>
      <w:r w:rsidRPr="00E757B9">
        <w:rPr>
          <w:i/>
          <w:iCs/>
          <w:sz w:val="24"/>
          <w:szCs w:val="24"/>
        </w:rPr>
        <w:t>euro</w:t>
      </w:r>
      <w:r w:rsidRPr="00E757B9">
        <w:rPr>
          <w:sz w:val="24"/>
          <w:szCs w:val="24"/>
        </w:rPr>
        <w:t xml:space="preserve"> jeb </w:t>
      </w:r>
      <w:r w:rsidRPr="00E757B9">
        <w:rPr>
          <w:bCs/>
          <w:sz w:val="24"/>
          <w:szCs w:val="24"/>
        </w:rPr>
        <w:t>2,8% lielāki kā iepriekšējā periodā.</w:t>
      </w:r>
    </w:p>
    <w:p w14:paraId="0AE2EB73" w14:textId="77777777" w:rsidR="006415B1" w:rsidRPr="00E757B9" w:rsidRDefault="006415B1" w:rsidP="006415B1">
      <w:pPr>
        <w:rPr>
          <w:sz w:val="24"/>
        </w:rPr>
      </w:pPr>
      <w:r w:rsidRPr="00E757B9">
        <w:rPr>
          <w:sz w:val="24"/>
        </w:rPr>
        <w:t>Saskaņā ar VID informāciju lielākās UIN iemaksas 2015. gada pirmajā ceturksnī veica uzņēmumi, kuru pamatdarbības veidi ir sekojoši:</w:t>
      </w:r>
    </w:p>
    <w:p w14:paraId="3E6F5094" w14:textId="77777777" w:rsidR="006415B1" w:rsidRPr="00E757B9" w:rsidRDefault="006415B1" w:rsidP="006415B1">
      <w:pPr>
        <w:numPr>
          <w:ilvl w:val="0"/>
          <w:numId w:val="2"/>
        </w:numPr>
        <w:spacing w:after="0"/>
        <w:ind w:left="709" w:hanging="357"/>
        <w:rPr>
          <w:sz w:val="24"/>
        </w:rPr>
      </w:pPr>
      <w:r w:rsidRPr="00E757B9">
        <w:rPr>
          <w:sz w:val="24"/>
        </w:rPr>
        <w:t>tirdzniecība un automobiļu un motociklu remonts – 23,0 milj. </w:t>
      </w:r>
      <w:r w:rsidRPr="00E757B9">
        <w:rPr>
          <w:i/>
          <w:sz w:val="24"/>
          <w:szCs w:val="24"/>
        </w:rPr>
        <w:t>euro</w:t>
      </w:r>
      <w:r w:rsidRPr="00E757B9">
        <w:rPr>
          <w:sz w:val="24"/>
          <w:szCs w:val="24"/>
        </w:rPr>
        <w:t>, salīdzinot</w:t>
      </w:r>
      <w:r w:rsidRPr="00E757B9">
        <w:rPr>
          <w:sz w:val="24"/>
        </w:rPr>
        <w:t xml:space="preserve"> ar iepriekšējā gada attiecīgo periodu UIN iemaksas palielinājušās par 1,6 procentiem;</w:t>
      </w:r>
    </w:p>
    <w:p w14:paraId="4F730147" w14:textId="77777777" w:rsidR="006415B1" w:rsidRPr="00E757B9" w:rsidRDefault="006415B1" w:rsidP="006415B1">
      <w:pPr>
        <w:numPr>
          <w:ilvl w:val="0"/>
          <w:numId w:val="2"/>
        </w:numPr>
        <w:spacing w:after="0"/>
        <w:ind w:left="709" w:hanging="357"/>
        <w:rPr>
          <w:sz w:val="24"/>
        </w:rPr>
      </w:pPr>
      <w:r w:rsidRPr="00E757B9">
        <w:rPr>
          <w:sz w:val="24"/>
        </w:rPr>
        <w:t>finanšu pakalpojumi un apdrošināšana – 10,3 milj. </w:t>
      </w:r>
      <w:r w:rsidRPr="00E757B9">
        <w:rPr>
          <w:i/>
          <w:sz w:val="24"/>
          <w:szCs w:val="24"/>
        </w:rPr>
        <w:t>euro</w:t>
      </w:r>
      <w:r w:rsidRPr="00E757B9">
        <w:rPr>
          <w:sz w:val="24"/>
          <w:szCs w:val="24"/>
        </w:rPr>
        <w:t xml:space="preserve">, salīdzinot ar iepriekšējo gadu iemaksas </w:t>
      </w:r>
      <w:r w:rsidRPr="00E757B9">
        <w:rPr>
          <w:sz w:val="24"/>
        </w:rPr>
        <w:t>palielinājušās</w:t>
      </w:r>
      <w:r w:rsidRPr="00E757B9">
        <w:rPr>
          <w:sz w:val="24"/>
          <w:szCs w:val="24"/>
        </w:rPr>
        <w:t xml:space="preserve"> par 33,5</w:t>
      </w:r>
      <w:r w:rsidRPr="00E757B9">
        <w:rPr>
          <w:sz w:val="24"/>
        </w:rPr>
        <w:t> procentiem;</w:t>
      </w:r>
    </w:p>
    <w:p w14:paraId="0A04CD86" w14:textId="77777777" w:rsidR="006415B1" w:rsidRPr="00E757B9" w:rsidRDefault="006415B1" w:rsidP="006415B1">
      <w:pPr>
        <w:numPr>
          <w:ilvl w:val="0"/>
          <w:numId w:val="2"/>
        </w:numPr>
        <w:ind w:left="709" w:hanging="357"/>
        <w:rPr>
          <w:sz w:val="24"/>
        </w:rPr>
      </w:pPr>
      <w:r w:rsidRPr="00E757B9">
        <w:rPr>
          <w:sz w:val="24"/>
        </w:rPr>
        <w:t>transports un uzglabāšana – 10,0 milj. </w:t>
      </w:r>
      <w:r w:rsidRPr="00E757B9">
        <w:rPr>
          <w:i/>
          <w:sz w:val="24"/>
          <w:szCs w:val="24"/>
        </w:rPr>
        <w:t>euro</w:t>
      </w:r>
      <w:r w:rsidRPr="00E757B9">
        <w:rPr>
          <w:sz w:val="24"/>
          <w:szCs w:val="24"/>
        </w:rPr>
        <w:t xml:space="preserve">, salīdzinot ar iepriekšējo gadu iemaksas </w:t>
      </w:r>
      <w:r w:rsidRPr="00E757B9">
        <w:rPr>
          <w:sz w:val="24"/>
        </w:rPr>
        <w:t>palielinājušās</w:t>
      </w:r>
      <w:r w:rsidRPr="00E757B9">
        <w:rPr>
          <w:sz w:val="24"/>
          <w:szCs w:val="24"/>
        </w:rPr>
        <w:t xml:space="preserve"> par 33,9 </w:t>
      </w:r>
      <w:r w:rsidRPr="00E757B9">
        <w:rPr>
          <w:sz w:val="24"/>
        </w:rPr>
        <w:t>procentiem.</w:t>
      </w:r>
    </w:p>
    <w:p w14:paraId="754D4127" w14:textId="77777777" w:rsidR="006415B1" w:rsidRPr="00E757B9" w:rsidRDefault="006415B1" w:rsidP="006415B1">
      <w:pPr>
        <w:rPr>
          <w:sz w:val="24"/>
          <w:szCs w:val="24"/>
        </w:rPr>
      </w:pPr>
      <w:r w:rsidRPr="00E757B9">
        <w:rPr>
          <w:sz w:val="24"/>
          <w:szCs w:val="24"/>
        </w:rPr>
        <w:t xml:space="preserve">Uzņēmumu ienākuma nodokļa ieņēmumi 2015. gada </w:t>
      </w:r>
      <w:r w:rsidRPr="00E757B9">
        <w:rPr>
          <w:sz w:val="24"/>
        </w:rPr>
        <w:t xml:space="preserve">pirmajā ceturksnī </w:t>
      </w:r>
      <w:r w:rsidRPr="00E757B9">
        <w:rPr>
          <w:sz w:val="24"/>
          <w:szCs w:val="24"/>
        </w:rPr>
        <w:t>bija par 8,3 milj. </w:t>
      </w:r>
      <w:r w:rsidRPr="00E757B9">
        <w:rPr>
          <w:i/>
          <w:iCs/>
          <w:sz w:val="24"/>
          <w:szCs w:val="24"/>
        </w:rPr>
        <w:t>euro</w:t>
      </w:r>
      <w:r w:rsidRPr="00E757B9">
        <w:rPr>
          <w:sz w:val="24"/>
          <w:szCs w:val="24"/>
        </w:rPr>
        <w:t xml:space="preserve"> jeb 10,2% vairāk nekā plānots, kas galvenokārt saistīts ar atmaksu samazināšanos un iemaksu pieaugumu. 2015. gada pirmajā ceturksnī atmaksātās summas samazinājušās par 16,4%, salīdzinot ar 2014. gada attiecīgo periodu, bet iemaksas savukārt palielinājušās par 5,6</w:t>
      </w:r>
      <w:r w:rsidRPr="00E757B9">
        <w:rPr>
          <w:sz w:val="24"/>
        </w:rPr>
        <w:t xml:space="preserve"> procentiem</w:t>
      </w:r>
      <w:r w:rsidRPr="00E757B9">
        <w:rPr>
          <w:sz w:val="24"/>
          <w:szCs w:val="24"/>
        </w:rPr>
        <w:t>.</w:t>
      </w:r>
    </w:p>
    <w:p w14:paraId="2FC96D34" w14:textId="77777777" w:rsidR="006415B1" w:rsidRPr="00E757B9" w:rsidRDefault="006415B1" w:rsidP="006415B1">
      <w:pPr>
        <w:rPr>
          <w:rFonts w:cs="Times New Roman"/>
          <w:sz w:val="24"/>
        </w:rPr>
      </w:pPr>
      <w:r w:rsidRPr="00E757B9">
        <w:rPr>
          <w:sz w:val="24"/>
        </w:rPr>
        <w:t xml:space="preserve">Kopējie </w:t>
      </w:r>
      <w:r w:rsidRPr="00E757B9">
        <w:rPr>
          <w:b/>
          <w:sz w:val="24"/>
        </w:rPr>
        <w:t xml:space="preserve">iedzīvotāju ienākuma nodokļa </w:t>
      </w:r>
      <w:r w:rsidRPr="00E757B9">
        <w:rPr>
          <w:sz w:val="24"/>
        </w:rPr>
        <w:t>(turpmāk tekstā IIN)</w:t>
      </w:r>
      <w:r w:rsidRPr="00E757B9">
        <w:rPr>
          <w:b/>
          <w:sz w:val="24"/>
        </w:rPr>
        <w:t xml:space="preserve"> </w:t>
      </w:r>
      <w:r w:rsidRPr="00E757B9">
        <w:rPr>
          <w:sz w:val="24"/>
        </w:rPr>
        <w:t>ieņēmumi 2015. gada pirmajā ceturksnī bija 327,3 milj. </w:t>
      </w:r>
      <w:r w:rsidRPr="00E757B9">
        <w:rPr>
          <w:i/>
          <w:sz w:val="24"/>
          <w:szCs w:val="24"/>
        </w:rPr>
        <w:t>euro</w:t>
      </w:r>
      <w:r w:rsidRPr="00E757B9">
        <w:rPr>
          <w:sz w:val="24"/>
        </w:rPr>
        <w:t xml:space="preserve"> un</w:t>
      </w:r>
      <w:r w:rsidRPr="00E757B9">
        <w:rPr>
          <w:rFonts w:cs="Times New Roman"/>
          <w:sz w:val="24"/>
        </w:rPr>
        <w:t xml:space="preserve"> plāns tika izpildīts par 97,3 procentiem</w:t>
      </w:r>
      <w:r w:rsidRPr="00E757B9">
        <w:rPr>
          <w:sz w:val="24"/>
        </w:rPr>
        <w:t xml:space="preserve">. Pirmā ceturkšņa plāna neizpilde saistīta ar IIN ieņēmumu neizpildi janvārī, ko būtiski noteica daudzās brīvdienas janvāra sākumā, kuru dēļ daļa nodokļu maksātāju algas par decembri tika izmaksātas jau decembra beigās, tādejādi palielinot nodokļu ieņēmumus 2014. gada decembrī. Nodokļa ieņēmumu neizpilde skaidrojama arī ar IIN atmaksu pieaugumu - pirmajā ceturksnī, </w:t>
      </w:r>
      <w:r w:rsidRPr="00E757B9">
        <w:rPr>
          <w:rFonts w:cs="Times New Roman"/>
          <w:sz w:val="24"/>
        </w:rPr>
        <w:t>salīdzinot ar 2014. gada attiecīgo periodu,</w:t>
      </w:r>
      <w:r w:rsidRPr="00E757B9">
        <w:rPr>
          <w:sz w:val="24"/>
        </w:rPr>
        <w:t xml:space="preserve"> tās ir palielinājušās </w:t>
      </w:r>
      <w:r w:rsidRPr="00E757B9">
        <w:rPr>
          <w:rFonts w:cs="Times New Roman"/>
          <w:sz w:val="24"/>
        </w:rPr>
        <w:t xml:space="preserve">par 7,3%, kas skaidrojams ar nodokļu maksātāju, kas saņem IIN atmaksas, pieaugumu par 2,2 tūkst. </w:t>
      </w:r>
    </w:p>
    <w:p w14:paraId="5D6F3D6E" w14:textId="77777777" w:rsidR="006415B1" w:rsidRDefault="006415B1" w:rsidP="006415B1">
      <w:pPr>
        <w:ind w:firstLine="0"/>
        <w:jc w:val="center"/>
        <w:rPr>
          <w:b/>
          <w:i/>
        </w:rPr>
      </w:pPr>
      <w:r>
        <w:rPr>
          <w:b/>
          <w:i/>
          <w:noProof/>
          <w:lang w:eastAsia="lv-LV"/>
        </w:rPr>
        <w:drawing>
          <wp:inline distT="0" distB="0" distL="0" distR="0" wp14:anchorId="7DBDA975" wp14:editId="701AF3FF">
            <wp:extent cx="5103628" cy="26076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82" t="19041" b="3349"/>
                    <a:stretch/>
                  </pic:blipFill>
                  <pic:spPr bwMode="auto">
                    <a:xfrm>
                      <a:off x="0" y="0"/>
                      <a:ext cx="5164463" cy="2638707"/>
                    </a:xfrm>
                    <a:prstGeom prst="rect">
                      <a:avLst/>
                    </a:prstGeom>
                    <a:noFill/>
                    <a:ln w="3175">
                      <a:noFill/>
                    </a:ln>
                    <a:extLst>
                      <a:ext uri="{53640926-AAD7-44D8-BBD7-CCE9431645EC}">
                        <a14:shadowObscured xmlns:a14="http://schemas.microsoft.com/office/drawing/2010/main"/>
                      </a:ext>
                    </a:extLst>
                  </pic:spPr>
                </pic:pic>
              </a:graphicData>
            </a:graphic>
          </wp:inline>
        </w:drawing>
      </w:r>
    </w:p>
    <w:p w14:paraId="0F948120" w14:textId="77777777" w:rsidR="006415B1" w:rsidRPr="00843F34" w:rsidRDefault="006415B1" w:rsidP="006415B1">
      <w:pPr>
        <w:ind w:firstLine="0"/>
        <w:jc w:val="center"/>
        <w:rPr>
          <w:b/>
          <w:sz w:val="20"/>
        </w:rPr>
      </w:pPr>
      <w:r w:rsidRPr="00843F34">
        <w:rPr>
          <w:b/>
          <w:sz w:val="20"/>
        </w:rPr>
        <w:t>2</w:t>
      </w:r>
      <w:r w:rsidR="00234FC7" w:rsidRPr="00843F34">
        <w:rPr>
          <w:b/>
          <w:sz w:val="20"/>
        </w:rPr>
        <w:t>.3</w:t>
      </w:r>
      <w:r w:rsidRPr="00843F34">
        <w:rPr>
          <w:b/>
          <w:sz w:val="20"/>
        </w:rPr>
        <w:t>. att. Iedzīvotāju ienākuma nodokļa ieņēmumi pa ceturkšņiem, milj. euro</w:t>
      </w:r>
    </w:p>
    <w:p w14:paraId="4F2A6C23" w14:textId="77777777" w:rsidR="006415B1" w:rsidRPr="00265821" w:rsidRDefault="006415B1" w:rsidP="006415B1">
      <w:pPr>
        <w:ind w:firstLine="0"/>
        <w:jc w:val="center"/>
        <w:rPr>
          <w:highlight w:val="yellow"/>
        </w:rPr>
      </w:pPr>
    </w:p>
    <w:p w14:paraId="29834771" w14:textId="77777777" w:rsidR="006415B1" w:rsidRPr="00E757B9" w:rsidRDefault="006415B1" w:rsidP="006415B1">
      <w:pPr>
        <w:rPr>
          <w:rFonts w:cs="Times New Roman"/>
          <w:sz w:val="24"/>
        </w:rPr>
      </w:pPr>
      <w:r w:rsidRPr="00E757B9">
        <w:rPr>
          <w:sz w:val="24"/>
        </w:rPr>
        <w:t>Salīdzinājumā ar 2014. gada pirmo ceturksni IIN ieņēmumi 2015. gada pirmajā ceturksnī bija par 16,8 milj. </w:t>
      </w:r>
      <w:r w:rsidRPr="00E757B9">
        <w:rPr>
          <w:i/>
          <w:sz w:val="24"/>
          <w:szCs w:val="24"/>
        </w:rPr>
        <w:t>euro</w:t>
      </w:r>
      <w:r w:rsidRPr="00E757B9">
        <w:rPr>
          <w:sz w:val="24"/>
        </w:rPr>
        <w:t xml:space="preserve"> jeb 5,4% vairāk. </w:t>
      </w:r>
      <w:r w:rsidRPr="00E757B9">
        <w:rPr>
          <w:rFonts w:cs="Times New Roman"/>
          <w:sz w:val="24"/>
        </w:rPr>
        <w:t>IIN ieņēmumi, kas tiek ieskaitīti valsts pamatbudžetā, 2015. gada pirmajā ceturksnī bija 67,8 milj. </w:t>
      </w:r>
      <w:r w:rsidRPr="00E757B9">
        <w:rPr>
          <w:rFonts w:cs="Times New Roman"/>
          <w:i/>
          <w:sz w:val="24"/>
          <w:szCs w:val="24"/>
        </w:rPr>
        <w:t>euro</w:t>
      </w:r>
      <w:r w:rsidRPr="00E757B9">
        <w:rPr>
          <w:rFonts w:cs="Times New Roman"/>
          <w:sz w:val="24"/>
        </w:rPr>
        <w:t>, kas ir par 0,6 milj. </w:t>
      </w:r>
      <w:r w:rsidRPr="00E757B9">
        <w:rPr>
          <w:rFonts w:cs="Times New Roman"/>
          <w:i/>
          <w:sz w:val="24"/>
          <w:szCs w:val="24"/>
        </w:rPr>
        <w:t>euro</w:t>
      </w:r>
      <w:r w:rsidRPr="00E757B9">
        <w:rPr>
          <w:rFonts w:cs="Times New Roman"/>
          <w:sz w:val="24"/>
        </w:rPr>
        <w:t xml:space="preserve"> jeb 0,8% vairāk nekā 2014. gada atbilstošajā periodā. IIN ieņēmumi pašvaldību pamatbudžetā 2015. gada pirmajā ceturksnī bija 259,4 milj. </w:t>
      </w:r>
      <w:r w:rsidRPr="00E757B9">
        <w:rPr>
          <w:rFonts w:cs="Times New Roman"/>
          <w:i/>
          <w:sz w:val="24"/>
        </w:rPr>
        <w:t>euro</w:t>
      </w:r>
      <w:r w:rsidRPr="00E757B9">
        <w:rPr>
          <w:rFonts w:cs="Times New Roman"/>
          <w:sz w:val="24"/>
        </w:rPr>
        <w:t>, kas ir par 12,3 milj. </w:t>
      </w:r>
      <w:r w:rsidRPr="00E757B9">
        <w:rPr>
          <w:rFonts w:cs="Times New Roman"/>
          <w:i/>
          <w:sz w:val="24"/>
        </w:rPr>
        <w:t>euro</w:t>
      </w:r>
      <w:r w:rsidRPr="00E757B9">
        <w:rPr>
          <w:rFonts w:cs="Times New Roman"/>
          <w:sz w:val="24"/>
        </w:rPr>
        <w:t xml:space="preserve"> jeb 5,0% vairāk salīdzinājumā ar 2014. gada atbilstošo periodu. </w:t>
      </w:r>
    </w:p>
    <w:p w14:paraId="2C5893E4" w14:textId="77777777" w:rsidR="006415B1" w:rsidRPr="00E757B9" w:rsidRDefault="006415B1" w:rsidP="006415B1">
      <w:pPr>
        <w:spacing w:after="0"/>
        <w:rPr>
          <w:rFonts w:cs="Times New Roman"/>
          <w:sz w:val="24"/>
        </w:rPr>
      </w:pPr>
      <w:r w:rsidRPr="00E757B9">
        <w:rPr>
          <w:rFonts w:cs="Times New Roman"/>
          <w:sz w:val="24"/>
        </w:rPr>
        <w:t>IIN ieņēmumus ietekmē likumdošanas izmaiņas, kas stājās spēkā ar 2015. gada 1. janvāri, paredz IIN likmes samazināšanu no 24% līdz 23 procentiem.</w:t>
      </w:r>
    </w:p>
    <w:p w14:paraId="5D2E6380" w14:textId="77777777" w:rsidR="006415B1" w:rsidRPr="00E757B9" w:rsidRDefault="006415B1" w:rsidP="006415B1">
      <w:pPr>
        <w:ind w:firstLine="567"/>
        <w:rPr>
          <w:rFonts w:cs="Times New Roman"/>
          <w:sz w:val="24"/>
        </w:rPr>
      </w:pPr>
      <w:r w:rsidRPr="00E757B9">
        <w:rPr>
          <w:rFonts w:cs="Times New Roman"/>
          <w:b/>
          <w:sz w:val="24"/>
        </w:rPr>
        <w:t>Sociālās apdrošināšanas iemaksas</w:t>
      </w:r>
      <w:r w:rsidRPr="00E757B9">
        <w:rPr>
          <w:rStyle w:val="FootnoteReference"/>
          <w:rFonts w:ascii="Times New Roman" w:hAnsi="Times New Roman" w:cs="Times New Roman"/>
          <w:b/>
          <w:sz w:val="24"/>
        </w:rPr>
        <w:footnoteReference w:id="6"/>
      </w:r>
      <w:r w:rsidRPr="00E757B9">
        <w:rPr>
          <w:rFonts w:cs="Times New Roman"/>
          <w:sz w:val="24"/>
        </w:rPr>
        <w:t xml:space="preserve"> (turpmāk tekstā VSAOI) 2015. gada pirmajā ceturksnī bija 548,2 milj. </w:t>
      </w:r>
      <w:r w:rsidRPr="00E757B9">
        <w:rPr>
          <w:rFonts w:cs="Times New Roman"/>
          <w:i/>
          <w:sz w:val="24"/>
          <w:szCs w:val="24"/>
        </w:rPr>
        <w:t xml:space="preserve">euro </w:t>
      </w:r>
      <w:r w:rsidRPr="00E757B9">
        <w:rPr>
          <w:rFonts w:cs="Times New Roman"/>
          <w:sz w:val="24"/>
        </w:rPr>
        <w:t xml:space="preserve">un VSAOI 2015. gada pirmā ceturkšņa plāna izpilde sasniedza 98,9%, tajā skaitā iemaksu sociālās apdrošināšanas budžetā plāna izpilde bija 98,3% un iemaksu valsts fondēto pensiju shēmā 103,3 procenti. </w:t>
      </w:r>
    </w:p>
    <w:p w14:paraId="57ABFEE3" w14:textId="77777777" w:rsidR="006415B1" w:rsidRPr="00E757B9" w:rsidRDefault="006415B1" w:rsidP="006415B1">
      <w:pPr>
        <w:rPr>
          <w:sz w:val="24"/>
        </w:rPr>
      </w:pPr>
      <w:r w:rsidRPr="00E757B9">
        <w:rPr>
          <w:sz w:val="24"/>
        </w:rPr>
        <w:t>2015. gada pirmā ceturkšņa plāna neizpildi lielākoties noteica janvāra neizpilde, jo 2015. gada janvārī VSAOI tika veiktas pamatojoties uz 2014. gada decembra darba devēju ziņojumos veiktajiem nodokļa aprēķiniem, kur daļai nodokļu maksātāju ienākumi 2014. gada decembrī sasniedza iemaksu griestus (2014. gadā 46 400 </w:t>
      </w:r>
      <w:r w:rsidRPr="00E757B9">
        <w:rPr>
          <w:i/>
          <w:iCs/>
          <w:sz w:val="24"/>
        </w:rPr>
        <w:t>euro</w:t>
      </w:r>
      <w:r w:rsidRPr="00E757B9">
        <w:rPr>
          <w:sz w:val="24"/>
        </w:rPr>
        <w:t xml:space="preserve">), līdz ar to netika aprēķinātas VSAOI. </w:t>
      </w:r>
      <w:r w:rsidRPr="00E757B9">
        <w:rPr>
          <w:rFonts w:cs="Times New Roman"/>
          <w:sz w:val="24"/>
        </w:rPr>
        <w:t xml:space="preserve">Saskaņā ar VID informāciju </w:t>
      </w:r>
      <w:r w:rsidRPr="00E757B9">
        <w:rPr>
          <w:sz w:val="24"/>
        </w:rPr>
        <w:t>2014. gada decembrī 1 179 nodokļu maksātājiem kopējie ienākumi bija lielāki par 46 400 </w:t>
      </w:r>
      <w:r w:rsidRPr="00E757B9">
        <w:rPr>
          <w:i/>
          <w:sz w:val="24"/>
        </w:rPr>
        <w:t>euro</w:t>
      </w:r>
      <w:r w:rsidRPr="00E757B9">
        <w:rPr>
          <w:sz w:val="24"/>
        </w:rPr>
        <w:t>.</w:t>
      </w:r>
    </w:p>
    <w:p w14:paraId="7C5E3F0D" w14:textId="77777777" w:rsidR="006415B1" w:rsidRDefault="006415B1" w:rsidP="006415B1">
      <w:pPr>
        <w:ind w:firstLine="0"/>
        <w:jc w:val="center"/>
        <w:rPr>
          <w:b/>
          <w:i/>
        </w:rPr>
      </w:pPr>
      <w:r>
        <w:rPr>
          <w:b/>
          <w:i/>
          <w:noProof/>
          <w:lang w:eastAsia="lv-LV"/>
        </w:rPr>
        <w:drawing>
          <wp:inline distT="0" distB="0" distL="0" distR="0" wp14:anchorId="550F7FA3" wp14:editId="4EA06FBF">
            <wp:extent cx="5199321" cy="26236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312" t="18648" b="3569"/>
                    <a:stretch/>
                  </pic:blipFill>
                  <pic:spPr bwMode="auto">
                    <a:xfrm>
                      <a:off x="0" y="0"/>
                      <a:ext cx="5254545" cy="2651510"/>
                    </a:xfrm>
                    <a:prstGeom prst="rect">
                      <a:avLst/>
                    </a:prstGeom>
                    <a:noFill/>
                    <a:ln w="3175">
                      <a:noFill/>
                    </a:ln>
                    <a:extLst>
                      <a:ext uri="{53640926-AAD7-44D8-BBD7-CCE9431645EC}">
                        <a14:shadowObscured xmlns:a14="http://schemas.microsoft.com/office/drawing/2010/main"/>
                      </a:ext>
                    </a:extLst>
                  </pic:spPr>
                </pic:pic>
              </a:graphicData>
            </a:graphic>
          </wp:inline>
        </w:drawing>
      </w:r>
    </w:p>
    <w:p w14:paraId="46A5C7D7" w14:textId="77777777" w:rsidR="006415B1" w:rsidRPr="00234FC7" w:rsidRDefault="006415B1" w:rsidP="006415B1">
      <w:pPr>
        <w:ind w:firstLine="0"/>
        <w:jc w:val="center"/>
        <w:rPr>
          <w:b/>
          <w:sz w:val="20"/>
        </w:rPr>
      </w:pPr>
      <w:r w:rsidRPr="00234FC7">
        <w:rPr>
          <w:b/>
          <w:sz w:val="20"/>
        </w:rPr>
        <w:t>2</w:t>
      </w:r>
      <w:r w:rsidR="00234FC7" w:rsidRPr="00234FC7">
        <w:rPr>
          <w:b/>
          <w:sz w:val="20"/>
        </w:rPr>
        <w:t>.4</w:t>
      </w:r>
      <w:r w:rsidRPr="00234FC7">
        <w:rPr>
          <w:b/>
          <w:sz w:val="20"/>
        </w:rPr>
        <w:t>. att. Valsts sociālās apdrošināšanas iemaksas (ieskaitot valsts fondēto pensiju shēmas līdzekļus) pa ceturkšņiem, milj. euro</w:t>
      </w:r>
    </w:p>
    <w:p w14:paraId="60F04F28" w14:textId="77777777" w:rsidR="006415B1" w:rsidRPr="00577BE4" w:rsidRDefault="006415B1" w:rsidP="006415B1">
      <w:pPr>
        <w:tabs>
          <w:tab w:val="left" w:pos="1590"/>
        </w:tabs>
        <w:ind w:firstLine="0"/>
      </w:pPr>
      <w:r w:rsidRPr="00577BE4">
        <w:tab/>
      </w:r>
    </w:p>
    <w:p w14:paraId="7E199961" w14:textId="77777777" w:rsidR="006415B1" w:rsidRPr="00E757B9" w:rsidRDefault="006415B1" w:rsidP="006415B1">
      <w:pPr>
        <w:spacing w:after="0"/>
        <w:rPr>
          <w:sz w:val="24"/>
          <w:szCs w:val="24"/>
        </w:rPr>
      </w:pPr>
      <w:r w:rsidRPr="00E757B9">
        <w:rPr>
          <w:rFonts w:cs="Times New Roman"/>
          <w:sz w:val="24"/>
          <w:szCs w:val="24"/>
        </w:rPr>
        <w:t>2015. gada pirmā ceturkšņa VSAOI, salīdzinot ar iepriekšējā gada attiecīgo periodu, bija par 31,7 milj. </w:t>
      </w:r>
      <w:r w:rsidRPr="00E757B9">
        <w:rPr>
          <w:rFonts w:cs="Times New Roman"/>
          <w:i/>
          <w:sz w:val="24"/>
          <w:szCs w:val="24"/>
        </w:rPr>
        <w:t>euro</w:t>
      </w:r>
      <w:r w:rsidRPr="00E757B9">
        <w:rPr>
          <w:rFonts w:cs="Times New Roman"/>
          <w:sz w:val="24"/>
          <w:szCs w:val="24"/>
        </w:rPr>
        <w:t xml:space="preserve"> jeb 6,1% lielākas. Tai skaitā VSAOI valsts speciālajā budžetā bija 483,2 milj. </w:t>
      </w:r>
      <w:r w:rsidRPr="00E757B9">
        <w:rPr>
          <w:rFonts w:cs="Times New Roman"/>
          <w:i/>
          <w:sz w:val="24"/>
          <w:szCs w:val="24"/>
        </w:rPr>
        <w:t>euro</w:t>
      </w:r>
      <w:r w:rsidRPr="00E757B9">
        <w:rPr>
          <w:rFonts w:cs="Times New Roman"/>
          <w:sz w:val="24"/>
          <w:szCs w:val="24"/>
        </w:rPr>
        <w:t xml:space="preserve"> un iemaksas valsts fondēto pensiju shēmā 65,0 milj. </w:t>
      </w:r>
      <w:r w:rsidRPr="00E757B9">
        <w:rPr>
          <w:rFonts w:cs="Times New Roman"/>
          <w:i/>
          <w:sz w:val="24"/>
          <w:szCs w:val="24"/>
        </w:rPr>
        <w:t>euro</w:t>
      </w:r>
      <w:r w:rsidRPr="00E757B9">
        <w:rPr>
          <w:rFonts w:cs="Times New Roman"/>
          <w:sz w:val="24"/>
          <w:szCs w:val="24"/>
        </w:rPr>
        <w:t>.</w:t>
      </w:r>
    </w:p>
    <w:p w14:paraId="371E1500" w14:textId="77777777" w:rsidR="006415B1" w:rsidRPr="00E757B9" w:rsidRDefault="006415B1" w:rsidP="006415B1">
      <w:pPr>
        <w:rPr>
          <w:rFonts w:cs="Times New Roman"/>
          <w:sz w:val="24"/>
          <w:szCs w:val="24"/>
        </w:rPr>
      </w:pPr>
      <w:r w:rsidRPr="00E757B9">
        <w:rPr>
          <w:rFonts w:cs="Times New Roman"/>
          <w:sz w:val="24"/>
          <w:szCs w:val="24"/>
        </w:rPr>
        <w:t>Likumdošanas izmaiņas, kas stājās spēkā ar 2015. gada 1. janvāri, paredz VSAOI</w:t>
      </w:r>
      <w:r w:rsidRPr="00E757B9">
        <w:rPr>
          <w:rFonts w:cs="Times New Roman"/>
          <w:b/>
          <w:bCs/>
          <w:sz w:val="24"/>
          <w:szCs w:val="24"/>
        </w:rPr>
        <w:t xml:space="preserve"> </w:t>
      </w:r>
      <w:r w:rsidRPr="00E757B9">
        <w:rPr>
          <w:rFonts w:cs="Times New Roman"/>
          <w:sz w:val="24"/>
          <w:szCs w:val="24"/>
        </w:rPr>
        <w:t>objekta maksimālā apmēra palielināšanu no 46 400 </w:t>
      </w:r>
      <w:r w:rsidRPr="00E757B9">
        <w:rPr>
          <w:rFonts w:cs="Times New Roman"/>
          <w:i/>
          <w:sz w:val="24"/>
          <w:szCs w:val="24"/>
        </w:rPr>
        <w:t>euro</w:t>
      </w:r>
      <w:r w:rsidRPr="00E757B9">
        <w:rPr>
          <w:rFonts w:cs="Times New Roman"/>
          <w:sz w:val="24"/>
          <w:szCs w:val="24"/>
        </w:rPr>
        <w:t xml:space="preserve"> gadā līdz 48 600 </w:t>
      </w:r>
      <w:r w:rsidRPr="00E757B9">
        <w:rPr>
          <w:rFonts w:cs="Times New Roman"/>
          <w:i/>
          <w:sz w:val="24"/>
          <w:szCs w:val="24"/>
        </w:rPr>
        <w:t>euro</w:t>
      </w:r>
      <w:r w:rsidRPr="00E757B9">
        <w:rPr>
          <w:rFonts w:cs="Times New Roman"/>
          <w:sz w:val="24"/>
          <w:szCs w:val="24"/>
        </w:rPr>
        <w:t xml:space="preserve"> gadā.</w:t>
      </w:r>
    </w:p>
    <w:p w14:paraId="18187718" w14:textId="77777777" w:rsidR="006415B1" w:rsidRPr="00E757B9" w:rsidRDefault="006415B1" w:rsidP="006415B1">
      <w:pPr>
        <w:rPr>
          <w:rFonts w:cs="Times New Roman"/>
          <w:sz w:val="24"/>
          <w:szCs w:val="24"/>
        </w:rPr>
      </w:pPr>
      <w:r w:rsidRPr="00E757B9">
        <w:rPr>
          <w:rFonts w:cs="Times New Roman"/>
          <w:sz w:val="24"/>
          <w:szCs w:val="24"/>
        </w:rPr>
        <w:t xml:space="preserve">Papildus iepriekš minētajam VSAOI un IIN ieņēmumus 2015. gada pirmajā ceturksnī ietekmēja: </w:t>
      </w:r>
    </w:p>
    <w:p w14:paraId="7D9DA23D" w14:textId="77777777" w:rsidR="006415B1" w:rsidRPr="00E757B9" w:rsidRDefault="006415B1" w:rsidP="006415B1">
      <w:pPr>
        <w:pStyle w:val="ListParagraph"/>
        <w:numPr>
          <w:ilvl w:val="0"/>
          <w:numId w:val="19"/>
        </w:numPr>
        <w:rPr>
          <w:rFonts w:cs="Times New Roman"/>
          <w:sz w:val="24"/>
          <w:szCs w:val="24"/>
        </w:rPr>
      </w:pPr>
      <w:r w:rsidRPr="00E757B9">
        <w:rPr>
          <w:rFonts w:cs="Times New Roman"/>
          <w:sz w:val="24"/>
          <w:szCs w:val="24"/>
        </w:rPr>
        <w:t xml:space="preserve">tautsaimniecībā nodarbināto darba samaksas palielināšanās (saskaņā ar VID informāciju 2014. gada pirmajā ceturksnī pieaugums par 6,5% pret iepriekšējā gada atbilstošo periodu); </w:t>
      </w:r>
    </w:p>
    <w:p w14:paraId="23660C27" w14:textId="77777777" w:rsidR="006415B1" w:rsidRPr="00E757B9" w:rsidRDefault="006415B1" w:rsidP="006415B1">
      <w:pPr>
        <w:pStyle w:val="ListParagraph"/>
        <w:numPr>
          <w:ilvl w:val="0"/>
          <w:numId w:val="19"/>
        </w:numPr>
        <w:rPr>
          <w:rFonts w:cs="Times New Roman"/>
          <w:sz w:val="24"/>
          <w:szCs w:val="24"/>
        </w:rPr>
      </w:pPr>
      <w:r w:rsidRPr="00E757B9">
        <w:rPr>
          <w:rFonts w:cs="Times New Roman"/>
          <w:sz w:val="24"/>
          <w:szCs w:val="24"/>
        </w:rPr>
        <w:t xml:space="preserve">darba ņēmēju pieaugums (saskaņā ar VID informāciju darba ņēmēju skaits 2015. gada februārī, salīdzinot ar 2014. gada atbilstošo periodu, ir palielinājies par 0,3%); </w:t>
      </w:r>
    </w:p>
    <w:p w14:paraId="1CECEFBD" w14:textId="77777777" w:rsidR="006415B1" w:rsidRPr="00E757B9" w:rsidRDefault="006415B1" w:rsidP="006415B1">
      <w:pPr>
        <w:pStyle w:val="ListParagraph"/>
        <w:numPr>
          <w:ilvl w:val="0"/>
          <w:numId w:val="19"/>
        </w:numPr>
        <w:rPr>
          <w:sz w:val="24"/>
          <w:szCs w:val="24"/>
        </w:rPr>
      </w:pPr>
      <w:r w:rsidRPr="00E757B9">
        <w:rPr>
          <w:rFonts w:cs="Times New Roman"/>
          <w:sz w:val="24"/>
          <w:szCs w:val="24"/>
        </w:rPr>
        <w:t xml:space="preserve">darba ņēmēju īpatsvara pieaugums, kuru ienākumi ir virs minimālās darba algas (saskaņā ar VID informāciju  2015. gada pirmajā ceturksnī 0,6% pieaugums salīdzinājumā ar iepriekšējā gada atbilstošo periodu); </w:t>
      </w:r>
    </w:p>
    <w:p w14:paraId="48B5E8A5" w14:textId="77777777" w:rsidR="006415B1" w:rsidRPr="00E757B9" w:rsidRDefault="006415B1" w:rsidP="006415B1">
      <w:pPr>
        <w:pStyle w:val="ListParagraph"/>
        <w:numPr>
          <w:ilvl w:val="0"/>
          <w:numId w:val="19"/>
        </w:numPr>
        <w:spacing w:after="0"/>
        <w:rPr>
          <w:iCs/>
          <w:sz w:val="24"/>
          <w:szCs w:val="24"/>
        </w:rPr>
      </w:pPr>
      <w:r w:rsidRPr="00E757B9">
        <w:rPr>
          <w:sz w:val="24"/>
          <w:szCs w:val="24"/>
        </w:rPr>
        <w:t>VSAOI un IIN būtiskākās likumdošanas izmaiņas, kas stājās spēkā ar 2015. gada 1. janvāri:</w:t>
      </w:r>
    </w:p>
    <w:p w14:paraId="05AAEA9F" w14:textId="77777777" w:rsidR="006415B1" w:rsidRPr="00E757B9" w:rsidRDefault="006415B1" w:rsidP="006415B1">
      <w:pPr>
        <w:pStyle w:val="ListParagraph"/>
        <w:numPr>
          <w:ilvl w:val="1"/>
          <w:numId w:val="19"/>
        </w:numPr>
        <w:spacing w:after="0"/>
        <w:rPr>
          <w:iCs/>
          <w:sz w:val="24"/>
          <w:szCs w:val="24"/>
        </w:rPr>
      </w:pPr>
      <w:r w:rsidRPr="00E757B9">
        <w:rPr>
          <w:iCs/>
          <w:sz w:val="24"/>
          <w:szCs w:val="24"/>
        </w:rPr>
        <w:t>minimālās darba algas palielināšana no 320 </w:t>
      </w:r>
      <w:r w:rsidRPr="00E757B9">
        <w:rPr>
          <w:i/>
          <w:iCs/>
          <w:sz w:val="24"/>
          <w:szCs w:val="24"/>
        </w:rPr>
        <w:t>euro</w:t>
      </w:r>
      <w:r w:rsidRPr="00E757B9">
        <w:rPr>
          <w:iCs/>
          <w:sz w:val="24"/>
          <w:szCs w:val="24"/>
        </w:rPr>
        <w:t xml:space="preserve"> līdz 360 </w:t>
      </w:r>
      <w:r w:rsidRPr="00E757B9">
        <w:rPr>
          <w:i/>
          <w:iCs/>
          <w:sz w:val="24"/>
          <w:szCs w:val="24"/>
        </w:rPr>
        <w:t>euro</w:t>
      </w:r>
      <w:r w:rsidRPr="00E757B9">
        <w:rPr>
          <w:sz w:val="24"/>
          <w:szCs w:val="24"/>
        </w:rPr>
        <w:t>;</w:t>
      </w:r>
    </w:p>
    <w:p w14:paraId="08F77FBA" w14:textId="77777777" w:rsidR="006415B1" w:rsidRPr="00E757B9" w:rsidRDefault="006415B1" w:rsidP="006415B1">
      <w:pPr>
        <w:pStyle w:val="ListParagraph"/>
        <w:numPr>
          <w:ilvl w:val="1"/>
          <w:numId w:val="19"/>
        </w:numPr>
        <w:spacing w:after="0"/>
        <w:rPr>
          <w:iCs/>
          <w:sz w:val="24"/>
          <w:szCs w:val="24"/>
        </w:rPr>
      </w:pPr>
      <w:r w:rsidRPr="00E757B9">
        <w:rPr>
          <w:iCs/>
          <w:sz w:val="24"/>
          <w:szCs w:val="24"/>
        </w:rPr>
        <w:t>ēnu ekonomikas apkarošanas pasākumi, lai uzlabotu nodokļu administrēšanu (piem., kā valdes locekļa personiskās atbildības noteikšana noteiktos gadījumos par kapitālsabiedrības nokavētajiem nodokļu maksājumiem ar mērķi mazināt negodīgu komercuzņēmumu ieviestu praksi par nodokļu parādu nomaksas neveikšanu un parādu uzkrāšanu, kā arī noteikti principi, kādos gadījumos nodokļu parādniekam ir aizliegts veikt skaidras naudas darījumus, u.c.).</w:t>
      </w:r>
    </w:p>
    <w:p w14:paraId="19EBAB42" w14:textId="77777777" w:rsidR="006415B1" w:rsidRPr="00E757B9" w:rsidRDefault="006415B1" w:rsidP="006415B1">
      <w:pPr>
        <w:rPr>
          <w:sz w:val="24"/>
          <w:szCs w:val="24"/>
        </w:rPr>
      </w:pPr>
      <w:r w:rsidRPr="00E757B9">
        <w:rPr>
          <w:b/>
          <w:sz w:val="24"/>
          <w:szCs w:val="24"/>
        </w:rPr>
        <w:t xml:space="preserve">Nekustamā īpašuma nodokļa </w:t>
      </w:r>
      <w:r w:rsidRPr="00E757B9">
        <w:rPr>
          <w:sz w:val="24"/>
          <w:szCs w:val="24"/>
        </w:rPr>
        <w:t>(turpmāk tekstā NĪN) ieņēmumi (ieskaitot parādu maksājumus) 2015. gada pirmajā ceturksnī bija 78,5 milj. </w:t>
      </w:r>
      <w:r w:rsidRPr="00E757B9">
        <w:rPr>
          <w:i/>
          <w:sz w:val="24"/>
          <w:szCs w:val="24"/>
        </w:rPr>
        <w:t>euro</w:t>
      </w:r>
      <w:r w:rsidRPr="00E757B9">
        <w:rPr>
          <w:sz w:val="24"/>
          <w:szCs w:val="24"/>
        </w:rPr>
        <w:t>, kas ir par 11,3 milj. </w:t>
      </w:r>
      <w:r w:rsidRPr="00E757B9">
        <w:rPr>
          <w:i/>
          <w:sz w:val="24"/>
          <w:szCs w:val="24"/>
        </w:rPr>
        <w:t>euro</w:t>
      </w:r>
      <w:r w:rsidRPr="00E757B9">
        <w:rPr>
          <w:sz w:val="24"/>
          <w:szCs w:val="24"/>
        </w:rPr>
        <w:t xml:space="preserve"> jeb 16,8% vairāk nekā plānots. Ieņēmumu izpildi 2015. gada pirmajā ceturksnī galvenokārt ietekmēja NĪN apmēra pieauguma ierobežojuma atcelšana zemei.</w:t>
      </w:r>
    </w:p>
    <w:p w14:paraId="0115CEA9" w14:textId="77777777" w:rsidR="006415B1" w:rsidRPr="00E757B9" w:rsidRDefault="006415B1" w:rsidP="006415B1">
      <w:pPr>
        <w:rPr>
          <w:sz w:val="24"/>
          <w:szCs w:val="24"/>
        </w:rPr>
      </w:pPr>
      <w:r w:rsidRPr="00E757B9">
        <w:rPr>
          <w:sz w:val="24"/>
          <w:szCs w:val="24"/>
        </w:rPr>
        <w:t>NĪN 2015. gada pirmā ceturkšņa ieņēmumi, salīdzinot ar 2014. gada pirmo ceturksni, ir par 5,5 milj. </w:t>
      </w:r>
      <w:r w:rsidRPr="00E757B9">
        <w:rPr>
          <w:i/>
          <w:sz w:val="24"/>
          <w:szCs w:val="24"/>
        </w:rPr>
        <w:t>euro</w:t>
      </w:r>
      <w:r w:rsidRPr="00E757B9">
        <w:rPr>
          <w:sz w:val="24"/>
          <w:szCs w:val="24"/>
        </w:rPr>
        <w:t xml:space="preserve"> jeb 7,5% lielāki. NĪN ieņēmumi par zemi 2015. gada pirmajā ceturksnī bija 42,6 milj. </w:t>
      </w:r>
      <w:r w:rsidRPr="00E757B9">
        <w:rPr>
          <w:i/>
          <w:sz w:val="24"/>
          <w:szCs w:val="24"/>
        </w:rPr>
        <w:t>euro</w:t>
      </w:r>
      <w:r w:rsidRPr="00E757B9">
        <w:rPr>
          <w:sz w:val="24"/>
          <w:szCs w:val="24"/>
        </w:rPr>
        <w:t>, savukārt NĪN ieņēmumi par ēkām bija 35,9 milj. </w:t>
      </w:r>
      <w:r w:rsidRPr="00E757B9">
        <w:rPr>
          <w:i/>
          <w:sz w:val="24"/>
          <w:szCs w:val="24"/>
        </w:rPr>
        <w:t>euro</w:t>
      </w:r>
      <w:r w:rsidRPr="00E757B9">
        <w:rPr>
          <w:sz w:val="24"/>
          <w:szCs w:val="24"/>
        </w:rPr>
        <w:t>, tai skaitā par mājokļiem 12,8 milj. </w:t>
      </w:r>
      <w:r w:rsidRPr="00E757B9">
        <w:rPr>
          <w:i/>
          <w:sz w:val="24"/>
          <w:szCs w:val="24"/>
        </w:rPr>
        <w:t>euro</w:t>
      </w:r>
      <w:r w:rsidRPr="00E757B9">
        <w:rPr>
          <w:sz w:val="24"/>
          <w:szCs w:val="24"/>
        </w:rPr>
        <w:t>.</w:t>
      </w:r>
    </w:p>
    <w:p w14:paraId="3CA5C80A" w14:textId="77777777" w:rsidR="006415B1" w:rsidRPr="00E757B9" w:rsidRDefault="006415B1" w:rsidP="006415B1">
      <w:pPr>
        <w:rPr>
          <w:sz w:val="24"/>
          <w:szCs w:val="24"/>
          <w:highlight w:val="yellow"/>
        </w:rPr>
      </w:pPr>
      <w:r w:rsidRPr="00E757B9">
        <w:rPr>
          <w:sz w:val="24"/>
          <w:szCs w:val="24"/>
        </w:rPr>
        <w:t>No 2013. gada 1. janvāra pašvaldībām ir deleģētas tiesības piemērot NĪN likmi 0,2 – 3,0% robežās, nosakot to attiecīgās pašvaldības saistošajos noteikumos. Nodokļu likme var pārsniegt 1,5 procentus, tikai gadījumos, ja nekustamais īpašums netiek apsaimniekots atbilstoši normatīvajos aktos noteiktajai kārtībai.</w:t>
      </w:r>
    </w:p>
    <w:p w14:paraId="3EF80CA3" w14:textId="77777777" w:rsidR="006415B1" w:rsidRPr="00E757B9" w:rsidRDefault="006415B1" w:rsidP="006415B1">
      <w:pPr>
        <w:rPr>
          <w:sz w:val="24"/>
          <w:szCs w:val="24"/>
          <w:highlight w:val="yellow"/>
        </w:rPr>
      </w:pPr>
      <w:r w:rsidRPr="00E757B9">
        <w:rPr>
          <w:sz w:val="24"/>
          <w:szCs w:val="24"/>
        </w:rPr>
        <w:t>NĪN pozitīvo ieņēmumu izpildi ietekmēja arī likumdošanas izmaiņas, kas paredz, ka netiek piemērots atbrīvojums NĪN saimnieciskās darbības veikšanai paredzētām uzceltām vai rekonstruētām ēkām uz 12 mēnešiem kopš ēkas nodošanas ekspluatācijā.</w:t>
      </w:r>
    </w:p>
    <w:p w14:paraId="4D09A8D3" w14:textId="77777777" w:rsidR="006415B1" w:rsidRPr="00E757B9" w:rsidRDefault="006415B1" w:rsidP="006415B1">
      <w:pPr>
        <w:spacing w:after="0"/>
        <w:ind w:firstLine="720"/>
        <w:rPr>
          <w:rFonts w:eastAsia="Times New Roman" w:cs="Times New Roman"/>
          <w:sz w:val="24"/>
          <w:szCs w:val="24"/>
          <w:lang w:eastAsia="lv-LV"/>
        </w:rPr>
      </w:pPr>
      <w:r w:rsidRPr="00E757B9">
        <w:rPr>
          <w:rFonts w:eastAsia="Calibri" w:cs="Times New Roman"/>
          <w:b/>
          <w:sz w:val="24"/>
          <w:szCs w:val="24"/>
        </w:rPr>
        <w:t>Pievienotās vērtības nodokļa</w:t>
      </w:r>
      <w:r w:rsidRPr="00E757B9">
        <w:rPr>
          <w:rFonts w:eastAsia="Calibri" w:cs="Times New Roman"/>
          <w:sz w:val="24"/>
          <w:szCs w:val="24"/>
        </w:rPr>
        <w:t xml:space="preserve"> (turpmāk tekstā PVN) ieņēmumi ir nozīmīgākais valsts pamatbu</w:t>
      </w:r>
      <w:r w:rsidRPr="00E757B9">
        <w:rPr>
          <w:rFonts w:eastAsia="Calibri" w:cs="Times New Roman"/>
          <w:sz w:val="24"/>
          <w:szCs w:val="24"/>
        </w:rPr>
        <w:softHyphen/>
        <w:t xml:space="preserve">džeta ieņēmumu avots, kas 2015. gada pirmajā ceturksnī veidoja </w:t>
      </w:r>
      <w:r w:rsidRPr="00E757B9">
        <w:rPr>
          <w:rFonts w:eastAsia="Times New Roman" w:cs="Times New Roman"/>
          <w:sz w:val="24"/>
          <w:szCs w:val="24"/>
          <w:lang w:eastAsia="lv-LV"/>
        </w:rPr>
        <w:t xml:space="preserve">51,9% </w:t>
      </w:r>
      <w:r w:rsidRPr="00E757B9">
        <w:rPr>
          <w:rFonts w:eastAsia="Calibri" w:cs="Times New Roman"/>
          <w:sz w:val="24"/>
          <w:szCs w:val="24"/>
        </w:rPr>
        <w:t xml:space="preserve">no valsts pamatbudžeta nodokļu ieņēmumiem. </w:t>
      </w:r>
    </w:p>
    <w:p w14:paraId="069E77CE" w14:textId="77777777" w:rsidR="006415B1" w:rsidRPr="00E757B9" w:rsidRDefault="006415B1" w:rsidP="006415B1">
      <w:pPr>
        <w:rPr>
          <w:rFonts w:eastAsia="Calibri" w:cs="Times New Roman"/>
          <w:sz w:val="24"/>
          <w:szCs w:val="24"/>
        </w:rPr>
      </w:pPr>
      <w:r w:rsidRPr="00E757B9">
        <w:rPr>
          <w:rFonts w:eastAsia="Calibri" w:cs="Times New Roman"/>
          <w:sz w:val="24"/>
          <w:szCs w:val="24"/>
        </w:rPr>
        <w:t>PVN ieņēmumi 2015. gada pirmajā ceturksnī bija 434,2 milj. </w:t>
      </w:r>
      <w:r w:rsidRPr="00E757B9">
        <w:rPr>
          <w:rFonts w:eastAsia="Calibri" w:cs="Times New Roman"/>
          <w:i/>
          <w:sz w:val="24"/>
          <w:szCs w:val="24"/>
        </w:rPr>
        <w:t>euro</w:t>
      </w:r>
      <w:r w:rsidRPr="00E757B9">
        <w:rPr>
          <w:rFonts w:eastAsia="Calibri" w:cs="Times New Roman"/>
          <w:sz w:val="24"/>
          <w:szCs w:val="24"/>
        </w:rPr>
        <w:t xml:space="preserve"> un kopumā PVN ieņēmumu 2015. gada pirmā ceturkšņa plāna izpilde ir 95,7 procenti. 2015. gada pirmā ceturkšņa plāna neizpilde skaidrojama gan ar ekonomikas pieauguma zemākiem tempiem nekā bija plānots, gan ar nodokļu maksātāju nodokļa samaksas disciplīnu. </w:t>
      </w:r>
    </w:p>
    <w:p w14:paraId="0866C273" w14:textId="77777777" w:rsidR="006415B1" w:rsidRDefault="006415B1" w:rsidP="006415B1">
      <w:pPr>
        <w:ind w:firstLine="0"/>
        <w:jc w:val="center"/>
        <w:rPr>
          <w:b/>
          <w:i/>
        </w:rPr>
      </w:pPr>
      <w:r>
        <w:rPr>
          <w:b/>
          <w:i/>
          <w:noProof/>
          <w:lang w:eastAsia="lv-LV"/>
        </w:rPr>
        <w:drawing>
          <wp:inline distT="0" distB="0" distL="0" distR="0" wp14:anchorId="7BEBE2ED" wp14:editId="236D978F">
            <wp:extent cx="4756639" cy="24326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100" t="19018" b="3701"/>
                    <a:stretch/>
                  </pic:blipFill>
                  <pic:spPr bwMode="auto">
                    <a:xfrm>
                      <a:off x="0" y="0"/>
                      <a:ext cx="4808194" cy="2459015"/>
                    </a:xfrm>
                    <a:prstGeom prst="rect">
                      <a:avLst/>
                    </a:prstGeom>
                    <a:noFill/>
                    <a:ln w="3175">
                      <a:noFill/>
                    </a:ln>
                    <a:extLst>
                      <a:ext uri="{53640926-AAD7-44D8-BBD7-CCE9431645EC}">
                        <a14:shadowObscured xmlns:a14="http://schemas.microsoft.com/office/drawing/2010/main"/>
                      </a:ext>
                    </a:extLst>
                  </pic:spPr>
                </pic:pic>
              </a:graphicData>
            </a:graphic>
          </wp:inline>
        </w:drawing>
      </w:r>
    </w:p>
    <w:p w14:paraId="693E7A7C" w14:textId="77777777" w:rsidR="006415B1" w:rsidRPr="00234FC7" w:rsidRDefault="006415B1" w:rsidP="006415B1">
      <w:pPr>
        <w:ind w:firstLine="0"/>
        <w:jc w:val="center"/>
        <w:rPr>
          <w:b/>
          <w:sz w:val="20"/>
          <w:szCs w:val="24"/>
        </w:rPr>
      </w:pPr>
      <w:r w:rsidRPr="00234FC7">
        <w:rPr>
          <w:b/>
          <w:sz w:val="20"/>
          <w:szCs w:val="24"/>
        </w:rPr>
        <w:t>2</w:t>
      </w:r>
      <w:r w:rsidR="00234FC7" w:rsidRPr="00234FC7">
        <w:rPr>
          <w:b/>
          <w:sz w:val="20"/>
          <w:szCs w:val="24"/>
        </w:rPr>
        <w:t>.5</w:t>
      </w:r>
      <w:r w:rsidRPr="00234FC7">
        <w:rPr>
          <w:b/>
          <w:sz w:val="20"/>
          <w:szCs w:val="24"/>
        </w:rPr>
        <w:t>. att. Pievienotās vērtības nodokļa ieņēmumi pa ceturkšņiem, milj. euro.</w:t>
      </w:r>
    </w:p>
    <w:p w14:paraId="1CEDD68B" w14:textId="77777777" w:rsidR="006415B1" w:rsidRPr="00E757B9" w:rsidRDefault="006415B1" w:rsidP="006415B1">
      <w:pPr>
        <w:ind w:firstLine="720"/>
        <w:rPr>
          <w:rFonts w:eastAsia="Calibri" w:cs="Times New Roman"/>
          <w:sz w:val="24"/>
          <w:szCs w:val="24"/>
        </w:rPr>
      </w:pPr>
    </w:p>
    <w:p w14:paraId="6B4C50C2" w14:textId="77777777" w:rsidR="006415B1" w:rsidRPr="00E757B9" w:rsidRDefault="006415B1" w:rsidP="006415B1">
      <w:pPr>
        <w:rPr>
          <w:rFonts w:eastAsia="Calibri" w:cs="Times New Roman"/>
          <w:sz w:val="24"/>
          <w:szCs w:val="24"/>
        </w:rPr>
      </w:pPr>
      <w:r w:rsidRPr="00E757B9">
        <w:rPr>
          <w:rFonts w:eastAsia="Calibri" w:cs="Times New Roman"/>
          <w:sz w:val="24"/>
          <w:szCs w:val="24"/>
        </w:rPr>
        <w:t>PVN ieņēmumi 2015. gada pirmajā ceturksnī, salīdzinot ar 2014. gada pirmo ceturksni, ir par 12,2 milj. </w:t>
      </w:r>
      <w:r w:rsidRPr="00E757B9">
        <w:rPr>
          <w:rFonts w:eastAsia="Calibri" w:cs="Times New Roman"/>
          <w:i/>
          <w:sz w:val="24"/>
          <w:szCs w:val="24"/>
        </w:rPr>
        <w:t>euro</w:t>
      </w:r>
      <w:r w:rsidRPr="00E757B9">
        <w:rPr>
          <w:rFonts w:eastAsia="Calibri" w:cs="Times New Roman"/>
          <w:sz w:val="24"/>
          <w:szCs w:val="24"/>
        </w:rPr>
        <w:t xml:space="preserve"> jeb 2,9% lielāki. Saskaņā ar VID informāciju pēc apjoma lielākais PVN iemaksu pieaugums par 5,3 milj. </w:t>
      </w:r>
      <w:r w:rsidRPr="00E757B9">
        <w:rPr>
          <w:rFonts w:eastAsia="Calibri" w:cs="Times New Roman"/>
          <w:i/>
          <w:sz w:val="24"/>
          <w:szCs w:val="24"/>
        </w:rPr>
        <w:t>euro</w:t>
      </w:r>
      <w:r w:rsidRPr="00E757B9">
        <w:rPr>
          <w:rFonts w:eastAsia="Calibri" w:cs="Times New Roman"/>
          <w:sz w:val="24"/>
          <w:szCs w:val="24"/>
        </w:rPr>
        <w:t xml:space="preserve"> jeb 45,0% 2015. gada pirmajā ceturksnī, salīdzinot ar 2014. gada attiecīgo periodu, ir nodokļu maksātājiem, kuri darbojas valsts pārvaldes un sabiedrisko organizāciju darbības nozarē, kas skaidrojams ar būvniecības reverso darījumu apmēru. Savukārt lielākais iemaksu samazinājums ir nodokļu maksātājiem, kuru pamatdarbības veids ir būvniecība – samazinājums par 3,2 milj. </w:t>
      </w:r>
      <w:r w:rsidRPr="00E757B9">
        <w:rPr>
          <w:rFonts w:eastAsia="Calibri" w:cs="Times New Roman"/>
          <w:i/>
          <w:sz w:val="24"/>
          <w:szCs w:val="24"/>
        </w:rPr>
        <w:t>euro</w:t>
      </w:r>
      <w:r w:rsidRPr="00E757B9">
        <w:rPr>
          <w:rFonts w:eastAsia="Calibri" w:cs="Times New Roman"/>
          <w:sz w:val="24"/>
          <w:szCs w:val="24"/>
        </w:rPr>
        <w:t xml:space="preserve"> jeb 11,1%, kas skaidrojams ar būvniecības pakalpojumu reverso darījumu pieaugumu. Šīs nozares nodokļu maksātāju veiktās iemaksas 2015. gada pirmajā ceturksnī ir 25,5 milj. </w:t>
      </w:r>
      <w:r w:rsidRPr="00E757B9">
        <w:rPr>
          <w:rFonts w:eastAsia="Calibri" w:cs="Times New Roman"/>
          <w:i/>
          <w:sz w:val="24"/>
          <w:szCs w:val="24"/>
        </w:rPr>
        <w:t>euro</w:t>
      </w:r>
      <w:r w:rsidRPr="00E757B9">
        <w:rPr>
          <w:rFonts w:eastAsia="Calibri" w:cs="Times New Roman"/>
          <w:sz w:val="24"/>
          <w:szCs w:val="24"/>
        </w:rPr>
        <w:t>, kas ir tikai 3,8 % no kopējām PVN iemaksām.</w:t>
      </w:r>
    </w:p>
    <w:p w14:paraId="69C32081" w14:textId="77777777" w:rsidR="006415B1" w:rsidRPr="00E757B9" w:rsidRDefault="006415B1" w:rsidP="006415B1">
      <w:pPr>
        <w:ind w:firstLine="720"/>
        <w:rPr>
          <w:rFonts w:eastAsia="Calibri" w:cs="Times New Roman"/>
          <w:sz w:val="24"/>
          <w:szCs w:val="24"/>
        </w:rPr>
      </w:pPr>
      <w:r w:rsidRPr="00E757B9">
        <w:rPr>
          <w:rFonts w:eastAsia="Calibri" w:cs="Times New Roman"/>
          <w:sz w:val="24"/>
          <w:szCs w:val="24"/>
        </w:rPr>
        <w:t>PVN ieņēmumu pieaugumu 2015. gadā ietekmē mazumtirdzniecības apgrozījuma apjoma izmaiņas. Saskaņā ar Centrālās statistikas pārvaldes informāciju 2015. gada pirmajā ceturksnī, salīdzinot ar 2014. gada atbilstošo periodu, mazumtirdzniecības apgrozījuma apjoms palielinājies par 3,4% (faktiskajās cenās).</w:t>
      </w:r>
    </w:p>
    <w:p w14:paraId="7DC2E2C8" w14:textId="77777777" w:rsidR="006415B1" w:rsidRPr="00E757B9" w:rsidRDefault="006415B1" w:rsidP="006415B1">
      <w:pPr>
        <w:rPr>
          <w:rFonts w:eastAsia="Calibri" w:cs="Times New Roman"/>
          <w:sz w:val="24"/>
          <w:szCs w:val="24"/>
        </w:rPr>
      </w:pPr>
      <w:r w:rsidRPr="00E757B9">
        <w:rPr>
          <w:rFonts w:eastAsia="Calibri" w:cs="Times New Roman"/>
          <w:sz w:val="24"/>
          <w:szCs w:val="24"/>
        </w:rPr>
        <w:t>2015. gada pirmajā ceturksnī PVN ieņēmumus ietekmēja atmaksas, kas, salīdzinot ar 2014. gada atbilstošo periodu, ir palielinājušās par 2,5 procentiem. Saskaņā ar VID informāciju, lielākās atmaksas veiktas nodokļu maksātājiem, kuri darbojas tirdzniecības un automobiļu un motociklu remonta, transporta un uzglabāšanas vai būvniecības nozarē.</w:t>
      </w:r>
    </w:p>
    <w:p w14:paraId="3882FE67" w14:textId="77777777" w:rsidR="006415B1" w:rsidRPr="00E757B9" w:rsidRDefault="006415B1" w:rsidP="006415B1">
      <w:pPr>
        <w:rPr>
          <w:rFonts w:eastAsia="Calibri" w:cs="Times New Roman"/>
          <w:sz w:val="24"/>
          <w:szCs w:val="24"/>
        </w:rPr>
      </w:pPr>
      <w:r w:rsidRPr="00E757B9">
        <w:rPr>
          <w:rFonts w:eastAsia="Calibri" w:cs="Times New Roman"/>
          <w:sz w:val="24"/>
          <w:szCs w:val="24"/>
        </w:rPr>
        <w:t xml:space="preserve">Saskaņā ar VID sniegto informāciju 2015. gada pirmajā ceturksnī ir palielinājies gan PVN aktuālais parāds, gan piešķirto termiņa pagarinājumu apmērs. 2015. gada 1. aprīlī, salīdzinot ar 2015. gada 1. janvāri, PVN aktuālais parāds ir palielinājies par 14,9 milj. </w:t>
      </w:r>
      <w:r w:rsidRPr="00E757B9">
        <w:rPr>
          <w:rFonts w:eastAsia="Calibri" w:cs="Times New Roman"/>
          <w:i/>
          <w:sz w:val="24"/>
          <w:szCs w:val="24"/>
        </w:rPr>
        <w:t>euro</w:t>
      </w:r>
      <w:r w:rsidRPr="00E757B9">
        <w:rPr>
          <w:rFonts w:eastAsia="Calibri" w:cs="Times New Roman"/>
          <w:sz w:val="24"/>
          <w:szCs w:val="24"/>
        </w:rPr>
        <w:t xml:space="preserve"> jeb 2,9 procentiem. 2015. gada pirmajā ceturksnī ir piešķirti PVN termiņa pagarinājumi 18,6 milj. </w:t>
      </w:r>
      <w:r w:rsidRPr="00E757B9">
        <w:rPr>
          <w:rFonts w:eastAsia="Calibri" w:cs="Times New Roman"/>
          <w:i/>
          <w:sz w:val="24"/>
          <w:szCs w:val="24"/>
        </w:rPr>
        <w:t>euro</w:t>
      </w:r>
      <w:r w:rsidRPr="00E757B9">
        <w:rPr>
          <w:rFonts w:eastAsia="Calibri" w:cs="Times New Roman"/>
          <w:sz w:val="24"/>
          <w:szCs w:val="24"/>
        </w:rPr>
        <w:t xml:space="preserve"> apmērā, kas ir par 3,5 milj. </w:t>
      </w:r>
      <w:r w:rsidRPr="00E757B9">
        <w:rPr>
          <w:rFonts w:eastAsia="Calibri" w:cs="Times New Roman"/>
          <w:i/>
          <w:sz w:val="24"/>
          <w:szCs w:val="24"/>
        </w:rPr>
        <w:t>euro</w:t>
      </w:r>
      <w:r w:rsidRPr="00E757B9">
        <w:rPr>
          <w:rFonts w:eastAsia="Calibri" w:cs="Times New Roman"/>
          <w:sz w:val="24"/>
          <w:szCs w:val="24"/>
        </w:rPr>
        <w:t xml:space="preserve"> jeb 23,3 % vairāk nekā 2014. gada attiecīgajā periodā.</w:t>
      </w:r>
    </w:p>
    <w:p w14:paraId="1466970D" w14:textId="77777777" w:rsidR="006415B1" w:rsidRPr="00E757B9" w:rsidRDefault="006415B1" w:rsidP="006415B1">
      <w:pPr>
        <w:contextualSpacing/>
        <w:rPr>
          <w:rFonts w:eastAsia="Calibri" w:cs="Times New Roman"/>
          <w:sz w:val="24"/>
          <w:szCs w:val="24"/>
        </w:rPr>
      </w:pPr>
      <w:r w:rsidRPr="00E757B9">
        <w:rPr>
          <w:rFonts w:eastAsia="Calibri" w:cs="Times New Roman"/>
          <w:sz w:val="24"/>
          <w:szCs w:val="24"/>
        </w:rPr>
        <w:t>Būtiskākās likumdošanas izmaiņas un pasākumi, kas 2015. gadā ietekmēs PVN ieņēmumus:</w:t>
      </w:r>
    </w:p>
    <w:p w14:paraId="3EBD9B33" w14:textId="77777777" w:rsidR="006415B1" w:rsidRPr="00E757B9" w:rsidRDefault="006415B1" w:rsidP="006415B1">
      <w:pPr>
        <w:numPr>
          <w:ilvl w:val="0"/>
          <w:numId w:val="21"/>
        </w:numPr>
        <w:contextualSpacing/>
        <w:rPr>
          <w:rFonts w:eastAsia="Calibri" w:cs="Times New Roman"/>
          <w:sz w:val="24"/>
          <w:szCs w:val="24"/>
        </w:rPr>
      </w:pPr>
      <w:r w:rsidRPr="00E757B9">
        <w:rPr>
          <w:rFonts w:eastAsia="Calibri" w:cs="Times New Roman"/>
          <w:sz w:val="24"/>
          <w:szCs w:val="24"/>
        </w:rPr>
        <w:t>Cīņa ar ēnu ekonomiku un citi pasākumi, lai uzlabotu nodokļu administrēšanu (nodokļu administrēšanas uzlabošanas pasākumi, informācijas apmaiņas procesa uzlabošana starp finanšu iestādēm, Noziedzīgi iegūtu līdzekļu legalizācijas novēršanas dienestu un VID u.c. pasākumi).</w:t>
      </w:r>
    </w:p>
    <w:p w14:paraId="0AF7C654" w14:textId="77777777" w:rsidR="006415B1" w:rsidRPr="00E757B9" w:rsidRDefault="006415B1" w:rsidP="006415B1">
      <w:pPr>
        <w:numPr>
          <w:ilvl w:val="0"/>
          <w:numId w:val="21"/>
        </w:numPr>
        <w:contextualSpacing/>
        <w:rPr>
          <w:rFonts w:eastAsia="Calibri" w:cs="Times New Roman"/>
          <w:sz w:val="24"/>
          <w:szCs w:val="24"/>
        </w:rPr>
      </w:pPr>
      <w:r w:rsidRPr="00E757B9">
        <w:rPr>
          <w:rFonts w:eastAsia="Calibri" w:cs="Times New Roman"/>
          <w:sz w:val="24"/>
          <w:szCs w:val="24"/>
        </w:rPr>
        <w:t>Akcīzes nodokļa likmes paaugstināšana cigaretēm, cigāriem un cigarillām un smēķējamai tabakai.</w:t>
      </w:r>
    </w:p>
    <w:p w14:paraId="5E802CFA" w14:textId="77777777" w:rsidR="006415B1" w:rsidRPr="00E757B9" w:rsidRDefault="006415B1" w:rsidP="006415B1">
      <w:pPr>
        <w:numPr>
          <w:ilvl w:val="0"/>
          <w:numId w:val="21"/>
        </w:numPr>
        <w:contextualSpacing/>
        <w:rPr>
          <w:rFonts w:eastAsia="Calibri" w:cs="Times New Roman"/>
          <w:sz w:val="24"/>
          <w:szCs w:val="24"/>
        </w:rPr>
      </w:pPr>
      <w:r w:rsidRPr="00E757B9">
        <w:rPr>
          <w:rFonts w:eastAsia="Calibri" w:cs="Times New Roman"/>
          <w:sz w:val="24"/>
          <w:szCs w:val="24"/>
        </w:rPr>
        <w:t>Ietekme no mēneša minimālās algas paaugstināšana no 320 </w:t>
      </w:r>
      <w:r w:rsidRPr="00E757B9">
        <w:rPr>
          <w:rFonts w:eastAsia="Calibri" w:cs="Times New Roman"/>
          <w:i/>
          <w:sz w:val="24"/>
          <w:szCs w:val="24"/>
        </w:rPr>
        <w:t>euro</w:t>
      </w:r>
      <w:r w:rsidRPr="00E757B9">
        <w:rPr>
          <w:rFonts w:eastAsia="Calibri" w:cs="Times New Roman"/>
          <w:sz w:val="24"/>
          <w:szCs w:val="24"/>
        </w:rPr>
        <w:t xml:space="preserve"> līdz 360 </w:t>
      </w:r>
      <w:r w:rsidRPr="00E757B9">
        <w:rPr>
          <w:rFonts w:eastAsia="Calibri" w:cs="Times New Roman"/>
          <w:i/>
          <w:sz w:val="24"/>
          <w:szCs w:val="24"/>
        </w:rPr>
        <w:t>euro</w:t>
      </w:r>
      <w:r w:rsidRPr="00E757B9">
        <w:rPr>
          <w:rFonts w:eastAsia="Calibri" w:cs="Times New Roman"/>
          <w:sz w:val="24"/>
          <w:szCs w:val="24"/>
        </w:rPr>
        <w:t>.</w:t>
      </w:r>
    </w:p>
    <w:p w14:paraId="764A4FF4" w14:textId="77777777" w:rsidR="006415B1" w:rsidRPr="00E757B9" w:rsidRDefault="006415B1" w:rsidP="006415B1">
      <w:pPr>
        <w:rPr>
          <w:sz w:val="24"/>
          <w:szCs w:val="24"/>
        </w:rPr>
      </w:pPr>
      <w:bookmarkStart w:id="67" w:name="_Toc130004094"/>
      <w:bookmarkStart w:id="68" w:name="_Toc261947584"/>
      <w:r w:rsidRPr="00E757B9">
        <w:rPr>
          <w:b/>
          <w:sz w:val="24"/>
          <w:szCs w:val="24"/>
        </w:rPr>
        <w:t>Kopējie akcīzes nodokļa</w:t>
      </w:r>
      <w:r w:rsidRPr="00E757B9">
        <w:rPr>
          <w:sz w:val="24"/>
          <w:szCs w:val="24"/>
        </w:rPr>
        <w:t xml:space="preserve"> ieņēmumi 2015. gada pirmajā ceturksnī bija 181,1 milj. </w:t>
      </w:r>
      <w:r w:rsidRPr="00E757B9">
        <w:rPr>
          <w:i/>
          <w:sz w:val="24"/>
          <w:szCs w:val="24"/>
        </w:rPr>
        <w:t>euro</w:t>
      </w:r>
      <w:r w:rsidRPr="00E757B9">
        <w:rPr>
          <w:sz w:val="24"/>
          <w:szCs w:val="24"/>
        </w:rPr>
        <w:t>, līdz ar to plāna izpilde bija 100,9 procenti.</w:t>
      </w:r>
    </w:p>
    <w:p w14:paraId="1BEA3B61" w14:textId="77777777" w:rsidR="006415B1" w:rsidRPr="00E757B9" w:rsidRDefault="006415B1" w:rsidP="006415B1">
      <w:pPr>
        <w:jc w:val="center"/>
        <w:rPr>
          <w:b/>
          <w:i/>
          <w:sz w:val="24"/>
          <w:szCs w:val="24"/>
        </w:rPr>
      </w:pPr>
      <w:r w:rsidRPr="00E757B9">
        <w:rPr>
          <w:b/>
          <w:i/>
          <w:noProof/>
          <w:sz w:val="24"/>
          <w:szCs w:val="24"/>
          <w:lang w:eastAsia="lv-LV"/>
        </w:rPr>
        <w:drawing>
          <wp:inline distT="0" distB="0" distL="0" distR="0" wp14:anchorId="3E5C0D5C" wp14:editId="6C79560A">
            <wp:extent cx="4667416" cy="25564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666" t="19158" b="4220"/>
                    <a:stretch/>
                  </pic:blipFill>
                  <pic:spPr bwMode="auto">
                    <a:xfrm>
                      <a:off x="0" y="0"/>
                      <a:ext cx="4736991" cy="2594568"/>
                    </a:xfrm>
                    <a:prstGeom prst="rect">
                      <a:avLst/>
                    </a:prstGeom>
                    <a:noFill/>
                    <a:ln w="3175">
                      <a:noFill/>
                    </a:ln>
                    <a:extLst>
                      <a:ext uri="{53640926-AAD7-44D8-BBD7-CCE9431645EC}">
                        <a14:shadowObscured xmlns:a14="http://schemas.microsoft.com/office/drawing/2010/main"/>
                      </a:ext>
                    </a:extLst>
                  </pic:spPr>
                </pic:pic>
              </a:graphicData>
            </a:graphic>
          </wp:inline>
        </w:drawing>
      </w:r>
    </w:p>
    <w:p w14:paraId="03F4B5E9" w14:textId="77777777" w:rsidR="006415B1" w:rsidRPr="00234FC7" w:rsidRDefault="00234FC7" w:rsidP="006415B1">
      <w:pPr>
        <w:jc w:val="center"/>
        <w:rPr>
          <w:b/>
          <w:sz w:val="20"/>
          <w:szCs w:val="24"/>
        </w:rPr>
      </w:pPr>
      <w:r w:rsidRPr="00234FC7">
        <w:rPr>
          <w:b/>
          <w:sz w:val="20"/>
          <w:szCs w:val="24"/>
        </w:rPr>
        <w:t>2.6</w:t>
      </w:r>
      <w:r w:rsidR="006415B1" w:rsidRPr="00234FC7">
        <w:rPr>
          <w:b/>
          <w:sz w:val="20"/>
          <w:szCs w:val="24"/>
        </w:rPr>
        <w:t>. att. Akcīzes nodokļa ieņēmumi pa ceturkšņiem, milj. euro.</w:t>
      </w:r>
    </w:p>
    <w:p w14:paraId="5DF34B90" w14:textId="77777777" w:rsidR="006415B1" w:rsidRPr="00E757B9" w:rsidRDefault="006415B1" w:rsidP="006415B1">
      <w:pPr>
        <w:rPr>
          <w:sz w:val="24"/>
          <w:szCs w:val="24"/>
        </w:rPr>
      </w:pPr>
      <w:r w:rsidRPr="00E757B9">
        <w:rPr>
          <w:sz w:val="24"/>
          <w:szCs w:val="24"/>
        </w:rPr>
        <w:t>Salīdzinājumā ar 2014. gada pirmo ceturksni akcīzes nodokļa ieņēmumi 2015. gada pirmajā ceturksnī bija par 10,8 milj. </w:t>
      </w:r>
      <w:r w:rsidRPr="00E757B9">
        <w:rPr>
          <w:i/>
          <w:sz w:val="24"/>
          <w:szCs w:val="24"/>
        </w:rPr>
        <w:t>euro</w:t>
      </w:r>
      <w:r w:rsidRPr="00E757B9">
        <w:rPr>
          <w:sz w:val="24"/>
          <w:szCs w:val="24"/>
        </w:rPr>
        <w:t xml:space="preserve"> jeb par 6,4% vairāk. Būtiskākais ieņēmumu pieaugums bija akcīzes nodokļa ieņēmumiem no naftas produktiem 7,9 milj. </w:t>
      </w:r>
      <w:r w:rsidRPr="00E757B9">
        <w:rPr>
          <w:i/>
          <w:sz w:val="24"/>
          <w:szCs w:val="24"/>
        </w:rPr>
        <w:t>euro</w:t>
      </w:r>
      <w:r w:rsidRPr="00E757B9">
        <w:rPr>
          <w:sz w:val="24"/>
          <w:szCs w:val="24"/>
        </w:rPr>
        <w:t xml:space="preserve"> apmērā un akcīzes nodokļa ieņēmumiem no tabakas izstrādājumiem 1,8 milj. </w:t>
      </w:r>
      <w:r w:rsidRPr="00E757B9">
        <w:rPr>
          <w:i/>
          <w:sz w:val="24"/>
          <w:szCs w:val="24"/>
        </w:rPr>
        <w:t>euro</w:t>
      </w:r>
      <w:r w:rsidRPr="00E757B9">
        <w:rPr>
          <w:sz w:val="24"/>
          <w:szCs w:val="24"/>
        </w:rPr>
        <w:t xml:space="preserve"> apmērā, savukārt akcīzes nodokļa ieņēmumi no dabasgāzes un pārējām akcīzes precēm ir samazinājušies attiecīgi par 537,1 tūkst. </w:t>
      </w:r>
      <w:r w:rsidRPr="00E757B9">
        <w:rPr>
          <w:i/>
          <w:sz w:val="24"/>
          <w:szCs w:val="24"/>
        </w:rPr>
        <w:t xml:space="preserve">euro </w:t>
      </w:r>
      <w:r w:rsidRPr="00E757B9">
        <w:rPr>
          <w:sz w:val="24"/>
          <w:szCs w:val="24"/>
        </w:rPr>
        <w:t>un 41,9 tūkst. </w:t>
      </w:r>
      <w:r w:rsidRPr="00E757B9">
        <w:rPr>
          <w:i/>
          <w:sz w:val="24"/>
          <w:szCs w:val="24"/>
        </w:rPr>
        <w:t>euro.</w:t>
      </w:r>
      <w:r w:rsidRPr="00E757B9">
        <w:rPr>
          <w:sz w:val="24"/>
          <w:szCs w:val="24"/>
        </w:rPr>
        <w:t xml:space="preserve"> </w:t>
      </w:r>
    </w:p>
    <w:p w14:paraId="59A6BBB0" w14:textId="77777777" w:rsidR="006415B1" w:rsidRPr="00E757B9" w:rsidRDefault="006415B1" w:rsidP="006415B1">
      <w:pPr>
        <w:ind w:firstLine="720"/>
        <w:rPr>
          <w:sz w:val="24"/>
          <w:szCs w:val="24"/>
        </w:rPr>
      </w:pPr>
      <w:r w:rsidRPr="00E757B9">
        <w:rPr>
          <w:sz w:val="24"/>
          <w:szCs w:val="24"/>
        </w:rPr>
        <w:t>Būtiskākās akcīzes nodokļa izmaiņas 2015. gadā, kas ietekmēs akcīzes nodokļa ieņēmumus :</w:t>
      </w:r>
    </w:p>
    <w:p w14:paraId="6C7B29C0" w14:textId="77777777" w:rsidR="006415B1" w:rsidRPr="00E757B9" w:rsidRDefault="006415B1" w:rsidP="006415B1">
      <w:pPr>
        <w:numPr>
          <w:ilvl w:val="0"/>
          <w:numId w:val="20"/>
        </w:numPr>
        <w:contextualSpacing/>
        <w:rPr>
          <w:color w:val="000000" w:themeColor="text1"/>
          <w:sz w:val="24"/>
          <w:szCs w:val="24"/>
        </w:rPr>
      </w:pPr>
      <w:r w:rsidRPr="00E757B9">
        <w:rPr>
          <w:sz w:val="24"/>
          <w:szCs w:val="24"/>
        </w:rPr>
        <w:t xml:space="preserve">saskaņā ar 2013. gadā </w:t>
      </w:r>
      <w:r w:rsidRPr="00E757B9">
        <w:rPr>
          <w:color w:val="000000" w:themeColor="text1"/>
          <w:sz w:val="24"/>
          <w:szCs w:val="24"/>
        </w:rPr>
        <w:t>pieņemtajiem grozījumiem likumā “Par akcīzes nodokli” ar 2015. gada 1. jūliju tiks paaugstinātas akcīzes nodokļa likmes cigaretēm;</w:t>
      </w:r>
    </w:p>
    <w:p w14:paraId="4BFD8A48" w14:textId="77777777" w:rsidR="006415B1" w:rsidRPr="00E757B9" w:rsidRDefault="006415B1" w:rsidP="006415B1">
      <w:pPr>
        <w:numPr>
          <w:ilvl w:val="0"/>
          <w:numId w:val="20"/>
        </w:numPr>
        <w:contextualSpacing/>
        <w:rPr>
          <w:color w:val="000000" w:themeColor="text1"/>
          <w:sz w:val="24"/>
          <w:szCs w:val="24"/>
        </w:rPr>
      </w:pPr>
      <w:r w:rsidRPr="00E757B9">
        <w:rPr>
          <w:color w:val="000000" w:themeColor="text1"/>
          <w:sz w:val="24"/>
          <w:szCs w:val="24"/>
        </w:rPr>
        <w:t>saskaņā ar 2014. gada 16. septembra grozījumiem Ministru kabineta 2011. gada 3. maija noteikumos Nr. 344 palielināts maksimālais kopējais dīzeļdegvielas daudzums, kam piemēro atbrīvojumu no akcīzes nodokļa 2014./2015. saimnieciskajā gadā;</w:t>
      </w:r>
    </w:p>
    <w:p w14:paraId="58AEDCC6" w14:textId="77777777" w:rsidR="006415B1" w:rsidRPr="00E757B9" w:rsidRDefault="006415B1" w:rsidP="006415B1">
      <w:pPr>
        <w:numPr>
          <w:ilvl w:val="0"/>
          <w:numId w:val="20"/>
        </w:numPr>
        <w:contextualSpacing/>
        <w:rPr>
          <w:sz w:val="24"/>
          <w:szCs w:val="24"/>
        </w:rPr>
      </w:pPr>
      <w:r w:rsidRPr="00E757B9">
        <w:rPr>
          <w:sz w:val="24"/>
          <w:szCs w:val="24"/>
        </w:rPr>
        <w:t>saskaņā ar 2014. gada 17. decembrī pieņemtajiem grozījumiem likumā “Par akcīzes nodokli” ar 2015. gada 1. aprīli tabakas lapām tiek piemērots akcīzes nodoklis;</w:t>
      </w:r>
    </w:p>
    <w:p w14:paraId="475871FE" w14:textId="77777777" w:rsidR="006415B1" w:rsidRPr="00E757B9" w:rsidRDefault="006415B1" w:rsidP="006415B1">
      <w:pPr>
        <w:numPr>
          <w:ilvl w:val="0"/>
          <w:numId w:val="20"/>
        </w:numPr>
        <w:contextualSpacing/>
        <w:rPr>
          <w:sz w:val="24"/>
          <w:szCs w:val="24"/>
        </w:rPr>
      </w:pPr>
      <w:r w:rsidRPr="00E757B9">
        <w:rPr>
          <w:sz w:val="24"/>
          <w:szCs w:val="24"/>
        </w:rPr>
        <w:t xml:space="preserve">saskaņā ar 2014. gada 17. decembrī pieņemtajiem grozījumiem likumā “Par akcīzes nodokli” ar 2015. gada 1. janvāri biodīzeļdegvielai tiek piemērota akcīzes nodokļa likme 332,95 </w:t>
      </w:r>
      <w:r w:rsidRPr="00E757B9">
        <w:rPr>
          <w:i/>
          <w:sz w:val="24"/>
          <w:szCs w:val="24"/>
        </w:rPr>
        <w:t>euro</w:t>
      </w:r>
      <w:r w:rsidRPr="00E757B9">
        <w:rPr>
          <w:sz w:val="24"/>
          <w:szCs w:val="24"/>
        </w:rPr>
        <w:t xml:space="preserve"> par 1000 litriem degvielas; </w:t>
      </w:r>
    </w:p>
    <w:p w14:paraId="271A03DA" w14:textId="77777777" w:rsidR="006415B1" w:rsidRPr="00E757B9" w:rsidRDefault="006415B1" w:rsidP="006415B1">
      <w:pPr>
        <w:numPr>
          <w:ilvl w:val="0"/>
          <w:numId w:val="20"/>
        </w:numPr>
        <w:contextualSpacing/>
        <w:rPr>
          <w:sz w:val="24"/>
          <w:szCs w:val="24"/>
        </w:rPr>
      </w:pPr>
      <w:r w:rsidRPr="00E757B9">
        <w:rPr>
          <w:sz w:val="24"/>
          <w:szCs w:val="24"/>
        </w:rPr>
        <w:t>saskaņā ar 2014. gada 17. decembrī pieņemtajiem grozījumiem likumā “Par akcīzes nodokli” ar 2015. gada 1. jūliju noteiktas izmaiņas akcīzes nodokļa piemērošanā dīzeļdegvielai, ko izmanto lauksaimniecības produkcijas ražošanai, lauksaimniecības zemes apstrādei, kā arī tādas meža vai purva zemes apstrādei, kur kultivē dzērvenes vai mellenes, un zemes zem zivju dīķiem apstrādei.</w:t>
      </w:r>
    </w:p>
    <w:p w14:paraId="2C128F39" w14:textId="77777777" w:rsidR="006415B1" w:rsidRPr="00E757B9" w:rsidRDefault="006415B1" w:rsidP="006415B1">
      <w:pPr>
        <w:rPr>
          <w:sz w:val="24"/>
          <w:szCs w:val="24"/>
          <w:highlight w:val="yellow"/>
          <w:u w:val="single"/>
        </w:rPr>
      </w:pPr>
    </w:p>
    <w:p w14:paraId="5F0D4D0E" w14:textId="77777777" w:rsidR="006415B1" w:rsidRPr="00E757B9" w:rsidRDefault="006415B1" w:rsidP="006415B1">
      <w:pPr>
        <w:rPr>
          <w:sz w:val="24"/>
          <w:szCs w:val="24"/>
          <w:u w:val="single"/>
        </w:rPr>
      </w:pPr>
      <w:r w:rsidRPr="00E757B9">
        <w:rPr>
          <w:sz w:val="24"/>
          <w:szCs w:val="24"/>
          <w:u w:val="single"/>
        </w:rPr>
        <w:t>Akcīzes nodoklis naftas produktiem</w:t>
      </w:r>
    </w:p>
    <w:p w14:paraId="1C51F9A4" w14:textId="77777777" w:rsidR="006415B1" w:rsidRPr="00E757B9" w:rsidRDefault="006415B1" w:rsidP="006415B1">
      <w:pPr>
        <w:rPr>
          <w:sz w:val="24"/>
          <w:szCs w:val="24"/>
          <w:highlight w:val="yellow"/>
        </w:rPr>
      </w:pPr>
      <w:r w:rsidRPr="00E757B9">
        <w:rPr>
          <w:sz w:val="24"/>
          <w:szCs w:val="24"/>
        </w:rPr>
        <w:t xml:space="preserve">Akcīzes nodokļa ieņēmumu no naftas produktiem pirmā ceturkšņa plāna izpilde bija 104,7 procenti. </w:t>
      </w:r>
      <w:r w:rsidRPr="00E757B9">
        <w:rPr>
          <w:bCs/>
          <w:sz w:val="24"/>
          <w:szCs w:val="24"/>
        </w:rPr>
        <w:t>Plāna pārpilde no naftas produktiem</w:t>
      </w:r>
      <w:r w:rsidRPr="00E757B9">
        <w:rPr>
          <w:sz w:val="24"/>
          <w:szCs w:val="24"/>
        </w:rPr>
        <w:t xml:space="preserve"> saistīta ar patēriņam nodotās dīzeļdegvielas apjoma pieaugumu 2014. gada decembrī un šī gada pirmajos divos mēnešos vidēji par 8,8%, kā arī patēriņam nodotā benzīna apjoma stabilizēšanos. 2015. gada pirmajā ceturksnī akcīzes nodokļa ieņēmu</w:t>
      </w:r>
      <w:r w:rsidRPr="00E757B9">
        <w:rPr>
          <w:sz w:val="24"/>
          <w:szCs w:val="24"/>
        </w:rPr>
        <w:softHyphen/>
        <w:t>mi no naftas produktiem bija 96,5 milj. </w:t>
      </w:r>
      <w:r w:rsidRPr="00E757B9">
        <w:rPr>
          <w:i/>
          <w:sz w:val="24"/>
          <w:szCs w:val="24"/>
        </w:rPr>
        <w:t>euro</w:t>
      </w:r>
      <w:r w:rsidRPr="00E757B9">
        <w:rPr>
          <w:sz w:val="24"/>
          <w:szCs w:val="24"/>
        </w:rPr>
        <w:t xml:space="preserve"> jeb 53,3% no kopējiem akcīzes nodokļa ieņēmumiem, kas, salīdzinot ar 2014. gada pirmo ceturksni, ir par 7,9 milj. </w:t>
      </w:r>
      <w:r w:rsidRPr="00E757B9">
        <w:rPr>
          <w:i/>
          <w:sz w:val="24"/>
          <w:szCs w:val="24"/>
        </w:rPr>
        <w:t>euro</w:t>
      </w:r>
      <w:r w:rsidRPr="00E757B9">
        <w:rPr>
          <w:sz w:val="24"/>
          <w:szCs w:val="24"/>
        </w:rPr>
        <w:t xml:space="preserve"> jeb 8,9% vairāk. </w:t>
      </w:r>
    </w:p>
    <w:p w14:paraId="0FE2BD1B" w14:textId="77777777" w:rsidR="006415B1" w:rsidRPr="00E757B9" w:rsidRDefault="006415B1" w:rsidP="006415B1">
      <w:pPr>
        <w:rPr>
          <w:sz w:val="24"/>
          <w:szCs w:val="24"/>
          <w:highlight w:val="yellow"/>
        </w:rPr>
      </w:pPr>
      <w:r w:rsidRPr="00E757B9">
        <w:rPr>
          <w:sz w:val="24"/>
          <w:szCs w:val="24"/>
        </w:rPr>
        <w:t>Saskaņā ar Ceļu satiksmes drošības direkcijas datiem uz 2015. gada 1. aprīli, salīdzinot ar pagājušā gada attiecīgo periodu, par 4,5% samazinājies ar benzīna dzinēju reģistrēto transportlīdzekļu skaits, bet par 10,4% pieaudzis transportlīdzekļu skaits ar dīzeļdegvielas dzinēju, veidojot 52,5% no kopējā transportlīdzekļu skaita, un par 9,8% pieaudzis transportlīdzekļu skaits ar gāzes dzinēju</w:t>
      </w:r>
      <w:r w:rsidRPr="00E757B9">
        <w:rPr>
          <w:rStyle w:val="FootnoteReference"/>
          <w:sz w:val="24"/>
          <w:szCs w:val="24"/>
        </w:rPr>
        <w:footnoteReference w:id="7"/>
      </w:r>
      <w:r w:rsidRPr="00E757B9">
        <w:rPr>
          <w:sz w:val="24"/>
          <w:szCs w:val="24"/>
        </w:rPr>
        <w:t>, veidojot 7,2% no kopējā transportlīdzekļu skaita.</w:t>
      </w:r>
    </w:p>
    <w:p w14:paraId="087D74F3" w14:textId="77777777" w:rsidR="006415B1" w:rsidRPr="00E757B9" w:rsidRDefault="006415B1" w:rsidP="006415B1">
      <w:pPr>
        <w:rPr>
          <w:sz w:val="24"/>
          <w:szCs w:val="24"/>
          <w:highlight w:val="yellow"/>
        </w:rPr>
      </w:pPr>
      <w:r w:rsidRPr="00E757B9">
        <w:rPr>
          <w:sz w:val="24"/>
          <w:szCs w:val="24"/>
        </w:rPr>
        <w:t>2015. gada pirmajā ceturksnī salīdzinājumā ar 2014. gada pirmo ceturksni akcīzes nodokļa ieņēmumi no benzīna samazinājās par 0,2 milj. </w:t>
      </w:r>
      <w:r w:rsidRPr="00E757B9">
        <w:rPr>
          <w:i/>
          <w:sz w:val="24"/>
          <w:szCs w:val="24"/>
        </w:rPr>
        <w:t>euro</w:t>
      </w:r>
      <w:r w:rsidRPr="00E757B9">
        <w:rPr>
          <w:sz w:val="24"/>
          <w:szCs w:val="24"/>
        </w:rPr>
        <w:t xml:space="preserve"> jeb 0,8%. </w:t>
      </w:r>
    </w:p>
    <w:p w14:paraId="4FFC5456" w14:textId="77777777" w:rsidR="006415B1" w:rsidRPr="00E757B9" w:rsidRDefault="006415B1" w:rsidP="006415B1">
      <w:pPr>
        <w:rPr>
          <w:sz w:val="24"/>
          <w:szCs w:val="24"/>
        </w:rPr>
      </w:pPr>
      <w:r w:rsidRPr="00E757B9">
        <w:rPr>
          <w:sz w:val="24"/>
          <w:szCs w:val="24"/>
        </w:rPr>
        <w:t xml:space="preserve">Akcīzes nodokļa ieņēmumi no dīzeļdegvielas 2015. gada pirmajā ceturksnī salīdzinājumā ar 2014. gada attiecīgo periodu palielinājās par 8,0 milj. </w:t>
      </w:r>
      <w:r w:rsidRPr="00E757B9">
        <w:rPr>
          <w:i/>
          <w:sz w:val="24"/>
          <w:szCs w:val="24"/>
        </w:rPr>
        <w:t>euro</w:t>
      </w:r>
      <w:r w:rsidRPr="00E757B9">
        <w:rPr>
          <w:sz w:val="24"/>
          <w:szCs w:val="24"/>
        </w:rPr>
        <w:t xml:space="preserve"> jeb 12,9%. Kā jau iepriekš minēts, to ir nodrošinājis patēriņam nodotās dīzeļdegvielas apjoma būtisks pieaugums.</w:t>
      </w:r>
    </w:p>
    <w:p w14:paraId="1E3C3AB7" w14:textId="77777777" w:rsidR="006415B1" w:rsidRPr="00E757B9" w:rsidRDefault="006415B1" w:rsidP="006415B1">
      <w:pPr>
        <w:rPr>
          <w:sz w:val="24"/>
          <w:szCs w:val="24"/>
        </w:rPr>
      </w:pPr>
      <w:r w:rsidRPr="00E757B9">
        <w:rPr>
          <w:sz w:val="24"/>
          <w:szCs w:val="24"/>
        </w:rPr>
        <w:t>Savukārt akcīzes nodokļa ieņēmumi no naftas gāzēm 2015. gada pirmajā ceturksnī salīdzinā</w:t>
      </w:r>
      <w:r w:rsidRPr="00E757B9">
        <w:rPr>
          <w:sz w:val="24"/>
          <w:szCs w:val="24"/>
        </w:rPr>
        <w:softHyphen/>
        <w:t>jumā ar attiecīgo periodu pērn pieauguši par 0,2 milj. </w:t>
      </w:r>
      <w:r w:rsidRPr="00E757B9">
        <w:rPr>
          <w:i/>
          <w:sz w:val="24"/>
          <w:szCs w:val="24"/>
        </w:rPr>
        <w:t>euro</w:t>
      </w:r>
      <w:r w:rsidRPr="00E757B9">
        <w:rPr>
          <w:sz w:val="24"/>
          <w:szCs w:val="24"/>
        </w:rPr>
        <w:t xml:space="preserve"> jeb 11,1%, ko ir nodrošinājis naftas gāzu patēriņa pieaugums. Šī gada pirmajos divos mēnešos patēriņš ir palielinājies par 3,4 procentiem.</w:t>
      </w:r>
    </w:p>
    <w:p w14:paraId="07A53F4C" w14:textId="77777777" w:rsidR="006415B1" w:rsidRPr="00E757B9" w:rsidRDefault="006415B1" w:rsidP="006415B1">
      <w:pPr>
        <w:rPr>
          <w:sz w:val="24"/>
          <w:szCs w:val="24"/>
          <w:u w:val="single"/>
        </w:rPr>
      </w:pPr>
      <w:r w:rsidRPr="00E757B9">
        <w:rPr>
          <w:sz w:val="24"/>
          <w:szCs w:val="24"/>
          <w:u w:val="single"/>
        </w:rPr>
        <w:t>Akcīzes nodoklis tabakas izstrādājumiem</w:t>
      </w:r>
    </w:p>
    <w:p w14:paraId="6979FEA7" w14:textId="77777777" w:rsidR="006415B1" w:rsidRPr="00E757B9" w:rsidRDefault="006415B1" w:rsidP="006415B1">
      <w:pPr>
        <w:rPr>
          <w:sz w:val="24"/>
          <w:szCs w:val="24"/>
        </w:rPr>
      </w:pPr>
      <w:r w:rsidRPr="00E757B9">
        <w:rPr>
          <w:sz w:val="24"/>
          <w:szCs w:val="24"/>
        </w:rPr>
        <w:t xml:space="preserve">Akcīzes nodokļa ieņēmumu no tabakas izstrādājumiem pirmā ceturkšņa plāna izpilde bija 105,8 procenti. 2015. gada pirmajā ceturksnī akcīzes nodokļa ieņēmumi no tabakas izstrādājumiem bija 38,5 milj. </w:t>
      </w:r>
      <w:r w:rsidRPr="00E757B9">
        <w:rPr>
          <w:i/>
          <w:sz w:val="24"/>
          <w:szCs w:val="24"/>
        </w:rPr>
        <w:t>euro</w:t>
      </w:r>
      <w:r w:rsidRPr="00E757B9">
        <w:rPr>
          <w:sz w:val="24"/>
          <w:szCs w:val="24"/>
        </w:rPr>
        <w:t>, kas, salīdzinot ar 2014. gada pirmo ceturksni, ir par 1,8 milj. </w:t>
      </w:r>
      <w:r w:rsidRPr="00E757B9">
        <w:rPr>
          <w:i/>
          <w:sz w:val="24"/>
          <w:szCs w:val="24"/>
        </w:rPr>
        <w:t>euro</w:t>
      </w:r>
      <w:r w:rsidRPr="00E757B9">
        <w:rPr>
          <w:sz w:val="24"/>
          <w:szCs w:val="24"/>
        </w:rPr>
        <w:t xml:space="preserve"> jeb 4,8% vairāk. </w:t>
      </w:r>
    </w:p>
    <w:p w14:paraId="082B47C7" w14:textId="77777777" w:rsidR="006415B1" w:rsidRPr="00E757B9" w:rsidRDefault="006415B1" w:rsidP="006415B1">
      <w:pPr>
        <w:rPr>
          <w:sz w:val="24"/>
          <w:szCs w:val="24"/>
        </w:rPr>
      </w:pPr>
      <w:r w:rsidRPr="00E757B9">
        <w:rPr>
          <w:sz w:val="24"/>
          <w:szCs w:val="24"/>
        </w:rPr>
        <w:t>Akcīzes nodokļa ieņēmumi no cigaretēm, kas 2015. gada pirmajā ceturksnī bija 96,9% no kopējiem akcīzes nodokļa ieņēmumiem no tabakas izstrādājumiem, salīdzinājumā ar 2014. gada pirmo ceturksni palielinājās par 1,8 milj. </w:t>
      </w:r>
      <w:r w:rsidRPr="00E757B9">
        <w:rPr>
          <w:i/>
          <w:sz w:val="24"/>
          <w:szCs w:val="24"/>
        </w:rPr>
        <w:t>euro</w:t>
      </w:r>
      <w:r w:rsidRPr="00E757B9">
        <w:rPr>
          <w:sz w:val="24"/>
          <w:szCs w:val="24"/>
        </w:rPr>
        <w:t xml:space="preserve"> jeb 5,1 procentu. Šī gada pirmajos divos mēnešos, salīdzinot ar iepriekšējā gada atbilstošo periodu, patēriņam nodots par 24,7% vairāk cigarešu.</w:t>
      </w:r>
    </w:p>
    <w:p w14:paraId="7F6D6179" w14:textId="77777777" w:rsidR="006415B1" w:rsidRPr="00E757B9" w:rsidRDefault="006415B1" w:rsidP="006415B1">
      <w:pPr>
        <w:rPr>
          <w:sz w:val="24"/>
          <w:szCs w:val="24"/>
          <w:u w:val="single"/>
        </w:rPr>
      </w:pPr>
      <w:r w:rsidRPr="00E757B9">
        <w:rPr>
          <w:sz w:val="24"/>
          <w:szCs w:val="24"/>
          <w:u w:val="single"/>
        </w:rPr>
        <w:t>Akcīzes nodoklis alkoholiskajiem dzērieniem un alum</w:t>
      </w:r>
    </w:p>
    <w:p w14:paraId="22416A67" w14:textId="77777777" w:rsidR="006415B1" w:rsidRPr="00E757B9" w:rsidRDefault="006415B1" w:rsidP="006415B1">
      <w:pPr>
        <w:rPr>
          <w:sz w:val="24"/>
          <w:szCs w:val="24"/>
        </w:rPr>
      </w:pPr>
      <w:r w:rsidRPr="00E757B9">
        <w:rPr>
          <w:sz w:val="24"/>
          <w:szCs w:val="24"/>
        </w:rPr>
        <w:t>Akcīzes nodokļa ieņēmumu no alkoholiskajiem dzērieniem pirmā ceturkšņa plāna izpilde bija 90,3 procenti. Plāna neizpilde alkoholiskajiem dzērieniem saistāma ar pieprasītajiem nodokļa termiņa pagarinājumiem 3,7 milj. </w:t>
      </w:r>
      <w:r w:rsidRPr="00E757B9">
        <w:rPr>
          <w:i/>
          <w:sz w:val="24"/>
          <w:szCs w:val="24"/>
        </w:rPr>
        <w:t>euro</w:t>
      </w:r>
      <w:r w:rsidRPr="00E757B9">
        <w:rPr>
          <w:sz w:val="24"/>
          <w:szCs w:val="24"/>
        </w:rPr>
        <w:t xml:space="preserve">  apmērā.</w:t>
      </w:r>
    </w:p>
    <w:p w14:paraId="429BA63E" w14:textId="77777777" w:rsidR="006415B1" w:rsidRPr="00E757B9" w:rsidRDefault="006415B1" w:rsidP="006415B1">
      <w:pPr>
        <w:rPr>
          <w:sz w:val="24"/>
          <w:szCs w:val="24"/>
          <w:highlight w:val="yellow"/>
        </w:rPr>
      </w:pPr>
      <w:r w:rsidRPr="00E757B9">
        <w:rPr>
          <w:sz w:val="24"/>
          <w:szCs w:val="24"/>
        </w:rPr>
        <w:t xml:space="preserve">2015. gada pirmajā ceturksnī akcīzes nodokļa ieņēmumi no alkoholiskajiem dzērieniem (izņemot alu) bija 30,4 milj. </w:t>
      </w:r>
      <w:r w:rsidRPr="00E757B9">
        <w:rPr>
          <w:i/>
          <w:sz w:val="24"/>
          <w:szCs w:val="24"/>
        </w:rPr>
        <w:t>euro</w:t>
      </w:r>
      <w:r w:rsidRPr="00E757B9">
        <w:rPr>
          <w:sz w:val="24"/>
          <w:szCs w:val="24"/>
        </w:rPr>
        <w:t xml:space="preserve">, kas, salīdzinot ar 2014. gada pirmo ceturksni, ir par 1,6 milj. </w:t>
      </w:r>
      <w:r w:rsidRPr="00E757B9">
        <w:rPr>
          <w:i/>
          <w:sz w:val="24"/>
          <w:szCs w:val="24"/>
        </w:rPr>
        <w:t>euro</w:t>
      </w:r>
      <w:r w:rsidRPr="00E757B9">
        <w:rPr>
          <w:sz w:val="24"/>
          <w:szCs w:val="24"/>
        </w:rPr>
        <w:t xml:space="preserve"> jeb 5,6% vairāk. </w:t>
      </w:r>
    </w:p>
    <w:p w14:paraId="68457489" w14:textId="77777777" w:rsidR="006415B1" w:rsidRPr="00E757B9" w:rsidRDefault="006415B1" w:rsidP="006415B1">
      <w:pPr>
        <w:rPr>
          <w:sz w:val="24"/>
          <w:szCs w:val="24"/>
        </w:rPr>
      </w:pPr>
      <w:r w:rsidRPr="00E757B9">
        <w:rPr>
          <w:sz w:val="24"/>
          <w:szCs w:val="24"/>
        </w:rPr>
        <w:t>Lielāko īpatsvaru (86,6%) akcīzes nodokļa ienākumos no alkoholiskajiem dzērieniem (izņemot alu) veido akcīzes nodokļa ieņēmumi no pārējiem alkoholiskajiem dzērieniem</w:t>
      </w:r>
      <w:r w:rsidRPr="00E757B9">
        <w:rPr>
          <w:sz w:val="24"/>
          <w:szCs w:val="24"/>
          <w:vertAlign w:val="superscript"/>
        </w:rPr>
        <w:footnoteReference w:id="8"/>
      </w:r>
      <w:r w:rsidRPr="00E757B9">
        <w:rPr>
          <w:sz w:val="24"/>
          <w:szCs w:val="24"/>
        </w:rPr>
        <w:t xml:space="preserve">, kas 2015. gada pirmajā ceturksnī tika </w:t>
      </w:r>
      <w:r w:rsidRPr="00234FC7">
        <w:rPr>
          <w:sz w:val="24"/>
          <w:szCs w:val="24"/>
        </w:rPr>
        <w:t>iekasēts 26,4</w:t>
      </w:r>
      <w:r w:rsidRPr="00E757B9">
        <w:rPr>
          <w:sz w:val="24"/>
          <w:szCs w:val="24"/>
        </w:rPr>
        <w:t> milj. </w:t>
      </w:r>
      <w:r w:rsidRPr="00E757B9">
        <w:rPr>
          <w:i/>
          <w:sz w:val="24"/>
          <w:szCs w:val="24"/>
        </w:rPr>
        <w:t>euro</w:t>
      </w:r>
      <w:r w:rsidRPr="00E757B9">
        <w:rPr>
          <w:sz w:val="24"/>
          <w:szCs w:val="24"/>
        </w:rPr>
        <w:t xml:space="preserve"> apmērā un ir par 1,3 milj. </w:t>
      </w:r>
      <w:r w:rsidRPr="00E757B9">
        <w:rPr>
          <w:i/>
          <w:sz w:val="24"/>
          <w:szCs w:val="24"/>
        </w:rPr>
        <w:t>euro</w:t>
      </w:r>
      <w:r w:rsidRPr="00E757B9">
        <w:rPr>
          <w:sz w:val="24"/>
          <w:szCs w:val="24"/>
        </w:rPr>
        <w:t xml:space="preserve"> jeb 5,1% vairāk, salīdzinot ar iepriekšējā gada attiecīgo periodu. Ieņēmumu pieaugums skaidrojams ar patēriņam nodoto alkoholisko dzērienu apjoma pieaugumu, kas 2014. gada decembrī pieauga par 2,0%, savukārt 2015. gada pirmajos divos mēnešos saglabājies iepriekšējā gada attiecīgā perioda līmenī.</w:t>
      </w:r>
    </w:p>
    <w:p w14:paraId="4B9487B5" w14:textId="77777777" w:rsidR="006415B1" w:rsidRPr="00E757B9" w:rsidRDefault="006415B1" w:rsidP="006415B1">
      <w:pPr>
        <w:rPr>
          <w:sz w:val="24"/>
          <w:szCs w:val="24"/>
        </w:rPr>
      </w:pPr>
      <w:r w:rsidRPr="00E757B9">
        <w:rPr>
          <w:sz w:val="24"/>
          <w:szCs w:val="24"/>
        </w:rPr>
        <w:t xml:space="preserve">Akcīzes nodokļa ieņēmumu no alus pirmā ceturkšņa plāna izpilde bija 108,7 procenti. 2015. gada pirmajā ceturksnī akcīzes nodokļa ieņēmumi no alus salīdzinājumā ar 2014. gada pirmo ceturksni palielinājās par 0,1 milj. </w:t>
      </w:r>
      <w:r w:rsidRPr="00E757B9">
        <w:rPr>
          <w:i/>
          <w:sz w:val="24"/>
          <w:szCs w:val="24"/>
        </w:rPr>
        <w:t>euro</w:t>
      </w:r>
      <w:r w:rsidRPr="00E757B9">
        <w:rPr>
          <w:sz w:val="24"/>
          <w:szCs w:val="24"/>
        </w:rPr>
        <w:t xml:space="preserve"> jeb 2,9% un bija 4,9 milj. </w:t>
      </w:r>
      <w:r w:rsidRPr="00E757B9">
        <w:rPr>
          <w:i/>
          <w:sz w:val="24"/>
          <w:szCs w:val="24"/>
        </w:rPr>
        <w:t>euro</w:t>
      </w:r>
      <w:r w:rsidRPr="00E757B9">
        <w:rPr>
          <w:sz w:val="24"/>
          <w:szCs w:val="24"/>
        </w:rPr>
        <w:t xml:space="preserve">, kas saistīts ar alus patēriņa apjoma pieaugumu. </w:t>
      </w:r>
    </w:p>
    <w:p w14:paraId="1C26FFBA" w14:textId="77777777" w:rsidR="006415B1" w:rsidRPr="00E757B9" w:rsidRDefault="006415B1" w:rsidP="006415B1">
      <w:pPr>
        <w:rPr>
          <w:sz w:val="24"/>
          <w:szCs w:val="24"/>
          <w:u w:val="single"/>
        </w:rPr>
      </w:pPr>
      <w:r w:rsidRPr="00E757B9">
        <w:rPr>
          <w:sz w:val="24"/>
          <w:szCs w:val="24"/>
          <w:u w:val="single"/>
        </w:rPr>
        <w:t>Akcīzes nodoklis dabasgāzei</w:t>
      </w:r>
    </w:p>
    <w:p w14:paraId="1F2D354D" w14:textId="77777777" w:rsidR="006415B1" w:rsidRPr="00E757B9" w:rsidRDefault="006415B1" w:rsidP="006415B1">
      <w:pPr>
        <w:rPr>
          <w:sz w:val="24"/>
          <w:szCs w:val="24"/>
          <w:highlight w:val="yellow"/>
        </w:rPr>
      </w:pPr>
      <w:r w:rsidRPr="00E757B9">
        <w:rPr>
          <w:sz w:val="24"/>
          <w:szCs w:val="24"/>
        </w:rPr>
        <w:t>2015. gada pirmajā ceturksnī akcīzes nodokļa ieņēmumi no dabasgāzes bija 7,5 milj. </w:t>
      </w:r>
      <w:r w:rsidRPr="00E757B9">
        <w:rPr>
          <w:i/>
          <w:sz w:val="24"/>
          <w:szCs w:val="24"/>
        </w:rPr>
        <w:t>euro</w:t>
      </w:r>
      <w:r w:rsidRPr="00E757B9">
        <w:rPr>
          <w:sz w:val="24"/>
          <w:szCs w:val="24"/>
        </w:rPr>
        <w:t xml:space="preserve"> un plāns tika  izpildīts par 80,7 procentiem. Salīdzinot ar pērnā gada pirmo ceturksni, iemaksāts par 0,5 milj. </w:t>
      </w:r>
      <w:r w:rsidRPr="00E757B9">
        <w:rPr>
          <w:i/>
          <w:sz w:val="24"/>
          <w:szCs w:val="24"/>
        </w:rPr>
        <w:t>euro</w:t>
      </w:r>
      <w:r w:rsidRPr="00E757B9">
        <w:rPr>
          <w:sz w:val="24"/>
          <w:szCs w:val="24"/>
        </w:rPr>
        <w:t xml:space="preserve"> jeb 6,7% mazāk. Ieņēmumu samazinājums saistīts ar netipiski siltajiem laikapstākļiem.  </w:t>
      </w:r>
    </w:p>
    <w:p w14:paraId="24627D54" w14:textId="77777777" w:rsidR="006415B1" w:rsidRPr="00E757B9" w:rsidRDefault="006415B1" w:rsidP="006415B1">
      <w:pPr>
        <w:rPr>
          <w:sz w:val="24"/>
          <w:szCs w:val="24"/>
          <w:u w:val="single"/>
        </w:rPr>
      </w:pPr>
      <w:r w:rsidRPr="00E757B9">
        <w:rPr>
          <w:sz w:val="24"/>
          <w:szCs w:val="24"/>
          <w:u w:val="single"/>
        </w:rPr>
        <w:t>Akcīzes nodoklis pārējām akcīzes precēm</w:t>
      </w:r>
    </w:p>
    <w:p w14:paraId="716EB563" w14:textId="77777777" w:rsidR="006415B1" w:rsidRPr="00E757B9" w:rsidRDefault="006415B1" w:rsidP="006415B1">
      <w:pPr>
        <w:rPr>
          <w:sz w:val="24"/>
          <w:szCs w:val="24"/>
        </w:rPr>
      </w:pPr>
      <w:r w:rsidRPr="00E757B9">
        <w:rPr>
          <w:sz w:val="24"/>
          <w:szCs w:val="24"/>
        </w:rPr>
        <w:t>2015. gada pirmajā ceturksnī akcīzes nodokļa ieņēmumi no pārējām akcīzes precēm bija 3,3 milj. </w:t>
      </w:r>
      <w:r w:rsidRPr="00E757B9">
        <w:rPr>
          <w:i/>
          <w:sz w:val="24"/>
          <w:szCs w:val="24"/>
        </w:rPr>
        <w:t>euro</w:t>
      </w:r>
      <w:r w:rsidRPr="00E757B9">
        <w:rPr>
          <w:sz w:val="24"/>
          <w:szCs w:val="24"/>
        </w:rPr>
        <w:t>, līdz ar to plāna izpilde bija 97,7 procenti. 2015. gada pirmā ceturkšņa ieņēmumi salīdzinājumā ar 2014. gada pirmo ceturksni bija par 41,9 tūkst. </w:t>
      </w:r>
      <w:r w:rsidRPr="00E757B9">
        <w:rPr>
          <w:i/>
          <w:sz w:val="24"/>
          <w:szCs w:val="24"/>
        </w:rPr>
        <w:t>euro</w:t>
      </w:r>
      <w:r w:rsidRPr="00E757B9">
        <w:rPr>
          <w:sz w:val="24"/>
          <w:szCs w:val="24"/>
        </w:rPr>
        <w:t xml:space="preserve"> jeb 1,3% mazāki.</w:t>
      </w:r>
    </w:p>
    <w:p w14:paraId="3F3187CF" w14:textId="77777777" w:rsidR="006415B1" w:rsidRPr="00E757B9" w:rsidRDefault="006415B1" w:rsidP="006415B1">
      <w:pPr>
        <w:rPr>
          <w:sz w:val="24"/>
          <w:szCs w:val="24"/>
        </w:rPr>
      </w:pPr>
      <w:r w:rsidRPr="00E757B9">
        <w:rPr>
          <w:sz w:val="24"/>
          <w:szCs w:val="24"/>
        </w:rPr>
        <w:t>Akcīzes nodokļa ieņēmumi no kafijas 2015. gada pirmajā ceturksnī bija 1,6 milj. </w:t>
      </w:r>
      <w:r w:rsidRPr="00E757B9">
        <w:rPr>
          <w:i/>
          <w:sz w:val="24"/>
          <w:szCs w:val="24"/>
        </w:rPr>
        <w:t>euro</w:t>
      </w:r>
      <w:r w:rsidRPr="00E757B9">
        <w:rPr>
          <w:sz w:val="24"/>
          <w:szCs w:val="24"/>
        </w:rPr>
        <w:t>, kas ir par 5,4% mazāk salīdzinājumā ar 2014. gada pirmo ceturksni, bet akcīzes no</w:t>
      </w:r>
      <w:r w:rsidRPr="00E757B9">
        <w:rPr>
          <w:sz w:val="24"/>
          <w:szCs w:val="24"/>
        </w:rPr>
        <w:softHyphen/>
        <w:t>dokļa ieņēmumi no bezalkoholiskajiem dzērieniem 2015. gada pirmajā ceturksnī bija 1,6 milj. </w:t>
      </w:r>
      <w:r w:rsidRPr="00E757B9">
        <w:rPr>
          <w:i/>
          <w:sz w:val="24"/>
          <w:szCs w:val="24"/>
        </w:rPr>
        <w:t>euro</w:t>
      </w:r>
      <w:r w:rsidRPr="00E757B9">
        <w:rPr>
          <w:sz w:val="24"/>
          <w:szCs w:val="24"/>
        </w:rPr>
        <w:t>, kas ir par 3,3% vairāk kā iepriekšējā gada atbilstošajā periodā.</w:t>
      </w:r>
    </w:p>
    <w:p w14:paraId="6A33D8F4" w14:textId="77777777" w:rsidR="006415B1" w:rsidRPr="00E757B9" w:rsidRDefault="006415B1" w:rsidP="006415B1">
      <w:pPr>
        <w:rPr>
          <w:sz w:val="24"/>
          <w:szCs w:val="24"/>
        </w:rPr>
      </w:pPr>
      <w:r w:rsidRPr="00E757B9">
        <w:rPr>
          <w:b/>
          <w:sz w:val="24"/>
          <w:szCs w:val="24"/>
        </w:rPr>
        <w:t>Vieglo automobiļu un motociklu nodokļa ieņēmumi</w:t>
      </w:r>
      <w:r w:rsidRPr="00E757B9">
        <w:rPr>
          <w:sz w:val="24"/>
          <w:szCs w:val="24"/>
        </w:rPr>
        <w:t xml:space="preserve"> 2015. gada pirmajā ceturksnī bija 2,5 milj. </w:t>
      </w:r>
      <w:r w:rsidRPr="00E757B9">
        <w:rPr>
          <w:i/>
          <w:sz w:val="24"/>
          <w:szCs w:val="24"/>
        </w:rPr>
        <w:t>euro</w:t>
      </w:r>
      <w:r w:rsidRPr="00E757B9">
        <w:rPr>
          <w:sz w:val="24"/>
          <w:szCs w:val="24"/>
        </w:rPr>
        <w:t>, kas, salīdzinot ar 2015. gada pirmā ceturkšņa plānu, bija par 0,1 milj. </w:t>
      </w:r>
      <w:r w:rsidRPr="00E757B9">
        <w:rPr>
          <w:i/>
          <w:iCs/>
          <w:sz w:val="24"/>
          <w:szCs w:val="24"/>
        </w:rPr>
        <w:t>euro</w:t>
      </w:r>
      <w:r w:rsidRPr="00E757B9">
        <w:rPr>
          <w:sz w:val="24"/>
          <w:szCs w:val="24"/>
        </w:rPr>
        <w:t xml:space="preserve"> jeb 2,2% mazāk.</w:t>
      </w:r>
    </w:p>
    <w:p w14:paraId="6216F0CA" w14:textId="77777777" w:rsidR="006415B1" w:rsidRPr="00E757B9" w:rsidRDefault="006415B1" w:rsidP="006415B1">
      <w:pPr>
        <w:ind w:firstLine="0"/>
        <w:jc w:val="center"/>
        <w:rPr>
          <w:b/>
          <w:i/>
          <w:sz w:val="24"/>
          <w:szCs w:val="24"/>
        </w:rPr>
      </w:pPr>
      <w:r w:rsidRPr="00E757B9">
        <w:rPr>
          <w:b/>
          <w:i/>
          <w:noProof/>
          <w:sz w:val="24"/>
          <w:szCs w:val="24"/>
          <w:lang w:eastAsia="lv-LV"/>
        </w:rPr>
        <w:drawing>
          <wp:inline distT="0" distB="0" distL="0" distR="0" wp14:anchorId="05E6B2C0" wp14:editId="7E641FA0">
            <wp:extent cx="5690430" cy="29041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225" t="19721" b="4041"/>
                    <a:stretch/>
                  </pic:blipFill>
                  <pic:spPr bwMode="auto">
                    <a:xfrm>
                      <a:off x="0" y="0"/>
                      <a:ext cx="5690430" cy="2904135"/>
                    </a:xfrm>
                    <a:prstGeom prst="rect">
                      <a:avLst/>
                    </a:prstGeom>
                    <a:noFill/>
                    <a:ln w="3175">
                      <a:noFill/>
                    </a:ln>
                    <a:extLst>
                      <a:ext uri="{53640926-AAD7-44D8-BBD7-CCE9431645EC}">
                        <a14:shadowObscured xmlns:a14="http://schemas.microsoft.com/office/drawing/2010/main"/>
                      </a:ext>
                    </a:extLst>
                  </pic:spPr>
                </pic:pic>
              </a:graphicData>
            </a:graphic>
          </wp:inline>
        </w:drawing>
      </w:r>
    </w:p>
    <w:p w14:paraId="252061A8" w14:textId="77777777" w:rsidR="006415B1" w:rsidRPr="00843F34" w:rsidRDefault="00234FC7" w:rsidP="006415B1">
      <w:pPr>
        <w:ind w:firstLine="0"/>
        <w:jc w:val="center"/>
        <w:rPr>
          <w:b/>
          <w:sz w:val="20"/>
          <w:szCs w:val="24"/>
        </w:rPr>
      </w:pPr>
      <w:r w:rsidRPr="00843F34">
        <w:rPr>
          <w:b/>
          <w:sz w:val="20"/>
          <w:szCs w:val="24"/>
        </w:rPr>
        <w:t>2.7</w:t>
      </w:r>
      <w:r w:rsidR="006415B1" w:rsidRPr="00843F34">
        <w:rPr>
          <w:b/>
          <w:sz w:val="20"/>
          <w:szCs w:val="24"/>
        </w:rPr>
        <w:t>. att. Vieglo automobiļu un motociklu nodokļu ieņēmumi pa ceturkšņiem, milj. euro.</w:t>
      </w:r>
    </w:p>
    <w:p w14:paraId="664F2F90" w14:textId="77777777" w:rsidR="006415B1" w:rsidRPr="00E757B9" w:rsidRDefault="006415B1" w:rsidP="006415B1">
      <w:pPr>
        <w:rPr>
          <w:sz w:val="24"/>
          <w:szCs w:val="24"/>
        </w:rPr>
      </w:pPr>
    </w:p>
    <w:p w14:paraId="06E096BC" w14:textId="77777777" w:rsidR="006415B1" w:rsidRPr="00E757B9" w:rsidRDefault="006415B1" w:rsidP="006415B1">
      <w:pPr>
        <w:rPr>
          <w:sz w:val="24"/>
          <w:szCs w:val="24"/>
        </w:rPr>
      </w:pPr>
      <w:r w:rsidRPr="00E757B9">
        <w:rPr>
          <w:sz w:val="24"/>
          <w:szCs w:val="24"/>
        </w:rPr>
        <w:t>Salīdzinājumā ar 2014. gada pirmo ceturksni vieglo automobiļu un motociklu nodokļa ieņēmumi 2015. gada pirmajā ceturksnī bija par 0,1 milj. </w:t>
      </w:r>
      <w:r w:rsidRPr="00E757B9">
        <w:rPr>
          <w:i/>
          <w:sz w:val="24"/>
          <w:szCs w:val="24"/>
        </w:rPr>
        <w:t>euro</w:t>
      </w:r>
      <w:r w:rsidRPr="00E757B9">
        <w:rPr>
          <w:sz w:val="24"/>
          <w:szCs w:val="24"/>
        </w:rPr>
        <w:t xml:space="preserve"> jeb 5,2% vairāk. </w:t>
      </w:r>
    </w:p>
    <w:p w14:paraId="71036197" w14:textId="77777777" w:rsidR="006415B1" w:rsidRPr="00E757B9" w:rsidRDefault="006415B1" w:rsidP="006415B1">
      <w:pPr>
        <w:rPr>
          <w:sz w:val="24"/>
          <w:szCs w:val="24"/>
        </w:rPr>
      </w:pPr>
      <w:r w:rsidRPr="00E757B9">
        <w:rPr>
          <w:sz w:val="24"/>
          <w:szCs w:val="24"/>
        </w:rPr>
        <w:t xml:space="preserve">Nodokļa ieņēmumu palielināšanās pamatā galvenokārt bija pirmoreiz reģistrēto vieglo automobiļu skaita palielināšanās. Saskaņā ar Ceļu satiksmes drošības direkcijas informāciju 2015. gada pirmajā ceturksnī salīdzinājumā ar 2014. gada pirmo ceturksni pirmoreiz reģistrēto vieglo automobiļu skaits palielinājies par 1 100 automašīnām jeb 8,4 procentiem. </w:t>
      </w:r>
      <w:r w:rsidRPr="00E757B9">
        <w:rPr>
          <w:b/>
          <w:sz w:val="24"/>
          <w:szCs w:val="24"/>
        </w:rPr>
        <w:t xml:space="preserve"> </w:t>
      </w:r>
    </w:p>
    <w:p w14:paraId="29C3E002" w14:textId="77777777" w:rsidR="006415B1" w:rsidRPr="00E757B9" w:rsidRDefault="006415B1" w:rsidP="006415B1">
      <w:pPr>
        <w:rPr>
          <w:sz w:val="24"/>
          <w:szCs w:val="24"/>
        </w:rPr>
      </w:pPr>
      <w:r w:rsidRPr="00E757B9">
        <w:rPr>
          <w:b/>
          <w:sz w:val="24"/>
          <w:szCs w:val="24"/>
        </w:rPr>
        <w:t>Muitas nodokļa</w:t>
      </w:r>
      <w:r w:rsidRPr="00E757B9">
        <w:rPr>
          <w:sz w:val="24"/>
          <w:szCs w:val="24"/>
        </w:rPr>
        <w:t xml:space="preserve"> ieņēmumi 2015. gada pirmajā ceturksnī bija 10,1 milj. </w:t>
      </w:r>
      <w:r w:rsidRPr="00E757B9">
        <w:rPr>
          <w:i/>
          <w:sz w:val="24"/>
          <w:szCs w:val="24"/>
        </w:rPr>
        <w:t>euro</w:t>
      </w:r>
      <w:r w:rsidRPr="00E757B9">
        <w:rPr>
          <w:sz w:val="24"/>
          <w:szCs w:val="24"/>
        </w:rPr>
        <w:t>, līdz ar to plāns 2015. gada pirmajā ceturksnī izpildīts par 116,8 procentiem.</w:t>
      </w:r>
    </w:p>
    <w:p w14:paraId="5A7573D5" w14:textId="77777777" w:rsidR="006415B1" w:rsidRPr="00E757B9" w:rsidRDefault="006415B1" w:rsidP="006415B1">
      <w:pPr>
        <w:rPr>
          <w:sz w:val="24"/>
          <w:szCs w:val="24"/>
        </w:rPr>
      </w:pPr>
      <w:r w:rsidRPr="00E757B9">
        <w:rPr>
          <w:b/>
          <w:i/>
          <w:noProof/>
          <w:sz w:val="24"/>
          <w:szCs w:val="24"/>
          <w:lang w:eastAsia="lv-LV"/>
        </w:rPr>
        <w:drawing>
          <wp:inline distT="0" distB="0" distL="0" distR="0" wp14:anchorId="621E3FF3" wp14:editId="3D882CD0">
            <wp:extent cx="5259629" cy="291836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649" t="19415" b="3520"/>
                    <a:stretch/>
                  </pic:blipFill>
                  <pic:spPr bwMode="auto">
                    <a:xfrm>
                      <a:off x="0" y="0"/>
                      <a:ext cx="5268224" cy="2923130"/>
                    </a:xfrm>
                    <a:prstGeom prst="rect">
                      <a:avLst/>
                    </a:prstGeom>
                    <a:noFill/>
                    <a:ln w="3175">
                      <a:noFill/>
                    </a:ln>
                    <a:extLst>
                      <a:ext uri="{53640926-AAD7-44D8-BBD7-CCE9431645EC}">
                        <a14:shadowObscured xmlns:a14="http://schemas.microsoft.com/office/drawing/2010/main"/>
                      </a:ext>
                    </a:extLst>
                  </pic:spPr>
                </pic:pic>
              </a:graphicData>
            </a:graphic>
          </wp:inline>
        </w:drawing>
      </w:r>
    </w:p>
    <w:p w14:paraId="66E99AAD" w14:textId="77777777" w:rsidR="006415B1" w:rsidRPr="00843F34" w:rsidRDefault="00234FC7" w:rsidP="006415B1">
      <w:pPr>
        <w:ind w:firstLine="0"/>
        <w:jc w:val="center"/>
        <w:rPr>
          <w:b/>
          <w:sz w:val="20"/>
          <w:szCs w:val="24"/>
        </w:rPr>
      </w:pPr>
      <w:r w:rsidRPr="00843F34">
        <w:rPr>
          <w:b/>
          <w:sz w:val="20"/>
          <w:szCs w:val="24"/>
        </w:rPr>
        <w:t>2.8</w:t>
      </w:r>
      <w:r w:rsidR="006415B1" w:rsidRPr="00843F34">
        <w:rPr>
          <w:b/>
          <w:sz w:val="20"/>
          <w:szCs w:val="24"/>
        </w:rPr>
        <w:t>. att. Muitas nodokļa ieņēmumi pa ceturkšņiem, milj. euro.</w:t>
      </w:r>
    </w:p>
    <w:p w14:paraId="2ADFD90F" w14:textId="77777777" w:rsidR="006415B1" w:rsidRPr="00E757B9" w:rsidRDefault="006415B1" w:rsidP="006415B1">
      <w:pPr>
        <w:rPr>
          <w:sz w:val="24"/>
          <w:szCs w:val="24"/>
        </w:rPr>
      </w:pPr>
    </w:p>
    <w:p w14:paraId="6896D1BD" w14:textId="77777777" w:rsidR="006415B1" w:rsidRPr="00E757B9" w:rsidRDefault="006415B1" w:rsidP="006415B1">
      <w:pPr>
        <w:rPr>
          <w:sz w:val="24"/>
          <w:szCs w:val="24"/>
        </w:rPr>
      </w:pPr>
      <w:r w:rsidRPr="00E757B9">
        <w:rPr>
          <w:sz w:val="24"/>
          <w:szCs w:val="24"/>
        </w:rPr>
        <w:t>Muitas nodokļa ieņēmumi 2015. gada pirmajā ceturksnī, salīdzinot ar  2014. gada attiecīgo periodu, ir palielinājušies par 1,7 milj. </w:t>
      </w:r>
      <w:r w:rsidRPr="00E757B9">
        <w:rPr>
          <w:i/>
          <w:sz w:val="24"/>
          <w:szCs w:val="24"/>
        </w:rPr>
        <w:t>euro</w:t>
      </w:r>
      <w:r w:rsidRPr="00E757B9">
        <w:rPr>
          <w:sz w:val="24"/>
          <w:szCs w:val="24"/>
        </w:rPr>
        <w:t xml:space="preserve"> jeb 20,6 procentiem. </w:t>
      </w:r>
    </w:p>
    <w:p w14:paraId="7CF92FD3" w14:textId="77777777" w:rsidR="006415B1" w:rsidRPr="00E757B9" w:rsidRDefault="006415B1" w:rsidP="006415B1">
      <w:pPr>
        <w:rPr>
          <w:sz w:val="24"/>
          <w:szCs w:val="24"/>
          <w:highlight w:val="yellow"/>
        </w:rPr>
      </w:pPr>
      <w:r w:rsidRPr="00E757B9">
        <w:rPr>
          <w:sz w:val="24"/>
          <w:szCs w:val="24"/>
        </w:rPr>
        <w:t>Ieņēmumu palielinājumu sekmēja Vispārējās preferenču sistēmas tarifa atcelšana ar Ķīnu, Ekvadoru, Taizemi, tādejādi izbeidzot samazināto muitas nodokļa likmju piemērošanu no šīm valstīm ievestajām precēm, kā arī ekonomiskās aktivitātes pieaugums, kā rezultātā būtiski pieaudzis importēto preču apjoms – par 0,2 milj. tonnām jeb 16,5% vairāk kā 2014. gada pirmajā ceturksnī.</w:t>
      </w:r>
    </w:p>
    <w:p w14:paraId="7EACAEA1" w14:textId="77777777" w:rsidR="006415B1" w:rsidRPr="00E757B9" w:rsidRDefault="006415B1" w:rsidP="006415B1">
      <w:pPr>
        <w:ind w:firstLine="720"/>
        <w:rPr>
          <w:rFonts w:cs="Times New Roman"/>
          <w:sz w:val="24"/>
          <w:szCs w:val="24"/>
        </w:rPr>
      </w:pPr>
      <w:r w:rsidRPr="00E757B9">
        <w:rPr>
          <w:rFonts w:cs="Times New Roman"/>
          <w:b/>
          <w:sz w:val="24"/>
          <w:szCs w:val="24"/>
        </w:rPr>
        <w:t>Elektroenerģijas nodokļa</w:t>
      </w:r>
      <w:r w:rsidRPr="00E757B9">
        <w:rPr>
          <w:rFonts w:cs="Times New Roman"/>
          <w:sz w:val="24"/>
          <w:szCs w:val="24"/>
        </w:rPr>
        <w:t xml:space="preserve"> ieņēmumi valsts budžetā 2015. gada pirmajā ceturksnī bija </w:t>
      </w:r>
      <w:r w:rsidRPr="00E757B9">
        <w:rPr>
          <w:rFonts w:eastAsia="Times New Roman" w:cs="Times New Roman"/>
          <w:sz w:val="24"/>
          <w:szCs w:val="24"/>
          <w:lang w:eastAsia="lv-LV"/>
        </w:rPr>
        <w:t>517,0 </w:t>
      </w:r>
      <w:r w:rsidRPr="00E757B9">
        <w:rPr>
          <w:rFonts w:cs="Times New Roman"/>
          <w:sz w:val="24"/>
          <w:szCs w:val="24"/>
        </w:rPr>
        <w:t xml:space="preserve">tūkst. </w:t>
      </w:r>
      <w:r w:rsidRPr="00E757B9">
        <w:rPr>
          <w:rFonts w:cs="Times New Roman"/>
          <w:i/>
          <w:sz w:val="24"/>
          <w:szCs w:val="24"/>
        </w:rPr>
        <w:t>euro</w:t>
      </w:r>
      <w:r w:rsidRPr="00E757B9">
        <w:rPr>
          <w:rFonts w:cs="Times New Roman"/>
          <w:sz w:val="24"/>
          <w:szCs w:val="24"/>
        </w:rPr>
        <w:t>, kas ir par 222,8 tūkst. </w:t>
      </w:r>
      <w:r w:rsidRPr="00E757B9">
        <w:rPr>
          <w:rFonts w:cs="Times New Roman"/>
          <w:i/>
          <w:sz w:val="24"/>
          <w:szCs w:val="24"/>
        </w:rPr>
        <w:t>euro</w:t>
      </w:r>
      <w:r w:rsidRPr="00E757B9">
        <w:rPr>
          <w:rFonts w:cs="Times New Roman"/>
          <w:sz w:val="24"/>
          <w:szCs w:val="24"/>
        </w:rPr>
        <w:t xml:space="preserve"> jeb 75,7% vairāk nekā plānots. Elektroenerģijas nodokļa pirmā ceturkšņa ieņēmumi, salīdzinot ar  2014. gada pirmo ceturksni, ir pieauguši par 383,6 tūkst. </w:t>
      </w:r>
      <w:r w:rsidRPr="00E757B9">
        <w:rPr>
          <w:rFonts w:cs="Times New Roman"/>
          <w:i/>
          <w:sz w:val="24"/>
          <w:szCs w:val="24"/>
        </w:rPr>
        <w:t>euro</w:t>
      </w:r>
      <w:r w:rsidRPr="00E757B9">
        <w:rPr>
          <w:rFonts w:cs="Times New Roman"/>
          <w:sz w:val="24"/>
          <w:szCs w:val="24"/>
        </w:rPr>
        <w:t xml:space="preserve"> jeb 287,7% procentiem.</w:t>
      </w:r>
    </w:p>
    <w:p w14:paraId="41B455CB" w14:textId="77777777" w:rsidR="006415B1" w:rsidRPr="00E757B9" w:rsidRDefault="006415B1" w:rsidP="006415B1">
      <w:pPr>
        <w:rPr>
          <w:rFonts w:cs="Times New Roman"/>
          <w:sz w:val="24"/>
          <w:szCs w:val="24"/>
        </w:rPr>
      </w:pPr>
      <w:r w:rsidRPr="00E757B9">
        <w:rPr>
          <w:rFonts w:cs="Times New Roman"/>
          <w:b/>
          <w:sz w:val="24"/>
          <w:szCs w:val="24"/>
        </w:rPr>
        <w:t>Transportlīdzekļu ekspluatācijas nodokļa</w:t>
      </w:r>
      <w:r w:rsidRPr="00E757B9">
        <w:rPr>
          <w:rFonts w:cs="Times New Roman"/>
          <w:sz w:val="24"/>
          <w:szCs w:val="24"/>
        </w:rPr>
        <w:t xml:space="preserve"> ieņēmumi</w:t>
      </w:r>
      <w:r w:rsidRPr="00E757B9">
        <w:rPr>
          <w:rStyle w:val="FootnoteReference"/>
          <w:rFonts w:ascii="Times New Roman" w:hAnsi="Times New Roman" w:cs="Times New Roman"/>
          <w:sz w:val="24"/>
          <w:szCs w:val="24"/>
        </w:rPr>
        <w:footnoteReference w:id="9"/>
      </w:r>
      <w:r w:rsidRPr="00E757B9">
        <w:rPr>
          <w:rFonts w:cs="Times New Roman"/>
          <w:sz w:val="24"/>
          <w:szCs w:val="24"/>
        </w:rPr>
        <w:t xml:space="preserve"> 2015. gada pirmajā ceturksnī bija 21,7 milj. </w:t>
      </w:r>
      <w:r w:rsidRPr="00E757B9">
        <w:rPr>
          <w:rFonts w:cs="Times New Roman"/>
          <w:i/>
          <w:sz w:val="24"/>
          <w:szCs w:val="24"/>
        </w:rPr>
        <w:t>euro,</w:t>
      </w:r>
      <w:r w:rsidRPr="00E757B9">
        <w:rPr>
          <w:rFonts w:cs="Times New Roman"/>
          <w:sz w:val="24"/>
          <w:szCs w:val="24"/>
        </w:rPr>
        <w:t xml:space="preserve"> un plāns tika izpildīts par 111,7 procentiem.</w:t>
      </w:r>
    </w:p>
    <w:p w14:paraId="3E4C179A" w14:textId="77777777" w:rsidR="006415B1" w:rsidRPr="00E757B9" w:rsidRDefault="006415B1" w:rsidP="006415B1">
      <w:pPr>
        <w:rPr>
          <w:rFonts w:cs="Times New Roman"/>
          <w:sz w:val="24"/>
          <w:szCs w:val="24"/>
        </w:rPr>
      </w:pPr>
      <w:r w:rsidRPr="00E757B9">
        <w:rPr>
          <w:rFonts w:cs="Times New Roman"/>
          <w:sz w:val="24"/>
          <w:szCs w:val="24"/>
        </w:rPr>
        <w:t xml:space="preserve">Transportlīdzekļu ekspluatācijas nodokļa ieņēmumi 2015. gada pirmajā ceturksnī salīdzinājumā ar iepriekšējā gada pirmo ceturksni pieauguši par 2,6 milj. </w:t>
      </w:r>
      <w:r w:rsidRPr="00E757B9">
        <w:rPr>
          <w:rFonts w:cs="Times New Roman"/>
          <w:i/>
          <w:sz w:val="24"/>
          <w:szCs w:val="24"/>
        </w:rPr>
        <w:t>euro</w:t>
      </w:r>
      <w:r w:rsidRPr="00E757B9">
        <w:rPr>
          <w:rFonts w:cs="Times New Roman"/>
          <w:sz w:val="24"/>
          <w:szCs w:val="24"/>
        </w:rPr>
        <w:t xml:space="preserve"> jeb 13,6 procentiem. </w:t>
      </w:r>
    </w:p>
    <w:p w14:paraId="08323408" w14:textId="77777777" w:rsidR="006415B1" w:rsidRPr="00E757B9" w:rsidRDefault="006415B1" w:rsidP="006415B1">
      <w:pPr>
        <w:rPr>
          <w:rFonts w:cs="Times New Roman"/>
          <w:sz w:val="24"/>
          <w:szCs w:val="24"/>
        </w:rPr>
      </w:pPr>
      <w:r w:rsidRPr="00E757B9">
        <w:rPr>
          <w:rFonts w:cs="Times New Roman"/>
          <w:sz w:val="24"/>
          <w:szCs w:val="24"/>
        </w:rPr>
        <w:t>Saskaņā ar Ceļu satiksmes drošības direkcijas informāciju, transportlīdzekļu skaits, par kuriem ir veikta tehniskā apskate, 2015.gada pirmajā ceturksnī salīdzinājumā ar attiecīgo periodu pērn ir palielinājies par 11,7%, kas arī ietekmē nodokļa izpildi.</w:t>
      </w:r>
    </w:p>
    <w:p w14:paraId="0902DC85" w14:textId="77777777" w:rsidR="006415B1" w:rsidRPr="00E757B9" w:rsidRDefault="006415B1" w:rsidP="006415B1">
      <w:pPr>
        <w:rPr>
          <w:rFonts w:cs="Times New Roman"/>
          <w:sz w:val="24"/>
          <w:szCs w:val="24"/>
          <w:highlight w:val="yellow"/>
        </w:rPr>
      </w:pPr>
      <w:r w:rsidRPr="00E757B9">
        <w:rPr>
          <w:rFonts w:cs="Times New Roman"/>
          <w:b/>
          <w:sz w:val="24"/>
          <w:szCs w:val="24"/>
        </w:rPr>
        <w:t xml:space="preserve">Uzņēmumu vieglo transportlīdzekļu nodokļa </w:t>
      </w:r>
      <w:r w:rsidRPr="00E757B9">
        <w:rPr>
          <w:rFonts w:cs="Times New Roman"/>
          <w:sz w:val="24"/>
          <w:szCs w:val="24"/>
        </w:rPr>
        <w:t xml:space="preserve">ieņēmumi 2015. gada pirmajā ceturksnī bija 4,7 milj. </w:t>
      </w:r>
      <w:r w:rsidRPr="00E757B9">
        <w:rPr>
          <w:rFonts w:cs="Times New Roman"/>
          <w:i/>
          <w:sz w:val="24"/>
          <w:szCs w:val="24"/>
        </w:rPr>
        <w:t>euro</w:t>
      </w:r>
      <w:r w:rsidRPr="00E757B9">
        <w:rPr>
          <w:rFonts w:cs="Times New Roman"/>
          <w:sz w:val="24"/>
          <w:szCs w:val="24"/>
        </w:rPr>
        <w:t xml:space="preserve">, līdz ar to plāns tika izpildīts par 113,1 procentu.  Uzņēmumu vieglo transportlīdzekļu nodokļa ieņēmumi salīdzinājumā ar 2014. gada pirmo ceturksni palielinājušies par 0,6 milj. </w:t>
      </w:r>
      <w:r w:rsidRPr="00E757B9">
        <w:rPr>
          <w:rFonts w:cs="Times New Roman"/>
          <w:i/>
          <w:sz w:val="24"/>
          <w:szCs w:val="24"/>
        </w:rPr>
        <w:t>euro</w:t>
      </w:r>
      <w:r w:rsidRPr="00E757B9">
        <w:rPr>
          <w:rFonts w:cs="Times New Roman"/>
          <w:sz w:val="24"/>
          <w:szCs w:val="24"/>
        </w:rPr>
        <w:t xml:space="preserve"> jeb 13,6 procentiem.</w:t>
      </w:r>
    </w:p>
    <w:p w14:paraId="4DD283FA" w14:textId="77777777" w:rsidR="006415B1" w:rsidRPr="00E757B9" w:rsidRDefault="006415B1" w:rsidP="006415B1">
      <w:pPr>
        <w:rPr>
          <w:rFonts w:cs="Times New Roman"/>
          <w:sz w:val="24"/>
          <w:szCs w:val="24"/>
          <w:highlight w:val="yellow"/>
        </w:rPr>
      </w:pPr>
      <w:r w:rsidRPr="00E757B9">
        <w:rPr>
          <w:rFonts w:cs="Times New Roman"/>
          <w:sz w:val="24"/>
          <w:szCs w:val="24"/>
        </w:rPr>
        <w:t>Kopējie</w:t>
      </w:r>
      <w:r w:rsidRPr="00E757B9">
        <w:rPr>
          <w:rFonts w:cs="Times New Roman"/>
          <w:b/>
          <w:sz w:val="24"/>
          <w:szCs w:val="24"/>
        </w:rPr>
        <w:t xml:space="preserve"> dabas resursu nodokļa</w:t>
      </w:r>
      <w:r w:rsidRPr="00E757B9">
        <w:rPr>
          <w:rFonts w:cs="Times New Roman"/>
          <w:sz w:val="24"/>
          <w:szCs w:val="24"/>
        </w:rPr>
        <w:t xml:space="preserve"> ieņēmumi valsts pamatbudžetā un paš</w:t>
      </w:r>
      <w:r w:rsidRPr="00E757B9">
        <w:rPr>
          <w:rFonts w:cs="Times New Roman"/>
          <w:sz w:val="24"/>
          <w:szCs w:val="24"/>
        </w:rPr>
        <w:softHyphen/>
        <w:t xml:space="preserve">valdību speciālajā budžetā 2015.gada pirmajā ceturksnī bija 6,0 milj. </w:t>
      </w:r>
      <w:r w:rsidRPr="00E757B9">
        <w:rPr>
          <w:rFonts w:cs="Times New Roman"/>
          <w:i/>
          <w:sz w:val="24"/>
          <w:szCs w:val="24"/>
        </w:rPr>
        <w:t>euro</w:t>
      </w:r>
      <w:r w:rsidRPr="00E757B9">
        <w:rPr>
          <w:rFonts w:cs="Times New Roman"/>
          <w:sz w:val="24"/>
          <w:szCs w:val="24"/>
        </w:rPr>
        <w:t>, kas ir par 0,3 milj. </w:t>
      </w:r>
      <w:r w:rsidRPr="00E757B9">
        <w:rPr>
          <w:rFonts w:cs="Times New Roman"/>
          <w:i/>
          <w:sz w:val="24"/>
          <w:szCs w:val="24"/>
        </w:rPr>
        <w:t>euro</w:t>
      </w:r>
      <w:r w:rsidRPr="00E757B9">
        <w:rPr>
          <w:rFonts w:cs="Times New Roman"/>
          <w:sz w:val="24"/>
          <w:szCs w:val="24"/>
        </w:rPr>
        <w:t xml:space="preserve"> jeb 4,6% vairāk nekā plānots. Dabas resursu nodokļa pirmā ceturkšņa ieņēmumi, salīdzinot ar 2014. gada pirmo ceturksni, palielinājušies par 0,6 milj. </w:t>
      </w:r>
      <w:r w:rsidRPr="00E757B9">
        <w:rPr>
          <w:rFonts w:cs="Times New Roman"/>
          <w:i/>
          <w:sz w:val="24"/>
          <w:szCs w:val="24"/>
        </w:rPr>
        <w:t>euro</w:t>
      </w:r>
      <w:r w:rsidRPr="00E757B9">
        <w:rPr>
          <w:rFonts w:cs="Times New Roman"/>
          <w:sz w:val="24"/>
          <w:szCs w:val="24"/>
        </w:rPr>
        <w:t xml:space="preserve"> jeb 10,3 proecentiem.</w:t>
      </w:r>
    </w:p>
    <w:p w14:paraId="201DE75D" w14:textId="77777777" w:rsidR="006415B1" w:rsidRPr="00E757B9" w:rsidRDefault="006415B1" w:rsidP="006415B1">
      <w:pPr>
        <w:rPr>
          <w:sz w:val="24"/>
          <w:szCs w:val="24"/>
        </w:rPr>
      </w:pPr>
      <w:r w:rsidRPr="00E757B9">
        <w:rPr>
          <w:rFonts w:cs="Times New Roman"/>
          <w:sz w:val="24"/>
          <w:szCs w:val="24"/>
        </w:rPr>
        <w:t xml:space="preserve">Salīdzinot ar iepriekšējā gada pirmo ceturksni, pieauguši ieņēmumi par akmeņoglēm, koksu un lignītu, par dabas resursu ieguvi un vides piesārņošanu, </w:t>
      </w:r>
      <w:r w:rsidRPr="00E757B9">
        <w:rPr>
          <w:sz w:val="24"/>
          <w:szCs w:val="24"/>
        </w:rPr>
        <w:t>par vienreiz lietojamiem galda traukiem un piederumiem, par preču iepakojumu, pirmo reizi Latvijas Republikā reģistrētajiem transportlīdzekļiem, par videi kaitīgām precēm, par zemes dzīļu derīgo īpašību izmantošanu, savukārt dabas resursu nodokļa ieņēmumi par virs limitos noteikto apjomu un soda naudas par likuma pārkāpumiem, kā arī par radioaktīvo vielu izmantošanu ir samazinājušies.</w:t>
      </w:r>
    </w:p>
    <w:p w14:paraId="36419096" w14:textId="77777777" w:rsidR="006415B1" w:rsidRPr="00E757B9" w:rsidRDefault="006415B1" w:rsidP="006415B1">
      <w:pPr>
        <w:ind w:firstLine="720"/>
        <w:rPr>
          <w:sz w:val="24"/>
          <w:szCs w:val="24"/>
        </w:rPr>
      </w:pPr>
      <w:r w:rsidRPr="00E757B9">
        <w:rPr>
          <w:sz w:val="24"/>
          <w:szCs w:val="24"/>
        </w:rPr>
        <w:t xml:space="preserve">Dabas resursu nodokļa ieņēmumus 2015. gadā ietekmēs 2013. gadā pieņemtās likumdošanas izmaiņas - ar 2015. gada 1. janvāri tika paaugstinātas dabas resursu nodokļa likmes par gaisa piesārņošanu un nodokļa likmes par zemes dzīļu resursu izmantošanu. </w:t>
      </w:r>
    </w:p>
    <w:p w14:paraId="0C548E02" w14:textId="77777777" w:rsidR="006415B1" w:rsidRPr="00E757B9" w:rsidRDefault="006415B1" w:rsidP="006415B1">
      <w:pPr>
        <w:ind w:firstLine="0"/>
        <w:jc w:val="center"/>
        <w:rPr>
          <w:b/>
          <w:i/>
          <w:sz w:val="24"/>
          <w:szCs w:val="24"/>
        </w:rPr>
      </w:pPr>
      <w:r w:rsidRPr="00E757B9">
        <w:rPr>
          <w:noProof/>
          <w:sz w:val="24"/>
          <w:szCs w:val="24"/>
          <w:lang w:eastAsia="lv-LV"/>
        </w:rPr>
        <w:drawing>
          <wp:inline distT="0" distB="0" distL="0" distR="0" wp14:anchorId="2C2BF1BE" wp14:editId="2CE5D91F">
            <wp:extent cx="5718810" cy="2911449"/>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119" t="17501"/>
                    <a:stretch/>
                  </pic:blipFill>
                  <pic:spPr bwMode="auto">
                    <a:xfrm>
                      <a:off x="0" y="0"/>
                      <a:ext cx="5752335" cy="2928517"/>
                    </a:xfrm>
                    <a:prstGeom prst="rect">
                      <a:avLst/>
                    </a:prstGeom>
                    <a:noFill/>
                    <a:ln>
                      <a:noFill/>
                    </a:ln>
                    <a:extLst>
                      <a:ext uri="{53640926-AAD7-44D8-BBD7-CCE9431645EC}">
                        <a14:shadowObscured xmlns:a14="http://schemas.microsoft.com/office/drawing/2010/main"/>
                      </a:ext>
                    </a:extLst>
                  </pic:spPr>
                </pic:pic>
              </a:graphicData>
            </a:graphic>
          </wp:inline>
        </w:drawing>
      </w:r>
    </w:p>
    <w:p w14:paraId="22D88918" w14:textId="77777777" w:rsidR="006415B1" w:rsidRPr="00843F34" w:rsidRDefault="00234FC7" w:rsidP="006415B1">
      <w:pPr>
        <w:ind w:firstLine="0"/>
        <w:jc w:val="center"/>
        <w:rPr>
          <w:b/>
          <w:sz w:val="20"/>
          <w:szCs w:val="24"/>
        </w:rPr>
      </w:pPr>
      <w:r w:rsidRPr="00843F34">
        <w:rPr>
          <w:b/>
          <w:sz w:val="20"/>
          <w:szCs w:val="24"/>
        </w:rPr>
        <w:t>2.9</w:t>
      </w:r>
      <w:r w:rsidR="006415B1" w:rsidRPr="00843F34">
        <w:rPr>
          <w:b/>
          <w:sz w:val="20"/>
          <w:szCs w:val="24"/>
        </w:rPr>
        <w:t>. att. Dabas resursu nodokļa ieņēmumi pa ceturkšņiem, milj. euro.</w:t>
      </w:r>
    </w:p>
    <w:p w14:paraId="68101131" w14:textId="77777777" w:rsidR="006415B1" w:rsidRPr="00E757B9" w:rsidRDefault="006415B1" w:rsidP="006415B1">
      <w:pPr>
        <w:ind w:firstLine="0"/>
        <w:jc w:val="center"/>
        <w:rPr>
          <w:b/>
          <w:i/>
          <w:sz w:val="24"/>
          <w:szCs w:val="24"/>
          <w:highlight w:val="yellow"/>
        </w:rPr>
      </w:pPr>
    </w:p>
    <w:p w14:paraId="4B707CD6" w14:textId="77777777" w:rsidR="006415B1" w:rsidRPr="00E757B9" w:rsidRDefault="006415B1" w:rsidP="006415B1">
      <w:pPr>
        <w:spacing w:after="0"/>
        <w:rPr>
          <w:sz w:val="24"/>
          <w:szCs w:val="24"/>
        </w:rPr>
      </w:pPr>
      <w:bookmarkStart w:id="69" w:name="_Toc167254150"/>
      <w:bookmarkStart w:id="70" w:name="_Toc162076874"/>
      <w:bookmarkStart w:id="71" w:name="_Toc176077653"/>
      <w:bookmarkStart w:id="72" w:name="_Toc208039553"/>
      <w:r w:rsidRPr="00E757B9">
        <w:rPr>
          <w:sz w:val="24"/>
          <w:szCs w:val="24"/>
        </w:rPr>
        <w:t xml:space="preserve">Kopējie </w:t>
      </w:r>
      <w:r w:rsidRPr="00E757B9">
        <w:rPr>
          <w:b/>
          <w:sz w:val="24"/>
          <w:szCs w:val="24"/>
        </w:rPr>
        <w:t>izložu un azartspēļu nodokļu</w:t>
      </w:r>
      <w:r w:rsidRPr="00E757B9">
        <w:rPr>
          <w:sz w:val="24"/>
          <w:szCs w:val="24"/>
        </w:rPr>
        <w:t xml:space="preserve"> ieņēmumi valsts pamatbudžetā un pašvaldību pamatbudžetā 2015. gada pirmajā ceturksnī bija 7,8 milj. </w:t>
      </w:r>
      <w:r w:rsidRPr="00E757B9">
        <w:rPr>
          <w:i/>
          <w:sz w:val="24"/>
          <w:szCs w:val="24"/>
        </w:rPr>
        <w:t>euro</w:t>
      </w:r>
      <w:r w:rsidRPr="00E757B9">
        <w:rPr>
          <w:sz w:val="24"/>
          <w:szCs w:val="24"/>
        </w:rPr>
        <w:t xml:space="preserve">. Izložu un azartspēļu nodokļa pirmā ceturkšņa plāna izpilde bija </w:t>
      </w:r>
      <w:r w:rsidRPr="00E757B9">
        <w:rPr>
          <w:bCs/>
          <w:sz w:val="24"/>
          <w:szCs w:val="24"/>
          <w:lang w:eastAsia="lv-LV"/>
        </w:rPr>
        <w:t xml:space="preserve">101,3%, tajā skaitā valsts pamatbudžetā 101,5% un pašvaldību pamatbudžetā 100,9 procenti, savukārt </w:t>
      </w:r>
      <w:r w:rsidRPr="00E757B9">
        <w:rPr>
          <w:sz w:val="24"/>
          <w:szCs w:val="24"/>
        </w:rPr>
        <w:t xml:space="preserve">2015. gada pirmā ceturkšņa ieņēmumi salīdzinājumā ar 2014. gada pirmo ceturksni palielinājušies par 0,4 milj. </w:t>
      </w:r>
      <w:r w:rsidRPr="00E757B9">
        <w:rPr>
          <w:i/>
          <w:sz w:val="24"/>
          <w:szCs w:val="24"/>
        </w:rPr>
        <w:t>euro</w:t>
      </w:r>
      <w:r w:rsidRPr="00E757B9">
        <w:rPr>
          <w:sz w:val="24"/>
          <w:szCs w:val="24"/>
        </w:rPr>
        <w:t xml:space="preserve"> jeb 5,1 procentu. </w:t>
      </w:r>
    </w:p>
    <w:p w14:paraId="3571F722" w14:textId="77777777" w:rsidR="006415B1" w:rsidRPr="00E757B9" w:rsidRDefault="006415B1" w:rsidP="006415B1">
      <w:pPr>
        <w:spacing w:after="0"/>
        <w:rPr>
          <w:sz w:val="24"/>
          <w:szCs w:val="24"/>
          <w:highlight w:val="yellow"/>
        </w:rPr>
      </w:pPr>
      <w:r w:rsidRPr="00E757B9">
        <w:rPr>
          <w:sz w:val="24"/>
          <w:szCs w:val="24"/>
        </w:rPr>
        <w:t>Izložu un azartspēļu nodokļu ieņēmumu pieaugumu galvenokārt ietekmēja nozares saimnieciskās darbības rādītāju uzlabošanās. Saskaņā ar Izložu un azartspēļu uzraudzības inspekcijas sniegto informāciju 2015. gada martā, salīdzinot ar 2014. gada martu, azartspēļu automātu skaits pieaudzis par 193, spēļu galdu skaits par 1, spēļu zāļu skaits samazinājies par 2, savukārt bingo zāļu un kazino skaits palicis nemainīgs.</w:t>
      </w:r>
    </w:p>
    <w:bookmarkEnd w:id="69"/>
    <w:bookmarkEnd w:id="70"/>
    <w:bookmarkEnd w:id="71"/>
    <w:bookmarkEnd w:id="72"/>
    <w:p w14:paraId="7022A193" w14:textId="77777777" w:rsidR="006415B1" w:rsidRPr="00E757B9" w:rsidRDefault="006415B1" w:rsidP="006415B1">
      <w:pPr>
        <w:spacing w:after="0"/>
        <w:ind w:firstLine="720"/>
        <w:rPr>
          <w:rFonts w:cs="Times New Roman"/>
          <w:sz w:val="24"/>
          <w:szCs w:val="24"/>
        </w:rPr>
      </w:pPr>
      <w:r w:rsidRPr="00E757B9">
        <w:rPr>
          <w:rFonts w:cs="Times New Roman"/>
          <w:b/>
          <w:sz w:val="24"/>
          <w:szCs w:val="24"/>
        </w:rPr>
        <w:t xml:space="preserve">Subsidētās elektroenerģijas nodokļa </w:t>
      </w:r>
      <w:r w:rsidRPr="00E757B9">
        <w:rPr>
          <w:rFonts w:cs="Times New Roman"/>
          <w:sz w:val="24"/>
          <w:szCs w:val="24"/>
        </w:rPr>
        <w:t>(turpmāk tekstā – SEN)</w:t>
      </w:r>
      <w:r w:rsidRPr="00E757B9">
        <w:rPr>
          <w:rFonts w:cs="Times New Roman"/>
          <w:b/>
          <w:sz w:val="24"/>
          <w:szCs w:val="24"/>
        </w:rPr>
        <w:t xml:space="preserve"> </w:t>
      </w:r>
      <w:r w:rsidRPr="00E757B9">
        <w:rPr>
          <w:rFonts w:cs="Times New Roman"/>
          <w:sz w:val="24"/>
          <w:szCs w:val="24"/>
        </w:rPr>
        <w:t>ieņēmumi valsts budžetā 2015. gada pirmajā ceturksnī bija</w:t>
      </w:r>
      <w:r w:rsidRPr="00E757B9">
        <w:rPr>
          <w:sz w:val="24"/>
          <w:szCs w:val="24"/>
        </w:rPr>
        <w:t xml:space="preserve"> </w:t>
      </w:r>
      <w:r w:rsidRPr="00E757B9">
        <w:rPr>
          <w:rFonts w:cs="Times New Roman"/>
          <w:sz w:val="24"/>
          <w:szCs w:val="24"/>
        </w:rPr>
        <w:t xml:space="preserve">8,1 milj. </w:t>
      </w:r>
      <w:r w:rsidRPr="00E757B9">
        <w:rPr>
          <w:rFonts w:cs="Times New Roman"/>
          <w:i/>
          <w:sz w:val="24"/>
          <w:szCs w:val="24"/>
        </w:rPr>
        <w:t xml:space="preserve">euro, </w:t>
      </w:r>
      <w:r w:rsidRPr="00E757B9">
        <w:rPr>
          <w:rFonts w:cs="Times New Roman"/>
          <w:sz w:val="24"/>
          <w:szCs w:val="24"/>
        </w:rPr>
        <w:t>kas ir par 1,1 milj. </w:t>
      </w:r>
      <w:r w:rsidRPr="00E757B9">
        <w:rPr>
          <w:rFonts w:cs="Times New Roman"/>
          <w:i/>
          <w:sz w:val="24"/>
          <w:szCs w:val="24"/>
        </w:rPr>
        <w:t>euro</w:t>
      </w:r>
      <w:r w:rsidRPr="00E757B9">
        <w:rPr>
          <w:rFonts w:cs="Times New Roman"/>
          <w:sz w:val="24"/>
          <w:szCs w:val="24"/>
        </w:rPr>
        <w:t xml:space="preserve"> jeb 11,4% mazāk nekā plānots.</w:t>
      </w:r>
    </w:p>
    <w:p w14:paraId="7B9D7684" w14:textId="77777777" w:rsidR="006415B1" w:rsidRPr="00E757B9" w:rsidRDefault="006415B1" w:rsidP="006415B1">
      <w:pPr>
        <w:spacing w:after="0"/>
        <w:ind w:firstLine="720"/>
        <w:rPr>
          <w:sz w:val="24"/>
          <w:szCs w:val="24"/>
        </w:rPr>
      </w:pPr>
      <w:r w:rsidRPr="00E757B9">
        <w:rPr>
          <w:rFonts w:cs="Times New Roman"/>
          <w:sz w:val="24"/>
          <w:szCs w:val="24"/>
        </w:rPr>
        <w:t xml:space="preserve">SEN ieņēmumi, salīdzinot ar 2014. gada pirmo ceturksni, ir pieauguši par 5,3 milj. </w:t>
      </w:r>
      <w:r w:rsidRPr="00E757B9">
        <w:rPr>
          <w:rFonts w:cs="Times New Roman"/>
          <w:i/>
          <w:sz w:val="24"/>
          <w:szCs w:val="24"/>
        </w:rPr>
        <w:t>euro</w:t>
      </w:r>
      <w:r w:rsidRPr="00E757B9">
        <w:rPr>
          <w:rFonts w:cs="Times New Roman"/>
          <w:sz w:val="24"/>
          <w:szCs w:val="24"/>
        </w:rPr>
        <w:t xml:space="preserve"> jeb </w:t>
      </w:r>
      <w:r w:rsidRPr="00E757B9">
        <w:rPr>
          <w:rFonts w:eastAsia="Times New Roman" w:cs="Times New Roman"/>
          <w:sz w:val="24"/>
          <w:szCs w:val="24"/>
          <w:lang w:eastAsia="lv-LV"/>
        </w:rPr>
        <w:t>191,5 procentiem. N</w:t>
      </w:r>
      <w:r w:rsidRPr="00E757B9">
        <w:rPr>
          <w:sz w:val="24"/>
          <w:szCs w:val="24"/>
        </w:rPr>
        <w:t xml:space="preserve">odokļa ieņēmumu pieaugumu, salīdzinot ar 2014. gada pirmo ceturksni, galvenokārt ietekmēja nodokļa maksāšanas kārtība. </w:t>
      </w:r>
    </w:p>
    <w:p w14:paraId="62D8985E" w14:textId="77777777" w:rsidR="006415B1" w:rsidRPr="00E757B9" w:rsidRDefault="006415B1" w:rsidP="006415B1">
      <w:pPr>
        <w:spacing w:after="0"/>
        <w:ind w:firstLine="720"/>
        <w:rPr>
          <w:rFonts w:cs="Times New Roman"/>
          <w:sz w:val="24"/>
          <w:szCs w:val="24"/>
        </w:rPr>
      </w:pPr>
      <w:r w:rsidRPr="00E757B9">
        <w:rPr>
          <w:rFonts w:cs="Times New Roman"/>
          <w:sz w:val="24"/>
          <w:szCs w:val="24"/>
        </w:rPr>
        <w:t xml:space="preserve">Saskaņā ar Subsidētās elektroenerģijas nodokļa likumu ar 2014. gada 1. janvāri tika ieviests SEN un saskaņā ar tā 9. panta pirmo un otro daļu nodoklis tiek ieturēts ienākumu izmaksas brīdi un iemaksāts valsts budžetā piecu dienu laikā pēc taksācijas perioda beigām, piemēram, ieturēto nodokli ienākumu izmaksas brīdī 2014. gada februāra taksācijas periodā pārskaitīja valsts budžetā līdz 2014. gada 5. martam. Tādējādi ieturētais nodoklis par noteiktā kalendārajā mēnesī obligātā iepirkuma ietvaros pārdoto elektroenerģiju nonāca valsts budžetā ar divu mēnešu novirzi. </w:t>
      </w:r>
    </w:p>
    <w:p w14:paraId="2A5A3613" w14:textId="77777777" w:rsidR="006415B1" w:rsidRPr="00E757B9" w:rsidRDefault="006415B1" w:rsidP="006415B1">
      <w:pPr>
        <w:rPr>
          <w:rFonts w:cs="Times New Roman"/>
          <w:sz w:val="24"/>
          <w:szCs w:val="24"/>
        </w:rPr>
      </w:pPr>
    </w:p>
    <w:p w14:paraId="61D94E44" w14:textId="77777777" w:rsidR="006415B1" w:rsidRPr="004E2AC5" w:rsidRDefault="006415B1" w:rsidP="006415B1">
      <w:pPr>
        <w:ind w:firstLine="0"/>
        <w:rPr>
          <w:rFonts w:cs="Times New Roman"/>
          <w:sz w:val="24"/>
          <w:szCs w:val="24"/>
          <w:highlight w:val="yellow"/>
        </w:rPr>
      </w:pPr>
      <w:r w:rsidRPr="004E2AC5">
        <w:rPr>
          <w:highlight w:val="yellow"/>
        </w:rPr>
        <w:br w:type="page"/>
      </w:r>
      <w:bookmarkEnd w:id="67"/>
      <w:bookmarkEnd w:id="68"/>
    </w:p>
    <w:p w14:paraId="689C7EF6" w14:textId="77777777" w:rsidR="006415B1" w:rsidRPr="003347F9" w:rsidRDefault="001C1C52" w:rsidP="00E757B9">
      <w:pPr>
        <w:pStyle w:val="Style3"/>
        <w:jc w:val="center"/>
      </w:pPr>
      <w:bookmarkStart w:id="73" w:name="_Toc356399260"/>
      <w:bookmarkStart w:id="74" w:name="_Toc356399761"/>
      <w:bookmarkStart w:id="75" w:name="_Toc419737736"/>
      <w:r>
        <w:t>2.2</w:t>
      </w:r>
      <w:r w:rsidR="006415B1" w:rsidRPr="003347F9">
        <w:t>.2. Valsts pamatbudžeta nenodokļu ieņēmumu izpilde</w:t>
      </w:r>
      <w:bookmarkEnd w:id="73"/>
      <w:bookmarkEnd w:id="74"/>
      <w:bookmarkEnd w:id="75"/>
    </w:p>
    <w:p w14:paraId="56BF91A9" w14:textId="77777777" w:rsidR="006415B1" w:rsidRPr="001C1C52" w:rsidRDefault="006415B1" w:rsidP="006415B1">
      <w:pPr>
        <w:rPr>
          <w:rFonts w:cs="Times New Roman"/>
          <w:b/>
          <w:sz w:val="24"/>
        </w:rPr>
      </w:pPr>
    </w:p>
    <w:p w14:paraId="0E43E8A0" w14:textId="77777777" w:rsidR="006415B1" w:rsidRPr="001C1C52" w:rsidRDefault="006415B1" w:rsidP="006415B1">
      <w:pPr>
        <w:spacing w:after="0"/>
        <w:ind w:firstLine="720"/>
        <w:rPr>
          <w:rFonts w:cs="Times New Roman"/>
          <w:sz w:val="24"/>
        </w:rPr>
      </w:pPr>
      <w:r w:rsidRPr="001C1C52">
        <w:rPr>
          <w:rFonts w:cs="Times New Roman"/>
          <w:b/>
          <w:sz w:val="24"/>
        </w:rPr>
        <w:t>Nenodokļu ieņēmumi</w:t>
      </w:r>
      <w:r w:rsidRPr="001C1C52">
        <w:rPr>
          <w:rFonts w:cs="Times New Roman"/>
          <w:b/>
          <w:sz w:val="24"/>
          <w:vertAlign w:val="superscript"/>
        </w:rPr>
        <w:footnoteReference w:id="10"/>
      </w:r>
      <w:r w:rsidRPr="001C1C52">
        <w:rPr>
          <w:rFonts w:cs="Times New Roman"/>
          <w:sz w:val="24"/>
        </w:rPr>
        <w:t xml:space="preserve"> 2015. gada pirmajā ceturksnī bija 71,2 milj. </w:t>
      </w:r>
      <w:r w:rsidRPr="001C1C52">
        <w:rPr>
          <w:rFonts w:cs="Times New Roman"/>
          <w:i/>
          <w:sz w:val="24"/>
        </w:rPr>
        <w:t>euro</w:t>
      </w:r>
      <w:r w:rsidRPr="001C1C52">
        <w:rPr>
          <w:rFonts w:cs="Times New Roman"/>
          <w:sz w:val="24"/>
        </w:rPr>
        <w:t>, līdz ar to pirmā ceturkšņa plāna izpilde bija 100,1 procents. Nenodokļu ieņēmumi 2015. gada pirmajā ceturksnī iekasēti par 7,7 milj. </w:t>
      </w:r>
      <w:r w:rsidRPr="001C1C52">
        <w:rPr>
          <w:rFonts w:cs="Times New Roman"/>
          <w:i/>
          <w:sz w:val="24"/>
        </w:rPr>
        <w:t>euro</w:t>
      </w:r>
      <w:r w:rsidRPr="001C1C52">
        <w:rPr>
          <w:rFonts w:cs="Times New Roman"/>
          <w:sz w:val="24"/>
        </w:rPr>
        <w:t xml:space="preserve"> vairāk nekā 2014. gada pirmajā ceturksnī, ko galvenokārt ietekmēja augstāki maksājumi no budžeta iestāžu saņemto un iepriekšējos gados neizlietoto budžeta līdzekļu atmaksāšanas, ieņēmumi un ieņēmumu zaudējumi no atvasināto finanšu instrumentu rezultāta un autoceļu lietošanas nodeva, kas stājas spēkā 2014. gada 1. jūlijā.</w:t>
      </w:r>
    </w:p>
    <w:p w14:paraId="5E3FE8A3" w14:textId="77777777" w:rsidR="006415B1" w:rsidRPr="001C1C52" w:rsidRDefault="006415B1" w:rsidP="006415B1">
      <w:pPr>
        <w:rPr>
          <w:rFonts w:cs="Times New Roman"/>
          <w:sz w:val="24"/>
        </w:rPr>
      </w:pPr>
      <w:r w:rsidRPr="001C1C52">
        <w:rPr>
          <w:rFonts w:cs="Times New Roman"/>
          <w:sz w:val="24"/>
        </w:rPr>
        <w:t>2015. gada pirmajā ceturksnī lielākais īpatsvars valsts pamatbudžeta nenodokļu ieņēmumos bija ieņēmumiem no:</w:t>
      </w:r>
    </w:p>
    <w:p w14:paraId="54CC9CFD" w14:textId="77777777" w:rsidR="006415B1" w:rsidRPr="001C1C52" w:rsidRDefault="006415B1" w:rsidP="006415B1">
      <w:pPr>
        <w:numPr>
          <w:ilvl w:val="0"/>
          <w:numId w:val="1"/>
        </w:numPr>
        <w:ind w:left="1070"/>
        <w:rPr>
          <w:rFonts w:cs="Times New Roman"/>
          <w:sz w:val="24"/>
        </w:rPr>
      </w:pPr>
      <w:r w:rsidRPr="001C1C52">
        <w:rPr>
          <w:rFonts w:cs="Times New Roman"/>
          <w:sz w:val="24"/>
        </w:rPr>
        <w:t>valsts nodevām par valsts sniegto nodrošinājumu un juridiskajiem un citiem pakalpojumiem;</w:t>
      </w:r>
    </w:p>
    <w:p w14:paraId="48AF85B4" w14:textId="77777777" w:rsidR="006415B1" w:rsidRPr="001C1C52" w:rsidRDefault="006415B1" w:rsidP="006415B1">
      <w:pPr>
        <w:numPr>
          <w:ilvl w:val="0"/>
          <w:numId w:val="1"/>
        </w:numPr>
        <w:ind w:left="1070"/>
        <w:rPr>
          <w:rFonts w:cs="Times New Roman"/>
          <w:sz w:val="24"/>
        </w:rPr>
      </w:pPr>
      <w:r w:rsidRPr="001C1C52">
        <w:rPr>
          <w:rFonts w:cs="Times New Roman"/>
          <w:sz w:val="24"/>
        </w:rPr>
        <w:t>pārējiem nenodokļu ieņēmumiem;</w:t>
      </w:r>
    </w:p>
    <w:p w14:paraId="10A92488" w14:textId="77777777" w:rsidR="006415B1" w:rsidRPr="001C1C52" w:rsidRDefault="006415B1" w:rsidP="006415B1">
      <w:pPr>
        <w:numPr>
          <w:ilvl w:val="0"/>
          <w:numId w:val="1"/>
        </w:numPr>
        <w:ind w:left="1070"/>
        <w:rPr>
          <w:rFonts w:cs="Times New Roman"/>
          <w:sz w:val="24"/>
        </w:rPr>
      </w:pPr>
      <w:r w:rsidRPr="001C1C52">
        <w:rPr>
          <w:rFonts w:cs="Times New Roman"/>
          <w:sz w:val="24"/>
        </w:rPr>
        <w:t>speciāliem mērķiem paredzētajām valsts nodevām.</w:t>
      </w:r>
    </w:p>
    <w:p w14:paraId="43EB3C97" w14:textId="77777777" w:rsidR="006415B1" w:rsidRPr="001C1C52" w:rsidRDefault="006415B1" w:rsidP="006415B1">
      <w:pPr>
        <w:spacing w:after="0"/>
        <w:rPr>
          <w:rFonts w:cs="Times New Roman"/>
          <w:sz w:val="24"/>
        </w:rPr>
      </w:pPr>
      <w:r w:rsidRPr="001C1C52">
        <w:rPr>
          <w:rFonts w:cs="Times New Roman"/>
          <w:sz w:val="24"/>
        </w:rPr>
        <w:t>Ieņēmumi no valsts nodevām par valsts sniegto nodrošinājumu un juridiskajiem un citiem pakalpojumiem sasniedza 18,9 milj. </w:t>
      </w:r>
      <w:r w:rsidRPr="001C1C52">
        <w:rPr>
          <w:rFonts w:cs="Times New Roman"/>
          <w:i/>
          <w:sz w:val="24"/>
        </w:rPr>
        <w:t>euro</w:t>
      </w:r>
      <w:r w:rsidRPr="001C1C52">
        <w:rPr>
          <w:rFonts w:cs="Times New Roman"/>
          <w:sz w:val="24"/>
        </w:rPr>
        <w:t>, kas ir par 4,3 milj. </w:t>
      </w:r>
      <w:r w:rsidRPr="001C1C52">
        <w:rPr>
          <w:rFonts w:cs="Times New Roman"/>
          <w:i/>
          <w:sz w:val="24"/>
        </w:rPr>
        <w:t>euro</w:t>
      </w:r>
      <w:r w:rsidRPr="001C1C52">
        <w:rPr>
          <w:rFonts w:cs="Times New Roman"/>
          <w:sz w:val="24"/>
        </w:rPr>
        <w:t xml:space="preserve"> mazāk nekā 2014. gada pirmajā ceturksnī. Lielākos ieņēmumus veidoja ieņēmumi no nodevas par īpašuma tiesību un ķīlas tiesību nostiprināšanu zemesgrāmatā 8,2 milj. </w:t>
      </w:r>
      <w:r w:rsidRPr="001C1C52">
        <w:rPr>
          <w:rFonts w:cs="Times New Roman"/>
          <w:i/>
          <w:sz w:val="24"/>
        </w:rPr>
        <w:t>euro</w:t>
      </w:r>
      <w:r w:rsidRPr="001C1C52">
        <w:rPr>
          <w:rFonts w:cs="Times New Roman"/>
          <w:sz w:val="24"/>
        </w:rPr>
        <w:t>, neskatoties uz samazinājumu par 2,5 milj. </w:t>
      </w:r>
      <w:r w:rsidRPr="001C1C52">
        <w:rPr>
          <w:rFonts w:cs="Times New Roman"/>
          <w:i/>
          <w:sz w:val="24"/>
        </w:rPr>
        <w:t>euro</w:t>
      </w:r>
      <w:r w:rsidRPr="001C1C52">
        <w:rPr>
          <w:rFonts w:cs="Times New Roman"/>
          <w:sz w:val="24"/>
        </w:rPr>
        <w:t>, salīdzinot ar 2014. gada pirmo ceturksni. Ieņēmumu no valsts nodevām par valsts sniegto nodrošinājumu un juridiskajiem un citiem pakalpojumiem pirmā ceturkšņa plāna izpilde sasniedz 80,3 procentus.</w:t>
      </w:r>
    </w:p>
    <w:p w14:paraId="328035C3" w14:textId="77777777" w:rsidR="006415B1" w:rsidRPr="001C1C52" w:rsidRDefault="006415B1" w:rsidP="006415B1">
      <w:pPr>
        <w:spacing w:after="0"/>
        <w:rPr>
          <w:rFonts w:cs="Times New Roman"/>
          <w:sz w:val="24"/>
        </w:rPr>
      </w:pPr>
      <w:r w:rsidRPr="001C1C52">
        <w:rPr>
          <w:rFonts w:cs="Times New Roman"/>
          <w:sz w:val="24"/>
        </w:rPr>
        <w:t>Ieņēmumi no pārējiem nenodokļu ieņēmumiem bija 13,5 milj. </w:t>
      </w:r>
      <w:r w:rsidRPr="001C1C52">
        <w:rPr>
          <w:rFonts w:cs="Times New Roman"/>
          <w:i/>
          <w:sz w:val="24"/>
        </w:rPr>
        <w:t>euro</w:t>
      </w:r>
      <w:r w:rsidRPr="001C1C52">
        <w:rPr>
          <w:rFonts w:cs="Times New Roman"/>
          <w:sz w:val="24"/>
        </w:rPr>
        <w:t>, kas ir par 5,1 milj. </w:t>
      </w:r>
      <w:r w:rsidRPr="001C1C52">
        <w:rPr>
          <w:rFonts w:cs="Times New Roman"/>
          <w:i/>
          <w:sz w:val="24"/>
        </w:rPr>
        <w:t>euro</w:t>
      </w:r>
      <w:r w:rsidRPr="001C1C52">
        <w:rPr>
          <w:rFonts w:cs="Times New Roman"/>
          <w:sz w:val="24"/>
        </w:rPr>
        <w:t xml:space="preserve"> vairāk kā 2014. gada pirmajā ceturksnī, ko galvenokārt ietekmēja ieņēmumi no valsts budžeta iestāžu un organizāciju saņemto un iepriekšējos gados neizlietoto budžeta līdzekļu atmaksāšanas.</w:t>
      </w:r>
    </w:p>
    <w:p w14:paraId="7B9B498F" w14:textId="77777777" w:rsidR="006415B1" w:rsidRPr="001C1C52" w:rsidRDefault="006415B1" w:rsidP="006415B1">
      <w:pPr>
        <w:rPr>
          <w:rFonts w:cs="Times New Roman"/>
          <w:b/>
          <w:sz w:val="22"/>
          <w:szCs w:val="24"/>
        </w:rPr>
      </w:pPr>
      <w:r w:rsidRPr="001C1C52">
        <w:rPr>
          <w:rFonts w:cs="Times New Roman"/>
          <w:sz w:val="24"/>
        </w:rPr>
        <w:t>Ieņēmumi no speciāliem mērķiem paredzētajām valsts nodevām sasniedza 9,5 milj. </w:t>
      </w:r>
      <w:r w:rsidRPr="001C1C52">
        <w:rPr>
          <w:rFonts w:cs="Times New Roman"/>
          <w:i/>
          <w:sz w:val="24"/>
        </w:rPr>
        <w:t>euro</w:t>
      </w:r>
      <w:r w:rsidRPr="001C1C52">
        <w:rPr>
          <w:rFonts w:cs="Times New Roman"/>
          <w:sz w:val="24"/>
        </w:rPr>
        <w:t>, no kuriem lielākos ieņēmumus veidoja nodeva par naftas produktu drošības rezervju uzturēšanu 3,9 milj. </w:t>
      </w:r>
      <w:r w:rsidRPr="001C1C52">
        <w:rPr>
          <w:rFonts w:cs="Times New Roman"/>
          <w:i/>
          <w:sz w:val="24"/>
        </w:rPr>
        <w:t xml:space="preserve">euro </w:t>
      </w:r>
      <w:r w:rsidRPr="001C1C52">
        <w:rPr>
          <w:rFonts w:cs="Times New Roman"/>
          <w:sz w:val="24"/>
        </w:rPr>
        <w:t>apmērā.</w:t>
      </w:r>
    </w:p>
    <w:p w14:paraId="0F61FD58" w14:textId="77777777" w:rsidR="006415B1" w:rsidRPr="000161A4" w:rsidRDefault="006415B1" w:rsidP="006415B1">
      <w:pPr>
        <w:spacing w:after="0"/>
        <w:ind w:firstLine="720"/>
        <w:rPr>
          <w:rFonts w:cs="Times New Roman"/>
          <w:b/>
          <w:i/>
          <w:sz w:val="24"/>
        </w:rPr>
      </w:pPr>
    </w:p>
    <w:p w14:paraId="3D40DF54" w14:textId="77777777" w:rsidR="006415B1" w:rsidRDefault="006415B1">
      <w:pPr>
        <w:spacing w:after="0"/>
        <w:ind w:firstLine="0"/>
        <w:jc w:val="left"/>
        <w:rPr>
          <w:rFonts w:cs="Times New Roman"/>
        </w:rPr>
      </w:pPr>
    </w:p>
    <w:p w14:paraId="7CC4627E" w14:textId="77777777" w:rsidR="006415B1" w:rsidRDefault="006415B1">
      <w:pPr>
        <w:spacing w:after="0"/>
        <w:ind w:firstLine="0"/>
        <w:jc w:val="left"/>
        <w:rPr>
          <w:rFonts w:cs="Times New Roman"/>
        </w:rPr>
      </w:pPr>
    </w:p>
    <w:p w14:paraId="150378D5" w14:textId="77777777" w:rsidR="006415B1" w:rsidRDefault="006415B1">
      <w:pPr>
        <w:spacing w:after="0"/>
        <w:ind w:firstLine="0"/>
        <w:jc w:val="left"/>
        <w:rPr>
          <w:rFonts w:cs="Times New Roman"/>
        </w:rPr>
      </w:pPr>
    </w:p>
    <w:p w14:paraId="413F3D00" w14:textId="77777777" w:rsidR="006415B1" w:rsidRDefault="006415B1">
      <w:pPr>
        <w:spacing w:after="0"/>
        <w:ind w:firstLine="0"/>
        <w:jc w:val="left"/>
        <w:rPr>
          <w:rFonts w:cs="Times New Roman"/>
        </w:rPr>
      </w:pPr>
      <w:r>
        <w:rPr>
          <w:rFonts w:cs="Times New Roman"/>
        </w:rPr>
        <w:br w:type="page"/>
      </w:r>
    </w:p>
    <w:p w14:paraId="3213F6A0" w14:textId="77777777" w:rsidR="00433477" w:rsidRDefault="00433477" w:rsidP="00433477">
      <w:pPr>
        <w:pStyle w:val="Style2"/>
        <w:jc w:val="center"/>
      </w:pPr>
      <w:bookmarkStart w:id="76" w:name="_Toc419737737"/>
      <w:r>
        <w:t>2.3. Valsts konsolidētā budžeta izpilde</w:t>
      </w:r>
      <w:bookmarkEnd w:id="76"/>
    </w:p>
    <w:p w14:paraId="42E938DC" w14:textId="77777777" w:rsidR="00F1164B" w:rsidRPr="00E757B9" w:rsidRDefault="009F4B95" w:rsidP="00E757B9">
      <w:pPr>
        <w:pStyle w:val="Style3"/>
        <w:jc w:val="center"/>
        <w:rPr>
          <w:rStyle w:val="Hyperlink"/>
          <w:color w:val="auto"/>
          <w:szCs w:val="28"/>
          <w:u w:val="none"/>
        </w:rPr>
      </w:pPr>
      <w:hyperlink w:anchor="_Toc325101927" w:history="1">
        <w:bookmarkStart w:id="77" w:name="_Toc356399763"/>
        <w:bookmarkStart w:id="78" w:name="_Toc356399262"/>
        <w:bookmarkStart w:id="79" w:name="_Toc419737738"/>
        <w:r w:rsidR="00F1164B" w:rsidRPr="00E757B9">
          <w:rPr>
            <w:rStyle w:val="Hyperlink"/>
            <w:color w:val="auto"/>
            <w:szCs w:val="28"/>
            <w:u w:val="none"/>
          </w:rPr>
          <w:t>2.</w:t>
        </w:r>
        <w:r w:rsidR="00433477">
          <w:rPr>
            <w:rStyle w:val="Hyperlink"/>
            <w:color w:val="auto"/>
            <w:szCs w:val="28"/>
            <w:u w:val="none"/>
          </w:rPr>
          <w:t>3</w:t>
        </w:r>
        <w:r w:rsidR="00F1164B" w:rsidRPr="00E757B9">
          <w:rPr>
            <w:rStyle w:val="Hyperlink"/>
            <w:color w:val="auto"/>
            <w:szCs w:val="28"/>
            <w:u w:val="none"/>
          </w:rPr>
          <w:t>.1. Valsts pamatbudžeta izpilde</w:t>
        </w:r>
        <w:bookmarkEnd w:id="77"/>
        <w:bookmarkEnd w:id="78"/>
        <w:bookmarkEnd w:id="79"/>
      </w:hyperlink>
    </w:p>
    <w:p w14:paraId="08371682" w14:textId="77777777" w:rsidR="00C1733B" w:rsidRPr="00420A42" w:rsidRDefault="00C1733B" w:rsidP="00C1733B">
      <w:pPr>
        <w:pStyle w:val="ListParagraph"/>
        <w:ind w:left="1069" w:firstLine="0"/>
        <w:jc w:val="center"/>
        <w:rPr>
          <w:rFonts w:eastAsia="Times New Roman"/>
          <w:b/>
          <w:i/>
          <w:sz w:val="20"/>
          <w:szCs w:val="20"/>
        </w:rPr>
      </w:pPr>
    </w:p>
    <w:p w14:paraId="446730C0" w14:textId="77777777" w:rsidR="00234FC7" w:rsidRPr="00234FC7" w:rsidRDefault="00234FC7" w:rsidP="00234FC7">
      <w:pPr>
        <w:pStyle w:val="ListParagraph"/>
        <w:ind w:left="993" w:firstLine="0"/>
        <w:jc w:val="right"/>
        <w:rPr>
          <w:rFonts w:eastAsia="Times New Roman"/>
          <w:b/>
          <w:sz w:val="24"/>
          <w:szCs w:val="24"/>
        </w:rPr>
      </w:pPr>
      <w:r w:rsidRPr="00234FC7">
        <w:rPr>
          <w:rFonts w:eastAsia="Times New Roman"/>
          <w:b/>
          <w:sz w:val="24"/>
          <w:szCs w:val="24"/>
        </w:rPr>
        <w:t>2.2</w:t>
      </w:r>
      <w:r w:rsidR="00420A42" w:rsidRPr="00234FC7">
        <w:rPr>
          <w:rFonts w:eastAsia="Times New Roman"/>
          <w:b/>
          <w:sz w:val="24"/>
          <w:szCs w:val="24"/>
        </w:rPr>
        <w:t>. </w:t>
      </w:r>
      <w:r w:rsidR="00CA33A5" w:rsidRPr="00234FC7">
        <w:rPr>
          <w:rFonts w:eastAsia="Times New Roman"/>
          <w:b/>
          <w:sz w:val="24"/>
          <w:szCs w:val="24"/>
        </w:rPr>
        <w:t xml:space="preserve">tabula. Valsts pamatbudžeta izdevumi </w:t>
      </w:r>
      <w:r w:rsidR="007A75C7" w:rsidRPr="00234FC7">
        <w:rPr>
          <w:rFonts w:eastAsia="Times New Roman"/>
          <w:b/>
          <w:sz w:val="24"/>
          <w:szCs w:val="24"/>
        </w:rPr>
        <w:t xml:space="preserve">atbilstoši </w:t>
      </w:r>
    </w:p>
    <w:p w14:paraId="45C60014" w14:textId="77777777" w:rsidR="008A19B2" w:rsidRPr="00234FC7" w:rsidRDefault="007A75C7" w:rsidP="00234FC7">
      <w:pPr>
        <w:pStyle w:val="ListParagraph"/>
        <w:ind w:left="993" w:firstLine="0"/>
        <w:jc w:val="right"/>
        <w:rPr>
          <w:rFonts w:eastAsia="Times New Roman"/>
          <w:b/>
          <w:sz w:val="24"/>
          <w:szCs w:val="24"/>
        </w:rPr>
      </w:pPr>
      <w:r w:rsidRPr="00234FC7">
        <w:rPr>
          <w:rFonts w:eastAsia="Times New Roman"/>
          <w:b/>
          <w:sz w:val="24"/>
          <w:szCs w:val="24"/>
        </w:rPr>
        <w:t>ekonomiskajām</w:t>
      </w:r>
      <w:r w:rsidR="00420A42" w:rsidRPr="00234FC7">
        <w:rPr>
          <w:rFonts w:eastAsia="Times New Roman"/>
          <w:b/>
          <w:sz w:val="24"/>
          <w:szCs w:val="24"/>
        </w:rPr>
        <w:t xml:space="preserve"> </w:t>
      </w:r>
      <w:r w:rsidR="00CA33A5" w:rsidRPr="00234FC7">
        <w:rPr>
          <w:rFonts w:eastAsia="Times New Roman"/>
          <w:b/>
          <w:sz w:val="24"/>
          <w:szCs w:val="24"/>
        </w:rPr>
        <w:t>k</w:t>
      </w:r>
      <w:r w:rsidRPr="00234FC7">
        <w:rPr>
          <w:rFonts w:eastAsia="Times New Roman"/>
          <w:b/>
          <w:sz w:val="24"/>
          <w:szCs w:val="24"/>
        </w:rPr>
        <w:t>ategorijām</w:t>
      </w:r>
      <w:r w:rsidR="00CA33A5" w:rsidRPr="00234FC7">
        <w:rPr>
          <w:rFonts w:eastAsia="Times New Roman"/>
          <w:b/>
          <w:sz w:val="24"/>
          <w:szCs w:val="24"/>
        </w:rPr>
        <w:t xml:space="preserve">, tūkst. </w:t>
      </w:r>
      <w:r w:rsidR="008A19B2" w:rsidRPr="00234FC7">
        <w:rPr>
          <w:rFonts w:eastAsia="Times New Roman"/>
          <w:b/>
          <w:sz w:val="24"/>
          <w:szCs w:val="24"/>
        </w:rPr>
        <w:t>euro</w:t>
      </w:r>
    </w:p>
    <w:tbl>
      <w:tblPr>
        <w:tblW w:w="9634" w:type="dxa"/>
        <w:jc w:val="center"/>
        <w:tblLayout w:type="fixed"/>
        <w:tblLook w:val="04A0" w:firstRow="1" w:lastRow="0" w:firstColumn="1" w:lastColumn="0" w:noHBand="0" w:noVBand="1"/>
      </w:tblPr>
      <w:tblGrid>
        <w:gridCol w:w="2552"/>
        <w:gridCol w:w="987"/>
        <w:gridCol w:w="992"/>
        <w:gridCol w:w="993"/>
        <w:gridCol w:w="1083"/>
        <w:gridCol w:w="1043"/>
        <w:gridCol w:w="992"/>
        <w:gridCol w:w="992"/>
      </w:tblGrid>
      <w:tr w:rsidR="008A19B2" w:rsidRPr="008A19B2" w14:paraId="561842FF" w14:textId="77777777" w:rsidTr="00420A42">
        <w:trPr>
          <w:trHeight w:val="1222"/>
          <w:tblHeader/>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DE04C" w14:textId="77777777" w:rsidR="008A19B2" w:rsidRPr="008A19B2" w:rsidRDefault="008A19B2" w:rsidP="00B7523D">
            <w:pPr>
              <w:spacing w:after="0"/>
              <w:ind w:firstLine="0"/>
              <w:jc w:val="center"/>
              <w:rPr>
                <w:rFonts w:eastAsia="Times New Roman" w:cs="Times New Roman"/>
                <w:sz w:val="20"/>
                <w:szCs w:val="20"/>
                <w:lang w:eastAsia="lv-LV"/>
              </w:rPr>
            </w:pPr>
            <w:r w:rsidRPr="008A19B2">
              <w:rPr>
                <w:rFonts w:eastAsia="Times New Roman" w:cs="Times New Roman"/>
                <w:sz w:val="20"/>
                <w:szCs w:val="20"/>
                <w:lang w:eastAsia="lv-LV"/>
              </w:rPr>
              <w:t xml:space="preserve">Rādītāji </w:t>
            </w:r>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4192A611" w14:textId="77777777" w:rsidR="008A19B2" w:rsidRPr="008A19B2" w:rsidRDefault="008A19B2" w:rsidP="00C1297C">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20</w:t>
            </w:r>
            <w:r w:rsidR="00C1297C">
              <w:rPr>
                <w:rFonts w:eastAsia="Times New Roman" w:cs="Times New Roman"/>
                <w:sz w:val="16"/>
                <w:szCs w:val="16"/>
                <w:lang w:eastAsia="lv-LV"/>
              </w:rPr>
              <w:t>14</w:t>
            </w:r>
            <w:r w:rsidRPr="008A19B2">
              <w:rPr>
                <w:rFonts w:eastAsia="Times New Roman" w:cs="Times New Roman"/>
                <w:sz w:val="16"/>
                <w:szCs w:val="16"/>
                <w:lang w:eastAsia="lv-LV"/>
              </w:rPr>
              <w:t>.gada</w:t>
            </w:r>
            <w:r w:rsidRPr="008A19B2">
              <w:rPr>
                <w:rFonts w:eastAsia="Times New Roman" w:cs="Times New Roman"/>
                <w:sz w:val="16"/>
                <w:szCs w:val="16"/>
                <w:lang w:eastAsia="lv-LV"/>
              </w:rPr>
              <w:br/>
              <w:t>3 mēnešu</w:t>
            </w:r>
            <w:r w:rsidRPr="008A19B2">
              <w:rPr>
                <w:rFonts w:eastAsia="Times New Roman" w:cs="Times New Roman"/>
                <w:sz w:val="16"/>
                <w:szCs w:val="16"/>
                <w:lang w:eastAsia="lv-LV"/>
              </w:rPr>
              <w:br/>
              <w:t>izpilde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F9A794" w14:textId="77777777" w:rsidR="008A19B2" w:rsidRPr="008A19B2" w:rsidRDefault="008A19B2" w:rsidP="00C1297C">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201</w:t>
            </w:r>
            <w:r w:rsidR="00C1297C">
              <w:rPr>
                <w:rFonts w:eastAsia="Times New Roman" w:cs="Times New Roman"/>
                <w:sz w:val="16"/>
                <w:szCs w:val="16"/>
                <w:lang w:eastAsia="lv-LV"/>
              </w:rPr>
              <w:t>5</w:t>
            </w:r>
            <w:r w:rsidRPr="008A19B2">
              <w:rPr>
                <w:rFonts w:eastAsia="Times New Roman" w:cs="Times New Roman"/>
                <w:sz w:val="16"/>
                <w:szCs w:val="16"/>
                <w:lang w:eastAsia="lv-LV"/>
              </w:rPr>
              <w:t>.gada</w:t>
            </w:r>
            <w:r w:rsidRPr="008A19B2">
              <w:rPr>
                <w:rFonts w:eastAsia="Times New Roman" w:cs="Times New Roman"/>
                <w:sz w:val="16"/>
                <w:szCs w:val="16"/>
                <w:lang w:eastAsia="lv-LV"/>
              </w:rPr>
              <w:br/>
              <w:t>3 mēnešu plāns</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19EA498" w14:textId="77777777" w:rsidR="008A19B2" w:rsidRPr="008A19B2" w:rsidRDefault="008A19B2" w:rsidP="00C1297C">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201</w:t>
            </w:r>
            <w:r w:rsidR="00C1297C">
              <w:rPr>
                <w:rFonts w:eastAsia="Times New Roman" w:cs="Times New Roman"/>
                <w:sz w:val="16"/>
                <w:szCs w:val="16"/>
                <w:lang w:eastAsia="lv-LV"/>
              </w:rPr>
              <w:t>5</w:t>
            </w:r>
            <w:r w:rsidRPr="008A19B2">
              <w:rPr>
                <w:rFonts w:eastAsia="Times New Roman" w:cs="Times New Roman"/>
                <w:sz w:val="16"/>
                <w:szCs w:val="16"/>
                <w:lang w:eastAsia="lv-LV"/>
              </w:rPr>
              <w:t>.gada</w:t>
            </w:r>
            <w:r w:rsidRPr="008A19B2">
              <w:rPr>
                <w:rFonts w:eastAsia="Times New Roman" w:cs="Times New Roman"/>
                <w:sz w:val="16"/>
                <w:szCs w:val="16"/>
                <w:lang w:eastAsia="lv-LV"/>
              </w:rPr>
              <w:br/>
              <w:t>3 mēnešu</w:t>
            </w:r>
            <w:r w:rsidRPr="008A19B2">
              <w:rPr>
                <w:rFonts w:eastAsia="Times New Roman" w:cs="Times New Roman"/>
                <w:sz w:val="16"/>
                <w:szCs w:val="16"/>
                <w:lang w:eastAsia="lv-LV"/>
              </w:rPr>
              <w:br/>
              <w:t>izpilde</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4E1D2E2A" w14:textId="77777777" w:rsidR="008A19B2" w:rsidRPr="008A19B2" w:rsidRDefault="008A19B2" w:rsidP="00B7523D">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L</w:t>
            </w:r>
            <w:r w:rsidR="00C1297C">
              <w:rPr>
                <w:rFonts w:eastAsia="Times New Roman" w:cs="Times New Roman"/>
                <w:sz w:val="16"/>
                <w:szCs w:val="16"/>
                <w:lang w:eastAsia="lv-LV"/>
              </w:rPr>
              <w:t>ikumā apstiprinātais 2015</w:t>
            </w:r>
            <w:r w:rsidRPr="008A19B2">
              <w:rPr>
                <w:rFonts w:eastAsia="Times New Roman" w:cs="Times New Roman"/>
                <w:sz w:val="16"/>
                <w:szCs w:val="16"/>
                <w:lang w:eastAsia="lv-LV"/>
              </w:rPr>
              <w:t>.gada plāns*</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5080DE05" w14:textId="77777777" w:rsidR="008A19B2" w:rsidRPr="008A19B2" w:rsidRDefault="008A19B2" w:rsidP="00C1297C">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201</w:t>
            </w:r>
            <w:r w:rsidR="00C1297C">
              <w:rPr>
                <w:rFonts w:eastAsia="Times New Roman" w:cs="Times New Roman"/>
                <w:sz w:val="16"/>
                <w:szCs w:val="16"/>
                <w:lang w:eastAsia="lv-LV"/>
              </w:rPr>
              <w:t>5</w:t>
            </w:r>
            <w:r w:rsidR="00033FF2">
              <w:rPr>
                <w:rFonts w:eastAsia="Times New Roman" w:cs="Times New Roman"/>
                <w:sz w:val="16"/>
                <w:szCs w:val="16"/>
                <w:lang w:eastAsia="lv-LV"/>
              </w:rPr>
              <w:t> </w:t>
            </w:r>
            <w:r w:rsidRPr="008A19B2">
              <w:rPr>
                <w:rFonts w:eastAsia="Times New Roman" w:cs="Times New Roman"/>
                <w:sz w:val="16"/>
                <w:szCs w:val="16"/>
                <w:lang w:eastAsia="lv-LV"/>
              </w:rPr>
              <w:t>gada</w:t>
            </w:r>
            <w:r w:rsidRPr="008A19B2">
              <w:rPr>
                <w:rFonts w:eastAsia="Times New Roman" w:cs="Times New Roman"/>
                <w:sz w:val="16"/>
                <w:szCs w:val="16"/>
                <w:lang w:eastAsia="lv-LV"/>
              </w:rPr>
              <w:br/>
              <w:t>3 mēnešu</w:t>
            </w:r>
            <w:r w:rsidRPr="008A19B2">
              <w:rPr>
                <w:rFonts w:eastAsia="Times New Roman" w:cs="Times New Roman"/>
                <w:sz w:val="16"/>
                <w:szCs w:val="16"/>
                <w:lang w:eastAsia="lv-LV"/>
              </w:rPr>
              <w:br/>
              <w:t>izpilde pret 201</w:t>
            </w:r>
            <w:r w:rsidR="00C1297C">
              <w:rPr>
                <w:rFonts w:eastAsia="Times New Roman" w:cs="Times New Roman"/>
                <w:sz w:val="16"/>
                <w:szCs w:val="16"/>
                <w:lang w:eastAsia="lv-LV"/>
              </w:rPr>
              <w:t>4</w:t>
            </w:r>
            <w:r w:rsidR="00420A42">
              <w:rPr>
                <w:rFonts w:eastAsia="Times New Roman" w:cs="Times New Roman"/>
                <w:sz w:val="16"/>
                <w:szCs w:val="16"/>
                <w:lang w:eastAsia="lv-LV"/>
              </w:rPr>
              <w:t>.gada</w:t>
            </w:r>
            <w:r w:rsidR="00420A42">
              <w:rPr>
                <w:rFonts w:eastAsia="Times New Roman" w:cs="Times New Roman"/>
                <w:sz w:val="16"/>
                <w:szCs w:val="16"/>
                <w:lang w:eastAsia="lv-LV"/>
              </w:rPr>
              <w:br/>
              <w:t>3 mēnešu</w:t>
            </w:r>
            <w:r w:rsidR="00420A42">
              <w:rPr>
                <w:rFonts w:eastAsia="Times New Roman" w:cs="Times New Roman"/>
                <w:sz w:val="16"/>
                <w:szCs w:val="16"/>
                <w:lang w:eastAsia="lv-LV"/>
              </w:rPr>
              <w:br/>
              <w:t xml:space="preserve">izpildi </w:t>
            </w:r>
            <w:r w:rsidRPr="008A19B2">
              <w:rPr>
                <w:rFonts w:eastAsia="Times New Roman" w:cs="Times New Roman"/>
                <w:sz w:val="16"/>
                <w:szCs w:val="16"/>
                <w:lang w:eastAsia="lv-LV"/>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AD23AB5" w14:textId="77777777" w:rsidR="008A19B2" w:rsidRPr="008A19B2" w:rsidRDefault="008A19B2" w:rsidP="00C1297C">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201</w:t>
            </w:r>
            <w:r w:rsidR="00C1297C">
              <w:rPr>
                <w:rFonts w:eastAsia="Times New Roman" w:cs="Times New Roman"/>
                <w:sz w:val="16"/>
                <w:szCs w:val="16"/>
                <w:lang w:eastAsia="lv-LV"/>
              </w:rPr>
              <w:t>5</w:t>
            </w:r>
            <w:r w:rsidRPr="008A19B2">
              <w:rPr>
                <w:rFonts w:eastAsia="Times New Roman" w:cs="Times New Roman"/>
                <w:sz w:val="16"/>
                <w:szCs w:val="16"/>
                <w:lang w:eastAsia="lv-LV"/>
              </w:rPr>
              <w:t>.gada</w:t>
            </w:r>
            <w:r w:rsidRPr="008A19B2">
              <w:rPr>
                <w:rFonts w:eastAsia="Times New Roman" w:cs="Times New Roman"/>
                <w:sz w:val="16"/>
                <w:szCs w:val="16"/>
                <w:lang w:eastAsia="lv-LV"/>
              </w:rPr>
              <w:br/>
              <w:t>3 mēnešu</w:t>
            </w:r>
            <w:r w:rsidRPr="008A19B2">
              <w:rPr>
                <w:rFonts w:eastAsia="Times New Roman" w:cs="Times New Roman"/>
                <w:sz w:val="16"/>
                <w:szCs w:val="16"/>
                <w:lang w:eastAsia="lv-LV"/>
              </w:rPr>
              <w:br/>
              <w:t>izpilde pret 201</w:t>
            </w:r>
            <w:r w:rsidR="00C1297C">
              <w:rPr>
                <w:rFonts w:eastAsia="Times New Roman" w:cs="Times New Roman"/>
                <w:sz w:val="16"/>
                <w:szCs w:val="16"/>
                <w:lang w:eastAsia="lv-LV"/>
              </w:rPr>
              <w:t>5</w:t>
            </w:r>
            <w:r w:rsidRPr="008A19B2">
              <w:rPr>
                <w:rFonts w:eastAsia="Times New Roman" w:cs="Times New Roman"/>
                <w:sz w:val="16"/>
                <w:szCs w:val="16"/>
                <w:lang w:eastAsia="lv-LV"/>
              </w:rPr>
              <w:t>.gada</w:t>
            </w:r>
            <w:r w:rsidRPr="008A19B2">
              <w:rPr>
                <w:rFonts w:eastAsia="Times New Roman" w:cs="Times New Roman"/>
                <w:sz w:val="16"/>
                <w:szCs w:val="16"/>
                <w:lang w:eastAsia="lv-LV"/>
              </w:rPr>
              <w:br/>
              <w:t>3 mēnešu</w:t>
            </w:r>
            <w:r w:rsidRPr="008A19B2">
              <w:rPr>
                <w:rFonts w:eastAsia="Times New Roman" w:cs="Times New Roman"/>
                <w:sz w:val="16"/>
                <w:szCs w:val="16"/>
                <w:lang w:eastAsia="lv-LV"/>
              </w:rPr>
              <w:br/>
              <w:t>plānu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232A3C" w14:textId="77777777" w:rsidR="008A19B2" w:rsidRPr="008A19B2" w:rsidRDefault="008A19B2" w:rsidP="00C1297C">
            <w:pPr>
              <w:spacing w:after="0"/>
              <w:ind w:firstLine="0"/>
              <w:jc w:val="center"/>
              <w:rPr>
                <w:rFonts w:eastAsia="Times New Roman" w:cs="Times New Roman"/>
                <w:sz w:val="16"/>
                <w:szCs w:val="16"/>
                <w:lang w:eastAsia="lv-LV"/>
              </w:rPr>
            </w:pPr>
            <w:r w:rsidRPr="008A19B2">
              <w:rPr>
                <w:rFonts w:eastAsia="Times New Roman" w:cs="Times New Roman"/>
                <w:sz w:val="16"/>
                <w:szCs w:val="16"/>
                <w:lang w:eastAsia="lv-LV"/>
              </w:rPr>
              <w:t>201</w:t>
            </w:r>
            <w:r w:rsidR="00C1297C">
              <w:rPr>
                <w:rFonts w:eastAsia="Times New Roman" w:cs="Times New Roman"/>
                <w:sz w:val="16"/>
                <w:szCs w:val="16"/>
                <w:lang w:eastAsia="lv-LV"/>
              </w:rPr>
              <w:t>5</w:t>
            </w:r>
            <w:r w:rsidRPr="008A19B2">
              <w:rPr>
                <w:rFonts w:eastAsia="Times New Roman" w:cs="Times New Roman"/>
                <w:sz w:val="16"/>
                <w:szCs w:val="16"/>
                <w:lang w:eastAsia="lv-LV"/>
              </w:rPr>
              <w:t>.gada</w:t>
            </w:r>
            <w:r w:rsidRPr="008A19B2">
              <w:rPr>
                <w:rFonts w:eastAsia="Times New Roman" w:cs="Times New Roman"/>
                <w:sz w:val="16"/>
                <w:szCs w:val="16"/>
                <w:lang w:eastAsia="lv-LV"/>
              </w:rPr>
              <w:br/>
              <w:t>3 mēnešu</w:t>
            </w:r>
            <w:r w:rsidRPr="008A19B2">
              <w:rPr>
                <w:rFonts w:eastAsia="Times New Roman" w:cs="Times New Roman"/>
                <w:sz w:val="16"/>
                <w:szCs w:val="16"/>
                <w:lang w:eastAsia="lv-LV"/>
              </w:rPr>
              <w:br/>
              <w:t>izpilde</w:t>
            </w:r>
            <w:r w:rsidRPr="008A19B2">
              <w:rPr>
                <w:rFonts w:eastAsia="Times New Roman" w:cs="Times New Roman"/>
                <w:sz w:val="16"/>
                <w:szCs w:val="16"/>
                <w:lang w:eastAsia="lv-LV"/>
              </w:rPr>
              <w:br/>
              <w:t>no gada *</w:t>
            </w:r>
            <w:r w:rsidRPr="008A19B2">
              <w:rPr>
                <w:rFonts w:eastAsia="Times New Roman" w:cs="Times New Roman"/>
                <w:sz w:val="16"/>
                <w:szCs w:val="16"/>
                <w:lang w:eastAsia="lv-LV"/>
              </w:rPr>
              <w:br/>
              <w:t>plāna %</w:t>
            </w:r>
          </w:p>
        </w:tc>
      </w:tr>
      <w:tr w:rsidR="008A19B2" w:rsidRPr="00637924" w14:paraId="06D3EDCE" w14:textId="77777777" w:rsidTr="00420A42">
        <w:trPr>
          <w:trHeight w:val="375"/>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7BCF0C92" w14:textId="77777777" w:rsidR="008A19B2" w:rsidRPr="00637924" w:rsidRDefault="00637924" w:rsidP="00B7523D">
            <w:pPr>
              <w:spacing w:after="0"/>
              <w:ind w:firstLine="0"/>
              <w:jc w:val="left"/>
              <w:rPr>
                <w:rFonts w:eastAsia="Times New Roman" w:cs="Times New Roman"/>
                <w:b/>
                <w:bCs/>
                <w:sz w:val="20"/>
                <w:szCs w:val="20"/>
                <w:lang w:eastAsia="lv-LV"/>
              </w:rPr>
            </w:pPr>
            <w:r w:rsidRPr="00637924">
              <w:rPr>
                <w:rFonts w:eastAsia="Times New Roman" w:cs="Times New Roman"/>
                <w:b/>
                <w:bCs/>
                <w:sz w:val="20"/>
                <w:szCs w:val="20"/>
                <w:lang w:eastAsia="lv-LV"/>
              </w:rPr>
              <w:t>1.</w:t>
            </w:r>
            <w:r w:rsidR="008A19B2" w:rsidRPr="00637924">
              <w:rPr>
                <w:rFonts w:eastAsia="Times New Roman" w:cs="Times New Roman"/>
                <w:b/>
                <w:bCs/>
                <w:sz w:val="20"/>
                <w:szCs w:val="20"/>
                <w:lang w:eastAsia="lv-LV"/>
              </w:rPr>
              <w:t xml:space="preserve">  Izdevumi </w:t>
            </w:r>
            <w:r w:rsidRPr="00637924">
              <w:rPr>
                <w:rFonts w:eastAsia="Times New Roman" w:cs="Times New Roman"/>
                <w:b/>
                <w:bCs/>
                <w:sz w:val="20"/>
                <w:szCs w:val="20"/>
                <w:lang w:eastAsia="lv-LV"/>
              </w:rPr>
              <w:t>–</w:t>
            </w:r>
            <w:r w:rsidR="008A19B2" w:rsidRPr="00637924">
              <w:rPr>
                <w:rFonts w:eastAsia="Times New Roman" w:cs="Times New Roman"/>
                <w:b/>
                <w:bCs/>
                <w:sz w:val="20"/>
                <w:szCs w:val="20"/>
                <w:lang w:eastAsia="lv-LV"/>
              </w:rPr>
              <w:t xml:space="preserve"> kopā</w:t>
            </w:r>
            <w:r w:rsidRPr="00637924">
              <w:rPr>
                <w:rFonts w:eastAsia="Times New Roman" w:cs="Times New Roman"/>
                <w:b/>
                <w:bCs/>
                <w:sz w:val="20"/>
                <w:szCs w:val="20"/>
                <w:lang w:eastAsia="lv-LV"/>
              </w:rPr>
              <w:t xml:space="preserve"> (1.1. + 1.2.)</w:t>
            </w:r>
          </w:p>
        </w:tc>
        <w:tc>
          <w:tcPr>
            <w:tcW w:w="987" w:type="dxa"/>
            <w:tcBorders>
              <w:top w:val="nil"/>
              <w:left w:val="nil"/>
              <w:bottom w:val="single" w:sz="4" w:space="0" w:color="auto"/>
              <w:right w:val="single" w:sz="4" w:space="0" w:color="auto"/>
            </w:tcBorders>
            <w:shd w:val="clear" w:color="auto" w:fill="auto"/>
            <w:noWrap/>
            <w:vAlign w:val="bottom"/>
            <w:hideMark/>
          </w:tcPr>
          <w:p w14:paraId="5122385F" w14:textId="77777777" w:rsidR="008A19B2" w:rsidRPr="00637924" w:rsidRDefault="00C1297C" w:rsidP="00BC4340">
            <w:pPr>
              <w:spacing w:after="0"/>
              <w:ind w:left="-113" w:firstLine="0"/>
              <w:jc w:val="right"/>
              <w:rPr>
                <w:rFonts w:eastAsia="Times New Roman" w:cs="Times New Roman"/>
                <w:b/>
                <w:sz w:val="20"/>
                <w:szCs w:val="20"/>
                <w:lang w:eastAsia="lv-LV"/>
              </w:rPr>
            </w:pPr>
            <w:r>
              <w:rPr>
                <w:rFonts w:eastAsia="Times New Roman" w:cs="Times New Roman"/>
                <w:b/>
                <w:sz w:val="20"/>
                <w:szCs w:val="20"/>
                <w:lang w:eastAsia="lv-LV"/>
              </w:rPr>
              <w:t>1 232 361</w:t>
            </w:r>
          </w:p>
        </w:tc>
        <w:tc>
          <w:tcPr>
            <w:tcW w:w="992" w:type="dxa"/>
            <w:tcBorders>
              <w:top w:val="nil"/>
              <w:left w:val="nil"/>
              <w:bottom w:val="single" w:sz="4" w:space="0" w:color="auto"/>
              <w:right w:val="single" w:sz="4" w:space="0" w:color="auto"/>
            </w:tcBorders>
            <w:shd w:val="clear" w:color="auto" w:fill="auto"/>
            <w:noWrap/>
            <w:vAlign w:val="bottom"/>
          </w:tcPr>
          <w:p w14:paraId="28D96DC1" w14:textId="77777777" w:rsidR="008A19B2" w:rsidRPr="00637924" w:rsidRDefault="00C1297C" w:rsidP="00BC4340">
            <w:pPr>
              <w:spacing w:after="0"/>
              <w:ind w:left="-113" w:firstLine="0"/>
              <w:jc w:val="right"/>
              <w:rPr>
                <w:rFonts w:eastAsia="Times New Roman" w:cs="Times New Roman"/>
                <w:b/>
                <w:sz w:val="20"/>
                <w:szCs w:val="20"/>
                <w:lang w:eastAsia="lv-LV"/>
              </w:rPr>
            </w:pPr>
            <w:r>
              <w:rPr>
                <w:rFonts w:eastAsia="Times New Roman" w:cs="Times New Roman"/>
                <w:b/>
                <w:sz w:val="20"/>
                <w:szCs w:val="20"/>
                <w:lang w:eastAsia="lv-LV"/>
              </w:rPr>
              <w:t>1 348 65</w:t>
            </w:r>
            <w:r w:rsidR="004803EA">
              <w:rPr>
                <w:rFonts w:eastAsia="Times New Roman" w:cs="Times New Roman"/>
                <w:b/>
                <w:sz w:val="20"/>
                <w:szCs w:val="20"/>
                <w:lang w:eastAsia="lv-LV"/>
              </w:rPr>
              <w:t>8</w:t>
            </w:r>
          </w:p>
        </w:tc>
        <w:tc>
          <w:tcPr>
            <w:tcW w:w="993" w:type="dxa"/>
            <w:tcBorders>
              <w:top w:val="nil"/>
              <w:left w:val="nil"/>
              <w:bottom w:val="single" w:sz="4" w:space="0" w:color="auto"/>
              <w:right w:val="single" w:sz="4" w:space="0" w:color="auto"/>
            </w:tcBorders>
            <w:shd w:val="clear" w:color="auto" w:fill="auto"/>
            <w:noWrap/>
            <w:vAlign w:val="bottom"/>
            <w:hideMark/>
          </w:tcPr>
          <w:p w14:paraId="38544567" w14:textId="77777777" w:rsidR="008A19B2" w:rsidRPr="00637924" w:rsidRDefault="00C1297C" w:rsidP="00BC4340">
            <w:pPr>
              <w:spacing w:after="0"/>
              <w:ind w:left="-113" w:firstLine="0"/>
              <w:jc w:val="right"/>
              <w:rPr>
                <w:rFonts w:eastAsia="Times New Roman" w:cs="Times New Roman"/>
                <w:b/>
                <w:sz w:val="20"/>
                <w:szCs w:val="20"/>
                <w:lang w:eastAsia="lv-LV"/>
              </w:rPr>
            </w:pPr>
            <w:r>
              <w:rPr>
                <w:rFonts w:eastAsia="Times New Roman" w:cs="Times New Roman"/>
                <w:b/>
                <w:sz w:val="20"/>
                <w:szCs w:val="20"/>
                <w:lang w:eastAsia="lv-LV"/>
              </w:rPr>
              <w:t>1 305 998</w:t>
            </w:r>
          </w:p>
        </w:tc>
        <w:tc>
          <w:tcPr>
            <w:tcW w:w="1083" w:type="dxa"/>
            <w:tcBorders>
              <w:top w:val="nil"/>
              <w:left w:val="nil"/>
              <w:bottom w:val="single" w:sz="4" w:space="0" w:color="auto"/>
              <w:right w:val="single" w:sz="4" w:space="0" w:color="auto"/>
            </w:tcBorders>
            <w:shd w:val="clear" w:color="auto" w:fill="auto"/>
            <w:noWrap/>
            <w:vAlign w:val="bottom"/>
            <w:hideMark/>
          </w:tcPr>
          <w:p w14:paraId="13F7546A" w14:textId="77777777" w:rsidR="008A19B2" w:rsidRPr="00637924" w:rsidRDefault="00C1297C"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5 559 051</w:t>
            </w:r>
          </w:p>
        </w:tc>
        <w:tc>
          <w:tcPr>
            <w:tcW w:w="1043" w:type="dxa"/>
            <w:tcBorders>
              <w:top w:val="nil"/>
              <w:left w:val="nil"/>
              <w:bottom w:val="single" w:sz="4" w:space="0" w:color="auto"/>
              <w:right w:val="single" w:sz="4" w:space="0" w:color="auto"/>
            </w:tcBorders>
            <w:shd w:val="clear" w:color="auto" w:fill="auto"/>
            <w:noWrap/>
            <w:vAlign w:val="bottom"/>
            <w:hideMark/>
          </w:tcPr>
          <w:p w14:paraId="126E31BD" w14:textId="77777777" w:rsidR="008A19B2" w:rsidRPr="00637924" w:rsidRDefault="00C1297C" w:rsidP="00C1297C">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106,0</w:t>
            </w:r>
          </w:p>
        </w:tc>
        <w:tc>
          <w:tcPr>
            <w:tcW w:w="992" w:type="dxa"/>
            <w:tcBorders>
              <w:top w:val="nil"/>
              <w:left w:val="nil"/>
              <w:bottom w:val="single" w:sz="4" w:space="0" w:color="auto"/>
              <w:right w:val="single" w:sz="4" w:space="0" w:color="auto"/>
            </w:tcBorders>
            <w:shd w:val="clear" w:color="auto" w:fill="auto"/>
            <w:noWrap/>
            <w:vAlign w:val="bottom"/>
            <w:hideMark/>
          </w:tcPr>
          <w:p w14:paraId="2876E139" w14:textId="77777777" w:rsidR="008A19B2" w:rsidRPr="00637924" w:rsidRDefault="008A19B2" w:rsidP="00B7523D">
            <w:pPr>
              <w:spacing w:after="0"/>
              <w:ind w:firstLine="0"/>
              <w:jc w:val="center"/>
              <w:rPr>
                <w:rFonts w:eastAsia="Times New Roman" w:cs="Times New Roman"/>
                <w:b/>
                <w:sz w:val="20"/>
                <w:szCs w:val="20"/>
                <w:lang w:eastAsia="lv-LV"/>
              </w:rPr>
            </w:pPr>
            <w:r w:rsidRPr="00637924">
              <w:rPr>
                <w:rFonts w:eastAsia="Times New Roman" w:cs="Times New Roman"/>
                <w:b/>
                <w:sz w:val="20"/>
                <w:szCs w:val="20"/>
                <w:lang w:eastAsia="lv-LV"/>
              </w:rPr>
              <w:t>9</w:t>
            </w:r>
            <w:r w:rsidR="00C1297C">
              <w:rPr>
                <w:rFonts w:eastAsia="Times New Roman" w:cs="Times New Roman"/>
                <w:b/>
                <w:sz w:val="20"/>
                <w:szCs w:val="20"/>
                <w:lang w:eastAsia="lv-LV"/>
              </w:rPr>
              <w:t>6,8</w:t>
            </w:r>
          </w:p>
        </w:tc>
        <w:tc>
          <w:tcPr>
            <w:tcW w:w="992" w:type="dxa"/>
            <w:tcBorders>
              <w:top w:val="nil"/>
              <w:left w:val="nil"/>
              <w:bottom w:val="single" w:sz="4" w:space="0" w:color="auto"/>
              <w:right w:val="single" w:sz="4" w:space="0" w:color="auto"/>
            </w:tcBorders>
            <w:shd w:val="clear" w:color="auto" w:fill="auto"/>
            <w:noWrap/>
            <w:vAlign w:val="bottom"/>
            <w:hideMark/>
          </w:tcPr>
          <w:p w14:paraId="73AB1F12" w14:textId="77777777" w:rsidR="008A19B2" w:rsidRPr="00637924" w:rsidRDefault="00C1297C"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23,5</w:t>
            </w:r>
          </w:p>
        </w:tc>
      </w:tr>
      <w:tr w:rsidR="008A19B2" w:rsidRPr="00637924" w14:paraId="488D3DB9" w14:textId="77777777" w:rsidTr="00420A42">
        <w:trPr>
          <w:trHeight w:val="285"/>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0B56997B" w14:textId="77777777" w:rsidR="008A19B2" w:rsidRPr="00637924" w:rsidRDefault="008A19B2" w:rsidP="00B7523D">
            <w:pPr>
              <w:pStyle w:val="ListParagraph"/>
              <w:numPr>
                <w:ilvl w:val="1"/>
                <w:numId w:val="15"/>
              </w:numPr>
              <w:spacing w:after="0"/>
              <w:jc w:val="left"/>
              <w:rPr>
                <w:rFonts w:eastAsia="Times New Roman" w:cs="Times New Roman"/>
                <w:b/>
                <w:sz w:val="20"/>
                <w:szCs w:val="20"/>
                <w:lang w:eastAsia="lv-LV"/>
              </w:rPr>
            </w:pPr>
            <w:r w:rsidRPr="00637924">
              <w:rPr>
                <w:rFonts w:eastAsia="Times New Roman" w:cs="Times New Roman"/>
                <w:b/>
                <w:sz w:val="20"/>
                <w:szCs w:val="20"/>
                <w:lang w:eastAsia="lv-LV"/>
              </w:rPr>
              <w:t>Uzturēšanas izdevumi</w:t>
            </w:r>
          </w:p>
        </w:tc>
        <w:tc>
          <w:tcPr>
            <w:tcW w:w="987" w:type="dxa"/>
            <w:tcBorders>
              <w:top w:val="nil"/>
              <w:left w:val="nil"/>
              <w:bottom w:val="single" w:sz="4" w:space="0" w:color="auto"/>
              <w:right w:val="single" w:sz="4" w:space="0" w:color="auto"/>
            </w:tcBorders>
            <w:shd w:val="clear" w:color="auto" w:fill="auto"/>
            <w:noWrap/>
            <w:vAlign w:val="bottom"/>
            <w:hideMark/>
          </w:tcPr>
          <w:p w14:paraId="144ACC84" w14:textId="77777777" w:rsidR="008A19B2" w:rsidRPr="00637924" w:rsidRDefault="00C1297C" w:rsidP="00BC4340">
            <w:pPr>
              <w:spacing w:after="0"/>
              <w:ind w:left="-113" w:firstLine="0"/>
              <w:jc w:val="right"/>
              <w:rPr>
                <w:rFonts w:eastAsia="Times New Roman" w:cs="Times New Roman"/>
                <w:b/>
                <w:sz w:val="20"/>
                <w:szCs w:val="20"/>
                <w:lang w:eastAsia="lv-LV"/>
              </w:rPr>
            </w:pPr>
            <w:r>
              <w:rPr>
                <w:rFonts w:eastAsia="Times New Roman" w:cs="Times New Roman"/>
                <w:b/>
                <w:sz w:val="20"/>
                <w:szCs w:val="20"/>
                <w:lang w:eastAsia="lv-LV"/>
              </w:rPr>
              <w:t>1 168 161</w:t>
            </w:r>
          </w:p>
        </w:tc>
        <w:tc>
          <w:tcPr>
            <w:tcW w:w="992" w:type="dxa"/>
            <w:tcBorders>
              <w:top w:val="nil"/>
              <w:left w:val="nil"/>
              <w:bottom w:val="single" w:sz="4" w:space="0" w:color="auto"/>
              <w:right w:val="single" w:sz="4" w:space="0" w:color="auto"/>
            </w:tcBorders>
            <w:shd w:val="clear" w:color="auto" w:fill="auto"/>
            <w:noWrap/>
            <w:vAlign w:val="bottom"/>
          </w:tcPr>
          <w:p w14:paraId="1494ACB6" w14:textId="77777777" w:rsidR="008A19B2" w:rsidRPr="00637924" w:rsidRDefault="00C1297C" w:rsidP="00BC4340">
            <w:pPr>
              <w:spacing w:after="0"/>
              <w:ind w:left="-113" w:firstLine="0"/>
              <w:jc w:val="right"/>
              <w:rPr>
                <w:rFonts w:eastAsia="Times New Roman" w:cs="Times New Roman"/>
                <w:b/>
                <w:sz w:val="20"/>
                <w:szCs w:val="20"/>
                <w:lang w:eastAsia="lv-LV"/>
              </w:rPr>
            </w:pPr>
            <w:r>
              <w:rPr>
                <w:rFonts w:eastAsia="Times New Roman" w:cs="Times New Roman"/>
                <w:b/>
                <w:sz w:val="20"/>
                <w:szCs w:val="20"/>
                <w:lang w:eastAsia="lv-LV"/>
              </w:rPr>
              <w:t>1 279 04</w:t>
            </w:r>
            <w:r w:rsidR="00920FA8">
              <w:rPr>
                <w:rFonts w:eastAsia="Times New Roman" w:cs="Times New Roman"/>
                <w:b/>
                <w:sz w:val="20"/>
                <w:szCs w:val="20"/>
                <w:lang w:eastAsia="lv-LV"/>
              </w:rPr>
              <w:t>9</w:t>
            </w:r>
          </w:p>
        </w:tc>
        <w:tc>
          <w:tcPr>
            <w:tcW w:w="993" w:type="dxa"/>
            <w:tcBorders>
              <w:top w:val="nil"/>
              <w:left w:val="nil"/>
              <w:bottom w:val="single" w:sz="4" w:space="0" w:color="auto"/>
              <w:right w:val="single" w:sz="4" w:space="0" w:color="auto"/>
            </w:tcBorders>
            <w:shd w:val="clear" w:color="auto" w:fill="auto"/>
            <w:noWrap/>
            <w:vAlign w:val="bottom"/>
            <w:hideMark/>
          </w:tcPr>
          <w:p w14:paraId="26B283E8" w14:textId="77777777" w:rsidR="008A19B2" w:rsidRPr="00637924" w:rsidRDefault="00C1297C" w:rsidP="00BC4340">
            <w:pPr>
              <w:spacing w:after="0"/>
              <w:ind w:left="-113" w:firstLine="0"/>
              <w:jc w:val="right"/>
              <w:rPr>
                <w:rFonts w:eastAsia="Times New Roman" w:cs="Times New Roman"/>
                <w:b/>
                <w:sz w:val="20"/>
                <w:szCs w:val="20"/>
                <w:lang w:eastAsia="lv-LV"/>
              </w:rPr>
            </w:pPr>
            <w:r>
              <w:rPr>
                <w:rFonts w:eastAsia="Times New Roman" w:cs="Times New Roman"/>
                <w:b/>
                <w:sz w:val="20"/>
                <w:szCs w:val="20"/>
                <w:lang w:eastAsia="lv-LV"/>
              </w:rPr>
              <w:t>1 243 177</w:t>
            </w:r>
          </w:p>
        </w:tc>
        <w:tc>
          <w:tcPr>
            <w:tcW w:w="1083" w:type="dxa"/>
            <w:tcBorders>
              <w:top w:val="nil"/>
              <w:left w:val="nil"/>
              <w:bottom w:val="single" w:sz="4" w:space="0" w:color="auto"/>
              <w:right w:val="single" w:sz="4" w:space="0" w:color="auto"/>
            </w:tcBorders>
            <w:shd w:val="clear" w:color="auto" w:fill="auto"/>
            <w:noWrap/>
            <w:vAlign w:val="bottom"/>
            <w:hideMark/>
          </w:tcPr>
          <w:p w14:paraId="297B2131" w14:textId="77777777" w:rsidR="008A19B2" w:rsidRPr="00637924" w:rsidRDefault="00C1297C" w:rsidP="00C1297C">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5 136 976</w:t>
            </w:r>
          </w:p>
        </w:tc>
        <w:tc>
          <w:tcPr>
            <w:tcW w:w="1043" w:type="dxa"/>
            <w:tcBorders>
              <w:top w:val="nil"/>
              <w:left w:val="nil"/>
              <w:bottom w:val="single" w:sz="4" w:space="0" w:color="auto"/>
              <w:right w:val="single" w:sz="4" w:space="0" w:color="auto"/>
            </w:tcBorders>
            <w:shd w:val="clear" w:color="auto" w:fill="auto"/>
            <w:noWrap/>
            <w:vAlign w:val="bottom"/>
          </w:tcPr>
          <w:p w14:paraId="73B51A55" w14:textId="77777777" w:rsidR="008A19B2" w:rsidRPr="00637924" w:rsidRDefault="00C1297C"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106,4</w:t>
            </w:r>
          </w:p>
        </w:tc>
        <w:tc>
          <w:tcPr>
            <w:tcW w:w="992" w:type="dxa"/>
            <w:tcBorders>
              <w:top w:val="nil"/>
              <w:left w:val="nil"/>
              <w:bottom w:val="single" w:sz="4" w:space="0" w:color="auto"/>
              <w:right w:val="single" w:sz="4" w:space="0" w:color="auto"/>
            </w:tcBorders>
            <w:shd w:val="clear" w:color="auto" w:fill="auto"/>
            <w:noWrap/>
            <w:vAlign w:val="bottom"/>
          </w:tcPr>
          <w:p w14:paraId="05C01E4D" w14:textId="77777777" w:rsidR="008A19B2" w:rsidRPr="00637924" w:rsidRDefault="00C1297C"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97,2</w:t>
            </w:r>
          </w:p>
        </w:tc>
        <w:tc>
          <w:tcPr>
            <w:tcW w:w="992" w:type="dxa"/>
            <w:tcBorders>
              <w:top w:val="nil"/>
              <w:left w:val="nil"/>
              <w:bottom w:val="single" w:sz="4" w:space="0" w:color="auto"/>
              <w:right w:val="single" w:sz="4" w:space="0" w:color="auto"/>
            </w:tcBorders>
            <w:shd w:val="clear" w:color="auto" w:fill="auto"/>
            <w:noWrap/>
            <w:vAlign w:val="bottom"/>
          </w:tcPr>
          <w:p w14:paraId="36572758" w14:textId="77777777" w:rsidR="008A19B2" w:rsidRPr="00637924" w:rsidRDefault="00C1297C"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24,2</w:t>
            </w:r>
          </w:p>
        </w:tc>
      </w:tr>
      <w:tr w:rsidR="008A19B2" w:rsidRPr="00637924" w14:paraId="14BD1254" w14:textId="77777777" w:rsidTr="00420A42">
        <w:trPr>
          <w:trHeight w:val="219"/>
          <w:jc w:val="center"/>
        </w:trPr>
        <w:tc>
          <w:tcPr>
            <w:tcW w:w="2552" w:type="dxa"/>
            <w:tcBorders>
              <w:top w:val="single" w:sz="4" w:space="0" w:color="auto"/>
              <w:left w:val="single" w:sz="4" w:space="0" w:color="auto"/>
              <w:right w:val="single" w:sz="4" w:space="0" w:color="auto"/>
            </w:tcBorders>
            <w:shd w:val="clear" w:color="auto" w:fill="auto"/>
            <w:vAlign w:val="bottom"/>
            <w:hideMark/>
          </w:tcPr>
          <w:p w14:paraId="6D85CB7B" w14:textId="77777777" w:rsidR="008A19B2" w:rsidRPr="00637924" w:rsidRDefault="008A19B2" w:rsidP="00B7523D">
            <w:pPr>
              <w:spacing w:after="0"/>
              <w:ind w:firstLine="0"/>
              <w:jc w:val="left"/>
              <w:rPr>
                <w:rFonts w:eastAsia="Times New Roman" w:cs="Times New Roman"/>
                <w:b/>
                <w:sz w:val="20"/>
                <w:szCs w:val="20"/>
                <w:lang w:eastAsia="lv-LV"/>
              </w:rPr>
            </w:pPr>
            <w:r w:rsidRPr="00637924">
              <w:rPr>
                <w:rFonts w:eastAsia="Times New Roman" w:cs="Times New Roman"/>
                <w:b/>
                <w:sz w:val="20"/>
                <w:szCs w:val="20"/>
                <w:lang w:eastAsia="lv-LV"/>
              </w:rPr>
              <w:t>Kārtējie izdevumi</w:t>
            </w:r>
          </w:p>
        </w:tc>
        <w:tc>
          <w:tcPr>
            <w:tcW w:w="987" w:type="dxa"/>
            <w:tcBorders>
              <w:top w:val="single" w:sz="4" w:space="0" w:color="auto"/>
              <w:left w:val="nil"/>
              <w:right w:val="single" w:sz="4" w:space="0" w:color="auto"/>
            </w:tcBorders>
            <w:shd w:val="clear" w:color="auto" w:fill="auto"/>
            <w:noWrap/>
            <w:vAlign w:val="bottom"/>
            <w:hideMark/>
          </w:tcPr>
          <w:p w14:paraId="40DC0F64"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291 589</w:t>
            </w:r>
          </w:p>
        </w:tc>
        <w:tc>
          <w:tcPr>
            <w:tcW w:w="992" w:type="dxa"/>
            <w:tcBorders>
              <w:top w:val="single" w:sz="4" w:space="0" w:color="auto"/>
              <w:left w:val="nil"/>
              <w:right w:val="single" w:sz="4" w:space="0" w:color="auto"/>
            </w:tcBorders>
            <w:shd w:val="clear" w:color="auto" w:fill="auto"/>
            <w:noWrap/>
            <w:vAlign w:val="bottom"/>
          </w:tcPr>
          <w:p w14:paraId="554743C5"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337 317</w:t>
            </w:r>
          </w:p>
        </w:tc>
        <w:tc>
          <w:tcPr>
            <w:tcW w:w="993" w:type="dxa"/>
            <w:tcBorders>
              <w:top w:val="single" w:sz="4" w:space="0" w:color="auto"/>
              <w:left w:val="nil"/>
              <w:right w:val="single" w:sz="4" w:space="0" w:color="auto"/>
            </w:tcBorders>
            <w:shd w:val="clear" w:color="auto" w:fill="auto"/>
            <w:noWrap/>
            <w:vAlign w:val="bottom"/>
          </w:tcPr>
          <w:p w14:paraId="29FFD19B"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319 336</w:t>
            </w:r>
          </w:p>
        </w:tc>
        <w:tc>
          <w:tcPr>
            <w:tcW w:w="1083" w:type="dxa"/>
            <w:tcBorders>
              <w:top w:val="single" w:sz="4" w:space="0" w:color="auto"/>
              <w:left w:val="nil"/>
              <w:right w:val="single" w:sz="4" w:space="0" w:color="auto"/>
            </w:tcBorders>
            <w:shd w:val="clear" w:color="auto" w:fill="auto"/>
            <w:noWrap/>
            <w:vAlign w:val="bottom"/>
          </w:tcPr>
          <w:p w14:paraId="5618F682"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1 509 729</w:t>
            </w:r>
          </w:p>
        </w:tc>
        <w:tc>
          <w:tcPr>
            <w:tcW w:w="1043" w:type="dxa"/>
            <w:tcBorders>
              <w:top w:val="single" w:sz="4" w:space="0" w:color="auto"/>
              <w:left w:val="nil"/>
              <w:right w:val="single" w:sz="4" w:space="0" w:color="auto"/>
            </w:tcBorders>
            <w:shd w:val="clear" w:color="auto" w:fill="auto"/>
            <w:noWrap/>
            <w:vAlign w:val="bottom"/>
          </w:tcPr>
          <w:p w14:paraId="16B5B2D8" w14:textId="77777777" w:rsidR="008A19B2" w:rsidRPr="00637924"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109,5</w:t>
            </w:r>
          </w:p>
        </w:tc>
        <w:tc>
          <w:tcPr>
            <w:tcW w:w="992" w:type="dxa"/>
            <w:tcBorders>
              <w:top w:val="single" w:sz="4" w:space="0" w:color="auto"/>
              <w:left w:val="nil"/>
              <w:right w:val="single" w:sz="4" w:space="0" w:color="auto"/>
            </w:tcBorders>
            <w:shd w:val="clear" w:color="auto" w:fill="auto"/>
            <w:noWrap/>
            <w:vAlign w:val="bottom"/>
          </w:tcPr>
          <w:p w14:paraId="539AC53C" w14:textId="77777777" w:rsidR="008A19B2" w:rsidRPr="00637924"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94,7</w:t>
            </w:r>
          </w:p>
        </w:tc>
        <w:tc>
          <w:tcPr>
            <w:tcW w:w="992" w:type="dxa"/>
            <w:tcBorders>
              <w:top w:val="single" w:sz="4" w:space="0" w:color="auto"/>
              <w:left w:val="nil"/>
              <w:right w:val="single" w:sz="4" w:space="0" w:color="auto"/>
            </w:tcBorders>
            <w:shd w:val="clear" w:color="auto" w:fill="auto"/>
            <w:noWrap/>
            <w:vAlign w:val="bottom"/>
          </w:tcPr>
          <w:p w14:paraId="738D748C" w14:textId="77777777" w:rsidR="008A19B2" w:rsidRPr="00637924"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21,2</w:t>
            </w:r>
          </w:p>
        </w:tc>
      </w:tr>
      <w:tr w:rsidR="008A19B2" w:rsidRPr="008A19B2" w14:paraId="0C71AF8C" w14:textId="77777777" w:rsidTr="00420A42">
        <w:trPr>
          <w:trHeight w:val="133"/>
          <w:jc w:val="center"/>
        </w:trPr>
        <w:tc>
          <w:tcPr>
            <w:tcW w:w="2552" w:type="dxa"/>
            <w:tcBorders>
              <w:top w:val="nil"/>
              <w:left w:val="single" w:sz="4" w:space="0" w:color="auto"/>
              <w:right w:val="single" w:sz="4" w:space="0" w:color="auto"/>
            </w:tcBorders>
            <w:shd w:val="clear" w:color="auto" w:fill="auto"/>
            <w:vAlign w:val="bottom"/>
            <w:hideMark/>
          </w:tcPr>
          <w:p w14:paraId="3474D08C" w14:textId="77777777" w:rsidR="008A19B2" w:rsidRPr="008A19B2" w:rsidRDefault="008A19B2" w:rsidP="00B7523D">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Atlīdzība</w:t>
            </w:r>
          </w:p>
        </w:tc>
        <w:tc>
          <w:tcPr>
            <w:tcW w:w="987" w:type="dxa"/>
            <w:tcBorders>
              <w:top w:val="nil"/>
              <w:left w:val="nil"/>
              <w:right w:val="single" w:sz="4" w:space="0" w:color="auto"/>
            </w:tcBorders>
            <w:shd w:val="clear" w:color="auto" w:fill="auto"/>
            <w:noWrap/>
            <w:vAlign w:val="bottom"/>
          </w:tcPr>
          <w:p w14:paraId="00714EE6"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173 872</w:t>
            </w:r>
          </w:p>
        </w:tc>
        <w:tc>
          <w:tcPr>
            <w:tcW w:w="992" w:type="dxa"/>
            <w:tcBorders>
              <w:top w:val="nil"/>
              <w:left w:val="nil"/>
              <w:right w:val="single" w:sz="4" w:space="0" w:color="auto"/>
            </w:tcBorders>
            <w:shd w:val="clear" w:color="auto" w:fill="auto"/>
            <w:noWrap/>
            <w:vAlign w:val="bottom"/>
          </w:tcPr>
          <w:p w14:paraId="15EC7E56"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189 326</w:t>
            </w:r>
          </w:p>
        </w:tc>
        <w:tc>
          <w:tcPr>
            <w:tcW w:w="993" w:type="dxa"/>
            <w:tcBorders>
              <w:top w:val="nil"/>
              <w:left w:val="nil"/>
              <w:right w:val="single" w:sz="4" w:space="0" w:color="auto"/>
            </w:tcBorders>
            <w:shd w:val="clear" w:color="auto" w:fill="auto"/>
            <w:noWrap/>
            <w:vAlign w:val="bottom"/>
          </w:tcPr>
          <w:p w14:paraId="2CB7663D"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183 702</w:t>
            </w:r>
          </w:p>
        </w:tc>
        <w:tc>
          <w:tcPr>
            <w:tcW w:w="1083" w:type="dxa"/>
            <w:tcBorders>
              <w:top w:val="nil"/>
              <w:left w:val="nil"/>
              <w:right w:val="single" w:sz="4" w:space="0" w:color="auto"/>
            </w:tcBorders>
            <w:shd w:val="clear" w:color="auto" w:fill="auto"/>
            <w:noWrap/>
            <w:vAlign w:val="bottom"/>
          </w:tcPr>
          <w:p w14:paraId="12D9EB99"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847 543</w:t>
            </w:r>
          </w:p>
        </w:tc>
        <w:tc>
          <w:tcPr>
            <w:tcW w:w="1043" w:type="dxa"/>
            <w:tcBorders>
              <w:top w:val="nil"/>
              <w:left w:val="nil"/>
              <w:right w:val="single" w:sz="4" w:space="0" w:color="auto"/>
            </w:tcBorders>
            <w:shd w:val="clear" w:color="auto" w:fill="auto"/>
            <w:noWrap/>
            <w:vAlign w:val="bottom"/>
          </w:tcPr>
          <w:p w14:paraId="4D2FF59B"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105,7</w:t>
            </w:r>
          </w:p>
        </w:tc>
        <w:tc>
          <w:tcPr>
            <w:tcW w:w="992" w:type="dxa"/>
            <w:tcBorders>
              <w:top w:val="nil"/>
              <w:left w:val="nil"/>
              <w:right w:val="single" w:sz="4" w:space="0" w:color="auto"/>
            </w:tcBorders>
            <w:shd w:val="clear" w:color="auto" w:fill="auto"/>
            <w:noWrap/>
            <w:vAlign w:val="bottom"/>
          </w:tcPr>
          <w:p w14:paraId="43EE1329"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97,0</w:t>
            </w:r>
          </w:p>
        </w:tc>
        <w:tc>
          <w:tcPr>
            <w:tcW w:w="992" w:type="dxa"/>
            <w:tcBorders>
              <w:top w:val="nil"/>
              <w:left w:val="nil"/>
              <w:right w:val="single" w:sz="4" w:space="0" w:color="auto"/>
            </w:tcBorders>
            <w:shd w:val="clear" w:color="auto" w:fill="auto"/>
            <w:noWrap/>
            <w:vAlign w:val="bottom"/>
          </w:tcPr>
          <w:p w14:paraId="1F61F7F2"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21,7</w:t>
            </w:r>
          </w:p>
        </w:tc>
      </w:tr>
      <w:tr w:rsidR="008A19B2" w:rsidRPr="008A19B2" w14:paraId="76EBA379" w14:textId="77777777" w:rsidTr="00420A42">
        <w:trPr>
          <w:trHeight w:val="255"/>
          <w:jc w:val="center"/>
        </w:trPr>
        <w:tc>
          <w:tcPr>
            <w:tcW w:w="2552" w:type="dxa"/>
            <w:tcBorders>
              <w:top w:val="nil"/>
              <w:left w:val="single" w:sz="4" w:space="0" w:color="auto"/>
              <w:right w:val="single" w:sz="4" w:space="0" w:color="auto"/>
            </w:tcBorders>
            <w:shd w:val="clear" w:color="auto" w:fill="auto"/>
            <w:vAlign w:val="bottom"/>
            <w:hideMark/>
          </w:tcPr>
          <w:p w14:paraId="00683CEB" w14:textId="77777777" w:rsidR="008A19B2" w:rsidRPr="008A19B2" w:rsidRDefault="008A19B2" w:rsidP="00B7523D">
            <w:pPr>
              <w:spacing w:after="0"/>
              <w:ind w:firstLine="0"/>
              <w:jc w:val="left"/>
              <w:rPr>
                <w:rFonts w:eastAsia="Times New Roman" w:cs="Times New Roman"/>
                <w:i/>
                <w:sz w:val="20"/>
                <w:szCs w:val="20"/>
                <w:lang w:eastAsia="lv-LV"/>
              </w:rPr>
            </w:pPr>
            <w:r w:rsidRPr="008A19B2">
              <w:rPr>
                <w:rFonts w:eastAsia="Times New Roman" w:cs="Times New Roman"/>
                <w:i/>
                <w:sz w:val="20"/>
                <w:szCs w:val="20"/>
                <w:lang w:eastAsia="lv-LV"/>
              </w:rPr>
              <w:t xml:space="preserve"> </w:t>
            </w:r>
            <w:r w:rsidR="0092040F">
              <w:rPr>
                <w:rFonts w:eastAsia="Times New Roman" w:cs="Times New Roman"/>
                <w:i/>
                <w:sz w:val="20"/>
                <w:szCs w:val="20"/>
                <w:lang w:eastAsia="lv-LV"/>
              </w:rPr>
              <w:t xml:space="preserve">   </w:t>
            </w:r>
            <w:r w:rsidRPr="008A19B2">
              <w:rPr>
                <w:rFonts w:eastAsia="Times New Roman" w:cs="Times New Roman"/>
                <w:i/>
                <w:sz w:val="20"/>
                <w:szCs w:val="20"/>
                <w:lang w:eastAsia="lv-LV"/>
              </w:rPr>
              <w:t>Atalgojums</w:t>
            </w:r>
          </w:p>
        </w:tc>
        <w:tc>
          <w:tcPr>
            <w:tcW w:w="987" w:type="dxa"/>
            <w:tcBorders>
              <w:top w:val="nil"/>
              <w:left w:val="nil"/>
              <w:right w:val="single" w:sz="4" w:space="0" w:color="auto"/>
            </w:tcBorders>
            <w:shd w:val="clear" w:color="auto" w:fill="auto"/>
            <w:noWrap/>
            <w:vAlign w:val="bottom"/>
          </w:tcPr>
          <w:p w14:paraId="39F5B98C" w14:textId="77777777" w:rsidR="008A19B2" w:rsidRPr="008A19B2"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129 684</w:t>
            </w:r>
          </w:p>
        </w:tc>
        <w:tc>
          <w:tcPr>
            <w:tcW w:w="992" w:type="dxa"/>
            <w:tcBorders>
              <w:top w:val="nil"/>
              <w:left w:val="nil"/>
              <w:right w:val="single" w:sz="4" w:space="0" w:color="auto"/>
            </w:tcBorders>
            <w:shd w:val="clear" w:color="auto" w:fill="auto"/>
            <w:noWrap/>
            <w:vAlign w:val="bottom"/>
          </w:tcPr>
          <w:p w14:paraId="22DBEFDA" w14:textId="77777777" w:rsidR="008A19B2" w:rsidRPr="008A19B2"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140 064</w:t>
            </w:r>
          </w:p>
        </w:tc>
        <w:tc>
          <w:tcPr>
            <w:tcW w:w="993" w:type="dxa"/>
            <w:tcBorders>
              <w:top w:val="nil"/>
              <w:left w:val="nil"/>
              <w:right w:val="single" w:sz="4" w:space="0" w:color="auto"/>
            </w:tcBorders>
            <w:shd w:val="clear" w:color="auto" w:fill="auto"/>
            <w:noWrap/>
            <w:vAlign w:val="bottom"/>
          </w:tcPr>
          <w:p w14:paraId="6A8D44B3" w14:textId="77777777" w:rsidR="008A19B2" w:rsidRPr="008A19B2"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136 402</w:t>
            </w:r>
          </w:p>
        </w:tc>
        <w:tc>
          <w:tcPr>
            <w:tcW w:w="1083" w:type="dxa"/>
            <w:tcBorders>
              <w:top w:val="nil"/>
              <w:left w:val="nil"/>
              <w:right w:val="single" w:sz="4" w:space="0" w:color="auto"/>
            </w:tcBorders>
            <w:shd w:val="clear" w:color="auto" w:fill="auto"/>
            <w:noWrap/>
            <w:vAlign w:val="bottom"/>
          </w:tcPr>
          <w:p w14:paraId="4891844F" w14:textId="77777777" w:rsidR="008A19B2" w:rsidRPr="008A19B2"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627 762</w:t>
            </w:r>
          </w:p>
        </w:tc>
        <w:tc>
          <w:tcPr>
            <w:tcW w:w="1043" w:type="dxa"/>
            <w:tcBorders>
              <w:top w:val="nil"/>
              <w:left w:val="nil"/>
              <w:right w:val="single" w:sz="4" w:space="0" w:color="auto"/>
            </w:tcBorders>
            <w:shd w:val="clear" w:color="auto" w:fill="auto"/>
            <w:noWrap/>
            <w:vAlign w:val="bottom"/>
          </w:tcPr>
          <w:p w14:paraId="118D9927" w14:textId="77777777" w:rsidR="008A19B2" w:rsidRPr="008A19B2" w:rsidRDefault="00C20013" w:rsidP="00B7523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105,2</w:t>
            </w:r>
          </w:p>
        </w:tc>
        <w:tc>
          <w:tcPr>
            <w:tcW w:w="992" w:type="dxa"/>
            <w:tcBorders>
              <w:top w:val="nil"/>
              <w:left w:val="nil"/>
              <w:right w:val="single" w:sz="4" w:space="0" w:color="auto"/>
            </w:tcBorders>
            <w:shd w:val="clear" w:color="auto" w:fill="auto"/>
            <w:noWrap/>
            <w:vAlign w:val="bottom"/>
          </w:tcPr>
          <w:p w14:paraId="00392777" w14:textId="77777777" w:rsidR="008A19B2" w:rsidRPr="008A19B2" w:rsidRDefault="00C20013" w:rsidP="00B7523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97,4</w:t>
            </w:r>
          </w:p>
        </w:tc>
        <w:tc>
          <w:tcPr>
            <w:tcW w:w="992" w:type="dxa"/>
            <w:tcBorders>
              <w:top w:val="nil"/>
              <w:left w:val="nil"/>
              <w:right w:val="single" w:sz="4" w:space="0" w:color="auto"/>
            </w:tcBorders>
            <w:shd w:val="clear" w:color="auto" w:fill="auto"/>
            <w:noWrap/>
            <w:vAlign w:val="bottom"/>
          </w:tcPr>
          <w:p w14:paraId="2BABBFD9" w14:textId="77777777" w:rsidR="008A19B2" w:rsidRPr="008A19B2" w:rsidRDefault="00C20013" w:rsidP="00B7523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21,7</w:t>
            </w:r>
          </w:p>
        </w:tc>
      </w:tr>
      <w:tr w:rsidR="008A19B2" w:rsidRPr="008A19B2" w14:paraId="3757282D" w14:textId="77777777" w:rsidTr="00420A42">
        <w:trPr>
          <w:trHeight w:val="510"/>
          <w:jc w:val="center"/>
        </w:trPr>
        <w:tc>
          <w:tcPr>
            <w:tcW w:w="2552" w:type="dxa"/>
            <w:tcBorders>
              <w:top w:val="nil"/>
              <w:left w:val="single" w:sz="4" w:space="0" w:color="auto"/>
              <w:right w:val="single" w:sz="4" w:space="0" w:color="auto"/>
            </w:tcBorders>
            <w:shd w:val="clear" w:color="auto" w:fill="auto"/>
            <w:vAlign w:val="bottom"/>
            <w:hideMark/>
          </w:tcPr>
          <w:p w14:paraId="48EB57A9" w14:textId="77777777" w:rsidR="008A19B2" w:rsidRPr="008A19B2" w:rsidRDefault="0092040F" w:rsidP="00B7523D">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008A19B2" w:rsidRPr="008A19B2">
              <w:rPr>
                <w:rFonts w:eastAsia="Times New Roman" w:cs="Times New Roman"/>
                <w:i/>
                <w:sz w:val="20"/>
                <w:szCs w:val="20"/>
                <w:lang w:eastAsia="lv-LV"/>
              </w:rPr>
              <w:t>Darba devēja valsts sociālās apdrošināšanas obligātās iemaksas, pabalsti un kompensācijas</w:t>
            </w:r>
          </w:p>
        </w:tc>
        <w:tc>
          <w:tcPr>
            <w:tcW w:w="987" w:type="dxa"/>
            <w:tcBorders>
              <w:top w:val="nil"/>
              <w:left w:val="nil"/>
              <w:right w:val="single" w:sz="4" w:space="0" w:color="auto"/>
            </w:tcBorders>
            <w:shd w:val="clear" w:color="auto" w:fill="auto"/>
            <w:noWrap/>
            <w:vAlign w:val="bottom"/>
            <w:hideMark/>
          </w:tcPr>
          <w:p w14:paraId="078ECE3B" w14:textId="77777777" w:rsidR="008A19B2" w:rsidRPr="008A19B2"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44 188</w:t>
            </w:r>
          </w:p>
        </w:tc>
        <w:tc>
          <w:tcPr>
            <w:tcW w:w="992" w:type="dxa"/>
            <w:tcBorders>
              <w:top w:val="nil"/>
              <w:left w:val="nil"/>
              <w:right w:val="single" w:sz="4" w:space="0" w:color="auto"/>
            </w:tcBorders>
            <w:shd w:val="clear" w:color="auto" w:fill="auto"/>
            <w:noWrap/>
            <w:vAlign w:val="bottom"/>
          </w:tcPr>
          <w:p w14:paraId="0C8A6D20" w14:textId="77777777" w:rsidR="008A19B2" w:rsidRPr="008A19B2" w:rsidRDefault="008A19B2" w:rsidP="00B7523D">
            <w:pPr>
              <w:spacing w:after="0"/>
              <w:ind w:firstLine="0"/>
              <w:jc w:val="right"/>
              <w:rPr>
                <w:rFonts w:eastAsia="Times New Roman" w:cs="Times New Roman"/>
                <w:i/>
                <w:sz w:val="20"/>
                <w:szCs w:val="20"/>
                <w:lang w:eastAsia="lv-LV"/>
              </w:rPr>
            </w:pPr>
          </w:p>
        </w:tc>
        <w:tc>
          <w:tcPr>
            <w:tcW w:w="993" w:type="dxa"/>
            <w:tcBorders>
              <w:top w:val="nil"/>
              <w:left w:val="nil"/>
              <w:right w:val="single" w:sz="4" w:space="0" w:color="auto"/>
            </w:tcBorders>
            <w:shd w:val="clear" w:color="auto" w:fill="auto"/>
            <w:noWrap/>
            <w:vAlign w:val="bottom"/>
            <w:hideMark/>
          </w:tcPr>
          <w:p w14:paraId="3589273D" w14:textId="77777777" w:rsidR="008A19B2" w:rsidRPr="008A19B2"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47 300</w:t>
            </w:r>
          </w:p>
        </w:tc>
        <w:tc>
          <w:tcPr>
            <w:tcW w:w="1083" w:type="dxa"/>
            <w:tcBorders>
              <w:top w:val="nil"/>
              <w:left w:val="nil"/>
              <w:right w:val="single" w:sz="4" w:space="0" w:color="auto"/>
            </w:tcBorders>
            <w:shd w:val="clear" w:color="auto" w:fill="auto"/>
            <w:noWrap/>
            <w:vAlign w:val="bottom"/>
            <w:hideMark/>
          </w:tcPr>
          <w:p w14:paraId="69B314FE" w14:textId="77777777" w:rsidR="008A19B2" w:rsidRPr="008A19B2" w:rsidRDefault="008A19B2" w:rsidP="00B7523D">
            <w:pPr>
              <w:spacing w:after="0"/>
              <w:ind w:firstLine="0"/>
              <w:jc w:val="right"/>
              <w:rPr>
                <w:rFonts w:eastAsia="Times New Roman" w:cs="Times New Roman"/>
                <w:i/>
                <w:sz w:val="20"/>
                <w:szCs w:val="20"/>
                <w:lang w:eastAsia="lv-LV"/>
              </w:rPr>
            </w:pPr>
            <w:r w:rsidRPr="008A19B2">
              <w:rPr>
                <w:rFonts w:eastAsia="Times New Roman" w:cs="Times New Roman"/>
                <w:i/>
                <w:sz w:val="20"/>
                <w:szCs w:val="20"/>
                <w:lang w:eastAsia="lv-LV"/>
              </w:rPr>
              <w:t> </w:t>
            </w:r>
          </w:p>
        </w:tc>
        <w:tc>
          <w:tcPr>
            <w:tcW w:w="1043" w:type="dxa"/>
            <w:tcBorders>
              <w:top w:val="nil"/>
              <w:left w:val="nil"/>
              <w:right w:val="single" w:sz="4" w:space="0" w:color="auto"/>
            </w:tcBorders>
            <w:shd w:val="clear" w:color="auto" w:fill="auto"/>
            <w:noWrap/>
            <w:vAlign w:val="bottom"/>
            <w:hideMark/>
          </w:tcPr>
          <w:p w14:paraId="16393934" w14:textId="77777777" w:rsidR="008A19B2" w:rsidRPr="008A19B2" w:rsidRDefault="00C20013" w:rsidP="00B7523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107,0</w:t>
            </w:r>
          </w:p>
        </w:tc>
        <w:tc>
          <w:tcPr>
            <w:tcW w:w="992" w:type="dxa"/>
            <w:tcBorders>
              <w:top w:val="nil"/>
              <w:left w:val="nil"/>
              <w:right w:val="single" w:sz="4" w:space="0" w:color="auto"/>
            </w:tcBorders>
            <w:shd w:val="clear" w:color="auto" w:fill="auto"/>
            <w:noWrap/>
            <w:vAlign w:val="bottom"/>
            <w:hideMark/>
          </w:tcPr>
          <w:p w14:paraId="2C544D11" w14:textId="77777777" w:rsidR="008A19B2" w:rsidRPr="008A19B2" w:rsidRDefault="008A19B2" w:rsidP="00B7523D">
            <w:pPr>
              <w:spacing w:after="0"/>
              <w:ind w:firstLine="0"/>
              <w:jc w:val="center"/>
              <w:rPr>
                <w:rFonts w:eastAsia="Times New Roman" w:cs="Times New Roman"/>
                <w:i/>
                <w:sz w:val="20"/>
                <w:szCs w:val="20"/>
                <w:lang w:eastAsia="lv-LV"/>
              </w:rPr>
            </w:pPr>
            <w:r w:rsidRPr="008A19B2">
              <w:rPr>
                <w:rFonts w:eastAsia="Times New Roman" w:cs="Times New Roman"/>
                <w:i/>
                <w:sz w:val="20"/>
                <w:szCs w:val="20"/>
                <w:lang w:eastAsia="lv-LV"/>
              </w:rPr>
              <w:t> </w:t>
            </w:r>
          </w:p>
        </w:tc>
        <w:tc>
          <w:tcPr>
            <w:tcW w:w="992" w:type="dxa"/>
            <w:tcBorders>
              <w:top w:val="nil"/>
              <w:left w:val="nil"/>
              <w:right w:val="single" w:sz="4" w:space="0" w:color="auto"/>
            </w:tcBorders>
            <w:shd w:val="clear" w:color="auto" w:fill="auto"/>
            <w:noWrap/>
            <w:vAlign w:val="bottom"/>
            <w:hideMark/>
          </w:tcPr>
          <w:p w14:paraId="391D6276" w14:textId="77777777" w:rsidR="008A19B2" w:rsidRPr="008A19B2" w:rsidRDefault="008A19B2" w:rsidP="00B7523D">
            <w:pPr>
              <w:spacing w:after="0"/>
              <w:ind w:firstLine="0"/>
              <w:jc w:val="center"/>
              <w:rPr>
                <w:rFonts w:eastAsia="Times New Roman" w:cs="Times New Roman"/>
                <w:i/>
                <w:sz w:val="20"/>
                <w:szCs w:val="20"/>
                <w:lang w:eastAsia="lv-LV"/>
              </w:rPr>
            </w:pPr>
            <w:r w:rsidRPr="008A19B2">
              <w:rPr>
                <w:rFonts w:eastAsia="Times New Roman" w:cs="Times New Roman"/>
                <w:i/>
                <w:sz w:val="20"/>
                <w:szCs w:val="20"/>
                <w:lang w:eastAsia="lv-LV"/>
              </w:rPr>
              <w:t> </w:t>
            </w:r>
          </w:p>
        </w:tc>
      </w:tr>
      <w:tr w:rsidR="008A19B2" w:rsidRPr="008A19B2" w14:paraId="44E050AB" w14:textId="77777777" w:rsidTr="00420A42">
        <w:trPr>
          <w:trHeight w:val="270"/>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25AD21FD" w14:textId="77777777" w:rsidR="008A19B2" w:rsidRPr="008A19B2" w:rsidRDefault="008A19B2" w:rsidP="00B7523D">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Preces un pakalpojumi</w:t>
            </w:r>
          </w:p>
        </w:tc>
        <w:tc>
          <w:tcPr>
            <w:tcW w:w="987" w:type="dxa"/>
            <w:tcBorders>
              <w:top w:val="nil"/>
              <w:left w:val="nil"/>
              <w:bottom w:val="single" w:sz="4" w:space="0" w:color="auto"/>
              <w:right w:val="single" w:sz="4" w:space="0" w:color="auto"/>
            </w:tcBorders>
            <w:shd w:val="clear" w:color="auto" w:fill="auto"/>
            <w:noWrap/>
            <w:vAlign w:val="bottom"/>
            <w:hideMark/>
          </w:tcPr>
          <w:p w14:paraId="7DFDA001"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117 717</w:t>
            </w:r>
          </w:p>
        </w:tc>
        <w:tc>
          <w:tcPr>
            <w:tcW w:w="992" w:type="dxa"/>
            <w:tcBorders>
              <w:top w:val="nil"/>
              <w:left w:val="nil"/>
              <w:bottom w:val="single" w:sz="4" w:space="0" w:color="auto"/>
              <w:right w:val="single" w:sz="4" w:space="0" w:color="auto"/>
            </w:tcBorders>
            <w:shd w:val="clear" w:color="auto" w:fill="auto"/>
            <w:noWrap/>
            <w:vAlign w:val="bottom"/>
          </w:tcPr>
          <w:p w14:paraId="05F02FF1"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147 991</w:t>
            </w:r>
          </w:p>
        </w:tc>
        <w:tc>
          <w:tcPr>
            <w:tcW w:w="993" w:type="dxa"/>
            <w:tcBorders>
              <w:top w:val="nil"/>
              <w:left w:val="nil"/>
              <w:bottom w:val="single" w:sz="4" w:space="0" w:color="auto"/>
              <w:right w:val="single" w:sz="4" w:space="0" w:color="auto"/>
            </w:tcBorders>
            <w:shd w:val="clear" w:color="auto" w:fill="auto"/>
            <w:noWrap/>
            <w:vAlign w:val="bottom"/>
            <w:hideMark/>
          </w:tcPr>
          <w:p w14:paraId="6A6BE17A"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135 634</w:t>
            </w:r>
          </w:p>
        </w:tc>
        <w:tc>
          <w:tcPr>
            <w:tcW w:w="1083" w:type="dxa"/>
            <w:tcBorders>
              <w:top w:val="nil"/>
              <w:left w:val="nil"/>
              <w:bottom w:val="single" w:sz="4" w:space="0" w:color="auto"/>
              <w:right w:val="single" w:sz="4" w:space="0" w:color="auto"/>
            </w:tcBorders>
            <w:shd w:val="clear" w:color="auto" w:fill="auto"/>
            <w:noWrap/>
            <w:vAlign w:val="bottom"/>
            <w:hideMark/>
          </w:tcPr>
          <w:p w14:paraId="47B5F69D"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662 186</w:t>
            </w:r>
          </w:p>
        </w:tc>
        <w:tc>
          <w:tcPr>
            <w:tcW w:w="1043" w:type="dxa"/>
            <w:tcBorders>
              <w:top w:val="nil"/>
              <w:left w:val="nil"/>
              <w:bottom w:val="single" w:sz="4" w:space="0" w:color="auto"/>
              <w:right w:val="single" w:sz="4" w:space="0" w:color="auto"/>
            </w:tcBorders>
            <w:shd w:val="clear" w:color="auto" w:fill="auto"/>
            <w:noWrap/>
            <w:vAlign w:val="bottom"/>
            <w:hideMark/>
          </w:tcPr>
          <w:p w14:paraId="2AC2B117"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115,2</w:t>
            </w:r>
          </w:p>
        </w:tc>
        <w:tc>
          <w:tcPr>
            <w:tcW w:w="992" w:type="dxa"/>
            <w:tcBorders>
              <w:top w:val="nil"/>
              <w:left w:val="nil"/>
              <w:bottom w:val="single" w:sz="4" w:space="0" w:color="auto"/>
              <w:right w:val="single" w:sz="4" w:space="0" w:color="auto"/>
            </w:tcBorders>
            <w:shd w:val="clear" w:color="auto" w:fill="auto"/>
            <w:noWrap/>
            <w:vAlign w:val="bottom"/>
            <w:hideMark/>
          </w:tcPr>
          <w:p w14:paraId="0A1080D9"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91,7</w:t>
            </w:r>
          </w:p>
        </w:tc>
        <w:tc>
          <w:tcPr>
            <w:tcW w:w="992" w:type="dxa"/>
            <w:tcBorders>
              <w:top w:val="nil"/>
              <w:left w:val="nil"/>
              <w:bottom w:val="single" w:sz="4" w:space="0" w:color="auto"/>
              <w:right w:val="single" w:sz="4" w:space="0" w:color="auto"/>
            </w:tcBorders>
            <w:shd w:val="clear" w:color="auto" w:fill="auto"/>
            <w:noWrap/>
            <w:vAlign w:val="bottom"/>
            <w:hideMark/>
          </w:tcPr>
          <w:p w14:paraId="362BAEDE"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20,5</w:t>
            </w:r>
          </w:p>
        </w:tc>
      </w:tr>
      <w:tr w:rsidR="008A19B2" w:rsidRPr="00637924" w14:paraId="275091C7" w14:textId="77777777" w:rsidTr="00420A42">
        <w:trPr>
          <w:trHeight w:val="147"/>
          <w:jc w:val="center"/>
        </w:trPr>
        <w:tc>
          <w:tcPr>
            <w:tcW w:w="2552" w:type="dxa"/>
            <w:tcBorders>
              <w:top w:val="single" w:sz="4" w:space="0" w:color="auto"/>
              <w:left w:val="single" w:sz="4" w:space="0" w:color="auto"/>
              <w:right w:val="single" w:sz="4" w:space="0" w:color="auto"/>
            </w:tcBorders>
            <w:shd w:val="clear" w:color="auto" w:fill="auto"/>
            <w:vAlign w:val="bottom"/>
            <w:hideMark/>
          </w:tcPr>
          <w:p w14:paraId="6C8377AD" w14:textId="77777777" w:rsidR="008A19B2" w:rsidRPr="00637924" w:rsidRDefault="008A19B2" w:rsidP="00B7523D">
            <w:pPr>
              <w:spacing w:after="0"/>
              <w:ind w:firstLine="0"/>
              <w:jc w:val="left"/>
              <w:rPr>
                <w:rFonts w:eastAsia="Times New Roman" w:cs="Times New Roman"/>
                <w:b/>
                <w:sz w:val="20"/>
                <w:szCs w:val="20"/>
                <w:lang w:eastAsia="lv-LV"/>
              </w:rPr>
            </w:pPr>
            <w:r w:rsidRPr="00637924">
              <w:rPr>
                <w:rFonts w:eastAsia="Times New Roman" w:cs="Times New Roman"/>
                <w:b/>
                <w:sz w:val="20"/>
                <w:szCs w:val="20"/>
                <w:lang w:eastAsia="lv-LV"/>
              </w:rPr>
              <w:t>Procentu izdevumi</w:t>
            </w:r>
          </w:p>
        </w:tc>
        <w:tc>
          <w:tcPr>
            <w:tcW w:w="987" w:type="dxa"/>
            <w:tcBorders>
              <w:top w:val="single" w:sz="4" w:space="0" w:color="auto"/>
              <w:left w:val="nil"/>
              <w:right w:val="single" w:sz="4" w:space="0" w:color="auto"/>
            </w:tcBorders>
            <w:shd w:val="clear" w:color="auto" w:fill="auto"/>
            <w:noWrap/>
            <w:vAlign w:val="bottom"/>
            <w:hideMark/>
          </w:tcPr>
          <w:p w14:paraId="0A931399"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142 388</w:t>
            </w:r>
          </w:p>
        </w:tc>
        <w:tc>
          <w:tcPr>
            <w:tcW w:w="992" w:type="dxa"/>
            <w:tcBorders>
              <w:top w:val="single" w:sz="4" w:space="0" w:color="auto"/>
              <w:left w:val="nil"/>
              <w:right w:val="single" w:sz="4" w:space="0" w:color="auto"/>
            </w:tcBorders>
            <w:shd w:val="clear" w:color="auto" w:fill="auto"/>
            <w:noWrap/>
            <w:vAlign w:val="bottom"/>
          </w:tcPr>
          <w:p w14:paraId="47638FDA"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140 921</w:t>
            </w:r>
          </w:p>
        </w:tc>
        <w:tc>
          <w:tcPr>
            <w:tcW w:w="993" w:type="dxa"/>
            <w:tcBorders>
              <w:top w:val="single" w:sz="4" w:space="0" w:color="auto"/>
              <w:left w:val="nil"/>
              <w:right w:val="single" w:sz="4" w:space="0" w:color="auto"/>
            </w:tcBorders>
            <w:shd w:val="clear" w:color="auto" w:fill="auto"/>
            <w:noWrap/>
            <w:vAlign w:val="bottom"/>
            <w:hideMark/>
          </w:tcPr>
          <w:p w14:paraId="51926BAC"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140 892</w:t>
            </w:r>
          </w:p>
        </w:tc>
        <w:tc>
          <w:tcPr>
            <w:tcW w:w="1083" w:type="dxa"/>
            <w:tcBorders>
              <w:top w:val="single" w:sz="4" w:space="0" w:color="auto"/>
              <w:left w:val="nil"/>
              <w:right w:val="single" w:sz="4" w:space="0" w:color="auto"/>
            </w:tcBorders>
            <w:shd w:val="clear" w:color="auto" w:fill="auto"/>
            <w:noWrap/>
            <w:vAlign w:val="bottom"/>
            <w:hideMark/>
          </w:tcPr>
          <w:p w14:paraId="79397847"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319 621</w:t>
            </w:r>
          </w:p>
        </w:tc>
        <w:tc>
          <w:tcPr>
            <w:tcW w:w="1043" w:type="dxa"/>
            <w:tcBorders>
              <w:top w:val="single" w:sz="4" w:space="0" w:color="auto"/>
              <w:left w:val="nil"/>
              <w:right w:val="single" w:sz="4" w:space="0" w:color="auto"/>
            </w:tcBorders>
            <w:shd w:val="clear" w:color="auto" w:fill="auto"/>
            <w:noWrap/>
            <w:vAlign w:val="bottom"/>
            <w:hideMark/>
          </w:tcPr>
          <w:p w14:paraId="2CC830FB" w14:textId="77777777" w:rsidR="008A19B2" w:rsidRPr="00637924"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98,9</w:t>
            </w:r>
          </w:p>
        </w:tc>
        <w:tc>
          <w:tcPr>
            <w:tcW w:w="992" w:type="dxa"/>
            <w:tcBorders>
              <w:top w:val="single" w:sz="4" w:space="0" w:color="auto"/>
              <w:left w:val="nil"/>
              <w:right w:val="single" w:sz="4" w:space="0" w:color="auto"/>
            </w:tcBorders>
            <w:shd w:val="clear" w:color="auto" w:fill="auto"/>
            <w:noWrap/>
            <w:vAlign w:val="bottom"/>
            <w:hideMark/>
          </w:tcPr>
          <w:p w14:paraId="170BEA53" w14:textId="77777777" w:rsidR="008A19B2" w:rsidRPr="00637924"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100,0</w:t>
            </w:r>
          </w:p>
        </w:tc>
        <w:tc>
          <w:tcPr>
            <w:tcW w:w="992" w:type="dxa"/>
            <w:tcBorders>
              <w:top w:val="single" w:sz="4" w:space="0" w:color="auto"/>
              <w:left w:val="nil"/>
              <w:right w:val="single" w:sz="4" w:space="0" w:color="auto"/>
            </w:tcBorders>
            <w:shd w:val="clear" w:color="auto" w:fill="auto"/>
            <w:noWrap/>
            <w:vAlign w:val="bottom"/>
            <w:hideMark/>
          </w:tcPr>
          <w:p w14:paraId="3F291D29" w14:textId="77777777" w:rsidR="008A19B2" w:rsidRPr="00637924"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44,1</w:t>
            </w:r>
          </w:p>
        </w:tc>
      </w:tr>
      <w:tr w:rsidR="008A19B2" w:rsidRPr="00637924" w14:paraId="7ACA1A8B" w14:textId="77777777" w:rsidTr="00420A42">
        <w:trPr>
          <w:trHeight w:val="528"/>
          <w:jc w:val="center"/>
        </w:trPr>
        <w:tc>
          <w:tcPr>
            <w:tcW w:w="2552" w:type="dxa"/>
            <w:tcBorders>
              <w:top w:val="nil"/>
              <w:left w:val="single" w:sz="4" w:space="0" w:color="auto"/>
              <w:right w:val="single" w:sz="4" w:space="0" w:color="auto"/>
            </w:tcBorders>
            <w:shd w:val="clear" w:color="auto" w:fill="auto"/>
            <w:vAlign w:val="bottom"/>
            <w:hideMark/>
          </w:tcPr>
          <w:p w14:paraId="58F537A3" w14:textId="77777777" w:rsidR="008A19B2" w:rsidRPr="00637924" w:rsidRDefault="0092040F" w:rsidP="00B7523D">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008A19B2" w:rsidRPr="00637924">
              <w:rPr>
                <w:rFonts w:eastAsia="Times New Roman" w:cs="Times New Roman"/>
                <w:i/>
                <w:sz w:val="20"/>
                <w:szCs w:val="20"/>
                <w:lang w:eastAsia="lv-LV"/>
              </w:rPr>
              <w:t>Procentu maksājumi ārvalstu un starptautiskajām finanšu institūcijām</w:t>
            </w:r>
          </w:p>
        </w:tc>
        <w:tc>
          <w:tcPr>
            <w:tcW w:w="987" w:type="dxa"/>
            <w:tcBorders>
              <w:top w:val="nil"/>
              <w:left w:val="nil"/>
              <w:right w:val="single" w:sz="4" w:space="0" w:color="auto"/>
            </w:tcBorders>
            <w:shd w:val="clear" w:color="auto" w:fill="auto"/>
            <w:noWrap/>
            <w:vAlign w:val="bottom"/>
            <w:hideMark/>
          </w:tcPr>
          <w:p w14:paraId="526458D5" w14:textId="77777777" w:rsidR="008A19B2" w:rsidRPr="00637924"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130 866</w:t>
            </w:r>
          </w:p>
        </w:tc>
        <w:tc>
          <w:tcPr>
            <w:tcW w:w="992" w:type="dxa"/>
            <w:tcBorders>
              <w:top w:val="nil"/>
              <w:left w:val="nil"/>
              <w:right w:val="single" w:sz="4" w:space="0" w:color="auto"/>
            </w:tcBorders>
            <w:shd w:val="clear" w:color="auto" w:fill="auto"/>
            <w:noWrap/>
            <w:vAlign w:val="bottom"/>
          </w:tcPr>
          <w:p w14:paraId="6EB0BD71" w14:textId="77777777" w:rsidR="008A19B2" w:rsidRPr="00637924" w:rsidRDefault="008A19B2" w:rsidP="00B7523D">
            <w:pPr>
              <w:spacing w:after="0"/>
              <w:ind w:firstLine="0"/>
              <w:jc w:val="right"/>
              <w:rPr>
                <w:rFonts w:eastAsia="Times New Roman" w:cs="Times New Roman"/>
                <w:i/>
                <w:sz w:val="20"/>
                <w:szCs w:val="20"/>
                <w:lang w:eastAsia="lv-LV"/>
              </w:rPr>
            </w:pPr>
          </w:p>
        </w:tc>
        <w:tc>
          <w:tcPr>
            <w:tcW w:w="993" w:type="dxa"/>
            <w:tcBorders>
              <w:top w:val="nil"/>
              <w:left w:val="nil"/>
              <w:right w:val="single" w:sz="4" w:space="0" w:color="auto"/>
            </w:tcBorders>
            <w:shd w:val="clear" w:color="auto" w:fill="auto"/>
            <w:noWrap/>
            <w:vAlign w:val="bottom"/>
            <w:hideMark/>
          </w:tcPr>
          <w:p w14:paraId="0D607EA2" w14:textId="77777777" w:rsidR="008A19B2" w:rsidRPr="00637924"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130 852</w:t>
            </w:r>
          </w:p>
        </w:tc>
        <w:tc>
          <w:tcPr>
            <w:tcW w:w="1083" w:type="dxa"/>
            <w:tcBorders>
              <w:top w:val="nil"/>
              <w:left w:val="nil"/>
              <w:right w:val="single" w:sz="4" w:space="0" w:color="auto"/>
            </w:tcBorders>
            <w:shd w:val="clear" w:color="auto" w:fill="auto"/>
            <w:noWrap/>
            <w:vAlign w:val="bottom"/>
            <w:hideMark/>
          </w:tcPr>
          <w:p w14:paraId="49E6B397" w14:textId="77777777" w:rsidR="008A19B2" w:rsidRPr="00637924" w:rsidRDefault="008A19B2" w:rsidP="00B7523D">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 </w:t>
            </w:r>
          </w:p>
        </w:tc>
        <w:tc>
          <w:tcPr>
            <w:tcW w:w="1043" w:type="dxa"/>
            <w:tcBorders>
              <w:top w:val="nil"/>
              <w:left w:val="nil"/>
              <w:right w:val="single" w:sz="4" w:space="0" w:color="auto"/>
            </w:tcBorders>
            <w:shd w:val="clear" w:color="auto" w:fill="auto"/>
            <w:noWrap/>
            <w:vAlign w:val="bottom"/>
            <w:hideMark/>
          </w:tcPr>
          <w:p w14:paraId="32847E2D" w14:textId="77777777" w:rsidR="008A19B2" w:rsidRPr="00637924" w:rsidRDefault="00C20013" w:rsidP="00B7523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100,0</w:t>
            </w:r>
          </w:p>
        </w:tc>
        <w:tc>
          <w:tcPr>
            <w:tcW w:w="992" w:type="dxa"/>
            <w:tcBorders>
              <w:top w:val="nil"/>
              <w:left w:val="nil"/>
              <w:right w:val="single" w:sz="4" w:space="0" w:color="auto"/>
            </w:tcBorders>
            <w:shd w:val="clear" w:color="auto" w:fill="auto"/>
            <w:noWrap/>
            <w:vAlign w:val="bottom"/>
            <w:hideMark/>
          </w:tcPr>
          <w:p w14:paraId="1FE9416B" w14:textId="77777777" w:rsidR="008A19B2" w:rsidRPr="00637924" w:rsidRDefault="008A19B2" w:rsidP="00B7523D">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c>
          <w:tcPr>
            <w:tcW w:w="992" w:type="dxa"/>
            <w:tcBorders>
              <w:top w:val="nil"/>
              <w:left w:val="nil"/>
              <w:right w:val="single" w:sz="4" w:space="0" w:color="auto"/>
            </w:tcBorders>
            <w:shd w:val="clear" w:color="auto" w:fill="auto"/>
            <w:noWrap/>
            <w:vAlign w:val="bottom"/>
            <w:hideMark/>
          </w:tcPr>
          <w:p w14:paraId="527F5AC5" w14:textId="77777777" w:rsidR="008A19B2" w:rsidRPr="00637924" w:rsidRDefault="008A19B2" w:rsidP="00B7523D">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r>
      <w:tr w:rsidR="008A19B2" w:rsidRPr="00637924" w14:paraId="40BB2CC0" w14:textId="77777777" w:rsidTr="00420A42">
        <w:trPr>
          <w:trHeight w:val="264"/>
          <w:jc w:val="center"/>
        </w:trPr>
        <w:tc>
          <w:tcPr>
            <w:tcW w:w="2552" w:type="dxa"/>
            <w:tcBorders>
              <w:top w:val="nil"/>
              <w:left w:val="single" w:sz="4" w:space="0" w:color="auto"/>
              <w:right w:val="single" w:sz="4" w:space="0" w:color="auto"/>
            </w:tcBorders>
            <w:shd w:val="clear" w:color="auto" w:fill="auto"/>
            <w:vAlign w:val="bottom"/>
            <w:hideMark/>
          </w:tcPr>
          <w:p w14:paraId="366944AD" w14:textId="77777777" w:rsidR="008A19B2" w:rsidRPr="00637924" w:rsidRDefault="0092040F" w:rsidP="00B7523D">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008A19B2" w:rsidRPr="00637924">
              <w:rPr>
                <w:rFonts w:eastAsia="Times New Roman" w:cs="Times New Roman"/>
                <w:i/>
                <w:sz w:val="20"/>
                <w:szCs w:val="20"/>
                <w:lang w:eastAsia="lv-LV"/>
              </w:rPr>
              <w:t>Procentu maksājumi iekšzemes kredītiestādēm</w:t>
            </w:r>
          </w:p>
        </w:tc>
        <w:tc>
          <w:tcPr>
            <w:tcW w:w="987" w:type="dxa"/>
            <w:tcBorders>
              <w:top w:val="nil"/>
              <w:left w:val="nil"/>
              <w:right w:val="single" w:sz="4" w:space="0" w:color="auto"/>
            </w:tcBorders>
            <w:shd w:val="clear" w:color="auto" w:fill="auto"/>
            <w:noWrap/>
            <w:vAlign w:val="bottom"/>
            <w:hideMark/>
          </w:tcPr>
          <w:p w14:paraId="7F7C7630" w14:textId="77777777" w:rsidR="008A19B2" w:rsidRPr="00637924"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10 504</w:t>
            </w:r>
          </w:p>
        </w:tc>
        <w:tc>
          <w:tcPr>
            <w:tcW w:w="992" w:type="dxa"/>
            <w:tcBorders>
              <w:top w:val="nil"/>
              <w:left w:val="nil"/>
              <w:right w:val="single" w:sz="4" w:space="0" w:color="auto"/>
            </w:tcBorders>
            <w:shd w:val="clear" w:color="auto" w:fill="auto"/>
            <w:noWrap/>
            <w:vAlign w:val="bottom"/>
          </w:tcPr>
          <w:p w14:paraId="64CF0B5E" w14:textId="77777777" w:rsidR="008A19B2" w:rsidRPr="00637924" w:rsidRDefault="008A19B2" w:rsidP="00B7523D">
            <w:pPr>
              <w:spacing w:after="0"/>
              <w:ind w:firstLine="0"/>
              <w:jc w:val="right"/>
              <w:rPr>
                <w:rFonts w:eastAsia="Times New Roman" w:cs="Times New Roman"/>
                <w:i/>
                <w:sz w:val="20"/>
                <w:szCs w:val="20"/>
                <w:lang w:eastAsia="lv-LV"/>
              </w:rPr>
            </w:pPr>
          </w:p>
        </w:tc>
        <w:tc>
          <w:tcPr>
            <w:tcW w:w="993" w:type="dxa"/>
            <w:tcBorders>
              <w:top w:val="nil"/>
              <w:left w:val="nil"/>
              <w:right w:val="single" w:sz="4" w:space="0" w:color="auto"/>
            </w:tcBorders>
            <w:shd w:val="clear" w:color="auto" w:fill="auto"/>
            <w:noWrap/>
            <w:vAlign w:val="bottom"/>
            <w:hideMark/>
          </w:tcPr>
          <w:p w14:paraId="75F3FFC5" w14:textId="77777777" w:rsidR="008A19B2" w:rsidRPr="00637924"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9 976</w:t>
            </w:r>
          </w:p>
        </w:tc>
        <w:tc>
          <w:tcPr>
            <w:tcW w:w="1083" w:type="dxa"/>
            <w:tcBorders>
              <w:top w:val="nil"/>
              <w:left w:val="nil"/>
              <w:right w:val="single" w:sz="4" w:space="0" w:color="auto"/>
            </w:tcBorders>
            <w:shd w:val="clear" w:color="auto" w:fill="auto"/>
            <w:noWrap/>
            <w:vAlign w:val="bottom"/>
            <w:hideMark/>
          </w:tcPr>
          <w:p w14:paraId="2CA8149D" w14:textId="77777777" w:rsidR="008A19B2" w:rsidRPr="00637924" w:rsidRDefault="008A19B2" w:rsidP="00B7523D">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 </w:t>
            </w:r>
          </w:p>
        </w:tc>
        <w:tc>
          <w:tcPr>
            <w:tcW w:w="1043" w:type="dxa"/>
            <w:tcBorders>
              <w:top w:val="nil"/>
              <w:left w:val="nil"/>
              <w:right w:val="single" w:sz="4" w:space="0" w:color="auto"/>
            </w:tcBorders>
            <w:shd w:val="clear" w:color="auto" w:fill="auto"/>
            <w:noWrap/>
            <w:vAlign w:val="bottom"/>
            <w:hideMark/>
          </w:tcPr>
          <w:p w14:paraId="472BA22D" w14:textId="77777777" w:rsidR="008A19B2" w:rsidRPr="00637924" w:rsidRDefault="00C20013" w:rsidP="00B7523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95,0</w:t>
            </w:r>
          </w:p>
        </w:tc>
        <w:tc>
          <w:tcPr>
            <w:tcW w:w="992" w:type="dxa"/>
            <w:tcBorders>
              <w:top w:val="nil"/>
              <w:left w:val="nil"/>
              <w:right w:val="single" w:sz="4" w:space="0" w:color="auto"/>
            </w:tcBorders>
            <w:shd w:val="clear" w:color="auto" w:fill="auto"/>
            <w:noWrap/>
            <w:vAlign w:val="bottom"/>
            <w:hideMark/>
          </w:tcPr>
          <w:p w14:paraId="6FF97BB3" w14:textId="77777777" w:rsidR="008A19B2" w:rsidRPr="00637924" w:rsidRDefault="008A19B2" w:rsidP="00B7523D">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c>
          <w:tcPr>
            <w:tcW w:w="992" w:type="dxa"/>
            <w:tcBorders>
              <w:top w:val="nil"/>
              <w:left w:val="nil"/>
              <w:right w:val="single" w:sz="4" w:space="0" w:color="auto"/>
            </w:tcBorders>
            <w:shd w:val="clear" w:color="auto" w:fill="auto"/>
            <w:noWrap/>
            <w:vAlign w:val="bottom"/>
            <w:hideMark/>
          </w:tcPr>
          <w:p w14:paraId="510B7CAF" w14:textId="77777777" w:rsidR="008A19B2" w:rsidRPr="00637924" w:rsidRDefault="008A19B2" w:rsidP="00B7523D">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r>
      <w:tr w:rsidR="008A19B2" w:rsidRPr="00637924" w14:paraId="70BF7570" w14:textId="77777777" w:rsidTr="00420A42">
        <w:trPr>
          <w:trHeight w:val="300"/>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67B0A028" w14:textId="77777777" w:rsidR="008A19B2" w:rsidRPr="00637924" w:rsidRDefault="0092040F" w:rsidP="00B7523D">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008A19B2" w:rsidRPr="00637924">
              <w:rPr>
                <w:rFonts w:eastAsia="Times New Roman" w:cs="Times New Roman"/>
                <w:i/>
                <w:sz w:val="20"/>
                <w:szCs w:val="20"/>
                <w:lang w:eastAsia="lv-LV"/>
              </w:rPr>
              <w:t>Pārējie procentu maksājumi</w:t>
            </w:r>
          </w:p>
        </w:tc>
        <w:tc>
          <w:tcPr>
            <w:tcW w:w="987" w:type="dxa"/>
            <w:tcBorders>
              <w:top w:val="nil"/>
              <w:left w:val="nil"/>
              <w:bottom w:val="single" w:sz="4" w:space="0" w:color="auto"/>
              <w:right w:val="single" w:sz="4" w:space="0" w:color="auto"/>
            </w:tcBorders>
            <w:shd w:val="clear" w:color="auto" w:fill="auto"/>
            <w:noWrap/>
            <w:vAlign w:val="bottom"/>
            <w:hideMark/>
          </w:tcPr>
          <w:p w14:paraId="7DFD19A3" w14:textId="77777777" w:rsidR="008A19B2" w:rsidRPr="00637924" w:rsidRDefault="00C20013" w:rsidP="001A779F">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1 01</w:t>
            </w:r>
            <w:r w:rsidR="001A779F">
              <w:rPr>
                <w:rFonts w:eastAsia="Times New Roman" w:cs="Times New Roman"/>
                <w:i/>
                <w:sz w:val="20"/>
                <w:szCs w:val="20"/>
                <w:lang w:eastAsia="lv-LV"/>
              </w:rPr>
              <w:t>8</w:t>
            </w:r>
          </w:p>
        </w:tc>
        <w:tc>
          <w:tcPr>
            <w:tcW w:w="992" w:type="dxa"/>
            <w:tcBorders>
              <w:top w:val="nil"/>
              <w:left w:val="nil"/>
              <w:bottom w:val="single" w:sz="4" w:space="0" w:color="auto"/>
              <w:right w:val="single" w:sz="4" w:space="0" w:color="auto"/>
            </w:tcBorders>
            <w:shd w:val="clear" w:color="auto" w:fill="auto"/>
            <w:noWrap/>
            <w:vAlign w:val="bottom"/>
          </w:tcPr>
          <w:p w14:paraId="71CD6CC3" w14:textId="77777777" w:rsidR="008A19B2" w:rsidRPr="00637924" w:rsidRDefault="008A19B2" w:rsidP="00B7523D">
            <w:pPr>
              <w:spacing w:after="0"/>
              <w:ind w:firstLine="0"/>
              <w:jc w:val="right"/>
              <w:rPr>
                <w:rFonts w:eastAsia="Times New Roman" w:cs="Times New Roman"/>
                <w:i/>
                <w:sz w:val="20"/>
                <w:szCs w:val="20"/>
                <w:lang w:eastAsia="lv-LV"/>
              </w:rPr>
            </w:pPr>
          </w:p>
        </w:tc>
        <w:tc>
          <w:tcPr>
            <w:tcW w:w="993" w:type="dxa"/>
            <w:tcBorders>
              <w:top w:val="nil"/>
              <w:left w:val="nil"/>
              <w:bottom w:val="single" w:sz="4" w:space="0" w:color="auto"/>
              <w:right w:val="single" w:sz="4" w:space="0" w:color="auto"/>
            </w:tcBorders>
            <w:shd w:val="clear" w:color="auto" w:fill="auto"/>
            <w:noWrap/>
            <w:vAlign w:val="bottom"/>
            <w:hideMark/>
          </w:tcPr>
          <w:p w14:paraId="70D25A11" w14:textId="77777777" w:rsidR="008A19B2" w:rsidRPr="00637924" w:rsidRDefault="00C20013" w:rsidP="00B7523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64</w:t>
            </w:r>
          </w:p>
        </w:tc>
        <w:tc>
          <w:tcPr>
            <w:tcW w:w="1083" w:type="dxa"/>
            <w:tcBorders>
              <w:top w:val="nil"/>
              <w:left w:val="nil"/>
              <w:bottom w:val="single" w:sz="4" w:space="0" w:color="auto"/>
              <w:right w:val="single" w:sz="4" w:space="0" w:color="auto"/>
            </w:tcBorders>
            <w:shd w:val="clear" w:color="auto" w:fill="auto"/>
            <w:noWrap/>
            <w:vAlign w:val="bottom"/>
            <w:hideMark/>
          </w:tcPr>
          <w:p w14:paraId="50D6274D" w14:textId="77777777" w:rsidR="008A19B2" w:rsidRPr="00637924" w:rsidRDefault="008A19B2" w:rsidP="00B7523D">
            <w:pPr>
              <w:spacing w:after="0"/>
              <w:ind w:firstLine="0"/>
              <w:jc w:val="right"/>
              <w:rPr>
                <w:rFonts w:eastAsia="Times New Roman" w:cs="Times New Roman"/>
                <w:i/>
                <w:sz w:val="20"/>
                <w:szCs w:val="20"/>
                <w:lang w:eastAsia="lv-LV"/>
              </w:rPr>
            </w:pPr>
            <w:r w:rsidRPr="00637924">
              <w:rPr>
                <w:rFonts w:eastAsia="Times New Roman" w:cs="Times New Roman"/>
                <w:i/>
                <w:sz w:val="20"/>
                <w:szCs w:val="20"/>
                <w:lang w:eastAsia="lv-LV"/>
              </w:rPr>
              <w:t> </w:t>
            </w:r>
          </w:p>
        </w:tc>
        <w:tc>
          <w:tcPr>
            <w:tcW w:w="1043" w:type="dxa"/>
            <w:tcBorders>
              <w:top w:val="nil"/>
              <w:left w:val="nil"/>
              <w:bottom w:val="single" w:sz="4" w:space="0" w:color="auto"/>
              <w:right w:val="single" w:sz="4" w:space="0" w:color="auto"/>
            </w:tcBorders>
            <w:shd w:val="clear" w:color="auto" w:fill="auto"/>
            <w:noWrap/>
            <w:vAlign w:val="bottom"/>
            <w:hideMark/>
          </w:tcPr>
          <w:p w14:paraId="42AE88D1" w14:textId="77777777" w:rsidR="008A19B2" w:rsidRPr="00637924" w:rsidRDefault="00C20013" w:rsidP="00B7523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6,3</w:t>
            </w:r>
          </w:p>
        </w:tc>
        <w:tc>
          <w:tcPr>
            <w:tcW w:w="992" w:type="dxa"/>
            <w:tcBorders>
              <w:top w:val="nil"/>
              <w:left w:val="nil"/>
              <w:bottom w:val="single" w:sz="4" w:space="0" w:color="auto"/>
              <w:right w:val="single" w:sz="4" w:space="0" w:color="auto"/>
            </w:tcBorders>
            <w:shd w:val="clear" w:color="auto" w:fill="auto"/>
            <w:noWrap/>
            <w:vAlign w:val="bottom"/>
            <w:hideMark/>
          </w:tcPr>
          <w:p w14:paraId="3CC39D95" w14:textId="77777777" w:rsidR="008A19B2" w:rsidRPr="00637924" w:rsidRDefault="008A19B2" w:rsidP="00B7523D">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c>
          <w:tcPr>
            <w:tcW w:w="992" w:type="dxa"/>
            <w:tcBorders>
              <w:top w:val="nil"/>
              <w:left w:val="nil"/>
              <w:bottom w:val="single" w:sz="4" w:space="0" w:color="auto"/>
              <w:right w:val="single" w:sz="4" w:space="0" w:color="auto"/>
            </w:tcBorders>
            <w:shd w:val="clear" w:color="auto" w:fill="auto"/>
            <w:noWrap/>
            <w:vAlign w:val="bottom"/>
            <w:hideMark/>
          </w:tcPr>
          <w:p w14:paraId="378126EF" w14:textId="77777777" w:rsidR="008A19B2" w:rsidRPr="00637924" w:rsidRDefault="008A19B2" w:rsidP="00B7523D">
            <w:pPr>
              <w:spacing w:after="0"/>
              <w:ind w:firstLine="0"/>
              <w:jc w:val="center"/>
              <w:rPr>
                <w:rFonts w:eastAsia="Times New Roman" w:cs="Times New Roman"/>
                <w:i/>
                <w:sz w:val="20"/>
                <w:szCs w:val="20"/>
                <w:lang w:eastAsia="lv-LV"/>
              </w:rPr>
            </w:pPr>
            <w:r w:rsidRPr="00637924">
              <w:rPr>
                <w:rFonts w:eastAsia="Times New Roman" w:cs="Times New Roman"/>
                <w:i/>
                <w:sz w:val="20"/>
                <w:szCs w:val="20"/>
                <w:lang w:eastAsia="lv-LV"/>
              </w:rPr>
              <w:t> </w:t>
            </w:r>
          </w:p>
        </w:tc>
      </w:tr>
      <w:tr w:rsidR="008A19B2" w:rsidRPr="00637924" w14:paraId="4189F30F" w14:textId="77777777" w:rsidTr="00420A42">
        <w:trPr>
          <w:trHeight w:val="465"/>
          <w:jc w:val="center"/>
        </w:trPr>
        <w:tc>
          <w:tcPr>
            <w:tcW w:w="2552" w:type="dxa"/>
            <w:tcBorders>
              <w:top w:val="single" w:sz="4" w:space="0" w:color="auto"/>
              <w:left w:val="single" w:sz="4" w:space="0" w:color="auto"/>
              <w:right w:val="single" w:sz="4" w:space="0" w:color="auto"/>
            </w:tcBorders>
            <w:shd w:val="clear" w:color="auto" w:fill="auto"/>
            <w:vAlign w:val="bottom"/>
            <w:hideMark/>
          </w:tcPr>
          <w:p w14:paraId="7C0948FD" w14:textId="77777777" w:rsidR="008A19B2" w:rsidRPr="00637924" w:rsidRDefault="008A19B2" w:rsidP="00B7523D">
            <w:pPr>
              <w:spacing w:after="0"/>
              <w:ind w:firstLine="0"/>
              <w:jc w:val="left"/>
              <w:rPr>
                <w:rFonts w:eastAsia="Times New Roman" w:cs="Times New Roman"/>
                <w:b/>
                <w:sz w:val="20"/>
                <w:szCs w:val="20"/>
                <w:lang w:eastAsia="lv-LV"/>
              </w:rPr>
            </w:pPr>
            <w:r w:rsidRPr="00637924">
              <w:rPr>
                <w:rFonts w:eastAsia="Times New Roman" w:cs="Times New Roman"/>
                <w:b/>
                <w:sz w:val="20"/>
                <w:szCs w:val="20"/>
                <w:lang w:eastAsia="lv-LV"/>
              </w:rPr>
              <w:t>Subsīdijas, dotācijas un sociālie pabalsti</w:t>
            </w:r>
          </w:p>
        </w:tc>
        <w:tc>
          <w:tcPr>
            <w:tcW w:w="987" w:type="dxa"/>
            <w:tcBorders>
              <w:top w:val="single" w:sz="4" w:space="0" w:color="auto"/>
              <w:left w:val="nil"/>
              <w:right w:val="single" w:sz="4" w:space="0" w:color="auto"/>
            </w:tcBorders>
            <w:shd w:val="clear" w:color="auto" w:fill="auto"/>
            <w:noWrap/>
            <w:vAlign w:val="bottom"/>
            <w:hideMark/>
          </w:tcPr>
          <w:p w14:paraId="0B420321"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415 469</w:t>
            </w:r>
          </w:p>
        </w:tc>
        <w:tc>
          <w:tcPr>
            <w:tcW w:w="992" w:type="dxa"/>
            <w:tcBorders>
              <w:top w:val="single" w:sz="4" w:space="0" w:color="auto"/>
              <w:left w:val="nil"/>
              <w:right w:val="single" w:sz="4" w:space="0" w:color="auto"/>
            </w:tcBorders>
            <w:shd w:val="clear" w:color="auto" w:fill="auto"/>
            <w:noWrap/>
            <w:vAlign w:val="bottom"/>
          </w:tcPr>
          <w:p w14:paraId="7E7ECE25"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474 615</w:t>
            </w:r>
          </w:p>
        </w:tc>
        <w:tc>
          <w:tcPr>
            <w:tcW w:w="993" w:type="dxa"/>
            <w:tcBorders>
              <w:top w:val="single" w:sz="4" w:space="0" w:color="auto"/>
              <w:left w:val="nil"/>
              <w:right w:val="single" w:sz="4" w:space="0" w:color="auto"/>
            </w:tcBorders>
            <w:shd w:val="clear" w:color="auto" w:fill="auto"/>
            <w:noWrap/>
            <w:vAlign w:val="bottom"/>
            <w:hideMark/>
          </w:tcPr>
          <w:p w14:paraId="61B75461"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457 660</w:t>
            </w:r>
          </w:p>
        </w:tc>
        <w:tc>
          <w:tcPr>
            <w:tcW w:w="1083" w:type="dxa"/>
            <w:tcBorders>
              <w:top w:val="single" w:sz="4" w:space="0" w:color="auto"/>
              <w:left w:val="nil"/>
              <w:right w:val="single" w:sz="4" w:space="0" w:color="auto"/>
            </w:tcBorders>
            <w:shd w:val="clear" w:color="auto" w:fill="auto"/>
            <w:noWrap/>
            <w:vAlign w:val="bottom"/>
            <w:hideMark/>
          </w:tcPr>
          <w:p w14:paraId="512CFFA7" w14:textId="77777777" w:rsidR="008A19B2" w:rsidRPr="00637924"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2 090 301</w:t>
            </w:r>
          </w:p>
        </w:tc>
        <w:tc>
          <w:tcPr>
            <w:tcW w:w="1043" w:type="dxa"/>
            <w:tcBorders>
              <w:top w:val="single" w:sz="4" w:space="0" w:color="auto"/>
              <w:left w:val="nil"/>
              <w:right w:val="single" w:sz="4" w:space="0" w:color="auto"/>
            </w:tcBorders>
            <w:shd w:val="clear" w:color="auto" w:fill="auto"/>
            <w:noWrap/>
            <w:vAlign w:val="bottom"/>
            <w:hideMark/>
          </w:tcPr>
          <w:p w14:paraId="46589185" w14:textId="77777777" w:rsidR="008A19B2" w:rsidRPr="00637924"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110,2</w:t>
            </w:r>
          </w:p>
        </w:tc>
        <w:tc>
          <w:tcPr>
            <w:tcW w:w="992" w:type="dxa"/>
            <w:tcBorders>
              <w:top w:val="single" w:sz="4" w:space="0" w:color="auto"/>
              <w:left w:val="nil"/>
              <w:right w:val="single" w:sz="4" w:space="0" w:color="auto"/>
            </w:tcBorders>
            <w:shd w:val="clear" w:color="auto" w:fill="auto"/>
            <w:noWrap/>
            <w:vAlign w:val="bottom"/>
            <w:hideMark/>
          </w:tcPr>
          <w:p w14:paraId="4ED36BB7" w14:textId="77777777" w:rsidR="008A19B2" w:rsidRPr="00637924"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96,4</w:t>
            </w:r>
          </w:p>
        </w:tc>
        <w:tc>
          <w:tcPr>
            <w:tcW w:w="992" w:type="dxa"/>
            <w:tcBorders>
              <w:top w:val="single" w:sz="4" w:space="0" w:color="auto"/>
              <w:left w:val="nil"/>
              <w:right w:val="single" w:sz="4" w:space="0" w:color="auto"/>
            </w:tcBorders>
            <w:shd w:val="clear" w:color="auto" w:fill="auto"/>
            <w:noWrap/>
            <w:vAlign w:val="bottom"/>
            <w:hideMark/>
          </w:tcPr>
          <w:p w14:paraId="1FD82180" w14:textId="77777777" w:rsidR="008A19B2" w:rsidRPr="00637924"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21,9</w:t>
            </w:r>
          </w:p>
        </w:tc>
      </w:tr>
      <w:tr w:rsidR="008A19B2" w:rsidRPr="008A19B2" w14:paraId="0F2CBFA0" w14:textId="77777777" w:rsidTr="00420A42">
        <w:trPr>
          <w:trHeight w:val="247"/>
          <w:jc w:val="center"/>
        </w:trPr>
        <w:tc>
          <w:tcPr>
            <w:tcW w:w="2552" w:type="dxa"/>
            <w:tcBorders>
              <w:top w:val="nil"/>
              <w:left w:val="single" w:sz="4" w:space="0" w:color="auto"/>
              <w:right w:val="single" w:sz="4" w:space="0" w:color="auto"/>
            </w:tcBorders>
            <w:shd w:val="clear" w:color="auto" w:fill="auto"/>
            <w:vAlign w:val="bottom"/>
            <w:hideMark/>
          </w:tcPr>
          <w:p w14:paraId="643E4BD5" w14:textId="77777777" w:rsidR="008A19B2" w:rsidRPr="008A19B2" w:rsidRDefault="008A19B2" w:rsidP="00B7523D">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Subsīdijas un dotācijas</w:t>
            </w:r>
          </w:p>
        </w:tc>
        <w:tc>
          <w:tcPr>
            <w:tcW w:w="987" w:type="dxa"/>
            <w:tcBorders>
              <w:top w:val="nil"/>
              <w:left w:val="nil"/>
              <w:right w:val="single" w:sz="4" w:space="0" w:color="auto"/>
            </w:tcBorders>
            <w:shd w:val="clear" w:color="auto" w:fill="auto"/>
            <w:noWrap/>
            <w:vAlign w:val="bottom"/>
            <w:hideMark/>
          </w:tcPr>
          <w:p w14:paraId="44F00BDC"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357 070</w:t>
            </w:r>
          </w:p>
        </w:tc>
        <w:tc>
          <w:tcPr>
            <w:tcW w:w="992" w:type="dxa"/>
            <w:tcBorders>
              <w:top w:val="nil"/>
              <w:left w:val="nil"/>
              <w:right w:val="single" w:sz="4" w:space="0" w:color="auto"/>
            </w:tcBorders>
            <w:shd w:val="clear" w:color="auto" w:fill="auto"/>
            <w:noWrap/>
            <w:vAlign w:val="bottom"/>
          </w:tcPr>
          <w:p w14:paraId="4803DCD3"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397 715</w:t>
            </w:r>
          </w:p>
        </w:tc>
        <w:tc>
          <w:tcPr>
            <w:tcW w:w="993" w:type="dxa"/>
            <w:tcBorders>
              <w:top w:val="nil"/>
              <w:left w:val="nil"/>
              <w:right w:val="single" w:sz="4" w:space="0" w:color="auto"/>
            </w:tcBorders>
            <w:shd w:val="clear" w:color="auto" w:fill="auto"/>
            <w:noWrap/>
            <w:vAlign w:val="bottom"/>
            <w:hideMark/>
          </w:tcPr>
          <w:p w14:paraId="573B65B0"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381 797</w:t>
            </w:r>
          </w:p>
        </w:tc>
        <w:tc>
          <w:tcPr>
            <w:tcW w:w="1083" w:type="dxa"/>
            <w:tcBorders>
              <w:top w:val="nil"/>
              <w:left w:val="nil"/>
              <w:right w:val="single" w:sz="4" w:space="0" w:color="auto"/>
            </w:tcBorders>
            <w:shd w:val="clear" w:color="auto" w:fill="auto"/>
            <w:noWrap/>
            <w:vAlign w:val="bottom"/>
            <w:hideMark/>
          </w:tcPr>
          <w:p w14:paraId="1CB90561"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1 758 445</w:t>
            </w:r>
          </w:p>
        </w:tc>
        <w:tc>
          <w:tcPr>
            <w:tcW w:w="1043" w:type="dxa"/>
            <w:tcBorders>
              <w:top w:val="nil"/>
              <w:left w:val="nil"/>
              <w:right w:val="single" w:sz="4" w:space="0" w:color="auto"/>
            </w:tcBorders>
            <w:shd w:val="clear" w:color="auto" w:fill="auto"/>
            <w:noWrap/>
            <w:vAlign w:val="bottom"/>
            <w:hideMark/>
          </w:tcPr>
          <w:p w14:paraId="0110180F"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106,9</w:t>
            </w:r>
          </w:p>
        </w:tc>
        <w:tc>
          <w:tcPr>
            <w:tcW w:w="992" w:type="dxa"/>
            <w:tcBorders>
              <w:top w:val="nil"/>
              <w:left w:val="nil"/>
              <w:right w:val="single" w:sz="4" w:space="0" w:color="auto"/>
            </w:tcBorders>
            <w:shd w:val="clear" w:color="auto" w:fill="auto"/>
            <w:noWrap/>
            <w:vAlign w:val="bottom"/>
            <w:hideMark/>
          </w:tcPr>
          <w:p w14:paraId="6177A54E"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96,0</w:t>
            </w:r>
          </w:p>
        </w:tc>
        <w:tc>
          <w:tcPr>
            <w:tcW w:w="992" w:type="dxa"/>
            <w:tcBorders>
              <w:top w:val="nil"/>
              <w:left w:val="nil"/>
              <w:right w:val="single" w:sz="4" w:space="0" w:color="auto"/>
            </w:tcBorders>
            <w:shd w:val="clear" w:color="auto" w:fill="auto"/>
            <w:noWrap/>
            <w:vAlign w:val="bottom"/>
            <w:hideMark/>
          </w:tcPr>
          <w:p w14:paraId="460D8178"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21,7</w:t>
            </w:r>
          </w:p>
        </w:tc>
      </w:tr>
      <w:tr w:rsidR="008A19B2" w:rsidRPr="008A19B2" w14:paraId="71E3FAFE" w14:textId="77777777" w:rsidTr="00420A42">
        <w:trPr>
          <w:trHeight w:val="264"/>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42C0073C" w14:textId="77777777" w:rsidR="008A19B2" w:rsidRPr="008A19B2" w:rsidRDefault="008A19B2" w:rsidP="00B7523D">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Sociālie pabalsti</w:t>
            </w:r>
          </w:p>
        </w:tc>
        <w:tc>
          <w:tcPr>
            <w:tcW w:w="987" w:type="dxa"/>
            <w:tcBorders>
              <w:top w:val="nil"/>
              <w:left w:val="nil"/>
              <w:bottom w:val="single" w:sz="4" w:space="0" w:color="auto"/>
              <w:right w:val="single" w:sz="4" w:space="0" w:color="auto"/>
            </w:tcBorders>
            <w:shd w:val="clear" w:color="auto" w:fill="auto"/>
            <w:noWrap/>
            <w:vAlign w:val="bottom"/>
            <w:hideMark/>
          </w:tcPr>
          <w:p w14:paraId="5BE265C8"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58 399</w:t>
            </w:r>
          </w:p>
        </w:tc>
        <w:tc>
          <w:tcPr>
            <w:tcW w:w="992" w:type="dxa"/>
            <w:tcBorders>
              <w:top w:val="nil"/>
              <w:left w:val="nil"/>
              <w:bottom w:val="single" w:sz="4" w:space="0" w:color="auto"/>
              <w:right w:val="single" w:sz="4" w:space="0" w:color="auto"/>
            </w:tcBorders>
            <w:shd w:val="clear" w:color="auto" w:fill="auto"/>
            <w:noWrap/>
            <w:vAlign w:val="bottom"/>
          </w:tcPr>
          <w:p w14:paraId="17679375"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76 900</w:t>
            </w:r>
          </w:p>
        </w:tc>
        <w:tc>
          <w:tcPr>
            <w:tcW w:w="993" w:type="dxa"/>
            <w:tcBorders>
              <w:top w:val="nil"/>
              <w:left w:val="nil"/>
              <w:bottom w:val="single" w:sz="4" w:space="0" w:color="auto"/>
              <w:right w:val="single" w:sz="4" w:space="0" w:color="auto"/>
            </w:tcBorders>
            <w:shd w:val="clear" w:color="auto" w:fill="auto"/>
            <w:noWrap/>
            <w:vAlign w:val="bottom"/>
            <w:hideMark/>
          </w:tcPr>
          <w:p w14:paraId="7B90B542"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75 863</w:t>
            </w:r>
          </w:p>
        </w:tc>
        <w:tc>
          <w:tcPr>
            <w:tcW w:w="1083" w:type="dxa"/>
            <w:tcBorders>
              <w:top w:val="nil"/>
              <w:left w:val="nil"/>
              <w:bottom w:val="single" w:sz="4" w:space="0" w:color="auto"/>
              <w:right w:val="single" w:sz="4" w:space="0" w:color="auto"/>
            </w:tcBorders>
            <w:shd w:val="clear" w:color="auto" w:fill="auto"/>
            <w:noWrap/>
            <w:vAlign w:val="bottom"/>
            <w:hideMark/>
          </w:tcPr>
          <w:p w14:paraId="7986A94C" w14:textId="77777777" w:rsidR="008A19B2" w:rsidRPr="008A19B2"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331 856</w:t>
            </w:r>
          </w:p>
        </w:tc>
        <w:tc>
          <w:tcPr>
            <w:tcW w:w="1043" w:type="dxa"/>
            <w:tcBorders>
              <w:top w:val="nil"/>
              <w:left w:val="nil"/>
              <w:bottom w:val="single" w:sz="4" w:space="0" w:color="auto"/>
              <w:right w:val="single" w:sz="4" w:space="0" w:color="auto"/>
            </w:tcBorders>
            <w:shd w:val="clear" w:color="auto" w:fill="auto"/>
            <w:noWrap/>
            <w:vAlign w:val="bottom"/>
            <w:hideMark/>
          </w:tcPr>
          <w:p w14:paraId="3E19C06C"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129,9</w:t>
            </w:r>
          </w:p>
        </w:tc>
        <w:tc>
          <w:tcPr>
            <w:tcW w:w="992" w:type="dxa"/>
            <w:tcBorders>
              <w:top w:val="nil"/>
              <w:left w:val="nil"/>
              <w:bottom w:val="single" w:sz="4" w:space="0" w:color="auto"/>
              <w:right w:val="single" w:sz="4" w:space="0" w:color="auto"/>
            </w:tcBorders>
            <w:shd w:val="clear" w:color="auto" w:fill="auto"/>
            <w:noWrap/>
            <w:vAlign w:val="bottom"/>
            <w:hideMark/>
          </w:tcPr>
          <w:p w14:paraId="7CF7B3CA"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98,7</w:t>
            </w:r>
          </w:p>
        </w:tc>
        <w:tc>
          <w:tcPr>
            <w:tcW w:w="992" w:type="dxa"/>
            <w:tcBorders>
              <w:top w:val="nil"/>
              <w:left w:val="nil"/>
              <w:bottom w:val="single" w:sz="4" w:space="0" w:color="auto"/>
              <w:right w:val="single" w:sz="4" w:space="0" w:color="auto"/>
            </w:tcBorders>
            <w:shd w:val="clear" w:color="auto" w:fill="auto"/>
            <w:noWrap/>
            <w:vAlign w:val="bottom"/>
            <w:hideMark/>
          </w:tcPr>
          <w:p w14:paraId="45B9544D" w14:textId="77777777" w:rsidR="008A19B2" w:rsidRPr="008A19B2"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22,9</w:t>
            </w:r>
          </w:p>
        </w:tc>
      </w:tr>
      <w:tr w:rsidR="008A19B2" w:rsidRPr="0092040F" w14:paraId="1E2C42AF" w14:textId="77777777" w:rsidTr="00420A42">
        <w:trPr>
          <w:trHeight w:val="528"/>
          <w:jc w:val="center"/>
        </w:trPr>
        <w:tc>
          <w:tcPr>
            <w:tcW w:w="2552" w:type="dxa"/>
            <w:tcBorders>
              <w:top w:val="single" w:sz="4" w:space="0" w:color="auto"/>
              <w:left w:val="single" w:sz="4" w:space="0" w:color="auto"/>
              <w:right w:val="single" w:sz="4" w:space="0" w:color="auto"/>
            </w:tcBorders>
            <w:shd w:val="clear" w:color="auto" w:fill="auto"/>
            <w:vAlign w:val="bottom"/>
            <w:hideMark/>
          </w:tcPr>
          <w:p w14:paraId="5220C720" w14:textId="77777777" w:rsidR="008A19B2" w:rsidRPr="0092040F" w:rsidRDefault="008A19B2" w:rsidP="00B7523D">
            <w:pPr>
              <w:spacing w:after="0"/>
              <w:ind w:firstLine="0"/>
              <w:jc w:val="left"/>
              <w:rPr>
                <w:rFonts w:eastAsia="Times New Roman" w:cs="Times New Roman"/>
                <w:b/>
                <w:sz w:val="20"/>
                <w:szCs w:val="20"/>
                <w:lang w:eastAsia="lv-LV"/>
              </w:rPr>
            </w:pPr>
            <w:r w:rsidRPr="0092040F">
              <w:rPr>
                <w:rFonts w:eastAsia="Times New Roman" w:cs="Times New Roman"/>
                <w:b/>
                <w:sz w:val="20"/>
                <w:szCs w:val="20"/>
                <w:lang w:eastAsia="lv-LV"/>
              </w:rPr>
              <w:t>Kārtējie maksājumi Eiropas Savienības budžetā un starptautiskā sadarbība</w:t>
            </w:r>
          </w:p>
        </w:tc>
        <w:tc>
          <w:tcPr>
            <w:tcW w:w="987" w:type="dxa"/>
            <w:tcBorders>
              <w:top w:val="single" w:sz="4" w:space="0" w:color="auto"/>
              <w:left w:val="nil"/>
              <w:right w:val="single" w:sz="4" w:space="0" w:color="auto"/>
            </w:tcBorders>
            <w:shd w:val="clear" w:color="auto" w:fill="auto"/>
            <w:noWrap/>
            <w:vAlign w:val="bottom"/>
            <w:hideMark/>
          </w:tcPr>
          <w:p w14:paraId="4E840358" w14:textId="77777777" w:rsidR="008A19B2" w:rsidRPr="0092040F" w:rsidRDefault="00C20013" w:rsidP="004803EA">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112 92</w:t>
            </w:r>
            <w:r w:rsidR="004803EA">
              <w:rPr>
                <w:rFonts w:eastAsia="Times New Roman" w:cs="Times New Roman"/>
                <w:b/>
                <w:sz w:val="20"/>
                <w:szCs w:val="20"/>
                <w:lang w:eastAsia="lv-LV"/>
              </w:rPr>
              <w:t>7</w:t>
            </w:r>
          </w:p>
        </w:tc>
        <w:tc>
          <w:tcPr>
            <w:tcW w:w="992" w:type="dxa"/>
            <w:tcBorders>
              <w:top w:val="single" w:sz="4" w:space="0" w:color="auto"/>
              <w:left w:val="nil"/>
              <w:right w:val="single" w:sz="4" w:space="0" w:color="auto"/>
            </w:tcBorders>
            <w:shd w:val="clear" w:color="auto" w:fill="auto"/>
            <w:noWrap/>
            <w:vAlign w:val="bottom"/>
          </w:tcPr>
          <w:p w14:paraId="39813650" w14:textId="77777777" w:rsidR="008A19B2" w:rsidRPr="0092040F" w:rsidRDefault="00C20013" w:rsidP="00583906">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109 06</w:t>
            </w:r>
            <w:r w:rsidR="00583906">
              <w:rPr>
                <w:rFonts w:eastAsia="Times New Roman" w:cs="Times New Roman"/>
                <w:b/>
                <w:sz w:val="20"/>
                <w:szCs w:val="20"/>
                <w:lang w:eastAsia="lv-LV"/>
              </w:rPr>
              <w:t>2</w:t>
            </w:r>
          </w:p>
        </w:tc>
        <w:tc>
          <w:tcPr>
            <w:tcW w:w="993" w:type="dxa"/>
            <w:tcBorders>
              <w:top w:val="single" w:sz="4" w:space="0" w:color="auto"/>
              <w:left w:val="nil"/>
              <w:right w:val="single" w:sz="4" w:space="0" w:color="auto"/>
            </w:tcBorders>
            <w:shd w:val="clear" w:color="auto" w:fill="auto"/>
            <w:noWrap/>
            <w:vAlign w:val="bottom"/>
            <w:hideMark/>
          </w:tcPr>
          <w:p w14:paraId="2D0D71C2" w14:textId="77777777" w:rsidR="008A19B2" w:rsidRPr="0092040F"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108 777</w:t>
            </w:r>
          </w:p>
        </w:tc>
        <w:tc>
          <w:tcPr>
            <w:tcW w:w="1083" w:type="dxa"/>
            <w:tcBorders>
              <w:top w:val="single" w:sz="4" w:space="0" w:color="auto"/>
              <w:left w:val="nil"/>
              <w:right w:val="single" w:sz="4" w:space="0" w:color="auto"/>
            </w:tcBorders>
            <w:shd w:val="clear" w:color="auto" w:fill="auto"/>
            <w:noWrap/>
            <w:vAlign w:val="bottom"/>
            <w:hideMark/>
          </w:tcPr>
          <w:p w14:paraId="77D1D905" w14:textId="77777777" w:rsidR="008A19B2" w:rsidRPr="0092040F"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322 376</w:t>
            </w:r>
          </w:p>
        </w:tc>
        <w:tc>
          <w:tcPr>
            <w:tcW w:w="1043" w:type="dxa"/>
            <w:tcBorders>
              <w:top w:val="single" w:sz="4" w:space="0" w:color="auto"/>
              <w:left w:val="nil"/>
              <w:right w:val="single" w:sz="4" w:space="0" w:color="auto"/>
            </w:tcBorders>
            <w:shd w:val="clear" w:color="auto" w:fill="auto"/>
            <w:noWrap/>
            <w:vAlign w:val="bottom"/>
            <w:hideMark/>
          </w:tcPr>
          <w:p w14:paraId="487F81D6" w14:textId="77777777" w:rsidR="008A19B2" w:rsidRPr="0092040F"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96,3</w:t>
            </w:r>
          </w:p>
        </w:tc>
        <w:tc>
          <w:tcPr>
            <w:tcW w:w="992" w:type="dxa"/>
            <w:tcBorders>
              <w:top w:val="single" w:sz="4" w:space="0" w:color="auto"/>
              <w:left w:val="nil"/>
              <w:right w:val="single" w:sz="4" w:space="0" w:color="auto"/>
            </w:tcBorders>
            <w:shd w:val="clear" w:color="auto" w:fill="auto"/>
            <w:noWrap/>
            <w:vAlign w:val="bottom"/>
            <w:hideMark/>
          </w:tcPr>
          <w:p w14:paraId="5EA4D3AB" w14:textId="77777777" w:rsidR="008A19B2" w:rsidRPr="0092040F"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99,7</w:t>
            </w:r>
          </w:p>
        </w:tc>
        <w:tc>
          <w:tcPr>
            <w:tcW w:w="992" w:type="dxa"/>
            <w:tcBorders>
              <w:top w:val="single" w:sz="4" w:space="0" w:color="auto"/>
              <w:left w:val="nil"/>
              <w:right w:val="single" w:sz="4" w:space="0" w:color="auto"/>
            </w:tcBorders>
            <w:shd w:val="clear" w:color="auto" w:fill="auto"/>
            <w:noWrap/>
            <w:vAlign w:val="bottom"/>
            <w:hideMark/>
          </w:tcPr>
          <w:p w14:paraId="74593AA8" w14:textId="77777777" w:rsidR="008A19B2" w:rsidRPr="0092040F" w:rsidRDefault="00C20013"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33,7</w:t>
            </w:r>
          </w:p>
        </w:tc>
      </w:tr>
      <w:tr w:rsidR="008A19B2" w:rsidRPr="0092040F" w14:paraId="46F62761" w14:textId="77777777" w:rsidTr="00420A42">
        <w:trPr>
          <w:trHeight w:val="264"/>
          <w:jc w:val="center"/>
        </w:trPr>
        <w:tc>
          <w:tcPr>
            <w:tcW w:w="2552" w:type="dxa"/>
            <w:tcBorders>
              <w:top w:val="nil"/>
              <w:left w:val="single" w:sz="4" w:space="0" w:color="auto"/>
              <w:right w:val="single" w:sz="4" w:space="0" w:color="auto"/>
            </w:tcBorders>
            <w:shd w:val="clear" w:color="auto" w:fill="auto"/>
            <w:vAlign w:val="bottom"/>
            <w:hideMark/>
          </w:tcPr>
          <w:p w14:paraId="2306EC99" w14:textId="77777777" w:rsidR="008A19B2" w:rsidRPr="0092040F" w:rsidRDefault="008A19B2" w:rsidP="00B7523D">
            <w:pPr>
              <w:spacing w:after="0"/>
              <w:ind w:firstLine="0"/>
              <w:jc w:val="left"/>
              <w:rPr>
                <w:rFonts w:eastAsia="Times New Roman" w:cs="Times New Roman"/>
                <w:sz w:val="20"/>
                <w:szCs w:val="20"/>
                <w:lang w:eastAsia="lv-LV"/>
              </w:rPr>
            </w:pPr>
            <w:r w:rsidRPr="0092040F">
              <w:rPr>
                <w:rFonts w:eastAsia="Times New Roman" w:cs="Times New Roman"/>
                <w:sz w:val="20"/>
                <w:szCs w:val="20"/>
                <w:lang w:eastAsia="lv-LV"/>
              </w:rPr>
              <w:t>Kārtējie maksājumi Eiropas Savienības budžetā</w:t>
            </w:r>
          </w:p>
        </w:tc>
        <w:tc>
          <w:tcPr>
            <w:tcW w:w="987" w:type="dxa"/>
            <w:tcBorders>
              <w:top w:val="nil"/>
              <w:left w:val="nil"/>
              <w:right w:val="single" w:sz="4" w:space="0" w:color="auto"/>
            </w:tcBorders>
            <w:shd w:val="clear" w:color="auto" w:fill="auto"/>
            <w:noWrap/>
            <w:vAlign w:val="bottom"/>
            <w:hideMark/>
          </w:tcPr>
          <w:p w14:paraId="5BAF65D3" w14:textId="77777777" w:rsidR="008A19B2" w:rsidRPr="0092040F"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106 872</w:t>
            </w:r>
          </w:p>
        </w:tc>
        <w:tc>
          <w:tcPr>
            <w:tcW w:w="992" w:type="dxa"/>
            <w:tcBorders>
              <w:top w:val="nil"/>
              <w:left w:val="nil"/>
              <w:right w:val="single" w:sz="4" w:space="0" w:color="auto"/>
            </w:tcBorders>
            <w:shd w:val="clear" w:color="auto" w:fill="auto"/>
            <w:noWrap/>
            <w:vAlign w:val="bottom"/>
          </w:tcPr>
          <w:p w14:paraId="72E22AFD" w14:textId="77777777" w:rsidR="008A19B2" w:rsidRPr="0092040F" w:rsidRDefault="00C20013" w:rsidP="00583906">
            <w:pPr>
              <w:spacing w:after="0"/>
              <w:ind w:firstLine="0"/>
              <w:jc w:val="right"/>
              <w:rPr>
                <w:rFonts w:eastAsia="Times New Roman" w:cs="Times New Roman"/>
                <w:sz w:val="20"/>
                <w:szCs w:val="20"/>
                <w:lang w:eastAsia="lv-LV"/>
              </w:rPr>
            </w:pPr>
            <w:r>
              <w:rPr>
                <w:rFonts w:eastAsia="Times New Roman" w:cs="Times New Roman"/>
                <w:sz w:val="20"/>
                <w:szCs w:val="20"/>
                <w:lang w:eastAsia="lv-LV"/>
              </w:rPr>
              <w:t>100 98</w:t>
            </w:r>
            <w:r w:rsidR="00583906">
              <w:rPr>
                <w:rFonts w:eastAsia="Times New Roman" w:cs="Times New Roman"/>
                <w:sz w:val="20"/>
                <w:szCs w:val="20"/>
                <w:lang w:eastAsia="lv-LV"/>
              </w:rPr>
              <w:t>9</w:t>
            </w:r>
          </w:p>
        </w:tc>
        <w:tc>
          <w:tcPr>
            <w:tcW w:w="993" w:type="dxa"/>
            <w:tcBorders>
              <w:top w:val="nil"/>
              <w:left w:val="nil"/>
              <w:right w:val="single" w:sz="4" w:space="0" w:color="auto"/>
            </w:tcBorders>
            <w:shd w:val="clear" w:color="auto" w:fill="auto"/>
            <w:noWrap/>
            <w:vAlign w:val="bottom"/>
            <w:hideMark/>
          </w:tcPr>
          <w:p w14:paraId="699815DB" w14:textId="77777777" w:rsidR="008A19B2" w:rsidRPr="0092040F"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100 984</w:t>
            </w:r>
          </w:p>
        </w:tc>
        <w:tc>
          <w:tcPr>
            <w:tcW w:w="1083" w:type="dxa"/>
            <w:tcBorders>
              <w:top w:val="nil"/>
              <w:left w:val="nil"/>
              <w:right w:val="single" w:sz="4" w:space="0" w:color="auto"/>
            </w:tcBorders>
            <w:shd w:val="clear" w:color="auto" w:fill="auto"/>
            <w:noWrap/>
            <w:vAlign w:val="bottom"/>
            <w:hideMark/>
          </w:tcPr>
          <w:p w14:paraId="0A8B6CC5" w14:textId="77777777" w:rsidR="008A19B2" w:rsidRPr="0092040F"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285 181</w:t>
            </w:r>
          </w:p>
        </w:tc>
        <w:tc>
          <w:tcPr>
            <w:tcW w:w="1043" w:type="dxa"/>
            <w:tcBorders>
              <w:top w:val="nil"/>
              <w:left w:val="nil"/>
              <w:right w:val="single" w:sz="4" w:space="0" w:color="auto"/>
            </w:tcBorders>
            <w:shd w:val="clear" w:color="auto" w:fill="auto"/>
            <w:noWrap/>
            <w:vAlign w:val="bottom"/>
            <w:hideMark/>
          </w:tcPr>
          <w:p w14:paraId="21D87EDC" w14:textId="77777777" w:rsidR="008A19B2" w:rsidRPr="0092040F"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94,5</w:t>
            </w:r>
          </w:p>
        </w:tc>
        <w:tc>
          <w:tcPr>
            <w:tcW w:w="992" w:type="dxa"/>
            <w:tcBorders>
              <w:top w:val="nil"/>
              <w:left w:val="nil"/>
              <w:right w:val="single" w:sz="4" w:space="0" w:color="auto"/>
            </w:tcBorders>
            <w:shd w:val="clear" w:color="auto" w:fill="auto"/>
            <w:noWrap/>
            <w:vAlign w:val="bottom"/>
            <w:hideMark/>
          </w:tcPr>
          <w:p w14:paraId="098787BB" w14:textId="77777777" w:rsidR="008A19B2" w:rsidRPr="0092040F"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100,0</w:t>
            </w:r>
          </w:p>
        </w:tc>
        <w:tc>
          <w:tcPr>
            <w:tcW w:w="992" w:type="dxa"/>
            <w:tcBorders>
              <w:top w:val="nil"/>
              <w:left w:val="nil"/>
              <w:right w:val="single" w:sz="4" w:space="0" w:color="auto"/>
            </w:tcBorders>
            <w:shd w:val="clear" w:color="auto" w:fill="auto"/>
            <w:noWrap/>
            <w:vAlign w:val="bottom"/>
            <w:hideMark/>
          </w:tcPr>
          <w:p w14:paraId="2F6EC130" w14:textId="77777777" w:rsidR="008A19B2" w:rsidRPr="0092040F"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35,4</w:t>
            </w:r>
          </w:p>
        </w:tc>
      </w:tr>
      <w:tr w:rsidR="008A19B2" w:rsidRPr="0092040F" w14:paraId="084E51CC" w14:textId="77777777" w:rsidTr="00420A42">
        <w:trPr>
          <w:trHeight w:val="264"/>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6C517F04" w14:textId="77777777" w:rsidR="008A19B2" w:rsidRPr="0092040F" w:rsidRDefault="008A19B2" w:rsidP="00B7523D">
            <w:pPr>
              <w:spacing w:after="0"/>
              <w:ind w:firstLine="0"/>
              <w:jc w:val="left"/>
              <w:rPr>
                <w:rFonts w:eastAsia="Times New Roman" w:cs="Times New Roman"/>
                <w:sz w:val="20"/>
                <w:szCs w:val="20"/>
                <w:lang w:eastAsia="lv-LV"/>
              </w:rPr>
            </w:pPr>
            <w:r w:rsidRPr="0092040F">
              <w:rPr>
                <w:rFonts w:eastAsia="Times New Roman" w:cs="Times New Roman"/>
                <w:sz w:val="20"/>
                <w:szCs w:val="20"/>
                <w:lang w:eastAsia="lv-LV"/>
              </w:rPr>
              <w:t>Starptautiskā sadarbība</w:t>
            </w:r>
          </w:p>
        </w:tc>
        <w:tc>
          <w:tcPr>
            <w:tcW w:w="987" w:type="dxa"/>
            <w:tcBorders>
              <w:top w:val="nil"/>
              <w:left w:val="nil"/>
              <w:bottom w:val="single" w:sz="4" w:space="0" w:color="auto"/>
              <w:right w:val="single" w:sz="4" w:space="0" w:color="auto"/>
            </w:tcBorders>
            <w:shd w:val="clear" w:color="auto" w:fill="auto"/>
            <w:noWrap/>
            <w:vAlign w:val="bottom"/>
            <w:hideMark/>
          </w:tcPr>
          <w:p w14:paraId="0D82A0EF" w14:textId="77777777" w:rsidR="008A19B2" w:rsidRPr="0092040F"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6 055</w:t>
            </w:r>
          </w:p>
        </w:tc>
        <w:tc>
          <w:tcPr>
            <w:tcW w:w="992" w:type="dxa"/>
            <w:tcBorders>
              <w:top w:val="nil"/>
              <w:left w:val="nil"/>
              <w:bottom w:val="single" w:sz="4" w:space="0" w:color="auto"/>
              <w:right w:val="single" w:sz="4" w:space="0" w:color="auto"/>
            </w:tcBorders>
            <w:shd w:val="clear" w:color="auto" w:fill="auto"/>
            <w:noWrap/>
            <w:vAlign w:val="bottom"/>
          </w:tcPr>
          <w:p w14:paraId="6764BAA0" w14:textId="77777777" w:rsidR="008A19B2" w:rsidRPr="0092040F"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8 073</w:t>
            </w:r>
          </w:p>
        </w:tc>
        <w:tc>
          <w:tcPr>
            <w:tcW w:w="993" w:type="dxa"/>
            <w:tcBorders>
              <w:top w:val="nil"/>
              <w:left w:val="nil"/>
              <w:bottom w:val="single" w:sz="4" w:space="0" w:color="auto"/>
              <w:right w:val="single" w:sz="4" w:space="0" w:color="auto"/>
            </w:tcBorders>
            <w:shd w:val="clear" w:color="auto" w:fill="auto"/>
            <w:noWrap/>
            <w:vAlign w:val="bottom"/>
            <w:hideMark/>
          </w:tcPr>
          <w:p w14:paraId="1E58891C" w14:textId="77777777" w:rsidR="008A19B2" w:rsidRPr="0092040F"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7 793</w:t>
            </w:r>
          </w:p>
        </w:tc>
        <w:tc>
          <w:tcPr>
            <w:tcW w:w="1083" w:type="dxa"/>
            <w:tcBorders>
              <w:top w:val="nil"/>
              <w:left w:val="nil"/>
              <w:bottom w:val="single" w:sz="4" w:space="0" w:color="auto"/>
              <w:right w:val="single" w:sz="4" w:space="0" w:color="auto"/>
            </w:tcBorders>
            <w:shd w:val="clear" w:color="auto" w:fill="auto"/>
            <w:noWrap/>
            <w:vAlign w:val="bottom"/>
            <w:hideMark/>
          </w:tcPr>
          <w:p w14:paraId="4590A9C0" w14:textId="77777777" w:rsidR="008A19B2" w:rsidRPr="0092040F" w:rsidRDefault="00C20013"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37 195</w:t>
            </w:r>
          </w:p>
        </w:tc>
        <w:tc>
          <w:tcPr>
            <w:tcW w:w="1043" w:type="dxa"/>
            <w:tcBorders>
              <w:top w:val="nil"/>
              <w:left w:val="nil"/>
              <w:bottom w:val="single" w:sz="4" w:space="0" w:color="auto"/>
              <w:right w:val="single" w:sz="4" w:space="0" w:color="auto"/>
            </w:tcBorders>
            <w:shd w:val="clear" w:color="auto" w:fill="auto"/>
            <w:noWrap/>
            <w:vAlign w:val="bottom"/>
            <w:hideMark/>
          </w:tcPr>
          <w:p w14:paraId="59CCF587" w14:textId="77777777" w:rsidR="008A19B2" w:rsidRPr="0092040F"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128,7</w:t>
            </w:r>
          </w:p>
        </w:tc>
        <w:tc>
          <w:tcPr>
            <w:tcW w:w="992" w:type="dxa"/>
            <w:tcBorders>
              <w:top w:val="nil"/>
              <w:left w:val="nil"/>
              <w:bottom w:val="single" w:sz="4" w:space="0" w:color="auto"/>
              <w:right w:val="single" w:sz="4" w:space="0" w:color="auto"/>
            </w:tcBorders>
            <w:shd w:val="clear" w:color="auto" w:fill="auto"/>
            <w:noWrap/>
            <w:vAlign w:val="bottom"/>
            <w:hideMark/>
          </w:tcPr>
          <w:p w14:paraId="26F42086" w14:textId="77777777" w:rsidR="008A19B2" w:rsidRPr="0092040F"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96,5</w:t>
            </w:r>
          </w:p>
        </w:tc>
        <w:tc>
          <w:tcPr>
            <w:tcW w:w="992" w:type="dxa"/>
            <w:tcBorders>
              <w:top w:val="nil"/>
              <w:left w:val="nil"/>
              <w:bottom w:val="single" w:sz="4" w:space="0" w:color="auto"/>
              <w:right w:val="single" w:sz="4" w:space="0" w:color="auto"/>
            </w:tcBorders>
            <w:shd w:val="clear" w:color="auto" w:fill="auto"/>
            <w:noWrap/>
            <w:vAlign w:val="bottom"/>
            <w:hideMark/>
          </w:tcPr>
          <w:p w14:paraId="7E907E68" w14:textId="77777777" w:rsidR="008A19B2" w:rsidRPr="0092040F" w:rsidRDefault="00C20013"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21,0</w:t>
            </w:r>
          </w:p>
        </w:tc>
      </w:tr>
      <w:tr w:rsidR="008A19B2" w:rsidRPr="0092040F" w14:paraId="5B6B23DD" w14:textId="77777777" w:rsidTr="00420A42">
        <w:trPr>
          <w:trHeight w:val="463"/>
          <w:jc w:val="center"/>
        </w:trPr>
        <w:tc>
          <w:tcPr>
            <w:tcW w:w="2552" w:type="dxa"/>
            <w:tcBorders>
              <w:top w:val="single" w:sz="4" w:space="0" w:color="auto"/>
              <w:left w:val="single" w:sz="4" w:space="0" w:color="auto"/>
              <w:right w:val="single" w:sz="4" w:space="0" w:color="auto"/>
            </w:tcBorders>
            <w:shd w:val="clear" w:color="auto" w:fill="auto"/>
            <w:vAlign w:val="bottom"/>
            <w:hideMark/>
          </w:tcPr>
          <w:p w14:paraId="3FA4B5E2" w14:textId="77777777" w:rsidR="008A19B2" w:rsidRPr="0092040F" w:rsidRDefault="008A19B2" w:rsidP="00B7523D">
            <w:pPr>
              <w:spacing w:after="0"/>
              <w:ind w:firstLine="0"/>
              <w:jc w:val="left"/>
              <w:rPr>
                <w:rFonts w:eastAsia="Times New Roman" w:cs="Times New Roman"/>
                <w:b/>
                <w:sz w:val="20"/>
                <w:szCs w:val="20"/>
                <w:lang w:eastAsia="lv-LV"/>
              </w:rPr>
            </w:pPr>
            <w:r w:rsidRPr="0092040F">
              <w:rPr>
                <w:rFonts w:eastAsia="Times New Roman" w:cs="Times New Roman"/>
                <w:b/>
                <w:sz w:val="20"/>
                <w:szCs w:val="20"/>
                <w:lang w:eastAsia="lv-LV"/>
              </w:rPr>
              <w:t>Uzturēšanas izdevumu transferti</w:t>
            </w:r>
          </w:p>
        </w:tc>
        <w:tc>
          <w:tcPr>
            <w:tcW w:w="987" w:type="dxa"/>
            <w:tcBorders>
              <w:top w:val="single" w:sz="4" w:space="0" w:color="auto"/>
              <w:left w:val="nil"/>
              <w:right w:val="single" w:sz="4" w:space="0" w:color="auto"/>
            </w:tcBorders>
            <w:shd w:val="clear" w:color="auto" w:fill="auto"/>
            <w:noWrap/>
            <w:vAlign w:val="bottom"/>
            <w:hideMark/>
          </w:tcPr>
          <w:p w14:paraId="2CE2707A" w14:textId="77777777" w:rsidR="008A19B2" w:rsidRPr="0092040F"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205 788</w:t>
            </w:r>
          </w:p>
        </w:tc>
        <w:tc>
          <w:tcPr>
            <w:tcW w:w="992" w:type="dxa"/>
            <w:tcBorders>
              <w:top w:val="single" w:sz="4" w:space="0" w:color="auto"/>
              <w:left w:val="nil"/>
              <w:right w:val="single" w:sz="4" w:space="0" w:color="auto"/>
            </w:tcBorders>
            <w:shd w:val="clear" w:color="auto" w:fill="auto"/>
            <w:noWrap/>
            <w:vAlign w:val="bottom"/>
          </w:tcPr>
          <w:p w14:paraId="0601B5D7" w14:textId="77777777" w:rsidR="008A19B2" w:rsidRPr="0092040F"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217 134</w:t>
            </w:r>
          </w:p>
        </w:tc>
        <w:tc>
          <w:tcPr>
            <w:tcW w:w="993" w:type="dxa"/>
            <w:tcBorders>
              <w:top w:val="single" w:sz="4" w:space="0" w:color="auto"/>
              <w:left w:val="nil"/>
              <w:right w:val="single" w:sz="4" w:space="0" w:color="auto"/>
            </w:tcBorders>
            <w:shd w:val="clear" w:color="auto" w:fill="auto"/>
            <w:noWrap/>
            <w:vAlign w:val="bottom"/>
            <w:hideMark/>
          </w:tcPr>
          <w:p w14:paraId="0AA9B175" w14:textId="77777777" w:rsidR="008A19B2" w:rsidRPr="0092040F"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216 512</w:t>
            </w:r>
          </w:p>
        </w:tc>
        <w:tc>
          <w:tcPr>
            <w:tcW w:w="1083" w:type="dxa"/>
            <w:tcBorders>
              <w:top w:val="single" w:sz="4" w:space="0" w:color="auto"/>
              <w:left w:val="nil"/>
              <w:right w:val="single" w:sz="4" w:space="0" w:color="auto"/>
            </w:tcBorders>
            <w:shd w:val="clear" w:color="auto" w:fill="auto"/>
            <w:noWrap/>
            <w:vAlign w:val="bottom"/>
            <w:hideMark/>
          </w:tcPr>
          <w:p w14:paraId="2B097965" w14:textId="77777777" w:rsidR="008A19B2" w:rsidRPr="0092040F" w:rsidRDefault="00C20013" w:rsidP="00B7523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894 949</w:t>
            </w:r>
          </w:p>
        </w:tc>
        <w:tc>
          <w:tcPr>
            <w:tcW w:w="1043" w:type="dxa"/>
            <w:tcBorders>
              <w:top w:val="single" w:sz="4" w:space="0" w:color="auto"/>
              <w:left w:val="nil"/>
              <w:right w:val="single" w:sz="4" w:space="0" w:color="auto"/>
            </w:tcBorders>
            <w:shd w:val="clear" w:color="auto" w:fill="auto"/>
            <w:noWrap/>
            <w:vAlign w:val="bottom"/>
            <w:hideMark/>
          </w:tcPr>
          <w:p w14:paraId="2582F1C2" w14:textId="77777777" w:rsidR="008A19B2" w:rsidRPr="0092040F" w:rsidRDefault="00D20E8D"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105,2</w:t>
            </w:r>
          </w:p>
        </w:tc>
        <w:tc>
          <w:tcPr>
            <w:tcW w:w="992" w:type="dxa"/>
            <w:tcBorders>
              <w:top w:val="single" w:sz="4" w:space="0" w:color="auto"/>
              <w:left w:val="nil"/>
              <w:right w:val="single" w:sz="4" w:space="0" w:color="auto"/>
            </w:tcBorders>
            <w:shd w:val="clear" w:color="auto" w:fill="auto"/>
            <w:noWrap/>
            <w:vAlign w:val="bottom"/>
            <w:hideMark/>
          </w:tcPr>
          <w:p w14:paraId="2B815FB1" w14:textId="77777777" w:rsidR="008A19B2" w:rsidRPr="0092040F" w:rsidRDefault="00D20E8D"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99,7</w:t>
            </w:r>
          </w:p>
        </w:tc>
        <w:tc>
          <w:tcPr>
            <w:tcW w:w="992" w:type="dxa"/>
            <w:tcBorders>
              <w:top w:val="single" w:sz="4" w:space="0" w:color="auto"/>
              <w:left w:val="nil"/>
              <w:right w:val="single" w:sz="4" w:space="0" w:color="auto"/>
            </w:tcBorders>
            <w:shd w:val="clear" w:color="auto" w:fill="auto"/>
            <w:noWrap/>
            <w:vAlign w:val="bottom"/>
            <w:hideMark/>
          </w:tcPr>
          <w:p w14:paraId="1D40D654" w14:textId="77777777" w:rsidR="008A19B2" w:rsidRPr="0092040F" w:rsidRDefault="00D20E8D" w:rsidP="00B7523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24,2</w:t>
            </w:r>
          </w:p>
        </w:tc>
      </w:tr>
      <w:tr w:rsidR="008A19B2" w:rsidRPr="008A19B2" w14:paraId="5DEF2C8D" w14:textId="77777777" w:rsidTr="00420A42">
        <w:trPr>
          <w:trHeight w:val="480"/>
          <w:jc w:val="center"/>
        </w:trPr>
        <w:tc>
          <w:tcPr>
            <w:tcW w:w="2552" w:type="dxa"/>
            <w:tcBorders>
              <w:top w:val="nil"/>
              <w:left w:val="single" w:sz="4" w:space="0" w:color="auto"/>
              <w:right w:val="single" w:sz="4" w:space="0" w:color="auto"/>
            </w:tcBorders>
            <w:shd w:val="clear" w:color="auto" w:fill="auto"/>
            <w:vAlign w:val="bottom"/>
            <w:hideMark/>
          </w:tcPr>
          <w:p w14:paraId="384BBCD6" w14:textId="77777777" w:rsidR="008A19B2" w:rsidRPr="008A19B2" w:rsidRDefault="008A19B2" w:rsidP="00B7523D">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Valsts budžeta uzturēšanas izdevumu transferti</w:t>
            </w:r>
          </w:p>
        </w:tc>
        <w:tc>
          <w:tcPr>
            <w:tcW w:w="987" w:type="dxa"/>
            <w:tcBorders>
              <w:top w:val="nil"/>
              <w:left w:val="nil"/>
              <w:right w:val="single" w:sz="4" w:space="0" w:color="auto"/>
            </w:tcBorders>
            <w:shd w:val="clear" w:color="auto" w:fill="auto"/>
            <w:noWrap/>
            <w:vAlign w:val="bottom"/>
            <w:hideMark/>
          </w:tcPr>
          <w:p w14:paraId="4C9838A1" w14:textId="77777777" w:rsidR="008A19B2" w:rsidRPr="008A19B2" w:rsidRDefault="00D20E8D"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52 269</w:t>
            </w:r>
          </w:p>
        </w:tc>
        <w:tc>
          <w:tcPr>
            <w:tcW w:w="992" w:type="dxa"/>
            <w:tcBorders>
              <w:top w:val="nil"/>
              <w:left w:val="nil"/>
              <w:right w:val="single" w:sz="4" w:space="0" w:color="auto"/>
            </w:tcBorders>
            <w:shd w:val="clear" w:color="auto" w:fill="auto"/>
            <w:noWrap/>
            <w:vAlign w:val="bottom"/>
          </w:tcPr>
          <w:p w14:paraId="06C15EFE" w14:textId="77777777" w:rsidR="008A19B2" w:rsidRPr="008A19B2" w:rsidRDefault="00D20E8D"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52 363</w:t>
            </w:r>
          </w:p>
        </w:tc>
        <w:tc>
          <w:tcPr>
            <w:tcW w:w="993" w:type="dxa"/>
            <w:tcBorders>
              <w:top w:val="nil"/>
              <w:left w:val="nil"/>
              <w:right w:val="single" w:sz="4" w:space="0" w:color="auto"/>
            </w:tcBorders>
            <w:shd w:val="clear" w:color="auto" w:fill="auto"/>
            <w:noWrap/>
            <w:vAlign w:val="bottom"/>
            <w:hideMark/>
          </w:tcPr>
          <w:p w14:paraId="4365FC55" w14:textId="77777777" w:rsidR="008A19B2" w:rsidRPr="008A19B2" w:rsidRDefault="00D20E8D" w:rsidP="00B7523D">
            <w:pPr>
              <w:spacing w:after="0"/>
              <w:ind w:firstLine="0"/>
              <w:jc w:val="right"/>
              <w:rPr>
                <w:rFonts w:eastAsia="Times New Roman" w:cs="Times New Roman"/>
                <w:sz w:val="20"/>
                <w:szCs w:val="20"/>
                <w:lang w:eastAsia="lv-LV"/>
              </w:rPr>
            </w:pPr>
            <w:r>
              <w:rPr>
                <w:rFonts w:eastAsia="Times New Roman" w:cs="Times New Roman"/>
                <w:sz w:val="20"/>
                <w:szCs w:val="20"/>
                <w:lang w:eastAsia="lv-LV"/>
              </w:rPr>
              <w:t>52 237</w:t>
            </w:r>
          </w:p>
        </w:tc>
        <w:tc>
          <w:tcPr>
            <w:tcW w:w="1083" w:type="dxa"/>
            <w:tcBorders>
              <w:top w:val="nil"/>
              <w:left w:val="nil"/>
              <w:right w:val="single" w:sz="4" w:space="0" w:color="auto"/>
            </w:tcBorders>
            <w:shd w:val="clear" w:color="auto" w:fill="auto"/>
            <w:noWrap/>
            <w:vAlign w:val="bottom"/>
            <w:hideMark/>
          </w:tcPr>
          <w:p w14:paraId="3A8E1C5A" w14:textId="77777777" w:rsidR="008A19B2" w:rsidRPr="008A19B2" w:rsidRDefault="00D20E8D" w:rsidP="00612C3C">
            <w:pPr>
              <w:spacing w:after="0"/>
              <w:ind w:firstLine="0"/>
              <w:jc w:val="right"/>
              <w:rPr>
                <w:rFonts w:eastAsia="Times New Roman" w:cs="Times New Roman"/>
                <w:sz w:val="20"/>
                <w:szCs w:val="20"/>
                <w:lang w:eastAsia="lv-LV"/>
              </w:rPr>
            </w:pPr>
            <w:r>
              <w:rPr>
                <w:rFonts w:eastAsia="Times New Roman" w:cs="Times New Roman"/>
                <w:sz w:val="20"/>
                <w:szCs w:val="20"/>
                <w:lang w:eastAsia="lv-LV"/>
              </w:rPr>
              <w:t>210 00</w:t>
            </w:r>
            <w:r w:rsidR="00612C3C">
              <w:rPr>
                <w:rFonts w:eastAsia="Times New Roman" w:cs="Times New Roman"/>
                <w:sz w:val="20"/>
                <w:szCs w:val="20"/>
                <w:lang w:eastAsia="lv-LV"/>
              </w:rPr>
              <w:t>8</w:t>
            </w:r>
          </w:p>
        </w:tc>
        <w:tc>
          <w:tcPr>
            <w:tcW w:w="1043" w:type="dxa"/>
            <w:tcBorders>
              <w:top w:val="nil"/>
              <w:left w:val="nil"/>
              <w:right w:val="single" w:sz="4" w:space="0" w:color="auto"/>
            </w:tcBorders>
            <w:shd w:val="clear" w:color="auto" w:fill="auto"/>
            <w:noWrap/>
            <w:vAlign w:val="bottom"/>
            <w:hideMark/>
          </w:tcPr>
          <w:p w14:paraId="78E26981" w14:textId="77777777" w:rsidR="008A19B2" w:rsidRPr="008A19B2" w:rsidRDefault="00D20E8D"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99,9</w:t>
            </w:r>
          </w:p>
        </w:tc>
        <w:tc>
          <w:tcPr>
            <w:tcW w:w="992" w:type="dxa"/>
            <w:tcBorders>
              <w:top w:val="nil"/>
              <w:left w:val="nil"/>
              <w:right w:val="single" w:sz="4" w:space="0" w:color="auto"/>
            </w:tcBorders>
            <w:shd w:val="clear" w:color="auto" w:fill="auto"/>
            <w:noWrap/>
            <w:vAlign w:val="bottom"/>
            <w:hideMark/>
          </w:tcPr>
          <w:p w14:paraId="20F67EA3" w14:textId="77777777" w:rsidR="008A19B2" w:rsidRPr="008A19B2" w:rsidRDefault="00D20E8D"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99,8</w:t>
            </w:r>
          </w:p>
        </w:tc>
        <w:tc>
          <w:tcPr>
            <w:tcW w:w="992" w:type="dxa"/>
            <w:tcBorders>
              <w:top w:val="nil"/>
              <w:left w:val="nil"/>
              <w:right w:val="single" w:sz="4" w:space="0" w:color="auto"/>
            </w:tcBorders>
            <w:shd w:val="clear" w:color="auto" w:fill="auto"/>
            <w:noWrap/>
            <w:vAlign w:val="bottom"/>
            <w:hideMark/>
          </w:tcPr>
          <w:p w14:paraId="2B6507F6" w14:textId="77777777" w:rsidR="008A19B2" w:rsidRPr="008A19B2" w:rsidRDefault="00D20E8D" w:rsidP="00B7523D">
            <w:pPr>
              <w:spacing w:after="0"/>
              <w:ind w:firstLine="0"/>
              <w:jc w:val="center"/>
              <w:rPr>
                <w:rFonts w:eastAsia="Times New Roman" w:cs="Times New Roman"/>
                <w:sz w:val="20"/>
                <w:szCs w:val="20"/>
                <w:lang w:eastAsia="lv-LV"/>
              </w:rPr>
            </w:pPr>
            <w:r>
              <w:rPr>
                <w:rFonts w:eastAsia="Times New Roman" w:cs="Times New Roman"/>
                <w:sz w:val="20"/>
                <w:szCs w:val="20"/>
                <w:lang w:eastAsia="lv-LV"/>
              </w:rPr>
              <w:t>24,9</w:t>
            </w:r>
          </w:p>
        </w:tc>
      </w:tr>
      <w:tr w:rsidR="00D20E8D" w:rsidRPr="0092040F" w14:paraId="7DBA09D7" w14:textId="77777777" w:rsidTr="00420A42">
        <w:trPr>
          <w:trHeight w:val="528"/>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3B8D024D" w14:textId="77777777" w:rsidR="00D20E8D" w:rsidRPr="0092040F" w:rsidRDefault="00D20E8D" w:rsidP="00D20E8D">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Valsts budžeta uzturēšanas izdevumu transferti no valsts pamatbudžeta uz valsts speciālo budžetu</w:t>
            </w:r>
          </w:p>
        </w:tc>
        <w:tc>
          <w:tcPr>
            <w:tcW w:w="987" w:type="dxa"/>
            <w:tcBorders>
              <w:top w:val="nil"/>
              <w:left w:val="nil"/>
              <w:right w:val="single" w:sz="4" w:space="0" w:color="auto"/>
            </w:tcBorders>
            <w:shd w:val="clear" w:color="auto" w:fill="auto"/>
            <w:noWrap/>
            <w:vAlign w:val="bottom"/>
            <w:hideMark/>
          </w:tcPr>
          <w:p w14:paraId="2B9E1F16" w14:textId="77777777" w:rsidR="00D20E8D" w:rsidRPr="00D20E8D" w:rsidRDefault="00D20E8D" w:rsidP="00D20E8D">
            <w:pPr>
              <w:spacing w:after="0"/>
              <w:ind w:firstLine="0"/>
              <w:jc w:val="right"/>
              <w:rPr>
                <w:rFonts w:eastAsia="Times New Roman" w:cs="Times New Roman"/>
                <w:i/>
                <w:sz w:val="20"/>
                <w:szCs w:val="20"/>
                <w:lang w:eastAsia="lv-LV"/>
              </w:rPr>
            </w:pPr>
            <w:r w:rsidRPr="00D20E8D">
              <w:rPr>
                <w:rFonts w:eastAsia="Times New Roman" w:cs="Times New Roman"/>
                <w:i/>
                <w:sz w:val="20"/>
                <w:szCs w:val="20"/>
                <w:lang w:eastAsia="lv-LV"/>
              </w:rPr>
              <w:t>52 269</w:t>
            </w:r>
          </w:p>
        </w:tc>
        <w:tc>
          <w:tcPr>
            <w:tcW w:w="992" w:type="dxa"/>
            <w:tcBorders>
              <w:top w:val="nil"/>
              <w:left w:val="nil"/>
              <w:right w:val="single" w:sz="4" w:space="0" w:color="auto"/>
            </w:tcBorders>
            <w:shd w:val="clear" w:color="auto" w:fill="auto"/>
            <w:noWrap/>
            <w:vAlign w:val="bottom"/>
          </w:tcPr>
          <w:p w14:paraId="6C1B6409" w14:textId="77777777" w:rsidR="00D20E8D" w:rsidRPr="00D20E8D" w:rsidRDefault="00D20E8D" w:rsidP="00D20E8D">
            <w:pPr>
              <w:spacing w:after="0"/>
              <w:ind w:firstLine="0"/>
              <w:jc w:val="right"/>
              <w:rPr>
                <w:rFonts w:eastAsia="Times New Roman" w:cs="Times New Roman"/>
                <w:i/>
                <w:sz w:val="20"/>
                <w:szCs w:val="20"/>
                <w:lang w:eastAsia="lv-LV"/>
              </w:rPr>
            </w:pPr>
            <w:r w:rsidRPr="00D20E8D">
              <w:rPr>
                <w:rFonts w:eastAsia="Times New Roman" w:cs="Times New Roman"/>
                <w:i/>
                <w:sz w:val="20"/>
                <w:szCs w:val="20"/>
                <w:lang w:eastAsia="lv-LV"/>
              </w:rPr>
              <w:t>52 363</w:t>
            </w:r>
          </w:p>
        </w:tc>
        <w:tc>
          <w:tcPr>
            <w:tcW w:w="993" w:type="dxa"/>
            <w:tcBorders>
              <w:top w:val="nil"/>
              <w:left w:val="nil"/>
              <w:right w:val="single" w:sz="4" w:space="0" w:color="auto"/>
            </w:tcBorders>
            <w:shd w:val="clear" w:color="auto" w:fill="auto"/>
            <w:noWrap/>
            <w:vAlign w:val="bottom"/>
            <w:hideMark/>
          </w:tcPr>
          <w:p w14:paraId="71D98D53" w14:textId="77777777" w:rsidR="00D20E8D" w:rsidRPr="00D20E8D" w:rsidRDefault="00D20E8D" w:rsidP="00D20E8D">
            <w:pPr>
              <w:spacing w:after="0"/>
              <w:ind w:firstLine="0"/>
              <w:jc w:val="right"/>
              <w:rPr>
                <w:rFonts w:eastAsia="Times New Roman" w:cs="Times New Roman"/>
                <w:i/>
                <w:sz w:val="20"/>
                <w:szCs w:val="20"/>
                <w:lang w:eastAsia="lv-LV"/>
              </w:rPr>
            </w:pPr>
            <w:r w:rsidRPr="00D20E8D">
              <w:rPr>
                <w:rFonts w:eastAsia="Times New Roman" w:cs="Times New Roman"/>
                <w:i/>
                <w:sz w:val="20"/>
                <w:szCs w:val="20"/>
                <w:lang w:eastAsia="lv-LV"/>
              </w:rPr>
              <w:t>52 237</w:t>
            </w:r>
          </w:p>
        </w:tc>
        <w:tc>
          <w:tcPr>
            <w:tcW w:w="1083" w:type="dxa"/>
            <w:tcBorders>
              <w:top w:val="nil"/>
              <w:left w:val="nil"/>
              <w:right w:val="single" w:sz="4" w:space="0" w:color="auto"/>
            </w:tcBorders>
            <w:shd w:val="clear" w:color="auto" w:fill="auto"/>
            <w:noWrap/>
            <w:vAlign w:val="bottom"/>
            <w:hideMark/>
          </w:tcPr>
          <w:p w14:paraId="420FA442" w14:textId="77777777" w:rsidR="00D20E8D" w:rsidRPr="00D20E8D" w:rsidRDefault="00D20E8D" w:rsidP="00612C3C">
            <w:pPr>
              <w:spacing w:after="0"/>
              <w:ind w:firstLine="0"/>
              <w:jc w:val="right"/>
              <w:rPr>
                <w:rFonts w:eastAsia="Times New Roman" w:cs="Times New Roman"/>
                <w:i/>
                <w:sz w:val="20"/>
                <w:szCs w:val="20"/>
                <w:lang w:eastAsia="lv-LV"/>
              </w:rPr>
            </w:pPr>
            <w:r w:rsidRPr="00D20E8D">
              <w:rPr>
                <w:rFonts w:eastAsia="Times New Roman" w:cs="Times New Roman"/>
                <w:i/>
                <w:sz w:val="20"/>
                <w:szCs w:val="20"/>
                <w:lang w:eastAsia="lv-LV"/>
              </w:rPr>
              <w:t>210 00</w:t>
            </w:r>
            <w:r w:rsidR="00612C3C">
              <w:rPr>
                <w:rFonts w:eastAsia="Times New Roman" w:cs="Times New Roman"/>
                <w:i/>
                <w:sz w:val="20"/>
                <w:szCs w:val="20"/>
                <w:lang w:eastAsia="lv-LV"/>
              </w:rPr>
              <w:t>8</w:t>
            </w:r>
          </w:p>
        </w:tc>
        <w:tc>
          <w:tcPr>
            <w:tcW w:w="1043" w:type="dxa"/>
            <w:tcBorders>
              <w:top w:val="nil"/>
              <w:left w:val="nil"/>
              <w:right w:val="single" w:sz="4" w:space="0" w:color="auto"/>
            </w:tcBorders>
            <w:shd w:val="clear" w:color="auto" w:fill="auto"/>
            <w:noWrap/>
            <w:vAlign w:val="bottom"/>
            <w:hideMark/>
          </w:tcPr>
          <w:p w14:paraId="6D1D6299" w14:textId="77777777" w:rsidR="00D20E8D" w:rsidRPr="00D20E8D" w:rsidRDefault="00D20E8D" w:rsidP="00D20E8D">
            <w:pPr>
              <w:spacing w:after="0"/>
              <w:ind w:firstLine="0"/>
              <w:jc w:val="center"/>
              <w:rPr>
                <w:rFonts w:eastAsia="Times New Roman" w:cs="Times New Roman"/>
                <w:i/>
                <w:sz w:val="20"/>
                <w:szCs w:val="20"/>
                <w:lang w:eastAsia="lv-LV"/>
              </w:rPr>
            </w:pPr>
            <w:r w:rsidRPr="00D20E8D">
              <w:rPr>
                <w:rFonts w:eastAsia="Times New Roman" w:cs="Times New Roman"/>
                <w:i/>
                <w:sz w:val="20"/>
                <w:szCs w:val="20"/>
                <w:lang w:eastAsia="lv-LV"/>
              </w:rPr>
              <w:t>99,9</w:t>
            </w:r>
          </w:p>
        </w:tc>
        <w:tc>
          <w:tcPr>
            <w:tcW w:w="992" w:type="dxa"/>
            <w:tcBorders>
              <w:top w:val="nil"/>
              <w:left w:val="nil"/>
              <w:right w:val="single" w:sz="4" w:space="0" w:color="auto"/>
            </w:tcBorders>
            <w:shd w:val="clear" w:color="auto" w:fill="auto"/>
            <w:noWrap/>
            <w:vAlign w:val="bottom"/>
            <w:hideMark/>
          </w:tcPr>
          <w:p w14:paraId="1B5C73A2" w14:textId="77777777" w:rsidR="00D20E8D" w:rsidRPr="00D20E8D" w:rsidRDefault="00D20E8D" w:rsidP="00D20E8D">
            <w:pPr>
              <w:spacing w:after="0"/>
              <w:ind w:firstLine="0"/>
              <w:jc w:val="center"/>
              <w:rPr>
                <w:rFonts w:eastAsia="Times New Roman" w:cs="Times New Roman"/>
                <w:i/>
                <w:sz w:val="20"/>
                <w:szCs w:val="20"/>
                <w:lang w:eastAsia="lv-LV"/>
              </w:rPr>
            </w:pPr>
            <w:r w:rsidRPr="00D20E8D">
              <w:rPr>
                <w:rFonts w:eastAsia="Times New Roman" w:cs="Times New Roman"/>
                <w:i/>
                <w:sz w:val="20"/>
                <w:szCs w:val="20"/>
                <w:lang w:eastAsia="lv-LV"/>
              </w:rPr>
              <w:t>99,8</w:t>
            </w:r>
          </w:p>
        </w:tc>
        <w:tc>
          <w:tcPr>
            <w:tcW w:w="992" w:type="dxa"/>
            <w:tcBorders>
              <w:top w:val="nil"/>
              <w:left w:val="nil"/>
              <w:right w:val="single" w:sz="4" w:space="0" w:color="auto"/>
            </w:tcBorders>
            <w:shd w:val="clear" w:color="auto" w:fill="auto"/>
            <w:noWrap/>
            <w:vAlign w:val="bottom"/>
            <w:hideMark/>
          </w:tcPr>
          <w:p w14:paraId="44CCBEA1" w14:textId="77777777" w:rsidR="00D20E8D" w:rsidRPr="00D20E8D" w:rsidRDefault="00D20E8D" w:rsidP="00D20E8D">
            <w:pPr>
              <w:spacing w:after="0"/>
              <w:ind w:firstLine="0"/>
              <w:jc w:val="center"/>
              <w:rPr>
                <w:rFonts w:eastAsia="Times New Roman" w:cs="Times New Roman"/>
                <w:i/>
                <w:sz w:val="20"/>
                <w:szCs w:val="20"/>
                <w:lang w:eastAsia="lv-LV"/>
              </w:rPr>
            </w:pPr>
            <w:r w:rsidRPr="00D20E8D">
              <w:rPr>
                <w:rFonts w:eastAsia="Times New Roman" w:cs="Times New Roman"/>
                <w:i/>
                <w:sz w:val="20"/>
                <w:szCs w:val="20"/>
                <w:lang w:eastAsia="lv-LV"/>
              </w:rPr>
              <w:t>24,9</w:t>
            </w:r>
          </w:p>
        </w:tc>
      </w:tr>
      <w:tr w:rsidR="00D20E8D" w:rsidRPr="008A19B2" w14:paraId="1479525D" w14:textId="77777777" w:rsidTr="00420A42">
        <w:trPr>
          <w:trHeight w:val="528"/>
          <w:jc w:val="center"/>
        </w:trPr>
        <w:tc>
          <w:tcPr>
            <w:tcW w:w="2552" w:type="dxa"/>
            <w:tcBorders>
              <w:top w:val="single" w:sz="4" w:space="0" w:color="auto"/>
              <w:left w:val="single" w:sz="4" w:space="0" w:color="auto"/>
              <w:right w:val="single" w:sz="4" w:space="0" w:color="auto"/>
            </w:tcBorders>
            <w:shd w:val="clear" w:color="auto" w:fill="auto"/>
            <w:vAlign w:val="bottom"/>
            <w:hideMark/>
          </w:tcPr>
          <w:p w14:paraId="651877C3" w14:textId="77777777" w:rsidR="00D20E8D" w:rsidRPr="008A19B2" w:rsidRDefault="00D20E8D" w:rsidP="00D20E8D">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Valsts budžeta uzturēšanas izdevumu transferti citiem budžetiem noteiktam mērķim</w:t>
            </w:r>
          </w:p>
        </w:tc>
        <w:tc>
          <w:tcPr>
            <w:tcW w:w="987" w:type="dxa"/>
            <w:tcBorders>
              <w:top w:val="single" w:sz="4" w:space="0" w:color="auto"/>
              <w:left w:val="nil"/>
              <w:right w:val="single" w:sz="4" w:space="0" w:color="auto"/>
            </w:tcBorders>
            <w:shd w:val="clear" w:color="auto" w:fill="auto"/>
            <w:noWrap/>
            <w:vAlign w:val="bottom"/>
            <w:hideMark/>
          </w:tcPr>
          <w:p w14:paraId="76B75B03"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145 408</w:t>
            </w:r>
          </w:p>
        </w:tc>
        <w:tc>
          <w:tcPr>
            <w:tcW w:w="992" w:type="dxa"/>
            <w:tcBorders>
              <w:top w:val="single" w:sz="4" w:space="0" w:color="auto"/>
              <w:left w:val="nil"/>
              <w:right w:val="single" w:sz="4" w:space="0" w:color="auto"/>
            </w:tcBorders>
            <w:shd w:val="clear" w:color="auto" w:fill="auto"/>
            <w:noWrap/>
            <w:vAlign w:val="bottom"/>
          </w:tcPr>
          <w:p w14:paraId="732B86DC"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154 894</w:t>
            </w:r>
          </w:p>
        </w:tc>
        <w:tc>
          <w:tcPr>
            <w:tcW w:w="993" w:type="dxa"/>
            <w:tcBorders>
              <w:top w:val="single" w:sz="4" w:space="0" w:color="auto"/>
              <w:left w:val="nil"/>
              <w:right w:val="single" w:sz="4" w:space="0" w:color="auto"/>
            </w:tcBorders>
            <w:shd w:val="clear" w:color="auto" w:fill="auto"/>
            <w:noWrap/>
            <w:vAlign w:val="bottom"/>
            <w:hideMark/>
          </w:tcPr>
          <w:p w14:paraId="67E1A107"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154 412</w:t>
            </w:r>
          </w:p>
        </w:tc>
        <w:tc>
          <w:tcPr>
            <w:tcW w:w="1083" w:type="dxa"/>
            <w:tcBorders>
              <w:top w:val="single" w:sz="4" w:space="0" w:color="auto"/>
              <w:left w:val="nil"/>
              <w:right w:val="single" w:sz="4" w:space="0" w:color="auto"/>
            </w:tcBorders>
            <w:shd w:val="clear" w:color="auto" w:fill="auto"/>
            <w:noWrap/>
            <w:vAlign w:val="bottom"/>
            <w:hideMark/>
          </w:tcPr>
          <w:p w14:paraId="55EB742A"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646 083</w:t>
            </w:r>
          </w:p>
        </w:tc>
        <w:tc>
          <w:tcPr>
            <w:tcW w:w="1043" w:type="dxa"/>
            <w:tcBorders>
              <w:top w:val="single" w:sz="4" w:space="0" w:color="auto"/>
              <w:left w:val="nil"/>
              <w:right w:val="single" w:sz="4" w:space="0" w:color="auto"/>
            </w:tcBorders>
            <w:shd w:val="clear" w:color="auto" w:fill="auto"/>
            <w:noWrap/>
            <w:vAlign w:val="bottom"/>
            <w:hideMark/>
          </w:tcPr>
          <w:p w14:paraId="44D45B4E" w14:textId="77777777" w:rsidR="00D20E8D" w:rsidRPr="008A19B2" w:rsidRDefault="00D20E8D" w:rsidP="00D20E8D">
            <w:pPr>
              <w:spacing w:after="0"/>
              <w:ind w:firstLine="0"/>
              <w:jc w:val="center"/>
              <w:rPr>
                <w:rFonts w:eastAsia="Times New Roman" w:cs="Times New Roman"/>
                <w:sz w:val="20"/>
                <w:szCs w:val="20"/>
                <w:lang w:eastAsia="lv-LV"/>
              </w:rPr>
            </w:pPr>
            <w:r>
              <w:rPr>
                <w:rFonts w:eastAsia="Times New Roman" w:cs="Times New Roman"/>
                <w:sz w:val="20"/>
                <w:szCs w:val="20"/>
                <w:lang w:eastAsia="lv-LV"/>
              </w:rPr>
              <w:t>106,2</w:t>
            </w:r>
          </w:p>
        </w:tc>
        <w:tc>
          <w:tcPr>
            <w:tcW w:w="992" w:type="dxa"/>
            <w:tcBorders>
              <w:top w:val="single" w:sz="4" w:space="0" w:color="auto"/>
              <w:left w:val="nil"/>
              <w:right w:val="single" w:sz="4" w:space="0" w:color="auto"/>
            </w:tcBorders>
            <w:shd w:val="clear" w:color="auto" w:fill="auto"/>
            <w:noWrap/>
            <w:vAlign w:val="bottom"/>
            <w:hideMark/>
          </w:tcPr>
          <w:p w14:paraId="21BF9654" w14:textId="77777777" w:rsidR="00D20E8D" w:rsidRPr="008A19B2" w:rsidRDefault="00D20E8D" w:rsidP="00D20E8D">
            <w:pPr>
              <w:spacing w:after="0"/>
              <w:ind w:firstLine="0"/>
              <w:jc w:val="center"/>
              <w:rPr>
                <w:rFonts w:eastAsia="Times New Roman" w:cs="Times New Roman"/>
                <w:sz w:val="20"/>
                <w:szCs w:val="20"/>
                <w:lang w:eastAsia="lv-LV"/>
              </w:rPr>
            </w:pPr>
            <w:r>
              <w:rPr>
                <w:rFonts w:eastAsia="Times New Roman" w:cs="Times New Roman"/>
                <w:sz w:val="20"/>
                <w:szCs w:val="20"/>
                <w:lang w:eastAsia="lv-LV"/>
              </w:rPr>
              <w:t>99,7</w:t>
            </w:r>
          </w:p>
        </w:tc>
        <w:tc>
          <w:tcPr>
            <w:tcW w:w="992" w:type="dxa"/>
            <w:tcBorders>
              <w:top w:val="single" w:sz="4" w:space="0" w:color="auto"/>
              <w:left w:val="nil"/>
              <w:right w:val="single" w:sz="4" w:space="0" w:color="auto"/>
            </w:tcBorders>
            <w:shd w:val="clear" w:color="auto" w:fill="auto"/>
            <w:noWrap/>
            <w:vAlign w:val="bottom"/>
            <w:hideMark/>
          </w:tcPr>
          <w:p w14:paraId="4DF6E9EF" w14:textId="77777777" w:rsidR="00D20E8D" w:rsidRPr="008A19B2" w:rsidRDefault="00D20E8D" w:rsidP="00D20E8D">
            <w:pPr>
              <w:spacing w:after="0"/>
              <w:ind w:firstLine="0"/>
              <w:jc w:val="center"/>
              <w:rPr>
                <w:rFonts w:eastAsia="Times New Roman" w:cs="Times New Roman"/>
                <w:sz w:val="20"/>
                <w:szCs w:val="20"/>
                <w:lang w:eastAsia="lv-LV"/>
              </w:rPr>
            </w:pPr>
            <w:r>
              <w:rPr>
                <w:rFonts w:eastAsia="Times New Roman" w:cs="Times New Roman"/>
                <w:sz w:val="20"/>
                <w:szCs w:val="20"/>
                <w:lang w:eastAsia="lv-LV"/>
              </w:rPr>
              <w:t>23,9</w:t>
            </w:r>
          </w:p>
        </w:tc>
      </w:tr>
      <w:tr w:rsidR="00D20E8D" w:rsidRPr="0092040F" w14:paraId="455DEBCC" w14:textId="77777777" w:rsidTr="00420A42">
        <w:trPr>
          <w:trHeight w:val="528"/>
          <w:jc w:val="center"/>
        </w:trPr>
        <w:tc>
          <w:tcPr>
            <w:tcW w:w="2552" w:type="dxa"/>
            <w:tcBorders>
              <w:top w:val="nil"/>
              <w:left w:val="single" w:sz="4" w:space="0" w:color="auto"/>
              <w:right w:val="single" w:sz="4" w:space="0" w:color="auto"/>
            </w:tcBorders>
            <w:shd w:val="clear" w:color="auto" w:fill="auto"/>
            <w:vAlign w:val="bottom"/>
            <w:hideMark/>
          </w:tcPr>
          <w:p w14:paraId="0D5979C7" w14:textId="77777777" w:rsidR="00D20E8D" w:rsidRPr="0092040F" w:rsidRDefault="00D20E8D" w:rsidP="00D20E8D">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Valsts budžeta uzturēšanas izdevumu transferti pašvaldībām noteiktam mērķim</w:t>
            </w:r>
          </w:p>
        </w:tc>
        <w:tc>
          <w:tcPr>
            <w:tcW w:w="987" w:type="dxa"/>
            <w:tcBorders>
              <w:top w:val="nil"/>
              <w:left w:val="nil"/>
              <w:right w:val="single" w:sz="4" w:space="0" w:color="auto"/>
            </w:tcBorders>
            <w:shd w:val="clear" w:color="auto" w:fill="auto"/>
            <w:noWrap/>
            <w:vAlign w:val="bottom"/>
            <w:hideMark/>
          </w:tcPr>
          <w:p w14:paraId="3CA17F6A"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104 820</w:t>
            </w:r>
          </w:p>
        </w:tc>
        <w:tc>
          <w:tcPr>
            <w:tcW w:w="992" w:type="dxa"/>
            <w:tcBorders>
              <w:top w:val="nil"/>
              <w:left w:val="nil"/>
              <w:right w:val="single" w:sz="4" w:space="0" w:color="auto"/>
            </w:tcBorders>
            <w:shd w:val="clear" w:color="auto" w:fill="auto"/>
            <w:noWrap/>
            <w:vAlign w:val="bottom"/>
          </w:tcPr>
          <w:p w14:paraId="1AA1E139"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114 527</w:t>
            </w:r>
          </w:p>
        </w:tc>
        <w:tc>
          <w:tcPr>
            <w:tcW w:w="993" w:type="dxa"/>
            <w:tcBorders>
              <w:top w:val="nil"/>
              <w:left w:val="nil"/>
              <w:right w:val="single" w:sz="4" w:space="0" w:color="auto"/>
            </w:tcBorders>
            <w:shd w:val="clear" w:color="auto" w:fill="auto"/>
            <w:noWrap/>
            <w:vAlign w:val="bottom"/>
            <w:hideMark/>
          </w:tcPr>
          <w:p w14:paraId="4F4A07C5"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114 428</w:t>
            </w:r>
          </w:p>
        </w:tc>
        <w:tc>
          <w:tcPr>
            <w:tcW w:w="1083" w:type="dxa"/>
            <w:tcBorders>
              <w:top w:val="nil"/>
              <w:left w:val="nil"/>
              <w:right w:val="single" w:sz="4" w:space="0" w:color="auto"/>
            </w:tcBorders>
            <w:shd w:val="clear" w:color="auto" w:fill="auto"/>
            <w:noWrap/>
            <w:vAlign w:val="bottom"/>
            <w:hideMark/>
          </w:tcPr>
          <w:p w14:paraId="6618F604"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456 989</w:t>
            </w:r>
          </w:p>
        </w:tc>
        <w:tc>
          <w:tcPr>
            <w:tcW w:w="1043" w:type="dxa"/>
            <w:tcBorders>
              <w:top w:val="nil"/>
              <w:left w:val="nil"/>
              <w:right w:val="single" w:sz="4" w:space="0" w:color="auto"/>
            </w:tcBorders>
            <w:shd w:val="clear" w:color="auto" w:fill="auto"/>
            <w:noWrap/>
            <w:vAlign w:val="bottom"/>
            <w:hideMark/>
          </w:tcPr>
          <w:p w14:paraId="66A2F568"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109,2</w:t>
            </w:r>
          </w:p>
        </w:tc>
        <w:tc>
          <w:tcPr>
            <w:tcW w:w="992" w:type="dxa"/>
            <w:tcBorders>
              <w:top w:val="nil"/>
              <w:left w:val="nil"/>
              <w:right w:val="single" w:sz="4" w:space="0" w:color="auto"/>
            </w:tcBorders>
            <w:shd w:val="clear" w:color="auto" w:fill="auto"/>
            <w:noWrap/>
            <w:vAlign w:val="bottom"/>
            <w:hideMark/>
          </w:tcPr>
          <w:p w14:paraId="14AD7D96"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99,9</w:t>
            </w:r>
          </w:p>
        </w:tc>
        <w:tc>
          <w:tcPr>
            <w:tcW w:w="992" w:type="dxa"/>
            <w:tcBorders>
              <w:top w:val="nil"/>
              <w:left w:val="nil"/>
              <w:right w:val="single" w:sz="4" w:space="0" w:color="auto"/>
            </w:tcBorders>
            <w:shd w:val="clear" w:color="auto" w:fill="auto"/>
            <w:noWrap/>
            <w:vAlign w:val="bottom"/>
            <w:hideMark/>
          </w:tcPr>
          <w:p w14:paraId="5EB79F0F"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25,0</w:t>
            </w:r>
          </w:p>
        </w:tc>
      </w:tr>
      <w:tr w:rsidR="00D20E8D" w:rsidRPr="0092040F" w14:paraId="72737B6B" w14:textId="77777777" w:rsidTr="00420A42">
        <w:trPr>
          <w:trHeight w:val="1056"/>
          <w:jc w:val="center"/>
        </w:trPr>
        <w:tc>
          <w:tcPr>
            <w:tcW w:w="2552" w:type="dxa"/>
            <w:tcBorders>
              <w:top w:val="nil"/>
              <w:left w:val="single" w:sz="4" w:space="0" w:color="auto"/>
              <w:right w:val="single" w:sz="4" w:space="0" w:color="auto"/>
            </w:tcBorders>
            <w:shd w:val="clear" w:color="auto" w:fill="auto"/>
            <w:vAlign w:val="bottom"/>
            <w:hideMark/>
          </w:tcPr>
          <w:p w14:paraId="3F2BD9C9" w14:textId="77777777" w:rsidR="00D20E8D" w:rsidRPr="0092040F" w:rsidRDefault="00D20E8D" w:rsidP="00D20E8D">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Valsts budžeta uzturēšanas izdevumu transferti pašvaldībām Eiropas Savienības politiku instrumentu un pārējās ārvalstu finanšu palīdzības līdzfinansētajiem projektiem (pasākumiem)</w:t>
            </w:r>
          </w:p>
        </w:tc>
        <w:tc>
          <w:tcPr>
            <w:tcW w:w="987" w:type="dxa"/>
            <w:tcBorders>
              <w:top w:val="nil"/>
              <w:left w:val="nil"/>
              <w:right w:val="single" w:sz="4" w:space="0" w:color="auto"/>
            </w:tcBorders>
            <w:shd w:val="clear" w:color="auto" w:fill="auto"/>
            <w:noWrap/>
            <w:vAlign w:val="bottom"/>
            <w:hideMark/>
          </w:tcPr>
          <w:p w14:paraId="104EC459"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5 150</w:t>
            </w:r>
          </w:p>
        </w:tc>
        <w:tc>
          <w:tcPr>
            <w:tcW w:w="992" w:type="dxa"/>
            <w:tcBorders>
              <w:top w:val="nil"/>
              <w:left w:val="nil"/>
              <w:right w:val="single" w:sz="4" w:space="0" w:color="auto"/>
            </w:tcBorders>
            <w:shd w:val="clear" w:color="auto" w:fill="auto"/>
            <w:noWrap/>
            <w:vAlign w:val="bottom"/>
          </w:tcPr>
          <w:p w14:paraId="38CF3305"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3 017</w:t>
            </w:r>
          </w:p>
        </w:tc>
        <w:tc>
          <w:tcPr>
            <w:tcW w:w="993" w:type="dxa"/>
            <w:tcBorders>
              <w:top w:val="nil"/>
              <w:left w:val="nil"/>
              <w:right w:val="single" w:sz="4" w:space="0" w:color="auto"/>
            </w:tcBorders>
            <w:shd w:val="clear" w:color="auto" w:fill="auto"/>
            <w:noWrap/>
            <w:vAlign w:val="bottom"/>
            <w:hideMark/>
          </w:tcPr>
          <w:p w14:paraId="7FE5127E"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2 983</w:t>
            </w:r>
          </w:p>
        </w:tc>
        <w:tc>
          <w:tcPr>
            <w:tcW w:w="1083" w:type="dxa"/>
            <w:tcBorders>
              <w:top w:val="nil"/>
              <w:left w:val="nil"/>
              <w:right w:val="single" w:sz="4" w:space="0" w:color="auto"/>
            </w:tcBorders>
            <w:shd w:val="clear" w:color="auto" w:fill="auto"/>
            <w:noWrap/>
            <w:vAlign w:val="bottom"/>
            <w:hideMark/>
          </w:tcPr>
          <w:p w14:paraId="12035726"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20 974</w:t>
            </w:r>
          </w:p>
        </w:tc>
        <w:tc>
          <w:tcPr>
            <w:tcW w:w="1043" w:type="dxa"/>
            <w:tcBorders>
              <w:top w:val="nil"/>
              <w:left w:val="nil"/>
              <w:right w:val="single" w:sz="4" w:space="0" w:color="auto"/>
            </w:tcBorders>
            <w:shd w:val="clear" w:color="auto" w:fill="auto"/>
            <w:noWrap/>
            <w:vAlign w:val="bottom"/>
            <w:hideMark/>
          </w:tcPr>
          <w:p w14:paraId="25330B86"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57,9</w:t>
            </w:r>
          </w:p>
        </w:tc>
        <w:tc>
          <w:tcPr>
            <w:tcW w:w="992" w:type="dxa"/>
            <w:tcBorders>
              <w:top w:val="nil"/>
              <w:left w:val="nil"/>
              <w:right w:val="single" w:sz="4" w:space="0" w:color="auto"/>
            </w:tcBorders>
            <w:shd w:val="clear" w:color="auto" w:fill="auto"/>
            <w:noWrap/>
            <w:vAlign w:val="bottom"/>
            <w:hideMark/>
          </w:tcPr>
          <w:p w14:paraId="324DC86E"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98,9</w:t>
            </w:r>
          </w:p>
        </w:tc>
        <w:tc>
          <w:tcPr>
            <w:tcW w:w="992" w:type="dxa"/>
            <w:tcBorders>
              <w:top w:val="nil"/>
              <w:left w:val="nil"/>
              <w:right w:val="single" w:sz="4" w:space="0" w:color="auto"/>
            </w:tcBorders>
            <w:shd w:val="clear" w:color="auto" w:fill="auto"/>
            <w:noWrap/>
            <w:vAlign w:val="bottom"/>
            <w:hideMark/>
          </w:tcPr>
          <w:p w14:paraId="6D0EF901"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14,2</w:t>
            </w:r>
          </w:p>
        </w:tc>
      </w:tr>
      <w:tr w:rsidR="00D20E8D" w:rsidRPr="0092040F" w14:paraId="3E63F2C9" w14:textId="77777777" w:rsidTr="00420A42">
        <w:trPr>
          <w:trHeight w:val="792"/>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5352B2FA" w14:textId="77777777" w:rsidR="00D20E8D" w:rsidRPr="0092040F" w:rsidRDefault="00D20E8D" w:rsidP="00D20E8D">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Valsts budžeta transferti valsts budžeta daļēji finansētām atvasinātām publiskām personām un budžeta nefinansētām iestādēm noteiktam mērķim</w:t>
            </w:r>
          </w:p>
        </w:tc>
        <w:tc>
          <w:tcPr>
            <w:tcW w:w="987" w:type="dxa"/>
            <w:tcBorders>
              <w:top w:val="nil"/>
              <w:left w:val="nil"/>
              <w:bottom w:val="single" w:sz="4" w:space="0" w:color="auto"/>
              <w:right w:val="single" w:sz="4" w:space="0" w:color="auto"/>
            </w:tcBorders>
            <w:shd w:val="clear" w:color="auto" w:fill="auto"/>
            <w:noWrap/>
            <w:vAlign w:val="bottom"/>
            <w:hideMark/>
          </w:tcPr>
          <w:p w14:paraId="26A90B72"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35 438</w:t>
            </w:r>
          </w:p>
        </w:tc>
        <w:tc>
          <w:tcPr>
            <w:tcW w:w="992" w:type="dxa"/>
            <w:tcBorders>
              <w:top w:val="nil"/>
              <w:left w:val="nil"/>
              <w:bottom w:val="single" w:sz="4" w:space="0" w:color="auto"/>
              <w:right w:val="single" w:sz="4" w:space="0" w:color="auto"/>
            </w:tcBorders>
            <w:shd w:val="clear" w:color="auto" w:fill="auto"/>
            <w:noWrap/>
            <w:vAlign w:val="bottom"/>
          </w:tcPr>
          <w:p w14:paraId="3E28DA19"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37 350</w:t>
            </w:r>
          </w:p>
        </w:tc>
        <w:tc>
          <w:tcPr>
            <w:tcW w:w="993" w:type="dxa"/>
            <w:tcBorders>
              <w:top w:val="nil"/>
              <w:left w:val="nil"/>
              <w:bottom w:val="single" w:sz="4" w:space="0" w:color="auto"/>
              <w:right w:val="single" w:sz="4" w:space="0" w:color="auto"/>
            </w:tcBorders>
            <w:shd w:val="clear" w:color="auto" w:fill="auto"/>
            <w:noWrap/>
            <w:vAlign w:val="bottom"/>
            <w:hideMark/>
          </w:tcPr>
          <w:p w14:paraId="4043C813" w14:textId="77777777" w:rsidR="00D20E8D" w:rsidRPr="0092040F" w:rsidRDefault="00D20E8D" w:rsidP="005A31C4">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37 00</w:t>
            </w:r>
            <w:r w:rsidR="005A31C4">
              <w:rPr>
                <w:rFonts w:eastAsia="Times New Roman" w:cs="Times New Roman"/>
                <w:i/>
                <w:sz w:val="20"/>
                <w:szCs w:val="20"/>
                <w:lang w:eastAsia="lv-LV"/>
              </w:rPr>
              <w:t>1</w:t>
            </w:r>
          </w:p>
        </w:tc>
        <w:tc>
          <w:tcPr>
            <w:tcW w:w="1083" w:type="dxa"/>
            <w:tcBorders>
              <w:top w:val="nil"/>
              <w:left w:val="nil"/>
              <w:bottom w:val="single" w:sz="4" w:space="0" w:color="auto"/>
              <w:right w:val="single" w:sz="4" w:space="0" w:color="auto"/>
            </w:tcBorders>
            <w:shd w:val="clear" w:color="auto" w:fill="auto"/>
            <w:noWrap/>
            <w:vAlign w:val="bottom"/>
            <w:hideMark/>
          </w:tcPr>
          <w:p w14:paraId="035F5653"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168 120</w:t>
            </w:r>
          </w:p>
        </w:tc>
        <w:tc>
          <w:tcPr>
            <w:tcW w:w="1043" w:type="dxa"/>
            <w:tcBorders>
              <w:top w:val="nil"/>
              <w:left w:val="nil"/>
              <w:bottom w:val="single" w:sz="4" w:space="0" w:color="auto"/>
              <w:right w:val="single" w:sz="4" w:space="0" w:color="auto"/>
            </w:tcBorders>
            <w:shd w:val="clear" w:color="auto" w:fill="auto"/>
            <w:noWrap/>
            <w:vAlign w:val="bottom"/>
            <w:hideMark/>
          </w:tcPr>
          <w:p w14:paraId="7B7F6452"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104,4</w:t>
            </w:r>
          </w:p>
        </w:tc>
        <w:tc>
          <w:tcPr>
            <w:tcW w:w="992" w:type="dxa"/>
            <w:tcBorders>
              <w:top w:val="nil"/>
              <w:left w:val="nil"/>
              <w:bottom w:val="single" w:sz="4" w:space="0" w:color="auto"/>
              <w:right w:val="single" w:sz="4" w:space="0" w:color="auto"/>
            </w:tcBorders>
            <w:shd w:val="clear" w:color="auto" w:fill="auto"/>
            <w:noWrap/>
            <w:vAlign w:val="bottom"/>
            <w:hideMark/>
          </w:tcPr>
          <w:p w14:paraId="6138AA81"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99,1</w:t>
            </w:r>
          </w:p>
        </w:tc>
        <w:tc>
          <w:tcPr>
            <w:tcW w:w="992" w:type="dxa"/>
            <w:tcBorders>
              <w:top w:val="nil"/>
              <w:left w:val="nil"/>
              <w:bottom w:val="single" w:sz="4" w:space="0" w:color="auto"/>
              <w:right w:val="single" w:sz="4" w:space="0" w:color="auto"/>
            </w:tcBorders>
            <w:shd w:val="clear" w:color="auto" w:fill="auto"/>
            <w:noWrap/>
            <w:vAlign w:val="bottom"/>
            <w:hideMark/>
          </w:tcPr>
          <w:p w14:paraId="55F1F57F"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22,0</w:t>
            </w:r>
          </w:p>
        </w:tc>
      </w:tr>
      <w:tr w:rsidR="00D20E8D" w:rsidRPr="008A19B2" w14:paraId="6681347E" w14:textId="77777777" w:rsidTr="00420A42">
        <w:trPr>
          <w:trHeight w:val="528"/>
          <w:jc w:val="center"/>
        </w:trPr>
        <w:tc>
          <w:tcPr>
            <w:tcW w:w="2552" w:type="dxa"/>
            <w:tcBorders>
              <w:top w:val="single" w:sz="4" w:space="0" w:color="auto"/>
              <w:left w:val="single" w:sz="4" w:space="0" w:color="auto"/>
              <w:right w:val="single" w:sz="4" w:space="0" w:color="auto"/>
            </w:tcBorders>
            <w:shd w:val="clear" w:color="auto" w:fill="auto"/>
            <w:vAlign w:val="bottom"/>
            <w:hideMark/>
          </w:tcPr>
          <w:p w14:paraId="1B65E735" w14:textId="77777777" w:rsidR="00D20E8D" w:rsidRPr="008A19B2" w:rsidRDefault="00D20E8D" w:rsidP="00D20E8D">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Pārējie valsts budžeta uzturēšanas izdevumu transferti citiem budžetiem</w:t>
            </w:r>
          </w:p>
        </w:tc>
        <w:tc>
          <w:tcPr>
            <w:tcW w:w="987" w:type="dxa"/>
            <w:tcBorders>
              <w:top w:val="single" w:sz="4" w:space="0" w:color="auto"/>
              <w:left w:val="nil"/>
              <w:right w:val="single" w:sz="4" w:space="0" w:color="auto"/>
            </w:tcBorders>
            <w:shd w:val="clear" w:color="auto" w:fill="auto"/>
            <w:noWrap/>
            <w:vAlign w:val="bottom"/>
            <w:hideMark/>
          </w:tcPr>
          <w:p w14:paraId="2F639C18"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8 111</w:t>
            </w:r>
          </w:p>
        </w:tc>
        <w:tc>
          <w:tcPr>
            <w:tcW w:w="992" w:type="dxa"/>
            <w:tcBorders>
              <w:top w:val="single" w:sz="4" w:space="0" w:color="auto"/>
              <w:left w:val="nil"/>
              <w:right w:val="single" w:sz="4" w:space="0" w:color="auto"/>
            </w:tcBorders>
            <w:shd w:val="clear" w:color="auto" w:fill="auto"/>
            <w:noWrap/>
            <w:vAlign w:val="bottom"/>
          </w:tcPr>
          <w:p w14:paraId="1B681545"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9 877</w:t>
            </w:r>
          </w:p>
        </w:tc>
        <w:tc>
          <w:tcPr>
            <w:tcW w:w="993" w:type="dxa"/>
            <w:tcBorders>
              <w:top w:val="single" w:sz="4" w:space="0" w:color="auto"/>
              <w:left w:val="nil"/>
              <w:right w:val="single" w:sz="4" w:space="0" w:color="auto"/>
            </w:tcBorders>
            <w:shd w:val="clear" w:color="auto" w:fill="auto"/>
            <w:noWrap/>
            <w:vAlign w:val="bottom"/>
            <w:hideMark/>
          </w:tcPr>
          <w:p w14:paraId="0304B5A9"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9 863</w:t>
            </w:r>
          </w:p>
        </w:tc>
        <w:tc>
          <w:tcPr>
            <w:tcW w:w="1083" w:type="dxa"/>
            <w:tcBorders>
              <w:top w:val="single" w:sz="4" w:space="0" w:color="auto"/>
              <w:left w:val="nil"/>
              <w:right w:val="single" w:sz="4" w:space="0" w:color="auto"/>
            </w:tcBorders>
            <w:shd w:val="clear" w:color="auto" w:fill="auto"/>
            <w:noWrap/>
            <w:vAlign w:val="bottom"/>
            <w:hideMark/>
          </w:tcPr>
          <w:p w14:paraId="66B9D3B5"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38 858</w:t>
            </w:r>
          </w:p>
        </w:tc>
        <w:tc>
          <w:tcPr>
            <w:tcW w:w="1043" w:type="dxa"/>
            <w:tcBorders>
              <w:top w:val="single" w:sz="4" w:space="0" w:color="auto"/>
              <w:left w:val="nil"/>
              <w:right w:val="single" w:sz="4" w:space="0" w:color="auto"/>
            </w:tcBorders>
            <w:shd w:val="clear" w:color="auto" w:fill="auto"/>
            <w:noWrap/>
            <w:vAlign w:val="bottom"/>
            <w:hideMark/>
          </w:tcPr>
          <w:p w14:paraId="01FBB342" w14:textId="77777777" w:rsidR="00D20E8D" w:rsidRPr="008A19B2" w:rsidRDefault="00D20E8D" w:rsidP="00D20E8D">
            <w:pPr>
              <w:spacing w:after="0"/>
              <w:ind w:firstLine="0"/>
              <w:jc w:val="center"/>
              <w:rPr>
                <w:rFonts w:eastAsia="Times New Roman" w:cs="Times New Roman"/>
                <w:sz w:val="20"/>
                <w:szCs w:val="20"/>
                <w:lang w:eastAsia="lv-LV"/>
              </w:rPr>
            </w:pPr>
            <w:r>
              <w:rPr>
                <w:rFonts w:eastAsia="Times New Roman" w:cs="Times New Roman"/>
                <w:sz w:val="20"/>
                <w:szCs w:val="20"/>
                <w:lang w:eastAsia="lv-LV"/>
              </w:rPr>
              <w:t>121,6</w:t>
            </w:r>
          </w:p>
        </w:tc>
        <w:tc>
          <w:tcPr>
            <w:tcW w:w="992" w:type="dxa"/>
            <w:tcBorders>
              <w:top w:val="single" w:sz="4" w:space="0" w:color="auto"/>
              <w:left w:val="nil"/>
              <w:right w:val="single" w:sz="4" w:space="0" w:color="auto"/>
            </w:tcBorders>
            <w:shd w:val="clear" w:color="auto" w:fill="auto"/>
            <w:noWrap/>
            <w:vAlign w:val="bottom"/>
            <w:hideMark/>
          </w:tcPr>
          <w:p w14:paraId="30188FB1" w14:textId="77777777" w:rsidR="00D20E8D" w:rsidRPr="008A19B2" w:rsidRDefault="00D20E8D" w:rsidP="00D20E8D">
            <w:pPr>
              <w:spacing w:after="0"/>
              <w:ind w:firstLine="0"/>
              <w:jc w:val="center"/>
              <w:rPr>
                <w:rFonts w:eastAsia="Times New Roman" w:cs="Times New Roman"/>
                <w:sz w:val="20"/>
                <w:szCs w:val="20"/>
                <w:lang w:eastAsia="lv-LV"/>
              </w:rPr>
            </w:pPr>
            <w:r>
              <w:rPr>
                <w:rFonts w:eastAsia="Times New Roman" w:cs="Times New Roman"/>
                <w:sz w:val="20"/>
                <w:szCs w:val="20"/>
                <w:lang w:eastAsia="lv-LV"/>
              </w:rPr>
              <w:t>99,9</w:t>
            </w:r>
          </w:p>
        </w:tc>
        <w:tc>
          <w:tcPr>
            <w:tcW w:w="992" w:type="dxa"/>
            <w:tcBorders>
              <w:top w:val="single" w:sz="4" w:space="0" w:color="auto"/>
              <w:left w:val="nil"/>
              <w:right w:val="single" w:sz="4" w:space="0" w:color="auto"/>
            </w:tcBorders>
            <w:shd w:val="clear" w:color="auto" w:fill="auto"/>
            <w:noWrap/>
            <w:vAlign w:val="bottom"/>
            <w:hideMark/>
          </w:tcPr>
          <w:p w14:paraId="394D534B" w14:textId="77777777" w:rsidR="00D20E8D" w:rsidRPr="008A19B2" w:rsidRDefault="00D20E8D" w:rsidP="00D20E8D">
            <w:pPr>
              <w:spacing w:after="0"/>
              <w:ind w:firstLine="0"/>
              <w:jc w:val="center"/>
              <w:rPr>
                <w:rFonts w:eastAsia="Times New Roman" w:cs="Times New Roman"/>
                <w:sz w:val="20"/>
                <w:szCs w:val="20"/>
                <w:lang w:eastAsia="lv-LV"/>
              </w:rPr>
            </w:pPr>
            <w:r>
              <w:rPr>
                <w:rFonts w:eastAsia="Times New Roman" w:cs="Times New Roman"/>
                <w:sz w:val="20"/>
                <w:szCs w:val="20"/>
                <w:lang w:eastAsia="lv-LV"/>
              </w:rPr>
              <w:t>25,4</w:t>
            </w:r>
          </w:p>
        </w:tc>
      </w:tr>
      <w:tr w:rsidR="00D20E8D" w:rsidRPr="0092040F" w14:paraId="2BA27891" w14:textId="77777777" w:rsidTr="00420A42">
        <w:trPr>
          <w:trHeight w:val="528"/>
          <w:jc w:val="center"/>
        </w:trPr>
        <w:tc>
          <w:tcPr>
            <w:tcW w:w="2552" w:type="dxa"/>
            <w:tcBorders>
              <w:top w:val="nil"/>
              <w:left w:val="single" w:sz="4" w:space="0" w:color="auto"/>
              <w:right w:val="single" w:sz="4" w:space="0" w:color="auto"/>
            </w:tcBorders>
            <w:shd w:val="clear" w:color="auto" w:fill="auto"/>
            <w:vAlign w:val="bottom"/>
            <w:hideMark/>
          </w:tcPr>
          <w:p w14:paraId="05C7B439" w14:textId="77777777" w:rsidR="00D20E8D" w:rsidRPr="0092040F" w:rsidRDefault="00D20E8D" w:rsidP="00D20E8D">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Pārējie valsts budžeta uzturēšanas izdevumu transferti pašvaldībām</w:t>
            </w:r>
          </w:p>
        </w:tc>
        <w:tc>
          <w:tcPr>
            <w:tcW w:w="987" w:type="dxa"/>
            <w:tcBorders>
              <w:top w:val="nil"/>
              <w:left w:val="nil"/>
              <w:right w:val="single" w:sz="4" w:space="0" w:color="auto"/>
            </w:tcBorders>
            <w:shd w:val="clear" w:color="auto" w:fill="auto"/>
            <w:noWrap/>
            <w:vAlign w:val="bottom"/>
            <w:hideMark/>
          </w:tcPr>
          <w:p w14:paraId="59599824"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7 561</w:t>
            </w:r>
          </w:p>
        </w:tc>
        <w:tc>
          <w:tcPr>
            <w:tcW w:w="992" w:type="dxa"/>
            <w:tcBorders>
              <w:top w:val="nil"/>
              <w:left w:val="nil"/>
              <w:right w:val="single" w:sz="4" w:space="0" w:color="auto"/>
            </w:tcBorders>
            <w:shd w:val="clear" w:color="auto" w:fill="auto"/>
            <w:noWrap/>
            <w:vAlign w:val="bottom"/>
          </w:tcPr>
          <w:p w14:paraId="5D2E8813"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9 295</w:t>
            </w:r>
          </w:p>
        </w:tc>
        <w:tc>
          <w:tcPr>
            <w:tcW w:w="993" w:type="dxa"/>
            <w:tcBorders>
              <w:top w:val="nil"/>
              <w:left w:val="nil"/>
              <w:right w:val="single" w:sz="4" w:space="0" w:color="auto"/>
            </w:tcBorders>
            <w:shd w:val="clear" w:color="auto" w:fill="auto"/>
            <w:noWrap/>
            <w:vAlign w:val="bottom"/>
            <w:hideMark/>
          </w:tcPr>
          <w:p w14:paraId="5D27296D"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9 291</w:t>
            </w:r>
          </w:p>
        </w:tc>
        <w:tc>
          <w:tcPr>
            <w:tcW w:w="1083" w:type="dxa"/>
            <w:tcBorders>
              <w:top w:val="nil"/>
              <w:left w:val="nil"/>
              <w:right w:val="single" w:sz="4" w:space="0" w:color="auto"/>
            </w:tcBorders>
            <w:shd w:val="clear" w:color="auto" w:fill="auto"/>
            <w:noWrap/>
            <w:vAlign w:val="bottom"/>
            <w:hideMark/>
          </w:tcPr>
          <w:p w14:paraId="426D2359"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36 779</w:t>
            </w:r>
          </w:p>
        </w:tc>
        <w:tc>
          <w:tcPr>
            <w:tcW w:w="1043" w:type="dxa"/>
            <w:tcBorders>
              <w:top w:val="nil"/>
              <w:left w:val="nil"/>
              <w:right w:val="single" w:sz="4" w:space="0" w:color="auto"/>
            </w:tcBorders>
            <w:shd w:val="clear" w:color="auto" w:fill="auto"/>
            <w:noWrap/>
            <w:vAlign w:val="bottom"/>
            <w:hideMark/>
          </w:tcPr>
          <w:p w14:paraId="6FF1E49F"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122,9</w:t>
            </w:r>
          </w:p>
        </w:tc>
        <w:tc>
          <w:tcPr>
            <w:tcW w:w="992" w:type="dxa"/>
            <w:tcBorders>
              <w:top w:val="nil"/>
              <w:left w:val="nil"/>
              <w:right w:val="single" w:sz="4" w:space="0" w:color="auto"/>
            </w:tcBorders>
            <w:shd w:val="clear" w:color="auto" w:fill="auto"/>
            <w:noWrap/>
            <w:vAlign w:val="bottom"/>
            <w:hideMark/>
          </w:tcPr>
          <w:p w14:paraId="2DDC990E"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100,0</w:t>
            </w:r>
          </w:p>
        </w:tc>
        <w:tc>
          <w:tcPr>
            <w:tcW w:w="992" w:type="dxa"/>
            <w:tcBorders>
              <w:top w:val="nil"/>
              <w:left w:val="nil"/>
              <w:right w:val="single" w:sz="4" w:space="0" w:color="auto"/>
            </w:tcBorders>
            <w:shd w:val="clear" w:color="auto" w:fill="auto"/>
            <w:noWrap/>
            <w:vAlign w:val="bottom"/>
            <w:hideMark/>
          </w:tcPr>
          <w:p w14:paraId="02E87A24"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25,3</w:t>
            </w:r>
          </w:p>
        </w:tc>
      </w:tr>
      <w:tr w:rsidR="00D20E8D" w:rsidRPr="0092040F" w14:paraId="44463FAD" w14:textId="77777777" w:rsidTr="00420A42">
        <w:trPr>
          <w:trHeight w:val="1056"/>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12F82314" w14:textId="77777777" w:rsidR="00D20E8D" w:rsidRPr="0092040F" w:rsidRDefault="00D20E8D" w:rsidP="00D20E8D">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Pr="0092040F">
              <w:rPr>
                <w:rFonts w:eastAsia="Times New Roman" w:cs="Times New Roman"/>
                <w:i/>
                <w:sz w:val="20"/>
                <w:szCs w:val="20"/>
                <w:lang w:eastAsia="lv-LV"/>
              </w:rPr>
              <w:t>Pārējie valsts budžeta uzturēšanas izdevumu transferti valsts budžeta daļēji finansētām atvasinātām publiskām personām un budžeta nefinansētām iestādēm</w:t>
            </w:r>
          </w:p>
        </w:tc>
        <w:tc>
          <w:tcPr>
            <w:tcW w:w="987" w:type="dxa"/>
            <w:tcBorders>
              <w:top w:val="nil"/>
              <w:left w:val="nil"/>
              <w:bottom w:val="single" w:sz="4" w:space="0" w:color="auto"/>
              <w:right w:val="single" w:sz="4" w:space="0" w:color="auto"/>
            </w:tcBorders>
            <w:shd w:val="clear" w:color="auto" w:fill="auto"/>
            <w:noWrap/>
            <w:vAlign w:val="bottom"/>
            <w:hideMark/>
          </w:tcPr>
          <w:p w14:paraId="54667CEC"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550</w:t>
            </w:r>
          </w:p>
        </w:tc>
        <w:tc>
          <w:tcPr>
            <w:tcW w:w="992" w:type="dxa"/>
            <w:tcBorders>
              <w:top w:val="nil"/>
              <w:left w:val="nil"/>
              <w:bottom w:val="single" w:sz="4" w:space="0" w:color="auto"/>
              <w:right w:val="single" w:sz="4" w:space="0" w:color="auto"/>
            </w:tcBorders>
            <w:shd w:val="clear" w:color="auto" w:fill="auto"/>
            <w:noWrap/>
            <w:vAlign w:val="bottom"/>
          </w:tcPr>
          <w:p w14:paraId="7AD34E96"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582</w:t>
            </w:r>
          </w:p>
        </w:tc>
        <w:tc>
          <w:tcPr>
            <w:tcW w:w="993" w:type="dxa"/>
            <w:tcBorders>
              <w:top w:val="nil"/>
              <w:left w:val="nil"/>
              <w:bottom w:val="single" w:sz="4" w:space="0" w:color="auto"/>
              <w:right w:val="single" w:sz="4" w:space="0" w:color="auto"/>
            </w:tcBorders>
            <w:shd w:val="clear" w:color="auto" w:fill="auto"/>
            <w:noWrap/>
            <w:vAlign w:val="bottom"/>
            <w:hideMark/>
          </w:tcPr>
          <w:p w14:paraId="177ABD11" w14:textId="77777777" w:rsidR="00D20E8D" w:rsidRPr="0092040F" w:rsidRDefault="00D20E8D" w:rsidP="005A31C4">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57</w:t>
            </w:r>
            <w:r w:rsidR="005A31C4">
              <w:rPr>
                <w:rFonts w:eastAsia="Times New Roman" w:cs="Times New Roman"/>
                <w:i/>
                <w:sz w:val="20"/>
                <w:szCs w:val="20"/>
                <w:lang w:eastAsia="lv-LV"/>
              </w:rPr>
              <w:t>2</w:t>
            </w:r>
          </w:p>
        </w:tc>
        <w:tc>
          <w:tcPr>
            <w:tcW w:w="1083" w:type="dxa"/>
            <w:tcBorders>
              <w:top w:val="nil"/>
              <w:left w:val="nil"/>
              <w:bottom w:val="single" w:sz="4" w:space="0" w:color="auto"/>
              <w:right w:val="single" w:sz="4" w:space="0" w:color="auto"/>
            </w:tcBorders>
            <w:shd w:val="clear" w:color="auto" w:fill="auto"/>
            <w:noWrap/>
            <w:vAlign w:val="bottom"/>
            <w:hideMark/>
          </w:tcPr>
          <w:p w14:paraId="5AB3F04B"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2 079</w:t>
            </w:r>
          </w:p>
        </w:tc>
        <w:tc>
          <w:tcPr>
            <w:tcW w:w="1043" w:type="dxa"/>
            <w:tcBorders>
              <w:top w:val="nil"/>
              <w:left w:val="nil"/>
              <w:bottom w:val="single" w:sz="4" w:space="0" w:color="auto"/>
              <w:right w:val="single" w:sz="4" w:space="0" w:color="auto"/>
            </w:tcBorders>
            <w:shd w:val="clear" w:color="auto" w:fill="auto"/>
            <w:noWrap/>
            <w:vAlign w:val="bottom"/>
            <w:hideMark/>
          </w:tcPr>
          <w:p w14:paraId="44165326" w14:textId="77777777" w:rsidR="00D20E8D" w:rsidRPr="0038444E" w:rsidRDefault="00D86EC6" w:rsidP="00D86EC6">
            <w:pPr>
              <w:spacing w:after="0"/>
              <w:ind w:firstLine="0"/>
              <w:jc w:val="center"/>
              <w:rPr>
                <w:rFonts w:eastAsia="Times New Roman" w:cs="Times New Roman"/>
                <w:i/>
                <w:sz w:val="20"/>
                <w:szCs w:val="20"/>
                <w:lang w:eastAsia="lv-LV"/>
              </w:rPr>
            </w:pPr>
            <w:r w:rsidRPr="0038444E">
              <w:rPr>
                <w:rFonts w:eastAsia="Times New Roman" w:cs="Times New Roman"/>
                <w:i/>
                <w:sz w:val="20"/>
                <w:szCs w:val="20"/>
                <w:lang w:eastAsia="lv-LV"/>
              </w:rPr>
              <w:t>104</w:t>
            </w:r>
            <w:r w:rsidR="00D20E8D" w:rsidRPr="0038444E">
              <w:rPr>
                <w:rFonts w:eastAsia="Times New Roman" w:cs="Times New Roman"/>
                <w:i/>
                <w:sz w:val="20"/>
                <w:szCs w:val="20"/>
                <w:lang w:eastAsia="lv-LV"/>
              </w:rPr>
              <w:t>,</w:t>
            </w:r>
            <w:r w:rsidRPr="0038444E">
              <w:rPr>
                <w:rFonts w:eastAsia="Times New Roman" w:cs="Times New Roman"/>
                <w:i/>
                <w:sz w:val="20"/>
                <w:szCs w:val="20"/>
                <w:lang w:eastAsia="lv-LV"/>
              </w:rPr>
              <w:t>0</w:t>
            </w:r>
          </w:p>
        </w:tc>
        <w:tc>
          <w:tcPr>
            <w:tcW w:w="992" w:type="dxa"/>
            <w:tcBorders>
              <w:top w:val="nil"/>
              <w:left w:val="nil"/>
              <w:bottom w:val="single" w:sz="4" w:space="0" w:color="auto"/>
              <w:right w:val="single" w:sz="4" w:space="0" w:color="auto"/>
            </w:tcBorders>
            <w:shd w:val="clear" w:color="auto" w:fill="auto"/>
            <w:noWrap/>
            <w:vAlign w:val="bottom"/>
            <w:hideMark/>
          </w:tcPr>
          <w:p w14:paraId="2780B3D8" w14:textId="77777777" w:rsidR="00D20E8D" w:rsidRPr="0038444E" w:rsidRDefault="00D20E8D" w:rsidP="00D86EC6">
            <w:pPr>
              <w:spacing w:after="0"/>
              <w:ind w:firstLine="0"/>
              <w:jc w:val="center"/>
              <w:rPr>
                <w:rFonts w:eastAsia="Times New Roman" w:cs="Times New Roman"/>
                <w:i/>
                <w:sz w:val="20"/>
                <w:szCs w:val="20"/>
                <w:lang w:eastAsia="lv-LV"/>
              </w:rPr>
            </w:pPr>
            <w:r w:rsidRPr="0038444E">
              <w:rPr>
                <w:rFonts w:eastAsia="Times New Roman" w:cs="Times New Roman"/>
                <w:i/>
                <w:sz w:val="20"/>
                <w:szCs w:val="20"/>
                <w:lang w:eastAsia="lv-LV"/>
              </w:rPr>
              <w:t>98,</w:t>
            </w:r>
            <w:r w:rsidR="00D86EC6" w:rsidRPr="0038444E">
              <w:rPr>
                <w:rFonts w:eastAsia="Times New Roman" w:cs="Times New Roman"/>
                <w:i/>
                <w:sz w:val="20"/>
                <w:szCs w:val="20"/>
                <w:lang w:eastAsia="lv-LV"/>
              </w:rPr>
              <w:t>3</w:t>
            </w:r>
          </w:p>
        </w:tc>
        <w:tc>
          <w:tcPr>
            <w:tcW w:w="992" w:type="dxa"/>
            <w:tcBorders>
              <w:top w:val="nil"/>
              <w:left w:val="nil"/>
              <w:bottom w:val="single" w:sz="4" w:space="0" w:color="auto"/>
              <w:right w:val="single" w:sz="4" w:space="0" w:color="auto"/>
            </w:tcBorders>
            <w:shd w:val="clear" w:color="auto" w:fill="auto"/>
            <w:noWrap/>
            <w:vAlign w:val="bottom"/>
            <w:hideMark/>
          </w:tcPr>
          <w:p w14:paraId="0F80338C"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27,5</w:t>
            </w:r>
          </w:p>
        </w:tc>
      </w:tr>
      <w:tr w:rsidR="00D20E8D" w:rsidRPr="0092040F" w14:paraId="79C56903" w14:textId="77777777" w:rsidTr="00420A42">
        <w:trPr>
          <w:trHeight w:val="189"/>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5605A411" w14:textId="77777777" w:rsidR="00D20E8D" w:rsidRPr="0092040F" w:rsidRDefault="00D20E8D" w:rsidP="00D20E8D">
            <w:pPr>
              <w:pStyle w:val="ListParagraph"/>
              <w:numPr>
                <w:ilvl w:val="1"/>
                <w:numId w:val="15"/>
              </w:numPr>
              <w:spacing w:after="0"/>
              <w:jc w:val="left"/>
              <w:rPr>
                <w:rFonts w:eastAsia="Times New Roman" w:cs="Times New Roman"/>
                <w:b/>
                <w:sz w:val="20"/>
                <w:szCs w:val="20"/>
                <w:lang w:eastAsia="lv-LV"/>
              </w:rPr>
            </w:pPr>
            <w:r w:rsidRPr="0092040F">
              <w:rPr>
                <w:rFonts w:eastAsia="Times New Roman" w:cs="Times New Roman"/>
                <w:b/>
                <w:sz w:val="20"/>
                <w:szCs w:val="20"/>
                <w:lang w:eastAsia="lv-LV"/>
              </w:rPr>
              <w:t>Kapitālie izdevumi</w:t>
            </w:r>
          </w:p>
        </w:tc>
        <w:tc>
          <w:tcPr>
            <w:tcW w:w="987" w:type="dxa"/>
            <w:tcBorders>
              <w:top w:val="nil"/>
              <w:left w:val="nil"/>
              <w:bottom w:val="single" w:sz="4" w:space="0" w:color="auto"/>
              <w:right w:val="single" w:sz="4" w:space="0" w:color="auto"/>
            </w:tcBorders>
            <w:shd w:val="clear" w:color="auto" w:fill="auto"/>
            <w:noWrap/>
            <w:vAlign w:val="bottom"/>
            <w:hideMark/>
          </w:tcPr>
          <w:p w14:paraId="3174004F" w14:textId="77777777" w:rsidR="00D20E8D" w:rsidRPr="0092040F"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64 200</w:t>
            </w:r>
          </w:p>
        </w:tc>
        <w:tc>
          <w:tcPr>
            <w:tcW w:w="992" w:type="dxa"/>
            <w:tcBorders>
              <w:top w:val="nil"/>
              <w:left w:val="nil"/>
              <w:bottom w:val="single" w:sz="4" w:space="0" w:color="auto"/>
              <w:right w:val="single" w:sz="4" w:space="0" w:color="auto"/>
            </w:tcBorders>
            <w:shd w:val="clear" w:color="auto" w:fill="auto"/>
            <w:noWrap/>
            <w:vAlign w:val="bottom"/>
          </w:tcPr>
          <w:p w14:paraId="4A3CB243" w14:textId="77777777" w:rsidR="00D20E8D" w:rsidRPr="0092040F"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69 609</w:t>
            </w:r>
          </w:p>
        </w:tc>
        <w:tc>
          <w:tcPr>
            <w:tcW w:w="993" w:type="dxa"/>
            <w:tcBorders>
              <w:top w:val="nil"/>
              <w:left w:val="nil"/>
              <w:bottom w:val="single" w:sz="4" w:space="0" w:color="auto"/>
              <w:right w:val="single" w:sz="4" w:space="0" w:color="auto"/>
            </w:tcBorders>
            <w:shd w:val="clear" w:color="auto" w:fill="auto"/>
            <w:noWrap/>
            <w:vAlign w:val="bottom"/>
            <w:hideMark/>
          </w:tcPr>
          <w:p w14:paraId="158F8CD5" w14:textId="77777777" w:rsidR="00D20E8D" w:rsidRPr="0092040F"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62 821</w:t>
            </w:r>
          </w:p>
        </w:tc>
        <w:tc>
          <w:tcPr>
            <w:tcW w:w="1083" w:type="dxa"/>
            <w:tcBorders>
              <w:top w:val="nil"/>
              <w:left w:val="nil"/>
              <w:bottom w:val="single" w:sz="4" w:space="0" w:color="auto"/>
              <w:right w:val="single" w:sz="4" w:space="0" w:color="auto"/>
            </w:tcBorders>
            <w:shd w:val="clear" w:color="auto" w:fill="auto"/>
            <w:noWrap/>
            <w:vAlign w:val="bottom"/>
            <w:hideMark/>
          </w:tcPr>
          <w:p w14:paraId="3F1A8EB6" w14:textId="77777777" w:rsidR="00D20E8D" w:rsidRPr="0092040F"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422 075</w:t>
            </w:r>
          </w:p>
        </w:tc>
        <w:tc>
          <w:tcPr>
            <w:tcW w:w="1043" w:type="dxa"/>
            <w:tcBorders>
              <w:top w:val="nil"/>
              <w:left w:val="nil"/>
              <w:bottom w:val="single" w:sz="4" w:space="0" w:color="auto"/>
              <w:right w:val="single" w:sz="4" w:space="0" w:color="auto"/>
            </w:tcBorders>
            <w:shd w:val="clear" w:color="auto" w:fill="auto"/>
            <w:noWrap/>
            <w:vAlign w:val="bottom"/>
            <w:hideMark/>
          </w:tcPr>
          <w:p w14:paraId="78E1B2F5" w14:textId="77777777" w:rsidR="00D20E8D" w:rsidRPr="0092040F" w:rsidRDefault="00D20E8D" w:rsidP="00D20E8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97,9</w:t>
            </w:r>
          </w:p>
        </w:tc>
        <w:tc>
          <w:tcPr>
            <w:tcW w:w="992" w:type="dxa"/>
            <w:tcBorders>
              <w:top w:val="nil"/>
              <w:left w:val="nil"/>
              <w:bottom w:val="single" w:sz="4" w:space="0" w:color="auto"/>
              <w:right w:val="single" w:sz="4" w:space="0" w:color="auto"/>
            </w:tcBorders>
            <w:shd w:val="clear" w:color="auto" w:fill="auto"/>
            <w:noWrap/>
            <w:vAlign w:val="bottom"/>
            <w:hideMark/>
          </w:tcPr>
          <w:p w14:paraId="059B4EDA" w14:textId="77777777" w:rsidR="00D20E8D" w:rsidRPr="0092040F" w:rsidRDefault="00D20E8D" w:rsidP="00D20E8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90,2</w:t>
            </w:r>
          </w:p>
        </w:tc>
        <w:tc>
          <w:tcPr>
            <w:tcW w:w="992" w:type="dxa"/>
            <w:tcBorders>
              <w:top w:val="nil"/>
              <w:left w:val="nil"/>
              <w:bottom w:val="single" w:sz="4" w:space="0" w:color="auto"/>
              <w:right w:val="single" w:sz="4" w:space="0" w:color="auto"/>
            </w:tcBorders>
            <w:shd w:val="clear" w:color="auto" w:fill="auto"/>
            <w:noWrap/>
            <w:vAlign w:val="bottom"/>
            <w:hideMark/>
          </w:tcPr>
          <w:p w14:paraId="322CBFC3" w14:textId="77777777" w:rsidR="00D20E8D" w:rsidRPr="0092040F" w:rsidRDefault="00D20E8D" w:rsidP="00D20E8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14,9</w:t>
            </w:r>
          </w:p>
        </w:tc>
      </w:tr>
      <w:tr w:rsidR="00D20E8D" w:rsidRPr="009E332A" w14:paraId="7285765D" w14:textId="77777777" w:rsidTr="00420A42">
        <w:trPr>
          <w:trHeight w:val="137"/>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255A9BBE" w14:textId="77777777" w:rsidR="00D20E8D" w:rsidRPr="009E332A" w:rsidRDefault="00D20E8D" w:rsidP="00D20E8D">
            <w:pPr>
              <w:spacing w:after="0"/>
              <w:ind w:firstLine="0"/>
              <w:jc w:val="left"/>
              <w:rPr>
                <w:rFonts w:eastAsia="Times New Roman" w:cs="Times New Roman"/>
                <w:b/>
                <w:sz w:val="20"/>
                <w:szCs w:val="20"/>
                <w:lang w:eastAsia="lv-LV"/>
              </w:rPr>
            </w:pPr>
            <w:r w:rsidRPr="009E332A">
              <w:rPr>
                <w:rFonts w:eastAsia="Times New Roman" w:cs="Times New Roman"/>
                <w:b/>
                <w:sz w:val="20"/>
                <w:szCs w:val="20"/>
                <w:lang w:eastAsia="lv-LV"/>
              </w:rPr>
              <w:t>Pamatkapitāla veidošana</w:t>
            </w:r>
          </w:p>
        </w:tc>
        <w:tc>
          <w:tcPr>
            <w:tcW w:w="987" w:type="dxa"/>
            <w:tcBorders>
              <w:top w:val="nil"/>
              <w:left w:val="nil"/>
              <w:bottom w:val="single" w:sz="4" w:space="0" w:color="auto"/>
              <w:right w:val="single" w:sz="4" w:space="0" w:color="auto"/>
            </w:tcBorders>
            <w:shd w:val="clear" w:color="auto" w:fill="auto"/>
            <w:noWrap/>
            <w:vAlign w:val="bottom"/>
            <w:hideMark/>
          </w:tcPr>
          <w:p w14:paraId="2015810C" w14:textId="77777777" w:rsidR="00D20E8D" w:rsidRPr="009E332A"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31 240</w:t>
            </w:r>
          </w:p>
        </w:tc>
        <w:tc>
          <w:tcPr>
            <w:tcW w:w="992" w:type="dxa"/>
            <w:tcBorders>
              <w:top w:val="nil"/>
              <w:left w:val="nil"/>
              <w:bottom w:val="single" w:sz="4" w:space="0" w:color="auto"/>
              <w:right w:val="single" w:sz="4" w:space="0" w:color="auto"/>
            </w:tcBorders>
            <w:shd w:val="clear" w:color="auto" w:fill="auto"/>
            <w:noWrap/>
            <w:vAlign w:val="bottom"/>
          </w:tcPr>
          <w:p w14:paraId="74046599" w14:textId="77777777" w:rsidR="00D20E8D" w:rsidRPr="009E332A"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50 029</w:t>
            </w:r>
          </w:p>
        </w:tc>
        <w:tc>
          <w:tcPr>
            <w:tcW w:w="993" w:type="dxa"/>
            <w:tcBorders>
              <w:top w:val="nil"/>
              <w:left w:val="nil"/>
              <w:bottom w:val="single" w:sz="4" w:space="0" w:color="auto"/>
              <w:right w:val="single" w:sz="4" w:space="0" w:color="auto"/>
            </w:tcBorders>
            <w:shd w:val="clear" w:color="auto" w:fill="auto"/>
            <w:noWrap/>
            <w:vAlign w:val="bottom"/>
            <w:hideMark/>
          </w:tcPr>
          <w:p w14:paraId="67BAA048" w14:textId="77777777" w:rsidR="00D20E8D" w:rsidRPr="009E332A"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43 458</w:t>
            </w:r>
          </w:p>
        </w:tc>
        <w:tc>
          <w:tcPr>
            <w:tcW w:w="1083" w:type="dxa"/>
            <w:tcBorders>
              <w:top w:val="nil"/>
              <w:left w:val="nil"/>
              <w:bottom w:val="single" w:sz="4" w:space="0" w:color="auto"/>
              <w:right w:val="single" w:sz="4" w:space="0" w:color="auto"/>
            </w:tcBorders>
            <w:shd w:val="clear" w:color="auto" w:fill="auto"/>
            <w:noWrap/>
            <w:vAlign w:val="bottom"/>
            <w:hideMark/>
          </w:tcPr>
          <w:p w14:paraId="7DA3D42D" w14:textId="77777777" w:rsidR="00D20E8D" w:rsidRPr="009E332A"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328 036</w:t>
            </w:r>
          </w:p>
        </w:tc>
        <w:tc>
          <w:tcPr>
            <w:tcW w:w="1043" w:type="dxa"/>
            <w:tcBorders>
              <w:top w:val="nil"/>
              <w:left w:val="nil"/>
              <w:bottom w:val="single" w:sz="4" w:space="0" w:color="auto"/>
              <w:right w:val="single" w:sz="4" w:space="0" w:color="auto"/>
            </w:tcBorders>
            <w:shd w:val="clear" w:color="auto" w:fill="auto"/>
            <w:noWrap/>
            <w:vAlign w:val="bottom"/>
            <w:hideMark/>
          </w:tcPr>
          <w:p w14:paraId="110FC361" w14:textId="77777777" w:rsidR="00D20E8D" w:rsidRPr="009E332A" w:rsidRDefault="00D20E8D" w:rsidP="00D20E8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139,1</w:t>
            </w:r>
          </w:p>
        </w:tc>
        <w:tc>
          <w:tcPr>
            <w:tcW w:w="992" w:type="dxa"/>
            <w:tcBorders>
              <w:top w:val="nil"/>
              <w:left w:val="nil"/>
              <w:bottom w:val="single" w:sz="4" w:space="0" w:color="auto"/>
              <w:right w:val="single" w:sz="4" w:space="0" w:color="auto"/>
            </w:tcBorders>
            <w:shd w:val="clear" w:color="auto" w:fill="auto"/>
            <w:noWrap/>
            <w:vAlign w:val="bottom"/>
            <w:hideMark/>
          </w:tcPr>
          <w:p w14:paraId="24C70BA0" w14:textId="77777777" w:rsidR="00D20E8D" w:rsidRPr="009E332A" w:rsidRDefault="00D20E8D" w:rsidP="00D20E8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86,9</w:t>
            </w:r>
          </w:p>
        </w:tc>
        <w:tc>
          <w:tcPr>
            <w:tcW w:w="992" w:type="dxa"/>
            <w:tcBorders>
              <w:top w:val="nil"/>
              <w:left w:val="nil"/>
              <w:bottom w:val="single" w:sz="4" w:space="0" w:color="auto"/>
              <w:right w:val="single" w:sz="4" w:space="0" w:color="auto"/>
            </w:tcBorders>
            <w:shd w:val="clear" w:color="auto" w:fill="auto"/>
            <w:noWrap/>
            <w:vAlign w:val="bottom"/>
            <w:hideMark/>
          </w:tcPr>
          <w:p w14:paraId="0315B320" w14:textId="77777777" w:rsidR="00D20E8D" w:rsidRPr="009E332A" w:rsidRDefault="00D20E8D" w:rsidP="00D20E8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13,2</w:t>
            </w:r>
          </w:p>
        </w:tc>
      </w:tr>
      <w:tr w:rsidR="00D20E8D" w:rsidRPr="009E332A" w14:paraId="7D89ED07" w14:textId="77777777" w:rsidTr="00420A42">
        <w:trPr>
          <w:trHeight w:val="422"/>
          <w:jc w:val="center"/>
        </w:trPr>
        <w:tc>
          <w:tcPr>
            <w:tcW w:w="2552" w:type="dxa"/>
            <w:tcBorders>
              <w:top w:val="single" w:sz="4" w:space="0" w:color="auto"/>
              <w:left w:val="single" w:sz="4" w:space="0" w:color="auto"/>
              <w:right w:val="single" w:sz="4" w:space="0" w:color="auto"/>
            </w:tcBorders>
            <w:shd w:val="clear" w:color="auto" w:fill="auto"/>
            <w:vAlign w:val="bottom"/>
            <w:hideMark/>
          </w:tcPr>
          <w:p w14:paraId="051AC048" w14:textId="77777777" w:rsidR="00D20E8D" w:rsidRPr="009E332A" w:rsidRDefault="00D20E8D" w:rsidP="00D20E8D">
            <w:pPr>
              <w:spacing w:after="0"/>
              <w:ind w:firstLine="0"/>
              <w:jc w:val="left"/>
              <w:rPr>
                <w:rFonts w:eastAsia="Times New Roman" w:cs="Times New Roman"/>
                <w:b/>
                <w:sz w:val="20"/>
                <w:szCs w:val="20"/>
                <w:lang w:eastAsia="lv-LV"/>
              </w:rPr>
            </w:pPr>
            <w:r w:rsidRPr="009E332A">
              <w:rPr>
                <w:rFonts w:eastAsia="Times New Roman" w:cs="Times New Roman"/>
                <w:b/>
                <w:sz w:val="20"/>
                <w:szCs w:val="20"/>
                <w:lang w:eastAsia="lv-LV"/>
              </w:rPr>
              <w:t>Kapitālo izdevumu transferti</w:t>
            </w:r>
          </w:p>
        </w:tc>
        <w:tc>
          <w:tcPr>
            <w:tcW w:w="987" w:type="dxa"/>
            <w:tcBorders>
              <w:top w:val="single" w:sz="4" w:space="0" w:color="auto"/>
              <w:left w:val="nil"/>
              <w:right w:val="single" w:sz="4" w:space="0" w:color="auto"/>
            </w:tcBorders>
            <w:shd w:val="clear" w:color="auto" w:fill="auto"/>
            <w:noWrap/>
            <w:vAlign w:val="bottom"/>
            <w:hideMark/>
          </w:tcPr>
          <w:p w14:paraId="6E4F4353" w14:textId="77777777" w:rsidR="00D20E8D" w:rsidRPr="009E332A"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32 960</w:t>
            </w:r>
          </w:p>
        </w:tc>
        <w:tc>
          <w:tcPr>
            <w:tcW w:w="992" w:type="dxa"/>
            <w:tcBorders>
              <w:top w:val="single" w:sz="4" w:space="0" w:color="auto"/>
              <w:left w:val="nil"/>
              <w:right w:val="single" w:sz="4" w:space="0" w:color="auto"/>
            </w:tcBorders>
            <w:shd w:val="clear" w:color="auto" w:fill="auto"/>
            <w:noWrap/>
            <w:vAlign w:val="bottom"/>
          </w:tcPr>
          <w:p w14:paraId="71D6B7B1" w14:textId="77777777" w:rsidR="00D20E8D" w:rsidRPr="009E332A"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19 580</w:t>
            </w:r>
          </w:p>
        </w:tc>
        <w:tc>
          <w:tcPr>
            <w:tcW w:w="993" w:type="dxa"/>
            <w:tcBorders>
              <w:top w:val="single" w:sz="4" w:space="0" w:color="auto"/>
              <w:left w:val="nil"/>
              <w:right w:val="single" w:sz="4" w:space="0" w:color="auto"/>
            </w:tcBorders>
            <w:shd w:val="clear" w:color="auto" w:fill="auto"/>
            <w:noWrap/>
            <w:vAlign w:val="bottom"/>
            <w:hideMark/>
          </w:tcPr>
          <w:p w14:paraId="5551FAE9" w14:textId="77777777" w:rsidR="00D20E8D" w:rsidRPr="009E332A"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19 363</w:t>
            </w:r>
          </w:p>
        </w:tc>
        <w:tc>
          <w:tcPr>
            <w:tcW w:w="1083" w:type="dxa"/>
            <w:tcBorders>
              <w:top w:val="single" w:sz="4" w:space="0" w:color="auto"/>
              <w:left w:val="nil"/>
              <w:right w:val="single" w:sz="4" w:space="0" w:color="auto"/>
            </w:tcBorders>
            <w:shd w:val="clear" w:color="auto" w:fill="auto"/>
            <w:noWrap/>
            <w:vAlign w:val="bottom"/>
            <w:hideMark/>
          </w:tcPr>
          <w:p w14:paraId="45138EFE" w14:textId="77777777" w:rsidR="00D20E8D" w:rsidRPr="009E332A" w:rsidRDefault="00D20E8D" w:rsidP="00D20E8D">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94 039</w:t>
            </w:r>
          </w:p>
        </w:tc>
        <w:tc>
          <w:tcPr>
            <w:tcW w:w="1043" w:type="dxa"/>
            <w:tcBorders>
              <w:top w:val="single" w:sz="4" w:space="0" w:color="auto"/>
              <w:left w:val="nil"/>
              <w:right w:val="single" w:sz="4" w:space="0" w:color="auto"/>
            </w:tcBorders>
            <w:shd w:val="clear" w:color="auto" w:fill="auto"/>
            <w:noWrap/>
            <w:vAlign w:val="bottom"/>
            <w:hideMark/>
          </w:tcPr>
          <w:p w14:paraId="1A6171A7" w14:textId="77777777" w:rsidR="00D20E8D" w:rsidRPr="009E332A" w:rsidRDefault="00D20E8D" w:rsidP="00D20E8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58,7</w:t>
            </w:r>
          </w:p>
        </w:tc>
        <w:tc>
          <w:tcPr>
            <w:tcW w:w="992" w:type="dxa"/>
            <w:tcBorders>
              <w:top w:val="single" w:sz="4" w:space="0" w:color="auto"/>
              <w:left w:val="nil"/>
              <w:right w:val="single" w:sz="4" w:space="0" w:color="auto"/>
            </w:tcBorders>
            <w:shd w:val="clear" w:color="auto" w:fill="auto"/>
            <w:noWrap/>
            <w:vAlign w:val="bottom"/>
            <w:hideMark/>
          </w:tcPr>
          <w:p w14:paraId="2751E32B" w14:textId="77777777" w:rsidR="00D20E8D" w:rsidRPr="009E332A" w:rsidRDefault="00D20E8D" w:rsidP="00D20E8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98,9</w:t>
            </w:r>
          </w:p>
        </w:tc>
        <w:tc>
          <w:tcPr>
            <w:tcW w:w="992" w:type="dxa"/>
            <w:tcBorders>
              <w:top w:val="single" w:sz="4" w:space="0" w:color="auto"/>
              <w:left w:val="nil"/>
              <w:right w:val="single" w:sz="4" w:space="0" w:color="auto"/>
            </w:tcBorders>
            <w:shd w:val="clear" w:color="auto" w:fill="auto"/>
            <w:noWrap/>
            <w:vAlign w:val="bottom"/>
            <w:hideMark/>
          </w:tcPr>
          <w:p w14:paraId="0B84B7C0" w14:textId="77777777" w:rsidR="00D20E8D" w:rsidRPr="009E332A" w:rsidRDefault="00D20E8D" w:rsidP="00D20E8D">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20,6</w:t>
            </w:r>
          </w:p>
        </w:tc>
      </w:tr>
      <w:tr w:rsidR="00D20E8D" w:rsidRPr="008A19B2" w14:paraId="09741B19" w14:textId="77777777" w:rsidTr="00420A42">
        <w:trPr>
          <w:trHeight w:val="528"/>
          <w:jc w:val="center"/>
        </w:trPr>
        <w:tc>
          <w:tcPr>
            <w:tcW w:w="2552" w:type="dxa"/>
            <w:tcBorders>
              <w:left w:val="single" w:sz="4" w:space="0" w:color="auto"/>
              <w:right w:val="single" w:sz="4" w:space="0" w:color="auto"/>
            </w:tcBorders>
            <w:shd w:val="clear" w:color="auto" w:fill="auto"/>
            <w:vAlign w:val="bottom"/>
            <w:hideMark/>
          </w:tcPr>
          <w:p w14:paraId="2F573329" w14:textId="77777777" w:rsidR="00D20E8D" w:rsidRPr="008A19B2" w:rsidRDefault="00D20E8D" w:rsidP="00D20E8D">
            <w:pPr>
              <w:spacing w:after="0"/>
              <w:ind w:firstLine="0"/>
              <w:jc w:val="left"/>
              <w:rPr>
                <w:rFonts w:eastAsia="Times New Roman" w:cs="Times New Roman"/>
                <w:sz w:val="20"/>
                <w:szCs w:val="20"/>
                <w:lang w:eastAsia="lv-LV"/>
              </w:rPr>
            </w:pPr>
            <w:r w:rsidRPr="008A19B2">
              <w:rPr>
                <w:rFonts w:eastAsia="Times New Roman" w:cs="Times New Roman"/>
                <w:sz w:val="20"/>
                <w:szCs w:val="20"/>
                <w:lang w:eastAsia="lv-LV"/>
              </w:rPr>
              <w:t>Valsts budžeta transferti kapitālajiem izdevumiem citiem budžetiem noteiktam mērķim</w:t>
            </w:r>
          </w:p>
        </w:tc>
        <w:tc>
          <w:tcPr>
            <w:tcW w:w="987" w:type="dxa"/>
            <w:tcBorders>
              <w:left w:val="nil"/>
              <w:right w:val="single" w:sz="4" w:space="0" w:color="auto"/>
            </w:tcBorders>
            <w:shd w:val="clear" w:color="auto" w:fill="auto"/>
            <w:noWrap/>
            <w:vAlign w:val="bottom"/>
            <w:hideMark/>
          </w:tcPr>
          <w:p w14:paraId="3F526B0F"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32 960</w:t>
            </w:r>
          </w:p>
        </w:tc>
        <w:tc>
          <w:tcPr>
            <w:tcW w:w="992" w:type="dxa"/>
            <w:tcBorders>
              <w:left w:val="nil"/>
              <w:right w:val="single" w:sz="4" w:space="0" w:color="auto"/>
            </w:tcBorders>
            <w:shd w:val="clear" w:color="auto" w:fill="auto"/>
            <w:noWrap/>
            <w:vAlign w:val="bottom"/>
          </w:tcPr>
          <w:p w14:paraId="57E1FD02"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19 580</w:t>
            </w:r>
          </w:p>
        </w:tc>
        <w:tc>
          <w:tcPr>
            <w:tcW w:w="993" w:type="dxa"/>
            <w:tcBorders>
              <w:left w:val="nil"/>
              <w:right w:val="single" w:sz="4" w:space="0" w:color="auto"/>
            </w:tcBorders>
            <w:shd w:val="clear" w:color="auto" w:fill="auto"/>
            <w:noWrap/>
            <w:vAlign w:val="bottom"/>
            <w:hideMark/>
          </w:tcPr>
          <w:p w14:paraId="13B41869"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19 363</w:t>
            </w:r>
          </w:p>
        </w:tc>
        <w:tc>
          <w:tcPr>
            <w:tcW w:w="1083" w:type="dxa"/>
            <w:tcBorders>
              <w:left w:val="nil"/>
              <w:right w:val="single" w:sz="4" w:space="0" w:color="auto"/>
            </w:tcBorders>
            <w:shd w:val="clear" w:color="auto" w:fill="auto"/>
            <w:noWrap/>
            <w:vAlign w:val="bottom"/>
            <w:hideMark/>
          </w:tcPr>
          <w:p w14:paraId="7F193015" w14:textId="77777777" w:rsidR="00D20E8D" w:rsidRPr="008A19B2" w:rsidRDefault="00D20E8D" w:rsidP="00D20E8D">
            <w:pPr>
              <w:spacing w:after="0"/>
              <w:ind w:firstLine="0"/>
              <w:jc w:val="right"/>
              <w:rPr>
                <w:rFonts w:eastAsia="Times New Roman" w:cs="Times New Roman"/>
                <w:sz w:val="20"/>
                <w:szCs w:val="20"/>
                <w:lang w:eastAsia="lv-LV"/>
              </w:rPr>
            </w:pPr>
            <w:r>
              <w:rPr>
                <w:rFonts w:eastAsia="Times New Roman" w:cs="Times New Roman"/>
                <w:sz w:val="20"/>
                <w:szCs w:val="20"/>
                <w:lang w:eastAsia="lv-LV"/>
              </w:rPr>
              <w:t>94 039</w:t>
            </w:r>
          </w:p>
        </w:tc>
        <w:tc>
          <w:tcPr>
            <w:tcW w:w="1043" w:type="dxa"/>
            <w:tcBorders>
              <w:left w:val="nil"/>
              <w:right w:val="single" w:sz="4" w:space="0" w:color="auto"/>
            </w:tcBorders>
            <w:shd w:val="clear" w:color="auto" w:fill="auto"/>
            <w:noWrap/>
            <w:vAlign w:val="bottom"/>
            <w:hideMark/>
          </w:tcPr>
          <w:p w14:paraId="0456A1D3" w14:textId="77777777" w:rsidR="00D20E8D" w:rsidRPr="008A19B2" w:rsidRDefault="00D20E8D" w:rsidP="00D20E8D">
            <w:pPr>
              <w:spacing w:after="0"/>
              <w:ind w:firstLine="0"/>
              <w:jc w:val="center"/>
              <w:rPr>
                <w:rFonts w:eastAsia="Times New Roman" w:cs="Times New Roman"/>
                <w:sz w:val="20"/>
                <w:szCs w:val="20"/>
                <w:lang w:eastAsia="lv-LV"/>
              </w:rPr>
            </w:pPr>
            <w:r>
              <w:rPr>
                <w:rFonts w:eastAsia="Times New Roman" w:cs="Times New Roman"/>
                <w:sz w:val="20"/>
                <w:szCs w:val="20"/>
                <w:lang w:eastAsia="lv-LV"/>
              </w:rPr>
              <w:t>58,7</w:t>
            </w:r>
          </w:p>
        </w:tc>
        <w:tc>
          <w:tcPr>
            <w:tcW w:w="992" w:type="dxa"/>
            <w:tcBorders>
              <w:left w:val="nil"/>
              <w:right w:val="single" w:sz="4" w:space="0" w:color="auto"/>
            </w:tcBorders>
            <w:shd w:val="clear" w:color="auto" w:fill="auto"/>
            <w:noWrap/>
            <w:vAlign w:val="bottom"/>
            <w:hideMark/>
          </w:tcPr>
          <w:p w14:paraId="0A8AC970" w14:textId="77777777" w:rsidR="00D20E8D" w:rsidRPr="008A19B2" w:rsidRDefault="00D20E8D" w:rsidP="00D20E8D">
            <w:pPr>
              <w:spacing w:after="0"/>
              <w:ind w:firstLine="0"/>
              <w:jc w:val="center"/>
              <w:rPr>
                <w:rFonts w:eastAsia="Times New Roman" w:cs="Times New Roman"/>
                <w:sz w:val="20"/>
                <w:szCs w:val="20"/>
                <w:lang w:eastAsia="lv-LV"/>
              </w:rPr>
            </w:pPr>
            <w:r>
              <w:rPr>
                <w:rFonts w:eastAsia="Times New Roman" w:cs="Times New Roman"/>
                <w:sz w:val="20"/>
                <w:szCs w:val="20"/>
                <w:lang w:eastAsia="lv-LV"/>
              </w:rPr>
              <w:t>98,9</w:t>
            </w:r>
          </w:p>
        </w:tc>
        <w:tc>
          <w:tcPr>
            <w:tcW w:w="992" w:type="dxa"/>
            <w:tcBorders>
              <w:left w:val="nil"/>
              <w:right w:val="single" w:sz="4" w:space="0" w:color="auto"/>
            </w:tcBorders>
            <w:shd w:val="clear" w:color="auto" w:fill="auto"/>
            <w:noWrap/>
            <w:vAlign w:val="bottom"/>
            <w:hideMark/>
          </w:tcPr>
          <w:p w14:paraId="095E807E" w14:textId="77777777" w:rsidR="00D20E8D" w:rsidRPr="008A19B2" w:rsidRDefault="00D20E8D" w:rsidP="00D20E8D">
            <w:pPr>
              <w:spacing w:after="0"/>
              <w:ind w:firstLine="0"/>
              <w:jc w:val="center"/>
              <w:rPr>
                <w:rFonts w:eastAsia="Times New Roman" w:cs="Times New Roman"/>
                <w:sz w:val="20"/>
                <w:szCs w:val="20"/>
                <w:lang w:eastAsia="lv-LV"/>
              </w:rPr>
            </w:pPr>
            <w:r>
              <w:rPr>
                <w:rFonts w:eastAsia="Times New Roman" w:cs="Times New Roman"/>
                <w:sz w:val="20"/>
                <w:szCs w:val="20"/>
                <w:lang w:eastAsia="lv-LV"/>
              </w:rPr>
              <w:t>20,6</w:t>
            </w:r>
          </w:p>
        </w:tc>
      </w:tr>
      <w:tr w:rsidR="00D20E8D" w:rsidRPr="0092040F" w14:paraId="3F28C1C0" w14:textId="77777777" w:rsidTr="00420A42">
        <w:trPr>
          <w:trHeight w:val="528"/>
          <w:jc w:val="center"/>
        </w:trPr>
        <w:tc>
          <w:tcPr>
            <w:tcW w:w="2552" w:type="dxa"/>
            <w:tcBorders>
              <w:top w:val="nil"/>
              <w:left w:val="single" w:sz="4" w:space="0" w:color="auto"/>
              <w:right w:val="single" w:sz="4" w:space="0" w:color="auto"/>
            </w:tcBorders>
            <w:shd w:val="clear" w:color="auto" w:fill="auto"/>
            <w:vAlign w:val="bottom"/>
            <w:hideMark/>
          </w:tcPr>
          <w:p w14:paraId="46403FD6" w14:textId="77777777" w:rsidR="00D20E8D" w:rsidRPr="0092040F" w:rsidRDefault="00D20E8D" w:rsidP="00D20E8D">
            <w:pPr>
              <w:spacing w:after="0"/>
              <w:ind w:firstLine="0"/>
              <w:jc w:val="left"/>
              <w:rPr>
                <w:rFonts w:eastAsia="Times New Roman" w:cs="Times New Roman"/>
                <w:i/>
                <w:sz w:val="20"/>
                <w:szCs w:val="20"/>
                <w:lang w:eastAsia="lv-LV"/>
              </w:rPr>
            </w:pPr>
            <w:r w:rsidRPr="0092040F">
              <w:rPr>
                <w:rFonts w:eastAsia="Times New Roman" w:cs="Times New Roman"/>
                <w:i/>
                <w:sz w:val="20"/>
                <w:szCs w:val="20"/>
                <w:lang w:eastAsia="lv-LV"/>
              </w:rPr>
              <w:t xml:space="preserve">   Valsts budžeta kapitālo izdevumu transferti pašvaldībām noteiktam mērķim</w:t>
            </w:r>
          </w:p>
        </w:tc>
        <w:tc>
          <w:tcPr>
            <w:tcW w:w="987" w:type="dxa"/>
            <w:tcBorders>
              <w:top w:val="nil"/>
              <w:left w:val="nil"/>
              <w:right w:val="single" w:sz="4" w:space="0" w:color="auto"/>
            </w:tcBorders>
            <w:shd w:val="clear" w:color="auto" w:fill="auto"/>
            <w:noWrap/>
            <w:vAlign w:val="bottom"/>
            <w:hideMark/>
          </w:tcPr>
          <w:p w14:paraId="29DDBF99"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0</w:t>
            </w:r>
          </w:p>
        </w:tc>
        <w:tc>
          <w:tcPr>
            <w:tcW w:w="992" w:type="dxa"/>
            <w:tcBorders>
              <w:top w:val="nil"/>
              <w:left w:val="nil"/>
              <w:right w:val="single" w:sz="4" w:space="0" w:color="auto"/>
            </w:tcBorders>
            <w:shd w:val="clear" w:color="auto" w:fill="auto"/>
            <w:noWrap/>
            <w:vAlign w:val="bottom"/>
          </w:tcPr>
          <w:p w14:paraId="3B0C15AB"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0</w:t>
            </w:r>
          </w:p>
        </w:tc>
        <w:tc>
          <w:tcPr>
            <w:tcW w:w="993" w:type="dxa"/>
            <w:tcBorders>
              <w:top w:val="nil"/>
              <w:left w:val="nil"/>
              <w:right w:val="single" w:sz="4" w:space="0" w:color="auto"/>
            </w:tcBorders>
            <w:shd w:val="clear" w:color="auto" w:fill="auto"/>
            <w:noWrap/>
            <w:vAlign w:val="bottom"/>
            <w:hideMark/>
          </w:tcPr>
          <w:p w14:paraId="59A806BA" w14:textId="77777777" w:rsidR="00D20E8D" w:rsidRPr="0092040F" w:rsidRDefault="00D20E8D" w:rsidP="00D20E8D">
            <w:pPr>
              <w:spacing w:after="0"/>
              <w:ind w:firstLine="0"/>
              <w:jc w:val="right"/>
              <w:rPr>
                <w:rFonts w:eastAsia="Times New Roman" w:cs="Times New Roman"/>
                <w:i/>
                <w:sz w:val="20"/>
                <w:szCs w:val="20"/>
                <w:lang w:eastAsia="lv-LV"/>
              </w:rPr>
            </w:pPr>
            <w:r w:rsidRPr="0092040F">
              <w:rPr>
                <w:rFonts w:eastAsia="Times New Roman" w:cs="Times New Roman"/>
                <w:i/>
                <w:sz w:val="20"/>
                <w:szCs w:val="20"/>
                <w:lang w:eastAsia="lv-LV"/>
              </w:rPr>
              <w:t>0</w:t>
            </w:r>
          </w:p>
        </w:tc>
        <w:tc>
          <w:tcPr>
            <w:tcW w:w="1083" w:type="dxa"/>
            <w:tcBorders>
              <w:top w:val="nil"/>
              <w:left w:val="nil"/>
              <w:right w:val="single" w:sz="4" w:space="0" w:color="auto"/>
            </w:tcBorders>
            <w:shd w:val="clear" w:color="auto" w:fill="auto"/>
            <w:noWrap/>
            <w:vAlign w:val="bottom"/>
            <w:hideMark/>
          </w:tcPr>
          <w:p w14:paraId="1E1703F6"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5 288</w:t>
            </w:r>
          </w:p>
        </w:tc>
        <w:tc>
          <w:tcPr>
            <w:tcW w:w="1043" w:type="dxa"/>
            <w:tcBorders>
              <w:top w:val="nil"/>
              <w:left w:val="nil"/>
              <w:right w:val="single" w:sz="4" w:space="0" w:color="auto"/>
            </w:tcBorders>
            <w:shd w:val="clear" w:color="auto" w:fill="auto"/>
            <w:noWrap/>
            <w:vAlign w:val="bottom"/>
            <w:hideMark/>
          </w:tcPr>
          <w:p w14:paraId="73FFA78A" w14:textId="77777777" w:rsidR="00D20E8D" w:rsidRPr="0092040F" w:rsidRDefault="00D20E8D" w:rsidP="00D20E8D">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 </w:t>
            </w:r>
          </w:p>
        </w:tc>
        <w:tc>
          <w:tcPr>
            <w:tcW w:w="992" w:type="dxa"/>
            <w:tcBorders>
              <w:top w:val="nil"/>
              <w:left w:val="nil"/>
              <w:right w:val="single" w:sz="4" w:space="0" w:color="auto"/>
            </w:tcBorders>
            <w:shd w:val="clear" w:color="auto" w:fill="auto"/>
            <w:noWrap/>
            <w:vAlign w:val="bottom"/>
            <w:hideMark/>
          </w:tcPr>
          <w:p w14:paraId="31CB5BA9" w14:textId="77777777" w:rsidR="00D20E8D" w:rsidRPr="0092040F" w:rsidRDefault="00D20E8D" w:rsidP="00D20E8D">
            <w:pPr>
              <w:spacing w:after="0"/>
              <w:ind w:firstLine="0"/>
              <w:jc w:val="center"/>
              <w:rPr>
                <w:rFonts w:eastAsia="Times New Roman" w:cs="Times New Roman"/>
                <w:i/>
                <w:sz w:val="20"/>
                <w:szCs w:val="20"/>
                <w:lang w:eastAsia="lv-LV"/>
              </w:rPr>
            </w:pPr>
            <w:r w:rsidRPr="0092040F">
              <w:rPr>
                <w:rFonts w:eastAsia="Times New Roman" w:cs="Times New Roman"/>
                <w:i/>
                <w:sz w:val="20"/>
                <w:szCs w:val="20"/>
                <w:lang w:eastAsia="lv-LV"/>
              </w:rPr>
              <w:t> </w:t>
            </w:r>
          </w:p>
        </w:tc>
        <w:tc>
          <w:tcPr>
            <w:tcW w:w="992" w:type="dxa"/>
            <w:tcBorders>
              <w:top w:val="nil"/>
              <w:left w:val="nil"/>
              <w:right w:val="single" w:sz="4" w:space="0" w:color="auto"/>
            </w:tcBorders>
            <w:shd w:val="clear" w:color="auto" w:fill="auto"/>
            <w:noWrap/>
            <w:vAlign w:val="bottom"/>
            <w:hideMark/>
          </w:tcPr>
          <w:p w14:paraId="6188260E" w14:textId="77777777" w:rsidR="00D20E8D" w:rsidRPr="0092040F" w:rsidRDefault="00D20E8D" w:rsidP="00D20E8D">
            <w:pPr>
              <w:spacing w:after="0"/>
              <w:ind w:firstLine="0"/>
              <w:jc w:val="center"/>
              <w:rPr>
                <w:rFonts w:eastAsia="Times New Roman" w:cs="Times New Roman"/>
                <w:i/>
                <w:sz w:val="20"/>
                <w:szCs w:val="20"/>
                <w:lang w:eastAsia="lv-LV"/>
              </w:rPr>
            </w:pPr>
          </w:p>
        </w:tc>
      </w:tr>
      <w:tr w:rsidR="00D20E8D" w:rsidRPr="0092040F" w14:paraId="02F209A2" w14:textId="77777777" w:rsidTr="00420A42">
        <w:trPr>
          <w:trHeight w:val="1056"/>
          <w:jc w:val="center"/>
        </w:trPr>
        <w:tc>
          <w:tcPr>
            <w:tcW w:w="2552" w:type="dxa"/>
            <w:tcBorders>
              <w:top w:val="nil"/>
              <w:left w:val="single" w:sz="4" w:space="0" w:color="auto"/>
              <w:right w:val="single" w:sz="4" w:space="0" w:color="auto"/>
            </w:tcBorders>
            <w:shd w:val="clear" w:color="auto" w:fill="auto"/>
            <w:vAlign w:val="bottom"/>
            <w:hideMark/>
          </w:tcPr>
          <w:p w14:paraId="199DB459" w14:textId="77777777" w:rsidR="00D20E8D" w:rsidRPr="0092040F" w:rsidRDefault="00D20E8D" w:rsidP="00D20E8D">
            <w:pPr>
              <w:spacing w:after="0"/>
              <w:ind w:firstLine="0"/>
              <w:jc w:val="left"/>
              <w:rPr>
                <w:rFonts w:eastAsia="Times New Roman" w:cs="Times New Roman"/>
                <w:i/>
                <w:sz w:val="20"/>
                <w:szCs w:val="20"/>
                <w:lang w:eastAsia="lv-LV"/>
              </w:rPr>
            </w:pPr>
            <w:r w:rsidRPr="0092040F">
              <w:rPr>
                <w:rFonts w:eastAsia="Times New Roman" w:cs="Times New Roman"/>
                <w:i/>
                <w:sz w:val="20"/>
                <w:szCs w:val="20"/>
                <w:lang w:eastAsia="lv-LV"/>
              </w:rPr>
              <w:t xml:space="preserve">   Valsts budžeta kapitālo izdevumu transferti pašvaldībām Eiropas Savienības politiku instrumentu un pārējās ārvalstu finanšu palīdzības līdzfinansētajiem projektiem (pasākumiem)</w:t>
            </w:r>
          </w:p>
        </w:tc>
        <w:tc>
          <w:tcPr>
            <w:tcW w:w="987" w:type="dxa"/>
            <w:tcBorders>
              <w:top w:val="nil"/>
              <w:left w:val="nil"/>
              <w:right w:val="single" w:sz="4" w:space="0" w:color="auto"/>
            </w:tcBorders>
            <w:shd w:val="clear" w:color="auto" w:fill="auto"/>
            <w:noWrap/>
            <w:vAlign w:val="bottom"/>
            <w:hideMark/>
          </w:tcPr>
          <w:p w14:paraId="521C8CC1"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28 486</w:t>
            </w:r>
          </w:p>
        </w:tc>
        <w:tc>
          <w:tcPr>
            <w:tcW w:w="992" w:type="dxa"/>
            <w:tcBorders>
              <w:top w:val="nil"/>
              <w:left w:val="nil"/>
              <w:right w:val="single" w:sz="4" w:space="0" w:color="auto"/>
            </w:tcBorders>
            <w:shd w:val="clear" w:color="auto" w:fill="auto"/>
            <w:noWrap/>
            <w:vAlign w:val="bottom"/>
          </w:tcPr>
          <w:p w14:paraId="2C509A76"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17 857</w:t>
            </w:r>
          </w:p>
        </w:tc>
        <w:tc>
          <w:tcPr>
            <w:tcW w:w="993" w:type="dxa"/>
            <w:tcBorders>
              <w:top w:val="nil"/>
              <w:left w:val="nil"/>
              <w:right w:val="single" w:sz="4" w:space="0" w:color="auto"/>
            </w:tcBorders>
            <w:shd w:val="clear" w:color="auto" w:fill="auto"/>
            <w:noWrap/>
            <w:vAlign w:val="bottom"/>
            <w:hideMark/>
          </w:tcPr>
          <w:p w14:paraId="2B426C3F" w14:textId="77777777" w:rsidR="00D20E8D" w:rsidRPr="0092040F" w:rsidRDefault="00D20E8D" w:rsidP="00583906">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17 6</w:t>
            </w:r>
            <w:r w:rsidR="00583906">
              <w:rPr>
                <w:rFonts w:eastAsia="Times New Roman" w:cs="Times New Roman"/>
                <w:i/>
                <w:sz w:val="20"/>
                <w:szCs w:val="20"/>
                <w:lang w:eastAsia="lv-LV"/>
              </w:rPr>
              <w:t>40</w:t>
            </w:r>
          </w:p>
        </w:tc>
        <w:tc>
          <w:tcPr>
            <w:tcW w:w="1083" w:type="dxa"/>
            <w:tcBorders>
              <w:top w:val="nil"/>
              <w:left w:val="nil"/>
              <w:right w:val="single" w:sz="4" w:space="0" w:color="auto"/>
            </w:tcBorders>
            <w:shd w:val="clear" w:color="auto" w:fill="auto"/>
            <w:noWrap/>
            <w:vAlign w:val="bottom"/>
            <w:hideMark/>
          </w:tcPr>
          <w:p w14:paraId="2E3F7C63" w14:textId="77777777" w:rsidR="00D20E8D" w:rsidRPr="0092040F" w:rsidRDefault="00D20E8D" w:rsidP="00D20E8D">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68 064</w:t>
            </w:r>
          </w:p>
        </w:tc>
        <w:tc>
          <w:tcPr>
            <w:tcW w:w="1043" w:type="dxa"/>
            <w:tcBorders>
              <w:top w:val="nil"/>
              <w:left w:val="nil"/>
              <w:right w:val="single" w:sz="4" w:space="0" w:color="auto"/>
            </w:tcBorders>
            <w:shd w:val="clear" w:color="auto" w:fill="auto"/>
            <w:noWrap/>
            <w:vAlign w:val="bottom"/>
            <w:hideMark/>
          </w:tcPr>
          <w:p w14:paraId="5493B117"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61,9</w:t>
            </w:r>
          </w:p>
        </w:tc>
        <w:tc>
          <w:tcPr>
            <w:tcW w:w="992" w:type="dxa"/>
            <w:tcBorders>
              <w:top w:val="nil"/>
              <w:left w:val="nil"/>
              <w:right w:val="single" w:sz="4" w:space="0" w:color="auto"/>
            </w:tcBorders>
            <w:shd w:val="clear" w:color="auto" w:fill="auto"/>
            <w:noWrap/>
            <w:vAlign w:val="bottom"/>
            <w:hideMark/>
          </w:tcPr>
          <w:p w14:paraId="40FD9200"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98,8</w:t>
            </w:r>
          </w:p>
        </w:tc>
        <w:tc>
          <w:tcPr>
            <w:tcW w:w="992" w:type="dxa"/>
            <w:tcBorders>
              <w:top w:val="nil"/>
              <w:left w:val="nil"/>
              <w:right w:val="single" w:sz="4" w:space="0" w:color="auto"/>
            </w:tcBorders>
            <w:shd w:val="clear" w:color="auto" w:fill="auto"/>
            <w:noWrap/>
            <w:vAlign w:val="bottom"/>
            <w:hideMark/>
          </w:tcPr>
          <w:p w14:paraId="5AD6F140" w14:textId="77777777" w:rsidR="00D20E8D" w:rsidRPr="0092040F" w:rsidRDefault="00D20E8D" w:rsidP="00D20E8D">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25,9</w:t>
            </w:r>
          </w:p>
        </w:tc>
      </w:tr>
      <w:tr w:rsidR="00D20E8D" w:rsidRPr="0092040F" w14:paraId="147D7E8A" w14:textId="77777777" w:rsidTr="00C46E2C">
        <w:trPr>
          <w:trHeight w:val="1056"/>
          <w:jc w:val="center"/>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1A68361D" w14:textId="77777777" w:rsidR="00D20E8D" w:rsidRPr="0092040F" w:rsidRDefault="00D20E8D" w:rsidP="00C46E2C">
            <w:pPr>
              <w:spacing w:after="0"/>
              <w:ind w:firstLine="0"/>
              <w:jc w:val="left"/>
              <w:rPr>
                <w:rFonts w:eastAsia="Times New Roman" w:cs="Times New Roman"/>
                <w:i/>
                <w:sz w:val="20"/>
                <w:szCs w:val="20"/>
                <w:lang w:eastAsia="lv-LV"/>
              </w:rPr>
            </w:pPr>
            <w:r w:rsidRPr="0092040F">
              <w:rPr>
                <w:rFonts w:eastAsia="Times New Roman" w:cs="Times New Roman"/>
                <w:i/>
                <w:sz w:val="20"/>
                <w:szCs w:val="20"/>
                <w:lang w:eastAsia="lv-LV"/>
              </w:rPr>
              <w:t xml:space="preserve">   Valsts budžeta kapitālo izdevumu transferti valsts budžeta daļēji finansētām atvasinātām publiskām personām un budžeta nefinansētām iestādēm noteiktam mērķim</w:t>
            </w:r>
          </w:p>
        </w:tc>
        <w:tc>
          <w:tcPr>
            <w:tcW w:w="987" w:type="dxa"/>
            <w:tcBorders>
              <w:top w:val="nil"/>
              <w:left w:val="nil"/>
              <w:bottom w:val="single" w:sz="4" w:space="0" w:color="auto"/>
              <w:right w:val="single" w:sz="4" w:space="0" w:color="auto"/>
            </w:tcBorders>
            <w:shd w:val="clear" w:color="auto" w:fill="auto"/>
            <w:noWrap/>
            <w:vAlign w:val="bottom"/>
            <w:hideMark/>
          </w:tcPr>
          <w:p w14:paraId="2AF0BB19" w14:textId="77777777" w:rsidR="00D20E8D" w:rsidRPr="0092040F" w:rsidRDefault="00D20E8D" w:rsidP="00C46E2C">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4 474</w:t>
            </w:r>
          </w:p>
        </w:tc>
        <w:tc>
          <w:tcPr>
            <w:tcW w:w="992" w:type="dxa"/>
            <w:tcBorders>
              <w:top w:val="nil"/>
              <w:left w:val="nil"/>
              <w:bottom w:val="single" w:sz="4" w:space="0" w:color="auto"/>
              <w:right w:val="single" w:sz="4" w:space="0" w:color="auto"/>
            </w:tcBorders>
            <w:shd w:val="clear" w:color="auto" w:fill="auto"/>
            <w:noWrap/>
            <w:vAlign w:val="bottom"/>
          </w:tcPr>
          <w:p w14:paraId="70468047" w14:textId="77777777" w:rsidR="00D20E8D" w:rsidRPr="0092040F" w:rsidRDefault="00D20E8D" w:rsidP="00C46E2C">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1 723</w:t>
            </w:r>
          </w:p>
        </w:tc>
        <w:tc>
          <w:tcPr>
            <w:tcW w:w="993" w:type="dxa"/>
            <w:tcBorders>
              <w:top w:val="nil"/>
              <w:left w:val="nil"/>
              <w:bottom w:val="single" w:sz="4" w:space="0" w:color="auto"/>
              <w:right w:val="single" w:sz="4" w:space="0" w:color="auto"/>
            </w:tcBorders>
            <w:shd w:val="clear" w:color="auto" w:fill="auto"/>
            <w:noWrap/>
            <w:vAlign w:val="bottom"/>
            <w:hideMark/>
          </w:tcPr>
          <w:p w14:paraId="5BB40799" w14:textId="77777777" w:rsidR="00D20E8D" w:rsidRPr="0092040F" w:rsidRDefault="001C2D66" w:rsidP="00C46E2C">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1 723</w:t>
            </w:r>
          </w:p>
        </w:tc>
        <w:tc>
          <w:tcPr>
            <w:tcW w:w="1083" w:type="dxa"/>
            <w:tcBorders>
              <w:top w:val="nil"/>
              <w:left w:val="nil"/>
              <w:bottom w:val="single" w:sz="4" w:space="0" w:color="auto"/>
              <w:right w:val="single" w:sz="4" w:space="0" w:color="auto"/>
            </w:tcBorders>
            <w:shd w:val="clear" w:color="auto" w:fill="auto"/>
            <w:noWrap/>
            <w:vAlign w:val="bottom"/>
            <w:hideMark/>
          </w:tcPr>
          <w:p w14:paraId="24945053" w14:textId="77777777" w:rsidR="00D20E8D" w:rsidRPr="0092040F" w:rsidRDefault="001C2D66" w:rsidP="00C46E2C">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20 687</w:t>
            </w:r>
          </w:p>
        </w:tc>
        <w:tc>
          <w:tcPr>
            <w:tcW w:w="1043" w:type="dxa"/>
            <w:tcBorders>
              <w:top w:val="nil"/>
              <w:left w:val="nil"/>
              <w:bottom w:val="single" w:sz="4" w:space="0" w:color="auto"/>
              <w:right w:val="single" w:sz="4" w:space="0" w:color="auto"/>
            </w:tcBorders>
            <w:shd w:val="clear" w:color="auto" w:fill="auto"/>
            <w:noWrap/>
            <w:vAlign w:val="bottom"/>
            <w:hideMark/>
          </w:tcPr>
          <w:p w14:paraId="68DA4E86" w14:textId="77777777" w:rsidR="00D20E8D" w:rsidRPr="0092040F" w:rsidRDefault="001C2D66" w:rsidP="00C46E2C">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38,5</w:t>
            </w:r>
          </w:p>
        </w:tc>
        <w:tc>
          <w:tcPr>
            <w:tcW w:w="992" w:type="dxa"/>
            <w:tcBorders>
              <w:top w:val="nil"/>
              <w:left w:val="nil"/>
              <w:bottom w:val="single" w:sz="4" w:space="0" w:color="auto"/>
              <w:right w:val="single" w:sz="4" w:space="0" w:color="auto"/>
            </w:tcBorders>
            <w:shd w:val="clear" w:color="auto" w:fill="auto"/>
            <w:noWrap/>
            <w:vAlign w:val="bottom"/>
            <w:hideMark/>
          </w:tcPr>
          <w:p w14:paraId="1A036ABC" w14:textId="77777777" w:rsidR="00D20E8D" w:rsidRPr="0092040F" w:rsidRDefault="001C2D66" w:rsidP="00C46E2C">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100,0</w:t>
            </w:r>
          </w:p>
        </w:tc>
        <w:tc>
          <w:tcPr>
            <w:tcW w:w="992" w:type="dxa"/>
            <w:tcBorders>
              <w:top w:val="nil"/>
              <w:left w:val="nil"/>
              <w:bottom w:val="single" w:sz="4" w:space="0" w:color="auto"/>
              <w:right w:val="single" w:sz="4" w:space="0" w:color="auto"/>
            </w:tcBorders>
            <w:shd w:val="clear" w:color="auto" w:fill="auto"/>
            <w:noWrap/>
            <w:vAlign w:val="bottom"/>
            <w:hideMark/>
          </w:tcPr>
          <w:p w14:paraId="10227209" w14:textId="77777777" w:rsidR="00D20E8D" w:rsidRPr="0092040F" w:rsidRDefault="001C2D66" w:rsidP="00C46E2C">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8,3</w:t>
            </w:r>
          </w:p>
        </w:tc>
      </w:tr>
      <w:tr w:rsidR="00C46E2C" w:rsidRPr="00C46E2C" w14:paraId="2D1DD078" w14:textId="77777777" w:rsidTr="00C46E2C">
        <w:trPr>
          <w:trHeight w:val="227"/>
          <w:jc w:val="center"/>
        </w:trPr>
        <w:tc>
          <w:tcPr>
            <w:tcW w:w="9634" w:type="dxa"/>
            <w:gridSpan w:val="8"/>
            <w:tcBorders>
              <w:top w:val="single" w:sz="4" w:space="0" w:color="auto"/>
            </w:tcBorders>
            <w:shd w:val="clear" w:color="auto" w:fill="auto"/>
            <w:vAlign w:val="bottom"/>
          </w:tcPr>
          <w:p w14:paraId="2D6C419C" w14:textId="77777777" w:rsidR="00C46E2C" w:rsidRPr="00C46E2C" w:rsidRDefault="00C46E2C" w:rsidP="00C46E2C">
            <w:pPr>
              <w:spacing w:after="0"/>
              <w:ind w:left="284" w:hanging="284"/>
              <w:rPr>
                <w:rFonts w:eastAsia="Times New Roman" w:cs="Times New Roman"/>
                <w:i/>
                <w:sz w:val="16"/>
                <w:szCs w:val="20"/>
                <w:lang w:eastAsia="lv-LV"/>
              </w:rPr>
            </w:pPr>
            <w:r w:rsidRPr="00C46E2C">
              <w:rPr>
                <w:rFonts w:eastAsia="Times New Roman"/>
                <w:sz w:val="16"/>
                <w:szCs w:val="20"/>
              </w:rPr>
              <w:t>* Pārskata periodā spēkā esošais 2015.gada plāns atbilstoši likumam „Par valsts budžetu 2015.gadam” ar Finanšu ministrijas rīkojumiem</w:t>
            </w:r>
          </w:p>
        </w:tc>
      </w:tr>
    </w:tbl>
    <w:p w14:paraId="6BD35A6A" w14:textId="77777777" w:rsidR="00C46E2C" w:rsidRPr="00420A42" w:rsidRDefault="00C46E2C" w:rsidP="00C46E2C">
      <w:pPr>
        <w:spacing w:after="0"/>
        <w:ind w:left="284" w:hanging="284"/>
        <w:rPr>
          <w:rFonts w:eastAsia="Times New Roman"/>
          <w:sz w:val="20"/>
          <w:szCs w:val="20"/>
        </w:rPr>
      </w:pPr>
    </w:p>
    <w:p w14:paraId="26409802" w14:textId="77777777" w:rsidR="00CA33A5" w:rsidRPr="001C1C52" w:rsidRDefault="00CA33A5" w:rsidP="00CA33A5">
      <w:pPr>
        <w:rPr>
          <w:rFonts w:eastAsia="Times New Roman"/>
          <w:sz w:val="24"/>
          <w:szCs w:val="20"/>
        </w:rPr>
      </w:pPr>
      <w:r w:rsidRPr="001C1C52">
        <w:rPr>
          <w:rFonts w:eastAsia="Times New Roman"/>
          <w:sz w:val="24"/>
          <w:szCs w:val="20"/>
        </w:rPr>
        <w:t>201</w:t>
      </w:r>
      <w:r w:rsidR="00FB6673" w:rsidRPr="001C1C52">
        <w:rPr>
          <w:rFonts w:eastAsia="Times New Roman"/>
          <w:sz w:val="24"/>
          <w:szCs w:val="20"/>
        </w:rPr>
        <w:t>5</w:t>
      </w:r>
      <w:r w:rsidR="008F42F1" w:rsidRPr="001C1C52">
        <w:rPr>
          <w:rFonts w:eastAsia="Times New Roman"/>
          <w:sz w:val="24"/>
          <w:szCs w:val="20"/>
        </w:rPr>
        <w:t>.</w:t>
      </w:r>
      <w:r w:rsidRPr="001C1C52">
        <w:rPr>
          <w:rFonts w:eastAsia="Times New Roman"/>
          <w:sz w:val="24"/>
          <w:szCs w:val="20"/>
        </w:rPr>
        <w:t>gada pirmajā ceturksnī, salīdzinot ar 201</w:t>
      </w:r>
      <w:r w:rsidR="00FB6673" w:rsidRPr="001C1C52">
        <w:rPr>
          <w:rFonts w:eastAsia="Times New Roman"/>
          <w:sz w:val="24"/>
          <w:szCs w:val="20"/>
        </w:rPr>
        <w:t>4</w:t>
      </w:r>
      <w:r w:rsidR="008F42F1" w:rsidRPr="001C1C52">
        <w:rPr>
          <w:rFonts w:eastAsia="Times New Roman"/>
          <w:sz w:val="24"/>
          <w:szCs w:val="20"/>
        </w:rPr>
        <w:t>.</w:t>
      </w:r>
      <w:r w:rsidRPr="001C1C52">
        <w:rPr>
          <w:rFonts w:eastAsia="Times New Roman"/>
          <w:sz w:val="24"/>
          <w:szCs w:val="20"/>
        </w:rPr>
        <w:t xml:space="preserve">gada atbilstošo periodu, valsts pamatbudžeta izlietotie līdzekļi ir palielinājušies par </w:t>
      </w:r>
      <w:r w:rsidR="00FB6673" w:rsidRPr="001C1C52">
        <w:rPr>
          <w:rFonts w:eastAsia="Times New Roman"/>
          <w:sz w:val="24"/>
          <w:szCs w:val="20"/>
        </w:rPr>
        <w:t>73,6</w:t>
      </w:r>
      <w:r w:rsidR="0006091D" w:rsidRPr="001C1C52">
        <w:rPr>
          <w:rFonts w:eastAsia="Times New Roman"/>
          <w:sz w:val="24"/>
          <w:szCs w:val="20"/>
        </w:rPr>
        <w:t xml:space="preserve"> m</w:t>
      </w:r>
      <w:r w:rsidRPr="001C1C52">
        <w:rPr>
          <w:rFonts w:eastAsia="Times New Roman"/>
          <w:sz w:val="24"/>
          <w:szCs w:val="20"/>
        </w:rPr>
        <w:t xml:space="preserve">ilj. </w:t>
      </w:r>
      <w:r w:rsidR="0083538B" w:rsidRPr="001C1C52">
        <w:rPr>
          <w:rFonts w:eastAsia="Times New Roman"/>
          <w:i/>
          <w:sz w:val="24"/>
          <w:szCs w:val="20"/>
        </w:rPr>
        <w:t>euro</w:t>
      </w:r>
      <w:r w:rsidRPr="001C1C52">
        <w:rPr>
          <w:rFonts w:eastAsia="Times New Roman"/>
          <w:sz w:val="24"/>
          <w:szCs w:val="20"/>
        </w:rPr>
        <w:t xml:space="preserve"> jeb </w:t>
      </w:r>
      <w:r w:rsidR="00FB6673" w:rsidRPr="001C1C52">
        <w:rPr>
          <w:rFonts w:eastAsia="Times New Roman"/>
          <w:sz w:val="24"/>
          <w:szCs w:val="20"/>
        </w:rPr>
        <w:t>6,0</w:t>
      </w:r>
      <w:r w:rsidRPr="001C1C52">
        <w:rPr>
          <w:rFonts w:eastAsia="Times New Roman"/>
          <w:sz w:val="24"/>
          <w:szCs w:val="20"/>
        </w:rPr>
        <w:t xml:space="preserve"> procentiem.</w:t>
      </w:r>
    </w:p>
    <w:p w14:paraId="1714562D" w14:textId="77777777" w:rsidR="00FB6673" w:rsidRPr="001C1C52" w:rsidRDefault="002367B2" w:rsidP="00FB6673">
      <w:pPr>
        <w:spacing w:after="0"/>
        <w:rPr>
          <w:rFonts w:eastAsia="Times New Roman"/>
          <w:sz w:val="24"/>
          <w:szCs w:val="20"/>
        </w:rPr>
      </w:pPr>
      <w:r w:rsidRPr="001C1C52">
        <w:rPr>
          <w:rFonts w:eastAsia="Times New Roman"/>
          <w:sz w:val="24"/>
          <w:szCs w:val="20"/>
        </w:rPr>
        <w:t>V</w:t>
      </w:r>
      <w:r w:rsidR="00CA33A5" w:rsidRPr="001C1C52">
        <w:rPr>
          <w:rFonts w:eastAsia="Times New Roman"/>
          <w:sz w:val="24"/>
          <w:szCs w:val="20"/>
        </w:rPr>
        <w:t xml:space="preserve">alsts pamatbudžeta </w:t>
      </w:r>
      <w:r w:rsidR="000C3807" w:rsidRPr="001C1C52">
        <w:rPr>
          <w:rFonts w:eastAsia="Times New Roman"/>
          <w:sz w:val="24"/>
          <w:szCs w:val="20"/>
        </w:rPr>
        <w:t xml:space="preserve">uzturēšanas </w:t>
      </w:r>
      <w:r w:rsidR="00CA33A5" w:rsidRPr="001C1C52">
        <w:rPr>
          <w:rFonts w:eastAsia="Times New Roman"/>
          <w:sz w:val="24"/>
          <w:szCs w:val="20"/>
        </w:rPr>
        <w:t>izdevum</w:t>
      </w:r>
      <w:r w:rsidR="000C3807" w:rsidRPr="001C1C52">
        <w:rPr>
          <w:rFonts w:eastAsia="Times New Roman"/>
          <w:sz w:val="24"/>
          <w:szCs w:val="20"/>
        </w:rPr>
        <w:t>i</w:t>
      </w:r>
      <w:r w:rsidR="00CA33A5" w:rsidRPr="001C1C52">
        <w:rPr>
          <w:rFonts w:eastAsia="Times New Roman"/>
          <w:sz w:val="24"/>
          <w:szCs w:val="20"/>
        </w:rPr>
        <w:t>, salīdzinot ar 201</w:t>
      </w:r>
      <w:r w:rsidR="00FB6673" w:rsidRPr="001C1C52">
        <w:rPr>
          <w:rFonts w:eastAsia="Times New Roman"/>
          <w:sz w:val="24"/>
          <w:szCs w:val="20"/>
        </w:rPr>
        <w:t>4</w:t>
      </w:r>
      <w:r w:rsidR="008F42F1" w:rsidRPr="001C1C52">
        <w:rPr>
          <w:rFonts w:eastAsia="Times New Roman"/>
          <w:sz w:val="24"/>
          <w:szCs w:val="20"/>
        </w:rPr>
        <w:t>.</w:t>
      </w:r>
      <w:r w:rsidR="00CA33A5" w:rsidRPr="001C1C52">
        <w:rPr>
          <w:rFonts w:eastAsia="Times New Roman"/>
          <w:sz w:val="24"/>
          <w:szCs w:val="20"/>
        </w:rPr>
        <w:t xml:space="preserve">gada atbilstošo periodu, </w:t>
      </w:r>
      <w:r w:rsidR="00A97EAE" w:rsidRPr="001C1C52">
        <w:rPr>
          <w:rFonts w:eastAsia="Times New Roman"/>
          <w:sz w:val="24"/>
          <w:szCs w:val="20"/>
        </w:rPr>
        <w:t xml:space="preserve">palielinājušies par </w:t>
      </w:r>
      <w:r w:rsidR="00FB6673" w:rsidRPr="001C1C52">
        <w:rPr>
          <w:rFonts w:eastAsia="Times New Roman"/>
          <w:sz w:val="24"/>
          <w:szCs w:val="20"/>
        </w:rPr>
        <w:t>75,0</w:t>
      </w:r>
      <w:r w:rsidR="00A97EAE" w:rsidRPr="001C1C52">
        <w:rPr>
          <w:rFonts w:eastAsia="Times New Roman"/>
          <w:sz w:val="24"/>
          <w:szCs w:val="20"/>
        </w:rPr>
        <w:t xml:space="preserve"> milj. </w:t>
      </w:r>
      <w:r w:rsidR="00A97EAE" w:rsidRPr="001C1C52">
        <w:rPr>
          <w:rFonts w:eastAsia="Times New Roman"/>
          <w:i/>
          <w:sz w:val="24"/>
          <w:szCs w:val="20"/>
        </w:rPr>
        <w:t>euro</w:t>
      </w:r>
      <w:r w:rsidR="00A97EAE" w:rsidRPr="001C1C52">
        <w:rPr>
          <w:rFonts w:eastAsia="Times New Roman"/>
          <w:sz w:val="24"/>
          <w:szCs w:val="20"/>
        </w:rPr>
        <w:t xml:space="preserve"> jeb </w:t>
      </w:r>
      <w:r w:rsidR="00FB6673" w:rsidRPr="001C1C52">
        <w:rPr>
          <w:rFonts w:eastAsia="Times New Roman"/>
          <w:sz w:val="24"/>
          <w:szCs w:val="20"/>
        </w:rPr>
        <w:t>6,4</w:t>
      </w:r>
      <w:r w:rsidR="00A97EAE" w:rsidRPr="001C1C52">
        <w:rPr>
          <w:rFonts w:eastAsia="Times New Roman"/>
          <w:sz w:val="24"/>
          <w:szCs w:val="20"/>
        </w:rPr>
        <w:t>%, ta</w:t>
      </w:r>
      <w:r w:rsidR="00794AC0" w:rsidRPr="001C1C52">
        <w:rPr>
          <w:rFonts w:eastAsia="Times New Roman"/>
          <w:sz w:val="24"/>
          <w:szCs w:val="20"/>
        </w:rPr>
        <w:t>i</w:t>
      </w:r>
      <w:r w:rsidR="00A97EAE" w:rsidRPr="001C1C52">
        <w:rPr>
          <w:rFonts w:eastAsia="Times New Roman"/>
          <w:sz w:val="24"/>
          <w:szCs w:val="20"/>
        </w:rPr>
        <w:t xml:space="preserve"> skaitā </w:t>
      </w:r>
      <w:r w:rsidRPr="001C1C52">
        <w:rPr>
          <w:rFonts w:eastAsia="Times New Roman"/>
          <w:sz w:val="24"/>
          <w:szCs w:val="20"/>
        </w:rPr>
        <w:t xml:space="preserve">kārtējie izdevumi palielinājušies par </w:t>
      </w:r>
      <w:r w:rsidR="00FB6673" w:rsidRPr="001C1C52">
        <w:rPr>
          <w:rFonts w:eastAsia="Times New Roman"/>
          <w:sz w:val="24"/>
          <w:szCs w:val="20"/>
        </w:rPr>
        <w:t>27,7</w:t>
      </w:r>
      <w:r w:rsidRPr="001C1C52">
        <w:rPr>
          <w:rFonts w:eastAsia="Times New Roman"/>
          <w:sz w:val="24"/>
          <w:szCs w:val="20"/>
        </w:rPr>
        <w:t xml:space="preserve"> milj. </w:t>
      </w:r>
      <w:r w:rsidRPr="001C1C52">
        <w:rPr>
          <w:rFonts w:eastAsia="Times New Roman"/>
          <w:i/>
          <w:sz w:val="24"/>
          <w:szCs w:val="20"/>
        </w:rPr>
        <w:t xml:space="preserve">euro </w:t>
      </w:r>
      <w:r w:rsidRPr="001C1C52">
        <w:rPr>
          <w:rFonts w:eastAsia="Times New Roman"/>
          <w:sz w:val="24"/>
          <w:szCs w:val="20"/>
        </w:rPr>
        <w:t xml:space="preserve">jeb </w:t>
      </w:r>
      <w:r w:rsidR="00FB6673" w:rsidRPr="001C1C52">
        <w:rPr>
          <w:rFonts w:eastAsia="Times New Roman"/>
          <w:sz w:val="24"/>
          <w:szCs w:val="20"/>
        </w:rPr>
        <w:t>9,5</w:t>
      </w:r>
      <w:r w:rsidRPr="001C1C52">
        <w:rPr>
          <w:rFonts w:eastAsia="Times New Roman"/>
          <w:sz w:val="24"/>
          <w:szCs w:val="20"/>
        </w:rPr>
        <w:t xml:space="preserve">%, no tā izdevumi atlīdzībai par </w:t>
      </w:r>
      <w:r w:rsidR="00FB6673" w:rsidRPr="001C1C52">
        <w:rPr>
          <w:rFonts w:eastAsia="Times New Roman"/>
          <w:sz w:val="24"/>
          <w:szCs w:val="20"/>
        </w:rPr>
        <w:t>9,8</w:t>
      </w:r>
      <w:r w:rsidRPr="001C1C52">
        <w:rPr>
          <w:rFonts w:eastAsia="Times New Roman"/>
          <w:sz w:val="24"/>
          <w:szCs w:val="20"/>
        </w:rPr>
        <w:t xml:space="preserve"> milj. </w:t>
      </w:r>
      <w:r w:rsidRPr="001C1C52">
        <w:rPr>
          <w:rFonts w:eastAsia="Times New Roman"/>
          <w:i/>
          <w:sz w:val="24"/>
          <w:szCs w:val="20"/>
        </w:rPr>
        <w:t>euro</w:t>
      </w:r>
      <w:r w:rsidRPr="001C1C52">
        <w:rPr>
          <w:rFonts w:eastAsia="Times New Roman"/>
          <w:sz w:val="24"/>
          <w:szCs w:val="20"/>
        </w:rPr>
        <w:t xml:space="preserve"> jeb </w:t>
      </w:r>
      <w:r w:rsidR="00FB6673" w:rsidRPr="001C1C52">
        <w:rPr>
          <w:rFonts w:eastAsia="Times New Roman"/>
          <w:sz w:val="24"/>
          <w:szCs w:val="20"/>
        </w:rPr>
        <w:t>5,7</w:t>
      </w:r>
      <w:r w:rsidRPr="001C1C52">
        <w:rPr>
          <w:rFonts w:eastAsia="Times New Roman"/>
          <w:sz w:val="24"/>
          <w:szCs w:val="20"/>
        </w:rPr>
        <w:t xml:space="preserve">% (atalgojums par </w:t>
      </w:r>
      <w:r w:rsidR="00FB6673" w:rsidRPr="001C1C52">
        <w:rPr>
          <w:rFonts w:eastAsia="Times New Roman"/>
          <w:sz w:val="24"/>
          <w:szCs w:val="20"/>
        </w:rPr>
        <w:t>6,7</w:t>
      </w:r>
      <w:r w:rsidRPr="001C1C52">
        <w:rPr>
          <w:rFonts w:eastAsia="Times New Roman"/>
          <w:sz w:val="24"/>
          <w:szCs w:val="20"/>
        </w:rPr>
        <w:t xml:space="preserve"> milj. </w:t>
      </w:r>
      <w:r w:rsidRPr="001C1C52">
        <w:rPr>
          <w:rFonts w:eastAsia="Times New Roman"/>
          <w:i/>
          <w:sz w:val="24"/>
          <w:szCs w:val="20"/>
        </w:rPr>
        <w:t>euro</w:t>
      </w:r>
      <w:r w:rsidRPr="001C1C52">
        <w:rPr>
          <w:rFonts w:eastAsia="Times New Roman"/>
          <w:sz w:val="24"/>
          <w:szCs w:val="20"/>
        </w:rPr>
        <w:t xml:space="preserve"> jeb </w:t>
      </w:r>
      <w:r w:rsidR="00FB6673" w:rsidRPr="001C1C52">
        <w:rPr>
          <w:rFonts w:eastAsia="Times New Roman"/>
          <w:sz w:val="24"/>
          <w:szCs w:val="20"/>
        </w:rPr>
        <w:t>5,2</w:t>
      </w:r>
      <w:r w:rsidRPr="001C1C52">
        <w:rPr>
          <w:rFonts w:eastAsia="Times New Roman"/>
          <w:sz w:val="24"/>
          <w:szCs w:val="20"/>
        </w:rPr>
        <w:t xml:space="preserve">%), izdevumi precēm un pakalpojumiem – par </w:t>
      </w:r>
      <w:r w:rsidR="00FB6673" w:rsidRPr="001C1C52">
        <w:rPr>
          <w:rFonts w:eastAsia="Times New Roman"/>
          <w:sz w:val="24"/>
          <w:szCs w:val="20"/>
        </w:rPr>
        <w:t>17,9</w:t>
      </w:r>
      <w:r w:rsidRPr="001C1C52">
        <w:rPr>
          <w:rFonts w:eastAsia="Times New Roman"/>
          <w:sz w:val="24"/>
          <w:szCs w:val="20"/>
        </w:rPr>
        <w:t xml:space="preserve"> milj. </w:t>
      </w:r>
      <w:r w:rsidRPr="001C1C52">
        <w:rPr>
          <w:rFonts w:eastAsia="Times New Roman"/>
          <w:i/>
          <w:sz w:val="24"/>
          <w:szCs w:val="20"/>
        </w:rPr>
        <w:t>euro</w:t>
      </w:r>
      <w:r w:rsidRPr="001C1C52">
        <w:rPr>
          <w:rFonts w:eastAsia="Times New Roman"/>
          <w:sz w:val="24"/>
          <w:szCs w:val="20"/>
        </w:rPr>
        <w:t xml:space="preserve"> jeb </w:t>
      </w:r>
      <w:r w:rsidR="00FB6673" w:rsidRPr="001C1C52">
        <w:rPr>
          <w:rFonts w:eastAsia="Times New Roman"/>
          <w:sz w:val="24"/>
          <w:szCs w:val="20"/>
        </w:rPr>
        <w:t>15,2%</w:t>
      </w:r>
      <w:r w:rsidRPr="001C1C52">
        <w:rPr>
          <w:rFonts w:eastAsia="Times New Roman"/>
          <w:sz w:val="24"/>
          <w:szCs w:val="20"/>
        </w:rPr>
        <w:t xml:space="preserve">. Procentu izdevumi </w:t>
      </w:r>
      <w:r w:rsidR="00FB6673" w:rsidRPr="001C1C52">
        <w:rPr>
          <w:rFonts w:eastAsia="Times New Roman"/>
          <w:sz w:val="24"/>
          <w:szCs w:val="20"/>
        </w:rPr>
        <w:t>samaz</w:t>
      </w:r>
      <w:r w:rsidRPr="001C1C52">
        <w:rPr>
          <w:rFonts w:eastAsia="Times New Roman"/>
          <w:sz w:val="24"/>
          <w:szCs w:val="20"/>
        </w:rPr>
        <w:t xml:space="preserve">inājušies par </w:t>
      </w:r>
      <w:r w:rsidR="00FB6673" w:rsidRPr="001C1C52">
        <w:rPr>
          <w:rFonts w:eastAsia="Times New Roman"/>
          <w:sz w:val="24"/>
          <w:szCs w:val="20"/>
        </w:rPr>
        <w:t>1,5</w:t>
      </w:r>
      <w:r w:rsidRPr="001C1C52">
        <w:rPr>
          <w:rFonts w:eastAsia="Times New Roman"/>
          <w:sz w:val="24"/>
          <w:szCs w:val="20"/>
        </w:rPr>
        <w:t xml:space="preserve"> milj. </w:t>
      </w:r>
      <w:r w:rsidRPr="001C1C52">
        <w:rPr>
          <w:rFonts w:eastAsia="Times New Roman"/>
          <w:i/>
          <w:sz w:val="24"/>
          <w:szCs w:val="20"/>
        </w:rPr>
        <w:t>euro</w:t>
      </w:r>
      <w:r w:rsidRPr="001C1C52">
        <w:rPr>
          <w:rFonts w:eastAsia="Times New Roman"/>
          <w:sz w:val="24"/>
          <w:szCs w:val="20"/>
        </w:rPr>
        <w:t xml:space="preserve"> jeb </w:t>
      </w:r>
      <w:r w:rsidR="00FB6673" w:rsidRPr="001C1C52">
        <w:rPr>
          <w:rFonts w:eastAsia="Times New Roman"/>
          <w:sz w:val="24"/>
          <w:szCs w:val="20"/>
        </w:rPr>
        <w:t>1,1</w:t>
      </w:r>
      <w:r w:rsidRPr="001C1C52">
        <w:rPr>
          <w:rFonts w:eastAsia="Times New Roman"/>
          <w:sz w:val="24"/>
          <w:szCs w:val="20"/>
        </w:rPr>
        <w:t xml:space="preserve">%, izdevumi </w:t>
      </w:r>
      <w:r w:rsidR="00CA33A5" w:rsidRPr="001C1C52">
        <w:rPr>
          <w:rFonts w:eastAsia="Times New Roman"/>
          <w:sz w:val="24"/>
          <w:szCs w:val="20"/>
        </w:rPr>
        <w:t>subsī</w:t>
      </w:r>
      <w:r w:rsidR="00CA33A5" w:rsidRPr="001C1C52">
        <w:rPr>
          <w:rFonts w:eastAsia="Times New Roman"/>
          <w:sz w:val="24"/>
          <w:szCs w:val="20"/>
        </w:rPr>
        <w:softHyphen/>
        <w:t>dijām, dotācijām un sociālajiem pabalstiem</w:t>
      </w:r>
      <w:r w:rsidRPr="001C1C52">
        <w:rPr>
          <w:rFonts w:eastAsia="Times New Roman"/>
          <w:sz w:val="24"/>
          <w:szCs w:val="20"/>
        </w:rPr>
        <w:t xml:space="preserve"> palielinājušies par </w:t>
      </w:r>
      <w:r w:rsidR="00FB6673" w:rsidRPr="001C1C52">
        <w:rPr>
          <w:rFonts w:eastAsia="Times New Roman"/>
          <w:sz w:val="24"/>
          <w:szCs w:val="20"/>
        </w:rPr>
        <w:t>42,2</w:t>
      </w:r>
      <w:r w:rsidRPr="001C1C52">
        <w:rPr>
          <w:rFonts w:eastAsia="Times New Roman"/>
          <w:sz w:val="24"/>
          <w:szCs w:val="20"/>
        </w:rPr>
        <w:t xml:space="preserve"> milj. </w:t>
      </w:r>
      <w:r w:rsidRPr="001C1C52">
        <w:rPr>
          <w:rFonts w:eastAsia="Times New Roman"/>
          <w:i/>
          <w:sz w:val="24"/>
          <w:szCs w:val="20"/>
        </w:rPr>
        <w:t>euro</w:t>
      </w:r>
      <w:r w:rsidRPr="001C1C52">
        <w:rPr>
          <w:rFonts w:eastAsia="Times New Roman"/>
          <w:sz w:val="24"/>
          <w:szCs w:val="20"/>
        </w:rPr>
        <w:t xml:space="preserve"> jeb </w:t>
      </w:r>
      <w:r w:rsidR="00FB6673" w:rsidRPr="001C1C52">
        <w:rPr>
          <w:rFonts w:eastAsia="Times New Roman"/>
          <w:sz w:val="24"/>
          <w:szCs w:val="20"/>
        </w:rPr>
        <w:t>10,2</w:t>
      </w:r>
      <w:r w:rsidRPr="001C1C52">
        <w:rPr>
          <w:rFonts w:eastAsia="Times New Roman"/>
          <w:sz w:val="24"/>
          <w:szCs w:val="20"/>
        </w:rPr>
        <w:t>%</w:t>
      </w:r>
      <w:r w:rsidR="00CA33A5" w:rsidRPr="001C1C52">
        <w:rPr>
          <w:rFonts w:eastAsia="Times New Roman"/>
          <w:sz w:val="24"/>
          <w:szCs w:val="20"/>
        </w:rPr>
        <w:t xml:space="preserve">, </w:t>
      </w:r>
      <w:r w:rsidR="00A97EAE" w:rsidRPr="001C1C52">
        <w:rPr>
          <w:rFonts w:eastAsia="Times New Roman"/>
          <w:sz w:val="24"/>
          <w:szCs w:val="20"/>
        </w:rPr>
        <w:t>no tā</w:t>
      </w:r>
      <w:r w:rsidR="00CA33A5" w:rsidRPr="001C1C52">
        <w:rPr>
          <w:rFonts w:eastAsia="Times New Roman"/>
          <w:sz w:val="24"/>
          <w:szCs w:val="20"/>
        </w:rPr>
        <w:t xml:space="preserve"> </w:t>
      </w:r>
      <w:r w:rsidRPr="001C1C52">
        <w:rPr>
          <w:rFonts w:eastAsia="Times New Roman"/>
          <w:sz w:val="24"/>
          <w:szCs w:val="20"/>
        </w:rPr>
        <w:t xml:space="preserve">izdevumi </w:t>
      </w:r>
      <w:r w:rsidR="00CA33A5" w:rsidRPr="001C1C52">
        <w:rPr>
          <w:rFonts w:eastAsia="Times New Roman"/>
          <w:sz w:val="24"/>
          <w:szCs w:val="20"/>
        </w:rPr>
        <w:t xml:space="preserve">subsīdijām un dotācijām – par </w:t>
      </w:r>
      <w:r w:rsidR="00FB6673" w:rsidRPr="001C1C52">
        <w:rPr>
          <w:rFonts w:eastAsia="Times New Roman"/>
          <w:sz w:val="24"/>
          <w:szCs w:val="20"/>
        </w:rPr>
        <w:t>24,7</w:t>
      </w:r>
      <w:r w:rsidR="0006091D" w:rsidRPr="001C1C52">
        <w:rPr>
          <w:rFonts w:eastAsia="Times New Roman"/>
          <w:sz w:val="24"/>
          <w:szCs w:val="20"/>
        </w:rPr>
        <w:t xml:space="preserve"> </w:t>
      </w:r>
      <w:r w:rsidR="00CA33A5" w:rsidRPr="001C1C52">
        <w:rPr>
          <w:rFonts w:eastAsia="Times New Roman"/>
          <w:sz w:val="24"/>
          <w:szCs w:val="20"/>
        </w:rPr>
        <w:t xml:space="preserve">milj. </w:t>
      </w:r>
      <w:r w:rsidR="0083538B" w:rsidRPr="001C1C52">
        <w:rPr>
          <w:rFonts w:eastAsia="Times New Roman"/>
          <w:i/>
          <w:sz w:val="24"/>
          <w:szCs w:val="20"/>
        </w:rPr>
        <w:t>euro</w:t>
      </w:r>
      <w:r w:rsidR="00CA33A5" w:rsidRPr="001C1C52">
        <w:rPr>
          <w:rFonts w:eastAsia="Times New Roman"/>
          <w:sz w:val="24"/>
          <w:szCs w:val="20"/>
        </w:rPr>
        <w:t xml:space="preserve"> jeb </w:t>
      </w:r>
      <w:r w:rsidR="00FB6673" w:rsidRPr="001C1C52">
        <w:rPr>
          <w:rFonts w:eastAsia="Times New Roman"/>
          <w:sz w:val="24"/>
          <w:szCs w:val="20"/>
        </w:rPr>
        <w:t>6,9</w:t>
      </w:r>
      <w:r w:rsidR="00CA33A5" w:rsidRPr="001C1C52">
        <w:rPr>
          <w:rFonts w:eastAsia="Times New Roman"/>
          <w:sz w:val="24"/>
          <w:szCs w:val="20"/>
        </w:rPr>
        <w:t xml:space="preserve">%, izdevumi sociālajiem pabalstiem – par </w:t>
      </w:r>
      <w:r w:rsidR="00FB6673" w:rsidRPr="001C1C52">
        <w:rPr>
          <w:rFonts w:eastAsia="Times New Roman"/>
          <w:sz w:val="24"/>
          <w:szCs w:val="20"/>
        </w:rPr>
        <w:t>17,5</w:t>
      </w:r>
      <w:r w:rsidR="0006091D" w:rsidRPr="001C1C52">
        <w:rPr>
          <w:rFonts w:eastAsia="Times New Roman"/>
          <w:sz w:val="24"/>
          <w:szCs w:val="20"/>
        </w:rPr>
        <w:t xml:space="preserve"> </w:t>
      </w:r>
      <w:r w:rsidR="00CA33A5" w:rsidRPr="001C1C52">
        <w:rPr>
          <w:rFonts w:eastAsia="Times New Roman"/>
          <w:sz w:val="24"/>
          <w:szCs w:val="20"/>
        </w:rPr>
        <w:t xml:space="preserve">milj. </w:t>
      </w:r>
      <w:r w:rsidR="0083538B" w:rsidRPr="001C1C52">
        <w:rPr>
          <w:rFonts w:eastAsia="Times New Roman"/>
          <w:i/>
          <w:sz w:val="24"/>
          <w:szCs w:val="20"/>
        </w:rPr>
        <w:t>euro</w:t>
      </w:r>
      <w:r w:rsidR="00CA33A5" w:rsidRPr="001C1C52">
        <w:rPr>
          <w:rFonts w:eastAsia="Times New Roman"/>
          <w:sz w:val="24"/>
          <w:szCs w:val="20"/>
        </w:rPr>
        <w:t xml:space="preserve"> jeb </w:t>
      </w:r>
      <w:r w:rsidR="00FB6673" w:rsidRPr="001C1C52">
        <w:rPr>
          <w:rFonts w:eastAsia="Times New Roman"/>
          <w:sz w:val="24"/>
          <w:szCs w:val="20"/>
        </w:rPr>
        <w:t>29,9</w:t>
      </w:r>
      <w:r w:rsidR="00CA33A5" w:rsidRPr="001C1C52">
        <w:rPr>
          <w:rFonts w:eastAsia="Times New Roman"/>
          <w:sz w:val="24"/>
          <w:szCs w:val="20"/>
        </w:rPr>
        <w:t xml:space="preserve"> procentiem. Par  </w:t>
      </w:r>
      <w:r w:rsidR="00FB6673" w:rsidRPr="001C1C52">
        <w:rPr>
          <w:rFonts w:eastAsia="Times New Roman"/>
          <w:sz w:val="24"/>
          <w:szCs w:val="20"/>
        </w:rPr>
        <w:t>4,2</w:t>
      </w:r>
      <w:r w:rsidR="007D530A" w:rsidRPr="001C1C52">
        <w:rPr>
          <w:rFonts w:eastAsia="Times New Roman"/>
          <w:sz w:val="24"/>
          <w:szCs w:val="20"/>
        </w:rPr>
        <w:t xml:space="preserve"> </w:t>
      </w:r>
      <w:r w:rsidR="00CA33A5" w:rsidRPr="001C1C52">
        <w:rPr>
          <w:rFonts w:eastAsia="Times New Roman"/>
          <w:sz w:val="24"/>
          <w:szCs w:val="20"/>
        </w:rPr>
        <w:t xml:space="preserve">milj. </w:t>
      </w:r>
      <w:r w:rsidR="007D530A" w:rsidRPr="001C1C52">
        <w:rPr>
          <w:rFonts w:eastAsia="Times New Roman"/>
          <w:i/>
          <w:sz w:val="24"/>
          <w:szCs w:val="20"/>
        </w:rPr>
        <w:t>euro</w:t>
      </w:r>
      <w:r w:rsidR="00CA33A5" w:rsidRPr="001C1C52">
        <w:rPr>
          <w:rFonts w:eastAsia="Times New Roman"/>
          <w:sz w:val="24"/>
          <w:szCs w:val="20"/>
        </w:rPr>
        <w:t xml:space="preserve"> jeb </w:t>
      </w:r>
      <w:r w:rsidR="00FB6673" w:rsidRPr="001C1C52">
        <w:rPr>
          <w:rFonts w:eastAsia="Times New Roman"/>
          <w:sz w:val="24"/>
          <w:szCs w:val="20"/>
        </w:rPr>
        <w:t>3,7</w:t>
      </w:r>
      <w:r w:rsidR="00CA33A5" w:rsidRPr="001C1C52">
        <w:rPr>
          <w:rFonts w:eastAsia="Times New Roman"/>
          <w:sz w:val="24"/>
          <w:szCs w:val="20"/>
        </w:rPr>
        <w:t xml:space="preserve">% </w:t>
      </w:r>
      <w:r w:rsidR="00FB6673" w:rsidRPr="001C1C52">
        <w:rPr>
          <w:rFonts w:eastAsia="Times New Roman"/>
          <w:sz w:val="24"/>
          <w:szCs w:val="20"/>
        </w:rPr>
        <w:t>samaz</w:t>
      </w:r>
      <w:r w:rsidR="00CA33A5" w:rsidRPr="001C1C52">
        <w:rPr>
          <w:rFonts w:eastAsia="Times New Roman"/>
          <w:sz w:val="24"/>
          <w:szCs w:val="20"/>
        </w:rPr>
        <w:t>inājušies izdevumi kārtējiem maksājumiem Eiropas Savienības budžetā</w:t>
      </w:r>
      <w:r w:rsidR="001D06ED" w:rsidRPr="001C1C52">
        <w:rPr>
          <w:rFonts w:eastAsia="Times New Roman"/>
          <w:sz w:val="24"/>
          <w:szCs w:val="20"/>
        </w:rPr>
        <w:t xml:space="preserve"> un starptautiskajai sadarbībai</w:t>
      </w:r>
      <w:r w:rsidR="00CA33A5" w:rsidRPr="001C1C52">
        <w:rPr>
          <w:rFonts w:eastAsia="Times New Roman"/>
          <w:sz w:val="24"/>
          <w:szCs w:val="20"/>
        </w:rPr>
        <w:t xml:space="preserve">, uzturēšanas izdevumu transferti palielinājušies par </w:t>
      </w:r>
      <w:r w:rsidR="00FB6673" w:rsidRPr="001C1C52">
        <w:rPr>
          <w:rFonts w:eastAsia="Times New Roman"/>
          <w:sz w:val="24"/>
          <w:szCs w:val="20"/>
        </w:rPr>
        <w:t>10,7</w:t>
      </w:r>
      <w:r w:rsidR="00CA33A5" w:rsidRPr="001C1C52">
        <w:rPr>
          <w:rFonts w:eastAsia="Times New Roman"/>
          <w:sz w:val="24"/>
          <w:szCs w:val="20"/>
        </w:rPr>
        <w:t xml:space="preserve"> milj. </w:t>
      </w:r>
      <w:r w:rsidR="007D530A" w:rsidRPr="001C1C52">
        <w:rPr>
          <w:rFonts w:eastAsia="Times New Roman"/>
          <w:i/>
          <w:sz w:val="24"/>
          <w:szCs w:val="20"/>
        </w:rPr>
        <w:t>euro</w:t>
      </w:r>
      <w:r w:rsidR="00CA33A5" w:rsidRPr="001C1C52">
        <w:rPr>
          <w:rFonts w:eastAsia="Times New Roman"/>
          <w:sz w:val="24"/>
          <w:szCs w:val="20"/>
        </w:rPr>
        <w:t xml:space="preserve"> jeb </w:t>
      </w:r>
      <w:r w:rsidR="00FB6673" w:rsidRPr="001C1C52">
        <w:rPr>
          <w:rFonts w:eastAsia="Times New Roman"/>
          <w:sz w:val="24"/>
          <w:szCs w:val="20"/>
        </w:rPr>
        <w:t>5,2</w:t>
      </w:r>
      <w:r w:rsidR="007D530A" w:rsidRPr="001C1C52">
        <w:rPr>
          <w:rFonts w:eastAsia="Times New Roman"/>
          <w:sz w:val="24"/>
          <w:szCs w:val="20"/>
        </w:rPr>
        <w:t>%, ta</w:t>
      </w:r>
      <w:r w:rsidR="00794AC0" w:rsidRPr="001C1C52">
        <w:rPr>
          <w:rFonts w:eastAsia="Times New Roman"/>
          <w:sz w:val="24"/>
          <w:szCs w:val="20"/>
        </w:rPr>
        <w:t>i</w:t>
      </w:r>
      <w:r w:rsidR="007D530A" w:rsidRPr="001C1C52">
        <w:rPr>
          <w:rFonts w:eastAsia="Times New Roman"/>
          <w:sz w:val="24"/>
          <w:szCs w:val="20"/>
        </w:rPr>
        <w:t xml:space="preserve"> skaitā </w:t>
      </w:r>
      <w:r w:rsidR="00E179D8" w:rsidRPr="001C1C52">
        <w:rPr>
          <w:rFonts w:eastAsia="Times New Roman"/>
          <w:sz w:val="24"/>
          <w:szCs w:val="20"/>
        </w:rPr>
        <w:t xml:space="preserve">transferti valsts speciālajam budžetam </w:t>
      </w:r>
      <w:r w:rsidR="00FB6673" w:rsidRPr="001C1C52">
        <w:rPr>
          <w:rFonts w:eastAsia="Times New Roman"/>
          <w:sz w:val="24"/>
          <w:szCs w:val="20"/>
        </w:rPr>
        <w:t>samazi</w:t>
      </w:r>
      <w:r w:rsidR="00E179D8" w:rsidRPr="001C1C52">
        <w:rPr>
          <w:rFonts w:eastAsia="Times New Roman"/>
          <w:sz w:val="24"/>
          <w:szCs w:val="20"/>
        </w:rPr>
        <w:t xml:space="preserve">nājušies par </w:t>
      </w:r>
      <w:r w:rsidR="00612C3C" w:rsidRPr="001C1C52">
        <w:rPr>
          <w:rFonts w:eastAsia="Times New Roman"/>
          <w:sz w:val="24"/>
          <w:szCs w:val="20"/>
        </w:rPr>
        <w:t>0,03</w:t>
      </w:r>
      <w:r w:rsidR="00E179D8" w:rsidRPr="001C1C52">
        <w:rPr>
          <w:rFonts w:eastAsia="Times New Roman"/>
          <w:sz w:val="24"/>
          <w:szCs w:val="20"/>
        </w:rPr>
        <w:t xml:space="preserve"> milj. </w:t>
      </w:r>
      <w:r w:rsidR="00E179D8" w:rsidRPr="001C1C52">
        <w:rPr>
          <w:rFonts w:eastAsia="Times New Roman"/>
          <w:i/>
          <w:sz w:val="24"/>
          <w:szCs w:val="20"/>
        </w:rPr>
        <w:t>euro</w:t>
      </w:r>
      <w:r w:rsidR="00E179D8" w:rsidRPr="001C1C52">
        <w:rPr>
          <w:rFonts w:eastAsia="Times New Roman"/>
          <w:sz w:val="24"/>
          <w:szCs w:val="20"/>
        </w:rPr>
        <w:t xml:space="preserve"> jeb </w:t>
      </w:r>
      <w:r w:rsidR="00FB6673" w:rsidRPr="001C1C52">
        <w:rPr>
          <w:rFonts w:eastAsia="Times New Roman"/>
          <w:sz w:val="24"/>
          <w:szCs w:val="20"/>
        </w:rPr>
        <w:t>0,1</w:t>
      </w:r>
      <w:r w:rsidR="001D06ED" w:rsidRPr="001C1C52">
        <w:rPr>
          <w:rFonts w:eastAsia="Times New Roman"/>
          <w:sz w:val="24"/>
          <w:szCs w:val="20"/>
        </w:rPr>
        <w:t xml:space="preserve"> procentu</w:t>
      </w:r>
      <w:r w:rsidR="00CA33A5" w:rsidRPr="001C1C52">
        <w:rPr>
          <w:rFonts w:eastAsia="Times New Roman"/>
          <w:sz w:val="24"/>
          <w:szCs w:val="20"/>
        </w:rPr>
        <w:t>.</w:t>
      </w:r>
      <w:r w:rsidR="006A37E4" w:rsidRPr="001C1C52">
        <w:rPr>
          <w:rFonts w:eastAsia="Times New Roman"/>
          <w:sz w:val="24"/>
          <w:szCs w:val="20"/>
        </w:rPr>
        <w:t xml:space="preserve"> </w:t>
      </w:r>
    </w:p>
    <w:p w14:paraId="023AC0D6" w14:textId="77777777" w:rsidR="00CA33A5" w:rsidRPr="001C1C52" w:rsidRDefault="00CA33A5" w:rsidP="00FB6673">
      <w:pPr>
        <w:spacing w:after="0"/>
        <w:rPr>
          <w:rFonts w:eastAsia="Times New Roman"/>
          <w:sz w:val="24"/>
          <w:szCs w:val="20"/>
        </w:rPr>
      </w:pPr>
      <w:r w:rsidRPr="001C1C52">
        <w:rPr>
          <w:rFonts w:eastAsia="Times New Roman"/>
          <w:sz w:val="24"/>
          <w:szCs w:val="20"/>
        </w:rPr>
        <w:t xml:space="preserve">Savukārt kapitālie izdevumi </w:t>
      </w:r>
      <w:r w:rsidR="00EB7727" w:rsidRPr="001C1C52">
        <w:rPr>
          <w:rFonts w:eastAsia="Times New Roman"/>
          <w:sz w:val="24"/>
          <w:szCs w:val="20"/>
        </w:rPr>
        <w:t>samaz</w:t>
      </w:r>
      <w:r w:rsidRPr="001C1C52">
        <w:rPr>
          <w:rFonts w:eastAsia="Times New Roman"/>
          <w:sz w:val="24"/>
          <w:szCs w:val="20"/>
        </w:rPr>
        <w:t xml:space="preserve">inājušies par </w:t>
      </w:r>
      <w:r w:rsidR="00EB7727" w:rsidRPr="001C1C52">
        <w:rPr>
          <w:rFonts w:eastAsia="Times New Roman"/>
          <w:sz w:val="24"/>
          <w:szCs w:val="20"/>
        </w:rPr>
        <w:t>1,4</w:t>
      </w:r>
      <w:r w:rsidRPr="001C1C52">
        <w:rPr>
          <w:rFonts w:eastAsia="Times New Roman"/>
          <w:sz w:val="24"/>
          <w:szCs w:val="20"/>
        </w:rPr>
        <w:t xml:space="preserve"> milj. </w:t>
      </w:r>
      <w:r w:rsidR="00E179D8" w:rsidRPr="001C1C52">
        <w:rPr>
          <w:rFonts w:eastAsia="Times New Roman"/>
          <w:i/>
          <w:sz w:val="24"/>
          <w:szCs w:val="20"/>
        </w:rPr>
        <w:t>euro</w:t>
      </w:r>
      <w:r w:rsidRPr="001C1C52">
        <w:rPr>
          <w:rFonts w:eastAsia="Times New Roman"/>
          <w:sz w:val="24"/>
          <w:szCs w:val="20"/>
        </w:rPr>
        <w:t xml:space="preserve"> jeb </w:t>
      </w:r>
      <w:r w:rsidR="00EB7727" w:rsidRPr="001C1C52">
        <w:rPr>
          <w:rFonts w:eastAsia="Times New Roman"/>
          <w:sz w:val="24"/>
          <w:szCs w:val="20"/>
        </w:rPr>
        <w:t>2,1</w:t>
      </w:r>
      <w:r w:rsidR="0038444E" w:rsidRPr="001C1C52">
        <w:rPr>
          <w:rFonts w:eastAsia="Times New Roman"/>
          <w:sz w:val="24"/>
          <w:szCs w:val="20"/>
        </w:rPr>
        <w:t>%</w:t>
      </w:r>
      <w:r w:rsidR="00612C3C" w:rsidRPr="001C1C52">
        <w:rPr>
          <w:rFonts w:eastAsia="Times New Roman"/>
          <w:sz w:val="24"/>
          <w:szCs w:val="20"/>
        </w:rPr>
        <w:t xml:space="preserve">, no tā izdevumi pamatkapitāla veidošanai palielinājušies par 12,2 milj. </w:t>
      </w:r>
      <w:r w:rsidR="00612C3C" w:rsidRPr="001C1C52">
        <w:rPr>
          <w:rFonts w:eastAsia="Times New Roman"/>
          <w:i/>
          <w:sz w:val="24"/>
        </w:rPr>
        <w:t>euro</w:t>
      </w:r>
      <w:r w:rsidR="00612C3C" w:rsidRPr="001C1C52">
        <w:rPr>
          <w:rFonts w:eastAsia="Times New Roman"/>
          <w:sz w:val="24"/>
          <w:szCs w:val="20"/>
        </w:rPr>
        <w:t xml:space="preserve"> jeb 39,1%, kapitālo izdevumu transferti samazinājušies par 13,6 milj. </w:t>
      </w:r>
      <w:r w:rsidR="00612C3C" w:rsidRPr="001C1C52">
        <w:rPr>
          <w:rFonts w:eastAsia="Times New Roman"/>
          <w:i/>
          <w:sz w:val="24"/>
        </w:rPr>
        <w:t>euro</w:t>
      </w:r>
      <w:r w:rsidR="00612C3C" w:rsidRPr="001C1C52">
        <w:rPr>
          <w:rFonts w:eastAsia="Times New Roman"/>
          <w:sz w:val="24"/>
          <w:szCs w:val="20"/>
        </w:rPr>
        <w:t xml:space="preserve"> jeb 41,3 procentiem</w:t>
      </w:r>
      <w:r w:rsidRPr="001C1C52">
        <w:rPr>
          <w:rFonts w:eastAsia="Times New Roman"/>
          <w:sz w:val="24"/>
          <w:szCs w:val="20"/>
        </w:rPr>
        <w:t>.</w:t>
      </w:r>
    </w:p>
    <w:p w14:paraId="230485F8" w14:textId="77777777" w:rsidR="008223A1" w:rsidRPr="00420A42" w:rsidRDefault="008223A1" w:rsidP="00CA33A5">
      <w:pPr>
        <w:rPr>
          <w:rFonts w:eastAsia="Times New Roman"/>
          <w:sz w:val="20"/>
          <w:szCs w:val="20"/>
        </w:rPr>
      </w:pPr>
    </w:p>
    <w:p w14:paraId="7F9445B9" w14:textId="77777777" w:rsidR="00CA33A5" w:rsidRDefault="006376C6" w:rsidP="00B87545">
      <w:pPr>
        <w:ind w:firstLine="0"/>
        <w:jc w:val="center"/>
        <w:rPr>
          <w:rFonts w:eastAsia="Times New Roman"/>
          <w:szCs w:val="20"/>
          <w:highlight w:val="yellow"/>
        </w:rPr>
      </w:pPr>
      <w:r>
        <w:rPr>
          <w:noProof/>
          <w:lang w:eastAsia="lv-LV"/>
        </w:rPr>
        <w:drawing>
          <wp:inline distT="0" distB="0" distL="0" distR="0" wp14:anchorId="08C73E9A" wp14:editId="5EB9403B">
            <wp:extent cx="5231219" cy="3062177"/>
            <wp:effectExtent l="0" t="0" r="762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643B7C0" w14:textId="77777777" w:rsidR="00CA33A5" w:rsidRPr="00EF354D" w:rsidRDefault="00234FC7" w:rsidP="00A90239">
      <w:pPr>
        <w:ind w:firstLine="0"/>
        <w:jc w:val="center"/>
        <w:rPr>
          <w:rFonts w:eastAsia="Times New Roman"/>
          <w:b/>
          <w:sz w:val="20"/>
          <w:szCs w:val="24"/>
        </w:rPr>
      </w:pPr>
      <w:r w:rsidRPr="00EF354D">
        <w:rPr>
          <w:rFonts w:eastAsia="Times New Roman"/>
          <w:b/>
          <w:sz w:val="20"/>
          <w:szCs w:val="24"/>
        </w:rPr>
        <w:t>2.10</w:t>
      </w:r>
      <w:r w:rsidR="00CA33A5" w:rsidRPr="00EF354D">
        <w:rPr>
          <w:rFonts w:eastAsia="Times New Roman"/>
          <w:b/>
          <w:sz w:val="20"/>
          <w:szCs w:val="24"/>
        </w:rPr>
        <w:t>. att. Valsts pamatbudžeta izdevumu izpilde 20</w:t>
      </w:r>
      <w:r w:rsidR="00512338" w:rsidRPr="00EF354D">
        <w:rPr>
          <w:rFonts w:eastAsia="Times New Roman"/>
          <w:b/>
          <w:sz w:val="20"/>
          <w:szCs w:val="24"/>
        </w:rPr>
        <w:t>15</w:t>
      </w:r>
      <w:r w:rsidR="008F42F1" w:rsidRPr="00EF354D">
        <w:rPr>
          <w:rFonts w:eastAsia="Times New Roman"/>
          <w:b/>
          <w:sz w:val="20"/>
          <w:szCs w:val="24"/>
        </w:rPr>
        <w:t>.</w:t>
      </w:r>
      <w:r w:rsidR="00CA33A5" w:rsidRPr="00EF354D">
        <w:rPr>
          <w:rFonts w:eastAsia="Times New Roman"/>
          <w:b/>
          <w:sz w:val="20"/>
          <w:szCs w:val="24"/>
        </w:rPr>
        <w:t xml:space="preserve">gada pirmajā ceturksnī atbilstoši </w:t>
      </w:r>
      <w:r w:rsidR="00D4319A" w:rsidRPr="00EF354D">
        <w:rPr>
          <w:rFonts w:eastAsia="Times New Roman"/>
          <w:b/>
          <w:sz w:val="20"/>
          <w:szCs w:val="24"/>
        </w:rPr>
        <w:t>ekonomiskajām kategorijām</w:t>
      </w:r>
    </w:p>
    <w:p w14:paraId="1EED302C" w14:textId="77777777" w:rsidR="00CA33A5" w:rsidRPr="00420A42" w:rsidRDefault="00CA33A5" w:rsidP="00CA33A5">
      <w:pPr>
        <w:rPr>
          <w:rFonts w:eastAsia="Times New Roman"/>
          <w:sz w:val="16"/>
          <w:szCs w:val="20"/>
          <w:highlight w:val="yellow"/>
        </w:rPr>
      </w:pPr>
    </w:p>
    <w:p w14:paraId="0C5DBF5C" w14:textId="77777777" w:rsidR="00CA33A5" w:rsidRPr="001C1C52" w:rsidRDefault="00CA33A5" w:rsidP="00CA33A5">
      <w:pPr>
        <w:rPr>
          <w:rFonts w:eastAsia="Times New Roman"/>
          <w:sz w:val="24"/>
          <w:szCs w:val="20"/>
        </w:rPr>
      </w:pPr>
      <w:r w:rsidRPr="001C1C52">
        <w:rPr>
          <w:rFonts w:eastAsia="Times New Roman"/>
          <w:sz w:val="24"/>
          <w:szCs w:val="20"/>
        </w:rPr>
        <w:t>201</w:t>
      </w:r>
      <w:r w:rsidR="00512338" w:rsidRPr="001C1C52">
        <w:rPr>
          <w:rFonts w:eastAsia="Times New Roman"/>
          <w:sz w:val="24"/>
          <w:szCs w:val="20"/>
        </w:rPr>
        <w:t>5</w:t>
      </w:r>
      <w:r w:rsidR="008F42F1" w:rsidRPr="001C1C52">
        <w:rPr>
          <w:rFonts w:eastAsia="Times New Roman"/>
          <w:sz w:val="24"/>
          <w:szCs w:val="20"/>
        </w:rPr>
        <w:t>.</w:t>
      </w:r>
      <w:r w:rsidRPr="001C1C52">
        <w:rPr>
          <w:rFonts w:eastAsia="Times New Roman"/>
          <w:sz w:val="24"/>
          <w:szCs w:val="20"/>
        </w:rPr>
        <w:t xml:space="preserve">gada pirmajā ceturksnī valsts pamatbudžetā kopumā ir izlietoti </w:t>
      </w:r>
      <w:r w:rsidR="00512338" w:rsidRPr="001C1C52">
        <w:rPr>
          <w:rFonts w:eastAsia="Times New Roman"/>
          <w:sz w:val="24"/>
          <w:szCs w:val="20"/>
        </w:rPr>
        <w:t>1</w:t>
      </w:r>
      <w:r w:rsidR="001D06ED" w:rsidRPr="001C1C52">
        <w:rPr>
          <w:rFonts w:eastAsia="Times New Roman"/>
          <w:sz w:val="24"/>
          <w:szCs w:val="20"/>
        </w:rPr>
        <w:t> </w:t>
      </w:r>
      <w:r w:rsidR="00512338" w:rsidRPr="001C1C52">
        <w:rPr>
          <w:rFonts w:eastAsia="Times New Roman"/>
          <w:sz w:val="24"/>
          <w:szCs w:val="20"/>
        </w:rPr>
        <w:t>306,0</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kas ir par </w:t>
      </w:r>
      <w:r w:rsidR="00AD6919" w:rsidRPr="001C1C52">
        <w:rPr>
          <w:rFonts w:eastAsia="Times New Roman"/>
          <w:sz w:val="24"/>
          <w:szCs w:val="20"/>
        </w:rPr>
        <w:t>42,</w:t>
      </w:r>
      <w:r w:rsidR="00EB7727" w:rsidRPr="001C1C52">
        <w:rPr>
          <w:rFonts w:eastAsia="Times New Roman"/>
          <w:sz w:val="24"/>
          <w:szCs w:val="20"/>
        </w:rPr>
        <w:t>7</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mazāk nekā plānots. Kārtējiem izdevumiem izlietoti </w:t>
      </w:r>
      <w:r w:rsidR="00AD6919" w:rsidRPr="001C1C52">
        <w:rPr>
          <w:rFonts w:eastAsia="Times New Roman"/>
          <w:sz w:val="24"/>
          <w:szCs w:val="20"/>
        </w:rPr>
        <w:t>319,3</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tai skaitā atlīdzībai </w:t>
      </w:r>
      <w:r w:rsidR="00AD6919" w:rsidRPr="001C1C52">
        <w:rPr>
          <w:rFonts w:eastAsia="Times New Roman"/>
          <w:sz w:val="24"/>
          <w:szCs w:val="20"/>
        </w:rPr>
        <w:t>183,7</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(no tiem atalgojumam – </w:t>
      </w:r>
      <w:r w:rsidR="00AD6919" w:rsidRPr="001C1C52">
        <w:rPr>
          <w:rFonts w:eastAsia="Times New Roman"/>
          <w:sz w:val="24"/>
          <w:szCs w:val="20"/>
        </w:rPr>
        <w:t>136,4</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precēm un pakalpojumiem – </w:t>
      </w:r>
      <w:r w:rsidR="00AD6919" w:rsidRPr="001C1C52">
        <w:rPr>
          <w:rFonts w:eastAsia="Times New Roman"/>
          <w:sz w:val="24"/>
          <w:szCs w:val="20"/>
        </w:rPr>
        <w:t>135,6</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Kārtējiem izdevumiem plānotie līdzekļi nav izlietoti </w:t>
      </w:r>
      <w:r w:rsidR="00AD6919" w:rsidRPr="001C1C52">
        <w:rPr>
          <w:rFonts w:eastAsia="Times New Roman"/>
          <w:sz w:val="24"/>
          <w:szCs w:val="20"/>
        </w:rPr>
        <w:t>18,0</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apmērā, tai skaitā atlīdzībai </w:t>
      </w:r>
      <w:r w:rsidR="00AD6919" w:rsidRPr="001C1C52">
        <w:rPr>
          <w:rFonts w:eastAsia="Times New Roman"/>
          <w:sz w:val="24"/>
          <w:szCs w:val="20"/>
        </w:rPr>
        <w:t>5,6</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(no tiem atalgojumam – </w:t>
      </w:r>
      <w:r w:rsidR="00AD6919" w:rsidRPr="001C1C52">
        <w:rPr>
          <w:rFonts w:eastAsia="Times New Roman"/>
          <w:sz w:val="24"/>
          <w:szCs w:val="20"/>
        </w:rPr>
        <w:t>3,7</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precēm un pakalpojumiem – </w:t>
      </w:r>
      <w:r w:rsidR="00AD6919" w:rsidRPr="001C1C52">
        <w:rPr>
          <w:rFonts w:eastAsia="Times New Roman"/>
          <w:sz w:val="24"/>
          <w:szCs w:val="20"/>
        </w:rPr>
        <w:t>12,4</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Procentu izdevumiem izlietoti </w:t>
      </w:r>
      <w:r w:rsidR="00AD6919" w:rsidRPr="001C1C52">
        <w:rPr>
          <w:rFonts w:eastAsia="Times New Roman"/>
          <w:sz w:val="24"/>
          <w:szCs w:val="20"/>
        </w:rPr>
        <w:t>140,9</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Subsīdijām, dotācijām un sociālajiem pabalstiem izlietoti </w:t>
      </w:r>
      <w:r w:rsidR="00AD6919" w:rsidRPr="001C1C52">
        <w:rPr>
          <w:rFonts w:eastAsia="Times New Roman"/>
          <w:sz w:val="24"/>
          <w:szCs w:val="20"/>
        </w:rPr>
        <w:t>457,7</w:t>
      </w:r>
      <w:r w:rsidR="0006091D" w:rsidRPr="001C1C52">
        <w:rPr>
          <w:rFonts w:eastAsia="Times New Roman"/>
          <w:sz w:val="24"/>
          <w:szCs w:val="20"/>
        </w:rPr>
        <w:t xml:space="preserve"> </w:t>
      </w:r>
      <w:r w:rsidRPr="001C1C52">
        <w:rPr>
          <w:rFonts w:eastAsia="Times New Roman"/>
          <w:sz w:val="24"/>
          <w:szCs w:val="20"/>
        </w:rPr>
        <w:t>mi</w:t>
      </w:r>
      <w:r w:rsidR="00A90239" w:rsidRPr="001C1C52">
        <w:rPr>
          <w:rFonts w:eastAsia="Times New Roman"/>
          <w:sz w:val="24"/>
          <w:szCs w:val="20"/>
        </w:rPr>
        <w:t xml:space="preserve">lj. </w:t>
      </w:r>
      <w:r w:rsidR="00185DDE" w:rsidRPr="001C1C52">
        <w:rPr>
          <w:rFonts w:eastAsia="Times New Roman"/>
          <w:i/>
          <w:sz w:val="24"/>
          <w:szCs w:val="20"/>
        </w:rPr>
        <w:t>euro</w:t>
      </w:r>
      <w:r w:rsidR="00A90239" w:rsidRPr="001C1C52">
        <w:rPr>
          <w:rFonts w:eastAsia="Times New Roman"/>
          <w:sz w:val="24"/>
          <w:szCs w:val="20"/>
        </w:rPr>
        <w:t xml:space="preserve">, tai skaitā subsīdijām </w:t>
      </w:r>
      <w:r w:rsidRPr="001C1C52">
        <w:rPr>
          <w:rFonts w:eastAsia="Times New Roman"/>
          <w:sz w:val="24"/>
          <w:szCs w:val="20"/>
        </w:rPr>
        <w:t xml:space="preserve">un dotācijām – </w:t>
      </w:r>
      <w:r w:rsidR="00AD6919" w:rsidRPr="001C1C52">
        <w:rPr>
          <w:rFonts w:eastAsia="Times New Roman"/>
          <w:sz w:val="24"/>
          <w:szCs w:val="20"/>
        </w:rPr>
        <w:t>381,8</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sociālajiem pabalstiem – </w:t>
      </w:r>
      <w:r w:rsidR="00AD6919" w:rsidRPr="001C1C52">
        <w:rPr>
          <w:rFonts w:eastAsia="Times New Roman"/>
          <w:sz w:val="24"/>
          <w:szCs w:val="20"/>
        </w:rPr>
        <w:t>75,9</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Subsīdijām, dotācijām un sociālajiem pabalstiem plānotie līdzekļi nav apgūti </w:t>
      </w:r>
      <w:r w:rsidR="00AD6919" w:rsidRPr="001C1C52">
        <w:rPr>
          <w:rFonts w:eastAsia="Times New Roman"/>
          <w:sz w:val="24"/>
          <w:szCs w:val="20"/>
        </w:rPr>
        <w:t>17,0</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00A90239" w:rsidRPr="001C1C52">
        <w:rPr>
          <w:rFonts w:eastAsia="Times New Roman"/>
          <w:sz w:val="24"/>
          <w:szCs w:val="20"/>
        </w:rPr>
        <w:t xml:space="preserve"> apmērā, tai skaitā subsīdijām </w:t>
      </w:r>
      <w:r w:rsidRPr="001C1C52">
        <w:rPr>
          <w:rFonts w:eastAsia="Times New Roman"/>
          <w:sz w:val="24"/>
          <w:szCs w:val="20"/>
        </w:rPr>
        <w:t>un dotācijām –</w:t>
      </w:r>
      <w:r w:rsidR="00B8139F" w:rsidRPr="001C1C52">
        <w:rPr>
          <w:rFonts w:eastAsia="Times New Roman"/>
          <w:sz w:val="24"/>
          <w:szCs w:val="20"/>
        </w:rPr>
        <w:t xml:space="preserve"> </w:t>
      </w:r>
      <w:r w:rsidR="00AD6919" w:rsidRPr="001C1C52">
        <w:rPr>
          <w:rFonts w:eastAsia="Times New Roman"/>
          <w:sz w:val="24"/>
          <w:szCs w:val="20"/>
        </w:rPr>
        <w:t>15,9</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sociālajiem pabalstiem – </w:t>
      </w:r>
      <w:r w:rsidR="00AD6919" w:rsidRPr="001C1C52">
        <w:rPr>
          <w:rFonts w:eastAsia="Times New Roman"/>
          <w:sz w:val="24"/>
          <w:szCs w:val="20"/>
        </w:rPr>
        <w:t>1,0</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Kārtējiem maksājumiem Eiropas Savienības budžetā un starptautiskai sadarbībai izlietoti </w:t>
      </w:r>
      <w:r w:rsidR="00AD6919" w:rsidRPr="001C1C52">
        <w:rPr>
          <w:rFonts w:eastAsia="Times New Roman"/>
          <w:sz w:val="24"/>
          <w:szCs w:val="20"/>
        </w:rPr>
        <w:t>108,8</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kas ir par </w:t>
      </w:r>
      <w:r w:rsidR="00AD6919" w:rsidRPr="001C1C52">
        <w:rPr>
          <w:rFonts w:eastAsia="Times New Roman"/>
          <w:sz w:val="24"/>
          <w:szCs w:val="20"/>
        </w:rPr>
        <w:t>0,3</w:t>
      </w:r>
      <w:r w:rsidR="0006091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mazāk nekā plānots 201</w:t>
      </w:r>
      <w:r w:rsidR="00AD6919" w:rsidRPr="001C1C52">
        <w:rPr>
          <w:rFonts w:eastAsia="Times New Roman"/>
          <w:sz w:val="24"/>
          <w:szCs w:val="20"/>
        </w:rPr>
        <w:t>5</w:t>
      </w:r>
      <w:r w:rsidRPr="001C1C52">
        <w:rPr>
          <w:rFonts w:eastAsia="Times New Roman"/>
          <w:sz w:val="24"/>
          <w:szCs w:val="20"/>
        </w:rPr>
        <w:t xml:space="preserve">.gada pirmajā  ceturksnī. Uzturēšanas izdevumu transfertiem izlietoti </w:t>
      </w:r>
      <w:r w:rsidR="00AD6919" w:rsidRPr="001C1C52">
        <w:rPr>
          <w:rFonts w:eastAsia="Times New Roman"/>
          <w:sz w:val="24"/>
          <w:szCs w:val="20"/>
        </w:rPr>
        <w:t>216,5</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tai skaitā valsts budžeta uzturēšanas izdevumu transfertiem no valsts pamatbudžeta uz valsts speciālo budžetu – </w:t>
      </w:r>
      <w:r w:rsidR="00AD6919" w:rsidRPr="001C1C52">
        <w:rPr>
          <w:rFonts w:eastAsia="Times New Roman"/>
          <w:sz w:val="24"/>
          <w:szCs w:val="20"/>
        </w:rPr>
        <w:t>52,2</w:t>
      </w:r>
      <w:r w:rsidRPr="001C1C52">
        <w:rPr>
          <w:rFonts w:eastAsia="Times New Roman"/>
          <w:sz w:val="24"/>
          <w:szCs w:val="20"/>
        </w:rPr>
        <w:t xml:space="preserve"> milj. </w:t>
      </w:r>
      <w:r w:rsidR="00185DDE" w:rsidRPr="001C1C52">
        <w:rPr>
          <w:rFonts w:eastAsia="Times New Roman"/>
          <w:i/>
          <w:sz w:val="24"/>
          <w:szCs w:val="20"/>
        </w:rPr>
        <w:t>euro</w:t>
      </w:r>
      <w:r w:rsidRPr="001C1C52">
        <w:rPr>
          <w:rFonts w:eastAsia="Times New Roman"/>
          <w:sz w:val="24"/>
          <w:szCs w:val="20"/>
        </w:rPr>
        <w:t>,  valsts budžeta uzturēšanas izdevumu transferti</w:t>
      </w:r>
      <w:r w:rsidR="006376C6" w:rsidRPr="001C1C52">
        <w:rPr>
          <w:rFonts w:eastAsia="Times New Roman"/>
          <w:sz w:val="24"/>
          <w:szCs w:val="20"/>
        </w:rPr>
        <w:t>em</w:t>
      </w:r>
      <w:r w:rsidRPr="001C1C52">
        <w:rPr>
          <w:rFonts w:eastAsia="Times New Roman"/>
          <w:sz w:val="24"/>
          <w:szCs w:val="20"/>
        </w:rPr>
        <w:t xml:space="preserve"> citiem budžetiem noteiktam mērķim – </w:t>
      </w:r>
      <w:r w:rsidR="00AD6919" w:rsidRPr="001C1C52">
        <w:rPr>
          <w:rFonts w:eastAsia="Times New Roman"/>
          <w:sz w:val="24"/>
          <w:szCs w:val="20"/>
        </w:rPr>
        <w:t>154,</w:t>
      </w:r>
      <w:r w:rsidR="00EB7727" w:rsidRPr="001C1C52">
        <w:rPr>
          <w:rFonts w:eastAsia="Times New Roman"/>
          <w:sz w:val="24"/>
          <w:szCs w:val="20"/>
        </w:rPr>
        <w:t>4</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pārējie</w:t>
      </w:r>
      <w:r w:rsidR="006376C6" w:rsidRPr="001C1C52">
        <w:rPr>
          <w:rFonts w:eastAsia="Times New Roman"/>
          <w:sz w:val="24"/>
          <w:szCs w:val="20"/>
        </w:rPr>
        <w:t>m</w:t>
      </w:r>
      <w:r w:rsidRPr="001C1C52">
        <w:rPr>
          <w:rFonts w:eastAsia="Times New Roman"/>
          <w:sz w:val="24"/>
          <w:szCs w:val="20"/>
        </w:rPr>
        <w:t xml:space="preserve"> valsts budžeta uzturēšanas izdevumu transferti</w:t>
      </w:r>
      <w:r w:rsidR="00CC6587" w:rsidRPr="001C1C52">
        <w:rPr>
          <w:rFonts w:eastAsia="Times New Roman"/>
          <w:sz w:val="24"/>
          <w:szCs w:val="20"/>
        </w:rPr>
        <w:t>em</w:t>
      </w:r>
      <w:r w:rsidRPr="001C1C52">
        <w:rPr>
          <w:rFonts w:eastAsia="Times New Roman"/>
          <w:sz w:val="24"/>
          <w:szCs w:val="20"/>
        </w:rPr>
        <w:t xml:space="preserve"> citiem budžetiem – </w:t>
      </w:r>
      <w:r w:rsidR="00AD6919" w:rsidRPr="001C1C52">
        <w:rPr>
          <w:rFonts w:eastAsia="Times New Roman"/>
          <w:sz w:val="24"/>
          <w:szCs w:val="20"/>
        </w:rPr>
        <w:t>9,9</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Uzturēšanas izdevumu transfertiem plānotie līdzekļi nav apgūti </w:t>
      </w:r>
      <w:r w:rsidR="00AD6919" w:rsidRPr="001C1C52">
        <w:rPr>
          <w:rFonts w:eastAsia="Times New Roman"/>
          <w:sz w:val="24"/>
          <w:szCs w:val="20"/>
        </w:rPr>
        <w:t>0,6</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w:t>
      </w:r>
      <w:r w:rsidR="00C425A5" w:rsidRPr="001C1C52">
        <w:rPr>
          <w:rFonts w:eastAsia="Times New Roman"/>
          <w:sz w:val="24"/>
          <w:szCs w:val="20"/>
        </w:rPr>
        <w:t>apmērā</w:t>
      </w:r>
      <w:r w:rsidRPr="001C1C52">
        <w:rPr>
          <w:rFonts w:eastAsia="Times New Roman"/>
          <w:sz w:val="24"/>
          <w:szCs w:val="20"/>
        </w:rPr>
        <w:t>. Ka</w:t>
      </w:r>
      <w:r w:rsidR="00FE6773" w:rsidRPr="001C1C52">
        <w:rPr>
          <w:rFonts w:eastAsia="Times New Roman"/>
          <w:sz w:val="24"/>
          <w:szCs w:val="20"/>
        </w:rPr>
        <w:t xml:space="preserve">pitālajiem izdevumiem izlietoti </w:t>
      </w:r>
      <w:r w:rsidR="00AD6919" w:rsidRPr="001C1C52">
        <w:rPr>
          <w:rFonts w:eastAsia="Times New Roman"/>
          <w:sz w:val="24"/>
          <w:szCs w:val="20"/>
        </w:rPr>
        <w:t>62,8</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tai skaitā pamatkapitāla veidošanai – </w:t>
      </w:r>
      <w:r w:rsidR="00AD6919" w:rsidRPr="001C1C52">
        <w:rPr>
          <w:rFonts w:eastAsia="Times New Roman"/>
          <w:sz w:val="24"/>
          <w:szCs w:val="20"/>
        </w:rPr>
        <w:t>43,5</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un valsts budžeta transferti</w:t>
      </w:r>
      <w:r w:rsidR="006376C6" w:rsidRPr="001C1C52">
        <w:rPr>
          <w:rFonts w:eastAsia="Times New Roman"/>
          <w:sz w:val="24"/>
          <w:szCs w:val="20"/>
        </w:rPr>
        <w:t>em</w:t>
      </w:r>
      <w:r w:rsidRPr="001C1C52">
        <w:rPr>
          <w:rFonts w:eastAsia="Times New Roman"/>
          <w:sz w:val="24"/>
          <w:szCs w:val="20"/>
        </w:rPr>
        <w:t xml:space="preserve"> kapitālajiem izdevumiem citiem budžetiem noteiktam mērķim – </w:t>
      </w:r>
      <w:r w:rsidR="006D4A45" w:rsidRPr="001C1C52">
        <w:rPr>
          <w:rFonts w:eastAsia="Times New Roman"/>
          <w:sz w:val="24"/>
          <w:szCs w:val="20"/>
        </w:rPr>
        <w:t>19,4</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Kapitālajiem izdevumiem, salīdzinot ar plānoto, nav izlietoti – </w:t>
      </w:r>
      <w:r w:rsidR="00EB7727" w:rsidRPr="001C1C52">
        <w:rPr>
          <w:rFonts w:eastAsia="Times New Roman"/>
          <w:sz w:val="24"/>
          <w:szCs w:val="20"/>
        </w:rPr>
        <w:t>6,8</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w:t>
      </w:r>
    </w:p>
    <w:p w14:paraId="0382E8D1" w14:textId="77777777" w:rsidR="00C1733B" w:rsidRPr="00420A42" w:rsidRDefault="00C1733B" w:rsidP="00CA33A5">
      <w:pPr>
        <w:rPr>
          <w:rFonts w:eastAsia="Times New Roman"/>
          <w:sz w:val="12"/>
          <w:szCs w:val="20"/>
        </w:rPr>
      </w:pPr>
    </w:p>
    <w:p w14:paraId="502A5CD6" w14:textId="77777777" w:rsidR="00EF354D" w:rsidRPr="00EF354D" w:rsidRDefault="00234FC7" w:rsidP="00EF354D">
      <w:pPr>
        <w:spacing w:after="0"/>
        <w:ind w:firstLine="0"/>
        <w:jc w:val="right"/>
        <w:rPr>
          <w:rFonts w:eastAsia="Times New Roman"/>
          <w:b/>
          <w:sz w:val="20"/>
          <w:szCs w:val="24"/>
        </w:rPr>
      </w:pPr>
      <w:r w:rsidRPr="00EF354D">
        <w:rPr>
          <w:rFonts w:eastAsia="Times New Roman"/>
          <w:b/>
          <w:sz w:val="20"/>
          <w:szCs w:val="24"/>
        </w:rPr>
        <w:t>2.3</w:t>
      </w:r>
      <w:r w:rsidR="00CA33A5" w:rsidRPr="00EF354D">
        <w:rPr>
          <w:rFonts w:eastAsia="Times New Roman"/>
          <w:b/>
          <w:sz w:val="20"/>
          <w:szCs w:val="24"/>
        </w:rPr>
        <w:t xml:space="preserve">. tabula. Valsts pamatbudžeta izdevumu struktūra, </w:t>
      </w:r>
    </w:p>
    <w:p w14:paraId="04385F74" w14:textId="77777777" w:rsidR="00CA33A5" w:rsidRPr="00EF354D" w:rsidRDefault="00CA33A5" w:rsidP="00EF354D">
      <w:pPr>
        <w:spacing w:after="0"/>
        <w:ind w:firstLine="0"/>
        <w:jc w:val="right"/>
        <w:rPr>
          <w:rFonts w:eastAsia="Times New Roman"/>
          <w:b/>
          <w:sz w:val="20"/>
          <w:szCs w:val="24"/>
        </w:rPr>
      </w:pPr>
      <w:r w:rsidRPr="00EF354D">
        <w:rPr>
          <w:rFonts w:eastAsia="Times New Roman"/>
          <w:b/>
          <w:sz w:val="20"/>
          <w:szCs w:val="24"/>
        </w:rPr>
        <w:t>% no kopējiem izdevumiem</w:t>
      </w: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2126"/>
        <w:gridCol w:w="2262"/>
      </w:tblGrid>
      <w:tr w:rsidR="00CA33A5" w:rsidRPr="00D4319A" w14:paraId="52DC5251" w14:textId="77777777" w:rsidTr="00C704E3">
        <w:trPr>
          <w:jc w:val="center"/>
        </w:trPr>
        <w:tc>
          <w:tcPr>
            <w:tcW w:w="4531" w:type="dxa"/>
            <w:vAlign w:val="bottom"/>
          </w:tcPr>
          <w:p w14:paraId="01B2933A" w14:textId="77777777" w:rsidR="00CA33A5" w:rsidRPr="00D4319A" w:rsidRDefault="00CA33A5" w:rsidP="00CA33A5">
            <w:pPr>
              <w:spacing w:after="0"/>
              <w:jc w:val="center"/>
              <w:rPr>
                <w:rFonts w:eastAsia="Times New Roman"/>
                <w:sz w:val="20"/>
                <w:szCs w:val="20"/>
              </w:rPr>
            </w:pPr>
            <w:r w:rsidRPr="00D4319A">
              <w:rPr>
                <w:rFonts w:eastAsia="Times New Roman"/>
                <w:sz w:val="20"/>
                <w:szCs w:val="20"/>
              </w:rPr>
              <w:t>Rādītāji</w:t>
            </w:r>
          </w:p>
        </w:tc>
        <w:tc>
          <w:tcPr>
            <w:tcW w:w="2126" w:type="dxa"/>
            <w:vAlign w:val="bottom"/>
          </w:tcPr>
          <w:p w14:paraId="3AC6C062" w14:textId="77777777" w:rsidR="00B9297F" w:rsidRPr="00D4319A" w:rsidRDefault="00CA33A5" w:rsidP="006376C6">
            <w:pPr>
              <w:spacing w:after="0"/>
              <w:ind w:firstLine="0"/>
              <w:jc w:val="center"/>
              <w:rPr>
                <w:rFonts w:eastAsia="Times New Roman"/>
                <w:sz w:val="20"/>
                <w:szCs w:val="20"/>
              </w:rPr>
            </w:pPr>
            <w:r w:rsidRPr="00D4319A">
              <w:rPr>
                <w:rFonts w:eastAsia="Times New Roman"/>
                <w:sz w:val="20"/>
                <w:szCs w:val="20"/>
              </w:rPr>
              <w:t>201</w:t>
            </w:r>
            <w:r w:rsidR="008F42F1">
              <w:rPr>
                <w:rFonts w:eastAsia="Times New Roman"/>
                <w:sz w:val="20"/>
                <w:szCs w:val="20"/>
              </w:rPr>
              <w:t>4.</w:t>
            </w:r>
            <w:r w:rsidRPr="00D4319A">
              <w:rPr>
                <w:rFonts w:eastAsia="Times New Roman"/>
                <w:sz w:val="20"/>
                <w:szCs w:val="20"/>
              </w:rPr>
              <w:t>gada</w:t>
            </w:r>
          </w:p>
          <w:p w14:paraId="75CF3ECD" w14:textId="77777777" w:rsidR="00CA33A5" w:rsidRPr="00D4319A" w:rsidRDefault="006376C6" w:rsidP="006376C6">
            <w:pPr>
              <w:spacing w:after="0"/>
              <w:ind w:firstLine="0"/>
              <w:jc w:val="center"/>
              <w:rPr>
                <w:rFonts w:eastAsia="Times New Roman"/>
                <w:sz w:val="20"/>
                <w:szCs w:val="20"/>
              </w:rPr>
            </w:pPr>
            <w:r>
              <w:rPr>
                <w:rFonts w:eastAsia="Times New Roman"/>
                <w:sz w:val="20"/>
                <w:szCs w:val="20"/>
              </w:rPr>
              <w:t>3 mēnešu izpilde</w:t>
            </w:r>
          </w:p>
        </w:tc>
        <w:tc>
          <w:tcPr>
            <w:tcW w:w="2262" w:type="dxa"/>
            <w:vAlign w:val="bottom"/>
          </w:tcPr>
          <w:p w14:paraId="2AA92F17" w14:textId="77777777" w:rsidR="00B9297F" w:rsidRPr="00D4319A" w:rsidRDefault="00CA33A5" w:rsidP="006376C6">
            <w:pPr>
              <w:spacing w:after="0"/>
              <w:ind w:firstLine="0"/>
              <w:jc w:val="center"/>
              <w:rPr>
                <w:rFonts w:eastAsia="Times New Roman"/>
                <w:sz w:val="20"/>
                <w:szCs w:val="20"/>
              </w:rPr>
            </w:pPr>
            <w:r w:rsidRPr="00D4319A">
              <w:rPr>
                <w:rFonts w:eastAsia="Times New Roman"/>
                <w:sz w:val="20"/>
                <w:szCs w:val="20"/>
              </w:rPr>
              <w:t>201</w:t>
            </w:r>
            <w:r w:rsidR="008F42F1">
              <w:rPr>
                <w:rFonts w:eastAsia="Times New Roman"/>
                <w:sz w:val="20"/>
                <w:szCs w:val="20"/>
              </w:rPr>
              <w:t>5.</w:t>
            </w:r>
            <w:r w:rsidRPr="00D4319A">
              <w:rPr>
                <w:rFonts w:eastAsia="Times New Roman"/>
                <w:sz w:val="20"/>
                <w:szCs w:val="20"/>
              </w:rPr>
              <w:t>gada</w:t>
            </w:r>
          </w:p>
          <w:p w14:paraId="37805F7F" w14:textId="77777777" w:rsidR="00CA33A5" w:rsidRPr="00D4319A" w:rsidRDefault="006376C6" w:rsidP="006376C6">
            <w:pPr>
              <w:spacing w:after="0"/>
              <w:ind w:firstLine="0"/>
              <w:jc w:val="center"/>
              <w:rPr>
                <w:rFonts w:eastAsia="Times New Roman"/>
                <w:sz w:val="20"/>
                <w:szCs w:val="20"/>
              </w:rPr>
            </w:pPr>
            <w:r>
              <w:rPr>
                <w:rFonts w:eastAsia="Times New Roman"/>
                <w:sz w:val="20"/>
                <w:szCs w:val="20"/>
              </w:rPr>
              <w:t>3 mēnešu izpilde</w:t>
            </w:r>
          </w:p>
        </w:tc>
      </w:tr>
      <w:tr w:rsidR="00B92CBC" w:rsidRPr="00D4319A" w14:paraId="0CB1D9EC" w14:textId="77777777" w:rsidTr="00C704E3">
        <w:trPr>
          <w:jc w:val="center"/>
        </w:trPr>
        <w:tc>
          <w:tcPr>
            <w:tcW w:w="4531" w:type="dxa"/>
            <w:vAlign w:val="center"/>
          </w:tcPr>
          <w:p w14:paraId="694EDCB1" w14:textId="77777777" w:rsidR="00B92CBC" w:rsidRPr="00D4319A" w:rsidRDefault="00B92CBC" w:rsidP="006376C6">
            <w:pPr>
              <w:spacing w:after="0"/>
              <w:ind w:firstLine="0"/>
              <w:jc w:val="left"/>
              <w:rPr>
                <w:rFonts w:eastAsia="Times New Roman"/>
                <w:sz w:val="20"/>
                <w:szCs w:val="20"/>
              </w:rPr>
            </w:pPr>
            <w:r w:rsidRPr="00D4319A">
              <w:rPr>
                <w:rFonts w:eastAsia="Times New Roman"/>
                <w:snapToGrid w:val="0"/>
                <w:sz w:val="20"/>
                <w:szCs w:val="20"/>
              </w:rPr>
              <w:t>Kārtējie izdevumi</w:t>
            </w:r>
          </w:p>
        </w:tc>
        <w:tc>
          <w:tcPr>
            <w:tcW w:w="2126" w:type="dxa"/>
            <w:vAlign w:val="bottom"/>
          </w:tcPr>
          <w:p w14:paraId="11756864" w14:textId="77777777" w:rsidR="00B92CBC" w:rsidRPr="00D4319A" w:rsidRDefault="00033FF2" w:rsidP="006376C6">
            <w:pPr>
              <w:spacing w:after="0"/>
              <w:ind w:firstLine="0"/>
              <w:jc w:val="right"/>
              <w:rPr>
                <w:sz w:val="20"/>
                <w:szCs w:val="20"/>
              </w:rPr>
            </w:pPr>
            <w:r>
              <w:rPr>
                <w:sz w:val="20"/>
                <w:szCs w:val="20"/>
              </w:rPr>
              <w:t>23,7</w:t>
            </w:r>
          </w:p>
        </w:tc>
        <w:tc>
          <w:tcPr>
            <w:tcW w:w="2262" w:type="dxa"/>
            <w:vAlign w:val="bottom"/>
          </w:tcPr>
          <w:p w14:paraId="603281FE" w14:textId="77777777" w:rsidR="00B92CBC" w:rsidRPr="00D4319A" w:rsidRDefault="00033FF2" w:rsidP="006376C6">
            <w:pPr>
              <w:spacing w:after="0"/>
              <w:ind w:firstLine="0"/>
              <w:jc w:val="right"/>
              <w:rPr>
                <w:sz w:val="20"/>
                <w:szCs w:val="20"/>
              </w:rPr>
            </w:pPr>
            <w:r>
              <w:rPr>
                <w:sz w:val="20"/>
                <w:szCs w:val="20"/>
              </w:rPr>
              <w:t>24,5</w:t>
            </w:r>
          </w:p>
        </w:tc>
      </w:tr>
      <w:tr w:rsidR="00B92CBC" w:rsidRPr="00D4319A" w14:paraId="2E67B1FE" w14:textId="77777777" w:rsidTr="00C704E3">
        <w:trPr>
          <w:jc w:val="center"/>
        </w:trPr>
        <w:tc>
          <w:tcPr>
            <w:tcW w:w="4531" w:type="dxa"/>
            <w:vAlign w:val="center"/>
          </w:tcPr>
          <w:p w14:paraId="1E01F4C0" w14:textId="77777777" w:rsidR="00B92CBC" w:rsidRPr="00D4319A" w:rsidRDefault="00B92CBC" w:rsidP="006376C6">
            <w:pPr>
              <w:spacing w:after="0"/>
              <w:ind w:firstLine="0"/>
              <w:jc w:val="left"/>
              <w:rPr>
                <w:rFonts w:eastAsia="Times New Roman"/>
                <w:sz w:val="20"/>
                <w:szCs w:val="20"/>
              </w:rPr>
            </w:pPr>
            <w:r w:rsidRPr="00D4319A">
              <w:rPr>
                <w:rFonts w:eastAsia="Times New Roman"/>
                <w:snapToGrid w:val="0"/>
                <w:sz w:val="20"/>
                <w:szCs w:val="20"/>
              </w:rPr>
              <w:t>Procentu  izdevumi</w:t>
            </w:r>
          </w:p>
        </w:tc>
        <w:tc>
          <w:tcPr>
            <w:tcW w:w="2126" w:type="dxa"/>
            <w:vAlign w:val="bottom"/>
          </w:tcPr>
          <w:p w14:paraId="4C171E33" w14:textId="77777777" w:rsidR="00B92CBC" w:rsidRPr="00D4319A" w:rsidRDefault="00033FF2" w:rsidP="006376C6">
            <w:pPr>
              <w:spacing w:after="0"/>
              <w:ind w:firstLine="0"/>
              <w:jc w:val="right"/>
              <w:rPr>
                <w:sz w:val="20"/>
                <w:szCs w:val="20"/>
              </w:rPr>
            </w:pPr>
            <w:r>
              <w:rPr>
                <w:sz w:val="20"/>
                <w:szCs w:val="20"/>
              </w:rPr>
              <w:t>11,</w:t>
            </w:r>
            <w:r w:rsidR="006376C6">
              <w:rPr>
                <w:sz w:val="20"/>
                <w:szCs w:val="20"/>
              </w:rPr>
              <w:t>5</w:t>
            </w:r>
          </w:p>
        </w:tc>
        <w:tc>
          <w:tcPr>
            <w:tcW w:w="2262" w:type="dxa"/>
            <w:vAlign w:val="bottom"/>
          </w:tcPr>
          <w:p w14:paraId="2DEE6A10" w14:textId="77777777" w:rsidR="00B92CBC" w:rsidRPr="00D4319A" w:rsidRDefault="00033FF2" w:rsidP="006376C6">
            <w:pPr>
              <w:spacing w:after="0"/>
              <w:ind w:firstLine="0"/>
              <w:jc w:val="right"/>
              <w:rPr>
                <w:sz w:val="20"/>
                <w:szCs w:val="20"/>
              </w:rPr>
            </w:pPr>
            <w:r>
              <w:rPr>
                <w:sz w:val="20"/>
                <w:szCs w:val="20"/>
              </w:rPr>
              <w:t>10,8</w:t>
            </w:r>
          </w:p>
        </w:tc>
      </w:tr>
      <w:tr w:rsidR="00B92CBC" w:rsidRPr="00D4319A" w14:paraId="0903C4EC" w14:textId="77777777" w:rsidTr="00C704E3">
        <w:trPr>
          <w:jc w:val="center"/>
        </w:trPr>
        <w:tc>
          <w:tcPr>
            <w:tcW w:w="4531" w:type="dxa"/>
            <w:vAlign w:val="center"/>
          </w:tcPr>
          <w:p w14:paraId="5B24305E" w14:textId="77777777" w:rsidR="00B92CBC" w:rsidRPr="00D4319A" w:rsidRDefault="00B92CBC" w:rsidP="006376C6">
            <w:pPr>
              <w:spacing w:after="0"/>
              <w:ind w:firstLine="0"/>
              <w:jc w:val="left"/>
              <w:rPr>
                <w:rFonts w:eastAsia="Times New Roman"/>
                <w:sz w:val="20"/>
                <w:szCs w:val="20"/>
              </w:rPr>
            </w:pPr>
            <w:r w:rsidRPr="00D4319A">
              <w:rPr>
                <w:rFonts w:eastAsia="Times New Roman"/>
                <w:snapToGrid w:val="0"/>
                <w:sz w:val="20"/>
                <w:szCs w:val="20"/>
              </w:rPr>
              <w:t>Subsīdijas, dotācijas un sociālie pabalsti</w:t>
            </w:r>
          </w:p>
        </w:tc>
        <w:tc>
          <w:tcPr>
            <w:tcW w:w="2126" w:type="dxa"/>
            <w:vAlign w:val="bottom"/>
          </w:tcPr>
          <w:p w14:paraId="166070D9" w14:textId="77777777" w:rsidR="00B92CBC" w:rsidRPr="00D4319A" w:rsidRDefault="00033FF2" w:rsidP="006376C6">
            <w:pPr>
              <w:spacing w:after="0"/>
              <w:ind w:firstLine="0"/>
              <w:jc w:val="right"/>
              <w:rPr>
                <w:sz w:val="20"/>
                <w:szCs w:val="20"/>
              </w:rPr>
            </w:pPr>
            <w:r>
              <w:rPr>
                <w:sz w:val="20"/>
                <w:szCs w:val="20"/>
              </w:rPr>
              <w:t>33,7</w:t>
            </w:r>
          </w:p>
        </w:tc>
        <w:tc>
          <w:tcPr>
            <w:tcW w:w="2262" w:type="dxa"/>
            <w:vAlign w:val="bottom"/>
          </w:tcPr>
          <w:p w14:paraId="0CD6017D" w14:textId="77777777" w:rsidR="00B92CBC" w:rsidRPr="00D4319A" w:rsidRDefault="00033FF2" w:rsidP="006376C6">
            <w:pPr>
              <w:spacing w:after="0"/>
              <w:ind w:firstLine="0"/>
              <w:jc w:val="right"/>
              <w:rPr>
                <w:sz w:val="20"/>
                <w:szCs w:val="20"/>
              </w:rPr>
            </w:pPr>
            <w:r>
              <w:rPr>
                <w:sz w:val="20"/>
                <w:szCs w:val="20"/>
              </w:rPr>
              <w:t>35,0</w:t>
            </w:r>
          </w:p>
        </w:tc>
      </w:tr>
      <w:tr w:rsidR="00B92CBC" w:rsidRPr="00D4319A" w14:paraId="50E7DAB4" w14:textId="77777777" w:rsidTr="00C704E3">
        <w:trPr>
          <w:jc w:val="center"/>
        </w:trPr>
        <w:tc>
          <w:tcPr>
            <w:tcW w:w="4531" w:type="dxa"/>
            <w:vAlign w:val="center"/>
          </w:tcPr>
          <w:p w14:paraId="70A64129" w14:textId="77777777" w:rsidR="00B92CBC" w:rsidRPr="00D4319A" w:rsidRDefault="00B92CBC" w:rsidP="006376C6">
            <w:pPr>
              <w:spacing w:after="0"/>
              <w:ind w:firstLine="0"/>
              <w:jc w:val="left"/>
              <w:rPr>
                <w:rFonts w:eastAsia="Times New Roman"/>
                <w:sz w:val="20"/>
                <w:szCs w:val="20"/>
              </w:rPr>
            </w:pPr>
            <w:r w:rsidRPr="00D4319A">
              <w:rPr>
                <w:rFonts w:eastAsia="Times New Roman"/>
                <w:snapToGrid w:val="0"/>
                <w:sz w:val="20"/>
                <w:szCs w:val="20"/>
              </w:rPr>
              <w:t>Kārtējie maksājumi Eiropas Savienības budžetā un starptautiskā sadarbība</w:t>
            </w:r>
          </w:p>
        </w:tc>
        <w:tc>
          <w:tcPr>
            <w:tcW w:w="2126" w:type="dxa"/>
            <w:vAlign w:val="bottom"/>
          </w:tcPr>
          <w:p w14:paraId="351EC146" w14:textId="77777777" w:rsidR="00B92CBC" w:rsidRPr="00D4319A" w:rsidRDefault="00033FF2" w:rsidP="006376C6">
            <w:pPr>
              <w:spacing w:after="0"/>
              <w:ind w:firstLine="0"/>
              <w:jc w:val="right"/>
              <w:rPr>
                <w:sz w:val="20"/>
                <w:szCs w:val="20"/>
              </w:rPr>
            </w:pPr>
            <w:r>
              <w:rPr>
                <w:sz w:val="20"/>
                <w:szCs w:val="20"/>
              </w:rPr>
              <w:t>9,2</w:t>
            </w:r>
          </w:p>
        </w:tc>
        <w:tc>
          <w:tcPr>
            <w:tcW w:w="2262" w:type="dxa"/>
            <w:vAlign w:val="bottom"/>
          </w:tcPr>
          <w:p w14:paraId="77E96C2C" w14:textId="77777777" w:rsidR="00B92CBC" w:rsidRPr="00D4319A" w:rsidRDefault="00033FF2" w:rsidP="006376C6">
            <w:pPr>
              <w:spacing w:after="0"/>
              <w:ind w:firstLine="0"/>
              <w:jc w:val="right"/>
              <w:rPr>
                <w:sz w:val="20"/>
                <w:szCs w:val="20"/>
              </w:rPr>
            </w:pPr>
            <w:r>
              <w:rPr>
                <w:sz w:val="20"/>
                <w:szCs w:val="20"/>
              </w:rPr>
              <w:t>8,3</w:t>
            </w:r>
          </w:p>
        </w:tc>
      </w:tr>
      <w:tr w:rsidR="00B92CBC" w:rsidRPr="00D4319A" w14:paraId="5939AB64" w14:textId="77777777" w:rsidTr="00C704E3">
        <w:trPr>
          <w:jc w:val="center"/>
        </w:trPr>
        <w:tc>
          <w:tcPr>
            <w:tcW w:w="4531" w:type="dxa"/>
            <w:vAlign w:val="center"/>
          </w:tcPr>
          <w:p w14:paraId="69BE1C01" w14:textId="77777777" w:rsidR="00B92CBC" w:rsidRPr="00D4319A" w:rsidRDefault="00B92CBC" w:rsidP="006376C6">
            <w:pPr>
              <w:spacing w:after="0"/>
              <w:ind w:firstLine="0"/>
              <w:jc w:val="left"/>
              <w:rPr>
                <w:rFonts w:eastAsia="Times New Roman"/>
                <w:sz w:val="20"/>
                <w:szCs w:val="20"/>
              </w:rPr>
            </w:pPr>
            <w:r w:rsidRPr="00D4319A">
              <w:rPr>
                <w:rFonts w:eastAsia="Times New Roman"/>
                <w:snapToGrid w:val="0"/>
                <w:sz w:val="20"/>
                <w:szCs w:val="20"/>
              </w:rPr>
              <w:t>Uzturēšanas izdevumu transferti</w:t>
            </w:r>
          </w:p>
        </w:tc>
        <w:tc>
          <w:tcPr>
            <w:tcW w:w="2126" w:type="dxa"/>
            <w:vAlign w:val="bottom"/>
          </w:tcPr>
          <w:p w14:paraId="3D4552CA" w14:textId="77777777" w:rsidR="00B92CBC" w:rsidRPr="00D4319A" w:rsidRDefault="00033FF2" w:rsidP="006376C6">
            <w:pPr>
              <w:spacing w:after="0"/>
              <w:ind w:firstLine="0"/>
              <w:jc w:val="right"/>
              <w:rPr>
                <w:sz w:val="20"/>
                <w:szCs w:val="20"/>
              </w:rPr>
            </w:pPr>
            <w:r>
              <w:rPr>
                <w:sz w:val="20"/>
                <w:szCs w:val="20"/>
              </w:rPr>
              <w:t>16,7</w:t>
            </w:r>
          </w:p>
        </w:tc>
        <w:tc>
          <w:tcPr>
            <w:tcW w:w="2262" w:type="dxa"/>
            <w:vAlign w:val="bottom"/>
          </w:tcPr>
          <w:p w14:paraId="2785F5F6" w14:textId="77777777" w:rsidR="00B92CBC" w:rsidRPr="00D4319A" w:rsidRDefault="00033FF2" w:rsidP="006376C6">
            <w:pPr>
              <w:spacing w:after="0"/>
              <w:ind w:firstLine="0"/>
              <w:jc w:val="right"/>
              <w:rPr>
                <w:sz w:val="20"/>
                <w:szCs w:val="20"/>
              </w:rPr>
            </w:pPr>
            <w:r>
              <w:rPr>
                <w:sz w:val="20"/>
                <w:szCs w:val="20"/>
              </w:rPr>
              <w:t>16,6</w:t>
            </w:r>
          </w:p>
        </w:tc>
      </w:tr>
      <w:tr w:rsidR="00B92CBC" w:rsidRPr="006A4BA1" w14:paraId="5D4128DE" w14:textId="77777777" w:rsidTr="00C704E3">
        <w:trPr>
          <w:jc w:val="center"/>
        </w:trPr>
        <w:tc>
          <w:tcPr>
            <w:tcW w:w="4531" w:type="dxa"/>
            <w:vAlign w:val="center"/>
          </w:tcPr>
          <w:p w14:paraId="1471110B" w14:textId="77777777" w:rsidR="00B92CBC" w:rsidRPr="00D4319A" w:rsidRDefault="00B92CBC" w:rsidP="006376C6">
            <w:pPr>
              <w:spacing w:after="0"/>
              <w:ind w:firstLine="0"/>
              <w:jc w:val="left"/>
              <w:rPr>
                <w:rFonts w:eastAsia="Times New Roman"/>
                <w:sz w:val="20"/>
                <w:szCs w:val="20"/>
              </w:rPr>
            </w:pPr>
            <w:r w:rsidRPr="00D4319A">
              <w:rPr>
                <w:rFonts w:eastAsia="Times New Roman"/>
                <w:snapToGrid w:val="0"/>
                <w:sz w:val="20"/>
                <w:szCs w:val="20"/>
              </w:rPr>
              <w:t>Kapitālie izdevumi</w:t>
            </w:r>
          </w:p>
        </w:tc>
        <w:tc>
          <w:tcPr>
            <w:tcW w:w="2126" w:type="dxa"/>
            <w:vAlign w:val="bottom"/>
          </w:tcPr>
          <w:p w14:paraId="50A7942F" w14:textId="77777777" w:rsidR="00B92CBC" w:rsidRPr="00D4319A" w:rsidRDefault="00033FF2" w:rsidP="006376C6">
            <w:pPr>
              <w:spacing w:after="0"/>
              <w:ind w:firstLine="0"/>
              <w:jc w:val="right"/>
              <w:rPr>
                <w:sz w:val="20"/>
                <w:szCs w:val="20"/>
              </w:rPr>
            </w:pPr>
            <w:r>
              <w:rPr>
                <w:sz w:val="20"/>
                <w:szCs w:val="20"/>
              </w:rPr>
              <w:t>5,2</w:t>
            </w:r>
          </w:p>
        </w:tc>
        <w:tc>
          <w:tcPr>
            <w:tcW w:w="2262" w:type="dxa"/>
            <w:vAlign w:val="bottom"/>
          </w:tcPr>
          <w:p w14:paraId="47ECA9F6" w14:textId="77777777" w:rsidR="00B92CBC" w:rsidRDefault="00033FF2" w:rsidP="006376C6">
            <w:pPr>
              <w:spacing w:after="0"/>
              <w:ind w:firstLine="0"/>
              <w:jc w:val="right"/>
              <w:rPr>
                <w:sz w:val="20"/>
                <w:szCs w:val="20"/>
              </w:rPr>
            </w:pPr>
            <w:r>
              <w:rPr>
                <w:sz w:val="20"/>
                <w:szCs w:val="20"/>
              </w:rPr>
              <w:t>4,8</w:t>
            </w:r>
          </w:p>
        </w:tc>
      </w:tr>
    </w:tbl>
    <w:p w14:paraId="27C9B912" w14:textId="77777777" w:rsidR="00CA33A5" w:rsidRPr="00C7378A" w:rsidRDefault="00CA33A5" w:rsidP="00CA33A5">
      <w:pPr>
        <w:rPr>
          <w:rFonts w:eastAsia="Times New Roman"/>
          <w:sz w:val="20"/>
          <w:szCs w:val="20"/>
          <w:highlight w:val="yellow"/>
        </w:rPr>
      </w:pPr>
    </w:p>
    <w:p w14:paraId="00CDBB03" w14:textId="77777777" w:rsidR="00CA33A5" w:rsidRPr="001C1C52" w:rsidRDefault="00CA33A5" w:rsidP="00CA33A5">
      <w:pPr>
        <w:rPr>
          <w:rFonts w:eastAsia="Times New Roman"/>
          <w:sz w:val="24"/>
          <w:szCs w:val="20"/>
        </w:rPr>
      </w:pPr>
      <w:r w:rsidRPr="001C1C52">
        <w:rPr>
          <w:rFonts w:eastAsia="Times New Roman"/>
          <w:sz w:val="24"/>
          <w:szCs w:val="20"/>
        </w:rPr>
        <w:t>201</w:t>
      </w:r>
      <w:r w:rsidR="00B563D4" w:rsidRPr="001C1C52">
        <w:rPr>
          <w:rFonts w:eastAsia="Times New Roman"/>
          <w:sz w:val="24"/>
          <w:szCs w:val="20"/>
        </w:rPr>
        <w:t>5</w:t>
      </w:r>
      <w:r w:rsidR="008F42F1" w:rsidRPr="001C1C52">
        <w:rPr>
          <w:rFonts w:eastAsia="Times New Roman"/>
          <w:sz w:val="24"/>
          <w:szCs w:val="20"/>
        </w:rPr>
        <w:t>.</w:t>
      </w:r>
      <w:r w:rsidRPr="001C1C52">
        <w:rPr>
          <w:rFonts w:eastAsia="Times New Roman"/>
          <w:sz w:val="24"/>
          <w:szCs w:val="20"/>
        </w:rPr>
        <w:t xml:space="preserve">gada pirmajā ceturksnī izdevumi galvenokārt izlietoti subsīdijām, dotācijām un sociālajiem pabalstiem – </w:t>
      </w:r>
      <w:r w:rsidR="00B563D4" w:rsidRPr="001C1C52">
        <w:rPr>
          <w:rFonts w:eastAsia="Times New Roman"/>
          <w:sz w:val="24"/>
          <w:szCs w:val="20"/>
        </w:rPr>
        <w:t>35,0</w:t>
      </w:r>
      <w:r w:rsidRPr="001C1C52">
        <w:rPr>
          <w:rFonts w:eastAsia="Times New Roman"/>
          <w:sz w:val="24"/>
          <w:szCs w:val="20"/>
        </w:rPr>
        <w:t xml:space="preserve">% un kārtējiem izdevumiem – </w:t>
      </w:r>
      <w:r w:rsidR="00B563D4" w:rsidRPr="001C1C52">
        <w:rPr>
          <w:rFonts w:eastAsia="Times New Roman"/>
          <w:sz w:val="24"/>
          <w:szCs w:val="20"/>
        </w:rPr>
        <w:t>24,5</w:t>
      </w:r>
      <w:r w:rsidRPr="001C1C52">
        <w:rPr>
          <w:rFonts w:eastAsia="Times New Roman"/>
          <w:sz w:val="24"/>
          <w:szCs w:val="20"/>
        </w:rPr>
        <w:t>% no kopējiem izdevumiem.</w:t>
      </w:r>
    </w:p>
    <w:p w14:paraId="6F8C22E6" w14:textId="77777777" w:rsidR="00CA119F" w:rsidRPr="001C1C52" w:rsidRDefault="006376C6" w:rsidP="00CA33A5">
      <w:pPr>
        <w:rPr>
          <w:rFonts w:eastAsia="Times New Roman"/>
          <w:sz w:val="24"/>
          <w:szCs w:val="20"/>
        </w:rPr>
      </w:pPr>
      <w:r w:rsidRPr="001C1C52">
        <w:rPr>
          <w:rFonts w:eastAsia="Times New Roman"/>
          <w:sz w:val="24"/>
          <w:szCs w:val="20"/>
        </w:rPr>
        <w:t>2015.</w:t>
      </w:r>
      <w:r w:rsidR="00CA119F" w:rsidRPr="001C1C52">
        <w:rPr>
          <w:rFonts w:eastAsia="Times New Roman"/>
          <w:sz w:val="24"/>
          <w:szCs w:val="20"/>
        </w:rPr>
        <w:t>gada pirmajā ceturksnī, salīdzinot ar 201</w:t>
      </w:r>
      <w:r w:rsidRPr="001C1C52">
        <w:rPr>
          <w:rFonts w:eastAsia="Times New Roman"/>
          <w:sz w:val="24"/>
          <w:szCs w:val="20"/>
        </w:rPr>
        <w:t>4.</w:t>
      </w:r>
      <w:r w:rsidR="00CA119F" w:rsidRPr="001C1C52">
        <w:rPr>
          <w:rFonts w:eastAsia="Times New Roman"/>
          <w:sz w:val="24"/>
          <w:szCs w:val="20"/>
        </w:rPr>
        <w:t>gada atbilstošo periodu</w:t>
      </w:r>
      <w:r w:rsidR="00DF1F2B" w:rsidRPr="001C1C52">
        <w:rPr>
          <w:rFonts w:eastAsia="Times New Roman"/>
          <w:sz w:val="24"/>
          <w:szCs w:val="20"/>
        </w:rPr>
        <w:t>,</w:t>
      </w:r>
      <w:r w:rsidR="00CA119F" w:rsidRPr="001C1C52">
        <w:rPr>
          <w:rFonts w:eastAsia="Times New Roman"/>
          <w:sz w:val="24"/>
          <w:szCs w:val="20"/>
        </w:rPr>
        <w:t xml:space="preserve"> palielinājušies kārtējie izdevumi</w:t>
      </w:r>
      <w:r w:rsidR="00CD67AF" w:rsidRPr="001C1C52">
        <w:rPr>
          <w:rFonts w:eastAsia="Times New Roman"/>
          <w:sz w:val="24"/>
          <w:szCs w:val="20"/>
        </w:rPr>
        <w:t xml:space="preserve"> par 0,8</w:t>
      </w:r>
      <w:r w:rsidR="00CA119F" w:rsidRPr="001C1C52">
        <w:rPr>
          <w:rFonts w:eastAsia="Times New Roman"/>
          <w:sz w:val="24"/>
          <w:szCs w:val="20"/>
        </w:rPr>
        <w:t>%, izdevumi subsīdijām, dotācijām un sociālajiem pabalstiem par 1,</w:t>
      </w:r>
      <w:r w:rsidR="00CD67AF" w:rsidRPr="001C1C52">
        <w:rPr>
          <w:rFonts w:eastAsia="Times New Roman"/>
          <w:sz w:val="24"/>
          <w:szCs w:val="20"/>
        </w:rPr>
        <w:t>3</w:t>
      </w:r>
      <w:r w:rsidR="00DF1F2B" w:rsidRPr="001C1C52">
        <w:rPr>
          <w:rFonts w:eastAsia="Times New Roman"/>
          <w:sz w:val="24"/>
          <w:szCs w:val="20"/>
        </w:rPr>
        <w:t>%, savukārt samazinājušies</w:t>
      </w:r>
      <w:r w:rsidR="00CA119F" w:rsidRPr="001C1C52">
        <w:rPr>
          <w:rFonts w:eastAsia="Times New Roman"/>
          <w:sz w:val="24"/>
          <w:szCs w:val="20"/>
        </w:rPr>
        <w:t xml:space="preserve"> procentu izdevumi </w:t>
      </w:r>
      <w:r w:rsidR="00CD67AF" w:rsidRPr="001C1C52">
        <w:rPr>
          <w:rFonts w:eastAsia="Times New Roman"/>
          <w:sz w:val="24"/>
          <w:szCs w:val="20"/>
        </w:rPr>
        <w:t>par 0,</w:t>
      </w:r>
      <w:r w:rsidRPr="001C1C52">
        <w:rPr>
          <w:rFonts w:eastAsia="Times New Roman"/>
          <w:sz w:val="24"/>
          <w:szCs w:val="20"/>
        </w:rPr>
        <w:t>7</w:t>
      </w:r>
      <w:r w:rsidR="00CA119F" w:rsidRPr="001C1C52">
        <w:rPr>
          <w:rFonts w:eastAsia="Times New Roman"/>
          <w:sz w:val="24"/>
          <w:szCs w:val="20"/>
        </w:rPr>
        <w:t>%, izdevumi kārtējiem maksājumiem Eiropas Savienības budžetā un starptautiskai sadarbībai par</w:t>
      </w:r>
      <w:r w:rsidR="00CD67AF" w:rsidRPr="001C1C52">
        <w:rPr>
          <w:rFonts w:eastAsia="Times New Roman"/>
          <w:sz w:val="24"/>
          <w:szCs w:val="20"/>
        </w:rPr>
        <w:t xml:space="preserve"> 0,9</w:t>
      </w:r>
      <w:r w:rsidR="00CA119F" w:rsidRPr="001C1C52">
        <w:rPr>
          <w:rFonts w:eastAsia="Times New Roman"/>
          <w:sz w:val="24"/>
          <w:szCs w:val="20"/>
        </w:rPr>
        <w:t>%, uzturēšanas izdevumu transferti</w:t>
      </w:r>
      <w:r w:rsidR="00CD67AF" w:rsidRPr="001C1C52">
        <w:rPr>
          <w:rFonts w:eastAsia="Times New Roman"/>
          <w:sz w:val="24"/>
          <w:szCs w:val="20"/>
        </w:rPr>
        <w:t xml:space="preserve"> par 0,1</w:t>
      </w:r>
      <w:r w:rsidR="00CA119F" w:rsidRPr="001C1C52">
        <w:rPr>
          <w:rFonts w:eastAsia="Times New Roman"/>
          <w:sz w:val="24"/>
          <w:szCs w:val="20"/>
        </w:rPr>
        <w:t xml:space="preserve">% un kapitālie </w:t>
      </w:r>
      <w:r w:rsidR="00CD67AF" w:rsidRPr="001C1C52">
        <w:rPr>
          <w:rFonts w:eastAsia="Times New Roman"/>
          <w:sz w:val="24"/>
          <w:szCs w:val="20"/>
        </w:rPr>
        <w:t>izdevumi par 0,4</w:t>
      </w:r>
      <w:r w:rsidR="00CA119F" w:rsidRPr="001C1C52">
        <w:rPr>
          <w:rFonts w:eastAsia="Times New Roman"/>
          <w:sz w:val="24"/>
          <w:szCs w:val="20"/>
        </w:rPr>
        <w:t>%.</w:t>
      </w:r>
    </w:p>
    <w:p w14:paraId="6E23D654" w14:textId="77777777" w:rsidR="00C1733B" w:rsidRPr="00D4319A" w:rsidRDefault="00C1733B" w:rsidP="00405104">
      <w:pPr>
        <w:spacing w:after="0"/>
        <w:rPr>
          <w:rFonts w:eastAsia="Times New Roman"/>
          <w:szCs w:val="20"/>
        </w:rPr>
      </w:pPr>
    </w:p>
    <w:p w14:paraId="6FE234CC" w14:textId="77777777" w:rsidR="00EF354D" w:rsidRPr="00EF354D" w:rsidRDefault="00234FC7" w:rsidP="00EF354D">
      <w:pPr>
        <w:spacing w:after="0"/>
        <w:ind w:firstLine="0"/>
        <w:jc w:val="right"/>
        <w:rPr>
          <w:rFonts w:eastAsia="Times New Roman"/>
          <w:b/>
          <w:sz w:val="20"/>
          <w:szCs w:val="24"/>
        </w:rPr>
      </w:pPr>
      <w:r w:rsidRPr="00EF354D">
        <w:rPr>
          <w:rFonts w:eastAsia="Times New Roman"/>
          <w:b/>
          <w:sz w:val="20"/>
          <w:szCs w:val="24"/>
        </w:rPr>
        <w:t>2.4</w:t>
      </w:r>
      <w:r w:rsidR="00CA33A5" w:rsidRPr="00EF354D">
        <w:rPr>
          <w:rFonts w:eastAsia="Times New Roman"/>
          <w:b/>
          <w:sz w:val="20"/>
          <w:szCs w:val="24"/>
        </w:rPr>
        <w:t xml:space="preserve">. tabula. Valsts pamatbudžeta izdevumi atbilstoši funkcionālajām kategorijām, </w:t>
      </w:r>
    </w:p>
    <w:p w14:paraId="54105FAF" w14:textId="77777777" w:rsidR="00CA33A5" w:rsidRPr="00EF354D" w:rsidRDefault="00CA33A5" w:rsidP="00EF354D">
      <w:pPr>
        <w:spacing w:after="0"/>
        <w:ind w:firstLine="0"/>
        <w:jc w:val="right"/>
        <w:rPr>
          <w:rFonts w:eastAsia="Times New Roman"/>
          <w:b/>
          <w:sz w:val="20"/>
          <w:szCs w:val="24"/>
        </w:rPr>
      </w:pPr>
      <w:r w:rsidRPr="00EF354D">
        <w:rPr>
          <w:rFonts w:eastAsia="Times New Roman"/>
          <w:b/>
          <w:sz w:val="20"/>
          <w:szCs w:val="24"/>
        </w:rPr>
        <w:t>% no kopējā izdevumu apjoma</w:t>
      </w:r>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617"/>
        <w:gridCol w:w="2126"/>
        <w:gridCol w:w="1985"/>
      </w:tblGrid>
      <w:tr w:rsidR="00CA33A5" w:rsidRPr="00D4319A" w14:paraId="0F0B2A52" w14:textId="77777777" w:rsidTr="00C704E3">
        <w:trPr>
          <w:cantSplit/>
          <w:tblHeader/>
          <w:jc w:val="center"/>
        </w:trPr>
        <w:tc>
          <w:tcPr>
            <w:tcW w:w="4617" w:type="dxa"/>
            <w:tcBorders>
              <w:top w:val="single" w:sz="4" w:space="0" w:color="auto"/>
              <w:left w:val="single" w:sz="4" w:space="0" w:color="auto"/>
            </w:tcBorders>
          </w:tcPr>
          <w:p w14:paraId="133393DE" w14:textId="77777777" w:rsidR="00CA33A5" w:rsidRPr="00D4319A" w:rsidRDefault="00CA33A5" w:rsidP="007116CF">
            <w:pPr>
              <w:spacing w:after="0"/>
              <w:jc w:val="center"/>
              <w:rPr>
                <w:rFonts w:eastAsia="Times New Roman"/>
                <w:snapToGrid w:val="0"/>
                <w:sz w:val="20"/>
                <w:szCs w:val="20"/>
              </w:rPr>
            </w:pPr>
            <w:r w:rsidRPr="00D4319A">
              <w:rPr>
                <w:rFonts w:eastAsia="Times New Roman"/>
                <w:snapToGrid w:val="0"/>
                <w:sz w:val="20"/>
                <w:szCs w:val="20"/>
              </w:rPr>
              <w:t>Rādītāji</w:t>
            </w:r>
          </w:p>
        </w:tc>
        <w:tc>
          <w:tcPr>
            <w:tcW w:w="2126" w:type="dxa"/>
            <w:tcBorders>
              <w:top w:val="single" w:sz="4" w:space="0" w:color="auto"/>
            </w:tcBorders>
          </w:tcPr>
          <w:p w14:paraId="3CBC7694" w14:textId="77777777" w:rsidR="00B9297F" w:rsidRPr="00D4319A" w:rsidRDefault="00CA33A5" w:rsidP="007116CF">
            <w:pPr>
              <w:spacing w:after="0"/>
              <w:ind w:firstLine="0"/>
              <w:jc w:val="center"/>
              <w:rPr>
                <w:rFonts w:eastAsia="Times New Roman"/>
                <w:snapToGrid w:val="0"/>
                <w:sz w:val="20"/>
                <w:szCs w:val="20"/>
              </w:rPr>
            </w:pPr>
            <w:r w:rsidRPr="00D4319A">
              <w:rPr>
                <w:rFonts w:eastAsia="Times New Roman"/>
                <w:snapToGrid w:val="0"/>
                <w:sz w:val="20"/>
                <w:szCs w:val="20"/>
              </w:rPr>
              <w:t>201</w:t>
            </w:r>
            <w:r w:rsidR="00033FF2">
              <w:rPr>
                <w:rFonts w:eastAsia="Times New Roman"/>
                <w:snapToGrid w:val="0"/>
                <w:sz w:val="20"/>
                <w:szCs w:val="20"/>
              </w:rPr>
              <w:t>4</w:t>
            </w:r>
            <w:r w:rsidR="006376C6">
              <w:rPr>
                <w:rFonts w:eastAsia="Times New Roman"/>
                <w:snapToGrid w:val="0"/>
                <w:sz w:val="20"/>
                <w:szCs w:val="20"/>
              </w:rPr>
              <w:t>.</w:t>
            </w:r>
            <w:r w:rsidRPr="00D4319A">
              <w:rPr>
                <w:rFonts w:eastAsia="Times New Roman"/>
                <w:snapToGrid w:val="0"/>
                <w:sz w:val="20"/>
                <w:szCs w:val="20"/>
              </w:rPr>
              <w:t>gada</w:t>
            </w:r>
          </w:p>
          <w:p w14:paraId="251DD7D2" w14:textId="77777777" w:rsidR="00CA33A5" w:rsidRPr="00D4319A" w:rsidRDefault="006376C6" w:rsidP="007116CF">
            <w:pPr>
              <w:spacing w:after="0"/>
              <w:ind w:firstLine="0"/>
              <w:jc w:val="center"/>
              <w:rPr>
                <w:rFonts w:eastAsia="Times New Roman"/>
                <w:snapToGrid w:val="0"/>
                <w:sz w:val="20"/>
                <w:szCs w:val="20"/>
              </w:rPr>
            </w:pPr>
            <w:r>
              <w:rPr>
                <w:rFonts w:eastAsia="Times New Roman"/>
                <w:snapToGrid w:val="0"/>
                <w:sz w:val="20"/>
                <w:szCs w:val="20"/>
              </w:rPr>
              <w:t>3 mēnešu izpilde</w:t>
            </w:r>
          </w:p>
        </w:tc>
        <w:tc>
          <w:tcPr>
            <w:tcW w:w="1985" w:type="dxa"/>
            <w:tcBorders>
              <w:top w:val="single" w:sz="4" w:space="0" w:color="auto"/>
              <w:right w:val="single" w:sz="4" w:space="0" w:color="auto"/>
            </w:tcBorders>
          </w:tcPr>
          <w:p w14:paraId="04ED54C8" w14:textId="77777777" w:rsidR="00B9297F" w:rsidRPr="00D4319A" w:rsidRDefault="00CA33A5" w:rsidP="007116CF">
            <w:pPr>
              <w:spacing w:after="0"/>
              <w:ind w:firstLine="0"/>
              <w:jc w:val="center"/>
              <w:rPr>
                <w:rFonts w:eastAsia="Times New Roman"/>
                <w:snapToGrid w:val="0"/>
                <w:sz w:val="20"/>
                <w:szCs w:val="20"/>
              </w:rPr>
            </w:pPr>
            <w:r w:rsidRPr="00D4319A">
              <w:rPr>
                <w:rFonts w:eastAsia="Times New Roman"/>
                <w:snapToGrid w:val="0"/>
                <w:sz w:val="20"/>
                <w:szCs w:val="20"/>
              </w:rPr>
              <w:t>201</w:t>
            </w:r>
            <w:r w:rsidR="00033FF2">
              <w:rPr>
                <w:rFonts w:eastAsia="Times New Roman"/>
                <w:snapToGrid w:val="0"/>
                <w:sz w:val="20"/>
                <w:szCs w:val="20"/>
              </w:rPr>
              <w:t>5</w:t>
            </w:r>
            <w:r w:rsidRPr="00D4319A">
              <w:rPr>
                <w:rFonts w:eastAsia="Times New Roman"/>
                <w:snapToGrid w:val="0"/>
                <w:sz w:val="20"/>
                <w:szCs w:val="20"/>
              </w:rPr>
              <w:t>.gada</w:t>
            </w:r>
          </w:p>
          <w:p w14:paraId="1FDA26B1" w14:textId="77777777" w:rsidR="00CA33A5" w:rsidRPr="00D4319A" w:rsidRDefault="006376C6" w:rsidP="007116CF">
            <w:pPr>
              <w:spacing w:after="0"/>
              <w:ind w:firstLine="0"/>
              <w:jc w:val="center"/>
              <w:rPr>
                <w:rFonts w:eastAsia="Times New Roman"/>
                <w:snapToGrid w:val="0"/>
                <w:sz w:val="20"/>
                <w:szCs w:val="20"/>
              </w:rPr>
            </w:pPr>
            <w:r>
              <w:rPr>
                <w:rFonts w:eastAsia="Times New Roman"/>
                <w:snapToGrid w:val="0"/>
                <w:sz w:val="20"/>
                <w:szCs w:val="20"/>
              </w:rPr>
              <w:t>3 mēnešu izpilde</w:t>
            </w:r>
          </w:p>
        </w:tc>
      </w:tr>
      <w:tr w:rsidR="00033FF2" w:rsidRPr="00D4319A" w14:paraId="4C7A8E45" w14:textId="77777777" w:rsidTr="00C704E3">
        <w:trPr>
          <w:cantSplit/>
          <w:jc w:val="center"/>
        </w:trPr>
        <w:tc>
          <w:tcPr>
            <w:tcW w:w="4617" w:type="dxa"/>
            <w:tcBorders>
              <w:left w:val="single" w:sz="4" w:space="0" w:color="auto"/>
              <w:bottom w:val="nil"/>
            </w:tcBorders>
          </w:tcPr>
          <w:p w14:paraId="3A635359" w14:textId="77777777" w:rsidR="00033FF2" w:rsidRPr="00D4319A" w:rsidRDefault="00033FF2" w:rsidP="006376C6">
            <w:pPr>
              <w:spacing w:after="0"/>
              <w:ind w:firstLine="25"/>
              <w:jc w:val="left"/>
              <w:rPr>
                <w:rFonts w:eastAsia="Times New Roman"/>
                <w:snapToGrid w:val="0"/>
                <w:sz w:val="20"/>
                <w:szCs w:val="20"/>
              </w:rPr>
            </w:pPr>
            <w:r w:rsidRPr="00D4319A">
              <w:rPr>
                <w:rFonts w:eastAsia="Times New Roman"/>
                <w:snapToGrid w:val="0"/>
                <w:sz w:val="20"/>
                <w:szCs w:val="20"/>
              </w:rPr>
              <w:t>Vispārējie valdības dienesti</w:t>
            </w:r>
          </w:p>
        </w:tc>
        <w:tc>
          <w:tcPr>
            <w:tcW w:w="2126" w:type="dxa"/>
            <w:tcBorders>
              <w:bottom w:val="nil"/>
            </w:tcBorders>
            <w:vAlign w:val="bottom"/>
          </w:tcPr>
          <w:p w14:paraId="0F8142B8" w14:textId="77777777" w:rsidR="00033FF2" w:rsidRPr="00D4319A" w:rsidRDefault="00033FF2" w:rsidP="00033FF2">
            <w:pPr>
              <w:spacing w:after="0"/>
              <w:jc w:val="right"/>
              <w:rPr>
                <w:sz w:val="20"/>
                <w:szCs w:val="20"/>
              </w:rPr>
            </w:pPr>
            <w:r w:rsidRPr="00D4319A">
              <w:rPr>
                <w:sz w:val="20"/>
                <w:szCs w:val="20"/>
              </w:rPr>
              <w:t>26,6</w:t>
            </w:r>
          </w:p>
        </w:tc>
        <w:tc>
          <w:tcPr>
            <w:tcW w:w="1985" w:type="dxa"/>
            <w:tcBorders>
              <w:bottom w:val="nil"/>
              <w:right w:val="single" w:sz="4" w:space="0" w:color="auto"/>
            </w:tcBorders>
            <w:vAlign w:val="bottom"/>
          </w:tcPr>
          <w:p w14:paraId="6CE947F6" w14:textId="77777777" w:rsidR="00033FF2" w:rsidRPr="00D4319A" w:rsidRDefault="00033FF2" w:rsidP="00033FF2">
            <w:pPr>
              <w:spacing w:after="0"/>
              <w:jc w:val="right"/>
              <w:rPr>
                <w:sz w:val="20"/>
                <w:szCs w:val="20"/>
              </w:rPr>
            </w:pPr>
            <w:r>
              <w:rPr>
                <w:sz w:val="20"/>
                <w:szCs w:val="20"/>
              </w:rPr>
              <w:t>24,9</w:t>
            </w:r>
          </w:p>
        </w:tc>
      </w:tr>
      <w:tr w:rsidR="00033FF2" w:rsidRPr="00D4319A" w14:paraId="5F036160" w14:textId="77777777" w:rsidTr="00C704E3">
        <w:trPr>
          <w:cantSplit/>
          <w:jc w:val="center"/>
        </w:trPr>
        <w:tc>
          <w:tcPr>
            <w:tcW w:w="4617" w:type="dxa"/>
            <w:tcBorders>
              <w:left w:val="single" w:sz="4" w:space="0" w:color="auto"/>
              <w:bottom w:val="nil"/>
            </w:tcBorders>
          </w:tcPr>
          <w:p w14:paraId="14B0C81B" w14:textId="77777777" w:rsidR="00033FF2" w:rsidRPr="00D4319A" w:rsidRDefault="00033FF2" w:rsidP="006376C6">
            <w:pPr>
              <w:spacing w:after="0"/>
              <w:ind w:firstLine="25"/>
              <w:jc w:val="left"/>
              <w:rPr>
                <w:rFonts w:eastAsia="Times New Roman"/>
                <w:snapToGrid w:val="0"/>
                <w:sz w:val="20"/>
                <w:szCs w:val="20"/>
              </w:rPr>
            </w:pPr>
            <w:r w:rsidRPr="00D4319A">
              <w:rPr>
                <w:rFonts w:eastAsia="Times New Roman"/>
                <w:snapToGrid w:val="0"/>
                <w:sz w:val="20"/>
                <w:szCs w:val="20"/>
              </w:rPr>
              <w:t>Aizsardzība</w:t>
            </w:r>
          </w:p>
        </w:tc>
        <w:tc>
          <w:tcPr>
            <w:tcW w:w="2126" w:type="dxa"/>
            <w:tcBorders>
              <w:bottom w:val="nil"/>
            </w:tcBorders>
            <w:vAlign w:val="bottom"/>
          </w:tcPr>
          <w:p w14:paraId="5CF981E2" w14:textId="77777777" w:rsidR="00033FF2" w:rsidRPr="00D4319A" w:rsidRDefault="00033FF2" w:rsidP="00033FF2">
            <w:pPr>
              <w:spacing w:after="0"/>
              <w:jc w:val="right"/>
              <w:rPr>
                <w:sz w:val="20"/>
                <w:szCs w:val="20"/>
              </w:rPr>
            </w:pPr>
            <w:r w:rsidRPr="00D4319A">
              <w:rPr>
                <w:sz w:val="20"/>
                <w:szCs w:val="20"/>
              </w:rPr>
              <w:t>2,8</w:t>
            </w:r>
          </w:p>
        </w:tc>
        <w:tc>
          <w:tcPr>
            <w:tcW w:w="1985" w:type="dxa"/>
            <w:tcBorders>
              <w:bottom w:val="nil"/>
              <w:right w:val="single" w:sz="4" w:space="0" w:color="auto"/>
            </w:tcBorders>
            <w:vAlign w:val="bottom"/>
          </w:tcPr>
          <w:p w14:paraId="6AF89F47" w14:textId="77777777" w:rsidR="00033FF2" w:rsidRPr="00D4319A" w:rsidRDefault="00033FF2" w:rsidP="00033FF2">
            <w:pPr>
              <w:spacing w:after="0"/>
              <w:jc w:val="right"/>
              <w:rPr>
                <w:sz w:val="20"/>
                <w:szCs w:val="20"/>
              </w:rPr>
            </w:pPr>
            <w:r>
              <w:rPr>
                <w:sz w:val="20"/>
                <w:szCs w:val="20"/>
              </w:rPr>
              <w:t>3,2</w:t>
            </w:r>
          </w:p>
        </w:tc>
      </w:tr>
      <w:tr w:rsidR="00033FF2" w:rsidRPr="00D4319A" w14:paraId="66CCE548" w14:textId="77777777" w:rsidTr="00C704E3">
        <w:trPr>
          <w:cantSplit/>
          <w:jc w:val="center"/>
        </w:trPr>
        <w:tc>
          <w:tcPr>
            <w:tcW w:w="4617" w:type="dxa"/>
            <w:tcBorders>
              <w:left w:val="single" w:sz="4" w:space="0" w:color="auto"/>
              <w:bottom w:val="nil"/>
            </w:tcBorders>
          </w:tcPr>
          <w:p w14:paraId="1FBB8003" w14:textId="77777777" w:rsidR="00033FF2" w:rsidRPr="00D4319A" w:rsidRDefault="00033FF2" w:rsidP="006376C6">
            <w:pPr>
              <w:spacing w:after="0"/>
              <w:ind w:firstLine="25"/>
              <w:jc w:val="left"/>
              <w:rPr>
                <w:rFonts w:eastAsia="Times New Roman"/>
                <w:snapToGrid w:val="0"/>
                <w:sz w:val="20"/>
                <w:szCs w:val="20"/>
              </w:rPr>
            </w:pPr>
            <w:r w:rsidRPr="00D4319A">
              <w:rPr>
                <w:rFonts w:eastAsia="Times New Roman"/>
                <w:snapToGrid w:val="0"/>
                <w:sz w:val="20"/>
                <w:szCs w:val="20"/>
              </w:rPr>
              <w:t>Sabiedriskā kārtība un drošība</w:t>
            </w:r>
          </w:p>
        </w:tc>
        <w:tc>
          <w:tcPr>
            <w:tcW w:w="2126" w:type="dxa"/>
            <w:tcBorders>
              <w:bottom w:val="nil"/>
            </w:tcBorders>
            <w:vAlign w:val="bottom"/>
          </w:tcPr>
          <w:p w14:paraId="772AA849" w14:textId="77777777" w:rsidR="00033FF2" w:rsidRPr="00D4319A" w:rsidRDefault="00033FF2" w:rsidP="00033FF2">
            <w:pPr>
              <w:spacing w:after="0"/>
              <w:jc w:val="right"/>
              <w:rPr>
                <w:sz w:val="20"/>
                <w:szCs w:val="20"/>
              </w:rPr>
            </w:pPr>
            <w:r w:rsidRPr="00D4319A">
              <w:rPr>
                <w:sz w:val="20"/>
                <w:szCs w:val="20"/>
              </w:rPr>
              <w:t>8,0</w:t>
            </w:r>
          </w:p>
        </w:tc>
        <w:tc>
          <w:tcPr>
            <w:tcW w:w="1985" w:type="dxa"/>
            <w:tcBorders>
              <w:bottom w:val="nil"/>
              <w:right w:val="single" w:sz="4" w:space="0" w:color="auto"/>
            </w:tcBorders>
            <w:vAlign w:val="bottom"/>
          </w:tcPr>
          <w:p w14:paraId="3A86F760" w14:textId="77777777" w:rsidR="00033FF2" w:rsidRPr="00D4319A" w:rsidRDefault="00033FF2" w:rsidP="00033FF2">
            <w:pPr>
              <w:spacing w:after="0"/>
              <w:jc w:val="right"/>
              <w:rPr>
                <w:sz w:val="20"/>
                <w:szCs w:val="20"/>
              </w:rPr>
            </w:pPr>
            <w:r>
              <w:rPr>
                <w:sz w:val="20"/>
                <w:szCs w:val="20"/>
              </w:rPr>
              <w:t>7,9</w:t>
            </w:r>
          </w:p>
        </w:tc>
      </w:tr>
      <w:tr w:rsidR="00033FF2" w:rsidRPr="00D4319A" w14:paraId="21263754" w14:textId="77777777" w:rsidTr="00C704E3">
        <w:trPr>
          <w:cantSplit/>
          <w:jc w:val="center"/>
        </w:trPr>
        <w:tc>
          <w:tcPr>
            <w:tcW w:w="4617" w:type="dxa"/>
            <w:tcBorders>
              <w:left w:val="single" w:sz="4" w:space="0" w:color="auto"/>
              <w:bottom w:val="nil"/>
            </w:tcBorders>
          </w:tcPr>
          <w:p w14:paraId="5D84D8F7" w14:textId="77777777" w:rsidR="00033FF2" w:rsidRPr="00D4319A" w:rsidRDefault="00033FF2" w:rsidP="006376C6">
            <w:pPr>
              <w:spacing w:after="0"/>
              <w:ind w:firstLine="23"/>
              <w:jc w:val="left"/>
              <w:rPr>
                <w:rFonts w:eastAsia="Times New Roman"/>
                <w:snapToGrid w:val="0"/>
                <w:sz w:val="20"/>
                <w:szCs w:val="20"/>
              </w:rPr>
            </w:pPr>
            <w:r w:rsidRPr="00D4319A">
              <w:rPr>
                <w:rFonts w:eastAsia="Times New Roman"/>
                <w:snapToGrid w:val="0"/>
                <w:sz w:val="20"/>
                <w:szCs w:val="20"/>
              </w:rPr>
              <w:t>Ekonomiskā darbība</w:t>
            </w:r>
          </w:p>
        </w:tc>
        <w:tc>
          <w:tcPr>
            <w:tcW w:w="2126" w:type="dxa"/>
            <w:tcBorders>
              <w:bottom w:val="nil"/>
            </w:tcBorders>
            <w:vAlign w:val="bottom"/>
          </w:tcPr>
          <w:p w14:paraId="4C846574" w14:textId="77777777" w:rsidR="00033FF2" w:rsidRPr="00D4319A" w:rsidRDefault="00033FF2" w:rsidP="00033FF2">
            <w:pPr>
              <w:spacing w:after="0"/>
              <w:jc w:val="right"/>
              <w:rPr>
                <w:sz w:val="20"/>
                <w:szCs w:val="20"/>
              </w:rPr>
            </w:pPr>
            <w:r w:rsidRPr="00D4319A">
              <w:rPr>
                <w:sz w:val="20"/>
                <w:szCs w:val="20"/>
              </w:rPr>
              <w:t>21,6</w:t>
            </w:r>
          </w:p>
        </w:tc>
        <w:tc>
          <w:tcPr>
            <w:tcW w:w="1985" w:type="dxa"/>
            <w:tcBorders>
              <w:bottom w:val="nil"/>
              <w:right w:val="single" w:sz="4" w:space="0" w:color="auto"/>
            </w:tcBorders>
            <w:vAlign w:val="bottom"/>
          </w:tcPr>
          <w:p w14:paraId="0E34F84C" w14:textId="77777777" w:rsidR="00033FF2" w:rsidRPr="00D4319A" w:rsidRDefault="00033FF2" w:rsidP="00033FF2">
            <w:pPr>
              <w:spacing w:after="0"/>
              <w:jc w:val="right"/>
              <w:rPr>
                <w:sz w:val="20"/>
                <w:szCs w:val="20"/>
              </w:rPr>
            </w:pPr>
            <w:r>
              <w:rPr>
                <w:sz w:val="20"/>
                <w:szCs w:val="20"/>
              </w:rPr>
              <w:t>21,5</w:t>
            </w:r>
          </w:p>
        </w:tc>
      </w:tr>
      <w:tr w:rsidR="00033FF2" w:rsidRPr="00D4319A" w14:paraId="644F2465" w14:textId="77777777" w:rsidTr="00C704E3">
        <w:trPr>
          <w:cantSplit/>
          <w:jc w:val="center"/>
        </w:trPr>
        <w:tc>
          <w:tcPr>
            <w:tcW w:w="4617" w:type="dxa"/>
            <w:tcBorders>
              <w:left w:val="single" w:sz="4" w:space="0" w:color="auto"/>
              <w:bottom w:val="nil"/>
            </w:tcBorders>
          </w:tcPr>
          <w:p w14:paraId="52256270" w14:textId="77777777" w:rsidR="00033FF2" w:rsidRPr="00D4319A" w:rsidRDefault="00033FF2" w:rsidP="006376C6">
            <w:pPr>
              <w:spacing w:after="0"/>
              <w:ind w:firstLine="25"/>
              <w:jc w:val="left"/>
              <w:rPr>
                <w:rFonts w:eastAsia="Times New Roman"/>
                <w:snapToGrid w:val="0"/>
                <w:sz w:val="20"/>
                <w:szCs w:val="20"/>
              </w:rPr>
            </w:pPr>
            <w:r w:rsidRPr="00D4319A">
              <w:rPr>
                <w:rFonts w:eastAsia="Times New Roman"/>
                <w:snapToGrid w:val="0"/>
                <w:sz w:val="20"/>
                <w:szCs w:val="20"/>
              </w:rPr>
              <w:t>Vides aizsardzība</w:t>
            </w:r>
          </w:p>
        </w:tc>
        <w:tc>
          <w:tcPr>
            <w:tcW w:w="2126" w:type="dxa"/>
            <w:tcBorders>
              <w:bottom w:val="nil"/>
            </w:tcBorders>
            <w:vAlign w:val="bottom"/>
          </w:tcPr>
          <w:p w14:paraId="7F3E431E" w14:textId="77777777" w:rsidR="00033FF2" w:rsidRPr="00D4319A" w:rsidRDefault="00033FF2" w:rsidP="00033FF2">
            <w:pPr>
              <w:spacing w:after="0"/>
              <w:jc w:val="right"/>
              <w:rPr>
                <w:sz w:val="20"/>
                <w:szCs w:val="20"/>
              </w:rPr>
            </w:pPr>
            <w:r w:rsidRPr="00D4319A">
              <w:rPr>
                <w:sz w:val="20"/>
                <w:szCs w:val="20"/>
              </w:rPr>
              <w:t>3,0</w:t>
            </w:r>
          </w:p>
        </w:tc>
        <w:tc>
          <w:tcPr>
            <w:tcW w:w="1985" w:type="dxa"/>
            <w:tcBorders>
              <w:bottom w:val="nil"/>
              <w:right w:val="single" w:sz="4" w:space="0" w:color="auto"/>
            </w:tcBorders>
            <w:vAlign w:val="bottom"/>
          </w:tcPr>
          <w:p w14:paraId="12A1CD56" w14:textId="77777777" w:rsidR="00033FF2" w:rsidRPr="00D4319A" w:rsidRDefault="00033FF2" w:rsidP="00033FF2">
            <w:pPr>
              <w:spacing w:after="0"/>
              <w:jc w:val="right"/>
              <w:rPr>
                <w:sz w:val="20"/>
                <w:szCs w:val="20"/>
              </w:rPr>
            </w:pPr>
            <w:r w:rsidRPr="00D4319A">
              <w:rPr>
                <w:sz w:val="20"/>
                <w:szCs w:val="20"/>
              </w:rPr>
              <w:t>3,0</w:t>
            </w:r>
          </w:p>
        </w:tc>
      </w:tr>
      <w:tr w:rsidR="00033FF2" w:rsidRPr="00D4319A" w14:paraId="0C9B5DC3" w14:textId="77777777" w:rsidTr="00C704E3">
        <w:trPr>
          <w:cantSplit/>
          <w:jc w:val="center"/>
        </w:trPr>
        <w:tc>
          <w:tcPr>
            <w:tcW w:w="4617" w:type="dxa"/>
            <w:tcBorders>
              <w:left w:val="single" w:sz="4" w:space="0" w:color="auto"/>
              <w:bottom w:val="nil"/>
            </w:tcBorders>
          </w:tcPr>
          <w:p w14:paraId="4B3433D2" w14:textId="77777777" w:rsidR="00033FF2" w:rsidRPr="00D4319A" w:rsidRDefault="00033FF2" w:rsidP="006376C6">
            <w:pPr>
              <w:spacing w:after="0"/>
              <w:ind w:firstLine="25"/>
              <w:jc w:val="left"/>
              <w:rPr>
                <w:rFonts w:eastAsia="Times New Roman"/>
                <w:snapToGrid w:val="0"/>
                <w:sz w:val="20"/>
                <w:szCs w:val="20"/>
              </w:rPr>
            </w:pPr>
            <w:r w:rsidRPr="00D4319A">
              <w:rPr>
                <w:rFonts w:eastAsia="Times New Roman"/>
                <w:snapToGrid w:val="0"/>
                <w:sz w:val="20"/>
                <w:szCs w:val="20"/>
              </w:rPr>
              <w:t>Teritoriju un mājokļu apsaimniekošana</w:t>
            </w:r>
          </w:p>
        </w:tc>
        <w:tc>
          <w:tcPr>
            <w:tcW w:w="2126" w:type="dxa"/>
            <w:tcBorders>
              <w:bottom w:val="nil"/>
            </w:tcBorders>
            <w:vAlign w:val="bottom"/>
          </w:tcPr>
          <w:p w14:paraId="2CB4E62B" w14:textId="77777777" w:rsidR="00033FF2" w:rsidRPr="00D4319A" w:rsidRDefault="00033FF2" w:rsidP="00033FF2">
            <w:pPr>
              <w:spacing w:after="0"/>
              <w:jc w:val="right"/>
              <w:rPr>
                <w:sz w:val="20"/>
                <w:szCs w:val="20"/>
              </w:rPr>
            </w:pPr>
            <w:r w:rsidRPr="00D4319A">
              <w:rPr>
                <w:sz w:val="20"/>
                <w:szCs w:val="20"/>
              </w:rPr>
              <w:t>0,1</w:t>
            </w:r>
          </w:p>
        </w:tc>
        <w:tc>
          <w:tcPr>
            <w:tcW w:w="1985" w:type="dxa"/>
            <w:tcBorders>
              <w:bottom w:val="nil"/>
              <w:right w:val="single" w:sz="4" w:space="0" w:color="auto"/>
            </w:tcBorders>
            <w:vAlign w:val="bottom"/>
          </w:tcPr>
          <w:p w14:paraId="32EEC229" w14:textId="77777777" w:rsidR="00033FF2" w:rsidRPr="00D4319A" w:rsidRDefault="00033FF2" w:rsidP="00033FF2">
            <w:pPr>
              <w:spacing w:after="0"/>
              <w:jc w:val="right"/>
              <w:rPr>
                <w:sz w:val="20"/>
                <w:szCs w:val="20"/>
              </w:rPr>
            </w:pPr>
            <w:r w:rsidRPr="00D4319A">
              <w:rPr>
                <w:sz w:val="20"/>
                <w:szCs w:val="20"/>
              </w:rPr>
              <w:t>0,1</w:t>
            </w:r>
          </w:p>
        </w:tc>
      </w:tr>
      <w:tr w:rsidR="00033FF2" w:rsidRPr="00D4319A" w14:paraId="3C26A758" w14:textId="77777777" w:rsidTr="00C704E3">
        <w:trPr>
          <w:cantSplit/>
          <w:jc w:val="center"/>
        </w:trPr>
        <w:tc>
          <w:tcPr>
            <w:tcW w:w="4617" w:type="dxa"/>
            <w:tcBorders>
              <w:left w:val="single" w:sz="4" w:space="0" w:color="auto"/>
              <w:bottom w:val="nil"/>
            </w:tcBorders>
          </w:tcPr>
          <w:p w14:paraId="3F68C487" w14:textId="77777777" w:rsidR="00033FF2" w:rsidRPr="00D4319A" w:rsidRDefault="00033FF2" w:rsidP="006376C6">
            <w:pPr>
              <w:spacing w:after="0"/>
              <w:ind w:firstLine="25"/>
              <w:jc w:val="left"/>
              <w:rPr>
                <w:rFonts w:eastAsia="Times New Roman"/>
                <w:snapToGrid w:val="0"/>
                <w:sz w:val="20"/>
                <w:szCs w:val="20"/>
              </w:rPr>
            </w:pPr>
            <w:r w:rsidRPr="00D4319A">
              <w:rPr>
                <w:rFonts w:eastAsia="Times New Roman"/>
                <w:snapToGrid w:val="0"/>
                <w:sz w:val="20"/>
                <w:szCs w:val="20"/>
              </w:rPr>
              <w:t>Veselības aprūpe</w:t>
            </w:r>
          </w:p>
        </w:tc>
        <w:tc>
          <w:tcPr>
            <w:tcW w:w="2126" w:type="dxa"/>
            <w:tcBorders>
              <w:bottom w:val="nil"/>
            </w:tcBorders>
            <w:vAlign w:val="bottom"/>
          </w:tcPr>
          <w:p w14:paraId="31483BD8" w14:textId="77777777" w:rsidR="00033FF2" w:rsidRPr="00D4319A" w:rsidRDefault="00033FF2" w:rsidP="00033FF2">
            <w:pPr>
              <w:spacing w:after="0"/>
              <w:jc w:val="right"/>
              <w:rPr>
                <w:sz w:val="20"/>
                <w:szCs w:val="20"/>
              </w:rPr>
            </w:pPr>
            <w:r w:rsidRPr="00D4319A">
              <w:rPr>
                <w:sz w:val="20"/>
                <w:szCs w:val="20"/>
              </w:rPr>
              <w:t>13,2</w:t>
            </w:r>
          </w:p>
        </w:tc>
        <w:tc>
          <w:tcPr>
            <w:tcW w:w="1985" w:type="dxa"/>
            <w:tcBorders>
              <w:bottom w:val="nil"/>
              <w:right w:val="single" w:sz="4" w:space="0" w:color="auto"/>
            </w:tcBorders>
            <w:vAlign w:val="bottom"/>
          </w:tcPr>
          <w:p w14:paraId="3B2CAE47" w14:textId="77777777" w:rsidR="00033FF2" w:rsidRPr="00D4319A" w:rsidRDefault="00033FF2" w:rsidP="00033FF2">
            <w:pPr>
              <w:spacing w:after="0"/>
              <w:jc w:val="right"/>
              <w:rPr>
                <w:sz w:val="20"/>
                <w:szCs w:val="20"/>
              </w:rPr>
            </w:pPr>
            <w:r>
              <w:rPr>
                <w:sz w:val="20"/>
                <w:szCs w:val="20"/>
              </w:rPr>
              <w:t>12,9</w:t>
            </w:r>
          </w:p>
        </w:tc>
      </w:tr>
      <w:tr w:rsidR="00033FF2" w:rsidRPr="00D4319A" w14:paraId="04692B72" w14:textId="77777777" w:rsidTr="00C704E3">
        <w:trPr>
          <w:cantSplit/>
          <w:jc w:val="center"/>
        </w:trPr>
        <w:tc>
          <w:tcPr>
            <w:tcW w:w="4617" w:type="dxa"/>
            <w:tcBorders>
              <w:left w:val="single" w:sz="4" w:space="0" w:color="auto"/>
              <w:bottom w:val="single" w:sz="4" w:space="0" w:color="auto"/>
            </w:tcBorders>
          </w:tcPr>
          <w:p w14:paraId="31EEB4BC" w14:textId="77777777" w:rsidR="00033FF2" w:rsidRPr="00D4319A" w:rsidRDefault="00033FF2" w:rsidP="006376C6">
            <w:pPr>
              <w:spacing w:after="0"/>
              <w:ind w:firstLine="25"/>
              <w:jc w:val="left"/>
              <w:rPr>
                <w:rFonts w:eastAsia="Times New Roman"/>
                <w:snapToGrid w:val="0"/>
                <w:sz w:val="20"/>
                <w:szCs w:val="20"/>
              </w:rPr>
            </w:pPr>
            <w:r w:rsidRPr="00D4319A">
              <w:rPr>
                <w:rFonts w:eastAsia="Times New Roman"/>
                <w:snapToGrid w:val="0"/>
                <w:sz w:val="20"/>
                <w:szCs w:val="20"/>
              </w:rPr>
              <w:t>Atpūta, kultūra un reliģija</w:t>
            </w:r>
          </w:p>
        </w:tc>
        <w:tc>
          <w:tcPr>
            <w:tcW w:w="2126" w:type="dxa"/>
            <w:tcBorders>
              <w:bottom w:val="single" w:sz="4" w:space="0" w:color="auto"/>
            </w:tcBorders>
            <w:vAlign w:val="bottom"/>
          </w:tcPr>
          <w:p w14:paraId="2D985B00" w14:textId="77777777" w:rsidR="00033FF2" w:rsidRPr="00D4319A" w:rsidRDefault="00033FF2" w:rsidP="00033FF2">
            <w:pPr>
              <w:spacing w:after="0"/>
              <w:jc w:val="right"/>
              <w:rPr>
                <w:sz w:val="20"/>
                <w:szCs w:val="20"/>
              </w:rPr>
            </w:pPr>
            <w:r w:rsidRPr="00D4319A">
              <w:rPr>
                <w:sz w:val="20"/>
                <w:szCs w:val="20"/>
              </w:rPr>
              <w:t>2,3</w:t>
            </w:r>
          </w:p>
        </w:tc>
        <w:tc>
          <w:tcPr>
            <w:tcW w:w="1985" w:type="dxa"/>
            <w:tcBorders>
              <w:bottom w:val="single" w:sz="4" w:space="0" w:color="auto"/>
              <w:right w:val="single" w:sz="4" w:space="0" w:color="auto"/>
            </w:tcBorders>
            <w:vAlign w:val="bottom"/>
          </w:tcPr>
          <w:p w14:paraId="48E7EC83" w14:textId="77777777" w:rsidR="00033FF2" w:rsidRPr="00D4319A" w:rsidRDefault="00033FF2" w:rsidP="001632F0">
            <w:pPr>
              <w:spacing w:after="0"/>
              <w:jc w:val="right"/>
              <w:rPr>
                <w:sz w:val="20"/>
                <w:szCs w:val="20"/>
              </w:rPr>
            </w:pPr>
            <w:r>
              <w:rPr>
                <w:sz w:val="20"/>
                <w:szCs w:val="20"/>
              </w:rPr>
              <w:t>2,</w:t>
            </w:r>
            <w:r w:rsidR="001632F0">
              <w:rPr>
                <w:sz w:val="20"/>
                <w:szCs w:val="20"/>
              </w:rPr>
              <w:t>1</w:t>
            </w:r>
          </w:p>
        </w:tc>
      </w:tr>
      <w:tr w:rsidR="00033FF2" w:rsidRPr="00D4319A" w14:paraId="5FC13676" w14:textId="77777777" w:rsidTr="00C704E3">
        <w:trPr>
          <w:cantSplit/>
          <w:jc w:val="center"/>
        </w:trPr>
        <w:tc>
          <w:tcPr>
            <w:tcW w:w="4617" w:type="dxa"/>
            <w:tcBorders>
              <w:left w:val="single" w:sz="4" w:space="0" w:color="auto"/>
              <w:bottom w:val="single" w:sz="4" w:space="0" w:color="auto"/>
            </w:tcBorders>
          </w:tcPr>
          <w:p w14:paraId="51B45D53" w14:textId="77777777" w:rsidR="00033FF2" w:rsidRPr="00D4319A" w:rsidRDefault="00033FF2" w:rsidP="006376C6">
            <w:pPr>
              <w:spacing w:after="0"/>
              <w:ind w:firstLine="25"/>
              <w:jc w:val="left"/>
              <w:rPr>
                <w:rFonts w:eastAsia="Times New Roman"/>
                <w:snapToGrid w:val="0"/>
                <w:sz w:val="20"/>
                <w:szCs w:val="20"/>
              </w:rPr>
            </w:pPr>
            <w:r w:rsidRPr="00D4319A">
              <w:rPr>
                <w:rFonts w:eastAsia="Times New Roman"/>
                <w:snapToGrid w:val="0"/>
                <w:sz w:val="20"/>
                <w:szCs w:val="20"/>
              </w:rPr>
              <w:t>Izglītība</w:t>
            </w:r>
          </w:p>
        </w:tc>
        <w:tc>
          <w:tcPr>
            <w:tcW w:w="2126" w:type="dxa"/>
            <w:tcBorders>
              <w:bottom w:val="single" w:sz="4" w:space="0" w:color="auto"/>
            </w:tcBorders>
            <w:vAlign w:val="bottom"/>
          </w:tcPr>
          <w:p w14:paraId="0F6D19BD" w14:textId="77777777" w:rsidR="00033FF2" w:rsidRPr="00D4319A" w:rsidRDefault="00033FF2" w:rsidP="00033FF2">
            <w:pPr>
              <w:spacing w:after="0"/>
              <w:jc w:val="right"/>
              <w:rPr>
                <w:sz w:val="20"/>
                <w:szCs w:val="20"/>
              </w:rPr>
            </w:pPr>
            <w:r w:rsidRPr="00D4319A">
              <w:rPr>
                <w:sz w:val="20"/>
                <w:szCs w:val="20"/>
              </w:rPr>
              <w:t>12,5</w:t>
            </w:r>
          </w:p>
        </w:tc>
        <w:tc>
          <w:tcPr>
            <w:tcW w:w="1985" w:type="dxa"/>
            <w:tcBorders>
              <w:bottom w:val="single" w:sz="4" w:space="0" w:color="auto"/>
              <w:right w:val="single" w:sz="4" w:space="0" w:color="auto"/>
            </w:tcBorders>
            <w:vAlign w:val="bottom"/>
          </w:tcPr>
          <w:p w14:paraId="6781204E" w14:textId="77777777" w:rsidR="00033FF2" w:rsidRPr="00D4319A" w:rsidRDefault="00033FF2" w:rsidP="00033FF2">
            <w:pPr>
              <w:spacing w:after="0"/>
              <w:jc w:val="right"/>
              <w:rPr>
                <w:sz w:val="20"/>
                <w:szCs w:val="20"/>
              </w:rPr>
            </w:pPr>
            <w:r>
              <w:rPr>
                <w:sz w:val="20"/>
                <w:szCs w:val="20"/>
              </w:rPr>
              <w:t>13,4</w:t>
            </w:r>
          </w:p>
        </w:tc>
      </w:tr>
      <w:tr w:rsidR="00033FF2" w:rsidRPr="006A4BA1" w14:paraId="5829D0F3" w14:textId="77777777" w:rsidTr="00C704E3">
        <w:trPr>
          <w:cantSplit/>
          <w:jc w:val="center"/>
        </w:trPr>
        <w:tc>
          <w:tcPr>
            <w:tcW w:w="4617" w:type="dxa"/>
            <w:tcBorders>
              <w:left w:val="single" w:sz="4" w:space="0" w:color="auto"/>
            </w:tcBorders>
          </w:tcPr>
          <w:p w14:paraId="12533CD0" w14:textId="77777777" w:rsidR="00033FF2" w:rsidRPr="00D4319A" w:rsidRDefault="00033FF2" w:rsidP="006376C6">
            <w:pPr>
              <w:spacing w:after="0"/>
              <w:ind w:firstLine="25"/>
              <w:jc w:val="left"/>
              <w:rPr>
                <w:rFonts w:eastAsia="Times New Roman"/>
                <w:snapToGrid w:val="0"/>
                <w:sz w:val="20"/>
                <w:szCs w:val="20"/>
              </w:rPr>
            </w:pPr>
            <w:r w:rsidRPr="00D4319A">
              <w:rPr>
                <w:rFonts w:eastAsia="Times New Roman"/>
                <w:snapToGrid w:val="0"/>
                <w:sz w:val="20"/>
                <w:szCs w:val="20"/>
              </w:rPr>
              <w:t>Sociālā aizsardzība</w:t>
            </w:r>
          </w:p>
        </w:tc>
        <w:tc>
          <w:tcPr>
            <w:tcW w:w="2126" w:type="dxa"/>
            <w:vAlign w:val="bottom"/>
          </w:tcPr>
          <w:p w14:paraId="1E50B947" w14:textId="77777777" w:rsidR="00033FF2" w:rsidRDefault="00033FF2" w:rsidP="00033FF2">
            <w:pPr>
              <w:spacing w:after="0"/>
              <w:jc w:val="right"/>
              <w:rPr>
                <w:sz w:val="20"/>
                <w:szCs w:val="20"/>
              </w:rPr>
            </w:pPr>
            <w:r w:rsidRPr="00D4319A">
              <w:rPr>
                <w:sz w:val="20"/>
                <w:szCs w:val="20"/>
              </w:rPr>
              <w:t>9,9</w:t>
            </w:r>
          </w:p>
        </w:tc>
        <w:tc>
          <w:tcPr>
            <w:tcW w:w="1985" w:type="dxa"/>
            <w:tcBorders>
              <w:right w:val="single" w:sz="4" w:space="0" w:color="auto"/>
            </w:tcBorders>
            <w:vAlign w:val="bottom"/>
          </w:tcPr>
          <w:p w14:paraId="19E097BC" w14:textId="77777777" w:rsidR="00033FF2" w:rsidRDefault="00033FF2" w:rsidP="00033FF2">
            <w:pPr>
              <w:spacing w:after="0"/>
              <w:jc w:val="right"/>
              <w:rPr>
                <w:sz w:val="20"/>
                <w:szCs w:val="20"/>
              </w:rPr>
            </w:pPr>
            <w:r>
              <w:rPr>
                <w:sz w:val="20"/>
                <w:szCs w:val="20"/>
              </w:rPr>
              <w:t>11,0</w:t>
            </w:r>
          </w:p>
        </w:tc>
      </w:tr>
    </w:tbl>
    <w:p w14:paraId="5741E952" w14:textId="77777777" w:rsidR="00A90239" w:rsidRDefault="00A90239" w:rsidP="00CA33A5">
      <w:pPr>
        <w:jc w:val="center"/>
        <w:rPr>
          <w:rFonts w:eastAsia="Times New Roman"/>
          <w:noProof/>
          <w:szCs w:val="20"/>
          <w:lang w:eastAsia="lv-LV"/>
        </w:rPr>
      </w:pPr>
    </w:p>
    <w:p w14:paraId="16A0CFF9" w14:textId="77777777" w:rsidR="00CA33A5" w:rsidRPr="006A4BA1" w:rsidRDefault="00BC4340" w:rsidP="00033FF2">
      <w:pPr>
        <w:ind w:firstLine="0"/>
        <w:jc w:val="center"/>
        <w:rPr>
          <w:rFonts w:eastAsia="Times New Roman"/>
          <w:noProof/>
          <w:szCs w:val="20"/>
          <w:highlight w:val="yellow"/>
          <w:lang w:eastAsia="lv-LV"/>
        </w:rPr>
      </w:pPr>
      <w:r>
        <w:rPr>
          <w:rFonts w:eastAsia="Times New Roman"/>
          <w:noProof/>
          <w:szCs w:val="20"/>
          <w:highlight w:val="yellow"/>
          <w:lang w:eastAsia="lv-LV"/>
        </w:rPr>
        <w:drawing>
          <wp:inline distT="0" distB="0" distL="0" distR="0" wp14:anchorId="03E210AC" wp14:editId="7B6C0766">
            <wp:extent cx="5606631" cy="2784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l="1504" r="1"/>
                    <a:stretch/>
                  </pic:blipFill>
                  <pic:spPr bwMode="auto">
                    <a:xfrm>
                      <a:off x="0" y="0"/>
                      <a:ext cx="5612885" cy="2787581"/>
                    </a:xfrm>
                    <a:prstGeom prst="rect">
                      <a:avLst/>
                    </a:prstGeom>
                    <a:noFill/>
                    <a:ln>
                      <a:noFill/>
                    </a:ln>
                    <a:extLst>
                      <a:ext uri="{53640926-AAD7-44D8-BBD7-CCE9431645EC}">
                        <a14:shadowObscured xmlns:a14="http://schemas.microsoft.com/office/drawing/2010/main"/>
                      </a:ext>
                    </a:extLst>
                  </pic:spPr>
                </pic:pic>
              </a:graphicData>
            </a:graphic>
          </wp:inline>
        </w:drawing>
      </w:r>
    </w:p>
    <w:p w14:paraId="32574D7D" w14:textId="77777777" w:rsidR="00CA33A5" w:rsidRPr="00EF354D" w:rsidRDefault="00234FC7" w:rsidP="00C7378A">
      <w:pPr>
        <w:spacing w:before="240" w:after="360"/>
        <w:ind w:firstLine="0"/>
        <w:jc w:val="center"/>
        <w:rPr>
          <w:rFonts w:eastAsia="Times New Roman"/>
          <w:b/>
          <w:sz w:val="20"/>
          <w:szCs w:val="24"/>
        </w:rPr>
      </w:pPr>
      <w:r w:rsidRPr="00EF354D">
        <w:rPr>
          <w:rFonts w:eastAsia="Times New Roman"/>
          <w:b/>
          <w:sz w:val="20"/>
          <w:szCs w:val="24"/>
        </w:rPr>
        <w:t>2.11</w:t>
      </w:r>
      <w:r w:rsidR="00CA33A5" w:rsidRPr="00EF354D">
        <w:rPr>
          <w:rFonts w:eastAsia="Times New Roman"/>
          <w:b/>
          <w:sz w:val="20"/>
          <w:szCs w:val="24"/>
        </w:rPr>
        <w:t>. att. Valsts pamatbudžeta izdevumu izpilde 201</w:t>
      </w:r>
      <w:r w:rsidR="00B563D4" w:rsidRPr="00EF354D">
        <w:rPr>
          <w:rFonts w:eastAsia="Times New Roman"/>
          <w:b/>
          <w:sz w:val="20"/>
          <w:szCs w:val="24"/>
        </w:rPr>
        <w:t>5</w:t>
      </w:r>
      <w:r w:rsidR="001632F0" w:rsidRPr="00EF354D">
        <w:rPr>
          <w:rFonts w:eastAsia="Times New Roman"/>
          <w:b/>
          <w:sz w:val="20"/>
          <w:szCs w:val="24"/>
        </w:rPr>
        <w:t>.</w:t>
      </w:r>
      <w:r w:rsidR="00CA33A5" w:rsidRPr="00EF354D">
        <w:rPr>
          <w:rFonts w:eastAsia="Times New Roman"/>
          <w:b/>
          <w:sz w:val="20"/>
          <w:szCs w:val="24"/>
        </w:rPr>
        <w:t>gada pirmajā ceturksnī atbils</w:t>
      </w:r>
      <w:r w:rsidR="00A90239" w:rsidRPr="00EF354D">
        <w:rPr>
          <w:rFonts w:eastAsia="Times New Roman"/>
          <w:b/>
          <w:sz w:val="20"/>
          <w:szCs w:val="24"/>
        </w:rPr>
        <w:t>toši funkcionālajām kategorijām</w:t>
      </w:r>
      <w:r w:rsidR="00BC4340" w:rsidRPr="00EF354D">
        <w:rPr>
          <w:rFonts w:eastAsia="Times New Roman"/>
          <w:b/>
          <w:sz w:val="20"/>
          <w:szCs w:val="24"/>
        </w:rPr>
        <w:t xml:space="preserve">, </w:t>
      </w:r>
      <w:r w:rsidR="00432ED3" w:rsidRPr="00EF354D">
        <w:rPr>
          <w:rFonts w:eastAsia="Times New Roman"/>
          <w:b/>
          <w:sz w:val="20"/>
          <w:szCs w:val="24"/>
        </w:rPr>
        <w:t xml:space="preserve">neieskaitot teritoriju un mājokļu apsaimniekošanu, </w:t>
      </w:r>
      <w:r w:rsidR="00BC4340" w:rsidRPr="00EF354D">
        <w:rPr>
          <w:rFonts w:eastAsia="Times New Roman"/>
          <w:b/>
          <w:sz w:val="20"/>
          <w:szCs w:val="24"/>
        </w:rPr>
        <w:t>milj</w:t>
      </w:r>
      <w:r w:rsidR="00651AC4" w:rsidRPr="00EF354D">
        <w:rPr>
          <w:rFonts w:eastAsia="Times New Roman"/>
          <w:b/>
          <w:sz w:val="20"/>
          <w:szCs w:val="24"/>
        </w:rPr>
        <w:t>. euro</w:t>
      </w:r>
    </w:p>
    <w:p w14:paraId="5A447991" w14:textId="77777777" w:rsidR="00CA33A5" w:rsidRPr="001C1C52" w:rsidRDefault="00CA33A5" w:rsidP="00B87545">
      <w:pPr>
        <w:spacing w:after="0"/>
        <w:rPr>
          <w:rFonts w:eastAsia="Times New Roman"/>
          <w:sz w:val="24"/>
          <w:szCs w:val="20"/>
        </w:rPr>
      </w:pPr>
      <w:r w:rsidRPr="001C1C52">
        <w:rPr>
          <w:rFonts w:eastAsia="Times New Roman"/>
          <w:sz w:val="24"/>
          <w:szCs w:val="20"/>
        </w:rPr>
        <w:t>201</w:t>
      </w:r>
      <w:r w:rsidR="00345509" w:rsidRPr="001C1C52">
        <w:rPr>
          <w:rFonts w:eastAsia="Times New Roman"/>
          <w:sz w:val="24"/>
          <w:szCs w:val="20"/>
        </w:rPr>
        <w:t>5</w:t>
      </w:r>
      <w:r w:rsidR="001632F0" w:rsidRPr="001C1C52">
        <w:rPr>
          <w:rFonts w:eastAsia="Times New Roman"/>
          <w:sz w:val="24"/>
          <w:szCs w:val="20"/>
        </w:rPr>
        <w:t>.</w:t>
      </w:r>
      <w:r w:rsidRPr="001C1C52">
        <w:rPr>
          <w:rFonts w:eastAsia="Times New Roman"/>
          <w:sz w:val="24"/>
          <w:szCs w:val="20"/>
        </w:rPr>
        <w:t xml:space="preserve">gada pirmajā ceturksnī valsts pamatbudžetā funkcionālajai kategorijai </w:t>
      </w:r>
      <w:r w:rsidRPr="001C1C52">
        <w:rPr>
          <w:rFonts w:eastAsia="Times New Roman"/>
          <w:snapToGrid w:val="0"/>
          <w:sz w:val="24"/>
          <w:szCs w:val="20"/>
        </w:rPr>
        <w:t xml:space="preserve">Vispārējie valdības dienesti izlietoti </w:t>
      </w:r>
      <w:r w:rsidR="00345509" w:rsidRPr="001C1C52">
        <w:rPr>
          <w:rFonts w:eastAsia="Times New Roman"/>
          <w:snapToGrid w:val="0"/>
          <w:sz w:val="24"/>
          <w:szCs w:val="20"/>
        </w:rPr>
        <w:t>325,7</w:t>
      </w:r>
      <w:r w:rsidR="00FE6773" w:rsidRPr="001C1C52">
        <w:rPr>
          <w:rFonts w:eastAsia="Times New Roman"/>
          <w:snapToGrid w:val="0"/>
          <w:sz w:val="24"/>
          <w:szCs w:val="20"/>
        </w:rPr>
        <w:t xml:space="preserve"> </w:t>
      </w:r>
      <w:r w:rsidRPr="001C1C52">
        <w:rPr>
          <w:rFonts w:eastAsia="Times New Roman"/>
          <w:snapToGrid w:val="0"/>
          <w:sz w:val="24"/>
          <w:szCs w:val="20"/>
        </w:rPr>
        <w:t xml:space="preserve">milj. </w:t>
      </w:r>
      <w:r w:rsidR="00185DDE" w:rsidRPr="001C1C52">
        <w:rPr>
          <w:rFonts w:eastAsia="Times New Roman"/>
          <w:i/>
          <w:snapToGrid w:val="0"/>
          <w:sz w:val="24"/>
          <w:szCs w:val="20"/>
        </w:rPr>
        <w:t>euro</w:t>
      </w:r>
      <w:r w:rsidRPr="001C1C52">
        <w:rPr>
          <w:rFonts w:eastAsia="Times New Roman"/>
          <w:sz w:val="24"/>
          <w:szCs w:val="20"/>
        </w:rPr>
        <w:t xml:space="preserve"> jeb </w:t>
      </w:r>
      <w:r w:rsidR="00345509" w:rsidRPr="001C1C52">
        <w:rPr>
          <w:rFonts w:eastAsia="Times New Roman"/>
          <w:sz w:val="24"/>
          <w:szCs w:val="20"/>
        </w:rPr>
        <w:t>24,9</w:t>
      </w:r>
      <w:r w:rsidRPr="001C1C52">
        <w:rPr>
          <w:rFonts w:eastAsia="Times New Roman"/>
          <w:sz w:val="24"/>
          <w:szCs w:val="20"/>
        </w:rPr>
        <w:t xml:space="preserve">%, </w:t>
      </w:r>
      <w:r w:rsidRPr="001C1C52">
        <w:rPr>
          <w:rFonts w:eastAsia="Times New Roman"/>
          <w:snapToGrid w:val="0"/>
          <w:sz w:val="24"/>
          <w:szCs w:val="20"/>
        </w:rPr>
        <w:t xml:space="preserve">Aizsardzība – </w:t>
      </w:r>
      <w:r w:rsidR="00345509" w:rsidRPr="001C1C52">
        <w:rPr>
          <w:rFonts w:eastAsia="Times New Roman"/>
          <w:snapToGrid w:val="0"/>
          <w:sz w:val="24"/>
          <w:szCs w:val="20"/>
        </w:rPr>
        <w:t>42,0</w:t>
      </w:r>
      <w:r w:rsidR="009141CD" w:rsidRPr="001C1C52">
        <w:rPr>
          <w:rFonts w:eastAsia="Times New Roman"/>
          <w:snapToGrid w:val="0"/>
          <w:sz w:val="24"/>
          <w:szCs w:val="20"/>
        </w:rPr>
        <w:t xml:space="preserve"> </w:t>
      </w:r>
      <w:r w:rsidRPr="001C1C52">
        <w:rPr>
          <w:rFonts w:eastAsia="Times New Roman"/>
          <w:snapToGrid w:val="0"/>
          <w:sz w:val="24"/>
          <w:szCs w:val="20"/>
        </w:rPr>
        <w:t xml:space="preserve">milj. </w:t>
      </w:r>
      <w:r w:rsidR="00185DDE" w:rsidRPr="001C1C52">
        <w:rPr>
          <w:rFonts w:eastAsia="Times New Roman"/>
          <w:i/>
          <w:snapToGrid w:val="0"/>
          <w:sz w:val="24"/>
          <w:szCs w:val="20"/>
        </w:rPr>
        <w:t>euro</w:t>
      </w:r>
      <w:r w:rsidRPr="001C1C52">
        <w:rPr>
          <w:rFonts w:eastAsia="Times New Roman"/>
          <w:sz w:val="24"/>
          <w:szCs w:val="20"/>
        </w:rPr>
        <w:t xml:space="preserve"> jeb </w:t>
      </w:r>
      <w:r w:rsidR="00345509" w:rsidRPr="001C1C52">
        <w:rPr>
          <w:rFonts w:eastAsia="Times New Roman"/>
          <w:sz w:val="24"/>
          <w:szCs w:val="20"/>
        </w:rPr>
        <w:t>3,2</w:t>
      </w:r>
      <w:r w:rsidRPr="001C1C52">
        <w:rPr>
          <w:rFonts w:eastAsia="Times New Roman"/>
          <w:sz w:val="24"/>
          <w:szCs w:val="20"/>
        </w:rPr>
        <w:t>%,</w:t>
      </w:r>
      <w:r w:rsidRPr="001C1C52">
        <w:rPr>
          <w:rFonts w:eastAsia="Times New Roman"/>
          <w:snapToGrid w:val="0"/>
          <w:sz w:val="24"/>
          <w:szCs w:val="20"/>
        </w:rPr>
        <w:t xml:space="preserve"> Sabiedriskā kārtība un drošība – </w:t>
      </w:r>
      <w:r w:rsidR="00345509" w:rsidRPr="001C1C52">
        <w:rPr>
          <w:rFonts w:eastAsia="Times New Roman"/>
          <w:snapToGrid w:val="0"/>
          <w:sz w:val="24"/>
          <w:szCs w:val="20"/>
        </w:rPr>
        <w:t>103,3</w:t>
      </w:r>
      <w:r w:rsidR="00FE6773" w:rsidRPr="001C1C52">
        <w:rPr>
          <w:rFonts w:eastAsia="Times New Roman"/>
          <w:snapToGrid w:val="0"/>
          <w:sz w:val="24"/>
          <w:szCs w:val="20"/>
        </w:rPr>
        <w:t xml:space="preserve"> </w:t>
      </w:r>
      <w:r w:rsidRPr="001C1C52">
        <w:rPr>
          <w:rFonts w:eastAsia="Times New Roman"/>
          <w:snapToGrid w:val="0"/>
          <w:sz w:val="24"/>
          <w:szCs w:val="20"/>
        </w:rPr>
        <w:t xml:space="preserve">milj. </w:t>
      </w:r>
      <w:r w:rsidR="00185DDE" w:rsidRPr="001C1C52">
        <w:rPr>
          <w:rFonts w:eastAsia="Times New Roman"/>
          <w:i/>
          <w:snapToGrid w:val="0"/>
          <w:sz w:val="24"/>
          <w:szCs w:val="20"/>
        </w:rPr>
        <w:t>euro</w:t>
      </w:r>
      <w:r w:rsidRPr="001C1C52">
        <w:rPr>
          <w:rFonts w:eastAsia="Times New Roman"/>
          <w:sz w:val="24"/>
          <w:szCs w:val="20"/>
        </w:rPr>
        <w:t xml:space="preserve"> jeb </w:t>
      </w:r>
      <w:r w:rsidR="00345509" w:rsidRPr="001C1C52">
        <w:rPr>
          <w:rFonts w:eastAsia="Times New Roman"/>
          <w:sz w:val="24"/>
          <w:szCs w:val="20"/>
        </w:rPr>
        <w:t>7,9</w:t>
      </w:r>
      <w:r w:rsidRPr="001C1C52">
        <w:rPr>
          <w:rFonts w:eastAsia="Times New Roman"/>
          <w:sz w:val="24"/>
          <w:szCs w:val="20"/>
        </w:rPr>
        <w:t xml:space="preserve">%, Ekonomiskā darbība – </w:t>
      </w:r>
      <w:r w:rsidR="00345509" w:rsidRPr="001C1C52">
        <w:rPr>
          <w:rFonts w:eastAsia="Times New Roman"/>
          <w:sz w:val="24"/>
          <w:szCs w:val="20"/>
        </w:rPr>
        <w:t>281,2</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jeb </w:t>
      </w:r>
      <w:r w:rsidR="00345509" w:rsidRPr="001C1C52">
        <w:rPr>
          <w:rFonts w:eastAsia="Times New Roman"/>
          <w:sz w:val="24"/>
          <w:szCs w:val="20"/>
        </w:rPr>
        <w:t>21,5</w:t>
      </w:r>
      <w:r w:rsidRPr="001C1C52">
        <w:rPr>
          <w:rFonts w:eastAsia="Times New Roman"/>
          <w:sz w:val="24"/>
          <w:szCs w:val="20"/>
        </w:rPr>
        <w:t xml:space="preserve">%, </w:t>
      </w:r>
      <w:r w:rsidRPr="001C1C52">
        <w:rPr>
          <w:rFonts w:eastAsia="Times New Roman"/>
          <w:snapToGrid w:val="0"/>
          <w:sz w:val="24"/>
          <w:szCs w:val="20"/>
        </w:rPr>
        <w:t xml:space="preserve">Vides aizsardzība – </w:t>
      </w:r>
      <w:r w:rsidR="00345509" w:rsidRPr="001C1C52">
        <w:rPr>
          <w:rFonts w:eastAsia="Times New Roman"/>
          <w:snapToGrid w:val="0"/>
          <w:sz w:val="24"/>
          <w:szCs w:val="20"/>
        </w:rPr>
        <w:t>38,9</w:t>
      </w:r>
      <w:r w:rsidR="00FE6773" w:rsidRPr="001C1C52">
        <w:rPr>
          <w:rFonts w:eastAsia="Times New Roman"/>
          <w:snapToGrid w:val="0"/>
          <w:sz w:val="24"/>
          <w:szCs w:val="20"/>
        </w:rPr>
        <w:t xml:space="preserve"> </w:t>
      </w:r>
      <w:r w:rsidRPr="001C1C52">
        <w:rPr>
          <w:rFonts w:eastAsia="Times New Roman"/>
          <w:snapToGrid w:val="0"/>
          <w:sz w:val="24"/>
          <w:szCs w:val="20"/>
        </w:rPr>
        <w:t xml:space="preserve">milj. </w:t>
      </w:r>
      <w:r w:rsidR="00185DDE" w:rsidRPr="001C1C52">
        <w:rPr>
          <w:rFonts w:eastAsia="Times New Roman"/>
          <w:i/>
          <w:snapToGrid w:val="0"/>
          <w:sz w:val="24"/>
          <w:szCs w:val="20"/>
        </w:rPr>
        <w:t>euro</w:t>
      </w:r>
      <w:r w:rsidRPr="001C1C52">
        <w:rPr>
          <w:rFonts w:eastAsia="Times New Roman"/>
          <w:snapToGrid w:val="0"/>
          <w:sz w:val="24"/>
          <w:szCs w:val="20"/>
        </w:rPr>
        <w:t xml:space="preserve"> jeb </w:t>
      </w:r>
      <w:r w:rsidR="00345509" w:rsidRPr="001C1C52">
        <w:rPr>
          <w:rFonts w:eastAsia="Times New Roman"/>
          <w:snapToGrid w:val="0"/>
          <w:sz w:val="24"/>
          <w:szCs w:val="20"/>
        </w:rPr>
        <w:t>3,0</w:t>
      </w:r>
      <w:r w:rsidRPr="001C1C52">
        <w:rPr>
          <w:rFonts w:eastAsia="Times New Roman"/>
          <w:snapToGrid w:val="0"/>
          <w:sz w:val="24"/>
          <w:szCs w:val="20"/>
        </w:rPr>
        <w:t>%, Teritoriju un mājokļu apsaimniekošana – 0,</w:t>
      </w:r>
      <w:r w:rsidR="009141CD" w:rsidRPr="001C1C52">
        <w:rPr>
          <w:rFonts w:eastAsia="Times New Roman"/>
          <w:snapToGrid w:val="0"/>
          <w:sz w:val="24"/>
          <w:szCs w:val="20"/>
        </w:rPr>
        <w:t>7</w:t>
      </w:r>
      <w:r w:rsidR="00FE6773" w:rsidRPr="001C1C52">
        <w:rPr>
          <w:rFonts w:eastAsia="Times New Roman"/>
          <w:snapToGrid w:val="0"/>
          <w:sz w:val="24"/>
          <w:szCs w:val="20"/>
        </w:rPr>
        <w:t xml:space="preserve"> </w:t>
      </w:r>
      <w:r w:rsidRPr="001C1C52">
        <w:rPr>
          <w:rFonts w:eastAsia="Times New Roman"/>
          <w:snapToGrid w:val="0"/>
          <w:sz w:val="24"/>
          <w:szCs w:val="20"/>
        </w:rPr>
        <w:t xml:space="preserve">milj. </w:t>
      </w:r>
      <w:r w:rsidR="00185DDE" w:rsidRPr="001C1C52">
        <w:rPr>
          <w:rFonts w:eastAsia="Times New Roman"/>
          <w:i/>
          <w:snapToGrid w:val="0"/>
          <w:sz w:val="24"/>
          <w:szCs w:val="20"/>
        </w:rPr>
        <w:t>euro</w:t>
      </w:r>
      <w:r w:rsidRPr="001C1C52">
        <w:rPr>
          <w:rFonts w:eastAsia="Times New Roman"/>
          <w:snapToGrid w:val="0"/>
          <w:sz w:val="24"/>
          <w:szCs w:val="20"/>
        </w:rPr>
        <w:t xml:space="preserve"> jeb 0,1%, Veselība –</w:t>
      </w:r>
      <w:r w:rsidRPr="001C1C52">
        <w:rPr>
          <w:rFonts w:eastAsia="Times New Roman"/>
          <w:sz w:val="24"/>
          <w:szCs w:val="20"/>
        </w:rPr>
        <w:t xml:space="preserve"> </w:t>
      </w:r>
      <w:r w:rsidR="00345509" w:rsidRPr="001C1C52">
        <w:rPr>
          <w:rFonts w:eastAsia="Times New Roman"/>
          <w:sz w:val="24"/>
          <w:szCs w:val="20"/>
        </w:rPr>
        <w:t>167,9</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jeb </w:t>
      </w:r>
      <w:r w:rsidR="00345509" w:rsidRPr="001C1C52">
        <w:rPr>
          <w:rFonts w:eastAsia="Times New Roman"/>
          <w:sz w:val="24"/>
          <w:szCs w:val="20"/>
        </w:rPr>
        <w:t>12,9</w:t>
      </w:r>
      <w:r w:rsidRPr="001C1C52">
        <w:rPr>
          <w:rFonts w:eastAsia="Times New Roman"/>
          <w:sz w:val="24"/>
          <w:szCs w:val="20"/>
        </w:rPr>
        <w:t xml:space="preserve">%, </w:t>
      </w:r>
      <w:r w:rsidRPr="001C1C52">
        <w:rPr>
          <w:rFonts w:eastAsia="Times New Roman"/>
          <w:snapToGrid w:val="0"/>
          <w:sz w:val="24"/>
          <w:szCs w:val="20"/>
        </w:rPr>
        <w:t>Atpūta, kultūra un reliģija –</w:t>
      </w:r>
      <w:r w:rsidRPr="001C1C52">
        <w:rPr>
          <w:rFonts w:eastAsia="Times New Roman"/>
          <w:sz w:val="24"/>
          <w:szCs w:val="20"/>
        </w:rPr>
        <w:t xml:space="preserve"> </w:t>
      </w:r>
      <w:r w:rsidR="00345509" w:rsidRPr="001C1C52">
        <w:rPr>
          <w:rFonts w:eastAsia="Times New Roman"/>
          <w:sz w:val="24"/>
          <w:szCs w:val="20"/>
        </w:rPr>
        <w:t>28,2</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jeb </w:t>
      </w:r>
      <w:r w:rsidR="00345509" w:rsidRPr="001C1C52">
        <w:rPr>
          <w:rFonts w:eastAsia="Times New Roman"/>
          <w:sz w:val="24"/>
          <w:szCs w:val="20"/>
        </w:rPr>
        <w:t>2,</w:t>
      </w:r>
      <w:r w:rsidR="001632F0" w:rsidRPr="001C1C52">
        <w:rPr>
          <w:rFonts w:eastAsia="Times New Roman"/>
          <w:sz w:val="24"/>
          <w:szCs w:val="20"/>
        </w:rPr>
        <w:t>1</w:t>
      </w:r>
      <w:r w:rsidRPr="001C1C52">
        <w:rPr>
          <w:rFonts w:eastAsia="Times New Roman"/>
          <w:sz w:val="24"/>
          <w:szCs w:val="20"/>
        </w:rPr>
        <w:t xml:space="preserve">%, </w:t>
      </w:r>
      <w:r w:rsidRPr="001C1C52">
        <w:rPr>
          <w:rFonts w:eastAsia="Times New Roman"/>
          <w:snapToGrid w:val="0"/>
          <w:sz w:val="24"/>
          <w:szCs w:val="20"/>
        </w:rPr>
        <w:t>Izglītība –</w:t>
      </w:r>
      <w:r w:rsidRPr="001C1C52">
        <w:rPr>
          <w:rFonts w:eastAsia="Times New Roman"/>
          <w:sz w:val="24"/>
          <w:szCs w:val="20"/>
        </w:rPr>
        <w:t xml:space="preserve"> </w:t>
      </w:r>
      <w:r w:rsidR="00345509" w:rsidRPr="001C1C52">
        <w:rPr>
          <w:rFonts w:eastAsia="Times New Roman"/>
          <w:sz w:val="24"/>
          <w:szCs w:val="20"/>
        </w:rPr>
        <w:t>174,7</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jeb </w:t>
      </w:r>
      <w:r w:rsidR="00345509" w:rsidRPr="001C1C52">
        <w:rPr>
          <w:rFonts w:eastAsia="Times New Roman"/>
          <w:sz w:val="24"/>
          <w:szCs w:val="20"/>
        </w:rPr>
        <w:t>13,4</w:t>
      </w:r>
      <w:r w:rsidRPr="001C1C52">
        <w:rPr>
          <w:rFonts w:eastAsia="Times New Roman"/>
          <w:sz w:val="24"/>
          <w:szCs w:val="20"/>
        </w:rPr>
        <w:t xml:space="preserve">%, </w:t>
      </w:r>
      <w:r w:rsidRPr="001C1C52">
        <w:rPr>
          <w:rFonts w:eastAsia="Times New Roman"/>
          <w:snapToGrid w:val="0"/>
          <w:sz w:val="24"/>
          <w:szCs w:val="20"/>
        </w:rPr>
        <w:t>Sociālā aizsardzība  –</w:t>
      </w:r>
      <w:r w:rsidRPr="001C1C52">
        <w:rPr>
          <w:rFonts w:eastAsia="Times New Roman"/>
          <w:sz w:val="24"/>
          <w:szCs w:val="20"/>
        </w:rPr>
        <w:t xml:space="preserve"> </w:t>
      </w:r>
      <w:r w:rsidR="00345509" w:rsidRPr="001C1C52">
        <w:rPr>
          <w:rFonts w:eastAsia="Times New Roman"/>
          <w:sz w:val="24"/>
          <w:szCs w:val="20"/>
        </w:rPr>
        <w:t>143,4</w:t>
      </w:r>
      <w:r w:rsidR="009141CD"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jeb </w:t>
      </w:r>
      <w:r w:rsidR="00345509" w:rsidRPr="001C1C52">
        <w:rPr>
          <w:rFonts w:eastAsia="Times New Roman"/>
          <w:sz w:val="24"/>
          <w:szCs w:val="20"/>
        </w:rPr>
        <w:t>11,0</w:t>
      </w:r>
      <w:r w:rsidRPr="001C1C52">
        <w:rPr>
          <w:rFonts w:eastAsia="Times New Roman"/>
          <w:sz w:val="24"/>
          <w:szCs w:val="20"/>
        </w:rPr>
        <w:t>% no kopējiem izdevumiem.</w:t>
      </w:r>
    </w:p>
    <w:p w14:paraId="0FF8A29E" w14:textId="77777777" w:rsidR="00B87545" w:rsidRDefault="00B87545" w:rsidP="0006091D">
      <w:pPr>
        <w:rPr>
          <w:rFonts w:eastAsia="Times New Roman"/>
          <w:szCs w:val="20"/>
        </w:rPr>
      </w:pPr>
    </w:p>
    <w:p w14:paraId="5083534D" w14:textId="77777777" w:rsidR="00F1164B" w:rsidRPr="001C1C52" w:rsidRDefault="009F4B95" w:rsidP="00EF354D">
      <w:pPr>
        <w:pStyle w:val="Style3"/>
        <w:jc w:val="center"/>
        <w:rPr>
          <w:rStyle w:val="Hyperlink"/>
          <w:color w:val="auto"/>
          <w:szCs w:val="28"/>
          <w:u w:val="none"/>
        </w:rPr>
      </w:pPr>
      <w:hyperlink w:anchor="_Toc325101928" w:history="1">
        <w:bookmarkStart w:id="80" w:name="_Toc356399263"/>
        <w:bookmarkStart w:id="81" w:name="_Toc356399764"/>
        <w:bookmarkStart w:id="82" w:name="_Toc419737739"/>
        <w:r w:rsidR="00F1164B" w:rsidRPr="001C1C52">
          <w:rPr>
            <w:rStyle w:val="Hyperlink"/>
            <w:color w:val="auto"/>
            <w:szCs w:val="28"/>
            <w:u w:val="none"/>
          </w:rPr>
          <w:t>2.</w:t>
        </w:r>
        <w:r w:rsidR="00433477">
          <w:rPr>
            <w:rStyle w:val="Hyperlink"/>
            <w:color w:val="auto"/>
            <w:szCs w:val="28"/>
            <w:u w:val="none"/>
          </w:rPr>
          <w:t>3</w:t>
        </w:r>
        <w:r w:rsidR="00F1164B" w:rsidRPr="001C1C52">
          <w:rPr>
            <w:rStyle w:val="Hyperlink"/>
            <w:color w:val="auto"/>
            <w:szCs w:val="28"/>
            <w:u w:val="none"/>
          </w:rPr>
          <w:t>.2. Sociālās apdrošināšanas budžeta izpilde</w:t>
        </w:r>
        <w:bookmarkEnd w:id="80"/>
        <w:bookmarkEnd w:id="81"/>
        <w:bookmarkEnd w:id="82"/>
      </w:hyperlink>
    </w:p>
    <w:p w14:paraId="591F8AE3" w14:textId="77777777" w:rsidR="0006091D" w:rsidRPr="00367174" w:rsidRDefault="0006091D" w:rsidP="0006091D">
      <w:pPr>
        <w:rPr>
          <w:sz w:val="24"/>
          <w:lang w:val="x-none"/>
        </w:rPr>
      </w:pPr>
    </w:p>
    <w:p w14:paraId="2A1FFF1B" w14:textId="77777777" w:rsidR="009115CF" w:rsidRPr="001C1C52" w:rsidRDefault="009115CF" w:rsidP="009115CF">
      <w:pPr>
        <w:rPr>
          <w:rFonts w:eastAsia="Times New Roman"/>
          <w:sz w:val="24"/>
          <w:szCs w:val="20"/>
        </w:rPr>
      </w:pPr>
      <w:r w:rsidRPr="001C1C52">
        <w:rPr>
          <w:rFonts w:eastAsia="Times New Roman"/>
          <w:b/>
          <w:sz w:val="24"/>
          <w:szCs w:val="20"/>
        </w:rPr>
        <w:t>Valsts speciālā budžeta</w:t>
      </w:r>
      <w:r w:rsidRPr="001C1C52">
        <w:rPr>
          <w:rFonts w:eastAsia="Times New Roman"/>
          <w:sz w:val="24"/>
          <w:szCs w:val="20"/>
        </w:rPr>
        <w:t xml:space="preserve"> izlietotie līdzekļi 201</w:t>
      </w:r>
      <w:r w:rsidR="00D53758" w:rsidRPr="001C1C52">
        <w:rPr>
          <w:rFonts w:eastAsia="Times New Roman"/>
          <w:sz w:val="24"/>
          <w:szCs w:val="20"/>
        </w:rPr>
        <w:t>5</w:t>
      </w:r>
      <w:r w:rsidR="001632F0" w:rsidRPr="001C1C52">
        <w:rPr>
          <w:rFonts w:eastAsia="Times New Roman"/>
          <w:sz w:val="24"/>
          <w:szCs w:val="20"/>
        </w:rPr>
        <w:t>.</w:t>
      </w:r>
      <w:r w:rsidRPr="001C1C52">
        <w:rPr>
          <w:rFonts w:eastAsia="Times New Roman"/>
          <w:sz w:val="24"/>
          <w:szCs w:val="20"/>
        </w:rPr>
        <w:t>gada pirmajā ceturksnī, salī</w:t>
      </w:r>
      <w:r w:rsidR="006D3E4D" w:rsidRPr="001C1C52">
        <w:rPr>
          <w:rFonts w:eastAsia="Times New Roman"/>
          <w:sz w:val="24"/>
          <w:szCs w:val="20"/>
        </w:rPr>
        <w:t>dzinot ar 201</w:t>
      </w:r>
      <w:r w:rsidR="00D53758" w:rsidRPr="001C1C52">
        <w:rPr>
          <w:rFonts w:eastAsia="Times New Roman"/>
          <w:sz w:val="24"/>
          <w:szCs w:val="20"/>
        </w:rPr>
        <w:t>4</w:t>
      </w:r>
      <w:r w:rsidR="001632F0" w:rsidRPr="001C1C52">
        <w:rPr>
          <w:rFonts w:eastAsia="Times New Roman"/>
          <w:sz w:val="24"/>
          <w:szCs w:val="20"/>
        </w:rPr>
        <w:t>.</w:t>
      </w:r>
      <w:r w:rsidRPr="001C1C52">
        <w:rPr>
          <w:rFonts w:eastAsia="Times New Roman"/>
          <w:sz w:val="24"/>
          <w:szCs w:val="20"/>
        </w:rPr>
        <w:t xml:space="preserve">gada atbilstošo periodu, </w:t>
      </w:r>
      <w:r w:rsidR="00D53758" w:rsidRPr="001C1C52">
        <w:rPr>
          <w:rFonts w:eastAsia="Times New Roman"/>
          <w:sz w:val="24"/>
          <w:szCs w:val="20"/>
        </w:rPr>
        <w:t>paliel</w:t>
      </w:r>
      <w:r w:rsidRPr="001C1C52">
        <w:rPr>
          <w:rFonts w:eastAsia="Times New Roman"/>
          <w:sz w:val="24"/>
          <w:szCs w:val="20"/>
        </w:rPr>
        <w:t xml:space="preserve">inājušies par </w:t>
      </w:r>
      <w:r w:rsidR="00D53758" w:rsidRPr="001C1C52">
        <w:rPr>
          <w:rFonts w:eastAsia="Times New Roman"/>
          <w:sz w:val="24"/>
          <w:szCs w:val="20"/>
        </w:rPr>
        <w:t>61,6</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006D3E4D" w:rsidRPr="001C1C52">
        <w:rPr>
          <w:rFonts w:eastAsia="Times New Roman"/>
          <w:sz w:val="24"/>
          <w:szCs w:val="20"/>
        </w:rPr>
        <w:t xml:space="preserve"> jeb </w:t>
      </w:r>
      <w:r w:rsidR="00D53758" w:rsidRPr="001C1C52">
        <w:rPr>
          <w:rFonts w:eastAsia="Times New Roman"/>
          <w:sz w:val="24"/>
          <w:szCs w:val="20"/>
        </w:rPr>
        <w:t>12,</w:t>
      </w:r>
      <w:r w:rsidR="006A2361" w:rsidRPr="001C1C52">
        <w:rPr>
          <w:rFonts w:eastAsia="Times New Roman"/>
          <w:sz w:val="24"/>
          <w:szCs w:val="20"/>
        </w:rPr>
        <w:t>6</w:t>
      </w:r>
      <w:r w:rsidR="00D53758" w:rsidRPr="001C1C52">
        <w:rPr>
          <w:rFonts w:eastAsia="Times New Roman"/>
          <w:sz w:val="24"/>
          <w:szCs w:val="20"/>
        </w:rPr>
        <w:t>%</w:t>
      </w:r>
      <w:r w:rsidRPr="001C1C52">
        <w:rPr>
          <w:rFonts w:eastAsia="Times New Roman"/>
          <w:sz w:val="24"/>
          <w:szCs w:val="20"/>
        </w:rPr>
        <w:t xml:space="preserve">. </w:t>
      </w:r>
      <w:r w:rsidR="00405104" w:rsidRPr="001C1C52">
        <w:rPr>
          <w:rFonts w:eastAsia="Times New Roman"/>
          <w:sz w:val="24"/>
          <w:szCs w:val="20"/>
        </w:rPr>
        <w:t xml:space="preserve">Kārtējie izdevumi palielinājušies </w:t>
      </w:r>
      <w:r w:rsidR="00FE6773" w:rsidRPr="001C1C52">
        <w:rPr>
          <w:rFonts w:eastAsia="Times New Roman"/>
          <w:sz w:val="24"/>
          <w:szCs w:val="20"/>
        </w:rPr>
        <w:t xml:space="preserve">par 0,1 milj. </w:t>
      </w:r>
      <w:r w:rsidR="00405104" w:rsidRPr="001C1C52">
        <w:rPr>
          <w:rFonts w:eastAsia="Times New Roman"/>
          <w:i/>
          <w:sz w:val="24"/>
        </w:rPr>
        <w:t>euro</w:t>
      </w:r>
      <w:r w:rsidR="00405104" w:rsidRPr="001C1C52">
        <w:rPr>
          <w:rFonts w:eastAsia="Times New Roman"/>
          <w:sz w:val="24"/>
          <w:szCs w:val="20"/>
        </w:rPr>
        <w:t xml:space="preserve"> </w:t>
      </w:r>
      <w:r w:rsidR="00CD67AF" w:rsidRPr="001C1C52">
        <w:rPr>
          <w:rFonts w:eastAsia="Times New Roman"/>
          <w:sz w:val="24"/>
          <w:szCs w:val="20"/>
        </w:rPr>
        <w:t>jeb 3,9</w:t>
      </w:r>
      <w:r w:rsidR="00405104" w:rsidRPr="001C1C52">
        <w:rPr>
          <w:rFonts w:eastAsia="Times New Roman"/>
          <w:sz w:val="24"/>
          <w:szCs w:val="20"/>
        </w:rPr>
        <w:t>%, tai skaitā izdevumi atlīdz</w:t>
      </w:r>
      <w:r w:rsidR="00FE6773" w:rsidRPr="001C1C52">
        <w:rPr>
          <w:rFonts w:eastAsia="Times New Roman"/>
          <w:sz w:val="24"/>
          <w:szCs w:val="20"/>
        </w:rPr>
        <w:t xml:space="preserve">ībai par 0,2 milj. </w:t>
      </w:r>
      <w:r w:rsidR="00405104" w:rsidRPr="001C1C52">
        <w:rPr>
          <w:rFonts w:eastAsia="Times New Roman"/>
          <w:i/>
          <w:sz w:val="24"/>
        </w:rPr>
        <w:t>euro</w:t>
      </w:r>
      <w:r w:rsidR="00405104" w:rsidRPr="001C1C52">
        <w:rPr>
          <w:rFonts w:eastAsia="Times New Roman"/>
          <w:sz w:val="24"/>
          <w:szCs w:val="20"/>
        </w:rPr>
        <w:t xml:space="preserve"> j</w:t>
      </w:r>
      <w:r w:rsidR="00CD67AF" w:rsidRPr="001C1C52">
        <w:rPr>
          <w:rFonts w:eastAsia="Times New Roman"/>
          <w:sz w:val="24"/>
          <w:szCs w:val="20"/>
        </w:rPr>
        <w:t>eb 8,5</w:t>
      </w:r>
      <w:r w:rsidR="00FE6773" w:rsidRPr="001C1C52">
        <w:rPr>
          <w:rFonts w:eastAsia="Times New Roman"/>
          <w:sz w:val="24"/>
          <w:szCs w:val="20"/>
        </w:rPr>
        <w:t xml:space="preserve">% (atalgojumam 0,2 milj. </w:t>
      </w:r>
      <w:r w:rsidR="00405104" w:rsidRPr="001C1C52">
        <w:rPr>
          <w:rFonts w:eastAsia="Times New Roman"/>
          <w:i/>
          <w:sz w:val="24"/>
        </w:rPr>
        <w:t>euro</w:t>
      </w:r>
      <w:r w:rsidR="00405104" w:rsidRPr="001C1C52">
        <w:rPr>
          <w:rFonts w:eastAsia="Times New Roman"/>
          <w:sz w:val="24"/>
          <w:szCs w:val="20"/>
        </w:rPr>
        <w:t xml:space="preserve"> </w:t>
      </w:r>
      <w:r w:rsidR="00CD67AF" w:rsidRPr="001C1C52">
        <w:rPr>
          <w:rFonts w:eastAsia="Times New Roman"/>
          <w:sz w:val="24"/>
          <w:szCs w:val="20"/>
        </w:rPr>
        <w:t>jeb 10,5</w:t>
      </w:r>
      <w:r w:rsidR="00405104" w:rsidRPr="001C1C52">
        <w:rPr>
          <w:rFonts w:eastAsia="Times New Roman"/>
          <w:sz w:val="24"/>
          <w:szCs w:val="20"/>
        </w:rPr>
        <w:t>%) un izdevumi precēm un pakalpojumiem samazināju</w:t>
      </w:r>
      <w:r w:rsidR="00FE6773" w:rsidRPr="001C1C52">
        <w:rPr>
          <w:rFonts w:eastAsia="Times New Roman"/>
          <w:sz w:val="24"/>
          <w:szCs w:val="20"/>
        </w:rPr>
        <w:t xml:space="preserve">šies par 0,06 milj. </w:t>
      </w:r>
      <w:r w:rsidR="00405104" w:rsidRPr="001C1C52">
        <w:rPr>
          <w:rFonts w:eastAsia="Times New Roman"/>
          <w:i/>
          <w:sz w:val="24"/>
        </w:rPr>
        <w:t>euro</w:t>
      </w:r>
      <w:r w:rsidR="00405104" w:rsidRPr="001C1C52">
        <w:rPr>
          <w:rFonts w:eastAsia="Times New Roman"/>
          <w:sz w:val="24"/>
          <w:szCs w:val="20"/>
        </w:rPr>
        <w:t xml:space="preserve"> </w:t>
      </w:r>
      <w:r w:rsidR="00CD67AF" w:rsidRPr="001C1C52">
        <w:rPr>
          <w:rFonts w:eastAsia="Times New Roman"/>
          <w:sz w:val="24"/>
          <w:szCs w:val="20"/>
        </w:rPr>
        <w:t>jeb 7,2</w:t>
      </w:r>
      <w:r w:rsidR="00405104" w:rsidRPr="001C1C52">
        <w:rPr>
          <w:rFonts w:eastAsia="Times New Roman"/>
          <w:sz w:val="24"/>
          <w:szCs w:val="20"/>
        </w:rPr>
        <w:t xml:space="preserve">%. </w:t>
      </w:r>
      <w:r w:rsidRPr="001C1C52">
        <w:rPr>
          <w:rFonts w:eastAsia="Times New Roman"/>
          <w:sz w:val="24"/>
          <w:szCs w:val="20"/>
        </w:rPr>
        <w:t>Izdevumi subsīdijām, dotācijā</w:t>
      </w:r>
      <w:r w:rsidR="00D53758" w:rsidRPr="001C1C52">
        <w:rPr>
          <w:rFonts w:eastAsia="Times New Roman"/>
          <w:sz w:val="24"/>
          <w:szCs w:val="20"/>
        </w:rPr>
        <w:t>m un sociālajiem pabalstiem paliel</w:t>
      </w:r>
      <w:r w:rsidRPr="001C1C52">
        <w:rPr>
          <w:rFonts w:eastAsia="Times New Roman"/>
          <w:sz w:val="24"/>
          <w:szCs w:val="20"/>
        </w:rPr>
        <w:t xml:space="preserve">inājušies par </w:t>
      </w:r>
      <w:r w:rsidR="00D53758" w:rsidRPr="001C1C52">
        <w:rPr>
          <w:rFonts w:eastAsia="Times New Roman"/>
          <w:sz w:val="24"/>
          <w:szCs w:val="20"/>
        </w:rPr>
        <w:t>61,2</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Pr="001C1C52">
        <w:rPr>
          <w:rFonts w:eastAsia="Times New Roman"/>
          <w:sz w:val="24"/>
          <w:szCs w:val="20"/>
        </w:rPr>
        <w:t xml:space="preserve"> jeb </w:t>
      </w:r>
      <w:r w:rsidR="00D53758" w:rsidRPr="001C1C52">
        <w:rPr>
          <w:rFonts w:eastAsia="Times New Roman"/>
          <w:sz w:val="24"/>
          <w:szCs w:val="20"/>
        </w:rPr>
        <w:t>12,5</w:t>
      </w:r>
      <w:r w:rsidRPr="001C1C52">
        <w:rPr>
          <w:rFonts w:eastAsia="Times New Roman"/>
          <w:sz w:val="24"/>
          <w:szCs w:val="20"/>
        </w:rPr>
        <w:t xml:space="preserve">%, tai skaitā </w:t>
      </w:r>
      <w:r w:rsidR="00C211CF" w:rsidRPr="001C1C52">
        <w:rPr>
          <w:rFonts w:eastAsia="Times New Roman"/>
          <w:sz w:val="24"/>
          <w:szCs w:val="20"/>
        </w:rPr>
        <w:t>izdevumi subsīdijām un dotācijām samazināju</w:t>
      </w:r>
      <w:r w:rsidR="00FE6773" w:rsidRPr="001C1C52">
        <w:rPr>
          <w:rFonts w:eastAsia="Times New Roman"/>
          <w:sz w:val="24"/>
          <w:szCs w:val="20"/>
        </w:rPr>
        <w:t xml:space="preserve">šies par 0,6 milj. </w:t>
      </w:r>
      <w:r w:rsidR="00C211CF" w:rsidRPr="001C1C52">
        <w:rPr>
          <w:rFonts w:eastAsia="Times New Roman"/>
          <w:i/>
          <w:sz w:val="24"/>
        </w:rPr>
        <w:t>euro</w:t>
      </w:r>
      <w:r w:rsidR="00C211CF" w:rsidRPr="001C1C52">
        <w:rPr>
          <w:rFonts w:eastAsia="Times New Roman"/>
          <w:sz w:val="24"/>
          <w:szCs w:val="20"/>
        </w:rPr>
        <w:t xml:space="preserve"> jeb </w:t>
      </w:r>
      <w:r w:rsidR="00CD67AF" w:rsidRPr="001C1C52">
        <w:rPr>
          <w:rFonts w:eastAsia="Times New Roman"/>
          <w:sz w:val="24"/>
          <w:szCs w:val="20"/>
        </w:rPr>
        <w:t>39,6</w:t>
      </w:r>
      <w:r w:rsidR="00C211CF" w:rsidRPr="001C1C52">
        <w:rPr>
          <w:rFonts w:eastAsia="Times New Roman"/>
          <w:sz w:val="24"/>
          <w:szCs w:val="20"/>
        </w:rPr>
        <w:t xml:space="preserve">% un </w:t>
      </w:r>
      <w:r w:rsidRPr="001C1C52">
        <w:rPr>
          <w:rFonts w:eastAsia="Times New Roman"/>
          <w:sz w:val="24"/>
          <w:szCs w:val="20"/>
        </w:rPr>
        <w:t xml:space="preserve">sociālajiem pabalstiem </w:t>
      </w:r>
      <w:r w:rsidR="00C211CF" w:rsidRPr="001C1C52">
        <w:rPr>
          <w:rFonts w:eastAsia="Times New Roman"/>
          <w:sz w:val="24"/>
          <w:szCs w:val="20"/>
        </w:rPr>
        <w:t>palielinājušies</w:t>
      </w:r>
      <w:r w:rsidRPr="001C1C52">
        <w:rPr>
          <w:rFonts w:eastAsia="Times New Roman"/>
          <w:sz w:val="24"/>
          <w:szCs w:val="20"/>
        </w:rPr>
        <w:t xml:space="preserve"> par </w:t>
      </w:r>
      <w:r w:rsidR="00D53758" w:rsidRPr="001C1C52">
        <w:rPr>
          <w:rFonts w:eastAsia="Times New Roman"/>
          <w:sz w:val="24"/>
          <w:szCs w:val="20"/>
        </w:rPr>
        <w:t>61,8</w:t>
      </w:r>
      <w:r w:rsidR="00FE6773" w:rsidRPr="001C1C52">
        <w:rPr>
          <w:rFonts w:eastAsia="Times New Roman"/>
          <w:sz w:val="24"/>
          <w:szCs w:val="20"/>
        </w:rPr>
        <w:t xml:space="preserve"> </w:t>
      </w:r>
      <w:r w:rsidRPr="001C1C52">
        <w:rPr>
          <w:rFonts w:eastAsia="Times New Roman"/>
          <w:sz w:val="24"/>
          <w:szCs w:val="20"/>
        </w:rPr>
        <w:t xml:space="preserve">milj. </w:t>
      </w:r>
      <w:r w:rsidR="00185DDE" w:rsidRPr="001C1C52">
        <w:rPr>
          <w:rFonts w:eastAsia="Times New Roman"/>
          <w:i/>
          <w:sz w:val="24"/>
          <w:szCs w:val="20"/>
        </w:rPr>
        <w:t>euro</w:t>
      </w:r>
      <w:r w:rsidR="00D53758" w:rsidRPr="001C1C52">
        <w:rPr>
          <w:rFonts w:eastAsia="Times New Roman"/>
          <w:sz w:val="24"/>
          <w:szCs w:val="20"/>
        </w:rPr>
        <w:t xml:space="preserve"> jeb 12,7</w:t>
      </w:r>
      <w:r w:rsidRPr="001C1C52">
        <w:rPr>
          <w:rFonts w:eastAsia="Times New Roman"/>
          <w:sz w:val="24"/>
          <w:szCs w:val="20"/>
        </w:rPr>
        <w:t xml:space="preserve">%. </w:t>
      </w:r>
      <w:r w:rsidR="007D442A" w:rsidRPr="001C1C52">
        <w:rPr>
          <w:rFonts w:eastAsia="Times New Roman"/>
          <w:sz w:val="24"/>
          <w:szCs w:val="20"/>
        </w:rPr>
        <w:t xml:space="preserve">Uzturēšanas izdevumu transferti palielinājušies par 0,4 milj. </w:t>
      </w:r>
      <w:r w:rsidR="007D442A" w:rsidRPr="001C1C52">
        <w:rPr>
          <w:rFonts w:eastAsia="Times New Roman"/>
          <w:i/>
          <w:sz w:val="24"/>
        </w:rPr>
        <w:t>euro</w:t>
      </w:r>
      <w:r w:rsidR="007D442A" w:rsidRPr="001C1C52">
        <w:rPr>
          <w:rFonts w:eastAsia="Times New Roman"/>
          <w:sz w:val="24"/>
          <w:szCs w:val="20"/>
        </w:rPr>
        <w:t xml:space="preserve"> jeb 446,3 procentiem. Par 0,07 milj. </w:t>
      </w:r>
      <w:r w:rsidR="007D442A" w:rsidRPr="001C1C52">
        <w:rPr>
          <w:rFonts w:eastAsia="Times New Roman"/>
          <w:i/>
          <w:sz w:val="24"/>
          <w:szCs w:val="20"/>
        </w:rPr>
        <w:t>euro</w:t>
      </w:r>
      <w:r w:rsidR="007D442A" w:rsidRPr="001C1C52">
        <w:rPr>
          <w:rFonts w:eastAsia="Times New Roman"/>
          <w:sz w:val="24"/>
          <w:szCs w:val="20"/>
        </w:rPr>
        <w:t xml:space="preserve"> jeb 39,8% samazinājušies kapitālie izdevumi.</w:t>
      </w:r>
    </w:p>
    <w:p w14:paraId="288A8414" w14:textId="77777777" w:rsidR="009115CF" w:rsidRPr="001C1C52" w:rsidRDefault="001632F0" w:rsidP="009115CF">
      <w:pPr>
        <w:rPr>
          <w:rFonts w:eastAsia="Times New Roman"/>
          <w:sz w:val="24"/>
          <w:szCs w:val="20"/>
        </w:rPr>
      </w:pPr>
      <w:r w:rsidRPr="001C1C52">
        <w:rPr>
          <w:rFonts w:eastAsia="Times New Roman"/>
          <w:sz w:val="24"/>
          <w:szCs w:val="20"/>
        </w:rPr>
        <w:t>2015.</w:t>
      </w:r>
      <w:r w:rsidR="009115CF" w:rsidRPr="001C1C52">
        <w:rPr>
          <w:rFonts w:eastAsia="Times New Roman"/>
          <w:sz w:val="24"/>
          <w:szCs w:val="20"/>
        </w:rPr>
        <w:t xml:space="preserve">gada pirmajā ceturksnī speciālajā budžetā kopumā izlietoti </w:t>
      </w:r>
      <w:r w:rsidR="00BA6947" w:rsidRPr="001C1C52">
        <w:rPr>
          <w:rFonts w:eastAsia="Times New Roman"/>
          <w:sz w:val="24"/>
          <w:szCs w:val="20"/>
        </w:rPr>
        <w:t>55</w:t>
      </w:r>
      <w:r w:rsidR="00D53758" w:rsidRPr="001C1C52">
        <w:rPr>
          <w:rFonts w:eastAsia="Times New Roman"/>
          <w:sz w:val="24"/>
          <w:szCs w:val="20"/>
        </w:rPr>
        <w:t>2,3</w:t>
      </w:r>
      <w:r w:rsidR="00FE6773" w:rsidRPr="001C1C52">
        <w:rPr>
          <w:rFonts w:eastAsia="Times New Roman"/>
          <w:sz w:val="24"/>
          <w:szCs w:val="20"/>
        </w:rPr>
        <w:t xml:space="preserve"> </w:t>
      </w:r>
      <w:r w:rsidR="009115CF" w:rsidRPr="001C1C52">
        <w:rPr>
          <w:rFonts w:eastAsia="Times New Roman"/>
          <w:sz w:val="24"/>
          <w:szCs w:val="20"/>
        </w:rPr>
        <w:t xml:space="preserve">milj. </w:t>
      </w:r>
      <w:r w:rsidR="00577F19" w:rsidRPr="001C1C52">
        <w:rPr>
          <w:rFonts w:eastAsia="Times New Roman"/>
          <w:i/>
          <w:sz w:val="24"/>
        </w:rPr>
        <w:t>euro</w:t>
      </w:r>
      <w:r w:rsidR="00577F19" w:rsidRPr="001C1C52">
        <w:rPr>
          <w:rFonts w:eastAsia="Times New Roman"/>
          <w:sz w:val="24"/>
          <w:szCs w:val="20"/>
        </w:rPr>
        <w:t>,</w:t>
      </w:r>
      <w:r w:rsidR="00FE6773" w:rsidRPr="001C1C52">
        <w:rPr>
          <w:rFonts w:eastAsia="Times New Roman"/>
          <w:sz w:val="24"/>
          <w:szCs w:val="20"/>
        </w:rPr>
        <w:t xml:space="preserve"> kas ir par 5,4 milj. </w:t>
      </w:r>
      <w:r w:rsidR="00577F19" w:rsidRPr="001C1C52">
        <w:rPr>
          <w:rFonts w:eastAsia="Times New Roman"/>
          <w:i/>
          <w:sz w:val="24"/>
        </w:rPr>
        <w:t>euro</w:t>
      </w:r>
      <w:r w:rsidR="00577F19" w:rsidRPr="001C1C52">
        <w:rPr>
          <w:rFonts w:eastAsia="Times New Roman"/>
          <w:sz w:val="24"/>
          <w:szCs w:val="20"/>
        </w:rPr>
        <w:t xml:space="preserve"> mazāk nekā plānots</w:t>
      </w:r>
      <w:r w:rsidR="009115CF" w:rsidRPr="001C1C52">
        <w:rPr>
          <w:rFonts w:eastAsia="Times New Roman"/>
          <w:sz w:val="24"/>
          <w:szCs w:val="20"/>
        </w:rPr>
        <w:t xml:space="preserve">. Kārtējiem izdevumiem izlietoti </w:t>
      </w:r>
      <w:r w:rsidR="00D53758" w:rsidRPr="001C1C52">
        <w:rPr>
          <w:rFonts w:eastAsia="Times New Roman"/>
          <w:sz w:val="24"/>
          <w:szCs w:val="20"/>
        </w:rPr>
        <w:t>3,1</w:t>
      </w:r>
      <w:r w:rsidR="00FE6773" w:rsidRPr="001C1C52">
        <w:rPr>
          <w:rFonts w:eastAsia="Times New Roman"/>
          <w:sz w:val="24"/>
          <w:szCs w:val="20"/>
        </w:rPr>
        <w:t xml:space="preserve"> </w:t>
      </w:r>
      <w:r w:rsidR="009115CF" w:rsidRPr="001C1C52">
        <w:rPr>
          <w:rFonts w:eastAsia="Times New Roman"/>
          <w:sz w:val="24"/>
          <w:szCs w:val="20"/>
        </w:rPr>
        <w:t xml:space="preserve">milj. </w:t>
      </w:r>
      <w:r w:rsidR="00BA6947" w:rsidRPr="001C1C52">
        <w:rPr>
          <w:rFonts w:eastAsia="Times New Roman"/>
          <w:i/>
          <w:sz w:val="24"/>
        </w:rPr>
        <w:t>euro</w:t>
      </w:r>
      <w:r w:rsidR="00BA6947" w:rsidRPr="001C1C52">
        <w:rPr>
          <w:rFonts w:eastAsia="Times New Roman"/>
          <w:sz w:val="24"/>
          <w:szCs w:val="20"/>
        </w:rPr>
        <w:t>,</w:t>
      </w:r>
      <w:r w:rsidR="009115CF" w:rsidRPr="001C1C52">
        <w:rPr>
          <w:rFonts w:eastAsia="Times New Roman"/>
          <w:sz w:val="24"/>
          <w:szCs w:val="20"/>
        </w:rPr>
        <w:t xml:space="preserve"> ta</w:t>
      </w:r>
      <w:r w:rsidR="00794AC0" w:rsidRPr="001C1C52">
        <w:rPr>
          <w:rFonts w:eastAsia="Times New Roman"/>
          <w:sz w:val="24"/>
          <w:szCs w:val="20"/>
        </w:rPr>
        <w:t>i</w:t>
      </w:r>
      <w:r w:rsidR="009115CF" w:rsidRPr="001C1C52">
        <w:rPr>
          <w:rFonts w:eastAsia="Times New Roman"/>
          <w:sz w:val="24"/>
          <w:szCs w:val="20"/>
        </w:rPr>
        <w:t xml:space="preserve"> skaitā atlīdzībai izlietoti </w:t>
      </w:r>
      <w:r w:rsidR="00D53758" w:rsidRPr="001C1C52">
        <w:rPr>
          <w:rFonts w:eastAsia="Times New Roman"/>
          <w:sz w:val="24"/>
          <w:szCs w:val="20"/>
        </w:rPr>
        <w:t>2,3</w:t>
      </w:r>
      <w:r w:rsidR="006D3E4D" w:rsidRPr="001C1C52">
        <w:rPr>
          <w:rFonts w:eastAsia="Times New Roman"/>
          <w:sz w:val="24"/>
          <w:szCs w:val="20"/>
        </w:rPr>
        <w:t xml:space="preserve"> </w:t>
      </w:r>
      <w:r w:rsidR="009115CF" w:rsidRPr="001C1C52">
        <w:rPr>
          <w:rFonts w:eastAsia="Times New Roman"/>
          <w:sz w:val="24"/>
          <w:szCs w:val="20"/>
        </w:rPr>
        <w:t xml:space="preserve">milj. </w:t>
      </w:r>
      <w:r w:rsidR="00185DDE" w:rsidRPr="001C1C52">
        <w:rPr>
          <w:rFonts w:eastAsia="Times New Roman"/>
          <w:i/>
          <w:sz w:val="24"/>
          <w:szCs w:val="20"/>
        </w:rPr>
        <w:t>euro</w:t>
      </w:r>
      <w:r w:rsidR="009115CF" w:rsidRPr="001C1C52">
        <w:rPr>
          <w:rFonts w:eastAsia="Times New Roman"/>
          <w:sz w:val="24"/>
          <w:szCs w:val="20"/>
        </w:rPr>
        <w:t xml:space="preserve"> (no tiem atalgojum</w:t>
      </w:r>
      <w:r w:rsidR="00BA6947" w:rsidRPr="001C1C52">
        <w:rPr>
          <w:rFonts w:eastAsia="Times New Roman"/>
          <w:sz w:val="24"/>
          <w:szCs w:val="20"/>
        </w:rPr>
        <w:t>a</w:t>
      </w:r>
      <w:r w:rsidR="009115CF" w:rsidRPr="001C1C52">
        <w:rPr>
          <w:rFonts w:eastAsia="Times New Roman"/>
          <w:sz w:val="24"/>
          <w:szCs w:val="20"/>
        </w:rPr>
        <w:t xml:space="preserve">m </w:t>
      </w:r>
      <w:r w:rsidR="00D53758" w:rsidRPr="001C1C52">
        <w:rPr>
          <w:rFonts w:eastAsia="Times New Roman"/>
          <w:sz w:val="24"/>
          <w:szCs w:val="20"/>
        </w:rPr>
        <w:t>1,8</w:t>
      </w:r>
      <w:r w:rsidR="00FE6773" w:rsidRPr="001C1C52">
        <w:rPr>
          <w:rFonts w:eastAsia="Times New Roman"/>
          <w:sz w:val="24"/>
          <w:szCs w:val="20"/>
        </w:rPr>
        <w:t xml:space="preserve"> </w:t>
      </w:r>
      <w:r w:rsidR="009115CF" w:rsidRPr="001C1C52">
        <w:rPr>
          <w:rFonts w:eastAsia="Times New Roman"/>
          <w:sz w:val="24"/>
          <w:szCs w:val="20"/>
        </w:rPr>
        <w:t xml:space="preserve">milj. </w:t>
      </w:r>
      <w:r w:rsidR="00185DDE" w:rsidRPr="001C1C52">
        <w:rPr>
          <w:rFonts w:eastAsia="Times New Roman"/>
          <w:i/>
          <w:sz w:val="24"/>
          <w:szCs w:val="20"/>
        </w:rPr>
        <w:t>euro</w:t>
      </w:r>
      <w:r w:rsidR="009115CF" w:rsidRPr="001C1C52">
        <w:rPr>
          <w:rFonts w:eastAsia="Times New Roman"/>
          <w:sz w:val="24"/>
          <w:szCs w:val="20"/>
        </w:rPr>
        <w:t>)</w:t>
      </w:r>
      <w:r w:rsidR="00577F19" w:rsidRPr="001C1C52">
        <w:rPr>
          <w:rFonts w:eastAsia="Times New Roman"/>
          <w:sz w:val="24"/>
          <w:szCs w:val="20"/>
        </w:rPr>
        <w:t>, precēm un pakalpojumiem – 0,</w:t>
      </w:r>
      <w:r w:rsidR="00FE6773" w:rsidRPr="001C1C52">
        <w:rPr>
          <w:rFonts w:eastAsia="Times New Roman"/>
          <w:sz w:val="24"/>
          <w:szCs w:val="20"/>
        </w:rPr>
        <w:t xml:space="preserve">8 milj. </w:t>
      </w:r>
      <w:r w:rsidR="00577F19" w:rsidRPr="001C1C52">
        <w:rPr>
          <w:rFonts w:eastAsia="Times New Roman"/>
          <w:i/>
          <w:sz w:val="24"/>
        </w:rPr>
        <w:t>euro</w:t>
      </w:r>
      <w:r w:rsidR="009115CF" w:rsidRPr="001C1C52">
        <w:rPr>
          <w:rFonts w:eastAsia="Times New Roman"/>
          <w:sz w:val="24"/>
          <w:szCs w:val="20"/>
        </w:rPr>
        <w:t>.</w:t>
      </w:r>
      <w:r w:rsidR="00577F19" w:rsidRPr="001C1C52">
        <w:rPr>
          <w:rFonts w:eastAsia="Times New Roman"/>
          <w:sz w:val="24"/>
          <w:szCs w:val="20"/>
        </w:rPr>
        <w:t xml:space="preserve"> Kārtējiem izdevumiem plānotie līdzekļi nav izlietoti 0,01 milj.</w:t>
      </w:r>
      <w:r w:rsidR="00FE6773" w:rsidRPr="001C1C52">
        <w:rPr>
          <w:rFonts w:eastAsia="Times New Roman"/>
          <w:sz w:val="24"/>
          <w:szCs w:val="20"/>
        </w:rPr>
        <w:t xml:space="preserve"> </w:t>
      </w:r>
      <w:r w:rsidR="00577F19" w:rsidRPr="001C1C52">
        <w:rPr>
          <w:rFonts w:eastAsia="Times New Roman"/>
          <w:i/>
          <w:sz w:val="24"/>
        </w:rPr>
        <w:t>euro</w:t>
      </w:r>
      <w:r w:rsidR="00577F19" w:rsidRPr="001C1C52">
        <w:rPr>
          <w:rFonts w:eastAsia="Times New Roman"/>
          <w:sz w:val="24"/>
          <w:szCs w:val="20"/>
        </w:rPr>
        <w:t xml:space="preserve"> apmērā, tai skaitā atlīdzībai </w:t>
      </w:r>
      <w:r w:rsidR="0006091D" w:rsidRPr="001C1C52">
        <w:rPr>
          <w:rFonts w:eastAsia="Times New Roman"/>
          <w:sz w:val="24"/>
          <w:szCs w:val="20"/>
        </w:rPr>
        <w:t>0,006 milj.</w:t>
      </w:r>
      <w:r w:rsidR="00FE6773" w:rsidRPr="001C1C52">
        <w:rPr>
          <w:rFonts w:eastAsia="Times New Roman"/>
          <w:sz w:val="24"/>
          <w:szCs w:val="20"/>
        </w:rPr>
        <w:t xml:space="preserve"> </w:t>
      </w:r>
      <w:r w:rsidR="0006091D" w:rsidRPr="001C1C52">
        <w:rPr>
          <w:rFonts w:eastAsia="Times New Roman"/>
          <w:i/>
          <w:sz w:val="24"/>
        </w:rPr>
        <w:t>euro</w:t>
      </w:r>
      <w:r w:rsidR="0006091D" w:rsidRPr="001C1C52">
        <w:rPr>
          <w:rFonts w:eastAsia="Times New Roman"/>
          <w:sz w:val="24"/>
          <w:szCs w:val="20"/>
        </w:rPr>
        <w:t xml:space="preserve"> apmērā (no tiem atalgojumam – 0,005 milj.</w:t>
      </w:r>
      <w:r w:rsidR="00FE6773" w:rsidRPr="001C1C52">
        <w:rPr>
          <w:rFonts w:eastAsia="Times New Roman"/>
          <w:sz w:val="24"/>
          <w:szCs w:val="20"/>
        </w:rPr>
        <w:t xml:space="preserve"> </w:t>
      </w:r>
      <w:r w:rsidR="0006091D" w:rsidRPr="001C1C52">
        <w:rPr>
          <w:rFonts w:eastAsia="Times New Roman"/>
          <w:i/>
          <w:sz w:val="24"/>
        </w:rPr>
        <w:t>euro</w:t>
      </w:r>
      <w:r w:rsidR="0006091D" w:rsidRPr="001C1C52">
        <w:rPr>
          <w:rFonts w:eastAsia="Times New Roman"/>
          <w:sz w:val="24"/>
          <w:szCs w:val="20"/>
        </w:rPr>
        <w:t xml:space="preserve">), precēm un pakalpojumiem  - 0,004 milj. </w:t>
      </w:r>
      <w:r w:rsidR="0006091D" w:rsidRPr="001C1C52">
        <w:rPr>
          <w:rFonts w:eastAsia="Times New Roman"/>
          <w:i/>
          <w:sz w:val="24"/>
        </w:rPr>
        <w:t>euro</w:t>
      </w:r>
      <w:r w:rsidR="0006091D" w:rsidRPr="001C1C52">
        <w:rPr>
          <w:rFonts w:eastAsia="Times New Roman"/>
          <w:sz w:val="24"/>
          <w:szCs w:val="20"/>
        </w:rPr>
        <w:t>.</w:t>
      </w:r>
      <w:r w:rsidR="009115CF" w:rsidRPr="001C1C52">
        <w:rPr>
          <w:rFonts w:eastAsia="Times New Roman"/>
          <w:sz w:val="24"/>
          <w:szCs w:val="20"/>
        </w:rPr>
        <w:t xml:space="preserve"> Subsīdijām, dotācijām un sociālajiem pabalstiem izlietoti </w:t>
      </w:r>
      <w:r w:rsidR="00D53758" w:rsidRPr="001C1C52">
        <w:rPr>
          <w:rFonts w:eastAsia="Times New Roman"/>
          <w:sz w:val="24"/>
          <w:szCs w:val="20"/>
        </w:rPr>
        <w:t>548,6</w:t>
      </w:r>
      <w:r w:rsidR="00FE6773" w:rsidRPr="001C1C52">
        <w:rPr>
          <w:rFonts w:eastAsia="Times New Roman"/>
          <w:sz w:val="24"/>
          <w:szCs w:val="20"/>
        </w:rPr>
        <w:t xml:space="preserve"> </w:t>
      </w:r>
      <w:r w:rsidR="0006091D" w:rsidRPr="001C1C52">
        <w:rPr>
          <w:rFonts w:eastAsia="Times New Roman"/>
          <w:sz w:val="24"/>
          <w:szCs w:val="20"/>
        </w:rPr>
        <w:t xml:space="preserve">milj. </w:t>
      </w:r>
      <w:r w:rsidR="00185DDE" w:rsidRPr="001C1C52">
        <w:rPr>
          <w:rFonts w:eastAsia="Times New Roman"/>
          <w:i/>
          <w:sz w:val="24"/>
          <w:szCs w:val="20"/>
        </w:rPr>
        <w:t>euro</w:t>
      </w:r>
      <w:r w:rsidR="009115CF" w:rsidRPr="001C1C52">
        <w:rPr>
          <w:rFonts w:eastAsia="Times New Roman"/>
          <w:sz w:val="24"/>
          <w:szCs w:val="20"/>
        </w:rPr>
        <w:t>, ta</w:t>
      </w:r>
      <w:r w:rsidR="00794AC0" w:rsidRPr="001C1C52">
        <w:rPr>
          <w:rFonts w:eastAsia="Times New Roman"/>
          <w:sz w:val="24"/>
          <w:szCs w:val="20"/>
        </w:rPr>
        <w:t>i</w:t>
      </w:r>
      <w:r w:rsidR="009115CF" w:rsidRPr="001C1C52">
        <w:rPr>
          <w:rFonts w:eastAsia="Times New Roman"/>
          <w:sz w:val="24"/>
          <w:szCs w:val="20"/>
        </w:rPr>
        <w:t xml:space="preserve"> skaitā </w:t>
      </w:r>
      <w:r w:rsidR="0006091D" w:rsidRPr="001C1C52">
        <w:rPr>
          <w:rFonts w:eastAsia="Times New Roman"/>
          <w:sz w:val="24"/>
          <w:szCs w:val="20"/>
        </w:rPr>
        <w:t xml:space="preserve">subsīdijām un dotācijām 1,0 milj. </w:t>
      </w:r>
      <w:r w:rsidR="0006091D" w:rsidRPr="001C1C52">
        <w:rPr>
          <w:rFonts w:eastAsia="Times New Roman"/>
          <w:i/>
          <w:sz w:val="24"/>
        </w:rPr>
        <w:t>euro</w:t>
      </w:r>
      <w:r w:rsidR="0006091D" w:rsidRPr="001C1C52">
        <w:rPr>
          <w:rFonts w:eastAsia="Times New Roman"/>
          <w:sz w:val="24"/>
          <w:szCs w:val="20"/>
        </w:rPr>
        <w:t xml:space="preserve">, </w:t>
      </w:r>
      <w:r w:rsidR="009115CF" w:rsidRPr="001C1C52">
        <w:rPr>
          <w:rFonts w:eastAsia="Times New Roman"/>
          <w:sz w:val="24"/>
          <w:szCs w:val="20"/>
        </w:rPr>
        <w:t>sociāl</w:t>
      </w:r>
      <w:r w:rsidR="00ED4BB5" w:rsidRPr="001C1C52">
        <w:rPr>
          <w:rFonts w:eastAsia="Times New Roman"/>
          <w:sz w:val="24"/>
          <w:szCs w:val="20"/>
        </w:rPr>
        <w:t>aj</w:t>
      </w:r>
      <w:r w:rsidR="009115CF" w:rsidRPr="001C1C52">
        <w:rPr>
          <w:rFonts w:eastAsia="Times New Roman"/>
          <w:sz w:val="24"/>
          <w:szCs w:val="20"/>
        </w:rPr>
        <w:t xml:space="preserve">iem pabalstiem </w:t>
      </w:r>
      <w:r w:rsidR="00D53758" w:rsidRPr="001C1C52">
        <w:rPr>
          <w:rFonts w:eastAsia="Times New Roman"/>
          <w:sz w:val="24"/>
          <w:szCs w:val="20"/>
        </w:rPr>
        <w:t>547,6</w:t>
      </w:r>
      <w:r w:rsidR="00FE6773" w:rsidRPr="001C1C52">
        <w:rPr>
          <w:rFonts w:eastAsia="Times New Roman"/>
          <w:sz w:val="24"/>
          <w:szCs w:val="20"/>
        </w:rPr>
        <w:t xml:space="preserve"> </w:t>
      </w:r>
      <w:r w:rsidR="009115CF" w:rsidRPr="001C1C52">
        <w:rPr>
          <w:rFonts w:eastAsia="Times New Roman"/>
          <w:sz w:val="24"/>
          <w:szCs w:val="20"/>
        </w:rPr>
        <w:t xml:space="preserve">milj. </w:t>
      </w:r>
      <w:r w:rsidR="00185DDE" w:rsidRPr="001C1C52">
        <w:rPr>
          <w:rFonts w:eastAsia="Times New Roman"/>
          <w:i/>
          <w:sz w:val="24"/>
          <w:szCs w:val="20"/>
        </w:rPr>
        <w:t>euro</w:t>
      </w:r>
      <w:r w:rsidR="009115CF" w:rsidRPr="001C1C52">
        <w:rPr>
          <w:rFonts w:eastAsia="Times New Roman"/>
          <w:sz w:val="24"/>
          <w:szCs w:val="20"/>
        </w:rPr>
        <w:t xml:space="preserve">, no kuriem valsts pensijām – </w:t>
      </w:r>
      <w:r w:rsidR="00D53758" w:rsidRPr="001C1C52">
        <w:rPr>
          <w:rFonts w:eastAsia="Times New Roman"/>
          <w:sz w:val="24"/>
          <w:szCs w:val="20"/>
        </w:rPr>
        <w:t>450,6</w:t>
      </w:r>
      <w:r w:rsidR="00FE6773" w:rsidRPr="001C1C52">
        <w:rPr>
          <w:rFonts w:eastAsia="Times New Roman"/>
          <w:sz w:val="24"/>
          <w:szCs w:val="20"/>
        </w:rPr>
        <w:t xml:space="preserve"> </w:t>
      </w:r>
      <w:r w:rsidR="009115CF" w:rsidRPr="001C1C52">
        <w:rPr>
          <w:rFonts w:eastAsia="Times New Roman"/>
          <w:sz w:val="24"/>
          <w:szCs w:val="20"/>
        </w:rPr>
        <w:t xml:space="preserve">milj. </w:t>
      </w:r>
      <w:r w:rsidR="00185DDE" w:rsidRPr="001C1C52">
        <w:rPr>
          <w:rFonts w:eastAsia="Times New Roman"/>
          <w:i/>
          <w:sz w:val="24"/>
          <w:szCs w:val="20"/>
        </w:rPr>
        <w:t>euro</w:t>
      </w:r>
      <w:r w:rsidR="009115CF" w:rsidRPr="001C1C52">
        <w:rPr>
          <w:rFonts w:eastAsia="Times New Roman"/>
          <w:sz w:val="24"/>
          <w:szCs w:val="20"/>
        </w:rPr>
        <w:t>, valst</w:t>
      </w:r>
      <w:r w:rsidR="00D53758" w:rsidRPr="001C1C52">
        <w:rPr>
          <w:rFonts w:eastAsia="Times New Roman"/>
          <w:sz w:val="24"/>
          <w:szCs w:val="20"/>
        </w:rPr>
        <w:t>s sociālās apdrošināšanas pabal</w:t>
      </w:r>
      <w:r w:rsidR="009115CF" w:rsidRPr="001C1C52">
        <w:rPr>
          <w:rFonts w:eastAsia="Times New Roman"/>
          <w:sz w:val="24"/>
          <w:szCs w:val="20"/>
        </w:rPr>
        <w:t xml:space="preserve">stiem naudā – </w:t>
      </w:r>
      <w:r w:rsidR="00D53758" w:rsidRPr="001C1C52">
        <w:rPr>
          <w:rFonts w:eastAsia="Times New Roman"/>
          <w:sz w:val="24"/>
          <w:szCs w:val="20"/>
        </w:rPr>
        <w:t>72,4</w:t>
      </w:r>
      <w:r w:rsidR="00FE6773" w:rsidRPr="001C1C52">
        <w:rPr>
          <w:rFonts w:eastAsia="Times New Roman"/>
          <w:sz w:val="24"/>
          <w:szCs w:val="20"/>
        </w:rPr>
        <w:t xml:space="preserve"> </w:t>
      </w:r>
      <w:r w:rsidR="009115CF" w:rsidRPr="001C1C52">
        <w:rPr>
          <w:rFonts w:eastAsia="Times New Roman"/>
          <w:sz w:val="24"/>
          <w:szCs w:val="20"/>
        </w:rPr>
        <w:t xml:space="preserve">milj. </w:t>
      </w:r>
      <w:r w:rsidR="00185DDE" w:rsidRPr="001C1C52">
        <w:rPr>
          <w:rFonts w:eastAsia="Times New Roman"/>
          <w:i/>
          <w:sz w:val="24"/>
          <w:szCs w:val="20"/>
        </w:rPr>
        <w:t>euro</w:t>
      </w:r>
      <w:r w:rsidR="009115CF" w:rsidRPr="001C1C52">
        <w:rPr>
          <w:rFonts w:eastAsia="Times New Roman"/>
          <w:sz w:val="24"/>
          <w:szCs w:val="20"/>
        </w:rPr>
        <w:t xml:space="preserve">, valsts un pašvaldības nodarbinātības pabalstiem – </w:t>
      </w:r>
      <w:r w:rsidR="00D53758" w:rsidRPr="001C1C52">
        <w:rPr>
          <w:rFonts w:eastAsia="Times New Roman"/>
          <w:sz w:val="24"/>
          <w:szCs w:val="20"/>
        </w:rPr>
        <w:t>24,6</w:t>
      </w:r>
      <w:r w:rsidR="00FE6773" w:rsidRPr="001C1C52">
        <w:rPr>
          <w:rFonts w:eastAsia="Times New Roman"/>
          <w:sz w:val="24"/>
          <w:szCs w:val="20"/>
        </w:rPr>
        <w:t xml:space="preserve"> </w:t>
      </w:r>
      <w:r w:rsidR="009115CF" w:rsidRPr="001C1C52">
        <w:rPr>
          <w:rFonts w:eastAsia="Times New Roman"/>
          <w:sz w:val="24"/>
          <w:szCs w:val="20"/>
        </w:rPr>
        <w:t xml:space="preserve">milj. </w:t>
      </w:r>
      <w:r w:rsidR="00185DDE" w:rsidRPr="001C1C52">
        <w:rPr>
          <w:rFonts w:eastAsia="Times New Roman"/>
          <w:i/>
          <w:sz w:val="24"/>
          <w:szCs w:val="20"/>
        </w:rPr>
        <w:t>euro</w:t>
      </w:r>
      <w:r w:rsidR="009115CF" w:rsidRPr="001C1C52">
        <w:rPr>
          <w:rFonts w:eastAsia="Times New Roman"/>
          <w:sz w:val="24"/>
          <w:szCs w:val="20"/>
        </w:rPr>
        <w:t>.</w:t>
      </w:r>
      <w:r w:rsidR="0006091D" w:rsidRPr="001C1C52">
        <w:rPr>
          <w:rFonts w:eastAsia="Times New Roman"/>
          <w:sz w:val="24"/>
          <w:szCs w:val="20"/>
        </w:rPr>
        <w:t xml:space="preserve"> Subsīdijām, dotācijām un sociālajiem pabalstiem plānotie līdzekļi nav izlietoti</w:t>
      </w:r>
      <w:r w:rsidR="009115CF" w:rsidRPr="001C1C52">
        <w:rPr>
          <w:rFonts w:eastAsia="Times New Roman"/>
          <w:sz w:val="24"/>
          <w:szCs w:val="20"/>
        </w:rPr>
        <w:t xml:space="preserve"> </w:t>
      </w:r>
      <w:r w:rsidR="0006091D" w:rsidRPr="001C1C52">
        <w:rPr>
          <w:rFonts w:eastAsia="Times New Roman"/>
          <w:sz w:val="24"/>
          <w:szCs w:val="20"/>
        </w:rPr>
        <w:t xml:space="preserve">5,4 milj. </w:t>
      </w:r>
      <w:r w:rsidR="0006091D" w:rsidRPr="001C1C52">
        <w:rPr>
          <w:rFonts w:eastAsia="Times New Roman"/>
          <w:i/>
          <w:sz w:val="24"/>
        </w:rPr>
        <w:t>euro</w:t>
      </w:r>
      <w:r w:rsidR="0006091D" w:rsidRPr="001C1C52">
        <w:rPr>
          <w:rFonts w:eastAsia="Times New Roman"/>
          <w:sz w:val="24"/>
          <w:szCs w:val="20"/>
        </w:rPr>
        <w:t xml:space="preserve"> apmērā, tai skaitā subsīdijām un dotācijām 0,04 milj. </w:t>
      </w:r>
      <w:r w:rsidR="0006091D" w:rsidRPr="001C1C52">
        <w:rPr>
          <w:rFonts w:eastAsia="Times New Roman"/>
          <w:i/>
          <w:sz w:val="24"/>
        </w:rPr>
        <w:t>euro</w:t>
      </w:r>
      <w:r w:rsidR="0006091D" w:rsidRPr="001C1C52">
        <w:rPr>
          <w:rFonts w:eastAsia="Times New Roman"/>
          <w:sz w:val="24"/>
          <w:szCs w:val="20"/>
        </w:rPr>
        <w:t xml:space="preserve">, sociālajiem pabalstiem 5,3 milj. </w:t>
      </w:r>
      <w:r w:rsidR="0006091D" w:rsidRPr="001C1C52">
        <w:rPr>
          <w:rFonts w:eastAsia="Times New Roman"/>
          <w:i/>
          <w:sz w:val="24"/>
        </w:rPr>
        <w:t>euro</w:t>
      </w:r>
      <w:r w:rsidR="0006091D" w:rsidRPr="001C1C52">
        <w:rPr>
          <w:rFonts w:eastAsia="Times New Roman"/>
          <w:sz w:val="24"/>
          <w:szCs w:val="20"/>
        </w:rPr>
        <w:t>.</w:t>
      </w:r>
    </w:p>
    <w:p w14:paraId="64F9C1DD" w14:textId="77777777" w:rsidR="00420A42" w:rsidRPr="00AA0E06" w:rsidRDefault="00420A42" w:rsidP="009115CF">
      <w:pPr>
        <w:rPr>
          <w:rFonts w:eastAsia="Times New Roman"/>
          <w:sz w:val="10"/>
          <w:szCs w:val="20"/>
        </w:rPr>
      </w:pPr>
    </w:p>
    <w:p w14:paraId="5C8F29E1" w14:textId="77777777" w:rsidR="009115CF" w:rsidRPr="00EF354D" w:rsidRDefault="00234FC7" w:rsidP="00EF354D">
      <w:pPr>
        <w:spacing w:after="40"/>
        <w:ind w:firstLine="0"/>
        <w:jc w:val="right"/>
        <w:rPr>
          <w:rFonts w:eastAsia="Times New Roman"/>
          <w:b/>
          <w:sz w:val="20"/>
          <w:szCs w:val="24"/>
        </w:rPr>
      </w:pPr>
      <w:r w:rsidRPr="00EF354D">
        <w:rPr>
          <w:rFonts w:eastAsia="Times New Roman"/>
          <w:b/>
          <w:sz w:val="20"/>
          <w:szCs w:val="24"/>
        </w:rPr>
        <w:t>2.5</w:t>
      </w:r>
      <w:r w:rsidR="009115CF" w:rsidRPr="00EF354D">
        <w:rPr>
          <w:rFonts w:eastAsia="Times New Roman"/>
          <w:b/>
          <w:sz w:val="20"/>
          <w:szCs w:val="24"/>
        </w:rPr>
        <w:t xml:space="preserve">. tabula. Valsts speciālā budžeta izdevumi </w:t>
      </w:r>
      <w:r w:rsidR="00FE6773" w:rsidRPr="00EF354D">
        <w:rPr>
          <w:rFonts w:eastAsia="Times New Roman"/>
          <w:b/>
          <w:sz w:val="20"/>
          <w:szCs w:val="24"/>
        </w:rPr>
        <w:t xml:space="preserve">pēc ekonomiskās klasifikācijas, </w:t>
      </w:r>
      <w:r w:rsidR="009115CF" w:rsidRPr="00EF354D">
        <w:rPr>
          <w:rFonts w:eastAsia="Times New Roman"/>
          <w:b/>
          <w:sz w:val="20"/>
          <w:szCs w:val="24"/>
        </w:rPr>
        <w:t xml:space="preserve">tūkst. </w:t>
      </w:r>
      <w:r w:rsidR="00CC0B9B" w:rsidRPr="00EF354D">
        <w:rPr>
          <w:rFonts w:eastAsia="Times New Roman"/>
          <w:b/>
          <w:sz w:val="20"/>
          <w:szCs w:val="24"/>
        </w:rPr>
        <w:t>euro</w:t>
      </w:r>
    </w:p>
    <w:p w14:paraId="7B467A78" w14:textId="77777777" w:rsidR="00741843" w:rsidRPr="00EF354D" w:rsidRDefault="009115CF" w:rsidP="00EF354D">
      <w:pPr>
        <w:ind w:left="284" w:firstLine="0"/>
        <w:jc w:val="right"/>
        <w:rPr>
          <w:rFonts w:eastAsia="Times New Roman"/>
          <w:sz w:val="20"/>
          <w:szCs w:val="24"/>
        </w:rPr>
      </w:pPr>
      <w:r w:rsidRPr="00EF354D">
        <w:rPr>
          <w:rFonts w:eastAsia="Times New Roman"/>
          <w:sz w:val="20"/>
          <w:szCs w:val="24"/>
        </w:rPr>
        <w:t>(Labklājības ministrijas valsts sociālās apdrošināšanas speciālais budžets)</w:t>
      </w:r>
    </w:p>
    <w:tbl>
      <w:tblPr>
        <w:tblW w:w="9776" w:type="dxa"/>
        <w:jc w:val="center"/>
        <w:tblLayout w:type="fixed"/>
        <w:tblLook w:val="04A0" w:firstRow="1" w:lastRow="0" w:firstColumn="1" w:lastColumn="0" w:noHBand="0" w:noVBand="1"/>
      </w:tblPr>
      <w:tblGrid>
        <w:gridCol w:w="2966"/>
        <w:gridCol w:w="998"/>
        <w:gridCol w:w="993"/>
        <w:gridCol w:w="992"/>
        <w:gridCol w:w="1131"/>
        <w:gridCol w:w="853"/>
        <w:gridCol w:w="992"/>
        <w:gridCol w:w="851"/>
      </w:tblGrid>
      <w:tr w:rsidR="00644E84" w:rsidRPr="00644E84" w14:paraId="100EFD84" w14:textId="77777777" w:rsidTr="00AA0E06">
        <w:trPr>
          <w:trHeight w:val="1183"/>
          <w:tblHeader/>
          <w:jc w:val="center"/>
        </w:trPr>
        <w:tc>
          <w:tcPr>
            <w:tcW w:w="2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556B6" w14:textId="77777777" w:rsidR="00741843" w:rsidRPr="00644E84" w:rsidRDefault="00741843" w:rsidP="00644E84">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 xml:space="preserve">Rādītāji </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686C6D8A" w14:textId="77777777" w:rsidR="00741843" w:rsidRPr="00644E84" w:rsidRDefault="00741843" w:rsidP="00D53758">
            <w:pPr>
              <w:spacing w:after="0"/>
              <w:ind w:firstLine="0"/>
              <w:jc w:val="center"/>
              <w:rPr>
                <w:rFonts w:eastAsia="Times New Roman" w:cs="Times New Roman"/>
                <w:sz w:val="16"/>
                <w:szCs w:val="16"/>
                <w:lang w:eastAsia="lv-LV"/>
              </w:rPr>
            </w:pPr>
            <w:r w:rsidRPr="00644E84">
              <w:rPr>
                <w:rFonts w:eastAsia="Times New Roman" w:cs="Times New Roman"/>
                <w:sz w:val="16"/>
                <w:szCs w:val="16"/>
                <w:lang w:eastAsia="lv-LV"/>
              </w:rPr>
              <w:t>201</w:t>
            </w:r>
            <w:r w:rsidR="00D53758">
              <w:rPr>
                <w:rFonts w:eastAsia="Times New Roman" w:cs="Times New Roman"/>
                <w:sz w:val="16"/>
                <w:szCs w:val="16"/>
                <w:lang w:eastAsia="lv-LV"/>
              </w:rPr>
              <w:t>4</w:t>
            </w:r>
            <w:r w:rsidRPr="00644E84">
              <w:rPr>
                <w:rFonts w:eastAsia="Times New Roman" w:cs="Times New Roman"/>
                <w:sz w:val="16"/>
                <w:szCs w:val="16"/>
                <w:lang w:eastAsia="lv-LV"/>
              </w:rPr>
              <w:t>.gada</w:t>
            </w:r>
            <w:r w:rsidRPr="00644E84">
              <w:rPr>
                <w:rFonts w:eastAsia="Times New Roman" w:cs="Times New Roman"/>
                <w:sz w:val="16"/>
                <w:szCs w:val="16"/>
                <w:lang w:eastAsia="lv-LV"/>
              </w:rPr>
              <w:br/>
              <w:t>3 mēnešu</w:t>
            </w:r>
            <w:r w:rsidRPr="00644E84">
              <w:rPr>
                <w:rFonts w:eastAsia="Times New Roman" w:cs="Times New Roman"/>
                <w:sz w:val="16"/>
                <w:szCs w:val="16"/>
                <w:lang w:eastAsia="lv-LV"/>
              </w:rPr>
              <w:br/>
              <w:t>izpilde</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2B336C7" w14:textId="77777777" w:rsidR="00741843" w:rsidRPr="00644E84" w:rsidRDefault="00741843" w:rsidP="00D53758">
            <w:pPr>
              <w:spacing w:after="0"/>
              <w:ind w:firstLine="0"/>
              <w:jc w:val="center"/>
              <w:rPr>
                <w:rFonts w:eastAsia="Times New Roman" w:cs="Times New Roman"/>
                <w:sz w:val="16"/>
                <w:szCs w:val="16"/>
                <w:lang w:eastAsia="lv-LV"/>
              </w:rPr>
            </w:pPr>
            <w:r w:rsidRPr="00644E84">
              <w:rPr>
                <w:rFonts w:eastAsia="Times New Roman" w:cs="Times New Roman"/>
                <w:sz w:val="16"/>
                <w:szCs w:val="16"/>
                <w:lang w:eastAsia="lv-LV"/>
              </w:rPr>
              <w:t>201</w:t>
            </w:r>
            <w:r w:rsidR="00D53758">
              <w:rPr>
                <w:rFonts w:eastAsia="Times New Roman" w:cs="Times New Roman"/>
                <w:sz w:val="16"/>
                <w:szCs w:val="16"/>
                <w:lang w:eastAsia="lv-LV"/>
              </w:rPr>
              <w:t>5</w:t>
            </w:r>
            <w:r w:rsidRPr="00644E84">
              <w:rPr>
                <w:rFonts w:eastAsia="Times New Roman" w:cs="Times New Roman"/>
                <w:sz w:val="16"/>
                <w:szCs w:val="16"/>
                <w:lang w:eastAsia="lv-LV"/>
              </w:rPr>
              <w:t>.gada</w:t>
            </w:r>
            <w:r w:rsidRPr="00644E84">
              <w:rPr>
                <w:rFonts w:eastAsia="Times New Roman" w:cs="Times New Roman"/>
                <w:sz w:val="16"/>
                <w:szCs w:val="16"/>
                <w:lang w:eastAsia="lv-LV"/>
              </w:rPr>
              <w:br/>
              <w:t>3 mēnešu plāns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0493C7F" w14:textId="77777777" w:rsidR="00741843" w:rsidRPr="00644E84" w:rsidRDefault="00741843" w:rsidP="00D53758">
            <w:pPr>
              <w:spacing w:after="0"/>
              <w:ind w:firstLine="0"/>
              <w:jc w:val="center"/>
              <w:rPr>
                <w:rFonts w:eastAsia="Times New Roman" w:cs="Times New Roman"/>
                <w:sz w:val="16"/>
                <w:szCs w:val="16"/>
                <w:lang w:eastAsia="lv-LV"/>
              </w:rPr>
            </w:pPr>
            <w:r w:rsidRPr="00644E84">
              <w:rPr>
                <w:rFonts w:eastAsia="Times New Roman" w:cs="Times New Roman"/>
                <w:sz w:val="16"/>
                <w:szCs w:val="16"/>
                <w:lang w:eastAsia="lv-LV"/>
              </w:rPr>
              <w:t>201</w:t>
            </w:r>
            <w:r w:rsidR="00D53758">
              <w:rPr>
                <w:rFonts w:eastAsia="Times New Roman" w:cs="Times New Roman"/>
                <w:sz w:val="16"/>
                <w:szCs w:val="16"/>
                <w:lang w:eastAsia="lv-LV"/>
              </w:rPr>
              <w:t>5</w:t>
            </w:r>
            <w:r w:rsidRPr="00644E84">
              <w:rPr>
                <w:rFonts w:eastAsia="Times New Roman" w:cs="Times New Roman"/>
                <w:sz w:val="16"/>
                <w:szCs w:val="16"/>
                <w:lang w:eastAsia="lv-LV"/>
              </w:rPr>
              <w:t>.gada</w:t>
            </w:r>
            <w:r w:rsidRPr="00644E84">
              <w:rPr>
                <w:rFonts w:eastAsia="Times New Roman" w:cs="Times New Roman"/>
                <w:sz w:val="16"/>
                <w:szCs w:val="16"/>
                <w:lang w:eastAsia="lv-LV"/>
              </w:rPr>
              <w:br/>
              <w:t>3 mēnešu</w:t>
            </w:r>
            <w:r w:rsidRPr="00644E84">
              <w:rPr>
                <w:rFonts w:eastAsia="Times New Roman" w:cs="Times New Roman"/>
                <w:sz w:val="16"/>
                <w:szCs w:val="16"/>
                <w:lang w:eastAsia="lv-LV"/>
              </w:rPr>
              <w:br/>
              <w:t>izpilde</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24A2A390" w14:textId="77777777" w:rsidR="00741843" w:rsidRPr="00644E84" w:rsidRDefault="00741843" w:rsidP="00D53758">
            <w:pPr>
              <w:spacing w:after="0"/>
              <w:ind w:firstLine="0"/>
              <w:jc w:val="center"/>
              <w:rPr>
                <w:rFonts w:eastAsia="Times New Roman" w:cs="Times New Roman"/>
                <w:sz w:val="16"/>
                <w:szCs w:val="16"/>
                <w:lang w:eastAsia="lv-LV"/>
              </w:rPr>
            </w:pPr>
            <w:r w:rsidRPr="00644E84">
              <w:rPr>
                <w:rFonts w:eastAsia="Times New Roman" w:cs="Times New Roman"/>
                <w:sz w:val="16"/>
                <w:szCs w:val="16"/>
                <w:lang w:eastAsia="lv-LV"/>
              </w:rPr>
              <w:t>Likumā apstiprinātais 201</w:t>
            </w:r>
            <w:r w:rsidR="00D53758">
              <w:rPr>
                <w:rFonts w:eastAsia="Times New Roman" w:cs="Times New Roman"/>
                <w:sz w:val="16"/>
                <w:szCs w:val="16"/>
                <w:lang w:eastAsia="lv-LV"/>
              </w:rPr>
              <w:t>5</w:t>
            </w:r>
            <w:r w:rsidRPr="00644E84">
              <w:rPr>
                <w:rFonts w:eastAsia="Times New Roman" w:cs="Times New Roman"/>
                <w:sz w:val="16"/>
                <w:szCs w:val="16"/>
                <w:lang w:eastAsia="lv-LV"/>
              </w:rPr>
              <w:t>.gada plāns*</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0E699379" w14:textId="77777777" w:rsidR="00741843" w:rsidRPr="00644E84" w:rsidRDefault="00741843" w:rsidP="0005721C">
            <w:pPr>
              <w:spacing w:after="0"/>
              <w:ind w:left="-108" w:right="-112" w:firstLine="0"/>
              <w:jc w:val="center"/>
              <w:rPr>
                <w:rFonts w:eastAsia="Times New Roman" w:cs="Times New Roman"/>
                <w:sz w:val="16"/>
                <w:szCs w:val="16"/>
                <w:lang w:eastAsia="lv-LV"/>
              </w:rPr>
            </w:pPr>
            <w:r w:rsidRPr="00644E84">
              <w:rPr>
                <w:rFonts w:eastAsia="Times New Roman" w:cs="Times New Roman"/>
                <w:sz w:val="16"/>
                <w:szCs w:val="16"/>
                <w:lang w:eastAsia="lv-LV"/>
              </w:rPr>
              <w:t>201</w:t>
            </w:r>
            <w:r w:rsidR="00D53758">
              <w:rPr>
                <w:rFonts w:eastAsia="Times New Roman" w:cs="Times New Roman"/>
                <w:sz w:val="16"/>
                <w:szCs w:val="16"/>
                <w:lang w:eastAsia="lv-LV"/>
              </w:rPr>
              <w:t>5</w:t>
            </w:r>
            <w:r w:rsidRPr="00644E84">
              <w:rPr>
                <w:rFonts w:eastAsia="Times New Roman" w:cs="Times New Roman"/>
                <w:sz w:val="16"/>
                <w:szCs w:val="16"/>
                <w:lang w:eastAsia="lv-LV"/>
              </w:rPr>
              <w:t>.gada</w:t>
            </w:r>
            <w:r w:rsidRPr="00644E84">
              <w:rPr>
                <w:rFonts w:eastAsia="Times New Roman" w:cs="Times New Roman"/>
                <w:sz w:val="16"/>
                <w:szCs w:val="16"/>
                <w:lang w:eastAsia="lv-LV"/>
              </w:rPr>
              <w:br/>
              <w:t>3 mēnešu</w:t>
            </w:r>
            <w:r w:rsidRPr="00644E84">
              <w:rPr>
                <w:rFonts w:eastAsia="Times New Roman" w:cs="Times New Roman"/>
                <w:sz w:val="16"/>
                <w:szCs w:val="16"/>
                <w:lang w:eastAsia="lv-LV"/>
              </w:rPr>
              <w:br/>
              <w:t>izpilde pret 201</w:t>
            </w:r>
            <w:r w:rsidR="00D53758">
              <w:rPr>
                <w:rFonts w:eastAsia="Times New Roman" w:cs="Times New Roman"/>
                <w:sz w:val="16"/>
                <w:szCs w:val="16"/>
                <w:lang w:eastAsia="lv-LV"/>
              </w:rPr>
              <w:t>4</w:t>
            </w:r>
            <w:r w:rsidR="00C7378A">
              <w:rPr>
                <w:rFonts w:eastAsia="Times New Roman" w:cs="Times New Roman"/>
                <w:sz w:val="16"/>
                <w:szCs w:val="16"/>
                <w:lang w:eastAsia="lv-LV"/>
              </w:rPr>
              <w:t>.gada</w:t>
            </w:r>
            <w:r w:rsidR="00C7378A">
              <w:rPr>
                <w:rFonts w:eastAsia="Times New Roman" w:cs="Times New Roman"/>
                <w:sz w:val="16"/>
                <w:szCs w:val="16"/>
                <w:lang w:eastAsia="lv-LV"/>
              </w:rPr>
              <w:br/>
              <w:t>3 mēnešu</w:t>
            </w:r>
            <w:r w:rsidR="00C7378A">
              <w:rPr>
                <w:rFonts w:eastAsia="Times New Roman" w:cs="Times New Roman"/>
                <w:sz w:val="16"/>
                <w:szCs w:val="16"/>
                <w:lang w:eastAsia="lv-LV"/>
              </w:rPr>
              <w:br/>
              <w:t xml:space="preserve">izpildi </w:t>
            </w:r>
            <w:r w:rsidRPr="00644E84">
              <w:rPr>
                <w:rFonts w:eastAsia="Times New Roman" w:cs="Times New Roman"/>
                <w:sz w:val="16"/>
                <w:szCs w:val="16"/>
                <w:lang w:eastAsia="lv-LV"/>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4B395D" w14:textId="77777777" w:rsidR="00741843" w:rsidRPr="00644E84" w:rsidRDefault="00741843" w:rsidP="0005721C">
            <w:pPr>
              <w:spacing w:after="0"/>
              <w:ind w:left="-108" w:right="-112" w:firstLine="0"/>
              <w:jc w:val="center"/>
              <w:rPr>
                <w:rFonts w:eastAsia="Times New Roman" w:cs="Times New Roman"/>
                <w:sz w:val="16"/>
                <w:szCs w:val="16"/>
                <w:lang w:eastAsia="lv-LV"/>
              </w:rPr>
            </w:pPr>
            <w:r w:rsidRPr="00644E84">
              <w:rPr>
                <w:rFonts w:eastAsia="Times New Roman" w:cs="Times New Roman"/>
                <w:sz w:val="16"/>
                <w:szCs w:val="16"/>
                <w:lang w:eastAsia="lv-LV"/>
              </w:rPr>
              <w:t>201</w:t>
            </w:r>
            <w:r w:rsidR="00D53758">
              <w:rPr>
                <w:rFonts w:eastAsia="Times New Roman" w:cs="Times New Roman"/>
                <w:sz w:val="16"/>
                <w:szCs w:val="16"/>
                <w:lang w:eastAsia="lv-LV"/>
              </w:rPr>
              <w:t>5</w:t>
            </w:r>
            <w:r w:rsidRPr="00644E84">
              <w:rPr>
                <w:rFonts w:eastAsia="Times New Roman" w:cs="Times New Roman"/>
                <w:sz w:val="16"/>
                <w:szCs w:val="16"/>
                <w:lang w:eastAsia="lv-LV"/>
              </w:rPr>
              <w:t>.gada</w:t>
            </w:r>
            <w:r w:rsidRPr="00644E84">
              <w:rPr>
                <w:rFonts w:eastAsia="Times New Roman" w:cs="Times New Roman"/>
                <w:sz w:val="16"/>
                <w:szCs w:val="16"/>
                <w:lang w:eastAsia="lv-LV"/>
              </w:rPr>
              <w:br/>
              <w:t>3 mēnešu</w:t>
            </w:r>
            <w:r w:rsidRPr="00644E84">
              <w:rPr>
                <w:rFonts w:eastAsia="Times New Roman" w:cs="Times New Roman"/>
                <w:sz w:val="16"/>
                <w:szCs w:val="16"/>
                <w:lang w:eastAsia="lv-LV"/>
              </w:rPr>
              <w:br/>
              <w:t>izpilde pret 201</w:t>
            </w:r>
            <w:r w:rsidR="00D53758">
              <w:rPr>
                <w:rFonts w:eastAsia="Times New Roman" w:cs="Times New Roman"/>
                <w:sz w:val="16"/>
                <w:szCs w:val="16"/>
                <w:lang w:eastAsia="lv-LV"/>
              </w:rPr>
              <w:t>5</w:t>
            </w:r>
            <w:r w:rsidRPr="00644E84">
              <w:rPr>
                <w:rFonts w:eastAsia="Times New Roman" w:cs="Times New Roman"/>
                <w:sz w:val="16"/>
                <w:szCs w:val="16"/>
                <w:lang w:eastAsia="lv-LV"/>
              </w:rPr>
              <w:t>.gada</w:t>
            </w:r>
            <w:r w:rsidRPr="00644E84">
              <w:rPr>
                <w:rFonts w:eastAsia="Times New Roman" w:cs="Times New Roman"/>
                <w:sz w:val="16"/>
                <w:szCs w:val="16"/>
                <w:lang w:eastAsia="lv-LV"/>
              </w:rPr>
              <w:br/>
              <w:t>3 mēnešu</w:t>
            </w:r>
            <w:r w:rsidRPr="00644E84">
              <w:rPr>
                <w:rFonts w:eastAsia="Times New Roman" w:cs="Times New Roman"/>
                <w:sz w:val="16"/>
                <w:szCs w:val="16"/>
                <w:lang w:eastAsia="lv-LV"/>
              </w:rPr>
              <w:br/>
              <w:t>plānu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7E4654C" w14:textId="77777777" w:rsidR="00741843" w:rsidRPr="00644E84" w:rsidRDefault="00741843" w:rsidP="0005721C">
            <w:pPr>
              <w:spacing w:after="0"/>
              <w:ind w:left="-108" w:right="-112" w:firstLine="0"/>
              <w:jc w:val="center"/>
              <w:rPr>
                <w:rFonts w:eastAsia="Times New Roman" w:cs="Times New Roman"/>
                <w:sz w:val="16"/>
                <w:szCs w:val="16"/>
                <w:lang w:eastAsia="lv-LV"/>
              </w:rPr>
            </w:pPr>
            <w:r w:rsidRPr="00644E84">
              <w:rPr>
                <w:rFonts w:eastAsia="Times New Roman" w:cs="Times New Roman"/>
                <w:sz w:val="16"/>
                <w:szCs w:val="16"/>
                <w:lang w:eastAsia="lv-LV"/>
              </w:rPr>
              <w:t>201</w:t>
            </w:r>
            <w:r w:rsidR="00D53758">
              <w:rPr>
                <w:rFonts w:eastAsia="Times New Roman" w:cs="Times New Roman"/>
                <w:sz w:val="16"/>
                <w:szCs w:val="16"/>
                <w:lang w:eastAsia="lv-LV"/>
              </w:rPr>
              <w:t>5</w:t>
            </w:r>
            <w:r w:rsidRPr="00644E84">
              <w:rPr>
                <w:rFonts w:eastAsia="Times New Roman" w:cs="Times New Roman"/>
                <w:sz w:val="16"/>
                <w:szCs w:val="16"/>
                <w:lang w:eastAsia="lv-LV"/>
              </w:rPr>
              <w:t>.gada</w:t>
            </w:r>
            <w:r w:rsidRPr="00644E84">
              <w:rPr>
                <w:rFonts w:eastAsia="Times New Roman" w:cs="Times New Roman"/>
                <w:sz w:val="16"/>
                <w:szCs w:val="16"/>
                <w:lang w:eastAsia="lv-LV"/>
              </w:rPr>
              <w:br/>
              <w:t>3 mēnešu</w:t>
            </w:r>
            <w:r w:rsidRPr="00644E84">
              <w:rPr>
                <w:rFonts w:eastAsia="Times New Roman" w:cs="Times New Roman"/>
                <w:sz w:val="16"/>
                <w:szCs w:val="16"/>
                <w:lang w:eastAsia="lv-LV"/>
              </w:rPr>
              <w:br/>
              <w:t>izpilde</w:t>
            </w:r>
            <w:r w:rsidRPr="00644E84">
              <w:rPr>
                <w:rFonts w:eastAsia="Times New Roman" w:cs="Times New Roman"/>
                <w:sz w:val="16"/>
                <w:szCs w:val="16"/>
                <w:lang w:eastAsia="lv-LV"/>
              </w:rPr>
              <w:br/>
              <w:t>no gada *</w:t>
            </w:r>
            <w:r w:rsidRPr="00644E84">
              <w:rPr>
                <w:rFonts w:eastAsia="Times New Roman" w:cs="Times New Roman"/>
                <w:sz w:val="16"/>
                <w:szCs w:val="16"/>
                <w:lang w:eastAsia="lv-LV"/>
              </w:rPr>
              <w:br/>
              <w:t>plāna %</w:t>
            </w:r>
          </w:p>
        </w:tc>
      </w:tr>
      <w:tr w:rsidR="00644E84" w:rsidRPr="00644E84" w14:paraId="0321FF38" w14:textId="77777777" w:rsidTr="00AA0E06">
        <w:trPr>
          <w:trHeight w:val="375"/>
          <w:jc w:val="center"/>
        </w:trPr>
        <w:tc>
          <w:tcPr>
            <w:tcW w:w="2966" w:type="dxa"/>
            <w:tcBorders>
              <w:top w:val="nil"/>
              <w:left w:val="single" w:sz="4" w:space="0" w:color="auto"/>
              <w:bottom w:val="single" w:sz="4" w:space="0" w:color="auto"/>
              <w:right w:val="single" w:sz="4" w:space="0" w:color="auto"/>
            </w:tcBorders>
            <w:shd w:val="clear" w:color="auto" w:fill="auto"/>
            <w:hideMark/>
          </w:tcPr>
          <w:p w14:paraId="2A206089" w14:textId="77777777" w:rsidR="00741843" w:rsidRPr="00644E84" w:rsidRDefault="00741843" w:rsidP="00B87545">
            <w:pPr>
              <w:spacing w:after="0"/>
              <w:ind w:firstLine="0"/>
              <w:jc w:val="left"/>
              <w:rPr>
                <w:rFonts w:eastAsia="Times New Roman" w:cs="Times New Roman"/>
                <w:b/>
                <w:bCs/>
                <w:sz w:val="20"/>
                <w:szCs w:val="20"/>
                <w:lang w:eastAsia="lv-LV"/>
              </w:rPr>
            </w:pPr>
            <w:r w:rsidRPr="00644E84">
              <w:rPr>
                <w:rFonts w:eastAsia="Times New Roman"/>
                <w:b/>
                <w:snapToGrid w:val="0"/>
                <w:sz w:val="20"/>
                <w:szCs w:val="20"/>
              </w:rPr>
              <w:t>1. Izdevumi — kopā (1.1.+1.2.)</w:t>
            </w:r>
          </w:p>
        </w:tc>
        <w:tc>
          <w:tcPr>
            <w:tcW w:w="998" w:type="dxa"/>
            <w:tcBorders>
              <w:top w:val="nil"/>
              <w:left w:val="nil"/>
              <w:bottom w:val="single" w:sz="4" w:space="0" w:color="auto"/>
              <w:right w:val="single" w:sz="4" w:space="0" w:color="auto"/>
            </w:tcBorders>
            <w:shd w:val="clear" w:color="auto" w:fill="auto"/>
            <w:noWrap/>
            <w:hideMark/>
          </w:tcPr>
          <w:p w14:paraId="3724285C" w14:textId="77777777" w:rsidR="00741843" w:rsidRPr="00644E84" w:rsidRDefault="001632F0"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490 641</w:t>
            </w:r>
          </w:p>
        </w:tc>
        <w:tc>
          <w:tcPr>
            <w:tcW w:w="993" w:type="dxa"/>
            <w:tcBorders>
              <w:top w:val="nil"/>
              <w:left w:val="nil"/>
              <w:bottom w:val="single" w:sz="4" w:space="0" w:color="auto"/>
              <w:right w:val="single" w:sz="4" w:space="0" w:color="auto"/>
            </w:tcBorders>
            <w:shd w:val="clear" w:color="auto" w:fill="auto"/>
            <w:noWrap/>
            <w:hideMark/>
          </w:tcPr>
          <w:p w14:paraId="012D1AEE"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557 67</w:t>
            </w:r>
            <w:r w:rsidR="001632F0">
              <w:rPr>
                <w:rFonts w:eastAsia="Times New Roman" w:cs="Times New Roman"/>
                <w:b/>
                <w:sz w:val="20"/>
                <w:szCs w:val="20"/>
                <w:lang w:eastAsia="lv-LV"/>
              </w:rPr>
              <w:t>0</w:t>
            </w:r>
          </w:p>
        </w:tc>
        <w:tc>
          <w:tcPr>
            <w:tcW w:w="992" w:type="dxa"/>
            <w:tcBorders>
              <w:top w:val="nil"/>
              <w:left w:val="nil"/>
              <w:bottom w:val="single" w:sz="4" w:space="0" w:color="auto"/>
              <w:right w:val="single" w:sz="4" w:space="0" w:color="auto"/>
            </w:tcBorders>
            <w:shd w:val="clear" w:color="auto" w:fill="auto"/>
            <w:noWrap/>
            <w:hideMark/>
          </w:tcPr>
          <w:p w14:paraId="3A6ED735"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552 29</w:t>
            </w:r>
            <w:r w:rsidR="001632F0">
              <w:rPr>
                <w:rFonts w:eastAsia="Times New Roman" w:cs="Times New Roman"/>
                <w:b/>
                <w:sz w:val="20"/>
                <w:szCs w:val="20"/>
                <w:lang w:eastAsia="lv-LV"/>
              </w:rPr>
              <w:t>0</w:t>
            </w:r>
          </w:p>
        </w:tc>
        <w:tc>
          <w:tcPr>
            <w:tcW w:w="1131" w:type="dxa"/>
            <w:tcBorders>
              <w:top w:val="nil"/>
              <w:left w:val="nil"/>
              <w:bottom w:val="single" w:sz="4" w:space="0" w:color="auto"/>
              <w:right w:val="single" w:sz="4" w:space="0" w:color="auto"/>
            </w:tcBorders>
            <w:shd w:val="clear" w:color="auto" w:fill="auto"/>
            <w:noWrap/>
            <w:hideMark/>
          </w:tcPr>
          <w:p w14:paraId="4942CF51"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2 147 039</w:t>
            </w:r>
          </w:p>
        </w:tc>
        <w:tc>
          <w:tcPr>
            <w:tcW w:w="853" w:type="dxa"/>
            <w:tcBorders>
              <w:top w:val="nil"/>
              <w:left w:val="nil"/>
              <w:bottom w:val="single" w:sz="4" w:space="0" w:color="auto"/>
              <w:right w:val="single" w:sz="4" w:space="0" w:color="auto"/>
            </w:tcBorders>
            <w:shd w:val="clear" w:color="auto" w:fill="auto"/>
            <w:noWrap/>
            <w:hideMark/>
          </w:tcPr>
          <w:p w14:paraId="23182B2C" w14:textId="77777777" w:rsidR="00741843" w:rsidRPr="00644E84" w:rsidRDefault="00D53758"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112,6</w:t>
            </w:r>
          </w:p>
        </w:tc>
        <w:tc>
          <w:tcPr>
            <w:tcW w:w="992" w:type="dxa"/>
            <w:tcBorders>
              <w:top w:val="nil"/>
              <w:left w:val="nil"/>
              <w:bottom w:val="single" w:sz="4" w:space="0" w:color="auto"/>
              <w:right w:val="single" w:sz="4" w:space="0" w:color="auto"/>
            </w:tcBorders>
            <w:shd w:val="clear" w:color="auto" w:fill="auto"/>
            <w:noWrap/>
            <w:hideMark/>
          </w:tcPr>
          <w:p w14:paraId="713CFB2B" w14:textId="77777777" w:rsidR="00741843" w:rsidRPr="00644E84" w:rsidRDefault="00D53758"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99,0</w:t>
            </w:r>
          </w:p>
        </w:tc>
        <w:tc>
          <w:tcPr>
            <w:tcW w:w="851" w:type="dxa"/>
            <w:tcBorders>
              <w:top w:val="nil"/>
              <w:left w:val="nil"/>
              <w:bottom w:val="single" w:sz="4" w:space="0" w:color="auto"/>
              <w:right w:val="single" w:sz="4" w:space="0" w:color="auto"/>
            </w:tcBorders>
            <w:shd w:val="clear" w:color="auto" w:fill="auto"/>
            <w:noWrap/>
            <w:hideMark/>
          </w:tcPr>
          <w:p w14:paraId="4B7C85B3" w14:textId="77777777" w:rsidR="00741843" w:rsidRPr="00644E84" w:rsidRDefault="00D53758"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25,7</w:t>
            </w:r>
          </w:p>
        </w:tc>
      </w:tr>
      <w:tr w:rsidR="00644E84" w:rsidRPr="00644E84" w14:paraId="1D60C94C" w14:textId="77777777" w:rsidTr="00AA0E06">
        <w:trPr>
          <w:trHeight w:val="171"/>
          <w:jc w:val="center"/>
        </w:trPr>
        <w:tc>
          <w:tcPr>
            <w:tcW w:w="2966" w:type="dxa"/>
            <w:tcBorders>
              <w:top w:val="nil"/>
              <w:left w:val="single" w:sz="4" w:space="0" w:color="auto"/>
              <w:bottom w:val="single" w:sz="4" w:space="0" w:color="auto"/>
              <w:right w:val="single" w:sz="4" w:space="0" w:color="auto"/>
            </w:tcBorders>
            <w:shd w:val="clear" w:color="auto" w:fill="auto"/>
            <w:hideMark/>
          </w:tcPr>
          <w:p w14:paraId="4A48BCFE" w14:textId="77777777" w:rsidR="00741843" w:rsidRPr="00644E84" w:rsidRDefault="00741843" w:rsidP="00B87545">
            <w:pPr>
              <w:spacing w:after="0"/>
              <w:ind w:firstLine="0"/>
              <w:jc w:val="left"/>
              <w:rPr>
                <w:rFonts w:eastAsia="Times New Roman" w:cs="Times New Roman"/>
                <w:b/>
                <w:sz w:val="20"/>
                <w:szCs w:val="20"/>
                <w:lang w:eastAsia="lv-LV"/>
              </w:rPr>
            </w:pPr>
            <w:r w:rsidRPr="00644E84">
              <w:rPr>
                <w:rFonts w:eastAsia="Times New Roman" w:cs="Times New Roman"/>
                <w:b/>
                <w:sz w:val="20"/>
                <w:szCs w:val="20"/>
                <w:lang w:eastAsia="lv-LV"/>
              </w:rPr>
              <w:t>1.1. Uzturēšanas izdevumi</w:t>
            </w:r>
          </w:p>
        </w:tc>
        <w:tc>
          <w:tcPr>
            <w:tcW w:w="998" w:type="dxa"/>
            <w:tcBorders>
              <w:top w:val="nil"/>
              <w:left w:val="nil"/>
              <w:bottom w:val="single" w:sz="4" w:space="0" w:color="auto"/>
              <w:right w:val="single" w:sz="4" w:space="0" w:color="auto"/>
            </w:tcBorders>
            <w:shd w:val="clear" w:color="auto" w:fill="auto"/>
            <w:noWrap/>
            <w:hideMark/>
          </w:tcPr>
          <w:p w14:paraId="63873836"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490 465</w:t>
            </w:r>
          </w:p>
        </w:tc>
        <w:tc>
          <w:tcPr>
            <w:tcW w:w="993" w:type="dxa"/>
            <w:tcBorders>
              <w:top w:val="nil"/>
              <w:left w:val="nil"/>
              <w:bottom w:val="single" w:sz="4" w:space="0" w:color="auto"/>
              <w:right w:val="single" w:sz="4" w:space="0" w:color="auto"/>
            </w:tcBorders>
            <w:shd w:val="clear" w:color="auto" w:fill="auto"/>
            <w:noWrap/>
            <w:hideMark/>
          </w:tcPr>
          <w:p w14:paraId="55845B96"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557 564</w:t>
            </w:r>
          </w:p>
        </w:tc>
        <w:tc>
          <w:tcPr>
            <w:tcW w:w="992" w:type="dxa"/>
            <w:tcBorders>
              <w:top w:val="nil"/>
              <w:left w:val="nil"/>
              <w:bottom w:val="single" w:sz="4" w:space="0" w:color="auto"/>
              <w:right w:val="single" w:sz="4" w:space="0" w:color="auto"/>
            </w:tcBorders>
            <w:shd w:val="clear" w:color="auto" w:fill="auto"/>
            <w:noWrap/>
            <w:hideMark/>
          </w:tcPr>
          <w:p w14:paraId="51BA7FE1"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552 184</w:t>
            </w:r>
          </w:p>
        </w:tc>
        <w:tc>
          <w:tcPr>
            <w:tcW w:w="1131" w:type="dxa"/>
            <w:tcBorders>
              <w:top w:val="nil"/>
              <w:left w:val="nil"/>
              <w:bottom w:val="single" w:sz="4" w:space="0" w:color="auto"/>
              <w:right w:val="single" w:sz="4" w:space="0" w:color="auto"/>
            </w:tcBorders>
            <w:shd w:val="clear" w:color="auto" w:fill="auto"/>
            <w:noWrap/>
            <w:hideMark/>
          </w:tcPr>
          <w:p w14:paraId="7AC8B446"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2 146 227</w:t>
            </w:r>
          </w:p>
        </w:tc>
        <w:tc>
          <w:tcPr>
            <w:tcW w:w="853" w:type="dxa"/>
            <w:tcBorders>
              <w:top w:val="nil"/>
              <w:left w:val="nil"/>
              <w:bottom w:val="single" w:sz="4" w:space="0" w:color="auto"/>
              <w:right w:val="single" w:sz="4" w:space="0" w:color="auto"/>
            </w:tcBorders>
            <w:shd w:val="clear" w:color="auto" w:fill="auto"/>
            <w:noWrap/>
            <w:hideMark/>
          </w:tcPr>
          <w:p w14:paraId="00B8E3F5" w14:textId="77777777" w:rsidR="00741843" w:rsidRPr="00644E84" w:rsidRDefault="00D53758"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112,6</w:t>
            </w:r>
          </w:p>
        </w:tc>
        <w:tc>
          <w:tcPr>
            <w:tcW w:w="992" w:type="dxa"/>
            <w:tcBorders>
              <w:top w:val="nil"/>
              <w:left w:val="nil"/>
              <w:bottom w:val="single" w:sz="4" w:space="0" w:color="auto"/>
              <w:right w:val="single" w:sz="4" w:space="0" w:color="auto"/>
            </w:tcBorders>
            <w:shd w:val="clear" w:color="auto" w:fill="auto"/>
            <w:noWrap/>
            <w:hideMark/>
          </w:tcPr>
          <w:p w14:paraId="500DF1AA" w14:textId="77777777" w:rsidR="00741843" w:rsidRPr="00644E84" w:rsidRDefault="00D53758"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99,0</w:t>
            </w:r>
          </w:p>
        </w:tc>
        <w:tc>
          <w:tcPr>
            <w:tcW w:w="851" w:type="dxa"/>
            <w:tcBorders>
              <w:top w:val="nil"/>
              <w:left w:val="nil"/>
              <w:bottom w:val="single" w:sz="4" w:space="0" w:color="auto"/>
              <w:right w:val="single" w:sz="4" w:space="0" w:color="auto"/>
            </w:tcBorders>
            <w:shd w:val="clear" w:color="auto" w:fill="auto"/>
            <w:noWrap/>
            <w:hideMark/>
          </w:tcPr>
          <w:p w14:paraId="41FCE16C" w14:textId="77777777" w:rsidR="00741843" w:rsidRPr="00644E84" w:rsidRDefault="00D53758"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25,7</w:t>
            </w:r>
          </w:p>
        </w:tc>
      </w:tr>
      <w:tr w:rsidR="00644E84" w:rsidRPr="00644E84" w14:paraId="4DF6AC65" w14:textId="77777777" w:rsidTr="00AA0E06">
        <w:trPr>
          <w:trHeight w:val="217"/>
          <w:jc w:val="center"/>
        </w:trPr>
        <w:tc>
          <w:tcPr>
            <w:tcW w:w="2966" w:type="dxa"/>
            <w:tcBorders>
              <w:top w:val="single" w:sz="4" w:space="0" w:color="auto"/>
              <w:left w:val="single" w:sz="4" w:space="0" w:color="auto"/>
              <w:right w:val="single" w:sz="4" w:space="0" w:color="auto"/>
            </w:tcBorders>
            <w:shd w:val="clear" w:color="auto" w:fill="auto"/>
            <w:hideMark/>
          </w:tcPr>
          <w:p w14:paraId="25173304" w14:textId="77777777" w:rsidR="00741843" w:rsidRPr="00644E84" w:rsidRDefault="00741843" w:rsidP="00B87545">
            <w:pPr>
              <w:spacing w:after="0"/>
              <w:ind w:firstLine="0"/>
              <w:jc w:val="left"/>
              <w:rPr>
                <w:rFonts w:eastAsia="Times New Roman" w:cs="Times New Roman"/>
                <w:b/>
                <w:sz w:val="20"/>
                <w:szCs w:val="20"/>
                <w:lang w:eastAsia="lv-LV"/>
              </w:rPr>
            </w:pPr>
            <w:r w:rsidRPr="00644E84">
              <w:rPr>
                <w:rFonts w:eastAsia="Times New Roman" w:cs="Times New Roman"/>
                <w:b/>
                <w:sz w:val="20"/>
                <w:szCs w:val="20"/>
                <w:lang w:eastAsia="lv-LV"/>
              </w:rPr>
              <w:t>Kārtējie izdevumi</w:t>
            </w:r>
          </w:p>
        </w:tc>
        <w:tc>
          <w:tcPr>
            <w:tcW w:w="998" w:type="dxa"/>
            <w:tcBorders>
              <w:top w:val="single" w:sz="4" w:space="0" w:color="auto"/>
              <w:left w:val="nil"/>
              <w:right w:val="single" w:sz="4" w:space="0" w:color="auto"/>
            </w:tcBorders>
            <w:shd w:val="clear" w:color="auto" w:fill="auto"/>
            <w:noWrap/>
            <w:hideMark/>
          </w:tcPr>
          <w:p w14:paraId="060CE218"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2 940</w:t>
            </w:r>
          </w:p>
        </w:tc>
        <w:tc>
          <w:tcPr>
            <w:tcW w:w="993" w:type="dxa"/>
            <w:tcBorders>
              <w:top w:val="single" w:sz="4" w:space="0" w:color="auto"/>
              <w:left w:val="nil"/>
              <w:right w:val="single" w:sz="4" w:space="0" w:color="auto"/>
            </w:tcBorders>
            <w:shd w:val="clear" w:color="auto" w:fill="auto"/>
            <w:noWrap/>
            <w:hideMark/>
          </w:tcPr>
          <w:p w14:paraId="374A6AB1"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3 065</w:t>
            </w:r>
          </w:p>
        </w:tc>
        <w:tc>
          <w:tcPr>
            <w:tcW w:w="992" w:type="dxa"/>
            <w:tcBorders>
              <w:top w:val="single" w:sz="4" w:space="0" w:color="auto"/>
              <w:left w:val="nil"/>
              <w:right w:val="single" w:sz="4" w:space="0" w:color="auto"/>
            </w:tcBorders>
            <w:shd w:val="clear" w:color="auto" w:fill="auto"/>
            <w:noWrap/>
            <w:hideMark/>
          </w:tcPr>
          <w:p w14:paraId="3CEBD614"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3 055</w:t>
            </w:r>
          </w:p>
        </w:tc>
        <w:tc>
          <w:tcPr>
            <w:tcW w:w="1131" w:type="dxa"/>
            <w:tcBorders>
              <w:top w:val="single" w:sz="4" w:space="0" w:color="auto"/>
              <w:left w:val="nil"/>
              <w:right w:val="single" w:sz="4" w:space="0" w:color="auto"/>
            </w:tcBorders>
            <w:shd w:val="clear" w:color="auto" w:fill="auto"/>
            <w:noWrap/>
            <w:hideMark/>
          </w:tcPr>
          <w:p w14:paraId="3E808592" w14:textId="77777777" w:rsidR="00741843" w:rsidRPr="00644E84" w:rsidRDefault="00D53758"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14 13</w:t>
            </w:r>
            <w:r w:rsidR="001632F0">
              <w:rPr>
                <w:rFonts w:eastAsia="Times New Roman" w:cs="Times New Roman"/>
                <w:b/>
                <w:sz w:val="20"/>
                <w:szCs w:val="20"/>
                <w:lang w:eastAsia="lv-LV"/>
              </w:rPr>
              <w:t>7</w:t>
            </w:r>
          </w:p>
        </w:tc>
        <w:tc>
          <w:tcPr>
            <w:tcW w:w="853" w:type="dxa"/>
            <w:tcBorders>
              <w:top w:val="single" w:sz="4" w:space="0" w:color="auto"/>
              <w:left w:val="nil"/>
              <w:right w:val="single" w:sz="4" w:space="0" w:color="auto"/>
            </w:tcBorders>
            <w:shd w:val="clear" w:color="auto" w:fill="auto"/>
            <w:noWrap/>
            <w:hideMark/>
          </w:tcPr>
          <w:p w14:paraId="639116BE" w14:textId="77777777" w:rsidR="00741843" w:rsidRPr="00644E84" w:rsidRDefault="00D53758"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103,9</w:t>
            </w:r>
          </w:p>
        </w:tc>
        <w:tc>
          <w:tcPr>
            <w:tcW w:w="992" w:type="dxa"/>
            <w:tcBorders>
              <w:top w:val="single" w:sz="4" w:space="0" w:color="auto"/>
              <w:left w:val="nil"/>
              <w:right w:val="single" w:sz="4" w:space="0" w:color="auto"/>
            </w:tcBorders>
            <w:shd w:val="clear" w:color="auto" w:fill="auto"/>
            <w:noWrap/>
            <w:hideMark/>
          </w:tcPr>
          <w:p w14:paraId="502255A8" w14:textId="77777777" w:rsidR="00741843" w:rsidRPr="00644E84" w:rsidRDefault="00D53758"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99,7</w:t>
            </w:r>
          </w:p>
        </w:tc>
        <w:tc>
          <w:tcPr>
            <w:tcW w:w="851" w:type="dxa"/>
            <w:tcBorders>
              <w:top w:val="single" w:sz="4" w:space="0" w:color="auto"/>
              <w:left w:val="nil"/>
              <w:right w:val="single" w:sz="4" w:space="0" w:color="auto"/>
            </w:tcBorders>
            <w:shd w:val="clear" w:color="auto" w:fill="auto"/>
            <w:noWrap/>
            <w:hideMark/>
          </w:tcPr>
          <w:p w14:paraId="503CF7AE" w14:textId="77777777" w:rsidR="00741843" w:rsidRPr="00644E84" w:rsidRDefault="006916C1"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21,6</w:t>
            </w:r>
          </w:p>
        </w:tc>
      </w:tr>
      <w:tr w:rsidR="00644E84" w:rsidRPr="00644E84" w14:paraId="011245F8" w14:textId="77777777" w:rsidTr="00AA0E06">
        <w:trPr>
          <w:trHeight w:val="138"/>
          <w:jc w:val="center"/>
        </w:trPr>
        <w:tc>
          <w:tcPr>
            <w:tcW w:w="2966" w:type="dxa"/>
            <w:tcBorders>
              <w:top w:val="nil"/>
              <w:left w:val="single" w:sz="4" w:space="0" w:color="auto"/>
              <w:right w:val="single" w:sz="4" w:space="0" w:color="auto"/>
            </w:tcBorders>
            <w:shd w:val="clear" w:color="auto" w:fill="auto"/>
            <w:hideMark/>
          </w:tcPr>
          <w:p w14:paraId="0B4084E6" w14:textId="77777777" w:rsidR="00741843" w:rsidRPr="00644E84" w:rsidRDefault="00741843" w:rsidP="00B87545">
            <w:pPr>
              <w:spacing w:after="0"/>
              <w:ind w:firstLine="0"/>
              <w:jc w:val="left"/>
              <w:rPr>
                <w:rFonts w:eastAsia="Times New Roman" w:cs="Times New Roman"/>
                <w:sz w:val="20"/>
                <w:szCs w:val="20"/>
                <w:lang w:eastAsia="lv-LV"/>
              </w:rPr>
            </w:pPr>
            <w:r w:rsidRPr="00644E84">
              <w:rPr>
                <w:rFonts w:eastAsia="Times New Roman" w:cs="Times New Roman"/>
                <w:sz w:val="20"/>
                <w:szCs w:val="20"/>
                <w:lang w:eastAsia="lv-LV"/>
              </w:rPr>
              <w:t>Atlīdzība</w:t>
            </w:r>
          </w:p>
        </w:tc>
        <w:tc>
          <w:tcPr>
            <w:tcW w:w="998" w:type="dxa"/>
            <w:tcBorders>
              <w:top w:val="nil"/>
              <w:left w:val="nil"/>
              <w:right w:val="single" w:sz="4" w:space="0" w:color="auto"/>
            </w:tcBorders>
            <w:shd w:val="clear" w:color="auto" w:fill="auto"/>
            <w:noWrap/>
            <w:hideMark/>
          </w:tcPr>
          <w:p w14:paraId="453715BD"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2 08</w:t>
            </w:r>
            <w:r w:rsidR="001632F0">
              <w:rPr>
                <w:rFonts w:eastAsia="Times New Roman" w:cs="Times New Roman"/>
                <w:sz w:val="20"/>
                <w:szCs w:val="20"/>
                <w:lang w:eastAsia="lv-LV"/>
              </w:rPr>
              <w:t>1</w:t>
            </w:r>
          </w:p>
        </w:tc>
        <w:tc>
          <w:tcPr>
            <w:tcW w:w="993" w:type="dxa"/>
            <w:tcBorders>
              <w:top w:val="nil"/>
              <w:left w:val="nil"/>
              <w:right w:val="single" w:sz="4" w:space="0" w:color="auto"/>
            </w:tcBorders>
            <w:shd w:val="clear" w:color="auto" w:fill="auto"/>
            <w:noWrap/>
            <w:hideMark/>
          </w:tcPr>
          <w:p w14:paraId="6D49D79D"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2 264</w:t>
            </w:r>
          </w:p>
        </w:tc>
        <w:tc>
          <w:tcPr>
            <w:tcW w:w="992" w:type="dxa"/>
            <w:tcBorders>
              <w:top w:val="nil"/>
              <w:left w:val="nil"/>
              <w:right w:val="single" w:sz="4" w:space="0" w:color="auto"/>
            </w:tcBorders>
            <w:shd w:val="clear" w:color="auto" w:fill="auto"/>
            <w:noWrap/>
            <w:hideMark/>
          </w:tcPr>
          <w:p w14:paraId="44E187B6"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2 258</w:t>
            </w:r>
          </w:p>
        </w:tc>
        <w:tc>
          <w:tcPr>
            <w:tcW w:w="1131" w:type="dxa"/>
            <w:tcBorders>
              <w:top w:val="nil"/>
              <w:left w:val="nil"/>
              <w:right w:val="single" w:sz="4" w:space="0" w:color="auto"/>
            </w:tcBorders>
            <w:shd w:val="clear" w:color="auto" w:fill="auto"/>
            <w:noWrap/>
            <w:hideMark/>
          </w:tcPr>
          <w:p w14:paraId="1B203DB1"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10 630</w:t>
            </w:r>
          </w:p>
        </w:tc>
        <w:tc>
          <w:tcPr>
            <w:tcW w:w="853" w:type="dxa"/>
            <w:tcBorders>
              <w:top w:val="nil"/>
              <w:left w:val="nil"/>
              <w:right w:val="single" w:sz="4" w:space="0" w:color="auto"/>
            </w:tcBorders>
            <w:shd w:val="clear" w:color="auto" w:fill="auto"/>
            <w:noWrap/>
            <w:hideMark/>
          </w:tcPr>
          <w:p w14:paraId="3EEB6A58" w14:textId="77777777" w:rsidR="00741843" w:rsidRPr="00644E84" w:rsidRDefault="006916C1" w:rsidP="00B87545">
            <w:pPr>
              <w:spacing w:after="0"/>
              <w:ind w:firstLine="0"/>
              <w:jc w:val="center"/>
              <w:rPr>
                <w:rFonts w:eastAsia="Times New Roman" w:cs="Times New Roman"/>
                <w:sz w:val="20"/>
                <w:szCs w:val="20"/>
                <w:lang w:eastAsia="lv-LV"/>
              </w:rPr>
            </w:pPr>
            <w:r>
              <w:rPr>
                <w:rFonts w:eastAsia="Times New Roman" w:cs="Times New Roman"/>
                <w:sz w:val="20"/>
                <w:szCs w:val="20"/>
                <w:lang w:eastAsia="lv-LV"/>
              </w:rPr>
              <w:t>108,5</w:t>
            </w:r>
          </w:p>
        </w:tc>
        <w:tc>
          <w:tcPr>
            <w:tcW w:w="992" w:type="dxa"/>
            <w:tcBorders>
              <w:top w:val="nil"/>
              <w:left w:val="nil"/>
              <w:right w:val="single" w:sz="4" w:space="0" w:color="auto"/>
            </w:tcBorders>
            <w:shd w:val="clear" w:color="auto" w:fill="auto"/>
            <w:noWrap/>
            <w:hideMark/>
          </w:tcPr>
          <w:p w14:paraId="685B90E7" w14:textId="77777777" w:rsidR="00741843" w:rsidRPr="00644E84" w:rsidRDefault="006916C1" w:rsidP="00B87545">
            <w:pPr>
              <w:spacing w:after="0"/>
              <w:ind w:firstLine="0"/>
              <w:jc w:val="center"/>
              <w:rPr>
                <w:rFonts w:eastAsia="Times New Roman" w:cs="Times New Roman"/>
                <w:sz w:val="20"/>
                <w:szCs w:val="20"/>
                <w:lang w:eastAsia="lv-LV"/>
              </w:rPr>
            </w:pPr>
            <w:r>
              <w:rPr>
                <w:rFonts w:eastAsia="Times New Roman" w:cs="Times New Roman"/>
                <w:sz w:val="20"/>
                <w:szCs w:val="20"/>
                <w:lang w:eastAsia="lv-LV"/>
              </w:rPr>
              <w:t>99,7</w:t>
            </w:r>
          </w:p>
        </w:tc>
        <w:tc>
          <w:tcPr>
            <w:tcW w:w="851" w:type="dxa"/>
            <w:tcBorders>
              <w:top w:val="nil"/>
              <w:left w:val="nil"/>
              <w:right w:val="single" w:sz="4" w:space="0" w:color="auto"/>
            </w:tcBorders>
            <w:shd w:val="clear" w:color="auto" w:fill="auto"/>
            <w:noWrap/>
            <w:hideMark/>
          </w:tcPr>
          <w:p w14:paraId="1BD2CD14" w14:textId="77777777" w:rsidR="00741843" w:rsidRPr="00644E84" w:rsidRDefault="006916C1" w:rsidP="00B87545">
            <w:pPr>
              <w:spacing w:after="0"/>
              <w:ind w:firstLine="0"/>
              <w:jc w:val="center"/>
              <w:rPr>
                <w:rFonts w:eastAsia="Times New Roman" w:cs="Times New Roman"/>
                <w:sz w:val="20"/>
                <w:szCs w:val="20"/>
                <w:lang w:eastAsia="lv-LV"/>
              </w:rPr>
            </w:pPr>
            <w:r>
              <w:rPr>
                <w:rFonts w:eastAsia="Times New Roman" w:cs="Times New Roman"/>
                <w:sz w:val="20"/>
                <w:szCs w:val="20"/>
                <w:lang w:eastAsia="lv-LV"/>
              </w:rPr>
              <w:t>21,2</w:t>
            </w:r>
          </w:p>
        </w:tc>
      </w:tr>
      <w:tr w:rsidR="00644E84" w:rsidRPr="00644E84" w14:paraId="06367B94" w14:textId="77777777" w:rsidTr="00AA0E06">
        <w:trPr>
          <w:trHeight w:val="264"/>
          <w:jc w:val="center"/>
        </w:trPr>
        <w:tc>
          <w:tcPr>
            <w:tcW w:w="2966" w:type="dxa"/>
            <w:tcBorders>
              <w:top w:val="nil"/>
              <w:left w:val="single" w:sz="4" w:space="0" w:color="auto"/>
              <w:right w:val="single" w:sz="4" w:space="0" w:color="auto"/>
            </w:tcBorders>
            <w:shd w:val="clear" w:color="auto" w:fill="auto"/>
            <w:hideMark/>
          </w:tcPr>
          <w:p w14:paraId="3512FC6F" w14:textId="77777777" w:rsidR="00741843" w:rsidRPr="00644E84" w:rsidRDefault="00644E84" w:rsidP="00B87545">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00741843" w:rsidRPr="00644E84">
              <w:rPr>
                <w:rFonts w:eastAsia="Times New Roman" w:cs="Times New Roman"/>
                <w:i/>
                <w:sz w:val="20"/>
                <w:szCs w:val="20"/>
                <w:lang w:eastAsia="lv-LV"/>
              </w:rPr>
              <w:t>Atalgojums</w:t>
            </w:r>
          </w:p>
        </w:tc>
        <w:tc>
          <w:tcPr>
            <w:tcW w:w="998" w:type="dxa"/>
            <w:tcBorders>
              <w:top w:val="nil"/>
              <w:left w:val="nil"/>
              <w:right w:val="single" w:sz="4" w:space="0" w:color="auto"/>
            </w:tcBorders>
            <w:shd w:val="clear" w:color="auto" w:fill="auto"/>
            <w:noWrap/>
            <w:hideMark/>
          </w:tcPr>
          <w:p w14:paraId="346AF0CA"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1 606</w:t>
            </w:r>
          </w:p>
        </w:tc>
        <w:tc>
          <w:tcPr>
            <w:tcW w:w="993" w:type="dxa"/>
            <w:tcBorders>
              <w:top w:val="nil"/>
              <w:left w:val="nil"/>
              <w:right w:val="single" w:sz="4" w:space="0" w:color="auto"/>
            </w:tcBorders>
            <w:shd w:val="clear" w:color="auto" w:fill="auto"/>
            <w:noWrap/>
            <w:hideMark/>
          </w:tcPr>
          <w:p w14:paraId="05A438C9"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1 780</w:t>
            </w:r>
          </w:p>
        </w:tc>
        <w:tc>
          <w:tcPr>
            <w:tcW w:w="992" w:type="dxa"/>
            <w:tcBorders>
              <w:top w:val="nil"/>
              <w:left w:val="nil"/>
              <w:right w:val="single" w:sz="4" w:space="0" w:color="auto"/>
            </w:tcBorders>
            <w:shd w:val="clear" w:color="auto" w:fill="auto"/>
            <w:noWrap/>
            <w:hideMark/>
          </w:tcPr>
          <w:p w14:paraId="0823261E"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1 77</w:t>
            </w:r>
            <w:r w:rsidR="001632F0">
              <w:rPr>
                <w:rFonts w:eastAsia="Times New Roman" w:cs="Times New Roman"/>
                <w:i/>
                <w:sz w:val="20"/>
                <w:szCs w:val="20"/>
                <w:lang w:eastAsia="lv-LV"/>
              </w:rPr>
              <w:t>5</w:t>
            </w:r>
          </w:p>
        </w:tc>
        <w:tc>
          <w:tcPr>
            <w:tcW w:w="1131" w:type="dxa"/>
            <w:tcBorders>
              <w:top w:val="nil"/>
              <w:left w:val="nil"/>
              <w:right w:val="single" w:sz="4" w:space="0" w:color="auto"/>
            </w:tcBorders>
            <w:shd w:val="clear" w:color="auto" w:fill="auto"/>
            <w:noWrap/>
            <w:hideMark/>
          </w:tcPr>
          <w:p w14:paraId="4779F360"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8 503</w:t>
            </w:r>
          </w:p>
        </w:tc>
        <w:tc>
          <w:tcPr>
            <w:tcW w:w="853" w:type="dxa"/>
            <w:tcBorders>
              <w:top w:val="nil"/>
              <w:left w:val="nil"/>
              <w:right w:val="single" w:sz="4" w:space="0" w:color="auto"/>
            </w:tcBorders>
            <w:shd w:val="clear" w:color="auto" w:fill="auto"/>
            <w:noWrap/>
            <w:hideMark/>
          </w:tcPr>
          <w:p w14:paraId="2C7A7AFD" w14:textId="77777777" w:rsidR="00741843" w:rsidRPr="00644E84" w:rsidRDefault="006916C1" w:rsidP="00B87545">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110,5</w:t>
            </w:r>
          </w:p>
        </w:tc>
        <w:tc>
          <w:tcPr>
            <w:tcW w:w="992" w:type="dxa"/>
            <w:tcBorders>
              <w:top w:val="nil"/>
              <w:left w:val="nil"/>
              <w:right w:val="single" w:sz="4" w:space="0" w:color="auto"/>
            </w:tcBorders>
            <w:shd w:val="clear" w:color="auto" w:fill="auto"/>
            <w:noWrap/>
            <w:hideMark/>
          </w:tcPr>
          <w:p w14:paraId="71CCF441" w14:textId="77777777" w:rsidR="00741843" w:rsidRPr="00644E84" w:rsidRDefault="006916C1" w:rsidP="00B87545">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99,7</w:t>
            </w:r>
          </w:p>
        </w:tc>
        <w:tc>
          <w:tcPr>
            <w:tcW w:w="851" w:type="dxa"/>
            <w:tcBorders>
              <w:top w:val="nil"/>
              <w:left w:val="nil"/>
              <w:right w:val="single" w:sz="4" w:space="0" w:color="auto"/>
            </w:tcBorders>
            <w:shd w:val="clear" w:color="auto" w:fill="auto"/>
            <w:noWrap/>
            <w:hideMark/>
          </w:tcPr>
          <w:p w14:paraId="5EC3523B" w14:textId="77777777" w:rsidR="00741843" w:rsidRPr="00644E84" w:rsidRDefault="006916C1" w:rsidP="00B87545">
            <w:pPr>
              <w:spacing w:after="0"/>
              <w:ind w:firstLine="0"/>
              <w:jc w:val="center"/>
              <w:rPr>
                <w:rFonts w:eastAsia="Times New Roman" w:cs="Times New Roman"/>
                <w:i/>
                <w:sz w:val="20"/>
                <w:szCs w:val="20"/>
                <w:lang w:eastAsia="lv-LV"/>
              </w:rPr>
            </w:pPr>
            <w:r>
              <w:rPr>
                <w:rFonts w:eastAsia="Times New Roman" w:cs="Times New Roman"/>
                <w:i/>
                <w:sz w:val="20"/>
                <w:szCs w:val="20"/>
                <w:lang w:eastAsia="lv-LV"/>
              </w:rPr>
              <w:t>20,9</w:t>
            </w:r>
          </w:p>
        </w:tc>
      </w:tr>
      <w:tr w:rsidR="00644E84" w:rsidRPr="00644E84" w14:paraId="3FF72230" w14:textId="77777777" w:rsidTr="00AA0E06">
        <w:trPr>
          <w:trHeight w:val="918"/>
          <w:jc w:val="center"/>
        </w:trPr>
        <w:tc>
          <w:tcPr>
            <w:tcW w:w="2966" w:type="dxa"/>
            <w:tcBorders>
              <w:top w:val="nil"/>
              <w:left w:val="single" w:sz="4" w:space="0" w:color="auto"/>
              <w:right w:val="single" w:sz="4" w:space="0" w:color="auto"/>
            </w:tcBorders>
            <w:shd w:val="clear" w:color="auto" w:fill="auto"/>
            <w:hideMark/>
          </w:tcPr>
          <w:p w14:paraId="732F7D95" w14:textId="77777777" w:rsidR="00741843" w:rsidRPr="00644E84" w:rsidRDefault="00644E84" w:rsidP="00B87545">
            <w:pPr>
              <w:spacing w:after="0"/>
              <w:ind w:firstLine="0"/>
              <w:jc w:val="left"/>
              <w:rPr>
                <w:rFonts w:eastAsia="Times New Roman" w:cs="Times New Roman"/>
                <w:i/>
                <w:sz w:val="20"/>
                <w:szCs w:val="20"/>
                <w:lang w:eastAsia="lv-LV"/>
              </w:rPr>
            </w:pPr>
            <w:r>
              <w:rPr>
                <w:rFonts w:eastAsia="Times New Roman" w:cs="Times New Roman"/>
                <w:i/>
                <w:sz w:val="20"/>
                <w:szCs w:val="20"/>
                <w:lang w:eastAsia="lv-LV"/>
              </w:rPr>
              <w:t xml:space="preserve">   </w:t>
            </w:r>
            <w:r w:rsidR="00741843" w:rsidRPr="00644E84">
              <w:rPr>
                <w:rFonts w:eastAsia="Times New Roman" w:cs="Times New Roman"/>
                <w:i/>
                <w:sz w:val="20"/>
                <w:szCs w:val="20"/>
                <w:lang w:eastAsia="lv-LV"/>
              </w:rPr>
              <w:t>Darba devēja valsts sociālās apdrošināšanas obligātās iemaksas, pabalsti un kompensācijas</w:t>
            </w:r>
          </w:p>
        </w:tc>
        <w:tc>
          <w:tcPr>
            <w:tcW w:w="998" w:type="dxa"/>
            <w:tcBorders>
              <w:top w:val="nil"/>
              <w:left w:val="nil"/>
              <w:right w:val="single" w:sz="4" w:space="0" w:color="auto"/>
            </w:tcBorders>
            <w:shd w:val="clear" w:color="auto" w:fill="auto"/>
            <w:noWrap/>
            <w:hideMark/>
          </w:tcPr>
          <w:p w14:paraId="7FF1AC65"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475</w:t>
            </w:r>
          </w:p>
        </w:tc>
        <w:tc>
          <w:tcPr>
            <w:tcW w:w="993" w:type="dxa"/>
            <w:tcBorders>
              <w:top w:val="nil"/>
              <w:left w:val="nil"/>
              <w:right w:val="single" w:sz="4" w:space="0" w:color="auto"/>
            </w:tcBorders>
            <w:shd w:val="clear" w:color="auto" w:fill="auto"/>
            <w:noWrap/>
            <w:hideMark/>
          </w:tcPr>
          <w:p w14:paraId="756F94DA" w14:textId="77777777" w:rsidR="00741843" w:rsidRPr="00644E84" w:rsidRDefault="00741843" w:rsidP="00B87545">
            <w:pPr>
              <w:spacing w:after="0"/>
              <w:ind w:firstLine="0"/>
              <w:jc w:val="right"/>
              <w:rPr>
                <w:rFonts w:eastAsia="Times New Roman" w:cs="Times New Roman"/>
                <w:i/>
                <w:sz w:val="20"/>
                <w:szCs w:val="20"/>
                <w:lang w:eastAsia="lv-LV"/>
              </w:rPr>
            </w:pPr>
          </w:p>
        </w:tc>
        <w:tc>
          <w:tcPr>
            <w:tcW w:w="992" w:type="dxa"/>
            <w:tcBorders>
              <w:top w:val="nil"/>
              <w:left w:val="nil"/>
              <w:right w:val="single" w:sz="4" w:space="0" w:color="auto"/>
            </w:tcBorders>
            <w:shd w:val="clear" w:color="auto" w:fill="auto"/>
            <w:noWrap/>
            <w:hideMark/>
          </w:tcPr>
          <w:p w14:paraId="54AE5A44"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483</w:t>
            </w:r>
          </w:p>
        </w:tc>
        <w:tc>
          <w:tcPr>
            <w:tcW w:w="1131" w:type="dxa"/>
            <w:tcBorders>
              <w:top w:val="nil"/>
              <w:left w:val="nil"/>
              <w:right w:val="single" w:sz="4" w:space="0" w:color="auto"/>
            </w:tcBorders>
            <w:shd w:val="clear" w:color="auto" w:fill="auto"/>
            <w:noWrap/>
            <w:hideMark/>
          </w:tcPr>
          <w:p w14:paraId="3FC9D246" w14:textId="77777777" w:rsidR="00741843" w:rsidRPr="00644E84" w:rsidRDefault="00741843" w:rsidP="00B87545">
            <w:pPr>
              <w:spacing w:after="0"/>
              <w:ind w:firstLine="0"/>
              <w:jc w:val="right"/>
              <w:rPr>
                <w:rFonts w:eastAsia="Times New Roman" w:cs="Times New Roman"/>
                <w:i/>
                <w:sz w:val="20"/>
                <w:szCs w:val="20"/>
                <w:lang w:eastAsia="lv-LV"/>
              </w:rPr>
            </w:pPr>
            <w:r w:rsidRPr="00644E84">
              <w:rPr>
                <w:rFonts w:eastAsia="Times New Roman" w:cs="Times New Roman"/>
                <w:i/>
                <w:sz w:val="20"/>
                <w:szCs w:val="20"/>
                <w:lang w:eastAsia="lv-LV"/>
              </w:rPr>
              <w:t> </w:t>
            </w:r>
          </w:p>
        </w:tc>
        <w:tc>
          <w:tcPr>
            <w:tcW w:w="853" w:type="dxa"/>
            <w:tcBorders>
              <w:top w:val="nil"/>
              <w:left w:val="nil"/>
              <w:right w:val="single" w:sz="4" w:space="0" w:color="auto"/>
            </w:tcBorders>
            <w:shd w:val="clear" w:color="auto" w:fill="auto"/>
            <w:noWrap/>
            <w:hideMark/>
          </w:tcPr>
          <w:p w14:paraId="3C948CAA" w14:textId="77777777" w:rsidR="00741843" w:rsidRPr="00367174" w:rsidRDefault="006916C1" w:rsidP="0097201A">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101,</w:t>
            </w:r>
            <w:r w:rsidR="0097201A" w:rsidRPr="00367174">
              <w:rPr>
                <w:rFonts w:eastAsia="Times New Roman" w:cs="Times New Roman"/>
                <w:i/>
                <w:sz w:val="20"/>
                <w:szCs w:val="20"/>
                <w:lang w:eastAsia="lv-LV"/>
              </w:rPr>
              <w:t>7</w:t>
            </w:r>
          </w:p>
        </w:tc>
        <w:tc>
          <w:tcPr>
            <w:tcW w:w="992" w:type="dxa"/>
            <w:tcBorders>
              <w:top w:val="nil"/>
              <w:left w:val="nil"/>
              <w:right w:val="single" w:sz="4" w:space="0" w:color="auto"/>
            </w:tcBorders>
            <w:shd w:val="clear" w:color="auto" w:fill="auto"/>
            <w:noWrap/>
            <w:hideMark/>
          </w:tcPr>
          <w:p w14:paraId="29E5294E" w14:textId="77777777" w:rsidR="00741843" w:rsidRPr="00367174" w:rsidRDefault="00741843"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 </w:t>
            </w:r>
          </w:p>
        </w:tc>
        <w:tc>
          <w:tcPr>
            <w:tcW w:w="851" w:type="dxa"/>
            <w:tcBorders>
              <w:top w:val="nil"/>
              <w:left w:val="nil"/>
              <w:right w:val="single" w:sz="4" w:space="0" w:color="auto"/>
            </w:tcBorders>
            <w:shd w:val="clear" w:color="auto" w:fill="auto"/>
            <w:noWrap/>
            <w:hideMark/>
          </w:tcPr>
          <w:p w14:paraId="576E5D1E" w14:textId="77777777" w:rsidR="00741843" w:rsidRPr="00367174" w:rsidRDefault="00741843"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 </w:t>
            </w:r>
          </w:p>
        </w:tc>
      </w:tr>
      <w:tr w:rsidR="00644E84" w:rsidRPr="00644E84" w14:paraId="63A456A0" w14:textId="77777777" w:rsidTr="00AA0E06">
        <w:trPr>
          <w:trHeight w:val="80"/>
          <w:jc w:val="center"/>
        </w:trPr>
        <w:tc>
          <w:tcPr>
            <w:tcW w:w="2966" w:type="dxa"/>
            <w:tcBorders>
              <w:top w:val="nil"/>
              <w:left w:val="single" w:sz="4" w:space="0" w:color="auto"/>
              <w:bottom w:val="single" w:sz="4" w:space="0" w:color="auto"/>
              <w:right w:val="single" w:sz="4" w:space="0" w:color="auto"/>
            </w:tcBorders>
            <w:shd w:val="clear" w:color="auto" w:fill="auto"/>
            <w:hideMark/>
          </w:tcPr>
          <w:p w14:paraId="06E7608F" w14:textId="77777777" w:rsidR="00741843" w:rsidRPr="00644E84" w:rsidRDefault="00741843" w:rsidP="00B87545">
            <w:pPr>
              <w:spacing w:after="0"/>
              <w:ind w:firstLine="0"/>
              <w:jc w:val="left"/>
              <w:rPr>
                <w:rFonts w:eastAsia="Times New Roman" w:cs="Times New Roman"/>
                <w:sz w:val="20"/>
                <w:szCs w:val="20"/>
                <w:lang w:eastAsia="lv-LV"/>
              </w:rPr>
            </w:pPr>
            <w:r w:rsidRPr="00644E84">
              <w:rPr>
                <w:rFonts w:eastAsia="Times New Roman" w:cs="Times New Roman"/>
                <w:sz w:val="20"/>
                <w:szCs w:val="20"/>
                <w:lang w:eastAsia="lv-LV"/>
              </w:rPr>
              <w:t>Preces un pakalpojumi</w:t>
            </w:r>
          </w:p>
        </w:tc>
        <w:tc>
          <w:tcPr>
            <w:tcW w:w="998" w:type="dxa"/>
            <w:tcBorders>
              <w:top w:val="nil"/>
              <w:left w:val="nil"/>
              <w:bottom w:val="single" w:sz="4" w:space="0" w:color="auto"/>
              <w:right w:val="single" w:sz="4" w:space="0" w:color="auto"/>
            </w:tcBorders>
            <w:shd w:val="clear" w:color="auto" w:fill="auto"/>
            <w:noWrap/>
            <w:hideMark/>
          </w:tcPr>
          <w:p w14:paraId="75700E9C"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859</w:t>
            </w:r>
          </w:p>
        </w:tc>
        <w:tc>
          <w:tcPr>
            <w:tcW w:w="993" w:type="dxa"/>
            <w:tcBorders>
              <w:top w:val="nil"/>
              <w:left w:val="nil"/>
              <w:bottom w:val="single" w:sz="4" w:space="0" w:color="auto"/>
              <w:right w:val="single" w:sz="4" w:space="0" w:color="auto"/>
            </w:tcBorders>
            <w:shd w:val="clear" w:color="auto" w:fill="auto"/>
            <w:noWrap/>
            <w:hideMark/>
          </w:tcPr>
          <w:p w14:paraId="66ED6D82"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801</w:t>
            </w:r>
          </w:p>
        </w:tc>
        <w:tc>
          <w:tcPr>
            <w:tcW w:w="992" w:type="dxa"/>
            <w:tcBorders>
              <w:top w:val="nil"/>
              <w:left w:val="nil"/>
              <w:bottom w:val="single" w:sz="4" w:space="0" w:color="auto"/>
              <w:right w:val="single" w:sz="4" w:space="0" w:color="auto"/>
            </w:tcBorders>
            <w:shd w:val="clear" w:color="auto" w:fill="auto"/>
            <w:noWrap/>
            <w:hideMark/>
          </w:tcPr>
          <w:p w14:paraId="3D8EF15D"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797</w:t>
            </w:r>
          </w:p>
        </w:tc>
        <w:tc>
          <w:tcPr>
            <w:tcW w:w="1131" w:type="dxa"/>
            <w:tcBorders>
              <w:top w:val="nil"/>
              <w:left w:val="nil"/>
              <w:bottom w:val="single" w:sz="4" w:space="0" w:color="auto"/>
              <w:right w:val="single" w:sz="4" w:space="0" w:color="auto"/>
            </w:tcBorders>
            <w:shd w:val="clear" w:color="auto" w:fill="auto"/>
            <w:noWrap/>
            <w:hideMark/>
          </w:tcPr>
          <w:p w14:paraId="2FCE4E29"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3 507</w:t>
            </w:r>
          </w:p>
        </w:tc>
        <w:tc>
          <w:tcPr>
            <w:tcW w:w="853" w:type="dxa"/>
            <w:tcBorders>
              <w:top w:val="nil"/>
              <w:left w:val="nil"/>
              <w:bottom w:val="single" w:sz="4" w:space="0" w:color="auto"/>
              <w:right w:val="single" w:sz="4" w:space="0" w:color="auto"/>
            </w:tcBorders>
            <w:shd w:val="clear" w:color="auto" w:fill="auto"/>
            <w:noWrap/>
            <w:hideMark/>
          </w:tcPr>
          <w:p w14:paraId="1899386A"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92,8</w:t>
            </w:r>
          </w:p>
        </w:tc>
        <w:tc>
          <w:tcPr>
            <w:tcW w:w="992" w:type="dxa"/>
            <w:tcBorders>
              <w:top w:val="nil"/>
              <w:left w:val="nil"/>
              <w:bottom w:val="single" w:sz="4" w:space="0" w:color="auto"/>
              <w:right w:val="single" w:sz="4" w:space="0" w:color="auto"/>
            </w:tcBorders>
            <w:shd w:val="clear" w:color="auto" w:fill="auto"/>
            <w:noWrap/>
            <w:hideMark/>
          </w:tcPr>
          <w:p w14:paraId="4915F2DB"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99,5</w:t>
            </w:r>
          </w:p>
        </w:tc>
        <w:tc>
          <w:tcPr>
            <w:tcW w:w="851" w:type="dxa"/>
            <w:tcBorders>
              <w:top w:val="nil"/>
              <w:left w:val="nil"/>
              <w:bottom w:val="single" w:sz="4" w:space="0" w:color="auto"/>
              <w:right w:val="single" w:sz="4" w:space="0" w:color="auto"/>
            </w:tcBorders>
            <w:shd w:val="clear" w:color="auto" w:fill="auto"/>
            <w:noWrap/>
            <w:hideMark/>
          </w:tcPr>
          <w:p w14:paraId="6A1285CF"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22,7</w:t>
            </w:r>
          </w:p>
        </w:tc>
      </w:tr>
      <w:tr w:rsidR="00644E84" w:rsidRPr="00644E84" w14:paraId="46EA1265" w14:textId="77777777" w:rsidTr="00AA0E06">
        <w:trPr>
          <w:trHeight w:val="255"/>
          <w:jc w:val="center"/>
        </w:trPr>
        <w:tc>
          <w:tcPr>
            <w:tcW w:w="2966" w:type="dxa"/>
            <w:tcBorders>
              <w:top w:val="single" w:sz="4" w:space="0" w:color="auto"/>
              <w:left w:val="single" w:sz="4" w:space="0" w:color="auto"/>
              <w:right w:val="single" w:sz="4" w:space="0" w:color="auto"/>
            </w:tcBorders>
            <w:shd w:val="clear" w:color="auto" w:fill="auto"/>
            <w:hideMark/>
          </w:tcPr>
          <w:p w14:paraId="329C1EB4" w14:textId="77777777" w:rsidR="00741843" w:rsidRPr="00644E84" w:rsidRDefault="00741843" w:rsidP="00B87545">
            <w:pPr>
              <w:spacing w:after="0"/>
              <w:ind w:firstLine="0"/>
              <w:jc w:val="left"/>
              <w:rPr>
                <w:rFonts w:eastAsia="Times New Roman" w:cs="Times New Roman"/>
                <w:b/>
                <w:sz w:val="20"/>
                <w:szCs w:val="20"/>
                <w:lang w:eastAsia="lv-LV"/>
              </w:rPr>
            </w:pPr>
            <w:r w:rsidRPr="00644E84">
              <w:rPr>
                <w:rFonts w:eastAsia="Times New Roman" w:cs="Times New Roman"/>
                <w:b/>
                <w:sz w:val="20"/>
                <w:szCs w:val="20"/>
                <w:lang w:eastAsia="lv-LV"/>
              </w:rPr>
              <w:t>Subsīdijas, dotācijas un sociālie pabalsti</w:t>
            </w:r>
          </w:p>
        </w:tc>
        <w:tc>
          <w:tcPr>
            <w:tcW w:w="998" w:type="dxa"/>
            <w:tcBorders>
              <w:top w:val="single" w:sz="4" w:space="0" w:color="auto"/>
              <w:left w:val="nil"/>
              <w:right w:val="single" w:sz="4" w:space="0" w:color="auto"/>
            </w:tcBorders>
            <w:shd w:val="clear" w:color="auto" w:fill="auto"/>
            <w:noWrap/>
            <w:hideMark/>
          </w:tcPr>
          <w:p w14:paraId="2A52AC6B"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487 413</w:t>
            </w:r>
          </w:p>
        </w:tc>
        <w:tc>
          <w:tcPr>
            <w:tcW w:w="993" w:type="dxa"/>
            <w:tcBorders>
              <w:top w:val="single" w:sz="4" w:space="0" w:color="auto"/>
              <w:left w:val="nil"/>
              <w:right w:val="single" w:sz="4" w:space="0" w:color="auto"/>
            </w:tcBorders>
            <w:shd w:val="clear" w:color="auto" w:fill="auto"/>
            <w:noWrap/>
            <w:hideMark/>
          </w:tcPr>
          <w:p w14:paraId="40AD5438"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553 945</w:t>
            </w:r>
          </w:p>
        </w:tc>
        <w:tc>
          <w:tcPr>
            <w:tcW w:w="992" w:type="dxa"/>
            <w:tcBorders>
              <w:top w:val="single" w:sz="4" w:space="0" w:color="auto"/>
              <w:left w:val="nil"/>
              <w:right w:val="single" w:sz="4" w:space="0" w:color="auto"/>
            </w:tcBorders>
            <w:shd w:val="clear" w:color="auto" w:fill="auto"/>
            <w:noWrap/>
            <w:hideMark/>
          </w:tcPr>
          <w:p w14:paraId="5484CFE5"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548 575</w:t>
            </w:r>
          </w:p>
        </w:tc>
        <w:tc>
          <w:tcPr>
            <w:tcW w:w="1131" w:type="dxa"/>
            <w:tcBorders>
              <w:top w:val="single" w:sz="4" w:space="0" w:color="auto"/>
              <w:left w:val="nil"/>
              <w:right w:val="single" w:sz="4" w:space="0" w:color="auto"/>
            </w:tcBorders>
            <w:shd w:val="clear" w:color="auto" w:fill="auto"/>
            <w:noWrap/>
            <w:hideMark/>
          </w:tcPr>
          <w:p w14:paraId="06285F15"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2 129 368</w:t>
            </w:r>
          </w:p>
        </w:tc>
        <w:tc>
          <w:tcPr>
            <w:tcW w:w="853" w:type="dxa"/>
            <w:tcBorders>
              <w:top w:val="single" w:sz="4" w:space="0" w:color="auto"/>
              <w:left w:val="nil"/>
              <w:right w:val="single" w:sz="4" w:space="0" w:color="auto"/>
            </w:tcBorders>
            <w:shd w:val="clear" w:color="auto" w:fill="auto"/>
            <w:noWrap/>
            <w:hideMark/>
          </w:tcPr>
          <w:p w14:paraId="55D468C4" w14:textId="77777777" w:rsidR="00741843" w:rsidRPr="00367174" w:rsidRDefault="006916C1" w:rsidP="00B87545">
            <w:pPr>
              <w:spacing w:after="0"/>
              <w:ind w:firstLine="0"/>
              <w:jc w:val="center"/>
              <w:rPr>
                <w:rFonts w:eastAsia="Times New Roman" w:cs="Times New Roman"/>
                <w:b/>
                <w:sz w:val="20"/>
                <w:szCs w:val="20"/>
                <w:lang w:eastAsia="lv-LV"/>
              </w:rPr>
            </w:pPr>
            <w:r w:rsidRPr="00367174">
              <w:rPr>
                <w:rFonts w:eastAsia="Times New Roman" w:cs="Times New Roman"/>
                <w:b/>
                <w:sz w:val="20"/>
                <w:szCs w:val="20"/>
                <w:lang w:eastAsia="lv-LV"/>
              </w:rPr>
              <w:t>112,5</w:t>
            </w:r>
          </w:p>
        </w:tc>
        <w:tc>
          <w:tcPr>
            <w:tcW w:w="992" w:type="dxa"/>
            <w:tcBorders>
              <w:top w:val="single" w:sz="4" w:space="0" w:color="auto"/>
              <w:left w:val="nil"/>
              <w:right w:val="single" w:sz="4" w:space="0" w:color="auto"/>
            </w:tcBorders>
            <w:shd w:val="clear" w:color="auto" w:fill="auto"/>
            <w:noWrap/>
            <w:hideMark/>
          </w:tcPr>
          <w:p w14:paraId="50C413A0" w14:textId="77777777" w:rsidR="00741843" w:rsidRPr="00367174" w:rsidRDefault="006916C1" w:rsidP="00B87545">
            <w:pPr>
              <w:spacing w:after="0"/>
              <w:ind w:firstLine="0"/>
              <w:jc w:val="center"/>
              <w:rPr>
                <w:rFonts w:eastAsia="Times New Roman" w:cs="Times New Roman"/>
                <w:b/>
                <w:sz w:val="20"/>
                <w:szCs w:val="20"/>
                <w:lang w:eastAsia="lv-LV"/>
              </w:rPr>
            </w:pPr>
            <w:r w:rsidRPr="00367174">
              <w:rPr>
                <w:rFonts w:eastAsia="Times New Roman" w:cs="Times New Roman"/>
                <w:b/>
                <w:sz w:val="20"/>
                <w:szCs w:val="20"/>
                <w:lang w:eastAsia="lv-LV"/>
              </w:rPr>
              <w:t>99,0</w:t>
            </w:r>
          </w:p>
        </w:tc>
        <w:tc>
          <w:tcPr>
            <w:tcW w:w="851" w:type="dxa"/>
            <w:tcBorders>
              <w:top w:val="single" w:sz="4" w:space="0" w:color="auto"/>
              <w:left w:val="nil"/>
              <w:right w:val="single" w:sz="4" w:space="0" w:color="auto"/>
            </w:tcBorders>
            <w:shd w:val="clear" w:color="auto" w:fill="auto"/>
            <w:noWrap/>
            <w:hideMark/>
          </w:tcPr>
          <w:p w14:paraId="0D31B499" w14:textId="77777777" w:rsidR="00741843" w:rsidRPr="00367174" w:rsidRDefault="006916C1" w:rsidP="00B87545">
            <w:pPr>
              <w:spacing w:after="0"/>
              <w:ind w:firstLine="0"/>
              <w:jc w:val="center"/>
              <w:rPr>
                <w:rFonts w:eastAsia="Times New Roman" w:cs="Times New Roman"/>
                <w:b/>
                <w:sz w:val="20"/>
                <w:szCs w:val="20"/>
                <w:lang w:eastAsia="lv-LV"/>
              </w:rPr>
            </w:pPr>
            <w:r w:rsidRPr="00367174">
              <w:rPr>
                <w:rFonts w:eastAsia="Times New Roman" w:cs="Times New Roman"/>
                <w:b/>
                <w:sz w:val="20"/>
                <w:szCs w:val="20"/>
                <w:lang w:eastAsia="lv-LV"/>
              </w:rPr>
              <w:t>25,8</w:t>
            </w:r>
          </w:p>
        </w:tc>
      </w:tr>
      <w:tr w:rsidR="00644E84" w:rsidRPr="00644E84" w14:paraId="78634B83" w14:textId="77777777" w:rsidTr="00AA0E06">
        <w:trPr>
          <w:trHeight w:val="264"/>
          <w:jc w:val="center"/>
        </w:trPr>
        <w:tc>
          <w:tcPr>
            <w:tcW w:w="2966" w:type="dxa"/>
            <w:tcBorders>
              <w:top w:val="nil"/>
              <w:left w:val="single" w:sz="4" w:space="0" w:color="auto"/>
              <w:right w:val="single" w:sz="4" w:space="0" w:color="auto"/>
            </w:tcBorders>
            <w:shd w:val="clear" w:color="auto" w:fill="auto"/>
            <w:hideMark/>
          </w:tcPr>
          <w:p w14:paraId="1CD08B1B" w14:textId="77777777" w:rsidR="00741843" w:rsidRPr="00644E84" w:rsidRDefault="00741843" w:rsidP="00B87545">
            <w:pPr>
              <w:spacing w:after="0"/>
              <w:ind w:firstLine="0"/>
              <w:jc w:val="left"/>
              <w:rPr>
                <w:rFonts w:eastAsia="Times New Roman" w:cs="Times New Roman"/>
                <w:sz w:val="20"/>
                <w:szCs w:val="20"/>
                <w:lang w:eastAsia="lv-LV"/>
              </w:rPr>
            </w:pPr>
            <w:r w:rsidRPr="00644E84">
              <w:rPr>
                <w:rFonts w:eastAsia="Times New Roman" w:cs="Times New Roman"/>
                <w:sz w:val="20"/>
                <w:szCs w:val="20"/>
                <w:lang w:eastAsia="lv-LV"/>
              </w:rPr>
              <w:t>Subsīdijas un dotācijas</w:t>
            </w:r>
          </w:p>
        </w:tc>
        <w:tc>
          <w:tcPr>
            <w:tcW w:w="998" w:type="dxa"/>
            <w:tcBorders>
              <w:top w:val="nil"/>
              <w:left w:val="nil"/>
              <w:right w:val="single" w:sz="4" w:space="0" w:color="auto"/>
            </w:tcBorders>
            <w:shd w:val="clear" w:color="auto" w:fill="auto"/>
            <w:noWrap/>
            <w:hideMark/>
          </w:tcPr>
          <w:p w14:paraId="07753931" w14:textId="77777777" w:rsidR="00741843" w:rsidRPr="00644E84" w:rsidRDefault="001632F0"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1 619</w:t>
            </w:r>
          </w:p>
        </w:tc>
        <w:tc>
          <w:tcPr>
            <w:tcW w:w="993" w:type="dxa"/>
            <w:tcBorders>
              <w:top w:val="nil"/>
              <w:left w:val="nil"/>
              <w:right w:val="single" w:sz="4" w:space="0" w:color="auto"/>
            </w:tcBorders>
            <w:shd w:val="clear" w:color="auto" w:fill="auto"/>
            <w:noWrap/>
            <w:hideMark/>
          </w:tcPr>
          <w:p w14:paraId="371FD0FD"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1 01</w:t>
            </w:r>
            <w:r w:rsidR="001632F0">
              <w:rPr>
                <w:rFonts w:eastAsia="Times New Roman" w:cs="Times New Roman"/>
                <w:sz w:val="20"/>
                <w:szCs w:val="20"/>
                <w:lang w:eastAsia="lv-LV"/>
              </w:rPr>
              <w:t>6</w:t>
            </w:r>
          </w:p>
        </w:tc>
        <w:tc>
          <w:tcPr>
            <w:tcW w:w="992" w:type="dxa"/>
            <w:tcBorders>
              <w:top w:val="nil"/>
              <w:left w:val="nil"/>
              <w:right w:val="single" w:sz="4" w:space="0" w:color="auto"/>
            </w:tcBorders>
            <w:shd w:val="clear" w:color="auto" w:fill="auto"/>
            <w:noWrap/>
            <w:hideMark/>
          </w:tcPr>
          <w:p w14:paraId="5AA138A0"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978</w:t>
            </w:r>
          </w:p>
        </w:tc>
        <w:tc>
          <w:tcPr>
            <w:tcW w:w="1131" w:type="dxa"/>
            <w:tcBorders>
              <w:top w:val="nil"/>
              <w:left w:val="nil"/>
              <w:right w:val="single" w:sz="4" w:space="0" w:color="auto"/>
            </w:tcBorders>
            <w:shd w:val="clear" w:color="auto" w:fill="auto"/>
            <w:noWrap/>
            <w:hideMark/>
          </w:tcPr>
          <w:p w14:paraId="76062D3C"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5 959</w:t>
            </w:r>
          </w:p>
        </w:tc>
        <w:tc>
          <w:tcPr>
            <w:tcW w:w="853" w:type="dxa"/>
            <w:tcBorders>
              <w:top w:val="nil"/>
              <w:left w:val="nil"/>
              <w:right w:val="single" w:sz="4" w:space="0" w:color="auto"/>
            </w:tcBorders>
            <w:shd w:val="clear" w:color="auto" w:fill="auto"/>
            <w:noWrap/>
            <w:hideMark/>
          </w:tcPr>
          <w:p w14:paraId="66025234"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60,4</w:t>
            </w:r>
          </w:p>
        </w:tc>
        <w:tc>
          <w:tcPr>
            <w:tcW w:w="992" w:type="dxa"/>
            <w:tcBorders>
              <w:top w:val="nil"/>
              <w:left w:val="nil"/>
              <w:right w:val="single" w:sz="4" w:space="0" w:color="auto"/>
            </w:tcBorders>
            <w:shd w:val="clear" w:color="auto" w:fill="auto"/>
            <w:noWrap/>
            <w:hideMark/>
          </w:tcPr>
          <w:p w14:paraId="02187507" w14:textId="77777777" w:rsidR="00741843" w:rsidRPr="00367174" w:rsidRDefault="006916C1" w:rsidP="00D86EC6">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96,</w:t>
            </w:r>
            <w:r w:rsidR="00D86EC6" w:rsidRPr="00367174">
              <w:rPr>
                <w:rFonts w:eastAsia="Times New Roman" w:cs="Times New Roman"/>
                <w:sz w:val="20"/>
                <w:szCs w:val="20"/>
                <w:lang w:eastAsia="lv-LV"/>
              </w:rPr>
              <w:t>3</w:t>
            </w:r>
          </w:p>
        </w:tc>
        <w:tc>
          <w:tcPr>
            <w:tcW w:w="851" w:type="dxa"/>
            <w:tcBorders>
              <w:top w:val="nil"/>
              <w:left w:val="nil"/>
              <w:right w:val="single" w:sz="4" w:space="0" w:color="auto"/>
            </w:tcBorders>
            <w:shd w:val="clear" w:color="auto" w:fill="auto"/>
            <w:noWrap/>
            <w:hideMark/>
          </w:tcPr>
          <w:p w14:paraId="7F4E42BD"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16,4</w:t>
            </w:r>
          </w:p>
        </w:tc>
      </w:tr>
      <w:tr w:rsidR="00644E84" w:rsidRPr="00644E84" w14:paraId="1820CC42" w14:textId="77777777" w:rsidTr="00AA0E06">
        <w:trPr>
          <w:trHeight w:val="255"/>
          <w:jc w:val="center"/>
        </w:trPr>
        <w:tc>
          <w:tcPr>
            <w:tcW w:w="2966" w:type="dxa"/>
            <w:tcBorders>
              <w:top w:val="nil"/>
              <w:left w:val="single" w:sz="4" w:space="0" w:color="auto"/>
              <w:right w:val="single" w:sz="4" w:space="0" w:color="auto"/>
            </w:tcBorders>
            <w:shd w:val="clear" w:color="auto" w:fill="auto"/>
            <w:hideMark/>
          </w:tcPr>
          <w:p w14:paraId="1454E54A" w14:textId="77777777" w:rsidR="00741843" w:rsidRPr="00644E84" w:rsidRDefault="00741843" w:rsidP="00B87545">
            <w:pPr>
              <w:spacing w:after="0"/>
              <w:ind w:firstLine="0"/>
              <w:jc w:val="left"/>
              <w:rPr>
                <w:rFonts w:eastAsia="Times New Roman" w:cs="Times New Roman"/>
                <w:sz w:val="20"/>
                <w:szCs w:val="20"/>
                <w:lang w:eastAsia="lv-LV"/>
              </w:rPr>
            </w:pPr>
            <w:r w:rsidRPr="00644E84">
              <w:rPr>
                <w:rFonts w:eastAsia="Times New Roman" w:cs="Times New Roman"/>
                <w:sz w:val="20"/>
                <w:szCs w:val="20"/>
                <w:lang w:eastAsia="lv-LV"/>
              </w:rPr>
              <w:t>Sociālie pabalsti</w:t>
            </w:r>
            <w:r w:rsidR="00644E84">
              <w:rPr>
                <w:rFonts w:eastAsia="Times New Roman" w:cs="Times New Roman"/>
                <w:sz w:val="20"/>
                <w:szCs w:val="20"/>
                <w:lang w:eastAsia="lv-LV"/>
              </w:rPr>
              <w:t>:</w:t>
            </w:r>
          </w:p>
        </w:tc>
        <w:tc>
          <w:tcPr>
            <w:tcW w:w="998" w:type="dxa"/>
            <w:tcBorders>
              <w:top w:val="nil"/>
              <w:left w:val="nil"/>
              <w:right w:val="single" w:sz="4" w:space="0" w:color="auto"/>
            </w:tcBorders>
            <w:shd w:val="clear" w:color="auto" w:fill="auto"/>
            <w:noWrap/>
            <w:hideMark/>
          </w:tcPr>
          <w:p w14:paraId="17ED15BC"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485 794</w:t>
            </w:r>
          </w:p>
        </w:tc>
        <w:tc>
          <w:tcPr>
            <w:tcW w:w="993" w:type="dxa"/>
            <w:tcBorders>
              <w:top w:val="nil"/>
              <w:left w:val="nil"/>
              <w:right w:val="single" w:sz="4" w:space="0" w:color="auto"/>
            </w:tcBorders>
            <w:shd w:val="clear" w:color="auto" w:fill="auto"/>
            <w:noWrap/>
            <w:hideMark/>
          </w:tcPr>
          <w:p w14:paraId="7D679C91"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552 929</w:t>
            </w:r>
          </w:p>
        </w:tc>
        <w:tc>
          <w:tcPr>
            <w:tcW w:w="992" w:type="dxa"/>
            <w:tcBorders>
              <w:top w:val="nil"/>
              <w:left w:val="nil"/>
              <w:right w:val="single" w:sz="4" w:space="0" w:color="auto"/>
            </w:tcBorders>
            <w:shd w:val="clear" w:color="auto" w:fill="auto"/>
            <w:noWrap/>
            <w:hideMark/>
          </w:tcPr>
          <w:p w14:paraId="0AEE6DA0"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547 597</w:t>
            </w:r>
          </w:p>
        </w:tc>
        <w:tc>
          <w:tcPr>
            <w:tcW w:w="1131" w:type="dxa"/>
            <w:tcBorders>
              <w:top w:val="nil"/>
              <w:left w:val="nil"/>
              <w:right w:val="single" w:sz="4" w:space="0" w:color="auto"/>
            </w:tcBorders>
            <w:shd w:val="clear" w:color="auto" w:fill="auto"/>
            <w:noWrap/>
            <w:hideMark/>
          </w:tcPr>
          <w:p w14:paraId="77F04BD8"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2 123 409</w:t>
            </w:r>
          </w:p>
        </w:tc>
        <w:tc>
          <w:tcPr>
            <w:tcW w:w="853" w:type="dxa"/>
            <w:tcBorders>
              <w:top w:val="nil"/>
              <w:left w:val="nil"/>
              <w:right w:val="single" w:sz="4" w:space="0" w:color="auto"/>
            </w:tcBorders>
            <w:shd w:val="clear" w:color="auto" w:fill="auto"/>
            <w:noWrap/>
            <w:hideMark/>
          </w:tcPr>
          <w:p w14:paraId="589A8A90"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112,7</w:t>
            </w:r>
          </w:p>
        </w:tc>
        <w:tc>
          <w:tcPr>
            <w:tcW w:w="992" w:type="dxa"/>
            <w:tcBorders>
              <w:top w:val="nil"/>
              <w:left w:val="nil"/>
              <w:right w:val="single" w:sz="4" w:space="0" w:color="auto"/>
            </w:tcBorders>
            <w:shd w:val="clear" w:color="auto" w:fill="auto"/>
            <w:noWrap/>
            <w:hideMark/>
          </w:tcPr>
          <w:p w14:paraId="3BC2A223"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99,0</w:t>
            </w:r>
          </w:p>
        </w:tc>
        <w:tc>
          <w:tcPr>
            <w:tcW w:w="851" w:type="dxa"/>
            <w:tcBorders>
              <w:top w:val="nil"/>
              <w:left w:val="nil"/>
              <w:right w:val="single" w:sz="4" w:space="0" w:color="auto"/>
            </w:tcBorders>
            <w:shd w:val="clear" w:color="auto" w:fill="auto"/>
            <w:noWrap/>
            <w:hideMark/>
          </w:tcPr>
          <w:p w14:paraId="34D2DACD"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25,8</w:t>
            </w:r>
          </w:p>
        </w:tc>
      </w:tr>
      <w:tr w:rsidR="00644E84" w:rsidRPr="00644E84" w14:paraId="2D66C42C" w14:textId="77777777" w:rsidTr="00AA0E06">
        <w:trPr>
          <w:trHeight w:val="255"/>
          <w:jc w:val="center"/>
        </w:trPr>
        <w:tc>
          <w:tcPr>
            <w:tcW w:w="2966" w:type="dxa"/>
            <w:tcBorders>
              <w:top w:val="nil"/>
              <w:left w:val="single" w:sz="4" w:space="0" w:color="auto"/>
              <w:right w:val="single" w:sz="4" w:space="0" w:color="auto"/>
            </w:tcBorders>
            <w:shd w:val="clear" w:color="auto" w:fill="auto"/>
            <w:hideMark/>
          </w:tcPr>
          <w:p w14:paraId="3D48B507" w14:textId="77777777" w:rsidR="00741843" w:rsidRPr="00644E84" w:rsidRDefault="00644E84" w:rsidP="00B87545">
            <w:pPr>
              <w:spacing w:after="0"/>
              <w:ind w:firstLine="0"/>
              <w:jc w:val="left"/>
              <w:rPr>
                <w:rFonts w:eastAsia="Times New Roman" w:cs="Times New Roman"/>
                <w:i/>
                <w:sz w:val="20"/>
                <w:szCs w:val="20"/>
                <w:lang w:eastAsia="lv-LV"/>
              </w:rPr>
            </w:pPr>
            <w:r w:rsidRPr="00644E84">
              <w:rPr>
                <w:rFonts w:eastAsia="Times New Roman" w:cs="Times New Roman"/>
                <w:i/>
                <w:sz w:val="20"/>
                <w:szCs w:val="20"/>
                <w:lang w:eastAsia="lv-LV"/>
              </w:rPr>
              <w:t xml:space="preserve">   </w:t>
            </w:r>
            <w:r w:rsidR="00741843" w:rsidRPr="00644E84">
              <w:rPr>
                <w:rFonts w:eastAsia="Times New Roman" w:cs="Times New Roman"/>
                <w:i/>
                <w:sz w:val="20"/>
                <w:szCs w:val="20"/>
                <w:lang w:eastAsia="lv-LV"/>
              </w:rPr>
              <w:t>Valsts pensijas</w:t>
            </w:r>
          </w:p>
        </w:tc>
        <w:tc>
          <w:tcPr>
            <w:tcW w:w="998" w:type="dxa"/>
            <w:tcBorders>
              <w:top w:val="nil"/>
              <w:left w:val="nil"/>
              <w:right w:val="single" w:sz="4" w:space="0" w:color="auto"/>
            </w:tcBorders>
            <w:shd w:val="clear" w:color="auto" w:fill="auto"/>
            <w:noWrap/>
            <w:hideMark/>
          </w:tcPr>
          <w:p w14:paraId="29559819"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405 573</w:t>
            </w:r>
          </w:p>
        </w:tc>
        <w:tc>
          <w:tcPr>
            <w:tcW w:w="993" w:type="dxa"/>
            <w:tcBorders>
              <w:top w:val="nil"/>
              <w:left w:val="nil"/>
              <w:right w:val="single" w:sz="4" w:space="0" w:color="auto"/>
            </w:tcBorders>
            <w:shd w:val="clear" w:color="auto" w:fill="auto"/>
            <w:noWrap/>
          </w:tcPr>
          <w:p w14:paraId="53B8C6A8" w14:textId="77777777" w:rsidR="00741843" w:rsidRPr="00644E84" w:rsidRDefault="00741843" w:rsidP="00B87545">
            <w:pPr>
              <w:spacing w:after="0"/>
              <w:ind w:firstLine="0"/>
              <w:jc w:val="right"/>
              <w:rPr>
                <w:rFonts w:eastAsia="Times New Roman" w:cs="Times New Roman"/>
                <w:i/>
                <w:sz w:val="20"/>
                <w:szCs w:val="20"/>
                <w:lang w:eastAsia="lv-LV"/>
              </w:rPr>
            </w:pPr>
          </w:p>
        </w:tc>
        <w:tc>
          <w:tcPr>
            <w:tcW w:w="992" w:type="dxa"/>
            <w:tcBorders>
              <w:top w:val="nil"/>
              <w:left w:val="nil"/>
              <w:right w:val="single" w:sz="4" w:space="0" w:color="auto"/>
            </w:tcBorders>
            <w:shd w:val="clear" w:color="auto" w:fill="auto"/>
            <w:noWrap/>
            <w:hideMark/>
          </w:tcPr>
          <w:p w14:paraId="72A9F11F"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450 571</w:t>
            </w:r>
          </w:p>
        </w:tc>
        <w:tc>
          <w:tcPr>
            <w:tcW w:w="1131" w:type="dxa"/>
            <w:tcBorders>
              <w:top w:val="nil"/>
              <w:left w:val="nil"/>
              <w:right w:val="single" w:sz="4" w:space="0" w:color="auto"/>
            </w:tcBorders>
            <w:shd w:val="clear" w:color="auto" w:fill="auto"/>
            <w:noWrap/>
          </w:tcPr>
          <w:p w14:paraId="7C942725"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1 775 147</w:t>
            </w:r>
          </w:p>
        </w:tc>
        <w:tc>
          <w:tcPr>
            <w:tcW w:w="853" w:type="dxa"/>
            <w:tcBorders>
              <w:top w:val="nil"/>
              <w:left w:val="nil"/>
              <w:right w:val="single" w:sz="4" w:space="0" w:color="auto"/>
            </w:tcBorders>
            <w:shd w:val="clear" w:color="auto" w:fill="auto"/>
            <w:noWrap/>
            <w:hideMark/>
          </w:tcPr>
          <w:p w14:paraId="5AAEC46E" w14:textId="77777777" w:rsidR="00741843" w:rsidRPr="00367174" w:rsidRDefault="006916C1"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111,1</w:t>
            </w:r>
          </w:p>
        </w:tc>
        <w:tc>
          <w:tcPr>
            <w:tcW w:w="992" w:type="dxa"/>
            <w:tcBorders>
              <w:top w:val="nil"/>
              <w:left w:val="nil"/>
              <w:right w:val="single" w:sz="4" w:space="0" w:color="auto"/>
            </w:tcBorders>
            <w:shd w:val="clear" w:color="auto" w:fill="auto"/>
            <w:noWrap/>
            <w:hideMark/>
          </w:tcPr>
          <w:p w14:paraId="7DB291E4" w14:textId="77777777" w:rsidR="00741843" w:rsidRPr="00367174" w:rsidRDefault="00741843"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 </w:t>
            </w:r>
          </w:p>
        </w:tc>
        <w:tc>
          <w:tcPr>
            <w:tcW w:w="851" w:type="dxa"/>
            <w:tcBorders>
              <w:top w:val="nil"/>
              <w:left w:val="nil"/>
              <w:right w:val="single" w:sz="4" w:space="0" w:color="auto"/>
            </w:tcBorders>
            <w:shd w:val="clear" w:color="auto" w:fill="auto"/>
            <w:noWrap/>
          </w:tcPr>
          <w:p w14:paraId="4693C12D" w14:textId="77777777" w:rsidR="00741843" w:rsidRPr="00367174" w:rsidRDefault="006916C1"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25,4</w:t>
            </w:r>
          </w:p>
        </w:tc>
      </w:tr>
      <w:tr w:rsidR="00644E84" w:rsidRPr="00644E84" w14:paraId="3C39AC9A" w14:textId="77777777" w:rsidTr="00AA0E06">
        <w:trPr>
          <w:trHeight w:val="255"/>
          <w:jc w:val="center"/>
        </w:trPr>
        <w:tc>
          <w:tcPr>
            <w:tcW w:w="2966" w:type="dxa"/>
            <w:tcBorders>
              <w:top w:val="nil"/>
              <w:left w:val="single" w:sz="4" w:space="0" w:color="auto"/>
              <w:right w:val="single" w:sz="4" w:space="0" w:color="auto"/>
            </w:tcBorders>
            <w:shd w:val="clear" w:color="auto" w:fill="auto"/>
            <w:hideMark/>
          </w:tcPr>
          <w:p w14:paraId="5A80AA3E" w14:textId="77777777" w:rsidR="00741843" w:rsidRPr="00644E84" w:rsidRDefault="00644E84" w:rsidP="00B87545">
            <w:pPr>
              <w:spacing w:after="0"/>
              <w:ind w:firstLine="0"/>
              <w:jc w:val="left"/>
              <w:rPr>
                <w:rFonts w:eastAsia="Times New Roman" w:cs="Times New Roman"/>
                <w:i/>
                <w:sz w:val="20"/>
                <w:szCs w:val="20"/>
                <w:lang w:eastAsia="lv-LV"/>
              </w:rPr>
            </w:pPr>
            <w:r w:rsidRPr="00644E84">
              <w:rPr>
                <w:rFonts w:eastAsia="Times New Roman" w:cs="Times New Roman"/>
                <w:i/>
                <w:sz w:val="20"/>
                <w:szCs w:val="20"/>
                <w:lang w:eastAsia="lv-LV"/>
              </w:rPr>
              <w:t xml:space="preserve">   </w:t>
            </w:r>
            <w:r w:rsidR="00741843" w:rsidRPr="00644E84">
              <w:rPr>
                <w:rFonts w:eastAsia="Times New Roman" w:cs="Times New Roman"/>
                <w:i/>
                <w:sz w:val="20"/>
                <w:szCs w:val="20"/>
                <w:lang w:eastAsia="lv-LV"/>
              </w:rPr>
              <w:t>Valsts sociālās apdrošināšanas pabalsti naudā</w:t>
            </w:r>
          </w:p>
        </w:tc>
        <w:tc>
          <w:tcPr>
            <w:tcW w:w="998" w:type="dxa"/>
            <w:tcBorders>
              <w:top w:val="nil"/>
              <w:left w:val="nil"/>
              <w:right w:val="single" w:sz="4" w:space="0" w:color="auto"/>
            </w:tcBorders>
            <w:shd w:val="clear" w:color="auto" w:fill="auto"/>
            <w:noWrap/>
            <w:hideMark/>
          </w:tcPr>
          <w:p w14:paraId="150FF9B2"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56 687</w:t>
            </w:r>
          </w:p>
        </w:tc>
        <w:tc>
          <w:tcPr>
            <w:tcW w:w="993" w:type="dxa"/>
            <w:tcBorders>
              <w:top w:val="nil"/>
              <w:left w:val="nil"/>
              <w:right w:val="single" w:sz="4" w:space="0" w:color="auto"/>
            </w:tcBorders>
            <w:shd w:val="clear" w:color="auto" w:fill="auto"/>
            <w:noWrap/>
          </w:tcPr>
          <w:p w14:paraId="20EAEE18" w14:textId="77777777" w:rsidR="00741843" w:rsidRPr="00644E84" w:rsidRDefault="00741843" w:rsidP="00B87545">
            <w:pPr>
              <w:spacing w:after="0"/>
              <w:ind w:firstLine="0"/>
              <w:jc w:val="right"/>
              <w:rPr>
                <w:rFonts w:eastAsia="Times New Roman" w:cs="Times New Roman"/>
                <w:i/>
                <w:sz w:val="20"/>
                <w:szCs w:val="20"/>
                <w:lang w:eastAsia="lv-LV"/>
              </w:rPr>
            </w:pPr>
          </w:p>
        </w:tc>
        <w:tc>
          <w:tcPr>
            <w:tcW w:w="992" w:type="dxa"/>
            <w:tcBorders>
              <w:top w:val="nil"/>
              <w:left w:val="nil"/>
              <w:right w:val="single" w:sz="4" w:space="0" w:color="auto"/>
            </w:tcBorders>
            <w:shd w:val="clear" w:color="auto" w:fill="auto"/>
            <w:noWrap/>
            <w:hideMark/>
          </w:tcPr>
          <w:p w14:paraId="6FBCCCAF"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72 364</w:t>
            </w:r>
          </w:p>
        </w:tc>
        <w:tc>
          <w:tcPr>
            <w:tcW w:w="1131" w:type="dxa"/>
            <w:tcBorders>
              <w:top w:val="nil"/>
              <w:left w:val="nil"/>
              <w:right w:val="single" w:sz="4" w:space="0" w:color="auto"/>
            </w:tcBorders>
            <w:shd w:val="clear" w:color="auto" w:fill="auto"/>
            <w:noWrap/>
          </w:tcPr>
          <w:p w14:paraId="390537BB"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249 698</w:t>
            </w:r>
          </w:p>
        </w:tc>
        <w:tc>
          <w:tcPr>
            <w:tcW w:w="853" w:type="dxa"/>
            <w:tcBorders>
              <w:top w:val="nil"/>
              <w:left w:val="nil"/>
              <w:right w:val="single" w:sz="4" w:space="0" w:color="auto"/>
            </w:tcBorders>
            <w:shd w:val="clear" w:color="auto" w:fill="auto"/>
            <w:noWrap/>
            <w:hideMark/>
          </w:tcPr>
          <w:p w14:paraId="1837D8FA" w14:textId="77777777" w:rsidR="00741843" w:rsidRPr="00367174" w:rsidRDefault="006916C1"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127,7</w:t>
            </w:r>
          </w:p>
        </w:tc>
        <w:tc>
          <w:tcPr>
            <w:tcW w:w="992" w:type="dxa"/>
            <w:tcBorders>
              <w:top w:val="nil"/>
              <w:left w:val="nil"/>
              <w:right w:val="single" w:sz="4" w:space="0" w:color="auto"/>
            </w:tcBorders>
            <w:shd w:val="clear" w:color="auto" w:fill="auto"/>
            <w:noWrap/>
            <w:hideMark/>
          </w:tcPr>
          <w:p w14:paraId="318BB2B5" w14:textId="77777777" w:rsidR="00741843" w:rsidRPr="00367174" w:rsidRDefault="00741843"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 </w:t>
            </w:r>
          </w:p>
        </w:tc>
        <w:tc>
          <w:tcPr>
            <w:tcW w:w="851" w:type="dxa"/>
            <w:tcBorders>
              <w:top w:val="nil"/>
              <w:left w:val="nil"/>
              <w:right w:val="single" w:sz="4" w:space="0" w:color="auto"/>
            </w:tcBorders>
            <w:shd w:val="clear" w:color="auto" w:fill="auto"/>
            <w:noWrap/>
          </w:tcPr>
          <w:p w14:paraId="575392F5" w14:textId="77777777" w:rsidR="00741843" w:rsidRPr="00367174" w:rsidRDefault="006916C1"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29,0</w:t>
            </w:r>
          </w:p>
        </w:tc>
      </w:tr>
      <w:tr w:rsidR="00644E84" w:rsidRPr="00644E84" w14:paraId="2659BFBA" w14:textId="77777777" w:rsidTr="00AA0E06">
        <w:trPr>
          <w:trHeight w:val="480"/>
          <w:jc w:val="center"/>
        </w:trPr>
        <w:tc>
          <w:tcPr>
            <w:tcW w:w="2966" w:type="dxa"/>
            <w:tcBorders>
              <w:top w:val="nil"/>
              <w:left w:val="single" w:sz="4" w:space="0" w:color="auto"/>
              <w:right w:val="single" w:sz="4" w:space="0" w:color="auto"/>
            </w:tcBorders>
            <w:shd w:val="clear" w:color="auto" w:fill="auto"/>
            <w:hideMark/>
          </w:tcPr>
          <w:p w14:paraId="0B9F637E" w14:textId="77777777" w:rsidR="00741843" w:rsidRPr="00644E84" w:rsidRDefault="00644E84" w:rsidP="00B87545">
            <w:pPr>
              <w:spacing w:after="0"/>
              <w:ind w:firstLine="0"/>
              <w:jc w:val="left"/>
              <w:rPr>
                <w:rFonts w:eastAsia="Times New Roman" w:cs="Times New Roman"/>
                <w:i/>
                <w:sz w:val="20"/>
                <w:szCs w:val="20"/>
                <w:lang w:eastAsia="lv-LV"/>
              </w:rPr>
            </w:pPr>
            <w:r w:rsidRPr="00644E84">
              <w:rPr>
                <w:rFonts w:eastAsia="Times New Roman" w:cs="Times New Roman"/>
                <w:i/>
                <w:sz w:val="20"/>
                <w:szCs w:val="20"/>
                <w:lang w:eastAsia="lv-LV"/>
              </w:rPr>
              <w:t xml:space="preserve">   </w:t>
            </w:r>
            <w:r w:rsidR="00741843" w:rsidRPr="00644E84">
              <w:rPr>
                <w:rFonts w:eastAsia="Times New Roman" w:cs="Times New Roman"/>
                <w:i/>
                <w:sz w:val="20"/>
                <w:szCs w:val="20"/>
                <w:lang w:eastAsia="lv-LV"/>
              </w:rPr>
              <w:t>Valsts un pašvaldību nodarbinātības pabalsti naudā</w:t>
            </w:r>
          </w:p>
        </w:tc>
        <w:tc>
          <w:tcPr>
            <w:tcW w:w="998" w:type="dxa"/>
            <w:tcBorders>
              <w:top w:val="nil"/>
              <w:left w:val="nil"/>
              <w:right w:val="single" w:sz="4" w:space="0" w:color="auto"/>
            </w:tcBorders>
            <w:shd w:val="clear" w:color="auto" w:fill="auto"/>
            <w:noWrap/>
            <w:hideMark/>
          </w:tcPr>
          <w:p w14:paraId="7CB8A08D"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23 361</w:t>
            </w:r>
          </w:p>
        </w:tc>
        <w:tc>
          <w:tcPr>
            <w:tcW w:w="993" w:type="dxa"/>
            <w:tcBorders>
              <w:top w:val="nil"/>
              <w:left w:val="nil"/>
              <w:right w:val="single" w:sz="4" w:space="0" w:color="auto"/>
            </w:tcBorders>
            <w:shd w:val="clear" w:color="auto" w:fill="auto"/>
            <w:noWrap/>
          </w:tcPr>
          <w:p w14:paraId="51F441E0" w14:textId="77777777" w:rsidR="00741843" w:rsidRPr="00644E84" w:rsidRDefault="00741843" w:rsidP="00B87545">
            <w:pPr>
              <w:spacing w:after="0"/>
              <w:ind w:firstLine="0"/>
              <w:jc w:val="right"/>
              <w:rPr>
                <w:rFonts w:eastAsia="Times New Roman" w:cs="Times New Roman"/>
                <w:i/>
                <w:sz w:val="20"/>
                <w:szCs w:val="20"/>
                <w:lang w:eastAsia="lv-LV"/>
              </w:rPr>
            </w:pPr>
          </w:p>
        </w:tc>
        <w:tc>
          <w:tcPr>
            <w:tcW w:w="992" w:type="dxa"/>
            <w:tcBorders>
              <w:top w:val="nil"/>
              <w:left w:val="nil"/>
              <w:right w:val="single" w:sz="4" w:space="0" w:color="auto"/>
            </w:tcBorders>
            <w:shd w:val="clear" w:color="auto" w:fill="auto"/>
            <w:noWrap/>
            <w:hideMark/>
          </w:tcPr>
          <w:p w14:paraId="22900392"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24 642</w:t>
            </w:r>
          </w:p>
        </w:tc>
        <w:tc>
          <w:tcPr>
            <w:tcW w:w="1131" w:type="dxa"/>
            <w:tcBorders>
              <w:top w:val="nil"/>
              <w:left w:val="nil"/>
              <w:right w:val="single" w:sz="4" w:space="0" w:color="auto"/>
            </w:tcBorders>
            <w:shd w:val="clear" w:color="auto" w:fill="auto"/>
            <w:noWrap/>
          </w:tcPr>
          <w:p w14:paraId="09E5BFAD"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97 185</w:t>
            </w:r>
          </w:p>
        </w:tc>
        <w:tc>
          <w:tcPr>
            <w:tcW w:w="853" w:type="dxa"/>
            <w:tcBorders>
              <w:top w:val="nil"/>
              <w:left w:val="nil"/>
              <w:right w:val="single" w:sz="4" w:space="0" w:color="auto"/>
            </w:tcBorders>
            <w:shd w:val="clear" w:color="auto" w:fill="auto"/>
            <w:noWrap/>
            <w:hideMark/>
          </w:tcPr>
          <w:p w14:paraId="4DF6F5D6" w14:textId="77777777" w:rsidR="00741843" w:rsidRPr="00367174" w:rsidRDefault="006916C1"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105,5</w:t>
            </w:r>
          </w:p>
        </w:tc>
        <w:tc>
          <w:tcPr>
            <w:tcW w:w="992" w:type="dxa"/>
            <w:tcBorders>
              <w:top w:val="nil"/>
              <w:left w:val="nil"/>
              <w:right w:val="single" w:sz="4" w:space="0" w:color="auto"/>
            </w:tcBorders>
            <w:shd w:val="clear" w:color="auto" w:fill="auto"/>
            <w:noWrap/>
            <w:hideMark/>
          </w:tcPr>
          <w:p w14:paraId="1641F01B" w14:textId="77777777" w:rsidR="00741843" w:rsidRPr="00367174" w:rsidRDefault="00741843"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 </w:t>
            </w:r>
          </w:p>
        </w:tc>
        <w:tc>
          <w:tcPr>
            <w:tcW w:w="851" w:type="dxa"/>
            <w:tcBorders>
              <w:top w:val="nil"/>
              <w:left w:val="nil"/>
              <w:right w:val="single" w:sz="4" w:space="0" w:color="auto"/>
            </w:tcBorders>
            <w:shd w:val="clear" w:color="auto" w:fill="auto"/>
            <w:noWrap/>
          </w:tcPr>
          <w:p w14:paraId="7AA4FBB8" w14:textId="77777777" w:rsidR="00741843" w:rsidRPr="00367174" w:rsidRDefault="006916C1"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25,4</w:t>
            </w:r>
          </w:p>
        </w:tc>
      </w:tr>
      <w:tr w:rsidR="00644E84" w:rsidRPr="00644E84" w14:paraId="439C4594" w14:textId="77777777" w:rsidTr="00AA0E06">
        <w:trPr>
          <w:trHeight w:val="457"/>
          <w:jc w:val="center"/>
        </w:trPr>
        <w:tc>
          <w:tcPr>
            <w:tcW w:w="2966" w:type="dxa"/>
            <w:tcBorders>
              <w:top w:val="nil"/>
              <w:left w:val="single" w:sz="4" w:space="0" w:color="auto"/>
              <w:bottom w:val="single" w:sz="4" w:space="0" w:color="auto"/>
              <w:right w:val="single" w:sz="4" w:space="0" w:color="auto"/>
            </w:tcBorders>
            <w:shd w:val="clear" w:color="auto" w:fill="auto"/>
            <w:hideMark/>
          </w:tcPr>
          <w:p w14:paraId="5C1CFC0A" w14:textId="77777777" w:rsidR="00741843" w:rsidRPr="00644E84" w:rsidRDefault="00644E84" w:rsidP="00B87545">
            <w:pPr>
              <w:spacing w:after="0"/>
              <w:ind w:firstLine="0"/>
              <w:jc w:val="left"/>
              <w:rPr>
                <w:rFonts w:eastAsia="Times New Roman" w:cs="Times New Roman"/>
                <w:i/>
                <w:sz w:val="20"/>
                <w:szCs w:val="20"/>
                <w:lang w:eastAsia="lv-LV"/>
              </w:rPr>
            </w:pPr>
            <w:r w:rsidRPr="00644E84">
              <w:rPr>
                <w:rFonts w:eastAsia="Times New Roman" w:cs="Times New Roman"/>
                <w:i/>
                <w:sz w:val="20"/>
                <w:szCs w:val="20"/>
                <w:lang w:eastAsia="lv-LV"/>
              </w:rPr>
              <w:t xml:space="preserve">   </w:t>
            </w:r>
            <w:r w:rsidR="00741843" w:rsidRPr="00644E84">
              <w:rPr>
                <w:rFonts w:eastAsia="Times New Roman" w:cs="Times New Roman"/>
                <w:i/>
                <w:sz w:val="20"/>
                <w:szCs w:val="20"/>
                <w:lang w:eastAsia="lv-LV"/>
              </w:rPr>
              <w:t>Valsts un pašvaldību budžeta maksājumi</w:t>
            </w:r>
          </w:p>
        </w:tc>
        <w:tc>
          <w:tcPr>
            <w:tcW w:w="998" w:type="dxa"/>
            <w:tcBorders>
              <w:top w:val="nil"/>
              <w:left w:val="nil"/>
              <w:bottom w:val="single" w:sz="4" w:space="0" w:color="auto"/>
              <w:right w:val="single" w:sz="4" w:space="0" w:color="auto"/>
            </w:tcBorders>
            <w:shd w:val="clear" w:color="auto" w:fill="auto"/>
            <w:noWrap/>
            <w:hideMark/>
          </w:tcPr>
          <w:p w14:paraId="5EFDF1AF"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173</w:t>
            </w:r>
          </w:p>
        </w:tc>
        <w:tc>
          <w:tcPr>
            <w:tcW w:w="993" w:type="dxa"/>
            <w:tcBorders>
              <w:top w:val="nil"/>
              <w:left w:val="nil"/>
              <w:bottom w:val="single" w:sz="4" w:space="0" w:color="auto"/>
              <w:right w:val="single" w:sz="4" w:space="0" w:color="auto"/>
            </w:tcBorders>
            <w:shd w:val="clear" w:color="auto" w:fill="auto"/>
            <w:noWrap/>
          </w:tcPr>
          <w:p w14:paraId="4F2DAF8C" w14:textId="77777777" w:rsidR="00741843" w:rsidRPr="00644E84" w:rsidRDefault="00741843" w:rsidP="00B87545">
            <w:pPr>
              <w:spacing w:after="0"/>
              <w:ind w:firstLine="0"/>
              <w:jc w:val="right"/>
              <w:rPr>
                <w:rFonts w:eastAsia="Times New Roman" w:cs="Times New Roman"/>
                <w:i/>
                <w:sz w:val="20"/>
                <w:szCs w:val="20"/>
                <w:lang w:eastAsia="lv-LV"/>
              </w:rPr>
            </w:pPr>
          </w:p>
        </w:tc>
        <w:tc>
          <w:tcPr>
            <w:tcW w:w="992" w:type="dxa"/>
            <w:tcBorders>
              <w:top w:val="nil"/>
              <w:left w:val="nil"/>
              <w:bottom w:val="single" w:sz="4" w:space="0" w:color="auto"/>
              <w:right w:val="single" w:sz="4" w:space="0" w:color="auto"/>
            </w:tcBorders>
            <w:shd w:val="clear" w:color="auto" w:fill="auto"/>
            <w:noWrap/>
            <w:hideMark/>
          </w:tcPr>
          <w:p w14:paraId="26B47A0F"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20</w:t>
            </w:r>
          </w:p>
        </w:tc>
        <w:tc>
          <w:tcPr>
            <w:tcW w:w="1131" w:type="dxa"/>
            <w:tcBorders>
              <w:top w:val="nil"/>
              <w:left w:val="nil"/>
              <w:bottom w:val="single" w:sz="4" w:space="0" w:color="auto"/>
              <w:right w:val="single" w:sz="4" w:space="0" w:color="auto"/>
            </w:tcBorders>
            <w:shd w:val="clear" w:color="auto" w:fill="auto"/>
            <w:noWrap/>
          </w:tcPr>
          <w:p w14:paraId="74BB5003" w14:textId="77777777" w:rsidR="00741843" w:rsidRPr="00644E84"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1 380</w:t>
            </w:r>
          </w:p>
        </w:tc>
        <w:tc>
          <w:tcPr>
            <w:tcW w:w="853" w:type="dxa"/>
            <w:tcBorders>
              <w:top w:val="nil"/>
              <w:left w:val="nil"/>
              <w:bottom w:val="single" w:sz="4" w:space="0" w:color="auto"/>
              <w:right w:val="single" w:sz="4" w:space="0" w:color="auto"/>
            </w:tcBorders>
            <w:shd w:val="clear" w:color="auto" w:fill="auto"/>
            <w:noWrap/>
            <w:hideMark/>
          </w:tcPr>
          <w:p w14:paraId="50F976A1" w14:textId="77777777" w:rsidR="00741843" w:rsidRPr="00367174" w:rsidRDefault="006916C1"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11,6</w:t>
            </w:r>
          </w:p>
        </w:tc>
        <w:tc>
          <w:tcPr>
            <w:tcW w:w="992" w:type="dxa"/>
            <w:tcBorders>
              <w:top w:val="nil"/>
              <w:left w:val="nil"/>
              <w:bottom w:val="single" w:sz="4" w:space="0" w:color="auto"/>
              <w:right w:val="single" w:sz="4" w:space="0" w:color="auto"/>
            </w:tcBorders>
            <w:shd w:val="clear" w:color="auto" w:fill="auto"/>
            <w:noWrap/>
            <w:hideMark/>
          </w:tcPr>
          <w:p w14:paraId="0D48DBED" w14:textId="77777777" w:rsidR="00741843" w:rsidRPr="00367174" w:rsidRDefault="00741843"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 </w:t>
            </w:r>
          </w:p>
        </w:tc>
        <w:tc>
          <w:tcPr>
            <w:tcW w:w="851" w:type="dxa"/>
            <w:tcBorders>
              <w:top w:val="nil"/>
              <w:left w:val="nil"/>
              <w:bottom w:val="single" w:sz="4" w:space="0" w:color="auto"/>
              <w:right w:val="single" w:sz="4" w:space="0" w:color="auto"/>
            </w:tcBorders>
            <w:shd w:val="clear" w:color="auto" w:fill="auto"/>
            <w:noWrap/>
          </w:tcPr>
          <w:p w14:paraId="3F29D9FB" w14:textId="77777777" w:rsidR="00741843" w:rsidRPr="00367174" w:rsidRDefault="006916C1"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1,4</w:t>
            </w:r>
          </w:p>
        </w:tc>
      </w:tr>
      <w:tr w:rsidR="00644E84" w:rsidRPr="00644E84" w14:paraId="117E52B9" w14:textId="77777777" w:rsidTr="00AA0E06">
        <w:trPr>
          <w:trHeight w:val="255"/>
          <w:jc w:val="center"/>
        </w:trPr>
        <w:tc>
          <w:tcPr>
            <w:tcW w:w="2966" w:type="dxa"/>
            <w:tcBorders>
              <w:top w:val="single" w:sz="4" w:space="0" w:color="auto"/>
              <w:left w:val="single" w:sz="4" w:space="0" w:color="auto"/>
              <w:right w:val="single" w:sz="4" w:space="0" w:color="auto"/>
            </w:tcBorders>
            <w:shd w:val="clear" w:color="auto" w:fill="auto"/>
            <w:hideMark/>
          </w:tcPr>
          <w:p w14:paraId="5D261EF9" w14:textId="77777777" w:rsidR="00741843" w:rsidRPr="00644E84" w:rsidRDefault="00741843" w:rsidP="00B87545">
            <w:pPr>
              <w:spacing w:after="0"/>
              <w:ind w:firstLine="0"/>
              <w:jc w:val="left"/>
              <w:rPr>
                <w:rFonts w:eastAsia="Times New Roman" w:cs="Times New Roman"/>
                <w:b/>
                <w:sz w:val="20"/>
                <w:szCs w:val="20"/>
                <w:lang w:eastAsia="lv-LV"/>
              </w:rPr>
            </w:pPr>
            <w:r w:rsidRPr="00644E84">
              <w:rPr>
                <w:rFonts w:eastAsia="Times New Roman" w:cs="Times New Roman"/>
                <w:b/>
                <w:sz w:val="20"/>
                <w:szCs w:val="20"/>
                <w:lang w:eastAsia="lv-LV"/>
              </w:rPr>
              <w:t>Kārtējie maksājumi Eiropas Savienības budžetā un starptautiskā sadarbība</w:t>
            </w:r>
          </w:p>
        </w:tc>
        <w:tc>
          <w:tcPr>
            <w:tcW w:w="998" w:type="dxa"/>
            <w:tcBorders>
              <w:top w:val="single" w:sz="4" w:space="0" w:color="auto"/>
              <w:left w:val="nil"/>
              <w:right w:val="single" w:sz="4" w:space="0" w:color="auto"/>
            </w:tcBorders>
            <w:shd w:val="clear" w:color="auto" w:fill="auto"/>
            <w:noWrap/>
            <w:hideMark/>
          </w:tcPr>
          <w:p w14:paraId="1A7F18FE" w14:textId="77777777" w:rsidR="00741843" w:rsidRPr="00644E84" w:rsidRDefault="00741843" w:rsidP="00B87545">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17</w:t>
            </w:r>
          </w:p>
        </w:tc>
        <w:tc>
          <w:tcPr>
            <w:tcW w:w="993" w:type="dxa"/>
            <w:tcBorders>
              <w:top w:val="single" w:sz="4" w:space="0" w:color="auto"/>
              <w:left w:val="nil"/>
              <w:right w:val="single" w:sz="4" w:space="0" w:color="auto"/>
            </w:tcBorders>
            <w:shd w:val="clear" w:color="auto" w:fill="auto"/>
            <w:noWrap/>
            <w:hideMark/>
          </w:tcPr>
          <w:p w14:paraId="18EE7648" w14:textId="77777777" w:rsidR="00741843" w:rsidRPr="00644E84" w:rsidRDefault="00741843" w:rsidP="00B87545">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17</w:t>
            </w:r>
          </w:p>
        </w:tc>
        <w:tc>
          <w:tcPr>
            <w:tcW w:w="992" w:type="dxa"/>
            <w:tcBorders>
              <w:top w:val="single" w:sz="4" w:space="0" w:color="auto"/>
              <w:left w:val="nil"/>
              <w:right w:val="single" w:sz="4" w:space="0" w:color="auto"/>
            </w:tcBorders>
            <w:shd w:val="clear" w:color="auto" w:fill="auto"/>
            <w:noWrap/>
            <w:hideMark/>
          </w:tcPr>
          <w:p w14:paraId="0F3C6FDE" w14:textId="77777777" w:rsidR="00741843" w:rsidRPr="00644E84" w:rsidRDefault="00741843" w:rsidP="00B87545">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17</w:t>
            </w:r>
          </w:p>
        </w:tc>
        <w:tc>
          <w:tcPr>
            <w:tcW w:w="1131" w:type="dxa"/>
            <w:tcBorders>
              <w:top w:val="single" w:sz="4" w:space="0" w:color="auto"/>
              <w:left w:val="nil"/>
              <w:right w:val="single" w:sz="4" w:space="0" w:color="auto"/>
            </w:tcBorders>
            <w:shd w:val="clear" w:color="auto" w:fill="auto"/>
            <w:noWrap/>
            <w:hideMark/>
          </w:tcPr>
          <w:p w14:paraId="1C9C449C" w14:textId="77777777" w:rsidR="00741843" w:rsidRPr="00644E84" w:rsidRDefault="00741843" w:rsidP="00B87545">
            <w:pPr>
              <w:spacing w:after="0"/>
              <w:ind w:firstLine="0"/>
              <w:jc w:val="right"/>
              <w:rPr>
                <w:rFonts w:eastAsia="Times New Roman" w:cs="Times New Roman"/>
                <w:b/>
                <w:sz w:val="20"/>
                <w:szCs w:val="20"/>
                <w:lang w:eastAsia="lv-LV"/>
              </w:rPr>
            </w:pPr>
            <w:r w:rsidRPr="00644E84">
              <w:rPr>
                <w:rFonts w:eastAsia="Times New Roman" w:cs="Times New Roman"/>
                <w:b/>
                <w:sz w:val="20"/>
                <w:szCs w:val="20"/>
                <w:lang w:eastAsia="lv-LV"/>
              </w:rPr>
              <w:t>17</w:t>
            </w:r>
          </w:p>
        </w:tc>
        <w:tc>
          <w:tcPr>
            <w:tcW w:w="853" w:type="dxa"/>
            <w:tcBorders>
              <w:top w:val="single" w:sz="4" w:space="0" w:color="auto"/>
              <w:left w:val="nil"/>
              <w:right w:val="single" w:sz="4" w:space="0" w:color="auto"/>
            </w:tcBorders>
            <w:shd w:val="clear" w:color="auto" w:fill="auto"/>
            <w:noWrap/>
            <w:hideMark/>
          </w:tcPr>
          <w:p w14:paraId="3200C78D" w14:textId="77777777" w:rsidR="00741843" w:rsidRPr="00367174" w:rsidRDefault="00D86EC6" w:rsidP="00D86EC6">
            <w:pPr>
              <w:spacing w:after="0"/>
              <w:ind w:firstLine="0"/>
              <w:jc w:val="center"/>
              <w:rPr>
                <w:rFonts w:eastAsia="Times New Roman" w:cs="Times New Roman"/>
                <w:b/>
                <w:sz w:val="20"/>
                <w:szCs w:val="20"/>
                <w:lang w:eastAsia="lv-LV"/>
              </w:rPr>
            </w:pPr>
            <w:r w:rsidRPr="00367174">
              <w:rPr>
                <w:rFonts w:eastAsia="Times New Roman" w:cs="Times New Roman"/>
                <w:b/>
                <w:sz w:val="20"/>
                <w:szCs w:val="20"/>
                <w:lang w:eastAsia="lv-LV"/>
              </w:rPr>
              <w:t>100</w:t>
            </w:r>
            <w:r w:rsidR="006916C1" w:rsidRPr="00367174">
              <w:rPr>
                <w:rFonts w:eastAsia="Times New Roman" w:cs="Times New Roman"/>
                <w:b/>
                <w:sz w:val="20"/>
                <w:szCs w:val="20"/>
                <w:lang w:eastAsia="lv-LV"/>
              </w:rPr>
              <w:t>,</w:t>
            </w:r>
            <w:r w:rsidRPr="00367174">
              <w:rPr>
                <w:rFonts w:eastAsia="Times New Roman" w:cs="Times New Roman"/>
                <w:b/>
                <w:sz w:val="20"/>
                <w:szCs w:val="20"/>
                <w:lang w:eastAsia="lv-LV"/>
              </w:rPr>
              <w:t>0</w:t>
            </w:r>
          </w:p>
        </w:tc>
        <w:tc>
          <w:tcPr>
            <w:tcW w:w="992" w:type="dxa"/>
            <w:tcBorders>
              <w:top w:val="single" w:sz="4" w:space="0" w:color="auto"/>
              <w:left w:val="nil"/>
              <w:right w:val="single" w:sz="4" w:space="0" w:color="auto"/>
            </w:tcBorders>
            <w:shd w:val="clear" w:color="auto" w:fill="auto"/>
            <w:noWrap/>
            <w:hideMark/>
          </w:tcPr>
          <w:p w14:paraId="62F42C82" w14:textId="77777777" w:rsidR="00741843" w:rsidRPr="00367174" w:rsidRDefault="006916C1" w:rsidP="00B87545">
            <w:pPr>
              <w:spacing w:after="0"/>
              <w:ind w:firstLine="0"/>
              <w:jc w:val="center"/>
              <w:rPr>
                <w:rFonts w:eastAsia="Times New Roman" w:cs="Times New Roman"/>
                <w:b/>
                <w:sz w:val="20"/>
                <w:szCs w:val="20"/>
                <w:lang w:eastAsia="lv-LV"/>
              </w:rPr>
            </w:pPr>
            <w:r w:rsidRPr="00367174">
              <w:rPr>
                <w:rFonts w:eastAsia="Times New Roman" w:cs="Times New Roman"/>
                <w:b/>
                <w:sz w:val="20"/>
                <w:szCs w:val="20"/>
                <w:lang w:eastAsia="lv-LV"/>
              </w:rPr>
              <w:t>100,0</w:t>
            </w:r>
          </w:p>
        </w:tc>
        <w:tc>
          <w:tcPr>
            <w:tcW w:w="851" w:type="dxa"/>
            <w:tcBorders>
              <w:top w:val="single" w:sz="4" w:space="0" w:color="auto"/>
              <w:left w:val="nil"/>
              <w:right w:val="single" w:sz="4" w:space="0" w:color="auto"/>
            </w:tcBorders>
            <w:shd w:val="clear" w:color="auto" w:fill="auto"/>
            <w:noWrap/>
            <w:hideMark/>
          </w:tcPr>
          <w:p w14:paraId="4C5C7196" w14:textId="77777777" w:rsidR="00741843" w:rsidRPr="00367174" w:rsidRDefault="006916C1" w:rsidP="00B87545">
            <w:pPr>
              <w:spacing w:after="0"/>
              <w:ind w:firstLine="0"/>
              <w:jc w:val="center"/>
              <w:rPr>
                <w:rFonts w:eastAsia="Times New Roman" w:cs="Times New Roman"/>
                <w:b/>
                <w:sz w:val="20"/>
                <w:szCs w:val="20"/>
                <w:lang w:eastAsia="lv-LV"/>
              </w:rPr>
            </w:pPr>
            <w:r w:rsidRPr="00367174">
              <w:rPr>
                <w:rFonts w:eastAsia="Times New Roman" w:cs="Times New Roman"/>
                <w:b/>
                <w:sz w:val="20"/>
                <w:szCs w:val="20"/>
                <w:lang w:eastAsia="lv-LV"/>
              </w:rPr>
              <w:t>100,0</w:t>
            </w:r>
          </w:p>
        </w:tc>
      </w:tr>
      <w:tr w:rsidR="00644E84" w:rsidRPr="00644E84" w14:paraId="3A4FF8CD" w14:textId="77777777" w:rsidTr="00AA0E06">
        <w:trPr>
          <w:trHeight w:val="255"/>
          <w:jc w:val="center"/>
        </w:trPr>
        <w:tc>
          <w:tcPr>
            <w:tcW w:w="2966" w:type="dxa"/>
            <w:tcBorders>
              <w:top w:val="nil"/>
              <w:left w:val="single" w:sz="4" w:space="0" w:color="auto"/>
              <w:bottom w:val="single" w:sz="4" w:space="0" w:color="auto"/>
              <w:right w:val="single" w:sz="4" w:space="0" w:color="auto"/>
            </w:tcBorders>
            <w:shd w:val="clear" w:color="auto" w:fill="auto"/>
            <w:hideMark/>
          </w:tcPr>
          <w:p w14:paraId="363844C5" w14:textId="77777777" w:rsidR="00741843" w:rsidRPr="00644E84" w:rsidRDefault="00741843" w:rsidP="00B87545">
            <w:pPr>
              <w:spacing w:after="0"/>
              <w:ind w:firstLine="0"/>
              <w:jc w:val="left"/>
              <w:rPr>
                <w:rFonts w:eastAsia="Times New Roman" w:cs="Times New Roman"/>
                <w:sz w:val="20"/>
                <w:szCs w:val="20"/>
                <w:lang w:eastAsia="lv-LV"/>
              </w:rPr>
            </w:pPr>
            <w:r w:rsidRPr="00644E84">
              <w:rPr>
                <w:rFonts w:eastAsia="Times New Roman" w:cs="Times New Roman"/>
                <w:sz w:val="20"/>
                <w:szCs w:val="20"/>
                <w:lang w:eastAsia="lv-LV"/>
              </w:rPr>
              <w:t>Starptautiskā sadarbība</w:t>
            </w:r>
          </w:p>
        </w:tc>
        <w:tc>
          <w:tcPr>
            <w:tcW w:w="998" w:type="dxa"/>
            <w:tcBorders>
              <w:top w:val="nil"/>
              <w:left w:val="nil"/>
              <w:bottom w:val="single" w:sz="4" w:space="0" w:color="auto"/>
              <w:right w:val="single" w:sz="4" w:space="0" w:color="auto"/>
            </w:tcBorders>
            <w:shd w:val="clear" w:color="auto" w:fill="auto"/>
            <w:noWrap/>
            <w:hideMark/>
          </w:tcPr>
          <w:p w14:paraId="27B310EF" w14:textId="77777777" w:rsidR="00741843" w:rsidRPr="00644E84" w:rsidRDefault="00741843" w:rsidP="00B87545">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17</w:t>
            </w:r>
          </w:p>
        </w:tc>
        <w:tc>
          <w:tcPr>
            <w:tcW w:w="993" w:type="dxa"/>
            <w:tcBorders>
              <w:top w:val="nil"/>
              <w:left w:val="nil"/>
              <w:bottom w:val="single" w:sz="4" w:space="0" w:color="auto"/>
              <w:right w:val="single" w:sz="4" w:space="0" w:color="auto"/>
            </w:tcBorders>
            <w:shd w:val="clear" w:color="auto" w:fill="auto"/>
            <w:noWrap/>
            <w:hideMark/>
          </w:tcPr>
          <w:p w14:paraId="1B9D72B9" w14:textId="77777777" w:rsidR="00741843" w:rsidRPr="00644E84" w:rsidRDefault="00741843" w:rsidP="00B87545">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17</w:t>
            </w:r>
          </w:p>
        </w:tc>
        <w:tc>
          <w:tcPr>
            <w:tcW w:w="992" w:type="dxa"/>
            <w:tcBorders>
              <w:top w:val="nil"/>
              <w:left w:val="nil"/>
              <w:bottom w:val="single" w:sz="4" w:space="0" w:color="auto"/>
              <w:right w:val="single" w:sz="4" w:space="0" w:color="auto"/>
            </w:tcBorders>
            <w:shd w:val="clear" w:color="auto" w:fill="auto"/>
            <w:noWrap/>
            <w:hideMark/>
          </w:tcPr>
          <w:p w14:paraId="0246EB24" w14:textId="77777777" w:rsidR="00741843" w:rsidRPr="00644E84" w:rsidRDefault="00741843" w:rsidP="00B87545">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17</w:t>
            </w:r>
          </w:p>
        </w:tc>
        <w:tc>
          <w:tcPr>
            <w:tcW w:w="1131" w:type="dxa"/>
            <w:tcBorders>
              <w:top w:val="nil"/>
              <w:left w:val="nil"/>
              <w:bottom w:val="single" w:sz="4" w:space="0" w:color="auto"/>
              <w:right w:val="single" w:sz="4" w:space="0" w:color="auto"/>
            </w:tcBorders>
            <w:shd w:val="clear" w:color="auto" w:fill="auto"/>
            <w:noWrap/>
            <w:hideMark/>
          </w:tcPr>
          <w:p w14:paraId="75B785F0" w14:textId="77777777" w:rsidR="00741843" w:rsidRPr="00644E84" w:rsidRDefault="00741843" w:rsidP="00B87545">
            <w:pPr>
              <w:spacing w:after="0"/>
              <w:ind w:firstLine="0"/>
              <w:jc w:val="right"/>
              <w:rPr>
                <w:rFonts w:eastAsia="Times New Roman" w:cs="Times New Roman"/>
                <w:sz w:val="20"/>
                <w:szCs w:val="20"/>
                <w:lang w:eastAsia="lv-LV"/>
              </w:rPr>
            </w:pPr>
            <w:r w:rsidRPr="00644E84">
              <w:rPr>
                <w:rFonts w:eastAsia="Times New Roman" w:cs="Times New Roman"/>
                <w:sz w:val="20"/>
                <w:szCs w:val="20"/>
                <w:lang w:eastAsia="lv-LV"/>
              </w:rPr>
              <w:t>17</w:t>
            </w:r>
          </w:p>
        </w:tc>
        <w:tc>
          <w:tcPr>
            <w:tcW w:w="853" w:type="dxa"/>
            <w:tcBorders>
              <w:top w:val="nil"/>
              <w:left w:val="nil"/>
              <w:bottom w:val="single" w:sz="4" w:space="0" w:color="auto"/>
              <w:right w:val="single" w:sz="4" w:space="0" w:color="auto"/>
            </w:tcBorders>
            <w:shd w:val="clear" w:color="auto" w:fill="auto"/>
            <w:noWrap/>
            <w:hideMark/>
          </w:tcPr>
          <w:p w14:paraId="1C9A3B6F" w14:textId="77777777" w:rsidR="00741843" w:rsidRPr="00367174" w:rsidRDefault="00D86EC6" w:rsidP="00D86EC6">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100</w:t>
            </w:r>
            <w:r w:rsidR="006916C1" w:rsidRPr="00367174">
              <w:rPr>
                <w:rFonts w:eastAsia="Times New Roman" w:cs="Times New Roman"/>
                <w:sz w:val="20"/>
                <w:szCs w:val="20"/>
                <w:lang w:eastAsia="lv-LV"/>
              </w:rPr>
              <w:t>,</w:t>
            </w:r>
            <w:r w:rsidRPr="00367174">
              <w:rPr>
                <w:rFonts w:eastAsia="Times New Roman" w:cs="Times New Roman"/>
                <w:sz w:val="20"/>
                <w:szCs w:val="20"/>
                <w:lang w:eastAsia="lv-LV"/>
              </w:rPr>
              <w:t>0</w:t>
            </w:r>
          </w:p>
        </w:tc>
        <w:tc>
          <w:tcPr>
            <w:tcW w:w="992" w:type="dxa"/>
            <w:tcBorders>
              <w:top w:val="nil"/>
              <w:left w:val="nil"/>
              <w:bottom w:val="single" w:sz="4" w:space="0" w:color="auto"/>
              <w:right w:val="single" w:sz="4" w:space="0" w:color="auto"/>
            </w:tcBorders>
            <w:shd w:val="clear" w:color="auto" w:fill="auto"/>
            <w:noWrap/>
            <w:hideMark/>
          </w:tcPr>
          <w:p w14:paraId="63E6C373"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100,0</w:t>
            </w:r>
          </w:p>
        </w:tc>
        <w:tc>
          <w:tcPr>
            <w:tcW w:w="851" w:type="dxa"/>
            <w:tcBorders>
              <w:top w:val="nil"/>
              <w:left w:val="nil"/>
              <w:bottom w:val="single" w:sz="4" w:space="0" w:color="auto"/>
              <w:right w:val="single" w:sz="4" w:space="0" w:color="auto"/>
            </w:tcBorders>
            <w:shd w:val="clear" w:color="auto" w:fill="auto"/>
            <w:noWrap/>
            <w:hideMark/>
          </w:tcPr>
          <w:p w14:paraId="26E50079"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100,0</w:t>
            </w:r>
          </w:p>
        </w:tc>
      </w:tr>
      <w:tr w:rsidR="00644E84" w:rsidRPr="00644E84" w14:paraId="21197445" w14:textId="77777777" w:rsidTr="00AA0E06">
        <w:trPr>
          <w:trHeight w:val="255"/>
          <w:jc w:val="center"/>
        </w:trPr>
        <w:tc>
          <w:tcPr>
            <w:tcW w:w="2966" w:type="dxa"/>
            <w:tcBorders>
              <w:top w:val="single" w:sz="4" w:space="0" w:color="auto"/>
              <w:left w:val="single" w:sz="4" w:space="0" w:color="auto"/>
              <w:right w:val="single" w:sz="4" w:space="0" w:color="auto"/>
            </w:tcBorders>
            <w:shd w:val="clear" w:color="auto" w:fill="auto"/>
            <w:hideMark/>
          </w:tcPr>
          <w:p w14:paraId="290897F5" w14:textId="77777777" w:rsidR="00741843" w:rsidRPr="00644E84" w:rsidRDefault="00741843" w:rsidP="00B87545">
            <w:pPr>
              <w:spacing w:after="0"/>
              <w:ind w:firstLine="0"/>
              <w:jc w:val="left"/>
              <w:rPr>
                <w:rFonts w:eastAsia="Times New Roman" w:cs="Times New Roman"/>
                <w:b/>
                <w:sz w:val="20"/>
                <w:szCs w:val="20"/>
                <w:lang w:eastAsia="lv-LV"/>
              </w:rPr>
            </w:pPr>
            <w:r w:rsidRPr="00644E84">
              <w:rPr>
                <w:rFonts w:eastAsia="Times New Roman" w:cs="Times New Roman"/>
                <w:b/>
                <w:sz w:val="20"/>
                <w:szCs w:val="20"/>
                <w:lang w:eastAsia="lv-LV"/>
              </w:rPr>
              <w:t>Uzturēšanas izdevumu transferti</w:t>
            </w:r>
          </w:p>
        </w:tc>
        <w:tc>
          <w:tcPr>
            <w:tcW w:w="998" w:type="dxa"/>
            <w:tcBorders>
              <w:top w:val="single" w:sz="4" w:space="0" w:color="auto"/>
              <w:left w:val="nil"/>
              <w:right w:val="single" w:sz="4" w:space="0" w:color="auto"/>
            </w:tcBorders>
            <w:shd w:val="clear" w:color="auto" w:fill="auto"/>
            <w:noWrap/>
            <w:hideMark/>
          </w:tcPr>
          <w:p w14:paraId="49BA506B"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95</w:t>
            </w:r>
          </w:p>
        </w:tc>
        <w:tc>
          <w:tcPr>
            <w:tcW w:w="993" w:type="dxa"/>
            <w:tcBorders>
              <w:top w:val="single" w:sz="4" w:space="0" w:color="auto"/>
              <w:left w:val="nil"/>
              <w:right w:val="single" w:sz="4" w:space="0" w:color="auto"/>
            </w:tcBorders>
            <w:shd w:val="clear" w:color="auto" w:fill="auto"/>
            <w:noWrap/>
            <w:hideMark/>
          </w:tcPr>
          <w:p w14:paraId="0BABFE7A"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53</w:t>
            </w:r>
            <w:r w:rsidR="001632F0">
              <w:rPr>
                <w:rFonts w:eastAsia="Times New Roman" w:cs="Times New Roman"/>
                <w:b/>
                <w:sz w:val="20"/>
                <w:szCs w:val="20"/>
                <w:lang w:eastAsia="lv-LV"/>
              </w:rPr>
              <w:t>7</w:t>
            </w:r>
          </w:p>
        </w:tc>
        <w:tc>
          <w:tcPr>
            <w:tcW w:w="992" w:type="dxa"/>
            <w:tcBorders>
              <w:top w:val="single" w:sz="4" w:space="0" w:color="auto"/>
              <w:left w:val="nil"/>
              <w:right w:val="single" w:sz="4" w:space="0" w:color="auto"/>
            </w:tcBorders>
            <w:shd w:val="clear" w:color="auto" w:fill="auto"/>
            <w:noWrap/>
            <w:hideMark/>
          </w:tcPr>
          <w:p w14:paraId="604E4D7C"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53</w:t>
            </w:r>
            <w:r w:rsidR="001632F0">
              <w:rPr>
                <w:rFonts w:eastAsia="Times New Roman" w:cs="Times New Roman"/>
                <w:b/>
                <w:sz w:val="20"/>
                <w:szCs w:val="20"/>
                <w:lang w:eastAsia="lv-LV"/>
              </w:rPr>
              <w:t>7</w:t>
            </w:r>
          </w:p>
        </w:tc>
        <w:tc>
          <w:tcPr>
            <w:tcW w:w="1131" w:type="dxa"/>
            <w:tcBorders>
              <w:top w:val="single" w:sz="4" w:space="0" w:color="auto"/>
              <w:left w:val="nil"/>
              <w:right w:val="single" w:sz="4" w:space="0" w:color="auto"/>
            </w:tcBorders>
            <w:shd w:val="clear" w:color="auto" w:fill="auto"/>
            <w:noWrap/>
            <w:hideMark/>
          </w:tcPr>
          <w:p w14:paraId="36FF6C9B"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2 705</w:t>
            </w:r>
          </w:p>
        </w:tc>
        <w:tc>
          <w:tcPr>
            <w:tcW w:w="853" w:type="dxa"/>
            <w:tcBorders>
              <w:top w:val="single" w:sz="4" w:space="0" w:color="auto"/>
              <w:left w:val="nil"/>
              <w:right w:val="single" w:sz="4" w:space="0" w:color="auto"/>
            </w:tcBorders>
            <w:shd w:val="clear" w:color="auto" w:fill="auto"/>
            <w:noWrap/>
            <w:hideMark/>
          </w:tcPr>
          <w:p w14:paraId="7FF658FC" w14:textId="77777777" w:rsidR="00741843" w:rsidRPr="00367174" w:rsidRDefault="006916C1" w:rsidP="00D86EC6">
            <w:pPr>
              <w:spacing w:after="0"/>
              <w:ind w:firstLine="0"/>
              <w:jc w:val="center"/>
              <w:rPr>
                <w:rFonts w:eastAsia="Times New Roman" w:cs="Times New Roman"/>
                <w:b/>
                <w:sz w:val="20"/>
                <w:szCs w:val="20"/>
                <w:lang w:eastAsia="lv-LV"/>
              </w:rPr>
            </w:pPr>
            <w:r w:rsidRPr="00367174">
              <w:rPr>
                <w:rFonts w:eastAsia="Times New Roman" w:cs="Times New Roman"/>
                <w:b/>
                <w:sz w:val="20"/>
                <w:szCs w:val="20"/>
                <w:lang w:eastAsia="lv-LV"/>
              </w:rPr>
              <w:t>56</w:t>
            </w:r>
            <w:r w:rsidR="00D86EC6" w:rsidRPr="00367174">
              <w:rPr>
                <w:rFonts w:eastAsia="Times New Roman" w:cs="Times New Roman"/>
                <w:b/>
                <w:sz w:val="20"/>
                <w:szCs w:val="20"/>
                <w:lang w:eastAsia="lv-LV"/>
              </w:rPr>
              <w:t>5</w:t>
            </w:r>
            <w:r w:rsidRPr="00367174">
              <w:rPr>
                <w:rFonts w:eastAsia="Times New Roman" w:cs="Times New Roman"/>
                <w:b/>
                <w:sz w:val="20"/>
                <w:szCs w:val="20"/>
                <w:lang w:eastAsia="lv-LV"/>
              </w:rPr>
              <w:t>,3</w:t>
            </w:r>
          </w:p>
        </w:tc>
        <w:tc>
          <w:tcPr>
            <w:tcW w:w="992" w:type="dxa"/>
            <w:tcBorders>
              <w:top w:val="single" w:sz="4" w:space="0" w:color="auto"/>
              <w:left w:val="nil"/>
              <w:right w:val="single" w:sz="4" w:space="0" w:color="auto"/>
            </w:tcBorders>
            <w:shd w:val="clear" w:color="auto" w:fill="auto"/>
            <w:noWrap/>
            <w:hideMark/>
          </w:tcPr>
          <w:p w14:paraId="28C0C438" w14:textId="77777777" w:rsidR="00741843" w:rsidRPr="00367174" w:rsidRDefault="006916C1" w:rsidP="00B87545">
            <w:pPr>
              <w:spacing w:after="0"/>
              <w:ind w:firstLine="0"/>
              <w:jc w:val="center"/>
              <w:rPr>
                <w:rFonts w:eastAsia="Times New Roman" w:cs="Times New Roman"/>
                <w:b/>
                <w:sz w:val="20"/>
                <w:szCs w:val="20"/>
                <w:lang w:eastAsia="lv-LV"/>
              </w:rPr>
            </w:pPr>
            <w:r w:rsidRPr="00367174">
              <w:rPr>
                <w:rFonts w:eastAsia="Times New Roman" w:cs="Times New Roman"/>
                <w:b/>
                <w:sz w:val="20"/>
                <w:szCs w:val="20"/>
                <w:lang w:eastAsia="lv-LV"/>
              </w:rPr>
              <w:t>100,0</w:t>
            </w:r>
          </w:p>
        </w:tc>
        <w:tc>
          <w:tcPr>
            <w:tcW w:w="851" w:type="dxa"/>
            <w:tcBorders>
              <w:top w:val="single" w:sz="4" w:space="0" w:color="auto"/>
              <w:left w:val="nil"/>
              <w:right w:val="single" w:sz="4" w:space="0" w:color="auto"/>
            </w:tcBorders>
            <w:shd w:val="clear" w:color="auto" w:fill="auto"/>
            <w:noWrap/>
            <w:hideMark/>
          </w:tcPr>
          <w:p w14:paraId="063457D0" w14:textId="77777777" w:rsidR="00741843" w:rsidRPr="00367174" w:rsidRDefault="006916C1" w:rsidP="00D86EC6">
            <w:pPr>
              <w:spacing w:after="0"/>
              <w:ind w:firstLine="0"/>
              <w:jc w:val="center"/>
              <w:rPr>
                <w:rFonts w:eastAsia="Times New Roman" w:cs="Times New Roman"/>
                <w:b/>
                <w:sz w:val="20"/>
                <w:szCs w:val="20"/>
                <w:lang w:eastAsia="lv-LV"/>
              </w:rPr>
            </w:pPr>
            <w:r w:rsidRPr="00367174">
              <w:rPr>
                <w:rFonts w:eastAsia="Times New Roman" w:cs="Times New Roman"/>
                <w:b/>
                <w:sz w:val="20"/>
                <w:szCs w:val="20"/>
                <w:lang w:eastAsia="lv-LV"/>
              </w:rPr>
              <w:t>19,</w:t>
            </w:r>
            <w:r w:rsidR="00D86EC6" w:rsidRPr="00367174">
              <w:rPr>
                <w:rFonts w:eastAsia="Times New Roman" w:cs="Times New Roman"/>
                <w:b/>
                <w:sz w:val="20"/>
                <w:szCs w:val="20"/>
                <w:lang w:eastAsia="lv-LV"/>
              </w:rPr>
              <w:t>9</w:t>
            </w:r>
          </w:p>
        </w:tc>
      </w:tr>
      <w:tr w:rsidR="00644E84" w:rsidRPr="00644E84" w14:paraId="18A7BD58" w14:textId="77777777" w:rsidTr="00AA0E06">
        <w:trPr>
          <w:trHeight w:val="510"/>
          <w:jc w:val="center"/>
        </w:trPr>
        <w:tc>
          <w:tcPr>
            <w:tcW w:w="2966" w:type="dxa"/>
            <w:tcBorders>
              <w:top w:val="nil"/>
              <w:left w:val="single" w:sz="4" w:space="0" w:color="auto"/>
              <w:right w:val="single" w:sz="4" w:space="0" w:color="auto"/>
            </w:tcBorders>
            <w:shd w:val="clear" w:color="auto" w:fill="auto"/>
            <w:hideMark/>
          </w:tcPr>
          <w:p w14:paraId="688E4D43" w14:textId="77777777" w:rsidR="00741843" w:rsidRPr="00644E84" w:rsidRDefault="00741843" w:rsidP="00B87545">
            <w:pPr>
              <w:spacing w:after="0"/>
              <w:ind w:firstLine="0"/>
              <w:jc w:val="left"/>
              <w:rPr>
                <w:rFonts w:eastAsia="Times New Roman" w:cs="Times New Roman"/>
                <w:sz w:val="20"/>
                <w:szCs w:val="20"/>
                <w:lang w:eastAsia="lv-LV"/>
              </w:rPr>
            </w:pPr>
            <w:r w:rsidRPr="00644E84">
              <w:rPr>
                <w:rFonts w:eastAsia="Times New Roman" w:cs="Times New Roman"/>
                <w:sz w:val="20"/>
                <w:szCs w:val="20"/>
                <w:lang w:eastAsia="lv-LV"/>
              </w:rPr>
              <w:t>Valsts budžeta uzturēšanas izdevumu transferti citiem budžetiem noteiktam mērķim</w:t>
            </w:r>
          </w:p>
        </w:tc>
        <w:tc>
          <w:tcPr>
            <w:tcW w:w="998" w:type="dxa"/>
            <w:tcBorders>
              <w:top w:val="nil"/>
              <w:left w:val="nil"/>
              <w:right w:val="single" w:sz="4" w:space="0" w:color="auto"/>
            </w:tcBorders>
            <w:shd w:val="clear" w:color="auto" w:fill="auto"/>
            <w:noWrap/>
            <w:hideMark/>
          </w:tcPr>
          <w:p w14:paraId="3636E725"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95</w:t>
            </w:r>
          </w:p>
        </w:tc>
        <w:tc>
          <w:tcPr>
            <w:tcW w:w="993" w:type="dxa"/>
            <w:tcBorders>
              <w:top w:val="nil"/>
              <w:left w:val="nil"/>
              <w:right w:val="single" w:sz="4" w:space="0" w:color="auto"/>
            </w:tcBorders>
            <w:shd w:val="clear" w:color="auto" w:fill="auto"/>
            <w:noWrap/>
            <w:hideMark/>
          </w:tcPr>
          <w:p w14:paraId="734E4E2E" w14:textId="77777777" w:rsidR="00741843" w:rsidRPr="00367174" w:rsidRDefault="006916C1" w:rsidP="00D86EC6">
            <w:pPr>
              <w:spacing w:after="0"/>
              <w:ind w:firstLine="0"/>
              <w:jc w:val="right"/>
              <w:rPr>
                <w:rFonts w:eastAsia="Times New Roman" w:cs="Times New Roman"/>
                <w:sz w:val="20"/>
                <w:szCs w:val="20"/>
                <w:lang w:eastAsia="lv-LV"/>
              </w:rPr>
            </w:pPr>
            <w:r w:rsidRPr="00367174">
              <w:rPr>
                <w:rFonts w:eastAsia="Times New Roman" w:cs="Times New Roman"/>
                <w:sz w:val="20"/>
                <w:szCs w:val="20"/>
                <w:lang w:eastAsia="lv-LV"/>
              </w:rPr>
              <w:t>53</w:t>
            </w:r>
            <w:r w:rsidR="00D86EC6" w:rsidRPr="00367174">
              <w:rPr>
                <w:rFonts w:eastAsia="Times New Roman" w:cs="Times New Roman"/>
                <w:sz w:val="20"/>
                <w:szCs w:val="20"/>
                <w:lang w:eastAsia="lv-LV"/>
              </w:rPr>
              <w:t>7</w:t>
            </w:r>
          </w:p>
        </w:tc>
        <w:tc>
          <w:tcPr>
            <w:tcW w:w="992" w:type="dxa"/>
            <w:tcBorders>
              <w:top w:val="nil"/>
              <w:left w:val="nil"/>
              <w:right w:val="single" w:sz="4" w:space="0" w:color="auto"/>
            </w:tcBorders>
            <w:shd w:val="clear" w:color="auto" w:fill="auto"/>
            <w:noWrap/>
            <w:hideMark/>
          </w:tcPr>
          <w:p w14:paraId="1E1A2F74" w14:textId="77777777" w:rsidR="00741843" w:rsidRPr="00367174" w:rsidRDefault="006916C1" w:rsidP="00D86EC6">
            <w:pPr>
              <w:spacing w:after="0"/>
              <w:ind w:firstLine="0"/>
              <w:jc w:val="right"/>
              <w:rPr>
                <w:rFonts w:eastAsia="Times New Roman" w:cs="Times New Roman"/>
                <w:sz w:val="20"/>
                <w:szCs w:val="20"/>
                <w:lang w:eastAsia="lv-LV"/>
              </w:rPr>
            </w:pPr>
            <w:r w:rsidRPr="00367174">
              <w:rPr>
                <w:rFonts w:eastAsia="Times New Roman" w:cs="Times New Roman"/>
                <w:sz w:val="20"/>
                <w:szCs w:val="20"/>
                <w:lang w:eastAsia="lv-LV"/>
              </w:rPr>
              <w:t>53</w:t>
            </w:r>
            <w:r w:rsidR="00D86EC6" w:rsidRPr="00367174">
              <w:rPr>
                <w:rFonts w:eastAsia="Times New Roman" w:cs="Times New Roman"/>
                <w:sz w:val="20"/>
                <w:szCs w:val="20"/>
                <w:lang w:eastAsia="lv-LV"/>
              </w:rPr>
              <w:t>7</w:t>
            </w:r>
          </w:p>
        </w:tc>
        <w:tc>
          <w:tcPr>
            <w:tcW w:w="1131" w:type="dxa"/>
            <w:tcBorders>
              <w:top w:val="nil"/>
              <w:left w:val="nil"/>
              <w:right w:val="single" w:sz="4" w:space="0" w:color="auto"/>
            </w:tcBorders>
            <w:shd w:val="clear" w:color="auto" w:fill="auto"/>
            <w:noWrap/>
            <w:hideMark/>
          </w:tcPr>
          <w:p w14:paraId="6D9B289D"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2 705</w:t>
            </w:r>
          </w:p>
        </w:tc>
        <w:tc>
          <w:tcPr>
            <w:tcW w:w="853" w:type="dxa"/>
            <w:tcBorders>
              <w:top w:val="nil"/>
              <w:left w:val="nil"/>
              <w:right w:val="single" w:sz="4" w:space="0" w:color="auto"/>
            </w:tcBorders>
            <w:shd w:val="clear" w:color="auto" w:fill="auto"/>
            <w:noWrap/>
            <w:hideMark/>
          </w:tcPr>
          <w:p w14:paraId="74720711" w14:textId="77777777" w:rsidR="00741843" w:rsidRPr="00367174" w:rsidRDefault="006916C1" w:rsidP="00D86EC6">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56</w:t>
            </w:r>
            <w:r w:rsidR="00D86EC6" w:rsidRPr="00367174">
              <w:rPr>
                <w:rFonts w:eastAsia="Times New Roman" w:cs="Times New Roman"/>
                <w:sz w:val="20"/>
                <w:szCs w:val="20"/>
                <w:lang w:eastAsia="lv-LV"/>
              </w:rPr>
              <w:t>5</w:t>
            </w:r>
            <w:r w:rsidRPr="00367174">
              <w:rPr>
                <w:rFonts w:eastAsia="Times New Roman" w:cs="Times New Roman"/>
                <w:sz w:val="20"/>
                <w:szCs w:val="20"/>
                <w:lang w:eastAsia="lv-LV"/>
              </w:rPr>
              <w:t>,3</w:t>
            </w:r>
          </w:p>
        </w:tc>
        <w:tc>
          <w:tcPr>
            <w:tcW w:w="992" w:type="dxa"/>
            <w:tcBorders>
              <w:top w:val="nil"/>
              <w:left w:val="nil"/>
              <w:right w:val="single" w:sz="4" w:space="0" w:color="auto"/>
            </w:tcBorders>
            <w:shd w:val="clear" w:color="auto" w:fill="auto"/>
            <w:noWrap/>
            <w:hideMark/>
          </w:tcPr>
          <w:p w14:paraId="55861714" w14:textId="77777777" w:rsidR="00741843" w:rsidRPr="00367174" w:rsidRDefault="006916C1" w:rsidP="00B87545">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100,0</w:t>
            </w:r>
          </w:p>
        </w:tc>
        <w:tc>
          <w:tcPr>
            <w:tcW w:w="851" w:type="dxa"/>
            <w:tcBorders>
              <w:top w:val="nil"/>
              <w:left w:val="nil"/>
              <w:right w:val="single" w:sz="4" w:space="0" w:color="auto"/>
            </w:tcBorders>
            <w:shd w:val="clear" w:color="auto" w:fill="auto"/>
            <w:noWrap/>
            <w:hideMark/>
          </w:tcPr>
          <w:p w14:paraId="14303681" w14:textId="77777777" w:rsidR="00741843" w:rsidRPr="00367174" w:rsidRDefault="006916C1" w:rsidP="00D86EC6">
            <w:pPr>
              <w:spacing w:after="0"/>
              <w:ind w:firstLine="0"/>
              <w:jc w:val="center"/>
              <w:rPr>
                <w:rFonts w:eastAsia="Times New Roman" w:cs="Times New Roman"/>
                <w:sz w:val="20"/>
                <w:szCs w:val="20"/>
                <w:lang w:eastAsia="lv-LV"/>
              </w:rPr>
            </w:pPr>
            <w:r w:rsidRPr="00367174">
              <w:rPr>
                <w:rFonts w:eastAsia="Times New Roman" w:cs="Times New Roman"/>
                <w:sz w:val="20"/>
                <w:szCs w:val="20"/>
                <w:lang w:eastAsia="lv-LV"/>
              </w:rPr>
              <w:t>19,</w:t>
            </w:r>
            <w:r w:rsidR="00D86EC6" w:rsidRPr="00367174">
              <w:rPr>
                <w:rFonts w:eastAsia="Times New Roman" w:cs="Times New Roman"/>
                <w:sz w:val="20"/>
                <w:szCs w:val="20"/>
                <w:lang w:eastAsia="lv-LV"/>
              </w:rPr>
              <w:t>9</w:t>
            </w:r>
          </w:p>
        </w:tc>
      </w:tr>
      <w:tr w:rsidR="00644E84" w:rsidRPr="00FB079C" w14:paraId="169319D9" w14:textId="77777777" w:rsidTr="00AA0E06">
        <w:trPr>
          <w:trHeight w:val="651"/>
          <w:jc w:val="center"/>
        </w:trPr>
        <w:tc>
          <w:tcPr>
            <w:tcW w:w="2966" w:type="dxa"/>
            <w:tcBorders>
              <w:top w:val="nil"/>
              <w:left w:val="single" w:sz="4" w:space="0" w:color="auto"/>
              <w:right w:val="single" w:sz="4" w:space="0" w:color="auto"/>
            </w:tcBorders>
            <w:shd w:val="clear" w:color="auto" w:fill="auto"/>
            <w:hideMark/>
          </w:tcPr>
          <w:p w14:paraId="7617A192" w14:textId="77777777" w:rsidR="00741843" w:rsidRPr="00FB079C" w:rsidRDefault="00FB079C" w:rsidP="00B87545">
            <w:pPr>
              <w:spacing w:after="0"/>
              <w:ind w:firstLine="0"/>
              <w:jc w:val="left"/>
              <w:rPr>
                <w:rFonts w:eastAsia="Times New Roman" w:cs="Times New Roman"/>
                <w:i/>
                <w:sz w:val="20"/>
                <w:szCs w:val="20"/>
                <w:lang w:eastAsia="lv-LV"/>
              </w:rPr>
            </w:pPr>
            <w:r w:rsidRPr="00FB079C">
              <w:rPr>
                <w:rFonts w:eastAsia="Times New Roman" w:cs="Times New Roman"/>
                <w:i/>
                <w:sz w:val="20"/>
                <w:szCs w:val="20"/>
                <w:lang w:eastAsia="lv-LV"/>
              </w:rPr>
              <w:t xml:space="preserve">   </w:t>
            </w:r>
            <w:r w:rsidR="00741843" w:rsidRPr="00FB079C">
              <w:rPr>
                <w:rFonts w:eastAsia="Times New Roman" w:cs="Times New Roman"/>
                <w:i/>
                <w:sz w:val="20"/>
                <w:szCs w:val="20"/>
                <w:lang w:eastAsia="lv-LV"/>
              </w:rPr>
              <w:t>Valsts budžeta uzturēšanas izdevumu transferti pašvaldībām noteiktam mērķim</w:t>
            </w:r>
          </w:p>
        </w:tc>
        <w:tc>
          <w:tcPr>
            <w:tcW w:w="998" w:type="dxa"/>
            <w:tcBorders>
              <w:top w:val="nil"/>
              <w:left w:val="nil"/>
              <w:right w:val="single" w:sz="4" w:space="0" w:color="auto"/>
            </w:tcBorders>
            <w:shd w:val="clear" w:color="auto" w:fill="auto"/>
            <w:noWrap/>
            <w:hideMark/>
          </w:tcPr>
          <w:p w14:paraId="039E5E9F" w14:textId="77777777" w:rsidR="00741843" w:rsidRPr="00FB079C"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60</w:t>
            </w:r>
          </w:p>
        </w:tc>
        <w:tc>
          <w:tcPr>
            <w:tcW w:w="993" w:type="dxa"/>
            <w:tcBorders>
              <w:top w:val="nil"/>
              <w:left w:val="nil"/>
              <w:right w:val="single" w:sz="4" w:space="0" w:color="auto"/>
            </w:tcBorders>
            <w:shd w:val="clear" w:color="auto" w:fill="auto"/>
            <w:noWrap/>
            <w:hideMark/>
          </w:tcPr>
          <w:p w14:paraId="6DA0A18C" w14:textId="77777777" w:rsidR="00741843" w:rsidRPr="00FB079C"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502</w:t>
            </w:r>
          </w:p>
        </w:tc>
        <w:tc>
          <w:tcPr>
            <w:tcW w:w="992" w:type="dxa"/>
            <w:tcBorders>
              <w:top w:val="nil"/>
              <w:left w:val="nil"/>
              <w:right w:val="single" w:sz="4" w:space="0" w:color="auto"/>
            </w:tcBorders>
            <w:shd w:val="clear" w:color="auto" w:fill="auto"/>
            <w:noWrap/>
            <w:hideMark/>
          </w:tcPr>
          <w:p w14:paraId="46626302" w14:textId="77777777" w:rsidR="00741843" w:rsidRPr="00FB079C"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502</w:t>
            </w:r>
          </w:p>
        </w:tc>
        <w:tc>
          <w:tcPr>
            <w:tcW w:w="1131" w:type="dxa"/>
            <w:tcBorders>
              <w:top w:val="nil"/>
              <w:left w:val="nil"/>
              <w:right w:val="single" w:sz="4" w:space="0" w:color="auto"/>
            </w:tcBorders>
            <w:shd w:val="clear" w:color="auto" w:fill="auto"/>
            <w:noWrap/>
            <w:hideMark/>
          </w:tcPr>
          <w:p w14:paraId="477D13FA" w14:textId="77777777" w:rsidR="00741843" w:rsidRPr="00FB079C"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2 57</w:t>
            </w:r>
            <w:r w:rsidR="001632F0">
              <w:rPr>
                <w:rFonts w:eastAsia="Times New Roman" w:cs="Times New Roman"/>
                <w:i/>
                <w:sz w:val="20"/>
                <w:szCs w:val="20"/>
                <w:lang w:eastAsia="lv-LV"/>
              </w:rPr>
              <w:t>3</w:t>
            </w:r>
          </w:p>
        </w:tc>
        <w:tc>
          <w:tcPr>
            <w:tcW w:w="853" w:type="dxa"/>
            <w:tcBorders>
              <w:top w:val="nil"/>
              <w:left w:val="nil"/>
              <w:right w:val="single" w:sz="4" w:space="0" w:color="auto"/>
            </w:tcBorders>
            <w:shd w:val="clear" w:color="auto" w:fill="auto"/>
            <w:noWrap/>
            <w:hideMark/>
          </w:tcPr>
          <w:p w14:paraId="247425E7" w14:textId="77777777" w:rsidR="00741843" w:rsidRPr="00367174" w:rsidRDefault="006916C1" w:rsidP="00D86EC6">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83</w:t>
            </w:r>
            <w:r w:rsidR="00D86EC6" w:rsidRPr="00367174">
              <w:rPr>
                <w:rFonts w:eastAsia="Times New Roman" w:cs="Times New Roman"/>
                <w:i/>
                <w:sz w:val="20"/>
                <w:szCs w:val="20"/>
                <w:lang w:eastAsia="lv-LV"/>
              </w:rPr>
              <w:t>6</w:t>
            </w:r>
            <w:r w:rsidRPr="00367174">
              <w:rPr>
                <w:rFonts w:eastAsia="Times New Roman" w:cs="Times New Roman"/>
                <w:i/>
                <w:sz w:val="20"/>
                <w:szCs w:val="20"/>
                <w:lang w:eastAsia="lv-LV"/>
              </w:rPr>
              <w:t>,</w:t>
            </w:r>
            <w:r w:rsidR="00D86EC6" w:rsidRPr="00367174">
              <w:rPr>
                <w:rFonts w:eastAsia="Times New Roman" w:cs="Times New Roman"/>
                <w:i/>
                <w:sz w:val="20"/>
                <w:szCs w:val="20"/>
                <w:lang w:eastAsia="lv-LV"/>
              </w:rPr>
              <w:t>7</w:t>
            </w:r>
          </w:p>
        </w:tc>
        <w:tc>
          <w:tcPr>
            <w:tcW w:w="992" w:type="dxa"/>
            <w:tcBorders>
              <w:top w:val="nil"/>
              <w:left w:val="nil"/>
              <w:right w:val="single" w:sz="4" w:space="0" w:color="auto"/>
            </w:tcBorders>
            <w:shd w:val="clear" w:color="auto" w:fill="auto"/>
            <w:noWrap/>
            <w:hideMark/>
          </w:tcPr>
          <w:p w14:paraId="16DEDEB8" w14:textId="77777777" w:rsidR="00741843" w:rsidRPr="00367174" w:rsidRDefault="00741843"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100,0</w:t>
            </w:r>
          </w:p>
        </w:tc>
        <w:tc>
          <w:tcPr>
            <w:tcW w:w="851" w:type="dxa"/>
            <w:tcBorders>
              <w:top w:val="nil"/>
              <w:left w:val="nil"/>
              <w:right w:val="single" w:sz="4" w:space="0" w:color="auto"/>
            </w:tcBorders>
            <w:shd w:val="clear" w:color="auto" w:fill="auto"/>
            <w:noWrap/>
            <w:hideMark/>
          </w:tcPr>
          <w:p w14:paraId="7F12FD79" w14:textId="77777777" w:rsidR="00741843" w:rsidRPr="00367174" w:rsidRDefault="006916C1"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19,5</w:t>
            </w:r>
          </w:p>
        </w:tc>
      </w:tr>
      <w:tr w:rsidR="00644E84" w:rsidRPr="00FB079C" w14:paraId="09B392AD" w14:textId="77777777" w:rsidTr="00AA0E06">
        <w:trPr>
          <w:trHeight w:val="1129"/>
          <w:jc w:val="center"/>
        </w:trPr>
        <w:tc>
          <w:tcPr>
            <w:tcW w:w="2966" w:type="dxa"/>
            <w:tcBorders>
              <w:top w:val="nil"/>
              <w:left w:val="single" w:sz="4" w:space="0" w:color="auto"/>
              <w:bottom w:val="single" w:sz="4" w:space="0" w:color="auto"/>
              <w:right w:val="single" w:sz="4" w:space="0" w:color="auto"/>
            </w:tcBorders>
            <w:shd w:val="clear" w:color="auto" w:fill="auto"/>
            <w:hideMark/>
          </w:tcPr>
          <w:p w14:paraId="24535C4C" w14:textId="77777777" w:rsidR="00741843" w:rsidRPr="00FB079C" w:rsidRDefault="00FB079C" w:rsidP="00B87545">
            <w:pPr>
              <w:spacing w:after="0"/>
              <w:ind w:firstLine="0"/>
              <w:jc w:val="left"/>
              <w:rPr>
                <w:rFonts w:eastAsia="Times New Roman" w:cs="Times New Roman"/>
                <w:i/>
                <w:sz w:val="20"/>
                <w:szCs w:val="20"/>
                <w:lang w:eastAsia="lv-LV"/>
              </w:rPr>
            </w:pPr>
            <w:r w:rsidRPr="00FB079C">
              <w:rPr>
                <w:rFonts w:eastAsia="Times New Roman" w:cs="Times New Roman"/>
                <w:i/>
                <w:sz w:val="20"/>
                <w:szCs w:val="20"/>
                <w:lang w:eastAsia="lv-LV"/>
              </w:rPr>
              <w:t xml:space="preserve">   </w:t>
            </w:r>
            <w:r w:rsidR="00741843" w:rsidRPr="00FB079C">
              <w:rPr>
                <w:rFonts w:eastAsia="Times New Roman" w:cs="Times New Roman"/>
                <w:i/>
                <w:sz w:val="20"/>
                <w:szCs w:val="20"/>
                <w:lang w:eastAsia="lv-LV"/>
              </w:rPr>
              <w:t>Valsts budžeta transferti valsts budžeta daļēji finansētām atvasinātām publiskām personām un budžeta nefinansētām iestādēm noteiktam mērķim</w:t>
            </w:r>
          </w:p>
        </w:tc>
        <w:tc>
          <w:tcPr>
            <w:tcW w:w="998" w:type="dxa"/>
            <w:tcBorders>
              <w:top w:val="nil"/>
              <w:left w:val="nil"/>
              <w:bottom w:val="single" w:sz="4" w:space="0" w:color="auto"/>
              <w:right w:val="single" w:sz="4" w:space="0" w:color="auto"/>
            </w:tcBorders>
            <w:shd w:val="clear" w:color="auto" w:fill="auto"/>
            <w:noWrap/>
            <w:hideMark/>
          </w:tcPr>
          <w:p w14:paraId="2D088782" w14:textId="77777777" w:rsidR="00741843" w:rsidRPr="00FB079C"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35</w:t>
            </w:r>
          </w:p>
        </w:tc>
        <w:tc>
          <w:tcPr>
            <w:tcW w:w="993" w:type="dxa"/>
            <w:tcBorders>
              <w:top w:val="nil"/>
              <w:left w:val="nil"/>
              <w:bottom w:val="single" w:sz="4" w:space="0" w:color="auto"/>
              <w:right w:val="single" w:sz="4" w:space="0" w:color="auto"/>
            </w:tcBorders>
            <w:shd w:val="clear" w:color="auto" w:fill="auto"/>
            <w:noWrap/>
            <w:hideMark/>
          </w:tcPr>
          <w:p w14:paraId="3B434D09" w14:textId="77777777" w:rsidR="00741843" w:rsidRPr="00367174" w:rsidRDefault="001632F0" w:rsidP="00D86EC6">
            <w:pPr>
              <w:spacing w:after="0"/>
              <w:ind w:firstLine="0"/>
              <w:jc w:val="right"/>
              <w:rPr>
                <w:rFonts w:eastAsia="Times New Roman" w:cs="Times New Roman"/>
                <w:i/>
                <w:sz w:val="20"/>
                <w:szCs w:val="20"/>
                <w:lang w:eastAsia="lv-LV"/>
              </w:rPr>
            </w:pPr>
            <w:r w:rsidRPr="00367174">
              <w:rPr>
                <w:rFonts w:eastAsia="Times New Roman" w:cs="Times New Roman"/>
                <w:i/>
                <w:sz w:val="20"/>
                <w:szCs w:val="20"/>
                <w:lang w:eastAsia="lv-LV"/>
              </w:rPr>
              <w:t>3</w:t>
            </w:r>
            <w:r w:rsidR="00D86EC6" w:rsidRPr="00367174">
              <w:rPr>
                <w:rFonts w:eastAsia="Times New Roman" w:cs="Times New Roman"/>
                <w:i/>
                <w:sz w:val="20"/>
                <w:szCs w:val="20"/>
                <w:lang w:eastAsia="lv-LV"/>
              </w:rPr>
              <w:t>5</w:t>
            </w:r>
          </w:p>
        </w:tc>
        <w:tc>
          <w:tcPr>
            <w:tcW w:w="992" w:type="dxa"/>
            <w:tcBorders>
              <w:top w:val="nil"/>
              <w:left w:val="nil"/>
              <w:bottom w:val="single" w:sz="4" w:space="0" w:color="auto"/>
              <w:right w:val="single" w:sz="4" w:space="0" w:color="auto"/>
            </w:tcBorders>
            <w:shd w:val="clear" w:color="auto" w:fill="auto"/>
            <w:noWrap/>
            <w:hideMark/>
          </w:tcPr>
          <w:p w14:paraId="1FEF1EB3" w14:textId="77777777" w:rsidR="00741843" w:rsidRPr="00367174" w:rsidRDefault="00741843" w:rsidP="00D86EC6">
            <w:pPr>
              <w:spacing w:after="0"/>
              <w:ind w:firstLine="0"/>
              <w:jc w:val="right"/>
              <w:rPr>
                <w:rFonts w:eastAsia="Times New Roman" w:cs="Times New Roman"/>
                <w:i/>
                <w:sz w:val="20"/>
                <w:szCs w:val="20"/>
                <w:lang w:eastAsia="lv-LV"/>
              </w:rPr>
            </w:pPr>
            <w:r w:rsidRPr="00367174">
              <w:rPr>
                <w:rFonts w:eastAsia="Times New Roman" w:cs="Times New Roman"/>
                <w:i/>
                <w:sz w:val="20"/>
                <w:szCs w:val="20"/>
                <w:lang w:eastAsia="lv-LV"/>
              </w:rPr>
              <w:t>3</w:t>
            </w:r>
            <w:r w:rsidR="00D86EC6" w:rsidRPr="00367174">
              <w:rPr>
                <w:rFonts w:eastAsia="Times New Roman" w:cs="Times New Roman"/>
                <w:i/>
                <w:sz w:val="20"/>
                <w:szCs w:val="20"/>
                <w:lang w:eastAsia="lv-LV"/>
              </w:rPr>
              <w:t>5</w:t>
            </w:r>
          </w:p>
        </w:tc>
        <w:tc>
          <w:tcPr>
            <w:tcW w:w="1131" w:type="dxa"/>
            <w:tcBorders>
              <w:top w:val="nil"/>
              <w:left w:val="nil"/>
              <w:bottom w:val="single" w:sz="4" w:space="0" w:color="auto"/>
              <w:right w:val="single" w:sz="4" w:space="0" w:color="auto"/>
            </w:tcBorders>
            <w:shd w:val="clear" w:color="auto" w:fill="auto"/>
            <w:noWrap/>
            <w:hideMark/>
          </w:tcPr>
          <w:p w14:paraId="337976FE" w14:textId="77777777" w:rsidR="00741843" w:rsidRPr="00FB079C" w:rsidRDefault="006916C1" w:rsidP="00B87545">
            <w:pPr>
              <w:spacing w:after="0"/>
              <w:ind w:firstLine="0"/>
              <w:jc w:val="right"/>
              <w:rPr>
                <w:rFonts w:eastAsia="Times New Roman" w:cs="Times New Roman"/>
                <w:i/>
                <w:sz w:val="20"/>
                <w:szCs w:val="20"/>
                <w:lang w:eastAsia="lv-LV"/>
              </w:rPr>
            </w:pPr>
            <w:r>
              <w:rPr>
                <w:rFonts w:eastAsia="Times New Roman" w:cs="Times New Roman"/>
                <w:i/>
                <w:sz w:val="20"/>
                <w:szCs w:val="20"/>
                <w:lang w:eastAsia="lv-LV"/>
              </w:rPr>
              <w:t>132</w:t>
            </w:r>
          </w:p>
        </w:tc>
        <w:tc>
          <w:tcPr>
            <w:tcW w:w="853" w:type="dxa"/>
            <w:tcBorders>
              <w:top w:val="nil"/>
              <w:left w:val="nil"/>
              <w:bottom w:val="single" w:sz="4" w:space="0" w:color="auto"/>
              <w:right w:val="single" w:sz="4" w:space="0" w:color="auto"/>
            </w:tcBorders>
            <w:shd w:val="clear" w:color="auto" w:fill="auto"/>
            <w:noWrap/>
            <w:hideMark/>
          </w:tcPr>
          <w:p w14:paraId="55D6D06E" w14:textId="77777777" w:rsidR="00741843" w:rsidRPr="00367174" w:rsidRDefault="00D86EC6" w:rsidP="00D86EC6">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100</w:t>
            </w:r>
            <w:r w:rsidR="006916C1" w:rsidRPr="00367174">
              <w:rPr>
                <w:rFonts w:eastAsia="Times New Roman" w:cs="Times New Roman"/>
                <w:i/>
                <w:sz w:val="20"/>
                <w:szCs w:val="20"/>
                <w:lang w:eastAsia="lv-LV"/>
              </w:rPr>
              <w:t>,</w:t>
            </w:r>
            <w:r w:rsidRPr="00367174">
              <w:rPr>
                <w:rFonts w:eastAsia="Times New Roman" w:cs="Times New Roman"/>
                <w:i/>
                <w:sz w:val="20"/>
                <w:szCs w:val="20"/>
                <w:lang w:eastAsia="lv-LV"/>
              </w:rPr>
              <w:t>0</w:t>
            </w:r>
          </w:p>
        </w:tc>
        <w:tc>
          <w:tcPr>
            <w:tcW w:w="992" w:type="dxa"/>
            <w:tcBorders>
              <w:top w:val="nil"/>
              <w:left w:val="nil"/>
              <w:bottom w:val="single" w:sz="4" w:space="0" w:color="auto"/>
              <w:right w:val="single" w:sz="4" w:space="0" w:color="auto"/>
            </w:tcBorders>
            <w:shd w:val="clear" w:color="auto" w:fill="auto"/>
            <w:noWrap/>
            <w:hideMark/>
          </w:tcPr>
          <w:p w14:paraId="2D06E3DA" w14:textId="77777777" w:rsidR="00741843" w:rsidRPr="00367174" w:rsidRDefault="00741843" w:rsidP="00B87545">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100,0</w:t>
            </w:r>
          </w:p>
        </w:tc>
        <w:tc>
          <w:tcPr>
            <w:tcW w:w="851" w:type="dxa"/>
            <w:tcBorders>
              <w:top w:val="nil"/>
              <w:left w:val="nil"/>
              <w:bottom w:val="single" w:sz="4" w:space="0" w:color="auto"/>
              <w:right w:val="single" w:sz="4" w:space="0" w:color="auto"/>
            </w:tcBorders>
            <w:shd w:val="clear" w:color="auto" w:fill="auto"/>
            <w:noWrap/>
            <w:hideMark/>
          </w:tcPr>
          <w:p w14:paraId="7C5FFE81" w14:textId="77777777" w:rsidR="00741843" w:rsidRPr="00367174" w:rsidRDefault="006916C1" w:rsidP="00D86EC6">
            <w:pPr>
              <w:spacing w:after="0"/>
              <w:ind w:firstLine="0"/>
              <w:jc w:val="center"/>
              <w:rPr>
                <w:rFonts w:eastAsia="Times New Roman" w:cs="Times New Roman"/>
                <w:i/>
                <w:sz w:val="20"/>
                <w:szCs w:val="20"/>
                <w:lang w:eastAsia="lv-LV"/>
              </w:rPr>
            </w:pPr>
            <w:r w:rsidRPr="00367174">
              <w:rPr>
                <w:rFonts w:eastAsia="Times New Roman" w:cs="Times New Roman"/>
                <w:i/>
                <w:sz w:val="20"/>
                <w:szCs w:val="20"/>
                <w:lang w:eastAsia="lv-LV"/>
              </w:rPr>
              <w:t>26,</w:t>
            </w:r>
            <w:r w:rsidR="00D86EC6" w:rsidRPr="00367174">
              <w:rPr>
                <w:rFonts w:eastAsia="Times New Roman" w:cs="Times New Roman"/>
                <w:i/>
                <w:sz w:val="20"/>
                <w:szCs w:val="20"/>
                <w:lang w:eastAsia="lv-LV"/>
              </w:rPr>
              <w:t>5</w:t>
            </w:r>
          </w:p>
        </w:tc>
      </w:tr>
      <w:tr w:rsidR="00644E84" w:rsidRPr="00644E84" w14:paraId="39DDE4CF" w14:textId="77777777" w:rsidTr="00AA0E06">
        <w:trPr>
          <w:trHeight w:val="141"/>
          <w:jc w:val="center"/>
        </w:trPr>
        <w:tc>
          <w:tcPr>
            <w:tcW w:w="2966" w:type="dxa"/>
            <w:tcBorders>
              <w:top w:val="single" w:sz="4" w:space="0" w:color="auto"/>
              <w:left w:val="single" w:sz="4" w:space="0" w:color="auto"/>
              <w:right w:val="single" w:sz="4" w:space="0" w:color="auto"/>
            </w:tcBorders>
            <w:shd w:val="clear" w:color="auto" w:fill="auto"/>
            <w:hideMark/>
          </w:tcPr>
          <w:p w14:paraId="490EBB68" w14:textId="77777777" w:rsidR="00741843" w:rsidRPr="00644E84" w:rsidRDefault="00554809" w:rsidP="00B87545">
            <w:pPr>
              <w:spacing w:after="0"/>
              <w:ind w:firstLine="0"/>
              <w:jc w:val="left"/>
              <w:rPr>
                <w:rFonts w:eastAsia="Times New Roman" w:cs="Times New Roman"/>
                <w:b/>
                <w:sz w:val="20"/>
                <w:szCs w:val="20"/>
                <w:lang w:eastAsia="lv-LV"/>
              </w:rPr>
            </w:pPr>
            <w:r>
              <w:rPr>
                <w:rFonts w:eastAsia="Times New Roman" w:cs="Times New Roman"/>
                <w:b/>
                <w:sz w:val="20"/>
                <w:szCs w:val="20"/>
                <w:lang w:eastAsia="lv-LV"/>
              </w:rPr>
              <w:t xml:space="preserve">1.2. </w:t>
            </w:r>
            <w:r w:rsidR="00741843" w:rsidRPr="00644E84">
              <w:rPr>
                <w:rFonts w:eastAsia="Times New Roman" w:cs="Times New Roman"/>
                <w:b/>
                <w:sz w:val="20"/>
                <w:szCs w:val="20"/>
                <w:lang w:eastAsia="lv-LV"/>
              </w:rPr>
              <w:t>Kapitālie izdevumi</w:t>
            </w:r>
          </w:p>
        </w:tc>
        <w:tc>
          <w:tcPr>
            <w:tcW w:w="998" w:type="dxa"/>
            <w:tcBorders>
              <w:top w:val="single" w:sz="4" w:space="0" w:color="auto"/>
              <w:left w:val="nil"/>
              <w:right w:val="single" w:sz="4" w:space="0" w:color="auto"/>
            </w:tcBorders>
            <w:shd w:val="clear" w:color="auto" w:fill="auto"/>
            <w:noWrap/>
            <w:hideMark/>
          </w:tcPr>
          <w:p w14:paraId="55386656"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176</w:t>
            </w:r>
          </w:p>
        </w:tc>
        <w:tc>
          <w:tcPr>
            <w:tcW w:w="993" w:type="dxa"/>
            <w:tcBorders>
              <w:top w:val="single" w:sz="4" w:space="0" w:color="auto"/>
              <w:left w:val="nil"/>
              <w:right w:val="single" w:sz="4" w:space="0" w:color="auto"/>
            </w:tcBorders>
            <w:shd w:val="clear" w:color="auto" w:fill="auto"/>
            <w:noWrap/>
            <w:hideMark/>
          </w:tcPr>
          <w:p w14:paraId="6FBADE1C"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106</w:t>
            </w:r>
          </w:p>
        </w:tc>
        <w:tc>
          <w:tcPr>
            <w:tcW w:w="992" w:type="dxa"/>
            <w:tcBorders>
              <w:top w:val="single" w:sz="4" w:space="0" w:color="auto"/>
              <w:left w:val="nil"/>
              <w:right w:val="single" w:sz="4" w:space="0" w:color="auto"/>
            </w:tcBorders>
            <w:shd w:val="clear" w:color="auto" w:fill="auto"/>
            <w:noWrap/>
            <w:hideMark/>
          </w:tcPr>
          <w:p w14:paraId="6EE7D573"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106</w:t>
            </w:r>
          </w:p>
        </w:tc>
        <w:tc>
          <w:tcPr>
            <w:tcW w:w="1131" w:type="dxa"/>
            <w:tcBorders>
              <w:top w:val="single" w:sz="4" w:space="0" w:color="auto"/>
              <w:left w:val="nil"/>
              <w:right w:val="single" w:sz="4" w:space="0" w:color="auto"/>
            </w:tcBorders>
            <w:shd w:val="clear" w:color="auto" w:fill="auto"/>
            <w:noWrap/>
            <w:hideMark/>
          </w:tcPr>
          <w:p w14:paraId="4EF49197" w14:textId="77777777" w:rsidR="00741843" w:rsidRPr="00644E84" w:rsidRDefault="006916C1" w:rsidP="00B87545">
            <w:pPr>
              <w:spacing w:after="0"/>
              <w:ind w:firstLine="0"/>
              <w:jc w:val="right"/>
              <w:rPr>
                <w:rFonts w:eastAsia="Times New Roman" w:cs="Times New Roman"/>
                <w:b/>
                <w:sz w:val="20"/>
                <w:szCs w:val="20"/>
                <w:lang w:eastAsia="lv-LV"/>
              </w:rPr>
            </w:pPr>
            <w:r>
              <w:rPr>
                <w:rFonts w:eastAsia="Times New Roman" w:cs="Times New Roman"/>
                <w:b/>
                <w:sz w:val="20"/>
                <w:szCs w:val="20"/>
                <w:lang w:eastAsia="lv-LV"/>
              </w:rPr>
              <w:t>812</w:t>
            </w:r>
          </w:p>
        </w:tc>
        <w:tc>
          <w:tcPr>
            <w:tcW w:w="853" w:type="dxa"/>
            <w:tcBorders>
              <w:top w:val="single" w:sz="4" w:space="0" w:color="auto"/>
              <w:left w:val="nil"/>
              <w:right w:val="single" w:sz="4" w:space="0" w:color="auto"/>
            </w:tcBorders>
            <w:shd w:val="clear" w:color="auto" w:fill="auto"/>
            <w:noWrap/>
            <w:hideMark/>
          </w:tcPr>
          <w:p w14:paraId="17822E97" w14:textId="77777777" w:rsidR="00741843" w:rsidRPr="00644E84" w:rsidRDefault="006916C1"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60,2</w:t>
            </w:r>
          </w:p>
        </w:tc>
        <w:tc>
          <w:tcPr>
            <w:tcW w:w="992" w:type="dxa"/>
            <w:tcBorders>
              <w:top w:val="single" w:sz="4" w:space="0" w:color="auto"/>
              <w:left w:val="nil"/>
              <w:right w:val="single" w:sz="4" w:space="0" w:color="auto"/>
            </w:tcBorders>
            <w:shd w:val="clear" w:color="auto" w:fill="auto"/>
            <w:noWrap/>
            <w:hideMark/>
          </w:tcPr>
          <w:p w14:paraId="78421D6F" w14:textId="77777777" w:rsidR="00741843" w:rsidRPr="00644E84" w:rsidRDefault="00741843" w:rsidP="00B87545">
            <w:pPr>
              <w:spacing w:after="0"/>
              <w:ind w:firstLine="0"/>
              <w:jc w:val="center"/>
              <w:rPr>
                <w:rFonts w:eastAsia="Times New Roman" w:cs="Times New Roman"/>
                <w:b/>
                <w:sz w:val="20"/>
                <w:szCs w:val="20"/>
                <w:lang w:eastAsia="lv-LV"/>
              </w:rPr>
            </w:pPr>
            <w:r w:rsidRPr="00644E84">
              <w:rPr>
                <w:rFonts w:eastAsia="Times New Roman" w:cs="Times New Roman"/>
                <w:b/>
                <w:sz w:val="20"/>
                <w:szCs w:val="20"/>
                <w:lang w:eastAsia="lv-LV"/>
              </w:rPr>
              <w:t>100,0</w:t>
            </w:r>
          </w:p>
        </w:tc>
        <w:tc>
          <w:tcPr>
            <w:tcW w:w="851" w:type="dxa"/>
            <w:tcBorders>
              <w:top w:val="single" w:sz="4" w:space="0" w:color="auto"/>
              <w:left w:val="nil"/>
              <w:right w:val="single" w:sz="4" w:space="0" w:color="auto"/>
            </w:tcBorders>
            <w:shd w:val="clear" w:color="auto" w:fill="auto"/>
            <w:noWrap/>
            <w:hideMark/>
          </w:tcPr>
          <w:p w14:paraId="1B702F93" w14:textId="77777777" w:rsidR="00741843" w:rsidRPr="00644E84" w:rsidRDefault="006916C1" w:rsidP="00B87545">
            <w:pPr>
              <w:spacing w:after="0"/>
              <w:ind w:firstLine="0"/>
              <w:jc w:val="center"/>
              <w:rPr>
                <w:rFonts w:eastAsia="Times New Roman" w:cs="Times New Roman"/>
                <w:b/>
                <w:sz w:val="20"/>
                <w:szCs w:val="20"/>
                <w:lang w:eastAsia="lv-LV"/>
              </w:rPr>
            </w:pPr>
            <w:r>
              <w:rPr>
                <w:rFonts w:eastAsia="Times New Roman" w:cs="Times New Roman"/>
                <w:b/>
                <w:sz w:val="20"/>
                <w:szCs w:val="20"/>
                <w:lang w:eastAsia="lv-LV"/>
              </w:rPr>
              <w:t>13,1</w:t>
            </w:r>
          </w:p>
        </w:tc>
      </w:tr>
      <w:tr w:rsidR="00644E84" w:rsidRPr="00644E84" w14:paraId="5F6FB462" w14:textId="77777777" w:rsidTr="00AA0E06">
        <w:trPr>
          <w:trHeight w:val="255"/>
          <w:jc w:val="center"/>
        </w:trPr>
        <w:tc>
          <w:tcPr>
            <w:tcW w:w="2966" w:type="dxa"/>
            <w:tcBorders>
              <w:top w:val="nil"/>
              <w:left w:val="single" w:sz="4" w:space="0" w:color="auto"/>
              <w:bottom w:val="single" w:sz="4" w:space="0" w:color="auto"/>
              <w:right w:val="single" w:sz="4" w:space="0" w:color="auto"/>
            </w:tcBorders>
            <w:shd w:val="clear" w:color="auto" w:fill="auto"/>
            <w:hideMark/>
          </w:tcPr>
          <w:p w14:paraId="109F9AD7" w14:textId="77777777" w:rsidR="00741843" w:rsidRPr="00644E84" w:rsidRDefault="00741843" w:rsidP="00B87545">
            <w:pPr>
              <w:spacing w:after="0"/>
              <w:ind w:firstLine="0"/>
              <w:jc w:val="left"/>
              <w:rPr>
                <w:rFonts w:eastAsia="Times New Roman" w:cs="Times New Roman"/>
                <w:sz w:val="20"/>
                <w:szCs w:val="20"/>
                <w:lang w:eastAsia="lv-LV"/>
              </w:rPr>
            </w:pPr>
            <w:r w:rsidRPr="00644E84">
              <w:rPr>
                <w:rFonts w:eastAsia="Times New Roman" w:cs="Times New Roman"/>
                <w:sz w:val="20"/>
                <w:szCs w:val="20"/>
                <w:lang w:eastAsia="lv-LV"/>
              </w:rPr>
              <w:t>Pamatkapitāla veidošana</w:t>
            </w:r>
          </w:p>
        </w:tc>
        <w:tc>
          <w:tcPr>
            <w:tcW w:w="998" w:type="dxa"/>
            <w:tcBorders>
              <w:top w:val="nil"/>
              <w:left w:val="nil"/>
              <w:bottom w:val="single" w:sz="4" w:space="0" w:color="auto"/>
              <w:right w:val="single" w:sz="4" w:space="0" w:color="auto"/>
            </w:tcBorders>
            <w:shd w:val="clear" w:color="auto" w:fill="auto"/>
            <w:noWrap/>
            <w:hideMark/>
          </w:tcPr>
          <w:p w14:paraId="5603E213"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176</w:t>
            </w:r>
          </w:p>
        </w:tc>
        <w:tc>
          <w:tcPr>
            <w:tcW w:w="993" w:type="dxa"/>
            <w:tcBorders>
              <w:top w:val="nil"/>
              <w:left w:val="nil"/>
              <w:bottom w:val="single" w:sz="4" w:space="0" w:color="auto"/>
              <w:right w:val="single" w:sz="4" w:space="0" w:color="auto"/>
            </w:tcBorders>
            <w:shd w:val="clear" w:color="auto" w:fill="auto"/>
            <w:noWrap/>
            <w:hideMark/>
          </w:tcPr>
          <w:p w14:paraId="6E04E70A"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106</w:t>
            </w:r>
          </w:p>
        </w:tc>
        <w:tc>
          <w:tcPr>
            <w:tcW w:w="992" w:type="dxa"/>
            <w:tcBorders>
              <w:top w:val="nil"/>
              <w:left w:val="nil"/>
              <w:bottom w:val="single" w:sz="4" w:space="0" w:color="auto"/>
              <w:right w:val="single" w:sz="4" w:space="0" w:color="auto"/>
            </w:tcBorders>
            <w:shd w:val="clear" w:color="auto" w:fill="auto"/>
            <w:noWrap/>
            <w:hideMark/>
          </w:tcPr>
          <w:p w14:paraId="4D20594D"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106</w:t>
            </w:r>
          </w:p>
        </w:tc>
        <w:tc>
          <w:tcPr>
            <w:tcW w:w="1131" w:type="dxa"/>
            <w:tcBorders>
              <w:top w:val="nil"/>
              <w:left w:val="nil"/>
              <w:bottom w:val="single" w:sz="4" w:space="0" w:color="auto"/>
              <w:right w:val="single" w:sz="4" w:space="0" w:color="auto"/>
            </w:tcBorders>
            <w:shd w:val="clear" w:color="auto" w:fill="auto"/>
            <w:noWrap/>
            <w:hideMark/>
          </w:tcPr>
          <w:p w14:paraId="6D0EC3C0" w14:textId="77777777" w:rsidR="00741843" w:rsidRPr="00644E84" w:rsidRDefault="006916C1" w:rsidP="00B87545">
            <w:pPr>
              <w:spacing w:after="0"/>
              <w:ind w:firstLine="0"/>
              <w:jc w:val="right"/>
              <w:rPr>
                <w:rFonts w:eastAsia="Times New Roman" w:cs="Times New Roman"/>
                <w:sz w:val="20"/>
                <w:szCs w:val="20"/>
                <w:lang w:eastAsia="lv-LV"/>
              </w:rPr>
            </w:pPr>
            <w:r>
              <w:rPr>
                <w:rFonts w:eastAsia="Times New Roman" w:cs="Times New Roman"/>
                <w:sz w:val="20"/>
                <w:szCs w:val="20"/>
                <w:lang w:eastAsia="lv-LV"/>
              </w:rPr>
              <w:t>812</w:t>
            </w:r>
          </w:p>
        </w:tc>
        <w:tc>
          <w:tcPr>
            <w:tcW w:w="853" w:type="dxa"/>
            <w:tcBorders>
              <w:top w:val="nil"/>
              <w:left w:val="nil"/>
              <w:bottom w:val="single" w:sz="4" w:space="0" w:color="auto"/>
              <w:right w:val="single" w:sz="4" w:space="0" w:color="auto"/>
            </w:tcBorders>
            <w:shd w:val="clear" w:color="auto" w:fill="auto"/>
            <w:noWrap/>
            <w:hideMark/>
          </w:tcPr>
          <w:p w14:paraId="6A78825A" w14:textId="77777777" w:rsidR="00741843" w:rsidRPr="00644E84" w:rsidRDefault="006916C1" w:rsidP="00B87545">
            <w:pPr>
              <w:spacing w:after="0"/>
              <w:ind w:firstLine="0"/>
              <w:jc w:val="center"/>
              <w:rPr>
                <w:rFonts w:eastAsia="Times New Roman" w:cs="Times New Roman"/>
                <w:sz w:val="20"/>
                <w:szCs w:val="20"/>
                <w:lang w:eastAsia="lv-LV"/>
              </w:rPr>
            </w:pPr>
            <w:r>
              <w:rPr>
                <w:rFonts w:eastAsia="Times New Roman" w:cs="Times New Roman"/>
                <w:sz w:val="20"/>
                <w:szCs w:val="20"/>
                <w:lang w:eastAsia="lv-LV"/>
              </w:rPr>
              <w:t>60,2</w:t>
            </w:r>
          </w:p>
        </w:tc>
        <w:tc>
          <w:tcPr>
            <w:tcW w:w="992" w:type="dxa"/>
            <w:tcBorders>
              <w:top w:val="nil"/>
              <w:left w:val="nil"/>
              <w:bottom w:val="single" w:sz="4" w:space="0" w:color="auto"/>
              <w:right w:val="single" w:sz="4" w:space="0" w:color="auto"/>
            </w:tcBorders>
            <w:shd w:val="clear" w:color="auto" w:fill="auto"/>
            <w:noWrap/>
            <w:hideMark/>
          </w:tcPr>
          <w:p w14:paraId="2C2D9C3A" w14:textId="77777777" w:rsidR="00741843" w:rsidRPr="00644E84" w:rsidRDefault="00741843" w:rsidP="00B87545">
            <w:pPr>
              <w:spacing w:after="0"/>
              <w:ind w:firstLine="0"/>
              <w:jc w:val="center"/>
              <w:rPr>
                <w:rFonts w:eastAsia="Times New Roman" w:cs="Times New Roman"/>
                <w:sz w:val="20"/>
                <w:szCs w:val="20"/>
                <w:lang w:eastAsia="lv-LV"/>
              </w:rPr>
            </w:pPr>
            <w:r w:rsidRPr="00644E84">
              <w:rPr>
                <w:rFonts w:eastAsia="Times New Roman" w:cs="Times New Roman"/>
                <w:sz w:val="20"/>
                <w:szCs w:val="20"/>
                <w:lang w:eastAsia="lv-LV"/>
              </w:rPr>
              <w:t>100,0</w:t>
            </w:r>
          </w:p>
        </w:tc>
        <w:tc>
          <w:tcPr>
            <w:tcW w:w="851" w:type="dxa"/>
            <w:tcBorders>
              <w:top w:val="nil"/>
              <w:left w:val="nil"/>
              <w:bottom w:val="single" w:sz="4" w:space="0" w:color="auto"/>
              <w:right w:val="single" w:sz="4" w:space="0" w:color="auto"/>
            </w:tcBorders>
            <w:shd w:val="clear" w:color="auto" w:fill="auto"/>
            <w:noWrap/>
            <w:hideMark/>
          </w:tcPr>
          <w:p w14:paraId="6CCF1544" w14:textId="77777777" w:rsidR="00741843" w:rsidRPr="00644E84" w:rsidRDefault="006916C1" w:rsidP="00B87545">
            <w:pPr>
              <w:spacing w:after="0"/>
              <w:ind w:firstLine="0"/>
              <w:jc w:val="center"/>
              <w:rPr>
                <w:rFonts w:eastAsia="Times New Roman" w:cs="Times New Roman"/>
                <w:sz w:val="20"/>
                <w:szCs w:val="20"/>
                <w:lang w:eastAsia="lv-LV"/>
              </w:rPr>
            </w:pPr>
            <w:r>
              <w:rPr>
                <w:rFonts w:eastAsia="Times New Roman" w:cs="Times New Roman"/>
                <w:sz w:val="20"/>
                <w:szCs w:val="20"/>
                <w:lang w:eastAsia="lv-LV"/>
              </w:rPr>
              <w:t>13,1</w:t>
            </w:r>
          </w:p>
        </w:tc>
      </w:tr>
    </w:tbl>
    <w:p w14:paraId="5B67F5FB" w14:textId="77777777" w:rsidR="009115CF" w:rsidRDefault="009115CF" w:rsidP="00AA0E06">
      <w:pPr>
        <w:spacing w:before="40"/>
        <w:ind w:firstLine="0"/>
        <w:rPr>
          <w:rFonts w:eastAsia="Times New Roman"/>
          <w:sz w:val="20"/>
          <w:szCs w:val="20"/>
        </w:rPr>
      </w:pPr>
      <w:r w:rsidRPr="00D4319A">
        <w:rPr>
          <w:rFonts w:eastAsia="Times New Roman"/>
          <w:sz w:val="20"/>
          <w:szCs w:val="20"/>
        </w:rPr>
        <w:t>* Pārskata periodā spēkā esošais 201</w:t>
      </w:r>
      <w:r w:rsidR="006916C1">
        <w:rPr>
          <w:rFonts w:eastAsia="Times New Roman"/>
          <w:sz w:val="20"/>
          <w:szCs w:val="20"/>
        </w:rPr>
        <w:t>5</w:t>
      </w:r>
      <w:r w:rsidRPr="00D4319A">
        <w:rPr>
          <w:rFonts w:eastAsia="Times New Roman"/>
          <w:sz w:val="20"/>
          <w:szCs w:val="20"/>
        </w:rPr>
        <w:t>.gada plāns atbilstoši likumam „Par valsts budžetu 201</w:t>
      </w:r>
      <w:r w:rsidR="006916C1">
        <w:rPr>
          <w:rFonts w:eastAsia="Times New Roman"/>
          <w:sz w:val="20"/>
          <w:szCs w:val="20"/>
        </w:rPr>
        <w:t>5</w:t>
      </w:r>
      <w:r w:rsidRPr="00D4319A">
        <w:rPr>
          <w:rFonts w:eastAsia="Times New Roman"/>
          <w:sz w:val="20"/>
          <w:szCs w:val="20"/>
        </w:rPr>
        <w:t>.gadam” ar Finanšu ministrijas rīkojumiem</w:t>
      </w:r>
    </w:p>
    <w:p w14:paraId="3E548AFB" w14:textId="77777777" w:rsidR="00937C1D" w:rsidRPr="00AA0E06" w:rsidRDefault="00937C1D" w:rsidP="009141CD">
      <w:pPr>
        <w:ind w:firstLine="0"/>
        <w:rPr>
          <w:rFonts w:eastAsia="Times New Roman"/>
          <w:sz w:val="10"/>
          <w:szCs w:val="20"/>
        </w:rPr>
      </w:pPr>
    </w:p>
    <w:p w14:paraId="4C648F22" w14:textId="77777777" w:rsidR="009115CF" w:rsidRPr="001C1C52" w:rsidRDefault="009115CF" w:rsidP="009115CF">
      <w:pPr>
        <w:rPr>
          <w:rFonts w:eastAsia="Times New Roman"/>
          <w:sz w:val="24"/>
          <w:szCs w:val="20"/>
        </w:rPr>
      </w:pPr>
      <w:r w:rsidRPr="001C1C52">
        <w:rPr>
          <w:rFonts w:eastAsia="Times New Roman"/>
          <w:sz w:val="24"/>
          <w:szCs w:val="20"/>
        </w:rPr>
        <w:t>Valsts obligātā sociālā apdrošināšana sociālās apdrošināšanas iemaksu veicējam daļēji kompensē līdzšinējos ienākumus, ja viņš tos zaudējis, aiziedams pensijā, zaudēdams darbu, iegūdams invaliditāti, zaudēdams apgādnieku, sa</w:t>
      </w:r>
      <w:r w:rsidRPr="001C1C52">
        <w:rPr>
          <w:rFonts w:eastAsia="Times New Roman"/>
          <w:sz w:val="24"/>
          <w:szCs w:val="20"/>
        </w:rPr>
        <w:softHyphen/>
        <w:t>slimdams, ejot pirmsdzemdību un pēcdzemdību atvaļinājumā, kā arī ciezdams nelaimes gadījumā vai iegūdams arodslimību.</w:t>
      </w:r>
    </w:p>
    <w:p w14:paraId="48D3DDEC" w14:textId="77777777" w:rsidR="0005721C" w:rsidRPr="00AA0E06" w:rsidRDefault="0005721C" w:rsidP="009115CF">
      <w:pPr>
        <w:rPr>
          <w:rFonts w:eastAsia="Times New Roman"/>
          <w:sz w:val="18"/>
          <w:szCs w:val="20"/>
        </w:rPr>
      </w:pPr>
    </w:p>
    <w:p w14:paraId="02F58705" w14:textId="77777777" w:rsidR="00323EB9" w:rsidRDefault="006916C1" w:rsidP="00B87545">
      <w:pPr>
        <w:ind w:firstLine="0"/>
        <w:jc w:val="center"/>
        <w:rPr>
          <w:rFonts w:eastAsia="Times New Roman"/>
          <w:szCs w:val="20"/>
        </w:rPr>
      </w:pPr>
      <w:r>
        <w:rPr>
          <w:noProof/>
          <w:lang w:eastAsia="lv-LV"/>
        </w:rPr>
        <w:drawing>
          <wp:inline distT="0" distB="0" distL="0" distR="0" wp14:anchorId="0FD4FB07" wp14:editId="78AEE6EC">
            <wp:extent cx="4564048" cy="1733385"/>
            <wp:effectExtent l="0" t="0" r="8255"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0498DF4" w14:textId="77777777" w:rsidR="009115CF" w:rsidRPr="00EF354D" w:rsidRDefault="00234FC7" w:rsidP="00AA0E06">
      <w:pPr>
        <w:spacing w:after="240"/>
        <w:ind w:firstLine="0"/>
        <w:jc w:val="center"/>
        <w:rPr>
          <w:rFonts w:eastAsia="Times New Roman"/>
          <w:b/>
          <w:sz w:val="20"/>
          <w:szCs w:val="24"/>
        </w:rPr>
      </w:pPr>
      <w:r w:rsidRPr="00EF354D">
        <w:rPr>
          <w:rFonts w:eastAsia="Times New Roman"/>
          <w:b/>
          <w:sz w:val="20"/>
          <w:szCs w:val="24"/>
        </w:rPr>
        <w:t>2.12</w:t>
      </w:r>
      <w:r w:rsidR="009115CF" w:rsidRPr="00EF354D">
        <w:rPr>
          <w:rFonts w:eastAsia="Times New Roman"/>
          <w:b/>
          <w:sz w:val="20"/>
          <w:szCs w:val="24"/>
        </w:rPr>
        <w:t>. att. Valsts speciālā budžeta izdevumu izpilde 201</w:t>
      </w:r>
      <w:r w:rsidR="007755EF" w:rsidRPr="00EF354D">
        <w:rPr>
          <w:rFonts w:eastAsia="Times New Roman"/>
          <w:b/>
          <w:sz w:val="20"/>
          <w:szCs w:val="24"/>
        </w:rPr>
        <w:t>5</w:t>
      </w:r>
      <w:r w:rsidR="007D442A" w:rsidRPr="00EF354D">
        <w:rPr>
          <w:rFonts w:eastAsia="Times New Roman"/>
          <w:b/>
          <w:sz w:val="20"/>
          <w:szCs w:val="24"/>
        </w:rPr>
        <w:t>.</w:t>
      </w:r>
      <w:r w:rsidR="009115CF" w:rsidRPr="00EF354D">
        <w:rPr>
          <w:rFonts w:eastAsia="Times New Roman"/>
          <w:b/>
          <w:sz w:val="20"/>
          <w:szCs w:val="24"/>
        </w:rPr>
        <w:t>gada pirmajā ceturksnī atbil</w:t>
      </w:r>
      <w:r w:rsidR="00D4319A" w:rsidRPr="00EF354D">
        <w:rPr>
          <w:rFonts w:eastAsia="Times New Roman"/>
          <w:b/>
          <w:sz w:val="20"/>
          <w:szCs w:val="24"/>
        </w:rPr>
        <w:t>stoši ekonomiskajām kategorijām</w:t>
      </w:r>
    </w:p>
    <w:p w14:paraId="40D799E4" w14:textId="77777777" w:rsidR="00A90239" w:rsidRPr="001C1C52" w:rsidRDefault="009115CF" w:rsidP="002652A1">
      <w:pPr>
        <w:spacing w:before="240"/>
        <w:rPr>
          <w:rFonts w:eastAsia="Times New Roman"/>
          <w:snapToGrid w:val="0"/>
          <w:sz w:val="24"/>
        </w:rPr>
      </w:pPr>
      <w:r w:rsidRPr="001C1C52">
        <w:rPr>
          <w:rFonts w:eastAsia="Times New Roman"/>
          <w:sz w:val="24"/>
        </w:rPr>
        <w:t xml:space="preserve">Valsts speciālā budžeta līdzekļi atbilstoši funkcionālajām kategorijām izlietoti </w:t>
      </w:r>
      <w:r w:rsidRPr="001C1C52">
        <w:rPr>
          <w:rFonts w:eastAsia="Times New Roman"/>
          <w:snapToGrid w:val="0"/>
          <w:sz w:val="24"/>
        </w:rPr>
        <w:t>Sociālajai aizsardzībai.</w:t>
      </w:r>
      <w:bookmarkStart w:id="83" w:name="_Toc4467568"/>
      <w:bookmarkStart w:id="84" w:name="_Toc97362247"/>
      <w:bookmarkEnd w:id="83"/>
      <w:bookmarkEnd w:id="84"/>
    </w:p>
    <w:p w14:paraId="2A379EEA" w14:textId="77777777" w:rsidR="008A3800" w:rsidRPr="00AA0E06" w:rsidRDefault="008A3800" w:rsidP="00E60138">
      <w:pPr>
        <w:ind w:firstLine="0"/>
        <w:rPr>
          <w:rFonts w:eastAsia="Times New Roman"/>
          <w:snapToGrid w:val="0"/>
          <w:sz w:val="18"/>
        </w:rPr>
      </w:pPr>
    </w:p>
    <w:p w14:paraId="32D83DBE" w14:textId="77777777" w:rsidR="00A90239" w:rsidRDefault="009F4B95" w:rsidP="00234FC7">
      <w:pPr>
        <w:pStyle w:val="Style3"/>
        <w:ind w:firstLine="0"/>
        <w:jc w:val="center"/>
        <w:rPr>
          <w:lang w:eastAsia="lv-LV"/>
        </w:rPr>
      </w:pPr>
      <w:hyperlink w:anchor="_Toc325101929" w:history="1">
        <w:bookmarkStart w:id="85" w:name="_Toc356399765"/>
        <w:bookmarkStart w:id="86" w:name="_Toc419737740"/>
        <w:r w:rsidR="00F1164B" w:rsidRPr="001C1C52">
          <w:rPr>
            <w:rStyle w:val="Hyperlink"/>
            <w:color w:val="auto"/>
            <w:szCs w:val="28"/>
            <w:u w:val="none"/>
          </w:rPr>
          <w:t>2.</w:t>
        </w:r>
        <w:r w:rsidR="00433477">
          <w:rPr>
            <w:rStyle w:val="Hyperlink"/>
            <w:color w:val="auto"/>
            <w:szCs w:val="28"/>
            <w:u w:val="none"/>
          </w:rPr>
          <w:t>3</w:t>
        </w:r>
        <w:r w:rsidR="00F1164B" w:rsidRPr="001C1C52">
          <w:rPr>
            <w:rStyle w:val="Hyperlink"/>
            <w:color w:val="auto"/>
            <w:szCs w:val="28"/>
            <w:u w:val="none"/>
          </w:rPr>
          <w:t>.3</w:t>
        </w:r>
        <w:r w:rsidR="00F1164B" w:rsidRPr="001C1C52">
          <w:rPr>
            <w:rStyle w:val="Hyperlink"/>
            <w:i/>
            <w:color w:val="auto"/>
            <w:szCs w:val="28"/>
            <w:u w:val="none"/>
          </w:rPr>
          <w:t>. </w:t>
        </w:r>
      </w:hyperlink>
      <w:r w:rsidR="009115CF" w:rsidRPr="00C91A4A">
        <w:t xml:space="preserve">Valsts pamatbudžeta izpilde valsts pamatfunkciju un </w:t>
      </w:r>
      <w:r w:rsidR="009115CF" w:rsidRPr="00C91A4A">
        <w:rPr>
          <w:lang w:eastAsia="lv-LV"/>
        </w:rPr>
        <w:t>Eiropas Savienības politiku instrumentu un pārējās ārvalstu finanšu palīdzības līdzfinansēto un finansēto projektu un pasākumu īstenošanai</w:t>
      </w:r>
      <w:bookmarkEnd w:id="85"/>
      <w:bookmarkEnd w:id="86"/>
    </w:p>
    <w:p w14:paraId="2CC5677C" w14:textId="77777777" w:rsidR="00B87545" w:rsidRPr="00AA0E06" w:rsidRDefault="00B87545" w:rsidP="00B87545">
      <w:pPr>
        <w:rPr>
          <w:sz w:val="14"/>
          <w:lang w:val="x-none" w:eastAsia="lv-LV"/>
        </w:rPr>
      </w:pPr>
    </w:p>
    <w:p w14:paraId="2C1FC223" w14:textId="77777777" w:rsidR="00420A42" w:rsidRPr="00AA0E06" w:rsidRDefault="009115CF" w:rsidP="00A90239">
      <w:pPr>
        <w:ind w:firstLine="720"/>
        <w:rPr>
          <w:sz w:val="10"/>
        </w:rPr>
      </w:pPr>
      <w:r w:rsidRPr="001C1C52">
        <w:rPr>
          <w:sz w:val="24"/>
        </w:rPr>
        <w:t>Valsts pamatbudžetā</w:t>
      </w:r>
      <w:r w:rsidRPr="001C1C52">
        <w:rPr>
          <w:b/>
          <w:sz w:val="24"/>
        </w:rPr>
        <w:t xml:space="preserve"> </w:t>
      </w:r>
      <w:r w:rsidRPr="001C1C52">
        <w:rPr>
          <w:sz w:val="24"/>
        </w:rPr>
        <w:t>201</w:t>
      </w:r>
      <w:r w:rsidR="007755EF" w:rsidRPr="001C1C52">
        <w:rPr>
          <w:sz w:val="24"/>
        </w:rPr>
        <w:t>5</w:t>
      </w:r>
      <w:r w:rsidR="007D442A" w:rsidRPr="001C1C52">
        <w:rPr>
          <w:sz w:val="24"/>
        </w:rPr>
        <w:t>.</w:t>
      </w:r>
      <w:r w:rsidRPr="001C1C52">
        <w:rPr>
          <w:sz w:val="24"/>
        </w:rPr>
        <w:t xml:space="preserve">gada pirmajā ceturksnī kopējie izdevumi bija </w:t>
      </w:r>
      <w:r w:rsidR="007755EF" w:rsidRPr="001C1C52">
        <w:rPr>
          <w:sz w:val="24"/>
        </w:rPr>
        <w:t>1</w:t>
      </w:r>
      <w:r w:rsidR="00FE6773" w:rsidRPr="001C1C52">
        <w:rPr>
          <w:sz w:val="24"/>
        </w:rPr>
        <w:t> </w:t>
      </w:r>
      <w:r w:rsidR="007755EF" w:rsidRPr="001C1C52">
        <w:rPr>
          <w:sz w:val="24"/>
        </w:rPr>
        <w:t>306,0</w:t>
      </w:r>
      <w:r w:rsidRPr="001C1C52">
        <w:rPr>
          <w:sz w:val="24"/>
        </w:rPr>
        <w:t xml:space="preserve"> milj. </w:t>
      </w:r>
      <w:r w:rsidR="001024A4" w:rsidRPr="001C1C52">
        <w:rPr>
          <w:i/>
          <w:sz w:val="24"/>
        </w:rPr>
        <w:t>euro</w:t>
      </w:r>
      <w:r w:rsidRPr="001C1C52">
        <w:rPr>
          <w:sz w:val="24"/>
        </w:rPr>
        <w:t xml:space="preserve">, no kuriem </w:t>
      </w:r>
      <w:r w:rsidR="007755EF" w:rsidRPr="001C1C52">
        <w:rPr>
          <w:sz w:val="24"/>
        </w:rPr>
        <w:t>1</w:t>
      </w:r>
      <w:r w:rsidR="00FE6773" w:rsidRPr="001C1C52">
        <w:rPr>
          <w:sz w:val="24"/>
        </w:rPr>
        <w:t> </w:t>
      </w:r>
      <w:r w:rsidR="007755EF" w:rsidRPr="001C1C52">
        <w:rPr>
          <w:sz w:val="24"/>
        </w:rPr>
        <w:t>043,4</w:t>
      </w:r>
      <w:r w:rsidRPr="001C1C52">
        <w:rPr>
          <w:sz w:val="24"/>
        </w:rPr>
        <w:t xml:space="preserve"> milj.</w:t>
      </w:r>
      <w:r w:rsidRPr="001C1C52">
        <w:rPr>
          <w:i/>
          <w:sz w:val="24"/>
        </w:rPr>
        <w:t xml:space="preserve"> </w:t>
      </w:r>
      <w:r w:rsidR="001024A4" w:rsidRPr="001C1C52">
        <w:rPr>
          <w:i/>
          <w:sz w:val="24"/>
        </w:rPr>
        <w:t>euro</w:t>
      </w:r>
      <w:r w:rsidRPr="001C1C52">
        <w:rPr>
          <w:sz w:val="24"/>
        </w:rPr>
        <w:t xml:space="preserve"> jeb </w:t>
      </w:r>
      <w:r w:rsidR="007755EF" w:rsidRPr="001C1C52">
        <w:rPr>
          <w:sz w:val="24"/>
        </w:rPr>
        <w:t>79,9</w:t>
      </w:r>
      <w:r w:rsidRPr="001C1C52">
        <w:rPr>
          <w:sz w:val="24"/>
        </w:rPr>
        <w:t xml:space="preserve">% bija izdevumi valsts pamatfunkciju īstenošanai, savukārt </w:t>
      </w:r>
      <w:r w:rsidR="007755EF" w:rsidRPr="001C1C52">
        <w:rPr>
          <w:sz w:val="24"/>
        </w:rPr>
        <w:t>262,6</w:t>
      </w:r>
      <w:r w:rsidRPr="001C1C52">
        <w:rPr>
          <w:sz w:val="24"/>
        </w:rPr>
        <w:t xml:space="preserve"> milj. </w:t>
      </w:r>
      <w:r w:rsidR="001024A4" w:rsidRPr="001C1C52">
        <w:rPr>
          <w:i/>
          <w:sz w:val="24"/>
        </w:rPr>
        <w:t>euro</w:t>
      </w:r>
      <w:r w:rsidRPr="001C1C52">
        <w:rPr>
          <w:sz w:val="24"/>
        </w:rPr>
        <w:t xml:space="preserve"> jeb </w:t>
      </w:r>
      <w:r w:rsidR="007755EF" w:rsidRPr="001C1C52">
        <w:rPr>
          <w:sz w:val="24"/>
        </w:rPr>
        <w:t>20,1</w:t>
      </w:r>
      <w:r w:rsidRPr="001C1C52">
        <w:rPr>
          <w:sz w:val="24"/>
        </w:rPr>
        <w:t>% bija izdevumi ES politiku instrumentu un pārējās ārvalstu finanšu palīdzības līdzfinansēto un finansēto projektu un pasākumu īstenošanai. 201</w:t>
      </w:r>
      <w:r w:rsidR="007755EF" w:rsidRPr="001C1C52">
        <w:rPr>
          <w:sz w:val="24"/>
        </w:rPr>
        <w:t>4</w:t>
      </w:r>
      <w:r w:rsidRPr="001C1C52">
        <w:rPr>
          <w:sz w:val="24"/>
        </w:rPr>
        <w:t xml:space="preserve">.gada atbilstošajā periodā valsts pamatfunkciju īstenošanai tika izlietoti </w:t>
      </w:r>
      <w:r w:rsidR="007755EF" w:rsidRPr="001C1C52">
        <w:rPr>
          <w:sz w:val="24"/>
        </w:rPr>
        <w:t>977,1</w:t>
      </w:r>
      <w:r w:rsidRPr="001C1C52">
        <w:rPr>
          <w:sz w:val="24"/>
        </w:rPr>
        <w:t xml:space="preserve"> milj. </w:t>
      </w:r>
      <w:r w:rsidR="00A27491" w:rsidRPr="001C1C52">
        <w:rPr>
          <w:i/>
          <w:sz w:val="24"/>
        </w:rPr>
        <w:t>euro</w:t>
      </w:r>
      <w:r w:rsidRPr="001C1C52">
        <w:rPr>
          <w:sz w:val="24"/>
        </w:rPr>
        <w:t xml:space="preserve">, bet ES fondu apguvei – </w:t>
      </w:r>
      <w:r w:rsidR="007755EF" w:rsidRPr="001C1C52">
        <w:rPr>
          <w:sz w:val="24"/>
        </w:rPr>
        <w:t>255,2</w:t>
      </w:r>
      <w:r w:rsidRPr="001C1C52">
        <w:rPr>
          <w:sz w:val="24"/>
        </w:rPr>
        <w:t xml:space="preserve"> milj. </w:t>
      </w:r>
      <w:r w:rsidR="00A27491" w:rsidRPr="001C1C52">
        <w:rPr>
          <w:i/>
          <w:sz w:val="24"/>
        </w:rPr>
        <w:t>euro</w:t>
      </w:r>
      <w:r w:rsidRPr="001C1C52">
        <w:rPr>
          <w:sz w:val="24"/>
        </w:rPr>
        <w:t>.</w:t>
      </w:r>
    </w:p>
    <w:p w14:paraId="59677422" w14:textId="77777777" w:rsidR="009115CF" w:rsidRPr="00EF354D" w:rsidRDefault="00234FC7" w:rsidP="00234FC7">
      <w:pPr>
        <w:jc w:val="right"/>
        <w:rPr>
          <w:b/>
          <w:bCs/>
          <w:sz w:val="20"/>
          <w:szCs w:val="24"/>
        </w:rPr>
      </w:pPr>
      <w:r w:rsidRPr="00EF354D">
        <w:rPr>
          <w:b/>
          <w:bCs/>
          <w:sz w:val="20"/>
          <w:szCs w:val="24"/>
        </w:rPr>
        <w:t>2.6</w:t>
      </w:r>
      <w:r w:rsidR="00E30F4B" w:rsidRPr="00EF354D">
        <w:rPr>
          <w:b/>
          <w:bCs/>
          <w:sz w:val="20"/>
          <w:szCs w:val="24"/>
        </w:rPr>
        <w:t xml:space="preserve">. tabula. </w:t>
      </w:r>
      <w:r w:rsidR="009115CF" w:rsidRPr="00EF354D">
        <w:rPr>
          <w:b/>
          <w:bCs/>
          <w:sz w:val="20"/>
          <w:szCs w:val="24"/>
        </w:rPr>
        <w:t>F</w:t>
      </w:r>
      <w:r w:rsidR="00E30F4B" w:rsidRPr="00EF354D">
        <w:rPr>
          <w:b/>
          <w:bCs/>
          <w:sz w:val="20"/>
          <w:szCs w:val="24"/>
        </w:rPr>
        <w:t>inansiālo rādītāju kopsavilkums</w:t>
      </w:r>
    </w:p>
    <w:tbl>
      <w:tblPr>
        <w:tblW w:w="9346" w:type="dxa"/>
        <w:jc w:val="center"/>
        <w:tblLook w:val="04A0" w:firstRow="1" w:lastRow="0" w:firstColumn="1" w:lastColumn="0" w:noHBand="0" w:noVBand="1"/>
      </w:tblPr>
      <w:tblGrid>
        <w:gridCol w:w="2122"/>
        <w:gridCol w:w="1000"/>
        <w:gridCol w:w="1000"/>
        <w:gridCol w:w="1000"/>
        <w:gridCol w:w="994"/>
        <w:gridCol w:w="994"/>
        <w:gridCol w:w="1151"/>
        <w:gridCol w:w="1085"/>
      </w:tblGrid>
      <w:tr w:rsidR="003C3685" w:rsidRPr="003C3685" w14:paraId="45CDAB26" w14:textId="77777777" w:rsidTr="009B20E0">
        <w:trPr>
          <w:trHeight w:val="2126"/>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F17C3" w14:textId="77777777" w:rsidR="003C3685" w:rsidRPr="00AA0E06" w:rsidRDefault="003C3685" w:rsidP="003C3685">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Finansiālie rādītāji</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399F84C2" w14:textId="77777777" w:rsidR="003C3685" w:rsidRPr="00AA0E06" w:rsidRDefault="003C3685" w:rsidP="007755EF">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w:t>
            </w:r>
            <w:r w:rsidR="007755EF" w:rsidRPr="00AA0E06">
              <w:rPr>
                <w:rFonts w:eastAsia="Times New Roman" w:cs="Times New Roman"/>
                <w:color w:val="000000"/>
                <w:sz w:val="18"/>
                <w:szCs w:val="18"/>
                <w:lang w:eastAsia="lv-LV"/>
              </w:rPr>
              <w:t>4</w:t>
            </w:r>
            <w:r w:rsidRPr="00AA0E06">
              <w:rPr>
                <w:rFonts w:eastAsia="Times New Roman" w:cs="Times New Roman"/>
                <w:color w:val="000000"/>
                <w:sz w:val="18"/>
                <w:szCs w:val="18"/>
                <w:lang w:eastAsia="lv-LV"/>
              </w:rPr>
              <w:t>.</w:t>
            </w:r>
            <w:r w:rsidR="00AA0E06">
              <w:rPr>
                <w:rFonts w:eastAsia="Times New Roman" w:cs="Times New Roman"/>
                <w:color w:val="000000"/>
                <w:sz w:val="18"/>
                <w:szCs w:val="18"/>
                <w:lang w:eastAsia="lv-LV"/>
              </w:rPr>
              <w:t>gada 3 mēnešu izpilde</w:t>
            </w:r>
            <w:r w:rsidR="00AA0E06">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37B4D620" w14:textId="77777777" w:rsidR="003C3685" w:rsidRPr="00AA0E06" w:rsidRDefault="003C3685" w:rsidP="007755EF">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w:t>
            </w:r>
            <w:r w:rsidR="007755EF" w:rsidRPr="00AA0E06">
              <w:rPr>
                <w:rFonts w:eastAsia="Times New Roman" w:cs="Times New Roman"/>
                <w:color w:val="000000"/>
                <w:sz w:val="18"/>
                <w:szCs w:val="18"/>
                <w:lang w:eastAsia="lv-LV"/>
              </w:rPr>
              <w:t>5</w:t>
            </w:r>
            <w:r w:rsidR="00AA0E06">
              <w:rPr>
                <w:rFonts w:eastAsia="Times New Roman" w:cs="Times New Roman"/>
                <w:color w:val="000000"/>
                <w:sz w:val="18"/>
                <w:szCs w:val="18"/>
                <w:lang w:eastAsia="lv-LV"/>
              </w:rPr>
              <w:t>.gada 3 mēnešu plāns</w:t>
            </w:r>
            <w:r w:rsidR="00AA0E06">
              <w:rPr>
                <w:rFonts w:eastAsia="Times New Roman" w:cs="Times New Roman"/>
                <w:color w:val="000000"/>
                <w:sz w:val="18"/>
                <w:szCs w:val="18"/>
                <w:lang w:eastAsia="lv-LV"/>
              </w:rPr>
              <w:br/>
              <w:t>(tūkst.</w:t>
            </w:r>
            <w:r w:rsidRPr="00AA0E06">
              <w:rPr>
                <w:rFonts w:eastAsia="Times New Roman" w:cs="Times New Roman"/>
                <w:i/>
                <w:iCs/>
                <w:color w:val="000000"/>
                <w:sz w:val="18"/>
                <w:szCs w:val="18"/>
                <w:lang w:eastAsia="lv-LV"/>
              </w:rPr>
              <w:t xml:space="preserve"> euro</w:t>
            </w:r>
            <w:r w:rsidRPr="00AA0E06">
              <w:rPr>
                <w:rFonts w:eastAsia="Times New Roman" w:cs="Times New Roman"/>
                <w:color w:val="000000"/>
                <w:sz w:val="18"/>
                <w:szCs w:val="18"/>
                <w:lang w:eastAsia="lv-LV"/>
              </w:rPr>
              <w:t>)</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14:paraId="2F8766B0" w14:textId="77777777" w:rsidR="003C3685" w:rsidRPr="00AA0E06" w:rsidRDefault="003C3685" w:rsidP="007755EF">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w:t>
            </w:r>
            <w:r w:rsidR="007755EF" w:rsidRPr="00AA0E06">
              <w:rPr>
                <w:rFonts w:eastAsia="Times New Roman" w:cs="Times New Roman"/>
                <w:color w:val="000000"/>
                <w:sz w:val="18"/>
                <w:szCs w:val="18"/>
                <w:lang w:eastAsia="lv-LV"/>
              </w:rPr>
              <w:t>5</w:t>
            </w:r>
            <w:r w:rsidRPr="00AA0E06">
              <w:rPr>
                <w:rFonts w:eastAsia="Times New Roman" w:cs="Times New Roman"/>
                <w:color w:val="000000"/>
                <w:sz w:val="18"/>
                <w:szCs w:val="18"/>
                <w:lang w:eastAsia="lv-LV"/>
              </w:rPr>
              <w:t>.</w:t>
            </w:r>
            <w:r w:rsidR="00AA0E06">
              <w:rPr>
                <w:rFonts w:eastAsia="Times New Roman" w:cs="Times New Roman"/>
                <w:color w:val="000000"/>
                <w:sz w:val="18"/>
                <w:szCs w:val="18"/>
                <w:lang w:eastAsia="lv-LV"/>
              </w:rPr>
              <w:t>gada 3 mēnešu izpilde</w:t>
            </w:r>
            <w:r w:rsidR="00AA0E06">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14:paraId="787B3857" w14:textId="77777777" w:rsidR="003C3685" w:rsidRPr="00AA0E06" w:rsidRDefault="003C3685"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w:t>
            </w:r>
            <w:r w:rsidR="007755EF" w:rsidRPr="00AA0E06">
              <w:rPr>
                <w:rFonts w:eastAsia="Times New Roman" w:cs="Times New Roman"/>
                <w:color w:val="000000"/>
                <w:sz w:val="18"/>
                <w:szCs w:val="18"/>
                <w:lang w:eastAsia="lv-LV"/>
              </w:rPr>
              <w:t>5</w:t>
            </w:r>
            <w:r w:rsidRPr="00AA0E06">
              <w:rPr>
                <w:rFonts w:eastAsia="Times New Roman" w:cs="Times New Roman"/>
                <w:color w:val="000000"/>
                <w:sz w:val="18"/>
                <w:szCs w:val="18"/>
                <w:lang w:eastAsia="lv-LV"/>
              </w:rPr>
              <w:t>.gada 3 mēnešu izpildes izmaiņas  pret 201</w:t>
            </w:r>
            <w:r w:rsidR="007755EF" w:rsidRPr="00AA0E06">
              <w:rPr>
                <w:rFonts w:eastAsia="Times New Roman" w:cs="Times New Roman"/>
                <w:color w:val="000000"/>
                <w:sz w:val="18"/>
                <w:szCs w:val="18"/>
                <w:lang w:eastAsia="lv-LV"/>
              </w:rPr>
              <w:t>4</w:t>
            </w:r>
            <w:r w:rsidRPr="00AA0E06">
              <w:rPr>
                <w:rFonts w:eastAsia="Times New Roman" w:cs="Times New Roman"/>
                <w:color w:val="000000"/>
                <w:sz w:val="18"/>
                <w:szCs w:val="18"/>
                <w:lang w:eastAsia="lv-LV"/>
              </w:rPr>
              <w:t>.gada 3 mēn</w:t>
            </w:r>
            <w:r w:rsidR="00AA0E06">
              <w:rPr>
                <w:rFonts w:eastAsia="Times New Roman" w:cs="Times New Roman"/>
                <w:color w:val="000000"/>
                <w:sz w:val="18"/>
                <w:szCs w:val="18"/>
                <w:lang w:eastAsia="lv-LV"/>
              </w:rPr>
              <w:t>ešu izpildi</w:t>
            </w:r>
            <w:r w:rsidR="00AA0E06">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994" w:type="dxa"/>
            <w:tcBorders>
              <w:top w:val="single" w:sz="4" w:space="0" w:color="auto"/>
              <w:left w:val="nil"/>
              <w:bottom w:val="single" w:sz="4" w:space="0" w:color="auto"/>
              <w:right w:val="single" w:sz="4" w:space="0" w:color="auto"/>
            </w:tcBorders>
            <w:shd w:val="clear" w:color="000000" w:fill="FFFFFF"/>
            <w:vAlign w:val="center"/>
            <w:hideMark/>
          </w:tcPr>
          <w:p w14:paraId="2A2D499C" w14:textId="77777777" w:rsidR="003C3685" w:rsidRPr="00AA0E06" w:rsidRDefault="003C3685"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w:t>
            </w:r>
            <w:r w:rsidR="007755EF" w:rsidRPr="00AA0E06">
              <w:rPr>
                <w:rFonts w:eastAsia="Times New Roman" w:cs="Times New Roman"/>
                <w:color w:val="000000"/>
                <w:sz w:val="18"/>
                <w:szCs w:val="18"/>
                <w:lang w:eastAsia="lv-LV"/>
              </w:rPr>
              <w:t>5</w:t>
            </w:r>
            <w:r w:rsidRPr="00AA0E06">
              <w:rPr>
                <w:rFonts w:eastAsia="Times New Roman" w:cs="Times New Roman"/>
                <w:color w:val="000000"/>
                <w:sz w:val="18"/>
                <w:szCs w:val="18"/>
                <w:lang w:eastAsia="lv-LV"/>
              </w:rPr>
              <w:t>.gada 3 mēnešu izpilde  pret 201</w:t>
            </w:r>
            <w:r w:rsidR="007755EF" w:rsidRPr="00AA0E06">
              <w:rPr>
                <w:rFonts w:eastAsia="Times New Roman" w:cs="Times New Roman"/>
                <w:color w:val="000000"/>
                <w:sz w:val="18"/>
                <w:szCs w:val="18"/>
                <w:lang w:eastAsia="lv-LV"/>
              </w:rPr>
              <w:t>5</w:t>
            </w:r>
            <w:r w:rsidR="00AA0E06">
              <w:rPr>
                <w:rFonts w:eastAsia="Times New Roman" w:cs="Times New Roman"/>
                <w:color w:val="000000"/>
                <w:sz w:val="18"/>
                <w:szCs w:val="18"/>
                <w:lang w:eastAsia="lv-LV"/>
              </w:rPr>
              <w:t>.gada 3 mēnešu plānu</w:t>
            </w:r>
            <w:r w:rsidR="00AA0E06">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1151" w:type="dxa"/>
            <w:tcBorders>
              <w:top w:val="single" w:sz="4" w:space="0" w:color="auto"/>
              <w:left w:val="nil"/>
              <w:bottom w:val="single" w:sz="4" w:space="0" w:color="auto"/>
              <w:right w:val="single" w:sz="4" w:space="0" w:color="auto"/>
            </w:tcBorders>
            <w:shd w:val="clear" w:color="000000" w:fill="FFFFFF"/>
            <w:vAlign w:val="center"/>
            <w:hideMark/>
          </w:tcPr>
          <w:p w14:paraId="266D9DA5" w14:textId="77777777" w:rsidR="003C3685" w:rsidRPr="00AA0E06" w:rsidRDefault="003C3685"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w:t>
            </w:r>
            <w:r w:rsidR="007755EF" w:rsidRPr="00AA0E06">
              <w:rPr>
                <w:rFonts w:eastAsia="Times New Roman" w:cs="Times New Roman"/>
                <w:color w:val="000000"/>
                <w:sz w:val="18"/>
                <w:szCs w:val="18"/>
                <w:lang w:eastAsia="lv-LV"/>
              </w:rPr>
              <w:t>5</w:t>
            </w:r>
            <w:r w:rsidRPr="00AA0E06">
              <w:rPr>
                <w:rFonts w:eastAsia="Times New Roman" w:cs="Times New Roman"/>
                <w:color w:val="000000"/>
                <w:sz w:val="18"/>
                <w:szCs w:val="18"/>
                <w:lang w:eastAsia="lv-LV"/>
              </w:rPr>
              <w:t>.gada 3 mēnešu izpildes izmaiņas pret 201</w:t>
            </w:r>
            <w:r w:rsidR="007755EF" w:rsidRPr="00AA0E06">
              <w:rPr>
                <w:rFonts w:eastAsia="Times New Roman" w:cs="Times New Roman"/>
                <w:color w:val="000000"/>
                <w:sz w:val="18"/>
                <w:szCs w:val="18"/>
                <w:lang w:eastAsia="lv-LV"/>
              </w:rPr>
              <w:t>4</w:t>
            </w:r>
            <w:r w:rsidRPr="00AA0E06">
              <w:rPr>
                <w:rFonts w:eastAsia="Times New Roman" w:cs="Times New Roman"/>
                <w:color w:val="000000"/>
                <w:sz w:val="18"/>
                <w:szCs w:val="18"/>
                <w:lang w:eastAsia="lv-LV"/>
              </w:rPr>
              <w:t>.</w:t>
            </w:r>
            <w:r w:rsidR="00AA0E06">
              <w:rPr>
                <w:rFonts w:eastAsia="Times New Roman" w:cs="Times New Roman"/>
                <w:color w:val="000000"/>
                <w:sz w:val="18"/>
                <w:szCs w:val="18"/>
                <w:lang w:eastAsia="lv-LV"/>
              </w:rPr>
              <w:t>gada 3 mēnešu izpildi</w:t>
            </w:r>
            <w:r w:rsidR="00AA0E06">
              <w:rPr>
                <w:rFonts w:eastAsia="Times New Roman" w:cs="Times New Roman"/>
                <w:color w:val="000000"/>
                <w:sz w:val="18"/>
                <w:szCs w:val="18"/>
                <w:lang w:eastAsia="lv-LV"/>
              </w:rPr>
              <w:br/>
              <w:t>(%</w:t>
            </w:r>
            <w:r w:rsidRPr="00AA0E06">
              <w:rPr>
                <w:rFonts w:eastAsia="Times New Roman" w:cs="Times New Roman"/>
                <w:color w:val="000000"/>
                <w:sz w:val="18"/>
                <w:szCs w:val="18"/>
                <w:lang w:eastAsia="lv-LV"/>
              </w:rPr>
              <w:t>)</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564590B7" w14:textId="77777777" w:rsidR="003C3685" w:rsidRPr="00AA0E06" w:rsidRDefault="003C3685" w:rsidP="007755EF">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w:t>
            </w:r>
            <w:r w:rsidR="007755EF" w:rsidRPr="00AA0E06">
              <w:rPr>
                <w:rFonts w:eastAsia="Times New Roman" w:cs="Times New Roman"/>
                <w:color w:val="000000"/>
                <w:sz w:val="18"/>
                <w:szCs w:val="18"/>
                <w:lang w:eastAsia="lv-LV"/>
              </w:rPr>
              <w:t>5</w:t>
            </w:r>
            <w:r w:rsidRPr="00AA0E06">
              <w:rPr>
                <w:rFonts w:eastAsia="Times New Roman" w:cs="Times New Roman"/>
                <w:color w:val="000000"/>
                <w:sz w:val="18"/>
                <w:szCs w:val="18"/>
                <w:lang w:eastAsia="lv-LV"/>
              </w:rPr>
              <w:t>.gada 3 mēnešu izpilde no 201</w:t>
            </w:r>
            <w:r w:rsidR="007755EF" w:rsidRPr="00AA0E06">
              <w:rPr>
                <w:rFonts w:eastAsia="Times New Roman" w:cs="Times New Roman"/>
                <w:color w:val="000000"/>
                <w:sz w:val="18"/>
                <w:szCs w:val="18"/>
                <w:lang w:eastAsia="lv-LV"/>
              </w:rPr>
              <w:t>5</w:t>
            </w:r>
            <w:r w:rsidR="00AA0E06">
              <w:rPr>
                <w:rFonts w:eastAsia="Times New Roman" w:cs="Times New Roman"/>
                <w:color w:val="000000"/>
                <w:sz w:val="18"/>
                <w:szCs w:val="18"/>
                <w:lang w:eastAsia="lv-LV"/>
              </w:rPr>
              <w:t>.gada 3 mēnešu plāna</w:t>
            </w:r>
            <w:r w:rsidR="00AA0E06">
              <w:rPr>
                <w:rFonts w:eastAsia="Times New Roman" w:cs="Times New Roman"/>
                <w:color w:val="000000"/>
                <w:sz w:val="18"/>
                <w:szCs w:val="18"/>
                <w:lang w:eastAsia="lv-LV"/>
              </w:rPr>
              <w:br/>
              <w:t>(%</w:t>
            </w:r>
            <w:r w:rsidRPr="00AA0E06">
              <w:rPr>
                <w:rFonts w:eastAsia="Times New Roman" w:cs="Times New Roman"/>
                <w:color w:val="000000"/>
                <w:sz w:val="18"/>
                <w:szCs w:val="18"/>
                <w:lang w:eastAsia="lv-LV"/>
              </w:rPr>
              <w:t>)</w:t>
            </w:r>
          </w:p>
        </w:tc>
      </w:tr>
      <w:tr w:rsidR="003C3685" w:rsidRPr="003C3685" w14:paraId="0164F23E" w14:textId="77777777" w:rsidTr="009B20E0">
        <w:trPr>
          <w:trHeight w:val="426"/>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E2BB581" w14:textId="77777777" w:rsidR="003C3685" w:rsidRPr="003C3685" w:rsidRDefault="003C3685" w:rsidP="003C3685">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1</w:t>
            </w:r>
          </w:p>
        </w:tc>
        <w:tc>
          <w:tcPr>
            <w:tcW w:w="1000" w:type="dxa"/>
            <w:tcBorders>
              <w:top w:val="nil"/>
              <w:left w:val="nil"/>
              <w:bottom w:val="single" w:sz="4" w:space="0" w:color="auto"/>
              <w:right w:val="single" w:sz="4" w:space="0" w:color="auto"/>
            </w:tcBorders>
            <w:shd w:val="clear" w:color="000000" w:fill="FFFFFF"/>
            <w:vAlign w:val="center"/>
            <w:hideMark/>
          </w:tcPr>
          <w:p w14:paraId="6DDF1ADC" w14:textId="77777777" w:rsidR="003C3685" w:rsidRPr="003C3685" w:rsidRDefault="003C3685" w:rsidP="003C3685">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2</w:t>
            </w:r>
          </w:p>
        </w:tc>
        <w:tc>
          <w:tcPr>
            <w:tcW w:w="1000" w:type="dxa"/>
            <w:tcBorders>
              <w:top w:val="nil"/>
              <w:left w:val="nil"/>
              <w:bottom w:val="single" w:sz="4" w:space="0" w:color="auto"/>
              <w:right w:val="single" w:sz="4" w:space="0" w:color="auto"/>
            </w:tcBorders>
            <w:shd w:val="clear" w:color="000000" w:fill="FFFFFF"/>
            <w:vAlign w:val="center"/>
            <w:hideMark/>
          </w:tcPr>
          <w:p w14:paraId="231653A6" w14:textId="77777777" w:rsidR="003C3685" w:rsidRPr="003C3685" w:rsidRDefault="003C3685" w:rsidP="003C3685">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3</w:t>
            </w:r>
          </w:p>
        </w:tc>
        <w:tc>
          <w:tcPr>
            <w:tcW w:w="1000" w:type="dxa"/>
            <w:tcBorders>
              <w:top w:val="nil"/>
              <w:left w:val="nil"/>
              <w:bottom w:val="single" w:sz="4" w:space="0" w:color="auto"/>
              <w:right w:val="single" w:sz="4" w:space="0" w:color="auto"/>
            </w:tcBorders>
            <w:shd w:val="clear" w:color="000000" w:fill="FFFFFF"/>
            <w:vAlign w:val="center"/>
            <w:hideMark/>
          </w:tcPr>
          <w:p w14:paraId="2A93C62C" w14:textId="77777777" w:rsidR="003C3685" w:rsidRPr="003C3685" w:rsidRDefault="003C3685" w:rsidP="003C3685">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4</w:t>
            </w:r>
          </w:p>
        </w:tc>
        <w:tc>
          <w:tcPr>
            <w:tcW w:w="994" w:type="dxa"/>
            <w:tcBorders>
              <w:top w:val="nil"/>
              <w:left w:val="nil"/>
              <w:bottom w:val="single" w:sz="4" w:space="0" w:color="auto"/>
              <w:right w:val="single" w:sz="4" w:space="0" w:color="auto"/>
            </w:tcBorders>
            <w:shd w:val="clear" w:color="000000" w:fill="FFFFFF"/>
            <w:vAlign w:val="center"/>
            <w:hideMark/>
          </w:tcPr>
          <w:p w14:paraId="022648AD" w14:textId="77777777" w:rsidR="003C3685" w:rsidRPr="003C3685" w:rsidRDefault="003C3685" w:rsidP="003C3685">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5 = 4-2</w:t>
            </w:r>
          </w:p>
        </w:tc>
        <w:tc>
          <w:tcPr>
            <w:tcW w:w="994" w:type="dxa"/>
            <w:tcBorders>
              <w:top w:val="nil"/>
              <w:left w:val="nil"/>
              <w:bottom w:val="single" w:sz="4" w:space="0" w:color="auto"/>
              <w:right w:val="single" w:sz="4" w:space="0" w:color="auto"/>
            </w:tcBorders>
            <w:shd w:val="clear" w:color="000000" w:fill="FFFFFF"/>
            <w:vAlign w:val="center"/>
            <w:hideMark/>
          </w:tcPr>
          <w:p w14:paraId="11BEBB4A" w14:textId="77777777" w:rsidR="003C3685" w:rsidRPr="003C3685" w:rsidRDefault="003C3685" w:rsidP="003C3685">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6=4-3</w:t>
            </w:r>
          </w:p>
        </w:tc>
        <w:tc>
          <w:tcPr>
            <w:tcW w:w="1151" w:type="dxa"/>
            <w:tcBorders>
              <w:top w:val="nil"/>
              <w:left w:val="nil"/>
              <w:bottom w:val="single" w:sz="4" w:space="0" w:color="auto"/>
              <w:right w:val="single" w:sz="4" w:space="0" w:color="auto"/>
            </w:tcBorders>
            <w:shd w:val="clear" w:color="000000" w:fill="FFFFFF"/>
            <w:vAlign w:val="center"/>
            <w:hideMark/>
          </w:tcPr>
          <w:p w14:paraId="5D23C054" w14:textId="77777777" w:rsidR="003C3685" w:rsidRPr="003C3685" w:rsidRDefault="003C3685" w:rsidP="003C3685">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7=4/2*100-100</w:t>
            </w:r>
          </w:p>
        </w:tc>
        <w:tc>
          <w:tcPr>
            <w:tcW w:w="1085" w:type="dxa"/>
            <w:tcBorders>
              <w:top w:val="nil"/>
              <w:left w:val="nil"/>
              <w:bottom w:val="single" w:sz="4" w:space="0" w:color="auto"/>
              <w:right w:val="single" w:sz="4" w:space="0" w:color="auto"/>
            </w:tcBorders>
            <w:shd w:val="clear" w:color="000000" w:fill="FFFFFF"/>
            <w:vAlign w:val="center"/>
            <w:hideMark/>
          </w:tcPr>
          <w:p w14:paraId="3F963B12" w14:textId="77777777" w:rsidR="003C3685" w:rsidRPr="003C3685" w:rsidRDefault="003C3685" w:rsidP="003C3685">
            <w:pPr>
              <w:spacing w:after="0"/>
              <w:ind w:firstLine="0"/>
              <w:jc w:val="center"/>
              <w:rPr>
                <w:rFonts w:eastAsia="Times New Roman" w:cs="Times New Roman"/>
                <w:color w:val="000000"/>
                <w:sz w:val="20"/>
                <w:szCs w:val="20"/>
                <w:lang w:eastAsia="lv-LV"/>
              </w:rPr>
            </w:pPr>
            <w:r w:rsidRPr="003C3685">
              <w:rPr>
                <w:rFonts w:eastAsia="Times New Roman" w:cs="Times New Roman"/>
                <w:color w:val="000000"/>
                <w:sz w:val="20"/>
                <w:szCs w:val="20"/>
                <w:lang w:eastAsia="lv-LV"/>
              </w:rPr>
              <w:t>8=4/3*100</w:t>
            </w:r>
          </w:p>
        </w:tc>
      </w:tr>
      <w:tr w:rsidR="003C3685" w:rsidRPr="003C3685" w14:paraId="442B0963" w14:textId="77777777" w:rsidTr="009B20E0">
        <w:trPr>
          <w:trHeight w:val="264"/>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8ADD9B1" w14:textId="77777777" w:rsidR="003C3685" w:rsidRPr="003C3685" w:rsidRDefault="003C3685" w:rsidP="00D4319A">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Resursi izdevumu segšanai</w:t>
            </w:r>
          </w:p>
        </w:tc>
        <w:tc>
          <w:tcPr>
            <w:tcW w:w="1000" w:type="dxa"/>
            <w:tcBorders>
              <w:top w:val="nil"/>
              <w:left w:val="nil"/>
              <w:bottom w:val="single" w:sz="4" w:space="0" w:color="auto"/>
              <w:right w:val="single" w:sz="4" w:space="0" w:color="auto"/>
            </w:tcBorders>
            <w:shd w:val="clear" w:color="auto" w:fill="auto"/>
            <w:noWrap/>
            <w:vAlign w:val="bottom"/>
            <w:hideMark/>
          </w:tcPr>
          <w:p w14:paraId="6085125F" w14:textId="77777777" w:rsidR="003C3685" w:rsidRPr="003C3685" w:rsidRDefault="007755EF" w:rsidP="00AA0E06">
            <w:pPr>
              <w:spacing w:after="0"/>
              <w:ind w:left="-119" w:firstLine="0"/>
              <w:jc w:val="right"/>
              <w:rPr>
                <w:rFonts w:eastAsia="Times New Roman" w:cs="Times New Roman"/>
                <w:b/>
                <w:bCs/>
                <w:sz w:val="20"/>
                <w:szCs w:val="20"/>
                <w:lang w:eastAsia="lv-LV"/>
              </w:rPr>
            </w:pPr>
            <w:r>
              <w:rPr>
                <w:rFonts w:eastAsia="Times New Roman" w:cs="Times New Roman"/>
                <w:b/>
                <w:bCs/>
                <w:sz w:val="20"/>
                <w:szCs w:val="20"/>
                <w:lang w:eastAsia="lv-LV"/>
              </w:rPr>
              <w:t>1 306 436</w:t>
            </w:r>
          </w:p>
        </w:tc>
        <w:tc>
          <w:tcPr>
            <w:tcW w:w="1000" w:type="dxa"/>
            <w:tcBorders>
              <w:top w:val="nil"/>
              <w:left w:val="nil"/>
              <w:bottom w:val="single" w:sz="4" w:space="0" w:color="auto"/>
              <w:right w:val="single" w:sz="4" w:space="0" w:color="auto"/>
            </w:tcBorders>
            <w:shd w:val="clear" w:color="auto" w:fill="auto"/>
            <w:noWrap/>
            <w:vAlign w:val="bottom"/>
            <w:hideMark/>
          </w:tcPr>
          <w:p w14:paraId="6C1EBF42" w14:textId="77777777" w:rsidR="003C3685" w:rsidRPr="00367174" w:rsidRDefault="007755EF" w:rsidP="00AA0E06">
            <w:pPr>
              <w:spacing w:after="0"/>
              <w:ind w:left="-127" w:firstLine="0"/>
              <w:jc w:val="right"/>
              <w:rPr>
                <w:rFonts w:eastAsia="Times New Roman" w:cs="Times New Roman"/>
                <w:b/>
                <w:bCs/>
                <w:sz w:val="20"/>
                <w:szCs w:val="20"/>
                <w:lang w:eastAsia="lv-LV"/>
              </w:rPr>
            </w:pPr>
            <w:r w:rsidRPr="00367174">
              <w:rPr>
                <w:rFonts w:eastAsia="Times New Roman" w:cs="Times New Roman"/>
                <w:b/>
                <w:bCs/>
                <w:sz w:val="20"/>
                <w:szCs w:val="20"/>
                <w:lang w:eastAsia="lv-LV"/>
              </w:rPr>
              <w:t>1 395 513</w:t>
            </w:r>
          </w:p>
        </w:tc>
        <w:tc>
          <w:tcPr>
            <w:tcW w:w="1000" w:type="dxa"/>
            <w:tcBorders>
              <w:top w:val="nil"/>
              <w:left w:val="nil"/>
              <w:bottom w:val="single" w:sz="4" w:space="0" w:color="auto"/>
              <w:right w:val="single" w:sz="4" w:space="0" w:color="auto"/>
            </w:tcBorders>
            <w:shd w:val="clear" w:color="auto" w:fill="auto"/>
            <w:noWrap/>
            <w:vAlign w:val="bottom"/>
            <w:hideMark/>
          </w:tcPr>
          <w:p w14:paraId="729C28FB" w14:textId="77777777" w:rsidR="003C3685" w:rsidRPr="00367174" w:rsidRDefault="007755EF" w:rsidP="00AA0E06">
            <w:pPr>
              <w:spacing w:after="0"/>
              <w:ind w:left="-127" w:firstLine="0"/>
              <w:jc w:val="right"/>
              <w:rPr>
                <w:rFonts w:eastAsia="Times New Roman" w:cs="Times New Roman"/>
                <w:b/>
                <w:bCs/>
                <w:sz w:val="20"/>
                <w:szCs w:val="20"/>
                <w:lang w:eastAsia="lv-LV"/>
              </w:rPr>
            </w:pPr>
            <w:r w:rsidRPr="00367174">
              <w:rPr>
                <w:rFonts w:eastAsia="Times New Roman" w:cs="Times New Roman"/>
                <w:b/>
                <w:bCs/>
                <w:sz w:val="20"/>
                <w:szCs w:val="20"/>
                <w:lang w:eastAsia="lv-LV"/>
              </w:rPr>
              <w:t>1 397 823</w:t>
            </w:r>
          </w:p>
        </w:tc>
        <w:tc>
          <w:tcPr>
            <w:tcW w:w="994" w:type="dxa"/>
            <w:tcBorders>
              <w:top w:val="nil"/>
              <w:left w:val="nil"/>
              <w:bottom w:val="single" w:sz="4" w:space="0" w:color="auto"/>
              <w:right w:val="single" w:sz="4" w:space="0" w:color="auto"/>
            </w:tcBorders>
            <w:shd w:val="clear" w:color="000000" w:fill="FFFFFF"/>
            <w:vAlign w:val="bottom"/>
            <w:hideMark/>
          </w:tcPr>
          <w:p w14:paraId="6BDD1580" w14:textId="77777777" w:rsidR="003C3685" w:rsidRPr="00367174" w:rsidRDefault="007755EF" w:rsidP="00D4319A">
            <w:pPr>
              <w:spacing w:after="0"/>
              <w:ind w:firstLine="0"/>
              <w:jc w:val="right"/>
              <w:rPr>
                <w:rFonts w:eastAsia="Times New Roman" w:cs="Times New Roman"/>
                <w:b/>
                <w:bCs/>
                <w:color w:val="000000"/>
                <w:sz w:val="20"/>
                <w:szCs w:val="20"/>
                <w:lang w:eastAsia="lv-LV"/>
              </w:rPr>
            </w:pPr>
            <w:r w:rsidRPr="00367174">
              <w:rPr>
                <w:rFonts w:eastAsia="Times New Roman" w:cs="Times New Roman"/>
                <w:b/>
                <w:bCs/>
                <w:color w:val="000000"/>
                <w:sz w:val="20"/>
                <w:szCs w:val="20"/>
                <w:lang w:eastAsia="lv-LV"/>
              </w:rPr>
              <w:t>91 387</w:t>
            </w:r>
          </w:p>
        </w:tc>
        <w:tc>
          <w:tcPr>
            <w:tcW w:w="994" w:type="dxa"/>
            <w:tcBorders>
              <w:top w:val="nil"/>
              <w:left w:val="nil"/>
              <w:bottom w:val="single" w:sz="4" w:space="0" w:color="auto"/>
              <w:right w:val="single" w:sz="4" w:space="0" w:color="auto"/>
            </w:tcBorders>
            <w:shd w:val="clear" w:color="000000" w:fill="FFFFFF"/>
            <w:vAlign w:val="bottom"/>
            <w:hideMark/>
          </w:tcPr>
          <w:p w14:paraId="1B8EB422" w14:textId="77777777" w:rsidR="003C3685" w:rsidRPr="00367174" w:rsidRDefault="007755EF" w:rsidP="00D86EC6">
            <w:pPr>
              <w:spacing w:after="0"/>
              <w:ind w:firstLine="0"/>
              <w:jc w:val="right"/>
              <w:rPr>
                <w:rFonts w:eastAsia="Times New Roman" w:cs="Times New Roman"/>
                <w:b/>
                <w:bCs/>
                <w:color w:val="000000"/>
                <w:sz w:val="20"/>
                <w:szCs w:val="20"/>
                <w:lang w:eastAsia="lv-LV"/>
              </w:rPr>
            </w:pPr>
            <w:r w:rsidRPr="00367174">
              <w:rPr>
                <w:rFonts w:eastAsia="Times New Roman" w:cs="Times New Roman"/>
                <w:b/>
                <w:bCs/>
                <w:color w:val="000000"/>
                <w:sz w:val="20"/>
                <w:szCs w:val="20"/>
                <w:lang w:eastAsia="lv-LV"/>
              </w:rPr>
              <w:t>2 31</w:t>
            </w:r>
            <w:r w:rsidR="00D86EC6" w:rsidRPr="00367174">
              <w:rPr>
                <w:rFonts w:eastAsia="Times New Roman" w:cs="Times New Roman"/>
                <w:b/>
                <w:bCs/>
                <w:color w:val="000000"/>
                <w:sz w:val="20"/>
                <w:szCs w:val="20"/>
                <w:lang w:eastAsia="lv-LV"/>
              </w:rPr>
              <w:t>0</w:t>
            </w:r>
          </w:p>
        </w:tc>
        <w:tc>
          <w:tcPr>
            <w:tcW w:w="1151" w:type="dxa"/>
            <w:tcBorders>
              <w:top w:val="nil"/>
              <w:left w:val="nil"/>
              <w:bottom w:val="single" w:sz="4" w:space="0" w:color="auto"/>
              <w:right w:val="single" w:sz="4" w:space="0" w:color="auto"/>
            </w:tcBorders>
            <w:shd w:val="clear" w:color="000000" w:fill="FFFFFF"/>
            <w:vAlign w:val="bottom"/>
            <w:hideMark/>
          </w:tcPr>
          <w:p w14:paraId="4CA12DBB" w14:textId="77777777" w:rsidR="003C3685" w:rsidRPr="00367174" w:rsidRDefault="007755EF" w:rsidP="00D4319A">
            <w:pPr>
              <w:spacing w:after="0"/>
              <w:ind w:firstLine="0"/>
              <w:jc w:val="right"/>
              <w:rPr>
                <w:rFonts w:eastAsia="Times New Roman" w:cs="Times New Roman"/>
                <w:b/>
                <w:bCs/>
                <w:color w:val="000000"/>
                <w:sz w:val="20"/>
                <w:szCs w:val="20"/>
                <w:lang w:eastAsia="lv-LV"/>
              </w:rPr>
            </w:pPr>
            <w:r w:rsidRPr="00367174">
              <w:rPr>
                <w:rFonts w:eastAsia="Times New Roman" w:cs="Times New Roman"/>
                <w:b/>
                <w:bCs/>
                <w:color w:val="000000"/>
                <w:sz w:val="20"/>
                <w:szCs w:val="20"/>
                <w:lang w:eastAsia="lv-LV"/>
              </w:rPr>
              <w:t>7,0</w:t>
            </w:r>
          </w:p>
        </w:tc>
        <w:tc>
          <w:tcPr>
            <w:tcW w:w="1085" w:type="dxa"/>
            <w:tcBorders>
              <w:top w:val="nil"/>
              <w:left w:val="nil"/>
              <w:bottom w:val="single" w:sz="4" w:space="0" w:color="auto"/>
              <w:right w:val="single" w:sz="4" w:space="0" w:color="auto"/>
            </w:tcBorders>
            <w:shd w:val="clear" w:color="000000" w:fill="FFFFFF"/>
            <w:vAlign w:val="bottom"/>
            <w:hideMark/>
          </w:tcPr>
          <w:p w14:paraId="5E642D4F" w14:textId="77777777" w:rsidR="003C3685" w:rsidRPr="003C3685" w:rsidRDefault="007755EF" w:rsidP="00D4319A">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100,2</w:t>
            </w:r>
          </w:p>
        </w:tc>
      </w:tr>
      <w:tr w:rsidR="003C3685" w:rsidRPr="003C3685" w14:paraId="0782541D" w14:textId="77777777" w:rsidTr="009B20E0">
        <w:trPr>
          <w:trHeight w:val="610"/>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42140510" w14:textId="77777777" w:rsidR="003C3685" w:rsidRPr="003C3685" w:rsidRDefault="003C3685" w:rsidP="00D4319A">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Ieņēmumi no maksas pakalpojumiem un citi pašu ieņēmumi</w:t>
            </w:r>
          </w:p>
        </w:tc>
        <w:tc>
          <w:tcPr>
            <w:tcW w:w="1000" w:type="dxa"/>
            <w:tcBorders>
              <w:top w:val="nil"/>
              <w:left w:val="nil"/>
              <w:bottom w:val="single" w:sz="4" w:space="0" w:color="auto"/>
              <w:right w:val="single" w:sz="4" w:space="0" w:color="auto"/>
            </w:tcBorders>
            <w:shd w:val="clear" w:color="auto" w:fill="auto"/>
            <w:noWrap/>
            <w:vAlign w:val="bottom"/>
            <w:hideMark/>
          </w:tcPr>
          <w:p w14:paraId="15131872" w14:textId="77777777" w:rsidR="003C3685" w:rsidRPr="003C3685" w:rsidRDefault="007755EF" w:rsidP="00AA0E06">
            <w:pPr>
              <w:spacing w:after="0"/>
              <w:ind w:left="-119" w:firstLine="0"/>
              <w:jc w:val="right"/>
              <w:rPr>
                <w:rFonts w:eastAsia="Times New Roman" w:cs="Times New Roman"/>
                <w:sz w:val="20"/>
                <w:szCs w:val="20"/>
                <w:lang w:eastAsia="lv-LV"/>
              </w:rPr>
            </w:pPr>
            <w:r>
              <w:rPr>
                <w:rFonts w:eastAsia="Times New Roman" w:cs="Times New Roman"/>
                <w:sz w:val="20"/>
                <w:szCs w:val="20"/>
                <w:lang w:eastAsia="lv-LV"/>
              </w:rPr>
              <w:t>18 062</w:t>
            </w:r>
          </w:p>
        </w:tc>
        <w:tc>
          <w:tcPr>
            <w:tcW w:w="1000" w:type="dxa"/>
            <w:tcBorders>
              <w:top w:val="nil"/>
              <w:left w:val="nil"/>
              <w:bottom w:val="single" w:sz="4" w:space="0" w:color="auto"/>
              <w:right w:val="single" w:sz="4" w:space="0" w:color="auto"/>
            </w:tcBorders>
            <w:shd w:val="clear" w:color="auto" w:fill="auto"/>
            <w:noWrap/>
            <w:vAlign w:val="bottom"/>
            <w:hideMark/>
          </w:tcPr>
          <w:p w14:paraId="189D9AE5" w14:textId="77777777" w:rsidR="003C3685" w:rsidRPr="00367174" w:rsidRDefault="007755EF" w:rsidP="00AA0E06">
            <w:pPr>
              <w:spacing w:after="0"/>
              <w:ind w:left="-127" w:firstLine="0"/>
              <w:jc w:val="right"/>
              <w:rPr>
                <w:rFonts w:eastAsia="Times New Roman" w:cs="Times New Roman"/>
                <w:sz w:val="20"/>
                <w:szCs w:val="20"/>
                <w:lang w:eastAsia="lv-LV"/>
              </w:rPr>
            </w:pPr>
            <w:r w:rsidRPr="00367174">
              <w:rPr>
                <w:rFonts w:eastAsia="Times New Roman" w:cs="Times New Roman"/>
                <w:sz w:val="20"/>
                <w:szCs w:val="20"/>
                <w:lang w:eastAsia="lv-LV"/>
              </w:rPr>
              <w:t>17 762</w:t>
            </w:r>
          </w:p>
        </w:tc>
        <w:tc>
          <w:tcPr>
            <w:tcW w:w="1000" w:type="dxa"/>
            <w:tcBorders>
              <w:top w:val="nil"/>
              <w:left w:val="nil"/>
              <w:bottom w:val="single" w:sz="4" w:space="0" w:color="auto"/>
              <w:right w:val="single" w:sz="4" w:space="0" w:color="auto"/>
            </w:tcBorders>
            <w:shd w:val="clear" w:color="auto" w:fill="auto"/>
            <w:noWrap/>
            <w:vAlign w:val="bottom"/>
            <w:hideMark/>
          </w:tcPr>
          <w:p w14:paraId="714BEF9F" w14:textId="77777777" w:rsidR="003C3685" w:rsidRPr="00367174" w:rsidRDefault="007755EF" w:rsidP="00AA0E06">
            <w:pPr>
              <w:spacing w:after="0"/>
              <w:ind w:left="-127" w:firstLine="0"/>
              <w:jc w:val="right"/>
              <w:rPr>
                <w:rFonts w:eastAsia="Times New Roman" w:cs="Times New Roman"/>
                <w:sz w:val="20"/>
                <w:szCs w:val="20"/>
                <w:lang w:eastAsia="lv-LV"/>
              </w:rPr>
            </w:pPr>
            <w:r w:rsidRPr="00367174">
              <w:rPr>
                <w:rFonts w:eastAsia="Times New Roman" w:cs="Times New Roman"/>
                <w:sz w:val="20"/>
                <w:szCs w:val="20"/>
                <w:lang w:eastAsia="lv-LV"/>
              </w:rPr>
              <w:t>19 331</w:t>
            </w:r>
          </w:p>
        </w:tc>
        <w:tc>
          <w:tcPr>
            <w:tcW w:w="994" w:type="dxa"/>
            <w:tcBorders>
              <w:top w:val="nil"/>
              <w:left w:val="nil"/>
              <w:bottom w:val="single" w:sz="4" w:space="0" w:color="auto"/>
              <w:right w:val="single" w:sz="4" w:space="0" w:color="auto"/>
            </w:tcBorders>
            <w:shd w:val="clear" w:color="000000" w:fill="FFFFFF"/>
            <w:vAlign w:val="bottom"/>
            <w:hideMark/>
          </w:tcPr>
          <w:p w14:paraId="09349BF4" w14:textId="77777777" w:rsidR="003C3685" w:rsidRPr="00367174" w:rsidRDefault="007755EF"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1 269</w:t>
            </w:r>
          </w:p>
        </w:tc>
        <w:tc>
          <w:tcPr>
            <w:tcW w:w="994" w:type="dxa"/>
            <w:tcBorders>
              <w:top w:val="nil"/>
              <w:left w:val="nil"/>
              <w:bottom w:val="single" w:sz="4" w:space="0" w:color="auto"/>
              <w:right w:val="single" w:sz="4" w:space="0" w:color="auto"/>
            </w:tcBorders>
            <w:shd w:val="clear" w:color="000000" w:fill="FFFFFF"/>
            <w:vAlign w:val="bottom"/>
            <w:hideMark/>
          </w:tcPr>
          <w:p w14:paraId="424F966A" w14:textId="77777777" w:rsidR="003C3685" w:rsidRPr="00367174" w:rsidRDefault="007755EF"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1 569</w:t>
            </w:r>
          </w:p>
        </w:tc>
        <w:tc>
          <w:tcPr>
            <w:tcW w:w="1151" w:type="dxa"/>
            <w:tcBorders>
              <w:top w:val="nil"/>
              <w:left w:val="nil"/>
              <w:bottom w:val="single" w:sz="4" w:space="0" w:color="auto"/>
              <w:right w:val="single" w:sz="4" w:space="0" w:color="auto"/>
            </w:tcBorders>
            <w:shd w:val="clear" w:color="000000" w:fill="FFFFFF"/>
            <w:vAlign w:val="bottom"/>
            <w:hideMark/>
          </w:tcPr>
          <w:p w14:paraId="024A31E2" w14:textId="77777777" w:rsidR="003C3685" w:rsidRPr="00367174" w:rsidRDefault="007755EF"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7,0</w:t>
            </w:r>
          </w:p>
        </w:tc>
        <w:tc>
          <w:tcPr>
            <w:tcW w:w="1085" w:type="dxa"/>
            <w:tcBorders>
              <w:top w:val="nil"/>
              <w:left w:val="nil"/>
              <w:bottom w:val="single" w:sz="4" w:space="0" w:color="auto"/>
              <w:right w:val="single" w:sz="4" w:space="0" w:color="auto"/>
            </w:tcBorders>
            <w:shd w:val="clear" w:color="000000" w:fill="FFFFFF"/>
            <w:vAlign w:val="bottom"/>
            <w:hideMark/>
          </w:tcPr>
          <w:p w14:paraId="7368689D" w14:textId="77777777" w:rsidR="003C3685" w:rsidRPr="003C3685" w:rsidRDefault="007755EF"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108,8</w:t>
            </w:r>
          </w:p>
        </w:tc>
      </w:tr>
      <w:tr w:rsidR="003C3685" w:rsidRPr="003C3685" w14:paraId="0CBDA219" w14:textId="77777777" w:rsidTr="009B20E0">
        <w:trPr>
          <w:trHeight w:val="478"/>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DE19781" w14:textId="77777777" w:rsidR="003C3685" w:rsidRPr="003C3685" w:rsidRDefault="003C3685" w:rsidP="00D4319A">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Ārvalstu finanšu palīdzība iestādes ieņēmumos</w:t>
            </w:r>
          </w:p>
        </w:tc>
        <w:tc>
          <w:tcPr>
            <w:tcW w:w="1000" w:type="dxa"/>
            <w:tcBorders>
              <w:top w:val="nil"/>
              <w:left w:val="nil"/>
              <w:bottom w:val="single" w:sz="4" w:space="0" w:color="auto"/>
              <w:right w:val="single" w:sz="4" w:space="0" w:color="auto"/>
            </w:tcBorders>
            <w:shd w:val="clear" w:color="auto" w:fill="auto"/>
            <w:noWrap/>
            <w:vAlign w:val="bottom"/>
            <w:hideMark/>
          </w:tcPr>
          <w:p w14:paraId="427E07D4" w14:textId="77777777" w:rsidR="003C3685" w:rsidRPr="003C3685" w:rsidRDefault="006B2DC5" w:rsidP="00AA0E06">
            <w:pPr>
              <w:spacing w:after="0"/>
              <w:ind w:left="-119" w:firstLine="0"/>
              <w:jc w:val="right"/>
              <w:rPr>
                <w:rFonts w:eastAsia="Times New Roman" w:cs="Times New Roman"/>
                <w:sz w:val="20"/>
                <w:szCs w:val="20"/>
                <w:lang w:eastAsia="lv-LV"/>
              </w:rPr>
            </w:pPr>
            <w:r>
              <w:rPr>
                <w:rFonts w:eastAsia="Times New Roman" w:cs="Times New Roman"/>
                <w:sz w:val="20"/>
                <w:szCs w:val="20"/>
                <w:lang w:eastAsia="lv-LV"/>
              </w:rPr>
              <w:t>2 270</w:t>
            </w:r>
          </w:p>
        </w:tc>
        <w:tc>
          <w:tcPr>
            <w:tcW w:w="1000" w:type="dxa"/>
            <w:tcBorders>
              <w:top w:val="nil"/>
              <w:left w:val="nil"/>
              <w:bottom w:val="single" w:sz="4" w:space="0" w:color="auto"/>
              <w:right w:val="single" w:sz="4" w:space="0" w:color="auto"/>
            </w:tcBorders>
            <w:shd w:val="clear" w:color="auto" w:fill="auto"/>
            <w:noWrap/>
            <w:vAlign w:val="bottom"/>
            <w:hideMark/>
          </w:tcPr>
          <w:p w14:paraId="77FF334B" w14:textId="77777777" w:rsidR="003C3685" w:rsidRPr="00367174" w:rsidRDefault="006B2DC5" w:rsidP="00AA0E06">
            <w:pPr>
              <w:spacing w:after="0"/>
              <w:ind w:left="-127" w:firstLine="0"/>
              <w:jc w:val="right"/>
              <w:rPr>
                <w:rFonts w:eastAsia="Times New Roman" w:cs="Times New Roman"/>
                <w:sz w:val="20"/>
                <w:szCs w:val="20"/>
                <w:lang w:eastAsia="lv-LV"/>
              </w:rPr>
            </w:pPr>
            <w:r w:rsidRPr="00367174">
              <w:rPr>
                <w:rFonts w:eastAsia="Times New Roman" w:cs="Times New Roman"/>
                <w:sz w:val="20"/>
                <w:szCs w:val="20"/>
                <w:lang w:eastAsia="lv-LV"/>
              </w:rPr>
              <w:t>8 927</w:t>
            </w:r>
          </w:p>
        </w:tc>
        <w:tc>
          <w:tcPr>
            <w:tcW w:w="1000" w:type="dxa"/>
            <w:tcBorders>
              <w:top w:val="nil"/>
              <w:left w:val="nil"/>
              <w:bottom w:val="single" w:sz="4" w:space="0" w:color="auto"/>
              <w:right w:val="single" w:sz="4" w:space="0" w:color="auto"/>
            </w:tcBorders>
            <w:shd w:val="clear" w:color="auto" w:fill="auto"/>
            <w:noWrap/>
            <w:vAlign w:val="bottom"/>
            <w:hideMark/>
          </w:tcPr>
          <w:p w14:paraId="145FB7F0" w14:textId="77777777" w:rsidR="003C3685" w:rsidRPr="00367174" w:rsidRDefault="006B2DC5" w:rsidP="00AA0E06">
            <w:pPr>
              <w:spacing w:after="0"/>
              <w:ind w:left="-127" w:firstLine="0"/>
              <w:jc w:val="right"/>
              <w:rPr>
                <w:rFonts w:eastAsia="Times New Roman" w:cs="Times New Roman"/>
                <w:sz w:val="20"/>
                <w:szCs w:val="20"/>
                <w:lang w:eastAsia="lv-LV"/>
              </w:rPr>
            </w:pPr>
            <w:r w:rsidRPr="00367174">
              <w:rPr>
                <w:rFonts w:eastAsia="Times New Roman" w:cs="Times New Roman"/>
                <w:sz w:val="20"/>
                <w:szCs w:val="20"/>
                <w:lang w:eastAsia="lv-LV"/>
              </w:rPr>
              <w:t>9 809</w:t>
            </w:r>
          </w:p>
        </w:tc>
        <w:tc>
          <w:tcPr>
            <w:tcW w:w="994" w:type="dxa"/>
            <w:tcBorders>
              <w:top w:val="nil"/>
              <w:left w:val="nil"/>
              <w:bottom w:val="single" w:sz="4" w:space="0" w:color="auto"/>
              <w:right w:val="single" w:sz="4" w:space="0" w:color="auto"/>
            </w:tcBorders>
            <w:shd w:val="clear" w:color="000000" w:fill="FFFFFF"/>
            <w:vAlign w:val="bottom"/>
            <w:hideMark/>
          </w:tcPr>
          <w:p w14:paraId="3720370C"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7 539</w:t>
            </w:r>
          </w:p>
        </w:tc>
        <w:tc>
          <w:tcPr>
            <w:tcW w:w="994" w:type="dxa"/>
            <w:tcBorders>
              <w:top w:val="nil"/>
              <w:left w:val="nil"/>
              <w:bottom w:val="single" w:sz="4" w:space="0" w:color="auto"/>
              <w:right w:val="single" w:sz="4" w:space="0" w:color="auto"/>
            </w:tcBorders>
            <w:shd w:val="clear" w:color="000000" w:fill="FFFFFF"/>
            <w:vAlign w:val="bottom"/>
            <w:hideMark/>
          </w:tcPr>
          <w:p w14:paraId="69EC9E6C"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882</w:t>
            </w:r>
          </w:p>
        </w:tc>
        <w:tc>
          <w:tcPr>
            <w:tcW w:w="1151" w:type="dxa"/>
            <w:tcBorders>
              <w:top w:val="nil"/>
              <w:left w:val="nil"/>
              <w:bottom w:val="single" w:sz="4" w:space="0" w:color="auto"/>
              <w:right w:val="single" w:sz="4" w:space="0" w:color="auto"/>
            </w:tcBorders>
            <w:shd w:val="clear" w:color="000000" w:fill="FFFFFF"/>
            <w:vAlign w:val="bottom"/>
            <w:hideMark/>
          </w:tcPr>
          <w:p w14:paraId="358697FC"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332,1</w:t>
            </w:r>
          </w:p>
        </w:tc>
        <w:tc>
          <w:tcPr>
            <w:tcW w:w="1085" w:type="dxa"/>
            <w:tcBorders>
              <w:top w:val="nil"/>
              <w:left w:val="nil"/>
              <w:bottom w:val="single" w:sz="4" w:space="0" w:color="auto"/>
              <w:right w:val="single" w:sz="4" w:space="0" w:color="auto"/>
            </w:tcBorders>
            <w:shd w:val="clear" w:color="000000" w:fill="FFFFFF"/>
            <w:vAlign w:val="bottom"/>
            <w:hideMark/>
          </w:tcPr>
          <w:p w14:paraId="078176F7"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109,9</w:t>
            </w:r>
          </w:p>
        </w:tc>
      </w:tr>
      <w:tr w:rsidR="003C3685" w:rsidRPr="003C3685" w14:paraId="3394A9CF" w14:textId="77777777" w:rsidTr="009B20E0">
        <w:trPr>
          <w:trHeight w:val="264"/>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62004DAE" w14:textId="77777777" w:rsidR="003C3685" w:rsidRPr="003C3685" w:rsidRDefault="003C3685" w:rsidP="00D4319A">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Transferti</w:t>
            </w:r>
          </w:p>
        </w:tc>
        <w:tc>
          <w:tcPr>
            <w:tcW w:w="1000" w:type="dxa"/>
            <w:tcBorders>
              <w:top w:val="nil"/>
              <w:left w:val="nil"/>
              <w:bottom w:val="single" w:sz="4" w:space="0" w:color="auto"/>
              <w:right w:val="single" w:sz="4" w:space="0" w:color="auto"/>
            </w:tcBorders>
            <w:shd w:val="clear" w:color="auto" w:fill="auto"/>
            <w:noWrap/>
            <w:vAlign w:val="bottom"/>
            <w:hideMark/>
          </w:tcPr>
          <w:p w14:paraId="40B0F9AE" w14:textId="77777777" w:rsidR="003C3685" w:rsidRPr="003C3685" w:rsidRDefault="006B2DC5" w:rsidP="00AA0E06">
            <w:pPr>
              <w:spacing w:after="0"/>
              <w:ind w:left="-119" w:firstLine="0"/>
              <w:jc w:val="right"/>
              <w:rPr>
                <w:rFonts w:eastAsia="Times New Roman" w:cs="Times New Roman"/>
                <w:sz w:val="20"/>
                <w:szCs w:val="20"/>
                <w:lang w:eastAsia="lv-LV"/>
              </w:rPr>
            </w:pPr>
            <w:r>
              <w:rPr>
                <w:rFonts w:eastAsia="Times New Roman" w:cs="Times New Roman"/>
                <w:sz w:val="20"/>
                <w:szCs w:val="20"/>
                <w:lang w:eastAsia="lv-LV"/>
              </w:rPr>
              <w:t>1 604</w:t>
            </w:r>
          </w:p>
        </w:tc>
        <w:tc>
          <w:tcPr>
            <w:tcW w:w="1000" w:type="dxa"/>
            <w:tcBorders>
              <w:top w:val="nil"/>
              <w:left w:val="nil"/>
              <w:bottom w:val="single" w:sz="4" w:space="0" w:color="auto"/>
              <w:right w:val="single" w:sz="4" w:space="0" w:color="auto"/>
            </w:tcBorders>
            <w:shd w:val="clear" w:color="auto" w:fill="auto"/>
            <w:noWrap/>
            <w:vAlign w:val="bottom"/>
            <w:hideMark/>
          </w:tcPr>
          <w:p w14:paraId="60677082" w14:textId="77777777" w:rsidR="003C3685" w:rsidRPr="00367174" w:rsidRDefault="006B2DC5" w:rsidP="00AA0E06">
            <w:pPr>
              <w:spacing w:after="0"/>
              <w:ind w:left="-127" w:firstLine="0"/>
              <w:jc w:val="right"/>
              <w:rPr>
                <w:rFonts w:eastAsia="Times New Roman" w:cs="Times New Roman"/>
                <w:sz w:val="20"/>
                <w:szCs w:val="20"/>
                <w:lang w:eastAsia="lv-LV"/>
              </w:rPr>
            </w:pPr>
            <w:r w:rsidRPr="00367174">
              <w:rPr>
                <w:rFonts w:eastAsia="Times New Roman" w:cs="Times New Roman"/>
                <w:sz w:val="20"/>
                <w:szCs w:val="20"/>
                <w:lang w:eastAsia="lv-LV"/>
              </w:rPr>
              <w:t>1 243</w:t>
            </w:r>
          </w:p>
        </w:tc>
        <w:tc>
          <w:tcPr>
            <w:tcW w:w="1000" w:type="dxa"/>
            <w:tcBorders>
              <w:top w:val="nil"/>
              <w:left w:val="nil"/>
              <w:bottom w:val="single" w:sz="4" w:space="0" w:color="auto"/>
              <w:right w:val="single" w:sz="4" w:space="0" w:color="auto"/>
            </w:tcBorders>
            <w:shd w:val="clear" w:color="auto" w:fill="auto"/>
            <w:noWrap/>
            <w:vAlign w:val="bottom"/>
            <w:hideMark/>
          </w:tcPr>
          <w:p w14:paraId="7B54256E" w14:textId="77777777" w:rsidR="003C3685" w:rsidRPr="00367174" w:rsidRDefault="006B2DC5" w:rsidP="00AA0E06">
            <w:pPr>
              <w:spacing w:after="0"/>
              <w:ind w:left="-127" w:firstLine="0"/>
              <w:jc w:val="right"/>
              <w:rPr>
                <w:rFonts w:eastAsia="Times New Roman" w:cs="Times New Roman"/>
                <w:sz w:val="20"/>
                <w:szCs w:val="20"/>
                <w:lang w:eastAsia="lv-LV"/>
              </w:rPr>
            </w:pPr>
            <w:r w:rsidRPr="00367174">
              <w:rPr>
                <w:rFonts w:eastAsia="Times New Roman" w:cs="Times New Roman"/>
                <w:sz w:val="20"/>
                <w:szCs w:val="20"/>
                <w:lang w:eastAsia="lv-LV"/>
              </w:rPr>
              <w:t>1 102</w:t>
            </w:r>
          </w:p>
        </w:tc>
        <w:tc>
          <w:tcPr>
            <w:tcW w:w="994" w:type="dxa"/>
            <w:tcBorders>
              <w:top w:val="nil"/>
              <w:left w:val="nil"/>
              <w:bottom w:val="single" w:sz="4" w:space="0" w:color="auto"/>
              <w:right w:val="single" w:sz="4" w:space="0" w:color="auto"/>
            </w:tcBorders>
            <w:shd w:val="clear" w:color="000000" w:fill="FFFFFF"/>
            <w:vAlign w:val="bottom"/>
            <w:hideMark/>
          </w:tcPr>
          <w:p w14:paraId="662CF6FA"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-502</w:t>
            </w:r>
          </w:p>
        </w:tc>
        <w:tc>
          <w:tcPr>
            <w:tcW w:w="994" w:type="dxa"/>
            <w:tcBorders>
              <w:top w:val="nil"/>
              <w:left w:val="nil"/>
              <w:bottom w:val="single" w:sz="4" w:space="0" w:color="auto"/>
              <w:right w:val="single" w:sz="4" w:space="0" w:color="auto"/>
            </w:tcBorders>
            <w:shd w:val="clear" w:color="000000" w:fill="FFFFFF"/>
            <w:vAlign w:val="bottom"/>
            <w:hideMark/>
          </w:tcPr>
          <w:p w14:paraId="660BC523"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-141</w:t>
            </w:r>
          </w:p>
        </w:tc>
        <w:tc>
          <w:tcPr>
            <w:tcW w:w="1151" w:type="dxa"/>
            <w:tcBorders>
              <w:top w:val="nil"/>
              <w:left w:val="nil"/>
              <w:bottom w:val="single" w:sz="4" w:space="0" w:color="auto"/>
              <w:right w:val="single" w:sz="4" w:space="0" w:color="auto"/>
            </w:tcBorders>
            <w:shd w:val="clear" w:color="000000" w:fill="FFFFFF"/>
            <w:vAlign w:val="bottom"/>
            <w:hideMark/>
          </w:tcPr>
          <w:p w14:paraId="6C96B444"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-31,3</w:t>
            </w:r>
          </w:p>
        </w:tc>
        <w:tc>
          <w:tcPr>
            <w:tcW w:w="1085" w:type="dxa"/>
            <w:tcBorders>
              <w:top w:val="nil"/>
              <w:left w:val="nil"/>
              <w:bottom w:val="single" w:sz="4" w:space="0" w:color="auto"/>
              <w:right w:val="single" w:sz="4" w:space="0" w:color="auto"/>
            </w:tcBorders>
            <w:shd w:val="clear" w:color="000000" w:fill="FFFFFF"/>
            <w:vAlign w:val="bottom"/>
            <w:hideMark/>
          </w:tcPr>
          <w:p w14:paraId="6C8E8BC3"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88,7</w:t>
            </w:r>
          </w:p>
        </w:tc>
      </w:tr>
      <w:tr w:rsidR="003C3685" w:rsidRPr="003C3685" w14:paraId="0D6955D1" w14:textId="77777777" w:rsidTr="009B20E0">
        <w:trPr>
          <w:trHeight w:val="419"/>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69432850" w14:textId="77777777" w:rsidR="003C3685" w:rsidRPr="003C3685" w:rsidRDefault="003C3685" w:rsidP="00D4319A">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Dotācija no vispārējiem ieņēmumiem</w:t>
            </w:r>
          </w:p>
        </w:tc>
        <w:tc>
          <w:tcPr>
            <w:tcW w:w="1000" w:type="dxa"/>
            <w:tcBorders>
              <w:top w:val="nil"/>
              <w:left w:val="nil"/>
              <w:bottom w:val="single" w:sz="4" w:space="0" w:color="auto"/>
              <w:right w:val="single" w:sz="4" w:space="0" w:color="auto"/>
            </w:tcBorders>
            <w:shd w:val="clear" w:color="auto" w:fill="auto"/>
            <w:noWrap/>
            <w:vAlign w:val="bottom"/>
            <w:hideMark/>
          </w:tcPr>
          <w:p w14:paraId="506E7528" w14:textId="77777777" w:rsidR="003C3685" w:rsidRPr="003C3685" w:rsidRDefault="006B2DC5" w:rsidP="00AA0E06">
            <w:pPr>
              <w:spacing w:after="0"/>
              <w:ind w:left="-119" w:firstLine="0"/>
              <w:jc w:val="right"/>
              <w:rPr>
                <w:rFonts w:eastAsia="Times New Roman" w:cs="Times New Roman"/>
                <w:sz w:val="20"/>
                <w:szCs w:val="20"/>
                <w:lang w:eastAsia="lv-LV"/>
              </w:rPr>
            </w:pPr>
            <w:r>
              <w:rPr>
                <w:rFonts w:eastAsia="Times New Roman" w:cs="Times New Roman"/>
                <w:sz w:val="20"/>
                <w:szCs w:val="20"/>
                <w:lang w:eastAsia="lv-LV"/>
              </w:rPr>
              <w:t>1 284 500</w:t>
            </w:r>
          </w:p>
        </w:tc>
        <w:tc>
          <w:tcPr>
            <w:tcW w:w="1000" w:type="dxa"/>
            <w:tcBorders>
              <w:top w:val="nil"/>
              <w:left w:val="nil"/>
              <w:bottom w:val="single" w:sz="4" w:space="0" w:color="auto"/>
              <w:right w:val="single" w:sz="4" w:space="0" w:color="auto"/>
            </w:tcBorders>
            <w:shd w:val="clear" w:color="auto" w:fill="auto"/>
            <w:noWrap/>
            <w:vAlign w:val="bottom"/>
            <w:hideMark/>
          </w:tcPr>
          <w:p w14:paraId="38914F2E" w14:textId="77777777" w:rsidR="003C3685" w:rsidRPr="00367174" w:rsidRDefault="006B2DC5" w:rsidP="00AA0E06">
            <w:pPr>
              <w:spacing w:after="0"/>
              <w:ind w:left="-127" w:firstLine="0"/>
              <w:jc w:val="right"/>
              <w:rPr>
                <w:rFonts w:eastAsia="Times New Roman" w:cs="Times New Roman"/>
                <w:sz w:val="20"/>
                <w:szCs w:val="20"/>
                <w:lang w:eastAsia="lv-LV"/>
              </w:rPr>
            </w:pPr>
            <w:r w:rsidRPr="00367174">
              <w:rPr>
                <w:rFonts w:eastAsia="Times New Roman" w:cs="Times New Roman"/>
                <w:sz w:val="20"/>
                <w:szCs w:val="20"/>
                <w:lang w:eastAsia="lv-LV"/>
              </w:rPr>
              <w:t>1 367 581</w:t>
            </w:r>
          </w:p>
        </w:tc>
        <w:tc>
          <w:tcPr>
            <w:tcW w:w="1000" w:type="dxa"/>
            <w:tcBorders>
              <w:top w:val="nil"/>
              <w:left w:val="nil"/>
              <w:bottom w:val="single" w:sz="4" w:space="0" w:color="auto"/>
              <w:right w:val="single" w:sz="4" w:space="0" w:color="auto"/>
            </w:tcBorders>
            <w:shd w:val="clear" w:color="auto" w:fill="auto"/>
            <w:noWrap/>
            <w:vAlign w:val="bottom"/>
            <w:hideMark/>
          </w:tcPr>
          <w:p w14:paraId="399774C6" w14:textId="77777777" w:rsidR="003C3685" w:rsidRPr="00367174" w:rsidRDefault="006B2DC5" w:rsidP="00AA0E06">
            <w:pPr>
              <w:spacing w:after="0"/>
              <w:ind w:left="-127" w:firstLine="0"/>
              <w:jc w:val="right"/>
              <w:rPr>
                <w:rFonts w:eastAsia="Times New Roman" w:cs="Times New Roman"/>
                <w:sz w:val="20"/>
                <w:szCs w:val="20"/>
                <w:lang w:eastAsia="lv-LV"/>
              </w:rPr>
            </w:pPr>
            <w:r w:rsidRPr="00367174">
              <w:rPr>
                <w:rFonts w:eastAsia="Times New Roman" w:cs="Times New Roman"/>
                <w:sz w:val="20"/>
                <w:szCs w:val="20"/>
                <w:lang w:eastAsia="lv-LV"/>
              </w:rPr>
              <w:t>1 367 581</w:t>
            </w:r>
          </w:p>
        </w:tc>
        <w:tc>
          <w:tcPr>
            <w:tcW w:w="994" w:type="dxa"/>
            <w:tcBorders>
              <w:top w:val="nil"/>
              <w:left w:val="nil"/>
              <w:bottom w:val="single" w:sz="4" w:space="0" w:color="auto"/>
              <w:right w:val="single" w:sz="4" w:space="0" w:color="auto"/>
            </w:tcBorders>
            <w:shd w:val="clear" w:color="000000" w:fill="FFFFFF"/>
            <w:vAlign w:val="bottom"/>
            <w:hideMark/>
          </w:tcPr>
          <w:p w14:paraId="02679A56"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83 081</w:t>
            </w:r>
          </w:p>
        </w:tc>
        <w:tc>
          <w:tcPr>
            <w:tcW w:w="994" w:type="dxa"/>
            <w:tcBorders>
              <w:top w:val="nil"/>
              <w:left w:val="nil"/>
              <w:bottom w:val="single" w:sz="4" w:space="0" w:color="auto"/>
              <w:right w:val="single" w:sz="4" w:space="0" w:color="auto"/>
            </w:tcBorders>
            <w:shd w:val="clear" w:color="000000" w:fill="FFFFFF"/>
            <w:vAlign w:val="bottom"/>
            <w:hideMark/>
          </w:tcPr>
          <w:p w14:paraId="5B9896E1" w14:textId="77777777" w:rsidR="003C3685" w:rsidRPr="00367174" w:rsidRDefault="003C368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0</w:t>
            </w:r>
          </w:p>
        </w:tc>
        <w:tc>
          <w:tcPr>
            <w:tcW w:w="1151" w:type="dxa"/>
            <w:tcBorders>
              <w:top w:val="nil"/>
              <w:left w:val="nil"/>
              <w:bottom w:val="single" w:sz="4" w:space="0" w:color="auto"/>
              <w:right w:val="single" w:sz="4" w:space="0" w:color="auto"/>
            </w:tcBorders>
            <w:shd w:val="clear" w:color="000000" w:fill="FFFFFF"/>
            <w:vAlign w:val="bottom"/>
            <w:hideMark/>
          </w:tcPr>
          <w:p w14:paraId="07E11414"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6,5</w:t>
            </w:r>
          </w:p>
        </w:tc>
        <w:tc>
          <w:tcPr>
            <w:tcW w:w="1085" w:type="dxa"/>
            <w:tcBorders>
              <w:top w:val="nil"/>
              <w:left w:val="nil"/>
              <w:bottom w:val="single" w:sz="4" w:space="0" w:color="auto"/>
              <w:right w:val="single" w:sz="4" w:space="0" w:color="auto"/>
            </w:tcBorders>
            <w:shd w:val="clear" w:color="000000" w:fill="FFFFFF"/>
            <w:vAlign w:val="bottom"/>
            <w:hideMark/>
          </w:tcPr>
          <w:p w14:paraId="60CC01AE"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100,0</w:t>
            </w:r>
          </w:p>
        </w:tc>
      </w:tr>
      <w:tr w:rsidR="003C3685" w:rsidRPr="003C3685" w14:paraId="78D489D0" w14:textId="77777777" w:rsidTr="009B20E0">
        <w:trPr>
          <w:trHeight w:val="241"/>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D0DF218" w14:textId="77777777" w:rsidR="003C3685" w:rsidRPr="003C3685" w:rsidRDefault="003C3685" w:rsidP="00D4319A">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Izdevumi – kopā</w:t>
            </w:r>
          </w:p>
        </w:tc>
        <w:tc>
          <w:tcPr>
            <w:tcW w:w="1000" w:type="dxa"/>
            <w:tcBorders>
              <w:top w:val="nil"/>
              <w:left w:val="nil"/>
              <w:bottom w:val="single" w:sz="4" w:space="0" w:color="auto"/>
              <w:right w:val="single" w:sz="4" w:space="0" w:color="auto"/>
            </w:tcBorders>
            <w:shd w:val="clear" w:color="auto" w:fill="auto"/>
            <w:noWrap/>
            <w:vAlign w:val="bottom"/>
            <w:hideMark/>
          </w:tcPr>
          <w:p w14:paraId="3B0D3AEA" w14:textId="77777777" w:rsidR="003C3685" w:rsidRPr="003C3685" w:rsidRDefault="006B2DC5" w:rsidP="00AA0E06">
            <w:pPr>
              <w:spacing w:after="0"/>
              <w:ind w:left="-119" w:firstLine="0"/>
              <w:jc w:val="right"/>
              <w:rPr>
                <w:rFonts w:eastAsia="Times New Roman" w:cs="Times New Roman"/>
                <w:b/>
                <w:bCs/>
                <w:sz w:val="20"/>
                <w:szCs w:val="20"/>
                <w:lang w:eastAsia="lv-LV"/>
              </w:rPr>
            </w:pPr>
            <w:r>
              <w:rPr>
                <w:rFonts w:eastAsia="Times New Roman" w:cs="Times New Roman"/>
                <w:b/>
                <w:bCs/>
                <w:sz w:val="20"/>
                <w:szCs w:val="20"/>
                <w:lang w:eastAsia="lv-LV"/>
              </w:rPr>
              <w:t>1 232 361</w:t>
            </w:r>
          </w:p>
        </w:tc>
        <w:tc>
          <w:tcPr>
            <w:tcW w:w="1000" w:type="dxa"/>
            <w:tcBorders>
              <w:top w:val="nil"/>
              <w:left w:val="nil"/>
              <w:bottom w:val="single" w:sz="4" w:space="0" w:color="auto"/>
              <w:right w:val="single" w:sz="4" w:space="0" w:color="auto"/>
            </w:tcBorders>
            <w:shd w:val="clear" w:color="auto" w:fill="auto"/>
            <w:noWrap/>
            <w:vAlign w:val="bottom"/>
            <w:hideMark/>
          </w:tcPr>
          <w:p w14:paraId="059A05B1" w14:textId="77777777" w:rsidR="003C3685" w:rsidRPr="00367174" w:rsidRDefault="00AD1C4C" w:rsidP="00AA0E06">
            <w:pPr>
              <w:spacing w:after="0"/>
              <w:ind w:left="-127" w:firstLine="0"/>
              <w:jc w:val="right"/>
              <w:rPr>
                <w:rFonts w:eastAsia="Times New Roman" w:cs="Times New Roman"/>
                <w:b/>
                <w:bCs/>
                <w:sz w:val="20"/>
                <w:szCs w:val="20"/>
                <w:lang w:eastAsia="lv-LV"/>
              </w:rPr>
            </w:pPr>
            <w:r w:rsidRPr="00367174">
              <w:rPr>
                <w:rFonts w:eastAsia="Times New Roman" w:cs="Times New Roman"/>
                <w:b/>
                <w:bCs/>
                <w:sz w:val="20"/>
                <w:szCs w:val="20"/>
                <w:lang w:eastAsia="lv-LV"/>
              </w:rPr>
              <w:t>1 348 658</w:t>
            </w:r>
          </w:p>
        </w:tc>
        <w:tc>
          <w:tcPr>
            <w:tcW w:w="1000" w:type="dxa"/>
            <w:tcBorders>
              <w:top w:val="nil"/>
              <w:left w:val="nil"/>
              <w:bottom w:val="single" w:sz="4" w:space="0" w:color="auto"/>
              <w:right w:val="single" w:sz="4" w:space="0" w:color="auto"/>
            </w:tcBorders>
            <w:shd w:val="clear" w:color="auto" w:fill="auto"/>
            <w:noWrap/>
            <w:vAlign w:val="bottom"/>
            <w:hideMark/>
          </w:tcPr>
          <w:p w14:paraId="00D9133F" w14:textId="77777777" w:rsidR="003C3685" w:rsidRPr="00367174" w:rsidRDefault="006B2DC5" w:rsidP="00AA0E06">
            <w:pPr>
              <w:spacing w:after="0"/>
              <w:ind w:left="-127" w:firstLine="0"/>
              <w:jc w:val="right"/>
              <w:rPr>
                <w:rFonts w:eastAsia="Times New Roman" w:cs="Times New Roman"/>
                <w:b/>
                <w:bCs/>
                <w:sz w:val="20"/>
                <w:szCs w:val="20"/>
                <w:lang w:eastAsia="lv-LV"/>
              </w:rPr>
            </w:pPr>
            <w:r w:rsidRPr="00367174">
              <w:rPr>
                <w:rFonts w:eastAsia="Times New Roman" w:cs="Times New Roman"/>
                <w:b/>
                <w:bCs/>
                <w:sz w:val="20"/>
                <w:szCs w:val="20"/>
                <w:lang w:eastAsia="lv-LV"/>
              </w:rPr>
              <w:t>1 305 998</w:t>
            </w:r>
          </w:p>
        </w:tc>
        <w:tc>
          <w:tcPr>
            <w:tcW w:w="994" w:type="dxa"/>
            <w:tcBorders>
              <w:top w:val="nil"/>
              <w:left w:val="nil"/>
              <w:bottom w:val="single" w:sz="4" w:space="0" w:color="auto"/>
              <w:right w:val="single" w:sz="4" w:space="0" w:color="auto"/>
            </w:tcBorders>
            <w:shd w:val="clear" w:color="auto" w:fill="auto"/>
            <w:vAlign w:val="bottom"/>
            <w:hideMark/>
          </w:tcPr>
          <w:p w14:paraId="22C4175A" w14:textId="77777777" w:rsidR="003C3685" w:rsidRPr="00367174" w:rsidRDefault="006B2DC5" w:rsidP="00D4319A">
            <w:pPr>
              <w:spacing w:after="0"/>
              <w:ind w:firstLine="0"/>
              <w:jc w:val="right"/>
              <w:rPr>
                <w:rFonts w:eastAsia="Times New Roman" w:cs="Times New Roman"/>
                <w:b/>
                <w:bCs/>
                <w:color w:val="000000"/>
                <w:sz w:val="20"/>
                <w:szCs w:val="20"/>
                <w:lang w:eastAsia="lv-LV"/>
              </w:rPr>
            </w:pPr>
            <w:r w:rsidRPr="00367174">
              <w:rPr>
                <w:rFonts w:eastAsia="Times New Roman" w:cs="Times New Roman"/>
                <w:b/>
                <w:bCs/>
                <w:color w:val="000000"/>
                <w:sz w:val="20"/>
                <w:szCs w:val="20"/>
                <w:lang w:eastAsia="lv-LV"/>
              </w:rPr>
              <w:t>73 637</w:t>
            </w:r>
          </w:p>
        </w:tc>
        <w:tc>
          <w:tcPr>
            <w:tcW w:w="994" w:type="dxa"/>
            <w:tcBorders>
              <w:top w:val="nil"/>
              <w:left w:val="nil"/>
              <w:bottom w:val="single" w:sz="4" w:space="0" w:color="auto"/>
              <w:right w:val="single" w:sz="4" w:space="0" w:color="auto"/>
            </w:tcBorders>
            <w:shd w:val="clear" w:color="auto" w:fill="auto"/>
            <w:vAlign w:val="bottom"/>
            <w:hideMark/>
          </w:tcPr>
          <w:p w14:paraId="57C0ABC4" w14:textId="77777777" w:rsidR="003C3685" w:rsidRPr="00367174" w:rsidRDefault="006B2DC5" w:rsidP="004B7AE5">
            <w:pPr>
              <w:spacing w:after="0"/>
              <w:ind w:firstLine="0"/>
              <w:jc w:val="right"/>
              <w:rPr>
                <w:rFonts w:eastAsia="Times New Roman" w:cs="Times New Roman"/>
                <w:b/>
                <w:bCs/>
                <w:color w:val="000000"/>
                <w:sz w:val="20"/>
                <w:szCs w:val="20"/>
                <w:lang w:eastAsia="lv-LV"/>
              </w:rPr>
            </w:pPr>
            <w:r w:rsidRPr="00367174">
              <w:rPr>
                <w:rFonts w:eastAsia="Times New Roman" w:cs="Times New Roman"/>
                <w:b/>
                <w:bCs/>
                <w:color w:val="000000"/>
                <w:sz w:val="20"/>
                <w:szCs w:val="20"/>
                <w:lang w:eastAsia="lv-LV"/>
              </w:rPr>
              <w:t>-42 66</w:t>
            </w:r>
            <w:r w:rsidR="004B7AE5" w:rsidRPr="00367174">
              <w:rPr>
                <w:rFonts w:eastAsia="Times New Roman" w:cs="Times New Roman"/>
                <w:b/>
                <w:bCs/>
                <w:color w:val="000000"/>
                <w:sz w:val="20"/>
                <w:szCs w:val="20"/>
                <w:lang w:eastAsia="lv-LV"/>
              </w:rPr>
              <w:t>0</w:t>
            </w:r>
          </w:p>
        </w:tc>
        <w:tc>
          <w:tcPr>
            <w:tcW w:w="1151" w:type="dxa"/>
            <w:tcBorders>
              <w:top w:val="nil"/>
              <w:left w:val="nil"/>
              <w:bottom w:val="single" w:sz="4" w:space="0" w:color="auto"/>
              <w:right w:val="single" w:sz="4" w:space="0" w:color="auto"/>
            </w:tcBorders>
            <w:shd w:val="clear" w:color="auto" w:fill="auto"/>
            <w:vAlign w:val="bottom"/>
            <w:hideMark/>
          </w:tcPr>
          <w:p w14:paraId="158A5BE7" w14:textId="77777777" w:rsidR="003C3685" w:rsidRPr="00367174" w:rsidRDefault="006B2DC5" w:rsidP="006B2DC5">
            <w:pPr>
              <w:spacing w:after="0"/>
              <w:ind w:firstLine="0"/>
              <w:jc w:val="right"/>
              <w:rPr>
                <w:rFonts w:eastAsia="Times New Roman" w:cs="Times New Roman"/>
                <w:b/>
                <w:bCs/>
                <w:color w:val="000000"/>
                <w:sz w:val="20"/>
                <w:szCs w:val="20"/>
                <w:lang w:eastAsia="lv-LV"/>
              </w:rPr>
            </w:pPr>
            <w:r w:rsidRPr="00367174">
              <w:rPr>
                <w:rFonts w:eastAsia="Times New Roman" w:cs="Times New Roman"/>
                <w:b/>
                <w:bCs/>
                <w:color w:val="000000"/>
                <w:sz w:val="20"/>
                <w:szCs w:val="20"/>
                <w:lang w:eastAsia="lv-LV"/>
              </w:rPr>
              <w:t>6,0</w:t>
            </w:r>
          </w:p>
        </w:tc>
        <w:tc>
          <w:tcPr>
            <w:tcW w:w="1085" w:type="dxa"/>
            <w:tcBorders>
              <w:top w:val="nil"/>
              <w:left w:val="nil"/>
              <w:bottom w:val="single" w:sz="4" w:space="0" w:color="auto"/>
              <w:right w:val="single" w:sz="4" w:space="0" w:color="auto"/>
            </w:tcBorders>
            <w:shd w:val="clear" w:color="auto" w:fill="auto"/>
            <w:vAlign w:val="bottom"/>
            <w:hideMark/>
          </w:tcPr>
          <w:p w14:paraId="77F4790B" w14:textId="77777777" w:rsidR="003C3685" w:rsidRPr="003C3685" w:rsidRDefault="006B2DC5" w:rsidP="00D4319A">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96,8</w:t>
            </w:r>
          </w:p>
        </w:tc>
      </w:tr>
      <w:tr w:rsidR="003C3685" w:rsidRPr="003C3685" w14:paraId="3AC0A901" w14:textId="77777777" w:rsidTr="009B20E0">
        <w:trPr>
          <w:trHeight w:val="264"/>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CB7E348" w14:textId="77777777" w:rsidR="003C3685" w:rsidRPr="003C3685" w:rsidRDefault="003C3685" w:rsidP="00D4319A">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Atlīdzība</w:t>
            </w:r>
          </w:p>
        </w:tc>
        <w:tc>
          <w:tcPr>
            <w:tcW w:w="1000" w:type="dxa"/>
            <w:tcBorders>
              <w:top w:val="nil"/>
              <w:left w:val="nil"/>
              <w:bottom w:val="single" w:sz="4" w:space="0" w:color="auto"/>
              <w:right w:val="single" w:sz="4" w:space="0" w:color="auto"/>
            </w:tcBorders>
            <w:shd w:val="clear" w:color="auto" w:fill="auto"/>
            <w:noWrap/>
            <w:vAlign w:val="bottom"/>
            <w:hideMark/>
          </w:tcPr>
          <w:p w14:paraId="0596F83C" w14:textId="77777777" w:rsidR="003C3685" w:rsidRPr="003C3685" w:rsidRDefault="006B2DC5" w:rsidP="00AA0E06">
            <w:pPr>
              <w:spacing w:after="0"/>
              <w:ind w:left="-119" w:firstLine="0"/>
              <w:jc w:val="right"/>
              <w:rPr>
                <w:rFonts w:eastAsia="Times New Roman" w:cs="Times New Roman"/>
                <w:sz w:val="20"/>
                <w:szCs w:val="20"/>
                <w:lang w:eastAsia="lv-LV"/>
              </w:rPr>
            </w:pPr>
            <w:r>
              <w:rPr>
                <w:rFonts w:eastAsia="Times New Roman" w:cs="Times New Roman"/>
                <w:sz w:val="20"/>
                <w:szCs w:val="20"/>
                <w:lang w:eastAsia="lv-LV"/>
              </w:rPr>
              <w:t>173 872</w:t>
            </w:r>
          </w:p>
        </w:tc>
        <w:tc>
          <w:tcPr>
            <w:tcW w:w="1000" w:type="dxa"/>
            <w:tcBorders>
              <w:top w:val="nil"/>
              <w:left w:val="nil"/>
              <w:bottom w:val="single" w:sz="4" w:space="0" w:color="auto"/>
              <w:right w:val="single" w:sz="4" w:space="0" w:color="auto"/>
            </w:tcBorders>
            <w:shd w:val="clear" w:color="auto" w:fill="auto"/>
            <w:noWrap/>
            <w:vAlign w:val="bottom"/>
            <w:hideMark/>
          </w:tcPr>
          <w:p w14:paraId="0BBDB652"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189 326</w:t>
            </w:r>
          </w:p>
        </w:tc>
        <w:tc>
          <w:tcPr>
            <w:tcW w:w="1000" w:type="dxa"/>
            <w:tcBorders>
              <w:top w:val="nil"/>
              <w:left w:val="nil"/>
              <w:bottom w:val="single" w:sz="4" w:space="0" w:color="auto"/>
              <w:right w:val="single" w:sz="4" w:space="0" w:color="auto"/>
            </w:tcBorders>
            <w:shd w:val="clear" w:color="auto" w:fill="auto"/>
            <w:noWrap/>
            <w:vAlign w:val="bottom"/>
            <w:hideMark/>
          </w:tcPr>
          <w:p w14:paraId="080814D3"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183 702</w:t>
            </w:r>
          </w:p>
        </w:tc>
        <w:tc>
          <w:tcPr>
            <w:tcW w:w="994" w:type="dxa"/>
            <w:tcBorders>
              <w:top w:val="nil"/>
              <w:left w:val="nil"/>
              <w:bottom w:val="single" w:sz="4" w:space="0" w:color="auto"/>
              <w:right w:val="single" w:sz="4" w:space="0" w:color="auto"/>
            </w:tcBorders>
            <w:shd w:val="clear" w:color="auto" w:fill="auto"/>
            <w:vAlign w:val="bottom"/>
            <w:hideMark/>
          </w:tcPr>
          <w:p w14:paraId="39139C7F"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9 830</w:t>
            </w:r>
          </w:p>
        </w:tc>
        <w:tc>
          <w:tcPr>
            <w:tcW w:w="994" w:type="dxa"/>
            <w:tcBorders>
              <w:top w:val="nil"/>
              <w:left w:val="nil"/>
              <w:bottom w:val="single" w:sz="4" w:space="0" w:color="auto"/>
              <w:right w:val="single" w:sz="4" w:space="0" w:color="auto"/>
            </w:tcBorders>
            <w:shd w:val="clear" w:color="auto" w:fill="auto"/>
            <w:vAlign w:val="bottom"/>
            <w:hideMark/>
          </w:tcPr>
          <w:p w14:paraId="406796AB"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-5 624</w:t>
            </w:r>
          </w:p>
        </w:tc>
        <w:tc>
          <w:tcPr>
            <w:tcW w:w="1151" w:type="dxa"/>
            <w:tcBorders>
              <w:top w:val="nil"/>
              <w:left w:val="nil"/>
              <w:bottom w:val="single" w:sz="4" w:space="0" w:color="auto"/>
              <w:right w:val="single" w:sz="4" w:space="0" w:color="auto"/>
            </w:tcBorders>
            <w:shd w:val="clear" w:color="auto" w:fill="auto"/>
            <w:vAlign w:val="bottom"/>
            <w:hideMark/>
          </w:tcPr>
          <w:p w14:paraId="610BF27D"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5,7</w:t>
            </w:r>
          </w:p>
        </w:tc>
        <w:tc>
          <w:tcPr>
            <w:tcW w:w="1085" w:type="dxa"/>
            <w:tcBorders>
              <w:top w:val="nil"/>
              <w:left w:val="nil"/>
              <w:bottom w:val="single" w:sz="4" w:space="0" w:color="auto"/>
              <w:right w:val="single" w:sz="4" w:space="0" w:color="auto"/>
            </w:tcBorders>
            <w:shd w:val="clear" w:color="auto" w:fill="auto"/>
            <w:vAlign w:val="bottom"/>
            <w:hideMark/>
          </w:tcPr>
          <w:p w14:paraId="2262937B"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97,0</w:t>
            </w:r>
          </w:p>
        </w:tc>
      </w:tr>
      <w:tr w:rsidR="003C3685" w:rsidRPr="003C3685" w14:paraId="7887EF86" w14:textId="77777777" w:rsidTr="009B20E0">
        <w:trPr>
          <w:trHeight w:val="264"/>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C20649B" w14:textId="77777777" w:rsidR="003C3685" w:rsidRPr="003C3685" w:rsidRDefault="003C3685" w:rsidP="00D4319A">
            <w:pPr>
              <w:spacing w:after="0"/>
              <w:ind w:firstLine="0"/>
              <w:jc w:val="left"/>
              <w:rPr>
                <w:rFonts w:eastAsia="Times New Roman" w:cs="Times New Roman"/>
                <w:i/>
                <w:iCs/>
                <w:color w:val="000000"/>
                <w:sz w:val="20"/>
                <w:szCs w:val="20"/>
                <w:lang w:eastAsia="lv-LV"/>
              </w:rPr>
            </w:pPr>
            <w:r w:rsidRPr="003C3685">
              <w:rPr>
                <w:rFonts w:eastAsia="Times New Roman" w:cs="Times New Roman"/>
                <w:i/>
                <w:iCs/>
                <w:color w:val="000000"/>
                <w:sz w:val="20"/>
                <w:szCs w:val="20"/>
                <w:lang w:eastAsia="lv-LV"/>
              </w:rPr>
              <w:t>t.sk. atalgojums</w:t>
            </w:r>
          </w:p>
        </w:tc>
        <w:tc>
          <w:tcPr>
            <w:tcW w:w="1000" w:type="dxa"/>
            <w:tcBorders>
              <w:top w:val="nil"/>
              <w:left w:val="nil"/>
              <w:bottom w:val="single" w:sz="4" w:space="0" w:color="auto"/>
              <w:right w:val="single" w:sz="4" w:space="0" w:color="auto"/>
            </w:tcBorders>
            <w:shd w:val="clear" w:color="auto" w:fill="auto"/>
            <w:noWrap/>
            <w:vAlign w:val="bottom"/>
            <w:hideMark/>
          </w:tcPr>
          <w:p w14:paraId="51C04E99" w14:textId="77777777" w:rsidR="003C3685" w:rsidRPr="003C3685" w:rsidRDefault="006B2DC5" w:rsidP="00AA0E06">
            <w:pPr>
              <w:spacing w:after="0"/>
              <w:ind w:left="-119" w:firstLine="0"/>
              <w:jc w:val="right"/>
              <w:rPr>
                <w:rFonts w:eastAsia="Times New Roman" w:cs="Times New Roman"/>
                <w:sz w:val="20"/>
                <w:szCs w:val="20"/>
                <w:lang w:eastAsia="lv-LV"/>
              </w:rPr>
            </w:pPr>
            <w:r>
              <w:rPr>
                <w:rFonts w:eastAsia="Times New Roman" w:cs="Times New Roman"/>
                <w:sz w:val="20"/>
                <w:szCs w:val="20"/>
                <w:lang w:eastAsia="lv-LV"/>
              </w:rPr>
              <w:t>129 684</w:t>
            </w:r>
          </w:p>
        </w:tc>
        <w:tc>
          <w:tcPr>
            <w:tcW w:w="1000" w:type="dxa"/>
            <w:tcBorders>
              <w:top w:val="nil"/>
              <w:left w:val="nil"/>
              <w:bottom w:val="single" w:sz="4" w:space="0" w:color="auto"/>
              <w:right w:val="single" w:sz="4" w:space="0" w:color="auto"/>
            </w:tcBorders>
            <w:shd w:val="clear" w:color="auto" w:fill="auto"/>
            <w:noWrap/>
            <w:vAlign w:val="bottom"/>
            <w:hideMark/>
          </w:tcPr>
          <w:p w14:paraId="59941793"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140 064</w:t>
            </w:r>
          </w:p>
        </w:tc>
        <w:tc>
          <w:tcPr>
            <w:tcW w:w="1000" w:type="dxa"/>
            <w:tcBorders>
              <w:top w:val="nil"/>
              <w:left w:val="nil"/>
              <w:bottom w:val="single" w:sz="4" w:space="0" w:color="auto"/>
              <w:right w:val="single" w:sz="4" w:space="0" w:color="auto"/>
            </w:tcBorders>
            <w:shd w:val="clear" w:color="auto" w:fill="auto"/>
            <w:noWrap/>
            <w:vAlign w:val="bottom"/>
            <w:hideMark/>
          </w:tcPr>
          <w:p w14:paraId="215953FF"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136 402</w:t>
            </w:r>
          </w:p>
        </w:tc>
        <w:tc>
          <w:tcPr>
            <w:tcW w:w="994" w:type="dxa"/>
            <w:tcBorders>
              <w:top w:val="nil"/>
              <w:left w:val="nil"/>
              <w:bottom w:val="single" w:sz="4" w:space="0" w:color="auto"/>
              <w:right w:val="single" w:sz="4" w:space="0" w:color="auto"/>
            </w:tcBorders>
            <w:shd w:val="clear" w:color="auto" w:fill="auto"/>
            <w:vAlign w:val="bottom"/>
            <w:hideMark/>
          </w:tcPr>
          <w:p w14:paraId="7AF81F32"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6 718</w:t>
            </w:r>
          </w:p>
        </w:tc>
        <w:tc>
          <w:tcPr>
            <w:tcW w:w="994" w:type="dxa"/>
            <w:tcBorders>
              <w:top w:val="nil"/>
              <w:left w:val="nil"/>
              <w:bottom w:val="single" w:sz="4" w:space="0" w:color="auto"/>
              <w:right w:val="single" w:sz="4" w:space="0" w:color="auto"/>
            </w:tcBorders>
            <w:shd w:val="clear" w:color="auto" w:fill="auto"/>
            <w:vAlign w:val="bottom"/>
            <w:hideMark/>
          </w:tcPr>
          <w:p w14:paraId="1BD1BEE5"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-3 662</w:t>
            </w:r>
          </w:p>
        </w:tc>
        <w:tc>
          <w:tcPr>
            <w:tcW w:w="1151" w:type="dxa"/>
            <w:tcBorders>
              <w:top w:val="nil"/>
              <w:left w:val="nil"/>
              <w:bottom w:val="single" w:sz="4" w:space="0" w:color="auto"/>
              <w:right w:val="single" w:sz="4" w:space="0" w:color="auto"/>
            </w:tcBorders>
            <w:shd w:val="clear" w:color="auto" w:fill="auto"/>
            <w:vAlign w:val="bottom"/>
            <w:hideMark/>
          </w:tcPr>
          <w:p w14:paraId="5895293D"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5,2</w:t>
            </w:r>
          </w:p>
        </w:tc>
        <w:tc>
          <w:tcPr>
            <w:tcW w:w="1085" w:type="dxa"/>
            <w:tcBorders>
              <w:top w:val="nil"/>
              <w:left w:val="nil"/>
              <w:bottom w:val="single" w:sz="4" w:space="0" w:color="auto"/>
              <w:right w:val="single" w:sz="4" w:space="0" w:color="auto"/>
            </w:tcBorders>
            <w:shd w:val="clear" w:color="auto" w:fill="auto"/>
            <w:vAlign w:val="bottom"/>
            <w:hideMark/>
          </w:tcPr>
          <w:p w14:paraId="6D5BDF07"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97,4</w:t>
            </w:r>
          </w:p>
        </w:tc>
      </w:tr>
    </w:tbl>
    <w:p w14:paraId="11FCDBBF" w14:textId="77777777" w:rsidR="004E7073" w:rsidRPr="001C1C52" w:rsidRDefault="004E7073" w:rsidP="00D4319A">
      <w:pPr>
        <w:ind w:firstLine="0"/>
        <w:jc w:val="right"/>
        <w:rPr>
          <w:b/>
          <w:i/>
          <w:sz w:val="16"/>
        </w:rPr>
      </w:pPr>
    </w:p>
    <w:p w14:paraId="2C86EFCD" w14:textId="77777777" w:rsidR="00AA0E06" w:rsidRPr="001C1C52" w:rsidRDefault="004D53E2" w:rsidP="009B20E0">
      <w:pPr>
        <w:ind w:firstLine="720"/>
        <w:rPr>
          <w:sz w:val="24"/>
        </w:rPr>
      </w:pPr>
      <w:r w:rsidRPr="001C1C52">
        <w:rPr>
          <w:rFonts w:eastAsia="Times New Roman"/>
          <w:sz w:val="24"/>
          <w:szCs w:val="20"/>
        </w:rPr>
        <w:t>2015</w:t>
      </w:r>
      <w:r w:rsidR="007D442A" w:rsidRPr="001C1C52">
        <w:rPr>
          <w:rFonts w:eastAsia="Times New Roman"/>
          <w:sz w:val="24"/>
          <w:szCs w:val="20"/>
        </w:rPr>
        <w:t>.</w:t>
      </w:r>
      <w:r w:rsidRPr="001C1C52">
        <w:rPr>
          <w:rFonts w:eastAsia="Times New Roman"/>
          <w:sz w:val="24"/>
          <w:szCs w:val="20"/>
        </w:rPr>
        <w:t>gada pirmajā ceturksnī i</w:t>
      </w:r>
      <w:r w:rsidRPr="001C1C52">
        <w:rPr>
          <w:sz w:val="24"/>
        </w:rPr>
        <w:t xml:space="preserve">zdevumi ES politiku instrumentu un pārējās ārvalstu finanšu palīdzības apguvei ir izlietoti par 19,7 milj. </w:t>
      </w:r>
      <w:r w:rsidRPr="001C1C52">
        <w:rPr>
          <w:i/>
          <w:sz w:val="24"/>
        </w:rPr>
        <w:t>euro</w:t>
      </w:r>
      <w:r w:rsidRPr="001C1C52">
        <w:rPr>
          <w:sz w:val="24"/>
        </w:rPr>
        <w:t xml:space="preserve"> </w:t>
      </w:r>
      <w:r w:rsidR="00C65651" w:rsidRPr="001C1C52">
        <w:rPr>
          <w:sz w:val="24"/>
        </w:rPr>
        <w:t xml:space="preserve">jeb </w:t>
      </w:r>
      <w:r w:rsidR="00FF7A9F" w:rsidRPr="001C1C52">
        <w:rPr>
          <w:sz w:val="24"/>
        </w:rPr>
        <w:t>7</w:t>
      </w:r>
      <w:r w:rsidR="004E6579" w:rsidRPr="001C1C52">
        <w:rPr>
          <w:sz w:val="24"/>
        </w:rPr>
        <w:t>,0</w:t>
      </w:r>
      <w:r w:rsidR="00C65651" w:rsidRPr="001C1C52">
        <w:rPr>
          <w:sz w:val="24"/>
        </w:rPr>
        <w:t xml:space="preserve">% </w:t>
      </w:r>
      <w:r w:rsidRPr="001C1C52">
        <w:rPr>
          <w:sz w:val="24"/>
        </w:rPr>
        <w:t xml:space="preserve">mazāk nekā plānots, bet izdevumi valsts pamatfunkciju īstenošanai apgūti par 22,9 milj. </w:t>
      </w:r>
      <w:r w:rsidRPr="001C1C52">
        <w:rPr>
          <w:i/>
          <w:sz w:val="24"/>
        </w:rPr>
        <w:t>euro</w:t>
      </w:r>
      <w:r w:rsidRPr="001C1C52">
        <w:rPr>
          <w:sz w:val="24"/>
        </w:rPr>
        <w:t xml:space="preserve"> </w:t>
      </w:r>
      <w:r w:rsidR="00C65651" w:rsidRPr="001C1C52">
        <w:rPr>
          <w:sz w:val="24"/>
        </w:rPr>
        <w:t xml:space="preserve">jeb </w:t>
      </w:r>
      <w:r w:rsidR="00FF7A9F" w:rsidRPr="001C1C52">
        <w:rPr>
          <w:sz w:val="24"/>
        </w:rPr>
        <w:t>2,2</w:t>
      </w:r>
      <w:r w:rsidR="00C65651" w:rsidRPr="001C1C52">
        <w:rPr>
          <w:sz w:val="24"/>
        </w:rPr>
        <w:t xml:space="preserve">% </w:t>
      </w:r>
      <w:r w:rsidRPr="001C1C52">
        <w:rPr>
          <w:sz w:val="24"/>
        </w:rPr>
        <w:t>mazāk nekā plānots.</w:t>
      </w:r>
    </w:p>
    <w:p w14:paraId="4FAA54E7" w14:textId="77777777" w:rsidR="009115CF" w:rsidRPr="00EF354D" w:rsidRDefault="00234FC7" w:rsidP="00234FC7">
      <w:pPr>
        <w:ind w:firstLine="0"/>
        <w:jc w:val="right"/>
        <w:rPr>
          <w:b/>
          <w:sz w:val="20"/>
          <w:szCs w:val="24"/>
        </w:rPr>
      </w:pPr>
      <w:r w:rsidRPr="00EF354D">
        <w:rPr>
          <w:b/>
          <w:sz w:val="20"/>
          <w:szCs w:val="24"/>
        </w:rPr>
        <w:t>2.7</w:t>
      </w:r>
      <w:r w:rsidR="00E30F4B" w:rsidRPr="00EF354D">
        <w:rPr>
          <w:b/>
          <w:sz w:val="20"/>
          <w:szCs w:val="24"/>
        </w:rPr>
        <w:t>. tabula.</w:t>
      </w:r>
      <w:r w:rsidR="009115CF" w:rsidRPr="00EF354D">
        <w:rPr>
          <w:b/>
          <w:sz w:val="20"/>
          <w:szCs w:val="24"/>
        </w:rPr>
        <w:t> Valsts pamatfunkciju īstenošana</w:t>
      </w:r>
    </w:p>
    <w:tbl>
      <w:tblPr>
        <w:tblW w:w="9644" w:type="dxa"/>
        <w:jc w:val="center"/>
        <w:tblLook w:val="04A0" w:firstRow="1" w:lastRow="0" w:firstColumn="1" w:lastColumn="0" w:noHBand="0" w:noVBand="1"/>
      </w:tblPr>
      <w:tblGrid>
        <w:gridCol w:w="2263"/>
        <w:gridCol w:w="1046"/>
        <w:gridCol w:w="961"/>
        <w:gridCol w:w="1032"/>
        <w:gridCol w:w="1094"/>
        <w:gridCol w:w="970"/>
        <w:gridCol w:w="1151"/>
        <w:gridCol w:w="1127"/>
      </w:tblGrid>
      <w:tr w:rsidR="009B20E0" w:rsidRPr="003C3685" w14:paraId="08EB5AC6" w14:textId="77777777" w:rsidTr="009D14C4">
        <w:trPr>
          <w:trHeight w:val="1934"/>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7FC0E"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Finansiālie rādītāji</w:t>
            </w:r>
          </w:p>
        </w:tc>
        <w:tc>
          <w:tcPr>
            <w:tcW w:w="1046" w:type="dxa"/>
            <w:tcBorders>
              <w:top w:val="single" w:sz="4" w:space="0" w:color="auto"/>
              <w:left w:val="nil"/>
              <w:bottom w:val="single" w:sz="4" w:space="0" w:color="auto"/>
              <w:right w:val="single" w:sz="4" w:space="0" w:color="auto"/>
            </w:tcBorders>
            <w:shd w:val="clear" w:color="000000" w:fill="FFFFFF"/>
            <w:vAlign w:val="center"/>
            <w:hideMark/>
          </w:tcPr>
          <w:p w14:paraId="7FDD92A1"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2014.</w:t>
            </w:r>
            <w:r>
              <w:rPr>
                <w:rFonts w:eastAsia="Times New Roman" w:cs="Times New Roman"/>
                <w:color w:val="000000"/>
                <w:sz w:val="18"/>
                <w:szCs w:val="18"/>
                <w:lang w:eastAsia="lv-LV"/>
              </w:rPr>
              <w:t>gada 3 mēnešu izpilde</w:t>
            </w:r>
            <w:r>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961" w:type="dxa"/>
            <w:tcBorders>
              <w:top w:val="single" w:sz="4" w:space="0" w:color="auto"/>
              <w:left w:val="nil"/>
              <w:bottom w:val="single" w:sz="4" w:space="0" w:color="auto"/>
              <w:right w:val="single" w:sz="4" w:space="0" w:color="auto"/>
            </w:tcBorders>
            <w:shd w:val="clear" w:color="000000" w:fill="FFFFFF"/>
            <w:vAlign w:val="center"/>
            <w:hideMark/>
          </w:tcPr>
          <w:p w14:paraId="724F19C1"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w:t>
            </w:r>
            <w:r>
              <w:rPr>
                <w:rFonts w:eastAsia="Times New Roman" w:cs="Times New Roman"/>
                <w:color w:val="000000"/>
                <w:sz w:val="18"/>
                <w:szCs w:val="18"/>
                <w:lang w:eastAsia="lv-LV"/>
              </w:rPr>
              <w:t>.gada 3 mēnešu plāns</w:t>
            </w:r>
            <w:r>
              <w:rPr>
                <w:rFonts w:eastAsia="Times New Roman" w:cs="Times New Roman"/>
                <w:color w:val="000000"/>
                <w:sz w:val="18"/>
                <w:szCs w:val="18"/>
                <w:lang w:eastAsia="lv-LV"/>
              </w:rPr>
              <w:br/>
              <w:t>(tūkst.</w:t>
            </w:r>
            <w:r w:rsidRPr="00AA0E06">
              <w:rPr>
                <w:rFonts w:eastAsia="Times New Roman" w:cs="Times New Roman"/>
                <w:i/>
                <w:iCs/>
                <w:color w:val="000000"/>
                <w:sz w:val="18"/>
                <w:szCs w:val="18"/>
                <w:lang w:eastAsia="lv-LV"/>
              </w:rPr>
              <w:t xml:space="preserve"> euro</w:t>
            </w:r>
            <w:r w:rsidRPr="00AA0E06">
              <w:rPr>
                <w:rFonts w:eastAsia="Times New Roman" w:cs="Times New Roman"/>
                <w:color w:val="000000"/>
                <w:sz w:val="18"/>
                <w:szCs w:val="18"/>
                <w:lang w:eastAsia="lv-LV"/>
              </w:rPr>
              <w:t>)</w:t>
            </w:r>
          </w:p>
        </w:tc>
        <w:tc>
          <w:tcPr>
            <w:tcW w:w="1032" w:type="dxa"/>
            <w:tcBorders>
              <w:top w:val="single" w:sz="4" w:space="0" w:color="auto"/>
              <w:left w:val="nil"/>
              <w:bottom w:val="single" w:sz="4" w:space="0" w:color="auto"/>
              <w:right w:val="single" w:sz="4" w:space="0" w:color="auto"/>
            </w:tcBorders>
            <w:shd w:val="clear" w:color="000000" w:fill="FFFFFF"/>
            <w:vAlign w:val="center"/>
            <w:hideMark/>
          </w:tcPr>
          <w:p w14:paraId="5F9BF746"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w:t>
            </w:r>
            <w:r>
              <w:rPr>
                <w:rFonts w:eastAsia="Times New Roman" w:cs="Times New Roman"/>
                <w:color w:val="000000"/>
                <w:sz w:val="18"/>
                <w:szCs w:val="18"/>
                <w:lang w:eastAsia="lv-LV"/>
              </w:rPr>
              <w:t>gada 3 mēnešu izpilde</w:t>
            </w:r>
            <w:r>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1094" w:type="dxa"/>
            <w:tcBorders>
              <w:top w:val="single" w:sz="4" w:space="0" w:color="auto"/>
              <w:left w:val="nil"/>
              <w:bottom w:val="single" w:sz="4" w:space="0" w:color="auto"/>
              <w:right w:val="single" w:sz="4" w:space="0" w:color="auto"/>
            </w:tcBorders>
            <w:shd w:val="clear" w:color="000000" w:fill="FFFFFF"/>
            <w:vAlign w:val="center"/>
            <w:hideMark/>
          </w:tcPr>
          <w:p w14:paraId="7D6A2380"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2015.gada 3 mēnešu izpildes izmaiņas  pret 2014.gada 3 mēn</w:t>
            </w:r>
            <w:r>
              <w:rPr>
                <w:rFonts w:eastAsia="Times New Roman" w:cs="Times New Roman"/>
                <w:color w:val="000000"/>
                <w:sz w:val="18"/>
                <w:szCs w:val="18"/>
                <w:lang w:eastAsia="lv-LV"/>
              </w:rPr>
              <w:t>ešu izpildi</w:t>
            </w:r>
            <w:r>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14:paraId="6BE0D4FE"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2015.gada 3 mēnešu izpilde  pret 2015</w:t>
            </w:r>
            <w:r>
              <w:rPr>
                <w:rFonts w:eastAsia="Times New Roman" w:cs="Times New Roman"/>
                <w:color w:val="000000"/>
                <w:sz w:val="18"/>
                <w:szCs w:val="18"/>
                <w:lang w:eastAsia="lv-LV"/>
              </w:rPr>
              <w:t>.gada 3 mēnešu plānu</w:t>
            </w:r>
            <w:r>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1151" w:type="dxa"/>
            <w:tcBorders>
              <w:top w:val="single" w:sz="4" w:space="0" w:color="auto"/>
              <w:left w:val="nil"/>
              <w:bottom w:val="single" w:sz="4" w:space="0" w:color="auto"/>
              <w:right w:val="single" w:sz="4" w:space="0" w:color="auto"/>
            </w:tcBorders>
            <w:shd w:val="clear" w:color="000000" w:fill="FFFFFF"/>
            <w:vAlign w:val="center"/>
            <w:hideMark/>
          </w:tcPr>
          <w:p w14:paraId="2B57F8E7"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2015.gada 3 mēnešu izpildes izmaiņas pret 2014.</w:t>
            </w:r>
            <w:r>
              <w:rPr>
                <w:rFonts w:eastAsia="Times New Roman" w:cs="Times New Roman"/>
                <w:color w:val="000000"/>
                <w:sz w:val="18"/>
                <w:szCs w:val="18"/>
                <w:lang w:eastAsia="lv-LV"/>
              </w:rPr>
              <w:t>gada 3 mēnešu izpildi</w:t>
            </w:r>
            <w:r>
              <w:rPr>
                <w:rFonts w:eastAsia="Times New Roman" w:cs="Times New Roman"/>
                <w:color w:val="000000"/>
                <w:sz w:val="18"/>
                <w:szCs w:val="18"/>
                <w:lang w:eastAsia="lv-LV"/>
              </w:rPr>
              <w:br/>
              <w:t>(%</w:t>
            </w:r>
            <w:r w:rsidRPr="00AA0E06">
              <w:rPr>
                <w:rFonts w:eastAsia="Times New Roman" w:cs="Times New Roman"/>
                <w:color w:val="000000"/>
                <w:sz w:val="18"/>
                <w:szCs w:val="18"/>
                <w:lang w:eastAsia="lv-LV"/>
              </w:rPr>
              <w:t>)</w:t>
            </w:r>
          </w:p>
        </w:tc>
        <w:tc>
          <w:tcPr>
            <w:tcW w:w="1127" w:type="dxa"/>
            <w:tcBorders>
              <w:top w:val="single" w:sz="4" w:space="0" w:color="auto"/>
              <w:left w:val="nil"/>
              <w:bottom w:val="single" w:sz="4" w:space="0" w:color="auto"/>
              <w:right w:val="single" w:sz="4" w:space="0" w:color="auto"/>
            </w:tcBorders>
            <w:shd w:val="clear" w:color="000000" w:fill="FFFFFF"/>
            <w:vAlign w:val="center"/>
            <w:hideMark/>
          </w:tcPr>
          <w:p w14:paraId="68F48DA8"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2015.gada 3 mēnešu izpilde no 2015</w:t>
            </w:r>
            <w:r>
              <w:rPr>
                <w:rFonts w:eastAsia="Times New Roman" w:cs="Times New Roman"/>
                <w:color w:val="000000"/>
                <w:sz w:val="18"/>
                <w:szCs w:val="18"/>
                <w:lang w:eastAsia="lv-LV"/>
              </w:rPr>
              <w:t>.gada 3 mēnešu plāna</w:t>
            </w:r>
            <w:r>
              <w:rPr>
                <w:rFonts w:eastAsia="Times New Roman" w:cs="Times New Roman"/>
                <w:color w:val="000000"/>
                <w:sz w:val="18"/>
                <w:szCs w:val="18"/>
                <w:lang w:eastAsia="lv-LV"/>
              </w:rPr>
              <w:br/>
              <w:t>(%</w:t>
            </w:r>
            <w:r w:rsidRPr="00AA0E06">
              <w:rPr>
                <w:rFonts w:eastAsia="Times New Roman" w:cs="Times New Roman"/>
                <w:color w:val="000000"/>
                <w:sz w:val="18"/>
                <w:szCs w:val="18"/>
                <w:lang w:eastAsia="lv-LV"/>
              </w:rPr>
              <w:t>)</w:t>
            </w:r>
          </w:p>
        </w:tc>
      </w:tr>
      <w:tr w:rsidR="003C3685" w:rsidRPr="009D14C4" w14:paraId="4CF9AB3C" w14:textId="77777777" w:rsidTr="009D14C4">
        <w:trPr>
          <w:trHeight w:val="349"/>
          <w:tblHeader/>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48061141" w14:textId="77777777" w:rsidR="003C3685" w:rsidRPr="009D14C4" w:rsidRDefault="003C3685" w:rsidP="00D4319A">
            <w:pPr>
              <w:spacing w:after="0"/>
              <w:ind w:firstLine="0"/>
              <w:jc w:val="center"/>
              <w:rPr>
                <w:rFonts w:eastAsia="Times New Roman" w:cs="Times New Roman"/>
                <w:color w:val="000000"/>
                <w:sz w:val="16"/>
                <w:szCs w:val="20"/>
                <w:lang w:eastAsia="lv-LV"/>
              </w:rPr>
            </w:pPr>
            <w:r w:rsidRPr="009D14C4">
              <w:rPr>
                <w:rFonts w:eastAsia="Times New Roman" w:cs="Times New Roman"/>
                <w:color w:val="000000"/>
                <w:sz w:val="16"/>
                <w:szCs w:val="20"/>
                <w:lang w:eastAsia="lv-LV"/>
              </w:rPr>
              <w:t>1</w:t>
            </w:r>
          </w:p>
        </w:tc>
        <w:tc>
          <w:tcPr>
            <w:tcW w:w="1046" w:type="dxa"/>
            <w:tcBorders>
              <w:top w:val="nil"/>
              <w:left w:val="nil"/>
              <w:bottom w:val="single" w:sz="4" w:space="0" w:color="auto"/>
              <w:right w:val="single" w:sz="4" w:space="0" w:color="auto"/>
            </w:tcBorders>
            <w:shd w:val="clear" w:color="000000" w:fill="FFFFFF"/>
            <w:vAlign w:val="center"/>
            <w:hideMark/>
          </w:tcPr>
          <w:p w14:paraId="2BD0D4B7" w14:textId="77777777" w:rsidR="003C3685" w:rsidRPr="009D14C4" w:rsidRDefault="003C3685" w:rsidP="00D4319A">
            <w:pPr>
              <w:spacing w:after="0"/>
              <w:ind w:firstLine="0"/>
              <w:jc w:val="center"/>
              <w:rPr>
                <w:rFonts w:eastAsia="Times New Roman" w:cs="Times New Roman"/>
                <w:color w:val="000000"/>
                <w:sz w:val="16"/>
                <w:szCs w:val="20"/>
                <w:lang w:eastAsia="lv-LV"/>
              </w:rPr>
            </w:pPr>
            <w:r w:rsidRPr="009D14C4">
              <w:rPr>
                <w:rFonts w:eastAsia="Times New Roman" w:cs="Times New Roman"/>
                <w:color w:val="000000"/>
                <w:sz w:val="16"/>
                <w:szCs w:val="20"/>
                <w:lang w:eastAsia="lv-LV"/>
              </w:rPr>
              <w:t>2</w:t>
            </w:r>
          </w:p>
        </w:tc>
        <w:tc>
          <w:tcPr>
            <w:tcW w:w="961" w:type="dxa"/>
            <w:tcBorders>
              <w:top w:val="nil"/>
              <w:left w:val="nil"/>
              <w:bottom w:val="single" w:sz="4" w:space="0" w:color="auto"/>
              <w:right w:val="single" w:sz="4" w:space="0" w:color="auto"/>
            </w:tcBorders>
            <w:shd w:val="clear" w:color="000000" w:fill="FFFFFF"/>
            <w:vAlign w:val="center"/>
            <w:hideMark/>
          </w:tcPr>
          <w:p w14:paraId="057D2BC1" w14:textId="77777777" w:rsidR="003C3685" w:rsidRPr="009D14C4" w:rsidRDefault="003C3685" w:rsidP="00D4319A">
            <w:pPr>
              <w:spacing w:after="0"/>
              <w:ind w:firstLine="0"/>
              <w:jc w:val="center"/>
              <w:rPr>
                <w:rFonts w:eastAsia="Times New Roman" w:cs="Times New Roman"/>
                <w:color w:val="000000"/>
                <w:sz w:val="16"/>
                <w:szCs w:val="20"/>
                <w:lang w:eastAsia="lv-LV"/>
              </w:rPr>
            </w:pPr>
            <w:r w:rsidRPr="009D14C4">
              <w:rPr>
                <w:rFonts w:eastAsia="Times New Roman" w:cs="Times New Roman"/>
                <w:color w:val="000000"/>
                <w:sz w:val="16"/>
                <w:szCs w:val="20"/>
                <w:lang w:eastAsia="lv-LV"/>
              </w:rPr>
              <w:t>3</w:t>
            </w:r>
          </w:p>
        </w:tc>
        <w:tc>
          <w:tcPr>
            <w:tcW w:w="1032" w:type="dxa"/>
            <w:tcBorders>
              <w:top w:val="nil"/>
              <w:left w:val="nil"/>
              <w:bottom w:val="single" w:sz="4" w:space="0" w:color="auto"/>
              <w:right w:val="single" w:sz="4" w:space="0" w:color="auto"/>
            </w:tcBorders>
            <w:shd w:val="clear" w:color="000000" w:fill="FFFFFF"/>
            <w:vAlign w:val="center"/>
            <w:hideMark/>
          </w:tcPr>
          <w:p w14:paraId="2E04323A" w14:textId="77777777" w:rsidR="003C3685" w:rsidRPr="009D14C4" w:rsidRDefault="003C3685" w:rsidP="00D4319A">
            <w:pPr>
              <w:spacing w:after="0"/>
              <w:ind w:firstLine="0"/>
              <w:jc w:val="center"/>
              <w:rPr>
                <w:rFonts w:eastAsia="Times New Roman" w:cs="Times New Roman"/>
                <w:color w:val="000000"/>
                <w:sz w:val="16"/>
                <w:szCs w:val="20"/>
                <w:lang w:eastAsia="lv-LV"/>
              </w:rPr>
            </w:pPr>
            <w:r w:rsidRPr="009D14C4">
              <w:rPr>
                <w:rFonts w:eastAsia="Times New Roman" w:cs="Times New Roman"/>
                <w:color w:val="000000"/>
                <w:sz w:val="16"/>
                <w:szCs w:val="20"/>
                <w:lang w:eastAsia="lv-LV"/>
              </w:rPr>
              <w:t>4</w:t>
            </w:r>
          </w:p>
        </w:tc>
        <w:tc>
          <w:tcPr>
            <w:tcW w:w="1094" w:type="dxa"/>
            <w:tcBorders>
              <w:top w:val="nil"/>
              <w:left w:val="nil"/>
              <w:bottom w:val="single" w:sz="4" w:space="0" w:color="auto"/>
              <w:right w:val="single" w:sz="4" w:space="0" w:color="auto"/>
            </w:tcBorders>
            <w:shd w:val="clear" w:color="auto" w:fill="auto"/>
            <w:vAlign w:val="center"/>
            <w:hideMark/>
          </w:tcPr>
          <w:p w14:paraId="7207ADDD" w14:textId="77777777" w:rsidR="003C3685" w:rsidRPr="009D14C4" w:rsidRDefault="003C3685" w:rsidP="00D4319A">
            <w:pPr>
              <w:spacing w:after="0"/>
              <w:ind w:firstLine="0"/>
              <w:jc w:val="center"/>
              <w:rPr>
                <w:rFonts w:eastAsia="Times New Roman" w:cs="Times New Roman"/>
                <w:color w:val="000000"/>
                <w:sz w:val="16"/>
                <w:szCs w:val="20"/>
                <w:lang w:eastAsia="lv-LV"/>
              </w:rPr>
            </w:pPr>
            <w:r w:rsidRPr="009D14C4">
              <w:rPr>
                <w:rFonts w:eastAsia="Times New Roman" w:cs="Times New Roman"/>
                <w:color w:val="000000"/>
                <w:sz w:val="16"/>
                <w:szCs w:val="20"/>
                <w:lang w:eastAsia="lv-LV"/>
              </w:rPr>
              <w:t>5 = 4-2</w:t>
            </w:r>
          </w:p>
        </w:tc>
        <w:tc>
          <w:tcPr>
            <w:tcW w:w="970" w:type="dxa"/>
            <w:tcBorders>
              <w:top w:val="nil"/>
              <w:left w:val="nil"/>
              <w:bottom w:val="single" w:sz="4" w:space="0" w:color="auto"/>
              <w:right w:val="single" w:sz="4" w:space="0" w:color="auto"/>
            </w:tcBorders>
            <w:shd w:val="clear" w:color="auto" w:fill="auto"/>
            <w:vAlign w:val="center"/>
            <w:hideMark/>
          </w:tcPr>
          <w:p w14:paraId="2BA5EC79" w14:textId="77777777" w:rsidR="003C3685" w:rsidRPr="009D14C4" w:rsidRDefault="003C3685" w:rsidP="00D4319A">
            <w:pPr>
              <w:spacing w:after="0"/>
              <w:ind w:firstLine="0"/>
              <w:jc w:val="center"/>
              <w:rPr>
                <w:rFonts w:eastAsia="Times New Roman" w:cs="Times New Roman"/>
                <w:color w:val="000000"/>
                <w:sz w:val="16"/>
                <w:szCs w:val="20"/>
                <w:lang w:eastAsia="lv-LV"/>
              </w:rPr>
            </w:pPr>
            <w:r w:rsidRPr="009D14C4">
              <w:rPr>
                <w:rFonts w:eastAsia="Times New Roman" w:cs="Times New Roman"/>
                <w:color w:val="000000"/>
                <w:sz w:val="16"/>
                <w:szCs w:val="20"/>
                <w:lang w:eastAsia="lv-LV"/>
              </w:rPr>
              <w:t>6=4-3</w:t>
            </w:r>
          </w:p>
        </w:tc>
        <w:tc>
          <w:tcPr>
            <w:tcW w:w="1151" w:type="dxa"/>
            <w:tcBorders>
              <w:top w:val="nil"/>
              <w:left w:val="nil"/>
              <w:bottom w:val="single" w:sz="4" w:space="0" w:color="auto"/>
              <w:right w:val="single" w:sz="4" w:space="0" w:color="auto"/>
            </w:tcBorders>
            <w:shd w:val="clear" w:color="auto" w:fill="auto"/>
            <w:vAlign w:val="center"/>
            <w:hideMark/>
          </w:tcPr>
          <w:p w14:paraId="176DBB18" w14:textId="77777777" w:rsidR="003C3685" w:rsidRPr="009D14C4" w:rsidRDefault="003C3685" w:rsidP="00D4319A">
            <w:pPr>
              <w:spacing w:after="0"/>
              <w:ind w:firstLine="0"/>
              <w:jc w:val="center"/>
              <w:rPr>
                <w:rFonts w:eastAsia="Times New Roman" w:cs="Times New Roman"/>
                <w:color w:val="000000"/>
                <w:sz w:val="16"/>
                <w:szCs w:val="20"/>
                <w:lang w:eastAsia="lv-LV"/>
              </w:rPr>
            </w:pPr>
            <w:r w:rsidRPr="009D14C4">
              <w:rPr>
                <w:rFonts w:eastAsia="Times New Roman" w:cs="Times New Roman"/>
                <w:color w:val="000000"/>
                <w:sz w:val="16"/>
                <w:szCs w:val="20"/>
                <w:lang w:eastAsia="lv-LV"/>
              </w:rPr>
              <w:t>7=4/2*100-100</w:t>
            </w:r>
          </w:p>
        </w:tc>
        <w:tc>
          <w:tcPr>
            <w:tcW w:w="1127" w:type="dxa"/>
            <w:tcBorders>
              <w:top w:val="nil"/>
              <w:left w:val="nil"/>
              <w:bottom w:val="single" w:sz="4" w:space="0" w:color="auto"/>
              <w:right w:val="single" w:sz="4" w:space="0" w:color="auto"/>
            </w:tcBorders>
            <w:shd w:val="clear" w:color="auto" w:fill="auto"/>
            <w:vAlign w:val="center"/>
            <w:hideMark/>
          </w:tcPr>
          <w:p w14:paraId="67AF5917" w14:textId="77777777" w:rsidR="003C3685" w:rsidRPr="009D14C4" w:rsidRDefault="003C3685" w:rsidP="00D4319A">
            <w:pPr>
              <w:spacing w:after="0"/>
              <w:ind w:firstLine="0"/>
              <w:jc w:val="center"/>
              <w:rPr>
                <w:rFonts w:eastAsia="Times New Roman" w:cs="Times New Roman"/>
                <w:color w:val="000000"/>
                <w:sz w:val="16"/>
                <w:szCs w:val="20"/>
                <w:lang w:eastAsia="lv-LV"/>
              </w:rPr>
            </w:pPr>
            <w:r w:rsidRPr="009D14C4">
              <w:rPr>
                <w:rFonts w:eastAsia="Times New Roman" w:cs="Times New Roman"/>
                <w:color w:val="000000"/>
                <w:sz w:val="16"/>
                <w:szCs w:val="20"/>
                <w:lang w:eastAsia="lv-LV"/>
              </w:rPr>
              <w:t>8=4/3*100</w:t>
            </w:r>
          </w:p>
        </w:tc>
      </w:tr>
      <w:tr w:rsidR="003C3685" w:rsidRPr="003C3685" w14:paraId="356AC1CC" w14:textId="77777777" w:rsidTr="00AA0E06">
        <w:trPr>
          <w:trHeight w:val="264"/>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212AFB82" w14:textId="77777777" w:rsidR="003C3685" w:rsidRPr="003C3685" w:rsidRDefault="003C3685" w:rsidP="00D4319A">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Resursi izdevumu segšanai</w:t>
            </w:r>
          </w:p>
        </w:tc>
        <w:tc>
          <w:tcPr>
            <w:tcW w:w="1046" w:type="dxa"/>
            <w:tcBorders>
              <w:top w:val="nil"/>
              <w:left w:val="nil"/>
              <w:bottom w:val="single" w:sz="4" w:space="0" w:color="auto"/>
              <w:right w:val="single" w:sz="4" w:space="0" w:color="auto"/>
            </w:tcBorders>
            <w:shd w:val="clear" w:color="auto" w:fill="auto"/>
            <w:noWrap/>
            <w:vAlign w:val="bottom"/>
            <w:hideMark/>
          </w:tcPr>
          <w:p w14:paraId="08FF747C" w14:textId="77777777" w:rsidR="003C3685" w:rsidRPr="003C3685" w:rsidRDefault="006B2DC5" w:rsidP="00D4319A">
            <w:pPr>
              <w:spacing w:after="0"/>
              <w:ind w:firstLine="0"/>
              <w:jc w:val="right"/>
              <w:rPr>
                <w:rFonts w:eastAsia="Times New Roman" w:cs="Times New Roman"/>
                <w:b/>
                <w:bCs/>
                <w:sz w:val="20"/>
                <w:szCs w:val="20"/>
                <w:lang w:eastAsia="lv-LV"/>
              </w:rPr>
            </w:pPr>
            <w:r>
              <w:rPr>
                <w:rFonts w:eastAsia="Times New Roman" w:cs="Times New Roman"/>
                <w:b/>
                <w:bCs/>
                <w:sz w:val="20"/>
                <w:szCs w:val="20"/>
                <w:lang w:eastAsia="lv-LV"/>
              </w:rPr>
              <w:t>1 046 083</w:t>
            </w:r>
          </w:p>
        </w:tc>
        <w:tc>
          <w:tcPr>
            <w:tcW w:w="961" w:type="dxa"/>
            <w:tcBorders>
              <w:top w:val="nil"/>
              <w:left w:val="nil"/>
              <w:bottom w:val="single" w:sz="4" w:space="0" w:color="auto"/>
              <w:right w:val="single" w:sz="4" w:space="0" w:color="auto"/>
            </w:tcBorders>
            <w:shd w:val="clear" w:color="auto" w:fill="auto"/>
            <w:noWrap/>
            <w:vAlign w:val="bottom"/>
            <w:hideMark/>
          </w:tcPr>
          <w:p w14:paraId="4B246CBF" w14:textId="77777777" w:rsidR="003C3685" w:rsidRPr="003C3685" w:rsidRDefault="006B2DC5" w:rsidP="00AA0E06">
            <w:pPr>
              <w:spacing w:after="0"/>
              <w:ind w:left="-161" w:firstLine="0"/>
              <w:jc w:val="right"/>
              <w:rPr>
                <w:rFonts w:eastAsia="Times New Roman" w:cs="Times New Roman"/>
                <w:b/>
                <w:bCs/>
                <w:sz w:val="20"/>
                <w:szCs w:val="20"/>
                <w:lang w:eastAsia="lv-LV"/>
              </w:rPr>
            </w:pPr>
            <w:r>
              <w:rPr>
                <w:rFonts w:eastAsia="Times New Roman" w:cs="Times New Roman"/>
                <w:b/>
                <w:bCs/>
                <w:sz w:val="20"/>
                <w:szCs w:val="20"/>
                <w:lang w:eastAsia="lv-LV"/>
              </w:rPr>
              <w:t>1 113 132</w:t>
            </w:r>
          </w:p>
        </w:tc>
        <w:tc>
          <w:tcPr>
            <w:tcW w:w="1032" w:type="dxa"/>
            <w:tcBorders>
              <w:top w:val="nil"/>
              <w:left w:val="nil"/>
              <w:bottom w:val="single" w:sz="4" w:space="0" w:color="auto"/>
              <w:right w:val="single" w:sz="4" w:space="0" w:color="auto"/>
            </w:tcBorders>
            <w:shd w:val="clear" w:color="auto" w:fill="auto"/>
            <w:noWrap/>
            <w:vAlign w:val="bottom"/>
            <w:hideMark/>
          </w:tcPr>
          <w:p w14:paraId="4F6CC1F7" w14:textId="77777777" w:rsidR="003C3685" w:rsidRPr="003C3685" w:rsidRDefault="006B2DC5" w:rsidP="00D4319A">
            <w:pPr>
              <w:spacing w:after="0"/>
              <w:ind w:firstLine="0"/>
              <w:jc w:val="right"/>
              <w:rPr>
                <w:rFonts w:eastAsia="Times New Roman" w:cs="Times New Roman"/>
                <w:b/>
                <w:bCs/>
                <w:sz w:val="20"/>
                <w:szCs w:val="20"/>
                <w:lang w:eastAsia="lv-LV"/>
              </w:rPr>
            </w:pPr>
            <w:r>
              <w:rPr>
                <w:rFonts w:eastAsia="Times New Roman" w:cs="Times New Roman"/>
                <w:b/>
                <w:bCs/>
                <w:sz w:val="20"/>
                <w:szCs w:val="20"/>
                <w:lang w:eastAsia="lv-LV"/>
              </w:rPr>
              <w:t>1 114 607</w:t>
            </w:r>
          </w:p>
        </w:tc>
        <w:tc>
          <w:tcPr>
            <w:tcW w:w="1094" w:type="dxa"/>
            <w:tcBorders>
              <w:top w:val="nil"/>
              <w:left w:val="nil"/>
              <w:bottom w:val="single" w:sz="4" w:space="0" w:color="auto"/>
              <w:right w:val="single" w:sz="4" w:space="0" w:color="auto"/>
            </w:tcBorders>
            <w:shd w:val="clear" w:color="auto" w:fill="auto"/>
            <w:vAlign w:val="bottom"/>
            <w:hideMark/>
          </w:tcPr>
          <w:p w14:paraId="1A59EDC2" w14:textId="77777777" w:rsidR="003C3685" w:rsidRPr="003C3685" w:rsidRDefault="006B2DC5" w:rsidP="00D4319A">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68 524</w:t>
            </w:r>
          </w:p>
        </w:tc>
        <w:tc>
          <w:tcPr>
            <w:tcW w:w="970" w:type="dxa"/>
            <w:tcBorders>
              <w:top w:val="nil"/>
              <w:left w:val="nil"/>
              <w:bottom w:val="single" w:sz="4" w:space="0" w:color="auto"/>
              <w:right w:val="single" w:sz="4" w:space="0" w:color="auto"/>
            </w:tcBorders>
            <w:shd w:val="clear" w:color="auto" w:fill="auto"/>
            <w:vAlign w:val="bottom"/>
            <w:hideMark/>
          </w:tcPr>
          <w:p w14:paraId="0702FAD4" w14:textId="77777777" w:rsidR="003C3685" w:rsidRPr="003C3685" w:rsidRDefault="006B2DC5" w:rsidP="00D4319A">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1 475</w:t>
            </w:r>
          </w:p>
        </w:tc>
        <w:tc>
          <w:tcPr>
            <w:tcW w:w="1151" w:type="dxa"/>
            <w:tcBorders>
              <w:top w:val="nil"/>
              <w:left w:val="nil"/>
              <w:bottom w:val="single" w:sz="4" w:space="0" w:color="auto"/>
              <w:right w:val="single" w:sz="4" w:space="0" w:color="auto"/>
            </w:tcBorders>
            <w:shd w:val="clear" w:color="auto" w:fill="auto"/>
            <w:vAlign w:val="bottom"/>
            <w:hideMark/>
          </w:tcPr>
          <w:p w14:paraId="185D5835" w14:textId="77777777" w:rsidR="003C3685" w:rsidRPr="003C3685" w:rsidRDefault="006B2DC5" w:rsidP="00D4319A">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6,6</w:t>
            </w:r>
          </w:p>
        </w:tc>
        <w:tc>
          <w:tcPr>
            <w:tcW w:w="1127" w:type="dxa"/>
            <w:tcBorders>
              <w:top w:val="nil"/>
              <w:left w:val="nil"/>
              <w:bottom w:val="single" w:sz="4" w:space="0" w:color="auto"/>
              <w:right w:val="single" w:sz="4" w:space="0" w:color="auto"/>
            </w:tcBorders>
            <w:shd w:val="clear" w:color="auto" w:fill="auto"/>
            <w:vAlign w:val="bottom"/>
            <w:hideMark/>
          </w:tcPr>
          <w:p w14:paraId="500D9DC7" w14:textId="77777777" w:rsidR="003C3685" w:rsidRPr="003C3685" w:rsidRDefault="006B2DC5" w:rsidP="00D4319A">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100,1</w:t>
            </w:r>
          </w:p>
        </w:tc>
      </w:tr>
      <w:tr w:rsidR="003C3685" w:rsidRPr="003C3685" w14:paraId="022142D4" w14:textId="77777777" w:rsidTr="00AA0E06">
        <w:trPr>
          <w:trHeight w:val="614"/>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5B99752A" w14:textId="77777777" w:rsidR="003C3685" w:rsidRPr="003C3685" w:rsidRDefault="003C3685" w:rsidP="00D4319A">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Ieņēmumi no maksas pakalpojumiem un citi pašu ieņēmumi</w:t>
            </w:r>
          </w:p>
        </w:tc>
        <w:tc>
          <w:tcPr>
            <w:tcW w:w="1046" w:type="dxa"/>
            <w:tcBorders>
              <w:top w:val="nil"/>
              <w:left w:val="nil"/>
              <w:bottom w:val="single" w:sz="4" w:space="0" w:color="auto"/>
              <w:right w:val="single" w:sz="4" w:space="0" w:color="auto"/>
            </w:tcBorders>
            <w:shd w:val="clear" w:color="auto" w:fill="auto"/>
            <w:noWrap/>
            <w:vAlign w:val="bottom"/>
            <w:hideMark/>
          </w:tcPr>
          <w:p w14:paraId="2930C618"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18 045</w:t>
            </w:r>
          </w:p>
        </w:tc>
        <w:tc>
          <w:tcPr>
            <w:tcW w:w="961" w:type="dxa"/>
            <w:tcBorders>
              <w:top w:val="nil"/>
              <w:left w:val="nil"/>
              <w:bottom w:val="single" w:sz="4" w:space="0" w:color="auto"/>
              <w:right w:val="single" w:sz="4" w:space="0" w:color="auto"/>
            </w:tcBorders>
            <w:shd w:val="clear" w:color="auto" w:fill="auto"/>
            <w:noWrap/>
            <w:vAlign w:val="bottom"/>
            <w:hideMark/>
          </w:tcPr>
          <w:p w14:paraId="4F2C4788" w14:textId="77777777" w:rsidR="003C3685" w:rsidRPr="003C3685" w:rsidRDefault="006B2DC5" w:rsidP="00AA0E06">
            <w:pPr>
              <w:spacing w:after="0"/>
              <w:ind w:left="-161" w:firstLine="0"/>
              <w:jc w:val="right"/>
              <w:rPr>
                <w:rFonts w:eastAsia="Times New Roman" w:cs="Times New Roman"/>
                <w:sz w:val="20"/>
                <w:szCs w:val="20"/>
                <w:lang w:eastAsia="lv-LV"/>
              </w:rPr>
            </w:pPr>
            <w:r>
              <w:rPr>
                <w:rFonts w:eastAsia="Times New Roman" w:cs="Times New Roman"/>
                <w:sz w:val="20"/>
                <w:szCs w:val="20"/>
                <w:lang w:eastAsia="lv-LV"/>
              </w:rPr>
              <w:t>17 762</w:t>
            </w:r>
          </w:p>
        </w:tc>
        <w:tc>
          <w:tcPr>
            <w:tcW w:w="1032" w:type="dxa"/>
            <w:tcBorders>
              <w:top w:val="nil"/>
              <w:left w:val="nil"/>
              <w:bottom w:val="single" w:sz="4" w:space="0" w:color="auto"/>
              <w:right w:val="single" w:sz="4" w:space="0" w:color="auto"/>
            </w:tcBorders>
            <w:shd w:val="clear" w:color="auto" w:fill="auto"/>
            <w:noWrap/>
            <w:vAlign w:val="bottom"/>
            <w:hideMark/>
          </w:tcPr>
          <w:p w14:paraId="70C10AD0" w14:textId="77777777" w:rsidR="003C3685" w:rsidRPr="00367174" w:rsidRDefault="006B2DC5" w:rsidP="008B01C2">
            <w:pPr>
              <w:spacing w:after="0"/>
              <w:ind w:firstLine="0"/>
              <w:jc w:val="right"/>
              <w:rPr>
                <w:rFonts w:eastAsia="Times New Roman" w:cs="Times New Roman"/>
                <w:sz w:val="20"/>
                <w:szCs w:val="20"/>
                <w:lang w:eastAsia="lv-LV"/>
              </w:rPr>
            </w:pPr>
            <w:r w:rsidRPr="00367174">
              <w:rPr>
                <w:rFonts w:eastAsia="Times New Roman" w:cs="Times New Roman"/>
                <w:sz w:val="20"/>
                <w:szCs w:val="20"/>
                <w:lang w:eastAsia="lv-LV"/>
              </w:rPr>
              <w:t>19 23</w:t>
            </w:r>
            <w:r w:rsidR="008B01C2" w:rsidRPr="00367174">
              <w:rPr>
                <w:rFonts w:eastAsia="Times New Roman" w:cs="Times New Roman"/>
                <w:sz w:val="20"/>
                <w:szCs w:val="20"/>
                <w:lang w:eastAsia="lv-LV"/>
              </w:rPr>
              <w:t>4</w:t>
            </w:r>
          </w:p>
        </w:tc>
        <w:tc>
          <w:tcPr>
            <w:tcW w:w="1094" w:type="dxa"/>
            <w:tcBorders>
              <w:top w:val="nil"/>
              <w:left w:val="nil"/>
              <w:bottom w:val="single" w:sz="4" w:space="0" w:color="auto"/>
              <w:right w:val="single" w:sz="4" w:space="0" w:color="auto"/>
            </w:tcBorders>
            <w:shd w:val="clear" w:color="auto" w:fill="auto"/>
            <w:vAlign w:val="bottom"/>
            <w:hideMark/>
          </w:tcPr>
          <w:p w14:paraId="38C8C8AC" w14:textId="77777777" w:rsidR="003C3685" w:rsidRPr="00367174" w:rsidRDefault="006B2DC5" w:rsidP="008B01C2">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1 1</w:t>
            </w:r>
            <w:r w:rsidR="008B01C2" w:rsidRPr="00367174">
              <w:rPr>
                <w:rFonts w:eastAsia="Times New Roman" w:cs="Times New Roman"/>
                <w:color w:val="000000"/>
                <w:sz w:val="20"/>
                <w:szCs w:val="20"/>
                <w:lang w:eastAsia="lv-LV"/>
              </w:rPr>
              <w:t>89</w:t>
            </w:r>
          </w:p>
        </w:tc>
        <w:tc>
          <w:tcPr>
            <w:tcW w:w="970" w:type="dxa"/>
            <w:tcBorders>
              <w:top w:val="nil"/>
              <w:left w:val="nil"/>
              <w:bottom w:val="single" w:sz="4" w:space="0" w:color="auto"/>
              <w:right w:val="single" w:sz="4" w:space="0" w:color="auto"/>
            </w:tcBorders>
            <w:shd w:val="clear" w:color="auto" w:fill="auto"/>
            <w:vAlign w:val="bottom"/>
            <w:hideMark/>
          </w:tcPr>
          <w:p w14:paraId="09C732BF" w14:textId="77777777" w:rsidR="003C3685" w:rsidRPr="00367174" w:rsidRDefault="006B2DC5" w:rsidP="008B01C2">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1 47</w:t>
            </w:r>
            <w:r w:rsidR="008B01C2" w:rsidRPr="00367174">
              <w:rPr>
                <w:rFonts w:eastAsia="Times New Roman" w:cs="Times New Roman"/>
                <w:color w:val="000000"/>
                <w:sz w:val="20"/>
                <w:szCs w:val="20"/>
                <w:lang w:eastAsia="lv-LV"/>
              </w:rPr>
              <w:t>2</w:t>
            </w:r>
          </w:p>
        </w:tc>
        <w:tc>
          <w:tcPr>
            <w:tcW w:w="1151" w:type="dxa"/>
            <w:tcBorders>
              <w:top w:val="nil"/>
              <w:left w:val="nil"/>
              <w:bottom w:val="single" w:sz="4" w:space="0" w:color="auto"/>
              <w:right w:val="single" w:sz="4" w:space="0" w:color="auto"/>
            </w:tcBorders>
            <w:shd w:val="clear" w:color="auto" w:fill="auto"/>
            <w:vAlign w:val="bottom"/>
            <w:hideMark/>
          </w:tcPr>
          <w:p w14:paraId="39F28F12"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6,6</w:t>
            </w:r>
          </w:p>
        </w:tc>
        <w:tc>
          <w:tcPr>
            <w:tcW w:w="1127" w:type="dxa"/>
            <w:tcBorders>
              <w:top w:val="nil"/>
              <w:left w:val="nil"/>
              <w:bottom w:val="single" w:sz="4" w:space="0" w:color="auto"/>
              <w:right w:val="single" w:sz="4" w:space="0" w:color="auto"/>
            </w:tcBorders>
            <w:shd w:val="clear" w:color="auto" w:fill="auto"/>
            <w:vAlign w:val="bottom"/>
            <w:hideMark/>
          </w:tcPr>
          <w:p w14:paraId="29677C88"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108,3</w:t>
            </w:r>
          </w:p>
        </w:tc>
      </w:tr>
      <w:tr w:rsidR="003C3685" w:rsidRPr="003C3685" w14:paraId="56DAD5CE" w14:textId="77777777" w:rsidTr="00AA0E06">
        <w:trPr>
          <w:trHeight w:val="264"/>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510D7530" w14:textId="77777777" w:rsidR="003C3685" w:rsidRPr="003C3685" w:rsidRDefault="003C3685" w:rsidP="00D4319A">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Transferti</w:t>
            </w:r>
          </w:p>
        </w:tc>
        <w:tc>
          <w:tcPr>
            <w:tcW w:w="1046" w:type="dxa"/>
            <w:tcBorders>
              <w:top w:val="nil"/>
              <w:left w:val="nil"/>
              <w:bottom w:val="single" w:sz="4" w:space="0" w:color="auto"/>
              <w:right w:val="single" w:sz="4" w:space="0" w:color="auto"/>
            </w:tcBorders>
            <w:shd w:val="clear" w:color="auto" w:fill="auto"/>
            <w:noWrap/>
            <w:vAlign w:val="bottom"/>
            <w:hideMark/>
          </w:tcPr>
          <w:p w14:paraId="0C5598CC"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20</w:t>
            </w:r>
          </w:p>
        </w:tc>
        <w:tc>
          <w:tcPr>
            <w:tcW w:w="961" w:type="dxa"/>
            <w:tcBorders>
              <w:top w:val="nil"/>
              <w:left w:val="nil"/>
              <w:bottom w:val="single" w:sz="4" w:space="0" w:color="auto"/>
              <w:right w:val="single" w:sz="4" w:space="0" w:color="auto"/>
            </w:tcBorders>
            <w:shd w:val="clear" w:color="auto" w:fill="auto"/>
            <w:noWrap/>
            <w:vAlign w:val="bottom"/>
            <w:hideMark/>
          </w:tcPr>
          <w:p w14:paraId="4AD372DF" w14:textId="77777777" w:rsidR="003C3685" w:rsidRPr="003C3685" w:rsidRDefault="006B2DC5" w:rsidP="00AA0E06">
            <w:pPr>
              <w:spacing w:after="0"/>
              <w:ind w:left="-161" w:firstLine="0"/>
              <w:jc w:val="right"/>
              <w:rPr>
                <w:rFonts w:eastAsia="Times New Roman" w:cs="Times New Roman"/>
                <w:sz w:val="20"/>
                <w:szCs w:val="20"/>
                <w:lang w:eastAsia="lv-LV"/>
              </w:rPr>
            </w:pPr>
            <w:r>
              <w:rPr>
                <w:rFonts w:eastAsia="Times New Roman" w:cs="Times New Roman"/>
                <w:sz w:val="20"/>
                <w:szCs w:val="20"/>
                <w:lang w:eastAsia="lv-LV"/>
              </w:rPr>
              <w:t>22</w:t>
            </w:r>
          </w:p>
        </w:tc>
        <w:tc>
          <w:tcPr>
            <w:tcW w:w="1032" w:type="dxa"/>
            <w:tcBorders>
              <w:top w:val="nil"/>
              <w:left w:val="nil"/>
              <w:bottom w:val="single" w:sz="4" w:space="0" w:color="auto"/>
              <w:right w:val="single" w:sz="4" w:space="0" w:color="auto"/>
            </w:tcBorders>
            <w:shd w:val="clear" w:color="auto" w:fill="auto"/>
            <w:noWrap/>
            <w:vAlign w:val="bottom"/>
            <w:hideMark/>
          </w:tcPr>
          <w:p w14:paraId="2CEAA7A9" w14:textId="77777777" w:rsidR="003C3685" w:rsidRPr="00367174" w:rsidRDefault="00D86EC6" w:rsidP="008B01C2">
            <w:pPr>
              <w:spacing w:after="0"/>
              <w:ind w:firstLine="0"/>
              <w:jc w:val="right"/>
              <w:rPr>
                <w:rFonts w:eastAsia="Times New Roman" w:cs="Times New Roman"/>
                <w:sz w:val="20"/>
                <w:szCs w:val="20"/>
                <w:lang w:eastAsia="lv-LV"/>
              </w:rPr>
            </w:pPr>
            <w:r w:rsidRPr="00367174">
              <w:rPr>
                <w:rFonts w:eastAsia="Times New Roman" w:cs="Times New Roman"/>
                <w:sz w:val="20"/>
                <w:szCs w:val="20"/>
                <w:lang w:eastAsia="lv-LV"/>
              </w:rPr>
              <w:t>2</w:t>
            </w:r>
            <w:r w:rsidR="008B01C2" w:rsidRPr="00367174">
              <w:rPr>
                <w:rFonts w:eastAsia="Times New Roman" w:cs="Times New Roman"/>
                <w:sz w:val="20"/>
                <w:szCs w:val="20"/>
                <w:lang w:eastAsia="lv-LV"/>
              </w:rPr>
              <w:t>5</w:t>
            </w:r>
          </w:p>
        </w:tc>
        <w:tc>
          <w:tcPr>
            <w:tcW w:w="1094" w:type="dxa"/>
            <w:tcBorders>
              <w:top w:val="nil"/>
              <w:left w:val="nil"/>
              <w:bottom w:val="single" w:sz="4" w:space="0" w:color="auto"/>
              <w:right w:val="single" w:sz="4" w:space="0" w:color="auto"/>
            </w:tcBorders>
            <w:shd w:val="clear" w:color="auto" w:fill="auto"/>
            <w:vAlign w:val="bottom"/>
            <w:hideMark/>
          </w:tcPr>
          <w:p w14:paraId="412EBF48" w14:textId="77777777" w:rsidR="003C3685" w:rsidRPr="00367174" w:rsidRDefault="008B01C2"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5</w:t>
            </w:r>
          </w:p>
        </w:tc>
        <w:tc>
          <w:tcPr>
            <w:tcW w:w="970" w:type="dxa"/>
            <w:tcBorders>
              <w:top w:val="nil"/>
              <w:left w:val="nil"/>
              <w:bottom w:val="single" w:sz="4" w:space="0" w:color="auto"/>
              <w:right w:val="single" w:sz="4" w:space="0" w:color="auto"/>
            </w:tcBorders>
            <w:shd w:val="clear" w:color="auto" w:fill="auto"/>
            <w:vAlign w:val="bottom"/>
            <w:hideMark/>
          </w:tcPr>
          <w:p w14:paraId="396D1289" w14:textId="77777777" w:rsidR="003C3685" w:rsidRPr="00367174" w:rsidRDefault="008B01C2"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3</w:t>
            </w:r>
          </w:p>
        </w:tc>
        <w:tc>
          <w:tcPr>
            <w:tcW w:w="1151" w:type="dxa"/>
            <w:tcBorders>
              <w:top w:val="nil"/>
              <w:left w:val="nil"/>
              <w:bottom w:val="single" w:sz="4" w:space="0" w:color="auto"/>
              <w:right w:val="single" w:sz="4" w:space="0" w:color="auto"/>
            </w:tcBorders>
            <w:shd w:val="clear" w:color="auto" w:fill="auto"/>
            <w:vAlign w:val="bottom"/>
            <w:hideMark/>
          </w:tcPr>
          <w:p w14:paraId="286CE265" w14:textId="77777777" w:rsidR="003C3685" w:rsidRPr="00367174" w:rsidRDefault="006B2DC5" w:rsidP="008B01C2">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2</w:t>
            </w:r>
            <w:r w:rsidR="008B01C2" w:rsidRPr="00367174">
              <w:rPr>
                <w:rFonts w:eastAsia="Times New Roman" w:cs="Times New Roman"/>
                <w:color w:val="000000"/>
                <w:sz w:val="20"/>
                <w:szCs w:val="20"/>
                <w:lang w:eastAsia="lv-LV"/>
              </w:rPr>
              <w:t>5</w:t>
            </w:r>
            <w:r w:rsidRPr="00367174">
              <w:rPr>
                <w:rFonts w:eastAsia="Times New Roman" w:cs="Times New Roman"/>
                <w:color w:val="000000"/>
                <w:sz w:val="20"/>
                <w:szCs w:val="20"/>
                <w:lang w:eastAsia="lv-LV"/>
              </w:rPr>
              <w:t>,</w:t>
            </w:r>
            <w:r w:rsidR="00971A63" w:rsidRPr="00367174">
              <w:rPr>
                <w:rFonts w:eastAsia="Times New Roman" w:cs="Times New Roman"/>
                <w:color w:val="000000"/>
                <w:sz w:val="20"/>
                <w:szCs w:val="20"/>
                <w:lang w:eastAsia="lv-LV"/>
              </w:rPr>
              <w:t>0</w:t>
            </w:r>
          </w:p>
        </w:tc>
        <w:tc>
          <w:tcPr>
            <w:tcW w:w="1127" w:type="dxa"/>
            <w:tcBorders>
              <w:top w:val="nil"/>
              <w:left w:val="nil"/>
              <w:bottom w:val="single" w:sz="4" w:space="0" w:color="auto"/>
              <w:right w:val="single" w:sz="4" w:space="0" w:color="auto"/>
            </w:tcBorders>
            <w:shd w:val="clear" w:color="auto" w:fill="auto"/>
            <w:vAlign w:val="bottom"/>
            <w:hideMark/>
          </w:tcPr>
          <w:p w14:paraId="7436013F" w14:textId="77777777" w:rsidR="003C3685" w:rsidRPr="00367174" w:rsidRDefault="00971A63" w:rsidP="008B01C2">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1</w:t>
            </w:r>
            <w:r w:rsidR="008B01C2" w:rsidRPr="00367174">
              <w:rPr>
                <w:rFonts w:eastAsia="Times New Roman" w:cs="Times New Roman"/>
                <w:color w:val="000000"/>
                <w:sz w:val="20"/>
                <w:szCs w:val="20"/>
                <w:lang w:eastAsia="lv-LV"/>
              </w:rPr>
              <w:t>13</w:t>
            </w:r>
            <w:r w:rsidR="006B2DC5" w:rsidRPr="00367174">
              <w:rPr>
                <w:rFonts w:eastAsia="Times New Roman" w:cs="Times New Roman"/>
                <w:color w:val="000000"/>
                <w:sz w:val="20"/>
                <w:szCs w:val="20"/>
                <w:lang w:eastAsia="lv-LV"/>
              </w:rPr>
              <w:t>,</w:t>
            </w:r>
            <w:r w:rsidR="008B01C2" w:rsidRPr="00367174">
              <w:rPr>
                <w:rFonts w:eastAsia="Times New Roman" w:cs="Times New Roman"/>
                <w:color w:val="000000"/>
                <w:sz w:val="20"/>
                <w:szCs w:val="20"/>
                <w:lang w:eastAsia="lv-LV"/>
              </w:rPr>
              <w:t>6</w:t>
            </w:r>
          </w:p>
        </w:tc>
      </w:tr>
      <w:tr w:rsidR="003C3685" w:rsidRPr="003C3685" w14:paraId="2AB8AE79" w14:textId="77777777" w:rsidTr="00AA0E06">
        <w:trPr>
          <w:trHeight w:val="528"/>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24492CDC" w14:textId="77777777" w:rsidR="003C3685" w:rsidRPr="003C3685" w:rsidRDefault="003C3685" w:rsidP="00D4319A">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Dotācija no vispārējiem ieņēmumiem</w:t>
            </w:r>
          </w:p>
        </w:tc>
        <w:tc>
          <w:tcPr>
            <w:tcW w:w="1046" w:type="dxa"/>
            <w:tcBorders>
              <w:top w:val="nil"/>
              <w:left w:val="nil"/>
              <w:bottom w:val="single" w:sz="4" w:space="0" w:color="auto"/>
              <w:right w:val="single" w:sz="4" w:space="0" w:color="auto"/>
            </w:tcBorders>
            <w:shd w:val="clear" w:color="auto" w:fill="auto"/>
            <w:noWrap/>
            <w:vAlign w:val="bottom"/>
            <w:hideMark/>
          </w:tcPr>
          <w:p w14:paraId="264AB26A"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1 028 018</w:t>
            </w:r>
          </w:p>
        </w:tc>
        <w:tc>
          <w:tcPr>
            <w:tcW w:w="961" w:type="dxa"/>
            <w:tcBorders>
              <w:top w:val="nil"/>
              <w:left w:val="nil"/>
              <w:bottom w:val="single" w:sz="4" w:space="0" w:color="auto"/>
              <w:right w:val="single" w:sz="4" w:space="0" w:color="auto"/>
            </w:tcBorders>
            <w:shd w:val="clear" w:color="auto" w:fill="auto"/>
            <w:noWrap/>
            <w:vAlign w:val="bottom"/>
            <w:hideMark/>
          </w:tcPr>
          <w:p w14:paraId="1AAB52B8" w14:textId="77777777" w:rsidR="003C3685" w:rsidRPr="00367174" w:rsidRDefault="006B2DC5" w:rsidP="00AA0E06">
            <w:pPr>
              <w:spacing w:after="0"/>
              <w:ind w:left="-161" w:firstLine="0"/>
              <w:jc w:val="right"/>
              <w:rPr>
                <w:rFonts w:eastAsia="Times New Roman" w:cs="Times New Roman"/>
                <w:sz w:val="20"/>
                <w:szCs w:val="20"/>
                <w:lang w:eastAsia="lv-LV"/>
              </w:rPr>
            </w:pPr>
            <w:r w:rsidRPr="00367174">
              <w:rPr>
                <w:rFonts w:eastAsia="Times New Roman" w:cs="Times New Roman"/>
                <w:sz w:val="20"/>
                <w:szCs w:val="20"/>
                <w:lang w:eastAsia="lv-LV"/>
              </w:rPr>
              <w:t>1 095 348</w:t>
            </w:r>
          </w:p>
        </w:tc>
        <w:tc>
          <w:tcPr>
            <w:tcW w:w="1032" w:type="dxa"/>
            <w:tcBorders>
              <w:top w:val="nil"/>
              <w:left w:val="nil"/>
              <w:bottom w:val="single" w:sz="4" w:space="0" w:color="auto"/>
              <w:right w:val="single" w:sz="4" w:space="0" w:color="auto"/>
            </w:tcBorders>
            <w:shd w:val="clear" w:color="auto" w:fill="auto"/>
            <w:noWrap/>
            <w:vAlign w:val="bottom"/>
            <w:hideMark/>
          </w:tcPr>
          <w:p w14:paraId="399117E3" w14:textId="77777777" w:rsidR="003C3685" w:rsidRPr="00367174" w:rsidRDefault="006B2DC5" w:rsidP="00D4319A">
            <w:pPr>
              <w:spacing w:after="0"/>
              <w:ind w:firstLine="0"/>
              <w:jc w:val="right"/>
              <w:rPr>
                <w:rFonts w:eastAsia="Times New Roman" w:cs="Times New Roman"/>
                <w:sz w:val="20"/>
                <w:szCs w:val="20"/>
                <w:lang w:eastAsia="lv-LV"/>
              </w:rPr>
            </w:pPr>
            <w:r w:rsidRPr="00367174">
              <w:rPr>
                <w:rFonts w:eastAsia="Times New Roman" w:cs="Times New Roman"/>
                <w:sz w:val="20"/>
                <w:szCs w:val="20"/>
                <w:lang w:eastAsia="lv-LV"/>
              </w:rPr>
              <w:t>1 095 348</w:t>
            </w:r>
          </w:p>
        </w:tc>
        <w:tc>
          <w:tcPr>
            <w:tcW w:w="1094" w:type="dxa"/>
            <w:tcBorders>
              <w:top w:val="nil"/>
              <w:left w:val="nil"/>
              <w:bottom w:val="single" w:sz="4" w:space="0" w:color="auto"/>
              <w:right w:val="single" w:sz="4" w:space="0" w:color="auto"/>
            </w:tcBorders>
            <w:shd w:val="clear" w:color="auto" w:fill="auto"/>
            <w:vAlign w:val="bottom"/>
            <w:hideMark/>
          </w:tcPr>
          <w:p w14:paraId="0E4E3E67"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67 330</w:t>
            </w:r>
          </w:p>
        </w:tc>
        <w:tc>
          <w:tcPr>
            <w:tcW w:w="970" w:type="dxa"/>
            <w:tcBorders>
              <w:top w:val="nil"/>
              <w:left w:val="nil"/>
              <w:bottom w:val="single" w:sz="4" w:space="0" w:color="auto"/>
              <w:right w:val="single" w:sz="4" w:space="0" w:color="auto"/>
            </w:tcBorders>
            <w:shd w:val="clear" w:color="auto" w:fill="auto"/>
            <w:vAlign w:val="bottom"/>
            <w:hideMark/>
          </w:tcPr>
          <w:p w14:paraId="6ABCAE36" w14:textId="77777777" w:rsidR="003C3685" w:rsidRPr="00367174" w:rsidRDefault="003C368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0</w:t>
            </w:r>
          </w:p>
        </w:tc>
        <w:tc>
          <w:tcPr>
            <w:tcW w:w="1151" w:type="dxa"/>
            <w:tcBorders>
              <w:top w:val="nil"/>
              <w:left w:val="nil"/>
              <w:bottom w:val="single" w:sz="4" w:space="0" w:color="auto"/>
              <w:right w:val="single" w:sz="4" w:space="0" w:color="auto"/>
            </w:tcBorders>
            <w:shd w:val="clear" w:color="auto" w:fill="auto"/>
            <w:vAlign w:val="bottom"/>
            <w:hideMark/>
          </w:tcPr>
          <w:p w14:paraId="637441AE"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6,5</w:t>
            </w:r>
          </w:p>
        </w:tc>
        <w:tc>
          <w:tcPr>
            <w:tcW w:w="1127" w:type="dxa"/>
            <w:tcBorders>
              <w:top w:val="nil"/>
              <w:left w:val="nil"/>
              <w:bottom w:val="single" w:sz="4" w:space="0" w:color="auto"/>
              <w:right w:val="single" w:sz="4" w:space="0" w:color="auto"/>
            </w:tcBorders>
            <w:shd w:val="clear" w:color="auto" w:fill="auto"/>
            <w:vAlign w:val="bottom"/>
            <w:hideMark/>
          </w:tcPr>
          <w:p w14:paraId="7E0897E9"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100,0</w:t>
            </w:r>
          </w:p>
        </w:tc>
      </w:tr>
      <w:tr w:rsidR="003C3685" w:rsidRPr="003C3685" w14:paraId="34EE2CC1" w14:textId="77777777" w:rsidTr="00AA0E06">
        <w:trPr>
          <w:trHeight w:val="264"/>
          <w:jc w:val="center"/>
        </w:trPr>
        <w:tc>
          <w:tcPr>
            <w:tcW w:w="2263" w:type="dxa"/>
            <w:tcBorders>
              <w:top w:val="nil"/>
              <w:left w:val="single" w:sz="4" w:space="0" w:color="auto"/>
              <w:bottom w:val="nil"/>
              <w:right w:val="single" w:sz="4" w:space="0" w:color="auto"/>
            </w:tcBorders>
            <w:shd w:val="clear" w:color="000000" w:fill="FFFFFF"/>
            <w:vAlign w:val="center"/>
            <w:hideMark/>
          </w:tcPr>
          <w:p w14:paraId="0A0A0FEF" w14:textId="77777777" w:rsidR="003C3685" w:rsidRPr="003C3685" w:rsidRDefault="003C3685" w:rsidP="00D4319A">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Izdevumi – kopā</w:t>
            </w:r>
          </w:p>
        </w:tc>
        <w:tc>
          <w:tcPr>
            <w:tcW w:w="1046" w:type="dxa"/>
            <w:tcBorders>
              <w:top w:val="nil"/>
              <w:left w:val="nil"/>
              <w:bottom w:val="single" w:sz="4" w:space="0" w:color="auto"/>
              <w:right w:val="single" w:sz="4" w:space="0" w:color="auto"/>
            </w:tcBorders>
            <w:shd w:val="clear" w:color="auto" w:fill="auto"/>
            <w:noWrap/>
            <w:vAlign w:val="bottom"/>
            <w:hideMark/>
          </w:tcPr>
          <w:p w14:paraId="3F11EB3D" w14:textId="77777777" w:rsidR="003C3685" w:rsidRPr="003C3685" w:rsidRDefault="006B2DC5" w:rsidP="00D4319A">
            <w:pPr>
              <w:spacing w:after="0"/>
              <w:ind w:firstLine="0"/>
              <w:jc w:val="right"/>
              <w:rPr>
                <w:rFonts w:eastAsia="Times New Roman" w:cs="Times New Roman"/>
                <w:b/>
                <w:bCs/>
                <w:sz w:val="20"/>
                <w:szCs w:val="20"/>
                <w:lang w:eastAsia="lv-LV"/>
              </w:rPr>
            </w:pPr>
            <w:r>
              <w:rPr>
                <w:rFonts w:eastAsia="Times New Roman" w:cs="Times New Roman"/>
                <w:b/>
                <w:bCs/>
                <w:sz w:val="20"/>
                <w:szCs w:val="20"/>
                <w:lang w:eastAsia="lv-LV"/>
              </w:rPr>
              <w:t>977 141</w:t>
            </w:r>
          </w:p>
        </w:tc>
        <w:tc>
          <w:tcPr>
            <w:tcW w:w="961" w:type="dxa"/>
            <w:tcBorders>
              <w:top w:val="nil"/>
              <w:left w:val="nil"/>
              <w:bottom w:val="single" w:sz="4" w:space="0" w:color="auto"/>
              <w:right w:val="single" w:sz="4" w:space="0" w:color="auto"/>
            </w:tcBorders>
            <w:shd w:val="clear" w:color="auto" w:fill="auto"/>
            <w:noWrap/>
            <w:vAlign w:val="bottom"/>
            <w:hideMark/>
          </w:tcPr>
          <w:p w14:paraId="2D7A4B78" w14:textId="77777777" w:rsidR="003C3685" w:rsidRPr="00367174" w:rsidRDefault="006B2DC5" w:rsidP="00AA0E06">
            <w:pPr>
              <w:spacing w:after="0"/>
              <w:ind w:left="-161" w:firstLine="0"/>
              <w:jc w:val="right"/>
              <w:rPr>
                <w:rFonts w:eastAsia="Times New Roman" w:cs="Times New Roman"/>
                <w:b/>
                <w:bCs/>
                <w:sz w:val="20"/>
                <w:szCs w:val="20"/>
                <w:lang w:eastAsia="lv-LV"/>
              </w:rPr>
            </w:pPr>
            <w:r w:rsidRPr="00367174">
              <w:rPr>
                <w:rFonts w:eastAsia="Times New Roman" w:cs="Times New Roman"/>
                <w:b/>
                <w:bCs/>
                <w:sz w:val="20"/>
                <w:szCs w:val="20"/>
                <w:lang w:eastAsia="lv-LV"/>
              </w:rPr>
              <w:t>1 066 31</w:t>
            </w:r>
            <w:r w:rsidR="004B7AE5" w:rsidRPr="00367174">
              <w:rPr>
                <w:rFonts w:eastAsia="Times New Roman" w:cs="Times New Roman"/>
                <w:b/>
                <w:bCs/>
                <w:sz w:val="20"/>
                <w:szCs w:val="20"/>
                <w:lang w:eastAsia="lv-LV"/>
              </w:rPr>
              <w:t>0</w:t>
            </w:r>
          </w:p>
        </w:tc>
        <w:tc>
          <w:tcPr>
            <w:tcW w:w="1032" w:type="dxa"/>
            <w:tcBorders>
              <w:top w:val="nil"/>
              <w:left w:val="nil"/>
              <w:bottom w:val="single" w:sz="4" w:space="0" w:color="auto"/>
              <w:right w:val="single" w:sz="4" w:space="0" w:color="auto"/>
            </w:tcBorders>
            <w:shd w:val="clear" w:color="auto" w:fill="auto"/>
            <w:noWrap/>
            <w:vAlign w:val="bottom"/>
            <w:hideMark/>
          </w:tcPr>
          <w:p w14:paraId="47ADF8EF" w14:textId="77777777" w:rsidR="003C3685" w:rsidRPr="00367174" w:rsidRDefault="006B2DC5" w:rsidP="00D4319A">
            <w:pPr>
              <w:spacing w:after="0"/>
              <w:ind w:firstLine="0"/>
              <w:jc w:val="right"/>
              <w:rPr>
                <w:rFonts w:eastAsia="Times New Roman" w:cs="Times New Roman"/>
                <w:b/>
                <w:bCs/>
                <w:sz w:val="20"/>
                <w:szCs w:val="20"/>
                <w:lang w:eastAsia="lv-LV"/>
              </w:rPr>
            </w:pPr>
            <w:r w:rsidRPr="00367174">
              <w:rPr>
                <w:rFonts w:eastAsia="Times New Roman" w:cs="Times New Roman"/>
                <w:b/>
                <w:bCs/>
                <w:sz w:val="20"/>
                <w:szCs w:val="20"/>
                <w:lang w:eastAsia="lv-LV"/>
              </w:rPr>
              <w:t>1 043 380</w:t>
            </w:r>
          </w:p>
        </w:tc>
        <w:tc>
          <w:tcPr>
            <w:tcW w:w="1094" w:type="dxa"/>
            <w:tcBorders>
              <w:top w:val="nil"/>
              <w:left w:val="nil"/>
              <w:bottom w:val="single" w:sz="4" w:space="0" w:color="auto"/>
              <w:right w:val="single" w:sz="4" w:space="0" w:color="auto"/>
            </w:tcBorders>
            <w:shd w:val="clear" w:color="auto" w:fill="auto"/>
            <w:vAlign w:val="bottom"/>
            <w:hideMark/>
          </w:tcPr>
          <w:p w14:paraId="7833C775" w14:textId="77777777" w:rsidR="003C3685" w:rsidRPr="00367174" w:rsidRDefault="006B2DC5" w:rsidP="00D4319A">
            <w:pPr>
              <w:spacing w:after="0"/>
              <w:ind w:firstLine="0"/>
              <w:jc w:val="right"/>
              <w:rPr>
                <w:rFonts w:eastAsia="Times New Roman" w:cs="Times New Roman"/>
                <w:b/>
                <w:bCs/>
                <w:color w:val="000000"/>
                <w:sz w:val="20"/>
                <w:szCs w:val="20"/>
                <w:lang w:eastAsia="lv-LV"/>
              </w:rPr>
            </w:pPr>
            <w:r w:rsidRPr="00367174">
              <w:rPr>
                <w:rFonts w:eastAsia="Times New Roman" w:cs="Times New Roman"/>
                <w:b/>
                <w:bCs/>
                <w:color w:val="000000"/>
                <w:sz w:val="20"/>
                <w:szCs w:val="20"/>
                <w:lang w:eastAsia="lv-LV"/>
              </w:rPr>
              <w:t>66 239</w:t>
            </w:r>
          </w:p>
        </w:tc>
        <w:tc>
          <w:tcPr>
            <w:tcW w:w="970" w:type="dxa"/>
            <w:tcBorders>
              <w:top w:val="nil"/>
              <w:left w:val="nil"/>
              <w:bottom w:val="single" w:sz="4" w:space="0" w:color="auto"/>
              <w:right w:val="single" w:sz="4" w:space="0" w:color="auto"/>
            </w:tcBorders>
            <w:shd w:val="clear" w:color="auto" w:fill="auto"/>
            <w:vAlign w:val="bottom"/>
            <w:hideMark/>
          </w:tcPr>
          <w:p w14:paraId="7577BD26" w14:textId="77777777" w:rsidR="003C3685" w:rsidRPr="00367174" w:rsidRDefault="006B2DC5" w:rsidP="008B01C2">
            <w:pPr>
              <w:spacing w:after="0"/>
              <w:ind w:firstLine="0"/>
              <w:jc w:val="right"/>
              <w:rPr>
                <w:rFonts w:eastAsia="Times New Roman" w:cs="Times New Roman"/>
                <w:b/>
                <w:bCs/>
                <w:color w:val="000000"/>
                <w:sz w:val="20"/>
                <w:szCs w:val="20"/>
                <w:lang w:eastAsia="lv-LV"/>
              </w:rPr>
            </w:pPr>
            <w:r w:rsidRPr="00367174">
              <w:rPr>
                <w:rFonts w:eastAsia="Times New Roman" w:cs="Times New Roman"/>
                <w:b/>
                <w:bCs/>
                <w:color w:val="000000"/>
                <w:sz w:val="20"/>
                <w:szCs w:val="20"/>
                <w:lang w:eastAsia="lv-LV"/>
              </w:rPr>
              <w:t>-22 93</w:t>
            </w:r>
            <w:r w:rsidR="008B01C2" w:rsidRPr="00367174">
              <w:rPr>
                <w:rFonts w:eastAsia="Times New Roman" w:cs="Times New Roman"/>
                <w:b/>
                <w:bCs/>
                <w:color w:val="000000"/>
                <w:sz w:val="20"/>
                <w:szCs w:val="20"/>
                <w:lang w:eastAsia="lv-LV"/>
              </w:rPr>
              <w:t>0</w:t>
            </w:r>
          </w:p>
        </w:tc>
        <w:tc>
          <w:tcPr>
            <w:tcW w:w="1151" w:type="dxa"/>
            <w:tcBorders>
              <w:top w:val="nil"/>
              <w:left w:val="nil"/>
              <w:bottom w:val="single" w:sz="4" w:space="0" w:color="auto"/>
              <w:right w:val="single" w:sz="4" w:space="0" w:color="auto"/>
            </w:tcBorders>
            <w:shd w:val="clear" w:color="auto" w:fill="auto"/>
            <w:vAlign w:val="bottom"/>
            <w:hideMark/>
          </w:tcPr>
          <w:p w14:paraId="0DA05F82" w14:textId="77777777" w:rsidR="003C3685" w:rsidRPr="003C3685" w:rsidRDefault="006B2DC5" w:rsidP="00D4319A">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6,8</w:t>
            </w:r>
          </w:p>
        </w:tc>
        <w:tc>
          <w:tcPr>
            <w:tcW w:w="1127" w:type="dxa"/>
            <w:tcBorders>
              <w:top w:val="nil"/>
              <w:left w:val="nil"/>
              <w:bottom w:val="single" w:sz="4" w:space="0" w:color="auto"/>
              <w:right w:val="single" w:sz="4" w:space="0" w:color="auto"/>
            </w:tcBorders>
            <w:shd w:val="clear" w:color="auto" w:fill="auto"/>
            <w:vAlign w:val="bottom"/>
            <w:hideMark/>
          </w:tcPr>
          <w:p w14:paraId="5C7CA5B6" w14:textId="77777777" w:rsidR="003C3685" w:rsidRPr="003C3685" w:rsidRDefault="006B2DC5" w:rsidP="00D4319A">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97,8</w:t>
            </w:r>
          </w:p>
        </w:tc>
      </w:tr>
      <w:tr w:rsidR="003C3685" w:rsidRPr="003C3685" w14:paraId="573E68AE" w14:textId="77777777" w:rsidTr="00AA0E06">
        <w:trPr>
          <w:trHeight w:val="264"/>
          <w:jc w:val="center"/>
        </w:trPr>
        <w:tc>
          <w:tcPr>
            <w:tcW w:w="226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37C8B2" w14:textId="77777777" w:rsidR="003C3685" w:rsidRPr="003C3685" w:rsidRDefault="003C3685" w:rsidP="00D4319A">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Atlīdzība</w:t>
            </w:r>
          </w:p>
        </w:tc>
        <w:tc>
          <w:tcPr>
            <w:tcW w:w="1046" w:type="dxa"/>
            <w:tcBorders>
              <w:top w:val="nil"/>
              <w:left w:val="nil"/>
              <w:bottom w:val="single" w:sz="4" w:space="0" w:color="auto"/>
              <w:right w:val="single" w:sz="4" w:space="0" w:color="auto"/>
            </w:tcBorders>
            <w:shd w:val="clear" w:color="auto" w:fill="auto"/>
            <w:noWrap/>
            <w:vAlign w:val="bottom"/>
            <w:hideMark/>
          </w:tcPr>
          <w:p w14:paraId="671B33AC"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166 803</w:t>
            </w:r>
          </w:p>
        </w:tc>
        <w:tc>
          <w:tcPr>
            <w:tcW w:w="961" w:type="dxa"/>
            <w:tcBorders>
              <w:top w:val="nil"/>
              <w:left w:val="nil"/>
              <w:bottom w:val="single" w:sz="4" w:space="0" w:color="auto"/>
              <w:right w:val="single" w:sz="4" w:space="0" w:color="auto"/>
            </w:tcBorders>
            <w:shd w:val="clear" w:color="auto" w:fill="auto"/>
            <w:noWrap/>
            <w:vAlign w:val="bottom"/>
            <w:hideMark/>
          </w:tcPr>
          <w:p w14:paraId="199A339D" w14:textId="77777777" w:rsidR="003C3685" w:rsidRPr="00367174" w:rsidRDefault="006B2DC5" w:rsidP="004B7AE5">
            <w:pPr>
              <w:spacing w:after="0"/>
              <w:ind w:firstLine="0"/>
              <w:jc w:val="right"/>
              <w:rPr>
                <w:rFonts w:eastAsia="Times New Roman" w:cs="Times New Roman"/>
                <w:sz w:val="20"/>
                <w:szCs w:val="20"/>
                <w:lang w:eastAsia="lv-LV"/>
              </w:rPr>
            </w:pPr>
            <w:r w:rsidRPr="00367174">
              <w:rPr>
                <w:rFonts w:eastAsia="Times New Roman" w:cs="Times New Roman"/>
                <w:sz w:val="20"/>
                <w:szCs w:val="20"/>
                <w:lang w:eastAsia="lv-LV"/>
              </w:rPr>
              <w:t>180 96</w:t>
            </w:r>
            <w:r w:rsidR="004B7AE5" w:rsidRPr="00367174">
              <w:rPr>
                <w:rFonts w:eastAsia="Times New Roman" w:cs="Times New Roman"/>
                <w:sz w:val="20"/>
                <w:szCs w:val="20"/>
                <w:lang w:eastAsia="lv-LV"/>
              </w:rPr>
              <w:t>3</w:t>
            </w:r>
          </w:p>
        </w:tc>
        <w:tc>
          <w:tcPr>
            <w:tcW w:w="1032" w:type="dxa"/>
            <w:tcBorders>
              <w:top w:val="nil"/>
              <w:left w:val="nil"/>
              <w:bottom w:val="single" w:sz="4" w:space="0" w:color="auto"/>
              <w:right w:val="single" w:sz="4" w:space="0" w:color="auto"/>
            </w:tcBorders>
            <w:shd w:val="clear" w:color="auto" w:fill="auto"/>
            <w:noWrap/>
            <w:vAlign w:val="bottom"/>
            <w:hideMark/>
          </w:tcPr>
          <w:p w14:paraId="4BBAD79D" w14:textId="77777777" w:rsidR="003C3685" w:rsidRPr="00367174" w:rsidRDefault="006B2DC5" w:rsidP="00D4319A">
            <w:pPr>
              <w:spacing w:after="0"/>
              <w:ind w:firstLine="0"/>
              <w:jc w:val="right"/>
              <w:rPr>
                <w:rFonts w:eastAsia="Times New Roman" w:cs="Times New Roman"/>
                <w:sz w:val="20"/>
                <w:szCs w:val="20"/>
                <w:lang w:eastAsia="lv-LV"/>
              </w:rPr>
            </w:pPr>
            <w:r w:rsidRPr="00367174">
              <w:rPr>
                <w:rFonts w:eastAsia="Times New Roman" w:cs="Times New Roman"/>
                <w:sz w:val="20"/>
                <w:szCs w:val="20"/>
                <w:lang w:eastAsia="lv-LV"/>
              </w:rPr>
              <w:t>176 165</w:t>
            </w:r>
          </w:p>
        </w:tc>
        <w:tc>
          <w:tcPr>
            <w:tcW w:w="1094" w:type="dxa"/>
            <w:tcBorders>
              <w:top w:val="nil"/>
              <w:left w:val="nil"/>
              <w:bottom w:val="single" w:sz="4" w:space="0" w:color="auto"/>
              <w:right w:val="single" w:sz="4" w:space="0" w:color="auto"/>
            </w:tcBorders>
            <w:shd w:val="clear" w:color="000000" w:fill="FFFFFF"/>
            <w:vAlign w:val="bottom"/>
            <w:hideMark/>
          </w:tcPr>
          <w:p w14:paraId="59EE8A1C"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9 362</w:t>
            </w:r>
          </w:p>
        </w:tc>
        <w:tc>
          <w:tcPr>
            <w:tcW w:w="970" w:type="dxa"/>
            <w:tcBorders>
              <w:top w:val="nil"/>
              <w:left w:val="nil"/>
              <w:bottom w:val="single" w:sz="4" w:space="0" w:color="auto"/>
              <w:right w:val="single" w:sz="4" w:space="0" w:color="auto"/>
            </w:tcBorders>
            <w:shd w:val="clear" w:color="000000" w:fill="FFFFFF"/>
            <w:vAlign w:val="bottom"/>
            <w:hideMark/>
          </w:tcPr>
          <w:p w14:paraId="2F35397A" w14:textId="77777777" w:rsidR="003C3685" w:rsidRPr="00367174" w:rsidRDefault="006B2DC5" w:rsidP="00D4319A">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-4 799</w:t>
            </w:r>
          </w:p>
        </w:tc>
        <w:tc>
          <w:tcPr>
            <w:tcW w:w="1151" w:type="dxa"/>
            <w:tcBorders>
              <w:top w:val="nil"/>
              <w:left w:val="nil"/>
              <w:bottom w:val="single" w:sz="4" w:space="0" w:color="auto"/>
              <w:right w:val="single" w:sz="4" w:space="0" w:color="auto"/>
            </w:tcBorders>
            <w:shd w:val="clear" w:color="000000" w:fill="FFFFFF"/>
            <w:vAlign w:val="bottom"/>
            <w:hideMark/>
          </w:tcPr>
          <w:p w14:paraId="27EAC6FA"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5,6</w:t>
            </w:r>
          </w:p>
        </w:tc>
        <w:tc>
          <w:tcPr>
            <w:tcW w:w="1127" w:type="dxa"/>
            <w:tcBorders>
              <w:top w:val="nil"/>
              <w:left w:val="nil"/>
              <w:bottom w:val="single" w:sz="4" w:space="0" w:color="auto"/>
              <w:right w:val="single" w:sz="4" w:space="0" w:color="auto"/>
            </w:tcBorders>
            <w:shd w:val="clear" w:color="000000" w:fill="FFFFFF"/>
            <w:vAlign w:val="bottom"/>
            <w:hideMark/>
          </w:tcPr>
          <w:p w14:paraId="74E02D7F"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97,3</w:t>
            </w:r>
          </w:p>
        </w:tc>
      </w:tr>
      <w:tr w:rsidR="003C3685" w:rsidRPr="003C3685" w14:paraId="7022FDBF" w14:textId="77777777" w:rsidTr="00AA0E06">
        <w:trPr>
          <w:trHeight w:val="264"/>
          <w:jc w:val="center"/>
        </w:trPr>
        <w:tc>
          <w:tcPr>
            <w:tcW w:w="2263" w:type="dxa"/>
            <w:tcBorders>
              <w:top w:val="nil"/>
              <w:left w:val="single" w:sz="4" w:space="0" w:color="auto"/>
              <w:bottom w:val="single" w:sz="4" w:space="0" w:color="auto"/>
              <w:right w:val="single" w:sz="4" w:space="0" w:color="auto"/>
            </w:tcBorders>
            <w:shd w:val="clear" w:color="000000" w:fill="FFFFFF"/>
            <w:vAlign w:val="center"/>
            <w:hideMark/>
          </w:tcPr>
          <w:p w14:paraId="1042CBAE" w14:textId="77777777" w:rsidR="003C3685" w:rsidRPr="003C3685" w:rsidRDefault="003C3685" w:rsidP="00D4319A">
            <w:pPr>
              <w:spacing w:after="0"/>
              <w:ind w:firstLine="0"/>
              <w:jc w:val="left"/>
              <w:rPr>
                <w:rFonts w:eastAsia="Times New Roman" w:cs="Times New Roman"/>
                <w:i/>
                <w:iCs/>
                <w:color w:val="000000"/>
                <w:sz w:val="20"/>
                <w:szCs w:val="20"/>
                <w:lang w:eastAsia="lv-LV"/>
              </w:rPr>
            </w:pPr>
            <w:r w:rsidRPr="003C3685">
              <w:rPr>
                <w:rFonts w:eastAsia="Times New Roman" w:cs="Times New Roman"/>
                <w:i/>
                <w:iCs/>
                <w:color w:val="000000"/>
                <w:sz w:val="20"/>
                <w:szCs w:val="20"/>
                <w:lang w:eastAsia="lv-LV"/>
              </w:rPr>
              <w:t>t.sk. atalgojums</w:t>
            </w:r>
          </w:p>
        </w:tc>
        <w:tc>
          <w:tcPr>
            <w:tcW w:w="1046" w:type="dxa"/>
            <w:tcBorders>
              <w:top w:val="nil"/>
              <w:left w:val="nil"/>
              <w:bottom w:val="single" w:sz="4" w:space="0" w:color="auto"/>
              <w:right w:val="single" w:sz="4" w:space="0" w:color="auto"/>
            </w:tcBorders>
            <w:shd w:val="clear" w:color="auto" w:fill="auto"/>
            <w:noWrap/>
            <w:vAlign w:val="bottom"/>
            <w:hideMark/>
          </w:tcPr>
          <w:p w14:paraId="6D8C9E56"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124 195</w:t>
            </w:r>
          </w:p>
        </w:tc>
        <w:tc>
          <w:tcPr>
            <w:tcW w:w="961" w:type="dxa"/>
            <w:tcBorders>
              <w:top w:val="nil"/>
              <w:left w:val="nil"/>
              <w:bottom w:val="single" w:sz="4" w:space="0" w:color="auto"/>
              <w:right w:val="single" w:sz="4" w:space="0" w:color="auto"/>
            </w:tcBorders>
            <w:shd w:val="clear" w:color="auto" w:fill="auto"/>
            <w:noWrap/>
            <w:vAlign w:val="bottom"/>
            <w:hideMark/>
          </w:tcPr>
          <w:p w14:paraId="46A33810"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133 639</w:t>
            </w:r>
          </w:p>
        </w:tc>
        <w:tc>
          <w:tcPr>
            <w:tcW w:w="1032" w:type="dxa"/>
            <w:tcBorders>
              <w:top w:val="nil"/>
              <w:left w:val="nil"/>
              <w:bottom w:val="single" w:sz="4" w:space="0" w:color="auto"/>
              <w:right w:val="single" w:sz="4" w:space="0" w:color="auto"/>
            </w:tcBorders>
            <w:shd w:val="clear" w:color="auto" w:fill="auto"/>
            <w:noWrap/>
            <w:vAlign w:val="bottom"/>
            <w:hideMark/>
          </w:tcPr>
          <w:p w14:paraId="7EAA8A29" w14:textId="77777777" w:rsidR="003C3685" w:rsidRPr="003C3685" w:rsidRDefault="006B2DC5" w:rsidP="00D4319A">
            <w:pPr>
              <w:spacing w:after="0"/>
              <w:ind w:firstLine="0"/>
              <w:jc w:val="right"/>
              <w:rPr>
                <w:rFonts w:eastAsia="Times New Roman" w:cs="Times New Roman"/>
                <w:sz w:val="20"/>
                <w:szCs w:val="20"/>
                <w:lang w:eastAsia="lv-LV"/>
              </w:rPr>
            </w:pPr>
            <w:r>
              <w:rPr>
                <w:rFonts w:eastAsia="Times New Roman" w:cs="Times New Roman"/>
                <w:sz w:val="20"/>
                <w:szCs w:val="20"/>
                <w:lang w:eastAsia="lv-LV"/>
              </w:rPr>
              <w:t>130 577</w:t>
            </w:r>
          </w:p>
        </w:tc>
        <w:tc>
          <w:tcPr>
            <w:tcW w:w="1094" w:type="dxa"/>
            <w:tcBorders>
              <w:top w:val="nil"/>
              <w:left w:val="nil"/>
              <w:bottom w:val="single" w:sz="4" w:space="0" w:color="auto"/>
              <w:right w:val="single" w:sz="4" w:space="0" w:color="auto"/>
            </w:tcBorders>
            <w:shd w:val="clear" w:color="000000" w:fill="FFFFFF"/>
            <w:vAlign w:val="bottom"/>
            <w:hideMark/>
          </w:tcPr>
          <w:p w14:paraId="6F834A9E"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6 382</w:t>
            </w:r>
          </w:p>
        </w:tc>
        <w:tc>
          <w:tcPr>
            <w:tcW w:w="970" w:type="dxa"/>
            <w:tcBorders>
              <w:top w:val="nil"/>
              <w:left w:val="nil"/>
              <w:bottom w:val="single" w:sz="4" w:space="0" w:color="auto"/>
              <w:right w:val="single" w:sz="4" w:space="0" w:color="auto"/>
            </w:tcBorders>
            <w:shd w:val="clear" w:color="000000" w:fill="FFFFFF"/>
            <w:vAlign w:val="bottom"/>
            <w:hideMark/>
          </w:tcPr>
          <w:p w14:paraId="1AD275D4"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-3 062</w:t>
            </w:r>
          </w:p>
        </w:tc>
        <w:tc>
          <w:tcPr>
            <w:tcW w:w="1151" w:type="dxa"/>
            <w:tcBorders>
              <w:top w:val="nil"/>
              <w:left w:val="nil"/>
              <w:bottom w:val="single" w:sz="4" w:space="0" w:color="auto"/>
              <w:right w:val="single" w:sz="4" w:space="0" w:color="auto"/>
            </w:tcBorders>
            <w:shd w:val="clear" w:color="000000" w:fill="FFFFFF"/>
            <w:vAlign w:val="bottom"/>
            <w:hideMark/>
          </w:tcPr>
          <w:p w14:paraId="16FF052F"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5,1</w:t>
            </w:r>
          </w:p>
        </w:tc>
        <w:tc>
          <w:tcPr>
            <w:tcW w:w="1127" w:type="dxa"/>
            <w:tcBorders>
              <w:top w:val="nil"/>
              <w:left w:val="nil"/>
              <w:bottom w:val="single" w:sz="4" w:space="0" w:color="auto"/>
              <w:right w:val="single" w:sz="4" w:space="0" w:color="auto"/>
            </w:tcBorders>
            <w:shd w:val="clear" w:color="000000" w:fill="FFFFFF"/>
            <w:vAlign w:val="bottom"/>
            <w:hideMark/>
          </w:tcPr>
          <w:p w14:paraId="50769445" w14:textId="77777777" w:rsidR="003C3685" w:rsidRPr="003C3685" w:rsidRDefault="006B2DC5" w:rsidP="00D4319A">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97,7</w:t>
            </w:r>
          </w:p>
        </w:tc>
      </w:tr>
    </w:tbl>
    <w:p w14:paraId="096D6AB2" w14:textId="77777777" w:rsidR="00C704E3" w:rsidRPr="00AA0E06" w:rsidRDefault="00C704E3" w:rsidP="00B87545">
      <w:pPr>
        <w:spacing w:after="0"/>
        <w:ind w:firstLine="0"/>
        <w:jc w:val="center"/>
        <w:rPr>
          <w:rFonts w:eastAsia="Times New Roman"/>
          <w:b/>
          <w:i/>
          <w:sz w:val="24"/>
          <w:szCs w:val="24"/>
          <w:lang w:eastAsia="lv-LV"/>
        </w:rPr>
      </w:pPr>
    </w:p>
    <w:p w14:paraId="45A2EE21" w14:textId="77777777" w:rsidR="008A3800" w:rsidRPr="001C1C52" w:rsidRDefault="008A3800" w:rsidP="008A3800">
      <w:pPr>
        <w:spacing w:after="0"/>
        <w:rPr>
          <w:rFonts w:eastAsia="Times New Roman"/>
          <w:sz w:val="24"/>
          <w:szCs w:val="24"/>
          <w:lang w:eastAsia="lv-LV"/>
        </w:rPr>
      </w:pPr>
      <w:r w:rsidRPr="001C1C52">
        <w:rPr>
          <w:rFonts w:eastAsia="Times New Roman"/>
          <w:sz w:val="24"/>
          <w:szCs w:val="24"/>
          <w:lang w:eastAsia="lv-LV"/>
        </w:rPr>
        <w:t xml:space="preserve">Valsts pamatbudžeta izdevumi pamatfunkciju īstenošanai 2015.gada pirmajā ceturksnī bija 1 043,4 milj. </w:t>
      </w:r>
      <w:r w:rsidRPr="001C1C52">
        <w:rPr>
          <w:rFonts w:eastAsia="Times New Roman"/>
          <w:i/>
          <w:sz w:val="24"/>
          <w:szCs w:val="24"/>
          <w:lang w:eastAsia="lv-LV"/>
        </w:rPr>
        <w:t>euro</w:t>
      </w:r>
      <w:r w:rsidRPr="001C1C52">
        <w:rPr>
          <w:rFonts w:eastAsia="Times New Roman"/>
          <w:sz w:val="24"/>
          <w:szCs w:val="24"/>
          <w:lang w:eastAsia="lv-LV"/>
        </w:rPr>
        <w:t xml:space="preserve">, kas ir par 66,2 milj. </w:t>
      </w:r>
      <w:r w:rsidRPr="001C1C52">
        <w:rPr>
          <w:rFonts w:eastAsia="Times New Roman"/>
          <w:i/>
          <w:sz w:val="24"/>
          <w:szCs w:val="24"/>
          <w:lang w:eastAsia="lv-LV"/>
        </w:rPr>
        <w:t>euro</w:t>
      </w:r>
      <w:r w:rsidRPr="001C1C52">
        <w:rPr>
          <w:rFonts w:eastAsia="Times New Roman"/>
          <w:sz w:val="24"/>
          <w:szCs w:val="24"/>
          <w:lang w:eastAsia="lv-LV"/>
        </w:rPr>
        <w:t xml:space="preserve"> jeb 6,8% vairāk nekā 2014.gada atbilstošajā periodā.</w:t>
      </w:r>
    </w:p>
    <w:p w14:paraId="16963C10" w14:textId="77777777" w:rsidR="008A3800" w:rsidRPr="001C1C52" w:rsidRDefault="008A3800" w:rsidP="00B87545">
      <w:pPr>
        <w:spacing w:after="0"/>
        <w:ind w:firstLine="0"/>
        <w:jc w:val="center"/>
        <w:rPr>
          <w:rFonts w:eastAsia="Times New Roman"/>
          <w:b/>
          <w:i/>
          <w:sz w:val="22"/>
          <w:szCs w:val="24"/>
          <w:lang w:eastAsia="lv-LV"/>
        </w:rPr>
      </w:pPr>
    </w:p>
    <w:p w14:paraId="1C8ADDA6" w14:textId="77777777" w:rsidR="008A3800" w:rsidRDefault="008A3800" w:rsidP="00B87545">
      <w:pPr>
        <w:spacing w:after="0"/>
        <w:ind w:firstLine="0"/>
        <w:jc w:val="center"/>
        <w:rPr>
          <w:rFonts w:eastAsia="Times New Roman"/>
          <w:b/>
          <w:i/>
          <w:szCs w:val="24"/>
          <w:lang w:eastAsia="lv-LV"/>
        </w:rPr>
      </w:pPr>
      <w:r>
        <w:rPr>
          <w:rFonts w:eastAsia="Times New Roman"/>
          <w:noProof/>
          <w:szCs w:val="24"/>
          <w:lang w:eastAsia="lv-LV"/>
        </w:rPr>
        <w:drawing>
          <wp:inline distT="0" distB="0" distL="0" distR="0" wp14:anchorId="68DDF274" wp14:editId="25AB3CC3">
            <wp:extent cx="5759319"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3613" cy="2802438"/>
                    </a:xfrm>
                    <a:prstGeom prst="rect">
                      <a:avLst/>
                    </a:prstGeom>
                    <a:noFill/>
                  </pic:spPr>
                </pic:pic>
              </a:graphicData>
            </a:graphic>
          </wp:inline>
        </w:drawing>
      </w:r>
    </w:p>
    <w:p w14:paraId="1665E6C0" w14:textId="77777777" w:rsidR="008A3800" w:rsidRPr="00EF354D" w:rsidRDefault="00234FC7" w:rsidP="008A3800">
      <w:pPr>
        <w:spacing w:before="120" w:after="0"/>
        <w:ind w:firstLine="0"/>
        <w:jc w:val="center"/>
        <w:rPr>
          <w:rFonts w:eastAsia="Times New Roman"/>
          <w:b/>
          <w:sz w:val="20"/>
          <w:szCs w:val="24"/>
          <w:lang w:eastAsia="lv-LV"/>
        </w:rPr>
      </w:pPr>
      <w:r w:rsidRPr="00EF354D">
        <w:rPr>
          <w:rFonts w:eastAsia="Times New Roman"/>
          <w:b/>
          <w:sz w:val="20"/>
          <w:szCs w:val="24"/>
          <w:lang w:eastAsia="lv-LV"/>
        </w:rPr>
        <w:t>2.13</w:t>
      </w:r>
      <w:r w:rsidR="008A3800" w:rsidRPr="00EF354D">
        <w:rPr>
          <w:rFonts w:eastAsia="Times New Roman"/>
          <w:b/>
          <w:sz w:val="20"/>
          <w:szCs w:val="24"/>
          <w:lang w:eastAsia="lv-LV"/>
        </w:rPr>
        <w:t>.</w:t>
      </w:r>
      <w:r w:rsidR="00EF3CFC" w:rsidRPr="00EF354D">
        <w:rPr>
          <w:sz w:val="22"/>
        </w:rPr>
        <w:t> </w:t>
      </w:r>
      <w:r w:rsidR="008A3800" w:rsidRPr="00EF354D">
        <w:rPr>
          <w:rFonts w:eastAsia="Times New Roman"/>
          <w:b/>
          <w:sz w:val="20"/>
          <w:szCs w:val="24"/>
          <w:lang w:eastAsia="lv-LV"/>
        </w:rPr>
        <w:t>att. Izdevumi pamatfunkciju īstenošanai atbilstoši ekonomiskajai klasifikācijai, milj. euro un % izmaiņas pret iepriekšējā gada attiecīgo periodu</w:t>
      </w:r>
    </w:p>
    <w:p w14:paraId="5E520520" w14:textId="77777777" w:rsidR="008A3800" w:rsidRPr="00AA0E06" w:rsidRDefault="008A3800" w:rsidP="00AA0E06">
      <w:pPr>
        <w:spacing w:after="0"/>
        <w:ind w:firstLine="0"/>
        <w:rPr>
          <w:rFonts w:eastAsia="Times New Roman"/>
          <w:b/>
          <w:i/>
          <w:sz w:val="24"/>
          <w:szCs w:val="24"/>
          <w:lang w:eastAsia="lv-LV"/>
        </w:rPr>
      </w:pPr>
    </w:p>
    <w:p w14:paraId="0B9B915E" w14:textId="77777777" w:rsidR="008A3800" w:rsidRPr="001C1C52" w:rsidRDefault="008A3800" w:rsidP="00AA0E06">
      <w:pPr>
        <w:rPr>
          <w:rFonts w:eastAsia="Times New Roman"/>
          <w:sz w:val="24"/>
          <w:szCs w:val="24"/>
          <w:lang w:eastAsia="lv-LV"/>
        </w:rPr>
      </w:pPr>
      <w:r w:rsidRPr="001C1C52">
        <w:rPr>
          <w:rFonts w:eastAsia="Times New Roman"/>
          <w:sz w:val="24"/>
          <w:szCs w:val="24"/>
          <w:lang w:eastAsia="lv-LV"/>
        </w:rPr>
        <w:t>Lielākā daļa izdevumu pamatfunkciju īstenošanai 2015.gada pirmajā ceturksnī tika veikti ekonomiskās klasifikācijas kodā – uzturēšanās izdevumu transferti (19,7%) un subsīdijas un dotācijas (19,4%), savukārt vismazākā daļa izdevumu pamatfunkciju īstenošanai tika veikti kapitālajiem izdevumiem (0,8%).</w:t>
      </w:r>
    </w:p>
    <w:p w14:paraId="6A247679" w14:textId="77777777" w:rsidR="00234FC7" w:rsidRPr="00EF354D" w:rsidRDefault="00234FC7" w:rsidP="00234FC7">
      <w:pPr>
        <w:spacing w:after="0"/>
        <w:ind w:firstLine="0"/>
        <w:jc w:val="right"/>
        <w:rPr>
          <w:rFonts w:eastAsia="Times New Roman"/>
          <w:b/>
          <w:sz w:val="20"/>
          <w:szCs w:val="24"/>
          <w:lang w:eastAsia="lv-LV"/>
        </w:rPr>
      </w:pPr>
      <w:r w:rsidRPr="00EF354D">
        <w:rPr>
          <w:rFonts w:eastAsia="Times New Roman"/>
          <w:b/>
          <w:sz w:val="20"/>
          <w:szCs w:val="24"/>
          <w:lang w:eastAsia="lv-LV"/>
        </w:rPr>
        <w:t>2.8</w:t>
      </w:r>
      <w:r w:rsidR="00E30F4B" w:rsidRPr="00EF354D">
        <w:rPr>
          <w:rFonts w:eastAsia="Times New Roman"/>
          <w:b/>
          <w:sz w:val="20"/>
          <w:szCs w:val="24"/>
          <w:lang w:eastAsia="lv-LV"/>
        </w:rPr>
        <w:t xml:space="preserve">. tabula. </w:t>
      </w:r>
      <w:r w:rsidR="009115CF" w:rsidRPr="00EF354D">
        <w:rPr>
          <w:rFonts w:eastAsia="Times New Roman"/>
          <w:b/>
          <w:sz w:val="20"/>
          <w:szCs w:val="24"/>
          <w:lang w:eastAsia="lv-LV"/>
        </w:rPr>
        <w:t xml:space="preserve">Eiropas Savienības politiku instrumentu un pārējās ārvalstu finanšu </w:t>
      </w:r>
    </w:p>
    <w:p w14:paraId="13E1EA0F" w14:textId="77777777" w:rsidR="0003106A" w:rsidRPr="00EF354D" w:rsidRDefault="009115CF" w:rsidP="00234FC7">
      <w:pPr>
        <w:ind w:firstLine="0"/>
        <w:jc w:val="right"/>
        <w:rPr>
          <w:rFonts w:eastAsia="Times New Roman"/>
          <w:sz w:val="20"/>
          <w:szCs w:val="24"/>
          <w:lang w:eastAsia="lv-LV"/>
        </w:rPr>
      </w:pPr>
      <w:r w:rsidRPr="00EF354D">
        <w:rPr>
          <w:rFonts w:eastAsia="Times New Roman"/>
          <w:b/>
          <w:sz w:val="20"/>
          <w:szCs w:val="24"/>
          <w:lang w:eastAsia="lv-LV"/>
        </w:rPr>
        <w:t>palīdzības līdzfinansēto un finansēto projektu un pasākumu īstenošana</w:t>
      </w:r>
    </w:p>
    <w:tbl>
      <w:tblPr>
        <w:tblW w:w="9655" w:type="dxa"/>
        <w:jc w:val="center"/>
        <w:tblLayout w:type="fixed"/>
        <w:tblLook w:val="04A0" w:firstRow="1" w:lastRow="0" w:firstColumn="1" w:lastColumn="0" w:noHBand="0" w:noVBand="1"/>
      </w:tblPr>
      <w:tblGrid>
        <w:gridCol w:w="2405"/>
        <w:gridCol w:w="992"/>
        <w:gridCol w:w="961"/>
        <w:gridCol w:w="972"/>
        <w:gridCol w:w="1044"/>
        <w:gridCol w:w="1044"/>
        <w:gridCol w:w="1082"/>
        <w:gridCol w:w="1155"/>
      </w:tblGrid>
      <w:tr w:rsidR="009B20E0" w:rsidRPr="003C3685" w14:paraId="02CB2074" w14:textId="77777777" w:rsidTr="009D14C4">
        <w:trPr>
          <w:trHeight w:val="1987"/>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CFCB7"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Finansiālie rādītāji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4D7EC52"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2014.</w:t>
            </w:r>
            <w:r>
              <w:rPr>
                <w:rFonts w:eastAsia="Times New Roman" w:cs="Times New Roman"/>
                <w:color w:val="000000"/>
                <w:sz w:val="18"/>
                <w:szCs w:val="18"/>
                <w:lang w:eastAsia="lv-LV"/>
              </w:rPr>
              <w:t>gada 3 mēnešu izpilde</w:t>
            </w:r>
            <w:r>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961" w:type="dxa"/>
            <w:tcBorders>
              <w:top w:val="single" w:sz="4" w:space="0" w:color="auto"/>
              <w:left w:val="nil"/>
              <w:bottom w:val="single" w:sz="4" w:space="0" w:color="auto"/>
              <w:right w:val="single" w:sz="4" w:space="0" w:color="auto"/>
            </w:tcBorders>
            <w:shd w:val="clear" w:color="000000" w:fill="FFFFFF"/>
            <w:vAlign w:val="center"/>
            <w:hideMark/>
          </w:tcPr>
          <w:p w14:paraId="0A91D897"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w:t>
            </w:r>
            <w:r>
              <w:rPr>
                <w:rFonts w:eastAsia="Times New Roman" w:cs="Times New Roman"/>
                <w:color w:val="000000"/>
                <w:sz w:val="18"/>
                <w:szCs w:val="18"/>
                <w:lang w:eastAsia="lv-LV"/>
              </w:rPr>
              <w:t>.gada 3 mēnešu plāns</w:t>
            </w:r>
            <w:r>
              <w:rPr>
                <w:rFonts w:eastAsia="Times New Roman" w:cs="Times New Roman"/>
                <w:color w:val="000000"/>
                <w:sz w:val="18"/>
                <w:szCs w:val="18"/>
                <w:lang w:eastAsia="lv-LV"/>
              </w:rPr>
              <w:br/>
              <w:t>(tūkst.</w:t>
            </w:r>
            <w:r w:rsidRPr="00AA0E06">
              <w:rPr>
                <w:rFonts w:eastAsia="Times New Roman" w:cs="Times New Roman"/>
                <w:i/>
                <w:iCs/>
                <w:color w:val="000000"/>
                <w:sz w:val="18"/>
                <w:szCs w:val="18"/>
                <w:lang w:eastAsia="lv-LV"/>
              </w:rPr>
              <w:t xml:space="preserve"> euro</w:t>
            </w:r>
            <w:r w:rsidRPr="00AA0E06">
              <w:rPr>
                <w:rFonts w:eastAsia="Times New Roman" w:cs="Times New Roman"/>
                <w:color w:val="000000"/>
                <w:sz w:val="18"/>
                <w:szCs w:val="18"/>
                <w:lang w:eastAsia="lv-LV"/>
              </w:rPr>
              <w:t>)</w:t>
            </w:r>
          </w:p>
        </w:tc>
        <w:tc>
          <w:tcPr>
            <w:tcW w:w="972" w:type="dxa"/>
            <w:tcBorders>
              <w:top w:val="single" w:sz="4" w:space="0" w:color="auto"/>
              <w:left w:val="nil"/>
              <w:bottom w:val="single" w:sz="4" w:space="0" w:color="auto"/>
              <w:right w:val="single" w:sz="4" w:space="0" w:color="auto"/>
            </w:tcBorders>
            <w:shd w:val="clear" w:color="000000" w:fill="FFFFFF"/>
            <w:vAlign w:val="center"/>
            <w:hideMark/>
          </w:tcPr>
          <w:p w14:paraId="182EC152"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w:t>
            </w:r>
            <w:r>
              <w:rPr>
                <w:rFonts w:eastAsia="Times New Roman" w:cs="Times New Roman"/>
                <w:color w:val="000000"/>
                <w:sz w:val="18"/>
                <w:szCs w:val="18"/>
                <w:lang w:eastAsia="lv-LV"/>
              </w:rPr>
              <w:t>gada 3 mēnešu izpilde</w:t>
            </w:r>
            <w:r>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14:paraId="54BB1D90"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2015.gada 3 mēnešu izpildes izmaiņas  pret 2014.gada 3 mēn</w:t>
            </w:r>
            <w:r>
              <w:rPr>
                <w:rFonts w:eastAsia="Times New Roman" w:cs="Times New Roman"/>
                <w:color w:val="000000"/>
                <w:sz w:val="18"/>
                <w:szCs w:val="18"/>
                <w:lang w:eastAsia="lv-LV"/>
              </w:rPr>
              <w:t>ešu izpildi</w:t>
            </w:r>
            <w:r>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1044" w:type="dxa"/>
            <w:tcBorders>
              <w:top w:val="single" w:sz="4" w:space="0" w:color="auto"/>
              <w:left w:val="nil"/>
              <w:bottom w:val="single" w:sz="4" w:space="0" w:color="auto"/>
              <w:right w:val="single" w:sz="4" w:space="0" w:color="auto"/>
            </w:tcBorders>
            <w:shd w:val="clear" w:color="000000" w:fill="FFFFFF"/>
            <w:vAlign w:val="center"/>
            <w:hideMark/>
          </w:tcPr>
          <w:p w14:paraId="2969EEB0"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2015.gada 3 mēnešu izpilde  pret 2015</w:t>
            </w:r>
            <w:r>
              <w:rPr>
                <w:rFonts w:eastAsia="Times New Roman" w:cs="Times New Roman"/>
                <w:color w:val="000000"/>
                <w:sz w:val="18"/>
                <w:szCs w:val="18"/>
                <w:lang w:eastAsia="lv-LV"/>
              </w:rPr>
              <w:t>.gada 3 mēnešu plānu</w:t>
            </w:r>
            <w:r>
              <w:rPr>
                <w:rFonts w:eastAsia="Times New Roman" w:cs="Times New Roman"/>
                <w:color w:val="000000"/>
                <w:sz w:val="18"/>
                <w:szCs w:val="18"/>
                <w:lang w:eastAsia="lv-LV"/>
              </w:rPr>
              <w:br/>
              <w:t>(tūkst.</w:t>
            </w:r>
            <w:r w:rsidRPr="00AA0E06">
              <w:rPr>
                <w:rFonts w:eastAsia="Times New Roman" w:cs="Times New Roman"/>
                <w:color w:val="000000"/>
                <w:sz w:val="18"/>
                <w:szCs w:val="18"/>
                <w:lang w:eastAsia="lv-LV"/>
              </w:rPr>
              <w:t xml:space="preserve"> </w:t>
            </w:r>
            <w:r w:rsidRPr="00AA0E06">
              <w:rPr>
                <w:rFonts w:eastAsia="Times New Roman" w:cs="Times New Roman"/>
                <w:i/>
                <w:iCs/>
                <w:color w:val="000000"/>
                <w:sz w:val="18"/>
                <w:szCs w:val="18"/>
                <w:lang w:eastAsia="lv-LV"/>
              </w:rPr>
              <w:t>euro</w:t>
            </w:r>
            <w:r w:rsidRPr="00AA0E06">
              <w:rPr>
                <w:rFonts w:eastAsia="Times New Roman" w:cs="Times New Roman"/>
                <w:color w:val="000000"/>
                <w:sz w:val="18"/>
                <w:szCs w:val="18"/>
                <w:lang w:eastAsia="lv-LV"/>
              </w:rPr>
              <w:t>)</w:t>
            </w:r>
          </w:p>
        </w:tc>
        <w:tc>
          <w:tcPr>
            <w:tcW w:w="1082" w:type="dxa"/>
            <w:tcBorders>
              <w:top w:val="single" w:sz="4" w:space="0" w:color="auto"/>
              <w:left w:val="nil"/>
              <w:bottom w:val="single" w:sz="4" w:space="0" w:color="auto"/>
              <w:right w:val="single" w:sz="4" w:space="0" w:color="auto"/>
            </w:tcBorders>
            <w:shd w:val="clear" w:color="000000" w:fill="FFFFFF"/>
            <w:vAlign w:val="center"/>
            <w:hideMark/>
          </w:tcPr>
          <w:p w14:paraId="5FF69374"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2015.gada 3 mēnešu izpildes izmaiņas pret 2014.</w:t>
            </w:r>
            <w:r>
              <w:rPr>
                <w:rFonts w:eastAsia="Times New Roman" w:cs="Times New Roman"/>
                <w:color w:val="000000"/>
                <w:sz w:val="18"/>
                <w:szCs w:val="18"/>
                <w:lang w:eastAsia="lv-LV"/>
              </w:rPr>
              <w:t>gada 3 mēnešu izpildi</w:t>
            </w:r>
            <w:r>
              <w:rPr>
                <w:rFonts w:eastAsia="Times New Roman" w:cs="Times New Roman"/>
                <w:color w:val="000000"/>
                <w:sz w:val="18"/>
                <w:szCs w:val="18"/>
                <w:lang w:eastAsia="lv-LV"/>
              </w:rPr>
              <w:br/>
              <w:t>(%</w:t>
            </w:r>
            <w:r w:rsidRPr="00AA0E06">
              <w:rPr>
                <w:rFonts w:eastAsia="Times New Roman" w:cs="Times New Roman"/>
                <w:color w:val="000000"/>
                <w:sz w:val="18"/>
                <w:szCs w:val="18"/>
                <w:lang w:eastAsia="lv-LV"/>
              </w:rPr>
              <w:t>)</w:t>
            </w:r>
          </w:p>
        </w:tc>
        <w:tc>
          <w:tcPr>
            <w:tcW w:w="1155" w:type="dxa"/>
            <w:tcBorders>
              <w:top w:val="single" w:sz="4" w:space="0" w:color="auto"/>
              <w:left w:val="nil"/>
              <w:bottom w:val="single" w:sz="4" w:space="0" w:color="auto"/>
              <w:right w:val="single" w:sz="4" w:space="0" w:color="auto"/>
            </w:tcBorders>
            <w:shd w:val="clear" w:color="000000" w:fill="FFFFFF"/>
            <w:vAlign w:val="center"/>
            <w:hideMark/>
          </w:tcPr>
          <w:p w14:paraId="1183A7DA" w14:textId="77777777" w:rsidR="009B20E0" w:rsidRPr="00AA0E06" w:rsidRDefault="009B20E0" w:rsidP="009B20E0">
            <w:pPr>
              <w:spacing w:after="0"/>
              <w:ind w:firstLine="0"/>
              <w:jc w:val="center"/>
              <w:rPr>
                <w:rFonts w:eastAsia="Times New Roman" w:cs="Times New Roman"/>
                <w:color w:val="000000"/>
                <w:sz w:val="18"/>
                <w:szCs w:val="18"/>
                <w:lang w:eastAsia="lv-LV"/>
              </w:rPr>
            </w:pPr>
            <w:r w:rsidRPr="00AA0E06">
              <w:rPr>
                <w:rFonts w:eastAsia="Times New Roman" w:cs="Times New Roman"/>
                <w:color w:val="000000"/>
                <w:sz w:val="18"/>
                <w:szCs w:val="18"/>
                <w:lang w:eastAsia="lv-LV"/>
              </w:rPr>
              <w:t>2015.gada 3 mēnešu izpilde no 2015</w:t>
            </w:r>
            <w:r>
              <w:rPr>
                <w:rFonts w:eastAsia="Times New Roman" w:cs="Times New Roman"/>
                <w:color w:val="000000"/>
                <w:sz w:val="18"/>
                <w:szCs w:val="18"/>
                <w:lang w:eastAsia="lv-LV"/>
              </w:rPr>
              <w:t>.gada 3 mēnešu plāna</w:t>
            </w:r>
            <w:r>
              <w:rPr>
                <w:rFonts w:eastAsia="Times New Roman" w:cs="Times New Roman"/>
                <w:color w:val="000000"/>
                <w:sz w:val="18"/>
                <w:szCs w:val="18"/>
                <w:lang w:eastAsia="lv-LV"/>
              </w:rPr>
              <w:br/>
              <w:t>(%</w:t>
            </w:r>
            <w:r w:rsidRPr="00AA0E06">
              <w:rPr>
                <w:rFonts w:eastAsia="Times New Roman" w:cs="Times New Roman"/>
                <w:color w:val="000000"/>
                <w:sz w:val="18"/>
                <w:szCs w:val="18"/>
                <w:lang w:eastAsia="lv-LV"/>
              </w:rPr>
              <w:t>)</w:t>
            </w:r>
          </w:p>
        </w:tc>
      </w:tr>
      <w:tr w:rsidR="009B20E0" w:rsidRPr="009D14C4" w14:paraId="0E5087E2" w14:textId="77777777" w:rsidTr="009D14C4">
        <w:trPr>
          <w:trHeight w:val="201"/>
          <w:tblHeader/>
          <w:jc w:val="center"/>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5A8B5D7" w14:textId="77777777" w:rsidR="009B20E0" w:rsidRPr="009D14C4" w:rsidRDefault="009B20E0" w:rsidP="009B20E0">
            <w:pPr>
              <w:spacing w:after="0"/>
              <w:ind w:firstLine="0"/>
              <w:jc w:val="center"/>
              <w:rPr>
                <w:rFonts w:eastAsia="Times New Roman" w:cs="Times New Roman"/>
                <w:i/>
                <w:color w:val="000000"/>
                <w:sz w:val="16"/>
                <w:szCs w:val="20"/>
                <w:lang w:eastAsia="lv-LV"/>
              </w:rPr>
            </w:pPr>
            <w:r w:rsidRPr="009D14C4">
              <w:rPr>
                <w:rFonts w:eastAsia="Times New Roman" w:cs="Times New Roman"/>
                <w:i/>
                <w:color w:val="000000"/>
                <w:sz w:val="16"/>
                <w:szCs w:val="20"/>
                <w:lang w:eastAsia="lv-LV"/>
              </w:rPr>
              <w:t>1</w:t>
            </w:r>
          </w:p>
        </w:tc>
        <w:tc>
          <w:tcPr>
            <w:tcW w:w="992" w:type="dxa"/>
            <w:tcBorders>
              <w:top w:val="nil"/>
              <w:left w:val="nil"/>
              <w:bottom w:val="single" w:sz="4" w:space="0" w:color="auto"/>
              <w:right w:val="single" w:sz="4" w:space="0" w:color="auto"/>
            </w:tcBorders>
            <w:shd w:val="clear" w:color="000000" w:fill="FFFFFF"/>
            <w:vAlign w:val="center"/>
            <w:hideMark/>
          </w:tcPr>
          <w:p w14:paraId="7454DFAF" w14:textId="77777777" w:rsidR="009B20E0" w:rsidRPr="009D14C4" w:rsidRDefault="009B20E0" w:rsidP="009B20E0">
            <w:pPr>
              <w:spacing w:after="0"/>
              <w:ind w:firstLine="0"/>
              <w:jc w:val="center"/>
              <w:rPr>
                <w:rFonts w:eastAsia="Times New Roman" w:cs="Times New Roman"/>
                <w:i/>
                <w:color w:val="000000"/>
                <w:sz w:val="16"/>
                <w:szCs w:val="20"/>
                <w:lang w:eastAsia="lv-LV"/>
              </w:rPr>
            </w:pPr>
            <w:r w:rsidRPr="009D14C4">
              <w:rPr>
                <w:rFonts w:eastAsia="Times New Roman" w:cs="Times New Roman"/>
                <w:i/>
                <w:color w:val="000000"/>
                <w:sz w:val="16"/>
                <w:szCs w:val="20"/>
                <w:lang w:eastAsia="lv-LV"/>
              </w:rPr>
              <w:t>2</w:t>
            </w:r>
          </w:p>
        </w:tc>
        <w:tc>
          <w:tcPr>
            <w:tcW w:w="961" w:type="dxa"/>
            <w:tcBorders>
              <w:top w:val="nil"/>
              <w:left w:val="nil"/>
              <w:bottom w:val="single" w:sz="4" w:space="0" w:color="auto"/>
              <w:right w:val="single" w:sz="4" w:space="0" w:color="auto"/>
            </w:tcBorders>
            <w:shd w:val="clear" w:color="000000" w:fill="FFFFFF"/>
            <w:vAlign w:val="center"/>
            <w:hideMark/>
          </w:tcPr>
          <w:p w14:paraId="7716209A" w14:textId="77777777" w:rsidR="009B20E0" w:rsidRPr="009D14C4" w:rsidRDefault="009B20E0" w:rsidP="009B20E0">
            <w:pPr>
              <w:spacing w:after="0"/>
              <w:ind w:firstLine="0"/>
              <w:jc w:val="center"/>
              <w:rPr>
                <w:rFonts w:eastAsia="Times New Roman" w:cs="Times New Roman"/>
                <w:i/>
                <w:color w:val="000000"/>
                <w:sz w:val="16"/>
                <w:szCs w:val="20"/>
                <w:lang w:eastAsia="lv-LV"/>
              </w:rPr>
            </w:pPr>
            <w:r w:rsidRPr="009D14C4">
              <w:rPr>
                <w:rFonts w:eastAsia="Times New Roman" w:cs="Times New Roman"/>
                <w:i/>
                <w:color w:val="000000"/>
                <w:sz w:val="16"/>
                <w:szCs w:val="20"/>
                <w:lang w:eastAsia="lv-LV"/>
              </w:rPr>
              <w:t>3</w:t>
            </w:r>
          </w:p>
        </w:tc>
        <w:tc>
          <w:tcPr>
            <w:tcW w:w="972" w:type="dxa"/>
            <w:tcBorders>
              <w:top w:val="nil"/>
              <w:left w:val="nil"/>
              <w:bottom w:val="single" w:sz="4" w:space="0" w:color="auto"/>
              <w:right w:val="single" w:sz="4" w:space="0" w:color="auto"/>
            </w:tcBorders>
            <w:shd w:val="clear" w:color="000000" w:fill="FFFFFF"/>
            <w:vAlign w:val="center"/>
            <w:hideMark/>
          </w:tcPr>
          <w:p w14:paraId="26EDA0AB" w14:textId="77777777" w:rsidR="009B20E0" w:rsidRPr="009D14C4" w:rsidRDefault="009B20E0" w:rsidP="009B20E0">
            <w:pPr>
              <w:spacing w:after="0"/>
              <w:ind w:firstLine="0"/>
              <w:jc w:val="center"/>
              <w:rPr>
                <w:rFonts w:eastAsia="Times New Roman" w:cs="Times New Roman"/>
                <w:i/>
                <w:color w:val="000000"/>
                <w:sz w:val="16"/>
                <w:szCs w:val="20"/>
                <w:lang w:eastAsia="lv-LV"/>
              </w:rPr>
            </w:pPr>
            <w:r w:rsidRPr="009D14C4">
              <w:rPr>
                <w:rFonts w:eastAsia="Times New Roman" w:cs="Times New Roman"/>
                <w:i/>
                <w:color w:val="000000"/>
                <w:sz w:val="16"/>
                <w:szCs w:val="20"/>
                <w:lang w:eastAsia="lv-LV"/>
              </w:rPr>
              <w:t>4</w:t>
            </w:r>
          </w:p>
        </w:tc>
        <w:tc>
          <w:tcPr>
            <w:tcW w:w="1044" w:type="dxa"/>
            <w:tcBorders>
              <w:top w:val="nil"/>
              <w:left w:val="nil"/>
              <w:bottom w:val="single" w:sz="4" w:space="0" w:color="auto"/>
              <w:right w:val="single" w:sz="4" w:space="0" w:color="auto"/>
            </w:tcBorders>
            <w:shd w:val="clear" w:color="auto" w:fill="auto"/>
            <w:vAlign w:val="center"/>
            <w:hideMark/>
          </w:tcPr>
          <w:p w14:paraId="0539892E" w14:textId="77777777" w:rsidR="009B20E0" w:rsidRPr="009D14C4" w:rsidRDefault="009B20E0" w:rsidP="009B20E0">
            <w:pPr>
              <w:spacing w:after="0"/>
              <w:ind w:firstLine="0"/>
              <w:jc w:val="center"/>
              <w:rPr>
                <w:rFonts w:eastAsia="Times New Roman" w:cs="Times New Roman"/>
                <w:i/>
                <w:color w:val="000000"/>
                <w:sz w:val="16"/>
                <w:szCs w:val="20"/>
                <w:lang w:eastAsia="lv-LV"/>
              </w:rPr>
            </w:pPr>
            <w:r w:rsidRPr="009D14C4">
              <w:rPr>
                <w:rFonts w:eastAsia="Times New Roman" w:cs="Times New Roman"/>
                <w:i/>
                <w:color w:val="000000"/>
                <w:sz w:val="16"/>
                <w:szCs w:val="20"/>
                <w:lang w:eastAsia="lv-LV"/>
              </w:rPr>
              <w:t>5 = 4-2</w:t>
            </w:r>
          </w:p>
        </w:tc>
        <w:tc>
          <w:tcPr>
            <w:tcW w:w="1044" w:type="dxa"/>
            <w:tcBorders>
              <w:top w:val="nil"/>
              <w:left w:val="nil"/>
              <w:bottom w:val="single" w:sz="4" w:space="0" w:color="auto"/>
              <w:right w:val="single" w:sz="4" w:space="0" w:color="auto"/>
            </w:tcBorders>
            <w:shd w:val="clear" w:color="auto" w:fill="auto"/>
            <w:vAlign w:val="center"/>
            <w:hideMark/>
          </w:tcPr>
          <w:p w14:paraId="0B506103" w14:textId="77777777" w:rsidR="009B20E0" w:rsidRPr="009D14C4" w:rsidRDefault="009B20E0" w:rsidP="009B20E0">
            <w:pPr>
              <w:spacing w:after="0"/>
              <w:ind w:firstLine="0"/>
              <w:jc w:val="center"/>
              <w:rPr>
                <w:rFonts w:eastAsia="Times New Roman" w:cs="Times New Roman"/>
                <w:i/>
                <w:color w:val="000000"/>
                <w:sz w:val="16"/>
                <w:szCs w:val="20"/>
                <w:lang w:eastAsia="lv-LV"/>
              </w:rPr>
            </w:pPr>
            <w:r w:rsidRPr="009D14C4">
              <w:rPr>
                <w:rFonts w:eastAsia="Times New Roman" w:cs="Times New Roman"/>
                <w:i/>
                <w:color w:val="000000"/>
                <w:sz w:val="16"/>
                <w:szCs w:val="20"/>
                <w:lang w:eastAsia="lv-LV"/>
              </w:rPr>
              <w:t>6=4-3</w:t>
            </w:r>
          </w:p>
        </w:tc>
        <w:tc>
          <w:tcPr>
            <w:tcW w:w="1082" w:type="dxa"/>
            <w:tcBorders>
              <w:top w:val="nil"/>
              <w:left w:val="nil"/>
              <w:bottom w:val="single" w:sz="4" w:space="0" w:color="auto"/>
              <w:right w:val="single" w:sz="4" w:space="0" w:color="auto"/>
            </w:tcBorders>
            <w:shd w:val="clear" w:color="auto" w:fill="auto"/>
            <w:vAlign w:val="center"/>
            <w:hideMark/>
          </w:tcPr>
          <w:p w14:paraId="25A66584" w14:textId="77777777" w:rsidR="009B20E0" w:rsidRPr="009D14C4" w:rsidRDefault="009B20E0" w:rsidP="009D14C4">
            <w:pPr>
              <w:spacing w:after="0"/>
              <w:ind w:left="-160" w:right="-108" w:firstLine="0"/>
              <w:jc w:val="center"/>
              <w:rPr>
                <w:rFonts w:eastAsia="Times New Roman" w:cs="Times New Roman"/>
                <w:i/>
                <w:color w:val="000000"/>
                <w:sz w:val="16"/>
                <w:szCs w:val="20"/>
                <w:lang w:eastAsia="lv-LV"/>
              </w:rPr>
            </w:pPr>
            <w:r w:rsidRPr="009D14C4">
              <w:rPr>
                <w:rFonts w:eastAsia="Times New Roman" w:cs="Times New Roman"/>
                <w:i/>
                <w:color w:val="000000"/>
                <w:sz w:val="16"/>
                <w:szCs w:val="20"/>
                <w:lang w:eastAsia="lv-LV"/>
              </w:rPr>
              <w:t>7=4/2*100-100</w:t>
            </w:r>
          </w:p>
        </w:tc>
        <w:tc>
          <w:tcPr>
            <w:tcW w:w="1155" w:type="dxa"/>
            <w:tcBorders>
              <w:top w:val="nil"/>
              <w:left w:val="nil"/>
              <w:bottom w:val="single" w:sz="4" w:space="0" w:color="auto"/>
              <w:right w:val="single" w:sz="4" w:space="0" w:color="auto"/>
            </w:tcBorders>
            <w:shd w:val="clear" w:color="auto" w:fill="auto"/>
            <w:vAlign w:val="center"/>
            <w:hideMark/>
          </w:tcPr>
          <w:p w14:paraId="7B913FFB" w14:textId="77777777" w:rsidR="009B20E0" w:rsidRPr="009D14C4" w:rsidRDefault="009B20E0" w:rsidP="009B20E0">
            <w:pPr>
              <w:spacing w:after="0"/>
              <w:ind w:firstLine="0"/>
              <w:jc w:val="center"/>
              <w:rPr>
                <w:rFonts w:eastAsia="Times New Roman" w:cs="Times New Roman"/>
                <w:i/>
                <w:color w:val="000000"/>
                <w:sz w:val="16"/>
                <w:szCs w:val="20"/>
                <w:lang w:eastAsia="lv-LV"/>
              </w:rPr>
            </w:pPr>
            <w:r w:rsidRPr="009D14C4">
              <w:rPr>
                <w:rFonts w:eastAsia="Times New Roman" w:cs="Times New Roman"/>
                <w:i/>
                <w:color w:val="000000"/>
                <w:sz w:val="16"/>
                <w:szCs w:val="20"/>
                <w:lang w:eastAsia="lv-LV"/>
              </w:rPr>
              <w:t>8=4/3*100</w:t>
            </w:r>
          </w:p>
        </w:tc>
      </w:tr>
      <w:tr w:rsidR="009B20E0" w:rsidRPr="003C3685" w14:paraId="47F14602" w14:textId="77777777" w:rsidTr="00DF2E99">
        <w:trPr>
          <w:trHeight w:val="264"/>
          <w:jc w:val="center"/>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2799AC7" w14:textId="77777777" w:rsidR="009B20E0" w:rsidRPr="003C3685" w:rsidRDefault="009B20E0" w:rsidP="009B20E0">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Resursi izdevumu segšanai</w:t>
            </w:r>
          </w:p>
        </w:tc>
        <w:tc>
          <w:tcPr>
            <w:tcW w:w="992" w:type="dxa"/>
            <w:tcBorders>
              <w:top w:val="nil"/>
              <w:left w:val="nil"/>
              <w:bottom w:val="single" w:sz="4" w:space="0" w:color="auto"/>
              <w:right w:val="single" w:sz="4" w:space="0" w:color="auto"/>
            </w:tcBorders>
            <w:shd w:val="clear" w:color="auto" w:fill="auto"/>
            <w:noWrap/>
            <w:vAlign w:val="bottom"/>
            <w:hideMark/>
          </w:tcPr>
          <w:p w14:paraId="4E33AE8A" w14:textId="77777777" w:rsidR="009B20E0" w:rsidRPr="003C3685" w:rsidRDefault="009B20E0" w:rsidP="009B20E0">
            <w:pPr>
              <w:spacing w:after="0"/>
              <w:ind w:firstLine="0"/>
              <w:jc w:val="right"/>
              <w:rPr>
                <w:rFonts w:eastAsia="Times New Roman" w:cs="Times New Roman"/>
                <w:b/>
                <w:bCs/>
                <w:sz w:val="20"/>
                <w:szCs w:val="20"/>
                <w:lang w:eastAsia="lv-LV"/>
              </w:rPr>
            </w:pPr>
            <w:r>
              <w:rPr>
                <w:rFonts w:eastAsia="Times New Roman" w:cs="Times New Roman"/>
                <w:b/>
                <w:bCs/>
                <w:sz w:val="20"/>
                <w:szCs w:val="20"/>
                <w:lang w:eastAsia="lv-LV"/>
              </w:rPr>
              <w:t>260 353</w:t>
            </w:r>
          </w:p>
        </w:tc>
        <w:tc>
          <w:tcPr>
            <w:tcW w:w="961" w:type="dxa"/>
            <w:tcBorders>
              <w:top w:val="nil"/>
              <w:left w:val="nil"/>
              <w:bottom w:val="single" w:sz="4" w:space="0" w:color="auto"/>
              <w:right w:val="single" w:sz="4" w:space="0" w:color="auto"/>
            </w:tcBorders>
            <w:shd w:val="clear" w:color="auto" w:fill="auto"/>
            <w:noWrap/>
            <w:vAlign w:val="bottom"/>
            <w:hideMark/>
          </w:tcPr>
          <w:p w14:paraId="2FBBD3B4" w14:textId="77777777" w:rsidR="009B20E0" w:rsidRPr="003C3685" w:rsidRDefault="009B20E0" w:rsidP="009B20E0">
            <w:pPr>
              <w:spacing w:after="0"/>
              <w:ind w:firstLine="0"/>
              <w:jc w:val="right"/>
              <w:rPr>
                <w:rFonts w:eastAsia="Times New Roman" w:cs="Times New Roman"/>
                <w:b/>
                <w:bCs/>
                <w:sz w:val="20"/>
                <w:szCs w:val="20"/>
                <w:lang w:eastAsia="lv-LV"/>
              </w:rPr>
            </w:pPr>
            <w:r>
              <w:rPr>
                <w:rFonts w:eastAsia="Times New Roman" w:cs="Times New Roman"/>
                <w:b/>
                <w:bCs/>
                <w:sz w:val="20"/>
                <w:szCs w:val="20"/>
                <w:lang w:eastAsia="lv-LV"/>
              </w:rPr>
              <w:t>282 381</w:t>
            </w:r>
          </w:p>
        </w:tc>
        <w:tc>
          <w:tcPr>
            <w:tcW w:w="972" w:type="dxa"/>
            <w:tcBorders>
              <w:top w:val="nil"/>
              <w:left w:val="nil"/>
              <w:bottom w:val="single" w:sz="4" w:space="0" w:color="auto"/>
              <w:right w:val="single" w:sz="4" w:space="0" w:color="auto"/>
            </w:tcBorders>
            <w:shd w:val="clear" w:color="auto" w:fill="auto"/>
            <w:noWrap/>
            <w:vAlign w:val="bottom"/>
            <w:hideMark/>
          </w:tcPr>
          <w:p w14:paraId="53B565A0" w14:textId="77777777" w:rsidR="009B20E0" w:rsidRPr="003C3685" w:rsidRDefault="009B20E0" w:rsidP="009B20E0">
            <w:pPr>
              <w:spacing w:after="0"/>
              <w:ind w:firstLine="0"/>
              <w:jc w:val="right"/>
              <w:rPr>
                <w:rFonts w:eastAsia="Times New Roman" w:cs="Times New Roman"/>
                <w:b/>
                <w:bCs/>
                <w:sz w:val="20"/>
                <w:szCs w:val="20"/>
                <w:lang w:eastAsia="lv-LV"/>
              </w:rPr>
            </w:pPr>
            <w:r>
              <w:rPr>
                <w:rFonts w:eastAsia="Times New Roman" w:cs="Times New Roman"/>
                <w:b/>
                <w:bCs/>
                <w:sz w:val="20"/>
                <w:szCs w:val="20"/>
                <w:lang w:eastAsia="lv-LV"/>
              </w:rPr>
              <w:t>283 216</w:t>
            </w:r>
          </w:p>
        </w:tc>
        <w:tc>
          <w:tcPr>
            <w:tcW w:w="1044" w:type="dxa"/>
            <w:tcBorders>
              <w:top w:val="nil"/>
              <w:left w:val="nil"/>
              <w:bottom w:val="single" w:sz="4" w:space="0" w:color="auto"/>
              <w:right w:val="single" w:sz="4" w:space="0" w:color="auto"/>
            </w:tcBorders>
            <w:shd w:val="clear" w:color="000000" w:fill="FFFFFF"/>
            <w:vAlign w:val="bottom"/>
            <w:hideMark/>
          </w:tcPr>
          <w:p w14:paraId="71087EAB" w14:textId="77777777" w:rsidR="009B20E0" w:rsidRPr="003C3685" w:rsidRDefault="009B20E0" w:rsidP="009B20E0">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22 863</w:t>
            </w:r>
          </w:p>
        </w:tc>
        <w:tc>
          <w:tcPr>
            <w:tcW w:w="1044" w:type="dxa"/>
            <w:tcBorders>
              <w:top w:val="nil"/>
              <w:left w:val="nil"/>
              <w:bottom w:val="single" w:sz="4" w:space="0" w:color="auto"/>
              <w:right w:val="single" w:sz="4" w:space="0" w:color="auto"/>
            </w:tcBorders>
            <w:shd w:val="clear" w:color="000000" w:fill="FFFFFF"/>
            <w:vAlign w:val="bottom"/>
            <w:hideMark/>
          </w:tcPr>
          <w:p w14:paraId="6DF05443" w14:textId="77777777" w:rsidR="009B20E0" w:rsidRPr="003C3685" w:rsidRDefault="009B20E0" w:rsidP="009B20E0">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835</w:t>
            </w:r>
          </w:p>
        </w:tc>
        <w:tc>
          <w:tcPr>
            <w:tcW w:w="1082" w:type="dxa"/>
            <w:tcBorders>
              <w:top w:val="nil"/>
              <w:left w:val="nil"/>
              <w:bottom w:val="single" w:sz="4" w:space="0" w:color="auto"/>
              <w:right w:val="single" w:sz="4" w:space="0" w:color="auto"/>
            </w:tcBorders>
            <w:shd w:val="clear" w:color="000000" w:fill="FFFFFF"/>
            <w:vAlign w:val="bottom"/>
            <w:hideMark/>
          </w:tcPr>
          <w:p w14:paraId="37DD8F24" w14:textId="77777777" w:rsidR="009B20E0" w:rsidRPr="003C3685" w:rsidRDefault="009B20E0" w:rsidP="009B20E0">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8,8</w:t>
            </w:r>
          </w:p>
        </w:tc>
        <w:tc>
          <w:tcPr>
            <w:tcW w:w="1155" w:type="dxa"/>
            <w:tcBorders>
              <w:top w:val="nil"/>
              <w:left w:val="nil"/>
              <w:bottom w:val="single" w:sz="4" w:space="0" w:color="auto"/>
              <w:right w:val="single" w:sz="4" w:space="0" w:color="auto"/>
            </w:tcBorders>
            <w:shd w:val="clear" w:color="000000" w:fill="FFFFFF"/>
            <w:vAlign w:val="bottom"/>
            <w:hideMark/>
          </w:tcPr>
          <w:p w14:paraId="49C93B35" w14:textId="77777777" w:rsidR="009B20E0" w:rsidRPr="003C3685" w:rsidRDefault="009B20E0" w:rsidP="009B20E0">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100,3</w:t>
            </w:r>
          </w:p>
        </w:tc>
      </w:tr>
      <w:tr w:rsidR="009B20E0" w:rsidRPr="003C3685" w14:paraId="37F4D1DB" w14:textId="77777777" w:rsidTr="009B20E0">
        <w:trPr>
          <w:trHeight w:val="619"/>
          <w:jc w:val="center"/>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0E1787D5" w14:textId="77777777" w:rsidR="009B20E0" w:rsidRPr="003C3685" w:rsidRDefault="009B20E0" w:rsidP="009B20E0">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Ieņēmumi no maksas pakalpojumiem un citi pašu ieņēmumi</w:t>
            </w:r>
          </w:p>
        </w:tc>
        <w:tc>
          <w:tcPr>
            <w:tcW w:w="992" w:type="dxa"/>
            <w:tcBorders>
              <w:top w:val="nil"/>
              <w:left w:val="nil"/>
              <w:bottom w:val="single" w:sz="4" w:space="0" w:color="auto"/>
              <w:right w:val="single" w:sz="4" w:space="0" w:color="auto"/>
            </w:tcBorders>
            <w:shd w:val="clear" w:color="auto" w:fill="auto"/>
            <w:noWrap/>
            <w:vAlign w:val="bottom"/>
            <w:hideMark/>
          </w:tcPr>
          <w:p w14:paraId="37C2A655"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17</w:t>
            </w:r>
          </w:p>
        </w:tc>
        <w:tc>
          <w:tcPr>
            <w:tcW w:w="961" w:type="dxa"/>
            <w:tcBorders>
              <w:top w:val="nil"/>
              <w:left w:val="nil"/>
              <w:bottom w:val="single" w:sz="4" w:space="0" w:color="auto"/>
              <w:right w:val="single" w:sz="4" w:space="0" w:color="auto"/>
            </w:tcBorders>
            <w:shd w:val="clear" w:color="auto" w:fill="auto"/>
            <w:noWrap/>
            <w:vAlign w:val="bottom"/>
            <w:hideMark/>
          </w:tcPr>
          <w:p w14:paraId="4173EE4F"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0</w:t>
            </w:r>
          </w:p>
        </w:tc>
        <w:tc>
          <w:tcPr>
            <w:tcW w:w="972" w:type="dxa"/>
            <w:tcBorders>
              <w:top w:val="nil"/>
              <w:left w:val="nil"/>
              <w:bottom w:val="single" w:sz="4" w:space="0" w:color="auto"/>
              <w:right w:val="single" w:sz="4" w:space="0" w:color="auto"/>
            </w:tcBorders>
            <w:shd w:val="clear" w:color="auto" w:fill="auto"/>
            <w:noWrap/>
            <w:vAlign w:val="bottom"/>
            <w:hideMark/>
          </w:tcPr>
          <w:p w14:paraId="178A27F7"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97</w:t>
            </w:r>
          </w:p>
        </w:tc>
        <w:tc>
          <w:tcPr>
            <w:tcW w:w="1044" w:type="dxa"/>
            <w:tcBorders>
              <w:top w:val="nil"/>
              <w:left w:val="nil"/>
              <w:bottom w:val="single" w:sz="4" w:space="0" w:color="auto"/>
              <w:right w:val="single" w:sz="4" w:space="0" w:color="auto"/>
            </w:tcBorders>
            <w:shd w:val="clear" w:color="000000" w:fill="FFFFFF"/>
            <w:vAlign w:val="bottom"/>
            <w:hideMark/>
          </w:tcPr>
          <w:p w14:paraId="2A2BEB59"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80</w:t>
            </w:r>
          </w:p>
        </w:tc>
        <w:tc>
          <w:tcPr>
            <w:tcW w:w="1044" w:type="dxa"/>
            <w:tcBorders>
              <w:top w:val="nil"/>
              <w:left w:val="nil"/>
              <w:bottom w:val="single" w:sz="4" w:space="0" w:color="auto"/>
              <w:right w:val="single" w:sz="4" w:space="0" w:color="auto"/>
            </w:tcBorders>
            <w:shd w:val="clear" w:color="000000" w:fill="FFFFFF"/>
            <w:vAlign w:val="bottom"/>
            <w:hideMark/>
          </w:tcPr>
          <w:p w14:paraId="71F08D25"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97</w:t>
            </w:r>
          </w:p>
        </w:tc>
        <w:tc>
          <w:tcPr>
            <w:tcW w:w="1082" w:type="dxa"/>
            <w:tcBorders>
              <w:top w:val="nil"/>
              <w:left w:val="nil"/>
              <w:bottom w:val="single" w:sz="4" w:space="0" w:color="auto"/>
              <w:right w:val="single" w:sz="4" w:space="0" w:color="auto"/>
            </w:tcBorders>
            <w:shd w:val="clear" w:color="000000" w:fill="FFFFFF"/>
            <w:vAlign w:val="bottom"/>
            <w:hideMark/>
          </w:tcPr>
          <w:p w14:paraId="3463C026"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470,6</w:t>
            </w:r>
          </w:p>
        </w:tc>
        <w:tc>
          <w:tcPr>
            <w:tcW w:w="1155" w:type="dxa"/>
            <w:tcBorders>
              <w:top w:val="nil"/>
              <w:left w:val="nil"/>
              <w:bottom w:val="single" w:sz="4" w:space="0" w:color="auto"/>
              <w:right w:val="single" w:sz="4" w:space="0" w:color="auto"/>
            </w:tcBorders>
            <w:shd w:val="clear" w:color="000000" w:fill="FFFFFF"/>
            <w:vAlign w:val="bottom"/>
            <w:hideMark/>
          </w:tcPr>
          <w:p w14:paraId="71CF4772"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0,0</w:t>
            </w:r>
          </w:p>
        </w:tc>
      </w:tr>
      <w:tr w:rsidR="009B20E0" w:rsidRPr="003C3685" w14:paraId="4D3993F7" w14:textId="77777777" w:rsidTr="00DF2E99">
        <w:trPr>
          <w:trHeight w:val="473"/>
          <w:jc w:val="center"/>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62398B3" w14:textId="77777777" w:rsidR="009B20E0" w:rsidRPr="003C3685" w:rsidRDefault="009B20E0" w:rsidP="009B20E0">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Ārvalstu finanšu palīdzība iestādes ieņēmumos</w:t>
            </w:r>
          </w:p>
        </w:tc>
        <w:tc>
          <w:tcPr>
            <w:tcW w:w="992" w:type="dxa"/>
            <w:tcBorders>
              <w:top w:val="nil"/>
              <w:left w:val="nil"/>
              <w:bottom w:val="single" w:sz="4" w:space="0" w:color="auto"/>
              <w:right w:val="single" w:sz="4" w:space="0" w:color="auto"/>
            </w:tcBorders>
            <w:shd w:val="clear" w:color="auto" w:fill="auto"/>
            <w:noWrap/>
            <w:vAlign w:val="bottom"/>
            <w:hideMark/>
          </w:tcPr>
          <w:p w14:paraId="5EA5D235"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2 270</w:t>
            </w:r>
          </w:p>
        </w:tc>
        <w:tc>
          <w:tcPr>
            <w:tcW w:w="961" w:type="dxa"/>
            <w:tcBorders>
              <w:top w:val="nil"/>
              <w:left w:val="nil"/>
              <w:bottom w:val="single" w:sz="4" w:space="0" w:color="auto"/>
              <w:right w:val="single" w:sz="4" w:space="0" w:color="auto"/>
            </w:tcBorders>
            <w:shd w:val="clear" w:color="auto" w:fill="auto"/>
            <w:noWrap/>
            <w:vAlign w:val="bottom"/>
            <w:hideMark/>
          </w:tcPr>
          <w:p w14:paraId="1A7E2A86"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8 927</w:t>
            </w:r>
          </w:p>
        </w:tc>
        <w:tc>
          <w:tcPr>
            <w:tcW w:w="972" w:type="dxa"/>
            <w:tcBorders>
              <w:top w:val="nil"/>
              <w:left w:val="nil"/>
              <w:bottom w:val="single" w:sz="4" w:space="0" w:color="auto"/>
              <w:right w:val="single" w:sz="4" w:space="0" w:color="auto"/>
            </w:tcBorders>
            <w:shd w:val="clear" w:color="auto" w:fill="auto"/>
            <w:noWrap/>
            <w:vAlign w:val="bottom"/>
            <w:hideMark/>
          </w:tcPr>
          <w:p w14:paraId="75322667"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9 809</w:t>
            </w:r>
          </w:p>
        </w:tc>
        <w:tc>
          <w:tcPr>
            <w:tcW w:w="1044" w:type="dxa"/>
            <w:tcBorders>
              <w:top w:val="nil"/>
              <w:left w:val="nil"/>
              <w:bottom w:val="single" w:sz="4" w:space="0" w:color="auto"/>
              <w:right w:val="single" w:sz="4" w:space="0" w:color="auto"/>
            </w:tcBorders>
            <w:shd w:val="clear" w:color="000000" w:fill="FFFFFF"/>
            <w:vAlign w:val="bottom"/>
            <w:hideMark/>
          </w:tcPr>
          <w:p w14:paraId="1FF82173"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7 539</w:t>
            </w:r>
          </w:p>
        </w:tc>
        <w:tc>
          <w:tcPr>
            <w:tcW w:w="1044" w:type="dxa"/>
            <w:tcBorders>
              <w:top w:val="nil"/>
              <w:left w:val="nil"/>
              <w:bottom w:val="single" w:sz="4" w:space="0" w:color="auto"/>
              <w:right w:val="single" w:sz="4" w:space="0" w:color="auto"/>
            </w:tcBorders>
            <w:shd w:val="clear" w:color="000000" w:fill="FFFFFF"/>
            <w:vAlign w:val="bottom"/>
            <w:hideMark/>
          </w:tcPr>
          <w:p w14:paraId="0D27FF23"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882</w:t>
            </w:r>
          </w:p>
        </w:tc>
        <w:tc>
          <w:tcPr>
            <w:tcW w:w="1082" w:type="dxa"/>
            <w:tcBorders>
              <w:top w:val="nil"/>
              <w:left w:val="nil"/>
              <w:bottom w:val="single" w:sz="4" w:space="0" w:color="auto"/>
              <w:right w:val="single" w:sz="4" w:space="0" w:color="auto"/>
            </w:tcBorders>
            <w:shd w:val="clear" w:color="000000" w:fill="FFFFFF"/>
            <w:vAlign w:val="bottom"/>
            <w:hideMark/>
          </w:tcPr>
          <w:p w14:paraId="5273AAB2"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332,1</w:t>
            </w:r>
          </w:p>
        </w:tc>
        <w:tc>
          <w:tcPr>
            <w:tcW w:w="1155" w:type="dxa"/>
            <w:tcBorders>
              <w:top w:val="nil"/>
              <w:left w:val="nil"/>
              <w:bottom w:val="single" w:sz="4" w:space="0" w:color="auto"/>
              <w:right w:val="single" w:sz="4" w:space="0" w:color="auto"/>
            </w:tcBorders>
            <w:shd w:val="clear" w:color="000000" w:fill="FFFFFF"/>
            <w:vAlign w:val="bottom"/>
            <w:hideMark/>
          </w:tcPr>
          <w:p w14:paraId="3A68455B"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109,9</w:t>
            </w:r>
          </w:p>
        </w:tc>
      </w:tr>
      <w:tr w:rsidR="009B20E0" w:rsidRPr="003C3685" w14:paraId="2369C070" w14:textId="77777777" w:rsidTr="00DF2E99">
        <w:trPr>
          <w:trHeight w:val="264"/>
          <w:jc w:val="center"/>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34EE57C1" w14:textId="77777777" w:rsidR="009B20E0" w:rsidRPr="003C3685" w:rsidRDefault="009B20E0" w:rsidP="009B20E0">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Transferti</w:t>
            </w:r>
          </w:p>
        </w:tc>
        <w:tc>
          <w:tcPr>
            <w:tcW w:w="992" w:type="dxa"/>
            <w:tcBorders>
              <w:top w:val="nil"/>
              <w:left w:val="nil"/>
              <w:bottom w:val="single" w:sz="4" w:space="0" w:color="auto"/>
              <w:right w:val="single" w:sz="4" w:space="0" w:color="auto"/>
            </w:tcBorders>
            <w:shd w:val="clear" w:color="auto" w:fill="auto"/>
            <w:noWrap/>
            <w:vAlign w:val="bottom"/>
            <w:hideMark/>
          </w:tcPr>
          <w:p w14:paraId="36A9459B"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1 584</w:t>
            </w:r>
          </w:p>
        </w:tc>
        <w:tc>
          <w:tcPr>
            <w:tcW w:w="961" w:type="dxa"/>
            <w:tcBorders>
              <w:top w:val="nil"/>
              <w:left w:val="nil"/>
              <w:bottom w:val="single" w:sz="4" w:space="0" w:color="auto"/>
              <w:right w:val="single" w:sz="4" w:space="0" w:color="auto"/>
            </w:tcBorders>
            <w:shd w:val="clear" w:color="auto" w:fill="auto"/>
            <w:noWrap/>
            <w:vAlign w:val="bottom"/>
            <w:hideMark/>
          </w:tcPr>
          <w:p w14:paraId="16E01185"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1 221</w:t>
            </w:r>
          </w:p>
        </w:tc>
        <w:tc>
          <w:tcPr>
            <w:tcW w:w="972" w:type="dxa"/>
            <w:tcBorders>
              <w:top w:val="nil"/>
              <w:left w:val="nil"/>
              <w:bottom w:val="single" w:sz="4" w:space="0" w:color="auto"/>
              <w:right w:val="single" w:sz="4" w:space="0" w:color="auto"/>
            </w:tcBorders>
            <w:shd w:val="clear" w:color="auto" w:fill="auto"/>
            <w:noWrap/>
            <w:vAlign w:val="bottom"/>
            <w:hideMark/>
          </w:tcPr>
          <w:p w14:paraId="2D0CD65D"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1 077</w:t>
            </w:r>
          </w:p>
        </w:tc>
        <w:tc>
          <w:tcPr>
            <w:tcW w:w="1044" w:type="dxa"/>
            <w:tcBorders>
              <w:top w:val="nil"/>
              <w:left w:val="nil"/>
              <w:bottom w:val="single" w:sz="4" w:space="0" w:color="auto"/>
              <w:right w:val="single" w:sz="4" w:space="0" w:color="auto"/>
            </w:tcBorders>
            <w:shd w:val="clear" w:color="000000" w:fill="FFFFFF"/>
            <w:vAlign w:val="bottom"/>
            <w:hideMark/>
          </w:tcPr>
          <w:p w14:paraId="6088665B"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-507</w:t>
            </w:r>
          </w:p>
        </w:tc>
        <w:tc>
          <w:tcPr>
            <w:tcW w:w="1044" w:type="dxa"/>
            <w:tcBorders>
              <w:top w:val="nil"/>
              <w:left w:val="nil"/>
              <w:bottom w:val="single" w:sz="4" w:space="0" w:color="auto"/>
              <w:right w:val="single" w:sz="4" w:space="0" w:color="auto"/>
            </w:tcBorders>
            <w:shd w:val="clear" w:color="000000" w:fill="FFFFFF"/>
            <w:vAlign w:val="bottom"/>
            <w:hideMark/>
          </w:tcPr>
          <w:p w14:paraId="6BCB9037"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-144</w:t>
            </w:r>
          </w:p>
        </w:tc>
        <w:tc>
          <w:tcPr>
            <w:tcW w:w="1082" w:type="dxa"/>
            <w:tcBorders>
              <w:top w:val="nil"/>
              <w:left w:val="nil"/>
              <w:bottom w:val="single" w:sz="4" w:space="0" w:color="auto"/>
              <w:right w:val="single" w:sz="4" w:space="0" w:color="auto"/>
            </w:tcBorders>
            <w:shd w:val="clear" w:color="000000" w:fill="FFFFFF"/>
            <w:vAlign w:val="bottom"/>
            <w:hideMark/>
          </w:tcPr>
          <w:p w14:paraId="7B68820B"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-32,0</w:t>
            </w:r>
          </w:p>
        </w:tc>
        <w:tc>
          <w:tcPr>
            <w:tcW w:w="1155" w:type="dxa"/>
            <w:tcBorders>
              <w:top w:val="nil"/>
              <w:left w:val="nil"/>
              <w:bottom w:val="single" w:sz="4" w:space="0" w:color="auto"/>
              <w:right w:val="single" w:sz="4" w:space="0" w:color="auto"/>
            </w:tcBorders>
            <w:shd w:val="clear" w:color="000000" w:fill="FFFFFF"/>
            <w:vAlign w:val="bottom"/>
            <w:hideMark/>
          </w:tcPr>
          <w:p w14:paraId="7351C7C5"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88,2</w:t>
            </w:r>
          </w:p>
        </w:tc>
      </w:tr>
      <w:tr w:rsidR="009B20E0" w:rsidRPr="003C3685" w14:paraId="142AA628" w14:textId="77777777" w:rsidTr="00DF2E99">
        <w:trPr>
          <w:trHeight w:val="370"/>
          <w:jc w:val="center"/>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2B084382" w14:textId="77777777" w:rsidR="009B20E0" w:rsidRPr="003C3685" w:rsidRDefault="009B20E0" w:rsidP="009B20E0">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Dotācija no vispārējiem ieņēmumiem</w:t>
            </w:r>
          </w:p>
        </w:tc>
        <w:tc>
          <w:tcPr>
            <w:tcW w:w="992" w:type="dxa"/>
            <w:tcBorders>
              <w:top w:val="nil"/>
              <w:left w:val="nil"/>
              <w:bottom w:val="single" w:sz="4" w:space="0" w:color="auto"/>
              <w:right w:val="single" w:sz="4" w:space="0" w:color="auto"/>
            </w:tcBorders>
            <w:shd w:val="clear" w:color="auto" w:fill="auto"/>
            <w:noWrap/>
            <w:vAlign w:val="bottom"/>
            <w:hideMark/>
          </w:tcPr>
          <w:p w14:paraId="77129C41"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256 482</w:t>
            </w:r>
          </w:p>
        </w:tc>
        <w:tc>
          <w:tcPr>
            <w:tcW w:w="961" w:type="dxa"/>
            <w:tcBorders>
              <w:top w:val="nil"/>
              <w:left w:val="nil"/>
              <w:bottom w:val="single" w:sz="4" w:space="0" w:color="auto"/>
              <w:right w:val="single" w:sz="4" w:space="0" w:color="auto"/>
            </w:tcBorders>
            <w:shd w:val="clear" w:color="auto" w:fill="auto"/>
            <w:noWrap/>
            <w:vAlign w:val="bottom"/>
            <w:hideMark/>
          </w:tcPr>
          <w:p w14:paraId="20015523"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272 233</w:t>
            </w:r>
          </w:p>
        </w:tc>
        <w:tc>
          <w:tcPr>
            <w:tcW w:w="972" w:type="dxa"/>
            <w:tcBorders>
              <w:top w:val="nil"/>
              <w:left w:val="nil"/>
              <w:bottom w:val="single" w:sz="4" w:space="0" w:color="auto"/>
              <w:right w:val="single" w:sz="4" w:space="0" w:color="auto"/>
            </w:tcBorders>
            <w:shd w:val="clear" w:color="auto" w:fill="auto"/>
            <w:noWrap/>
            <w:vAlign w:val="bottom"/>
            <w:hideMark/>
          </w:tcPr>
          <w:p w14:paraId="6E2BEC5D"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272 233</w:t>
            </w:r>
          </w:p>
        </w:tc>
        <w:tc>
          <w:tcPr>
            <w:tcW w:w="1044" w:type="dxa"/>
            <w:tcBorders>
              <w:top w:val="nil"/>
              <w:left w:val="nil"/>
              <w:bottom w:val="single" w:sz="4" w:space="0" w:color="auto"/>
              <w:right w:val="single" w:sz="4" w:space="0" w:color="auto"/>
            </w:tcBorders>
            <w:shd w:val="clear" w:color="000000" w:fill="FFFFFF"/>
            <w:vAlign w:val="bottom"/>
            <w:hideMark/>
          </w:tcPr>
          <w:p w14:paraId="2617A505"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15 751</w:t>
            </w:r>
          </w:p>
        </w:tc>
        <w:tc>
          <w:tcPr>
            <w:tcW w:w="1044" w:type="dxa"/>
            <w:tcBorders>
              <w:top w:val="nil"/>
              <w:left w:val="nil"/>
              <w:bottom w:val="single" w:sz="4" w:space="0" w:color="auto"/>
              <w:right w:val="single" w:sz="4" w:space="0" w:color="auto"/>
            </w:tcBorders>
            <w:shd w:val="clear" w:color="000000" w:fill="FFFFFF"/>
            <w:vAlign w:val="bottom"/>
            <w:hideMark/>
          </w:tcPr>
          <w:p w14:paraId="742286C2"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0</w:t>
            </w:r>
          </w:p>
        </w:tc>
        <w:tc>
          <w:tcPr>
            <w:tcW w:w="1082" w:type="dxa"/>
            <w:tcBorders>
              <w:top w:val="nil"/>
              <w:left w:val="nil"/>
              <w:bottom w:val="single" w:sz="4" w:space="0" w:color="auto"/>
              <w:right w:val="single" w:sz="4" w:space="0" w:color="auto"/>
            </w:tcBorders>
            <w:shd w:val="clear" w:color="000000" w:fill="FFFFFF"/>
            <w:vAlign w:val="bottom"/>
            <w:hideMark/>
          </w:tcPr>
          <w:p w14:paraId="6B98A76D"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6,1</w:t>
            </w:r>
          </w:p>
        </w:tc>
        <w:tc>
          <w:tcPr>
            <w:tcW w:w="1155" w:type="dxa"/>
            <w:tcBorders>
              <w:top w:val="nil"/>
              <w:left w:val="nil"/>
              <w:bottom w:val="single" w:sz="4" w:space="0" w:color="auto"/>
              <w:right w:val="single" w:sz="4" w:space="0" w:color="auto"/>
            </w:tcBorders>
            <w:shd w:val="clear" w:color="000000" w:fill="FFFFFF"/>
            <w:vAlign w:val="bottom"/>
            <w:hideMark/>
          </w:tcPr>
          <w:p w14:paraId="5A5BF09D" w14:textId="77777777" w:rsidR="009B20E0" w:rsidRPr="00367174" w:rsidRDefault="009B20E0" w:rsidP="009B20E0">
            <w:pPr>
              <w:spacing w:after="0"/>
              <w:ind w:firstLine="0"/>
              <w:jc w:val="right"/>
              <w:rPr>
                <w:rFonts w:eastAsia="Times New Roman" w:cs="Times New Roman"/>
                <w:color w:val="000000"/>
                <w:sz w:val="20"/>
                <w:szCs w:val="20"/>
                <w:lang w:eastAsia="lv-LV"/>
              </w:rPr>
            </w:pPr>
            <w:r w:rsidRPr="00367174">
              <w:rPr>
                <w:rFonts w:eastAsia="Times New Roman" w:cs="Times New Roman"/>
                <w:color w:val="000000"/>
                <w:sz w:val="20"/>
                <w:szCs w:val="20"/>
                <w:lang w:eastAsia="lv-LV"/>
              </w:rPr>
              <w:t>100,0</w:t>
            </w:r>
          </w:p>
        </w:tc>
      </w:tr>
      <w:tr w:rsidR="009B20E0" w:rsidRPr="003C3685" w14:paraId="44A952F5" w14:textId="77777777" w:rsidTr="00DF2E99">
        <w:trPr>
          <w:trHeight w:val="264"/>
          <w:jc w:val="center"/>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3350E52" w14:textId="77777777" w:rsidR="009B20E0" w:rsidRPr="003C3685" w:rsidRDefault="009B20E0" w:rsidP="009B20E0">
            <w:pPr>
              <w:spacing w:after="0"/>
              <w:ind w:firstLine="0"/>
              <w:jc w:val="left"/>
              <w:rPr>
                <w:rFonts w:eastAsia="Times New Roman" w:cs="Times New Roman"/>
                <w:b/>
                <w:bCs/>
                <w:color w:val="000000"/>
                <w:sz w:val="20"/>
                <w:szCs w:val="20"/>
                <w:lang w:eastAsia="lv-LV"/>
              </w:rPr>
            </w:pPr>
            <w:r w:rsidRPr="003C3685">
              <w:rPr>
                <w:rFonts w:eastAsia="Times New Roman" w:cs="Times New Roman"/>
                <w:b/>
                <w:bCs/>
                <w:color w:val="000000"/>
                <w:sz w:val="20"/>
                <w:szCs w:val="20"/>
                <w:lang w:eastAsia="lv-LV"/>
              </w:rPr>
              <w:t>Izdevumi – kopā</w:t>
            </w:r>
          </w:p>
        </w:tc>
        <w:tc>
          <w:tcPr>
            <w:tcW w:w="992" w:type="dxa"/>
            <w:tcBorders>
              <w:top w:val="nil"/>
              <w:left w:val="nil"/>
              <w:bottom w:val="single" w:sz="4" w:space="0" w:color="auto"/>
              <w:right w:val="single" w:sz="4" w:space="0" w:color="auto"/>
            </w:tcBorders>
            <w:shd w:val="clear" w:color="auto" w:fill="auto"/>
            <w:noWrap/>
            <w:vAlign w:val="bottom"/>
            <w:hideMark/>
          </w:tcPr>
          <w:p w14:paraId="657325B2" w14:textId="77777777" w:rsidR="009B20E0" w:rsidRPr="003C3685" w:rsidRDefault="009B20E0" w:rsidP="009B20E0">
            <w:pPr>
              <w:spacing w:after="0"/>
              <w:ind w:firstLine="0"/>
              <w:jc w:val="right"/>
              <w:rPr>
                <w:rFonts w:eastAsia="Times New Roman" w:cs="Times New Roman"/>
                <w:b/>
                <w:bCs/>
                <w:sz w:val="20"/>
                <w:szCs w:val="20"/>
                <w:lang w:eastAsia="lv-LV"/>
              </w:rPr>
            </w:pPr>
            <w:r>
              <w:rPr>
                <w:rFonts w:eastAsia="Times New Roman" w:cs="Times New Roman"/>
                <w:b/>
                <w:bCs/>
                <w:sz w:val="20"/>
                <w:szCs w:val="20"/>
                <w:lang w:eastAsia="lv-LV"/>
              </w:rPr>
              <w:t>255 220</w:t>
            </w:r>
          </w:p>
        </w:tc>
        <w:tc>
          <w:tcPr>
            <w:tcW w:w="961" w:type="dxa"/>
            <w:tcBorders>
              <w:top w:val="nil"/>
              <w:left w:val="nil"/>
              <w:bottom w:val="single" w:sz="4" w:space="0" w:color="auto"/>
              <w:right w:val="single" w:sz="4" w:space="0" w:color="auto"/>
            </w:tcBorders>
            <w:shd w:val="clear" w:color="auto" w:fill="auto"/>
            <w:noWrap/>
            <w:vAlign w:val="bottom"/>
            <w:hideMark/>
          </w:tcPr>
          <w:p w14:paraId="0D7A0990" w14:textId="77777777" w:rsidR="009B20E0" w:rsidRPr="003C3685" w:rsidRDefault="009B20E0" w:rsidP="009B20E0">
            <w:pPr>
              <w:spacing w:after="0"/>
              <w:ind w:firstLine="0"/>
              <w:jc w:val="right"/>
              <w:rPr>
                <w:rFonts w:eastAsia="Times New Roman" w:cs="Times New Roman"/>
                <w:b/>
                <w:bCs/>
                <w:sz w:val="20"/>
                <w:szCs w:val="20"/>
                <w:lang w:eastAsia="lv-LV"/>
              </w:rPr>
            </w:pPr>
            <w:r>
              <w:rPr>
                <w:rFonts w:eastAsia="Times New Roman" w:cs="Times New Roman"/>
                <w:b/>
                <w:bCs/>
                <w:sz w:val="20"/>
                <w:szCs w:val="20"/>
                <w:lang w:eastAsia="lv-LV"/>
              </w:rPr>
              <w:t>282 348</w:t>
            </w:r>
          </w:p>
        </w:tc>
        <w:tc>
          <w:tcPr>
            <w:tcW w:w="972" w:type="dxa"/>
            <w:tcBorders>
              <w:top w:val="nil"/>
              <w:left w:val="nil"/>
              <w:bottom w:val="single" w:sz="4" w:space="0" w:color="auto"/>
              <w:right w:val="single" w:sz="4" w:space="0" w:color="auto"/>
            </w:tcBorders>
            <w:shd w:val="clear" w:color="auto" w:fill="auto"/>
            <w:noWrap/>
            <w:vAlign w:val="bottom"/>
            <w:hideMark/>
          </w:tcPr>
          <w:p w14:paraId="1DCDA25F" w14:textId="77777777" w:rsidR="009B20E0" w:rsidRPr="003C3685" w:rsidRDefault="009B20E0" w:rsidP="009B20E0">
            <w:pPr>
              <w:spacing w:after="0"/>
              <w:ind w:firstLine="0"/>
              <w:jc w:val="right"/>
              <w:rPr>
                <w:rFonts w:eastAsia="Times New Roman" w:cs="Times New Roman"/>
                <w:b/>
                <w:bCs/>
                <w:sz w:val="20"/>
                <w:szCs w:val="20"/>
                <w:lang w:eastAsia="lv-LV"/>
              </w:rPr>
            </w:pPr>
            <w:r>
              <w:rPr>
                <w:rFonts w:eastAsia="Times New Roman" w:cs="Times New Roman"/>
                <w:b/>
                <w:bCs/>
                <w:sz w:val="20"/>
                <w:szCs w:val="20"/>
                <w:lang w:eastAsia="lv-LV"/>
              </w:rPr>
              <w:t>262 618</w:t>
            </w:r>
          </w:p>
        </w:tc>
        <w:tc>
          <w:tcPr>
            <w:tcW w:w="1044" w:type="dxa"/>
            <w:tcBorders>
              <w:top w:val="nil"/>
              <w:left w:val="nil"/>
              <w:bottom w:val="single" w:sz="4" w:space="0" w:color="auto"/>
              <w:right w:val="single" w:sz="4" w:space="0" w:color="auto"/>
            </w:tcBorders>
            <w:shd w:val="clear" w:color="auto" w:fill="auto"/>
            <w:vAlign w:val="bottom"/>
            <w:hideMark/>
          </w:tcPr>
          <w:p w14:paraId="74DACDCE" w14:textId="77777777" w:rsidR="009B20E0" w:rsidRPr="00367174" w:rsidRDefault="009B20E0" w:rsidP="009B20E0">
            <w:pPr>
              <w:spacing w:after="0"/>
              <w:ind w:firstLine="0"/>
              <w:jc w:val="right"/>
              <w:rPr>
                <w:rFonts w:eastAsia="Times New Roman" w:cs="Times New Roman"/>
                <w:b/>
                <w:bCs/>
                <w:color w:val="000000"/>
                <w:sz w:val="20"/>
                <w:szCs w:val="20"/>
                <w:lang w:eastAsia="lv-LV"/>
              </w:rPr>
            </w:pPr>
            <w:r w:rsidRPr="00367174">
              <w:rPr>
                <w:rFonts w:eastAsia="Times New Roman" w:cs="Times New Roman"/>
                <w:b/>
                <w:bCs/>
                <w:color w:val="000000"/>
                <w:sz w:val="20"/>
                <w:szCs w:val="20"/>
                <w:lang w:eastAsia="lv-LV"/>
              </w:rPr>
              <w:t>7 398</w:t>
            </w:r>
          </w:p>
        </w:tc>
        <w:tc>
          <w:tcPr>
            <w:tcW w:w="1044" w:type="dxa"/>
            <w:tcBorders>
              <w:top w:val="nil"/>
              <w:left w:val="nil"/>
              <w:bottom w:val="single" w:sz="4" w:space="0" w:color="auto"/>
              <w:right w:val="single" w:sz="4" w:space="0" w:color="auto"/>
            </w:tcBorders>
            <w:shd w:val="clear" w:color="auto" w:fill="auto"/>
            <w:vAlign w:val="bottom"/>
            <w:hideMark/>
          </w:tcPr>
          <w:p w14:paraId="091659FD" w14:textId="77777777" w:rsidR="009B20E0" w:rsidRPr="00367174" w:rsidRDefault="009B20E0" w:rsidP="009B20E0">
            <w:pPr>
              <w:spacing w:after="0"/>
              <w:ind w:firstLine="0"/>
              <w:jc w:val="right"/>
              <w:rPr>
                <w:rFonts w:eastAsia="Times New Roman" w:cs="Times New Roman"/>
                <w:b/>
                <w:bCs/>
                <w:color w:val="000000"/>
                <w:sz w:val="20"/>
                <w:szCs w:val="20"/>
                <w:lang w:eastAsia="lv-LV"/>
              </w:rPr>
            </w:pPr>
            <w:r w:rsidRPr="00367174">
              <w:rPr>
                <w:rFonts w:eastAsia="Times New Roman" w:cs="Times New Roman"/>
                <w:b/>
                <w:bCs/>
                <w:color w:val="000000"/>
                <w:sz w:val="20"/>
                <w:szCs w:val="20"/>
                <w:lang w:eastAsia="lv-LV"/>
              </w:rPr>
              <w:t>-19 730</w:t>
            </w:r>
          </w:p>
        </w:tc>
        <w:tc>
          <w:tcPr>
            <w:tcW w:w="1082" w:type="dxa"/>
            <w:tcBorders>
              <w:top w:val="nil"/>
              <w:left w:val="nil"/>
              <w:bottom w:val="single" w:sz="4" w:space="0" w:color="auto"/>
              <w:right w:val="single" w:sz="4" w:space="0" w:color="auto"/>
            </w:tcBorders>
            <w:shd w:val="clear" w:color="auto" w:fill="auto"/>
            <w:vAlign w:val="bottom"/>
            <w:hideMark/>
          </w:tcPr>
          <w:p w14:paraId="39870605" w14:textId="77777777" w:rsidR="009B20E0" w:rsidRPr="003C3685" w:rsidRDefault="009B20E0" w:rsidP="009B20E0">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2,9</w:t>
            </w:r>
          </w:p>
        </w:tc>
        <w:tc>
          <w:tcPr>
            <w:tcW w:w="1155" w:type="dxa"/>
            <w:tcBorders>
              <w:top w:val="nil"/>
              <w:left w:val="nil"/>
              <w:bottom w:val="single" w:sz="4" w:space="0" w:color="auto"/>
              <w:right w:val="single" w:sz="4" w:space="0" w:color="auto"/>
            </w:tcBorders>
            <w:shd w:val="clear" w:color="auto" w:fill="auto"/>
            <w:vAlign w:val="bottom"/>
            <w:hideMark/>
          </w:tcPr>
          <w:p w14:paraId="0BFEAFC2" w14:textId="77777777" w:rsidR="009B20E0" w:rsidRPr="003C3685" w:rsidRDefault="009B20E0" w:rsidP="009B20E0">
            <w:pPr>
              <w:spacing w:after="0"/>
              <w:ind w:firstLine="0"/>
              <w:jc w:val="right"/>
              <w:rPr>
                <w:rFonts w:eastAsia="Times New Roman" w:cs="Times New Roman"/>
                <w:b/>
                <w:bCs/>
                <w:color w:val="000000"/>
                <w:sz w:val="20"/>
                <w:szCs w:val="20"/>
                <w:lang w:eastAsia="lv-LV"/>
              </w:rPr>
            </w:pPr>
            <w:r>
              <w:rPr>
                <w:rFonts w:eastAsia="Times New Roman" w:cs="Times New Roman"/>
                <w:b/>
                <w:bCs/>
                <w:color w:val="000000"/>
                <w:sz w:val="20"/>
                <w:szCs w:val="20"/>
                <w:lang w:eastAsia="lv-LV"/>
              </w:rPr>
              <w:t>93,0</w:t>
            </w:r>
          </w:p>
        </w:tc>
      </w:tr>
      <w:tr w:rsidR="009B20E0" w:rsidRPr="003C3685" w14:paraId="6A6BBDC8" w14:textId="77777777" w:rsidTr="00DF2E99">
        <w:trPr>
          <w:trHeight w:val="264"/>
          <w:jc w:val="center"/>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2EE064A9" w14:textId="77777777" w:rsidR="009B20E0" w:rsidRPr="003C3685" w:rsidRDefault="009B20E0" w:rsidP="009B20E0">
            <w:pPr>
              <w:spacing w:after="0"/>
              <w:ind w:firstLine="0"/>
              <w:jc w:val="left"/>
              <w:rPr>
                <w:rFonts w:eastAsia="Times New Roman" w:cs="Times New Roman"/>
                <w:color w:val="000000"/>
                <w:sz w:val="20"/>
                <w:szCs w:val="20"/>
                <w:lang w:eastAsia="lv-LV"/>
              </w:rPr>
            </w:pPr>
            <w:r w:rsidRPr="003C3685">
              <w:rPr>
                <w:rFonts w:eastAsia="Times New Roman" w:cs="Times New Roman"/>
                <w:color w:val="000000"/>
                <w:sz w:val="20"/>
                <w:szCs w:val="20"/>
                <w:lang w:eastAsia="lv-LV"/>
              </w:rPr>
              <w:t>Atlīdzība</w:t>
            </w:r>
          </w:p>
        </w:tc>
        <w:tc>
          <w:tcPr>
            <w:tcW w:w="992" w:type="dxa"/>
            <w:tcBorders>
              <w:top w:val="nil"/>
              <w:left w:val="nil"/>
              <w:bottom w:val="single" w:sz="4" w:space="0" w:color="auto"/>
              <w:right w:val="single" w:sz="4" w:space="0" w:color="auto"/>
            </w:tcBorders>
            <w:shd w:val="clear" w:color="auto" w:fill="auto"/>
            <w:noWrap/>
            <w:vAlign w:val="bottom"/>
            <w:hideMark/>
          </w:tcPr>
          <w:p w14:paraId="71827132"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7 069</w:t>
            </w:r>
          </w:p>
        </w:tc>
        <w:tc>
          <w:tcPr>
            <w:tcW w:w="961" w:type="dxa"/>
            <w:tcBorders>
              <w:top w:val="nil"/>
              <w:left w:val="nil"/>
              <w:bottom w:val="single" w:sz="4" w:space="0" w:color="auto"/>
              <w:right w:val="single" w:sz="4" w:space="0" w:color="auto"/>
            </w:tcBorders>
            <w:shd w:val="clear" w:color="auto" w:fill="auto"/>
            <w:noWrap/>
            <w:vAlign w:val="bottom"/>
            <w:hideMark/>
          </w:tcPr>
          <w:p w14:paraId="343D8825"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8 363</w:t>
            </w:r>
          </w:p>
        </w:tc>
        <w:tc>
          <w:tcPr>
            <w:tcW w:w="972" w:type="dxa"/>
            <w:tcBorders>
              <w:top w:val="nil"/>
              <w:left w:val="nil"/>
              <w:bottom w:val="single" w:sz="4" w:space="0" w:color="auto"/>
              <w:right w:val="single" w:sz="4" w:space="0" w:color="auto"/>
            </w:tcBorders>
            <w:shd w:val="clear" w:color="auto" w:fill="auto"/>
            <w:noWrap/>
            <w:vAlign w:val="bottom"/>
            <w:hideMark/>
          </w:tcPr>
          <w:p w14:paraId="379CCC62"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7 537</w:t>
            </w:r>
          </w:p>
        </w:tc>
        <w:tc>
          <w:tcPr>
            <w:tcW w:w="1044" w:type="dxa"/>
            <w:tcBorders>
              <w:top w:val="nil"/>
              <w:left w:val="nil"/>
              <w:bottom w:val="single" w:sz="4" w:space="0" w:color="auto"/>
              <w:right w:val="single" w:sz="4" w:space="0" w:color="auto"/>
            </w:tcBorders>
            <w:shd w:val="clear" w:color="000000" w:fill="FFFFFF"/>
            <w:vAlign w:val="bottom"/>
            <w:hideMark/>
          </w:tcPr>
          <w:p w14:paraId="15599662" w14:textId="77777777" w:rsidR="009B20E0" w:rsidRPr="003C3685" w:rsidRDefault="009B20E0" w:rsidP="009B20E0">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468</w:t>
            </w:r>
          </w:p>
        </w:tc>
        <w:tc>
          <w:tcPr>
            <w:tcW w:w="1044" w:type="dxa"/>
            <w:tcBorders>
              <w:top w:val="nil"/>
              <w:left w:val="nil"/>
              <w:bottom w:val="single" w:sz="4" w:space="0" w:color="auto"/>
              <w:right w:val="single" w:sz="4" w:space="0" w:color="auto"/>
            </w:tcBorders>
            <w:shd w:val="clear" w:color="000000" w:fill="FFFFFF"/>
            <w:vAlign w:val="bottom"/>
            <w:hideMark/>
          </w:tcPr>
          <w:p w14:paraId="28EAEBB8" w14:textId="77777777" w:rsidR="009B20E0" w:rsidRPr="003C3685" w:rsidRDefault="009B20E0" w:rsidP="009B20E0">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-826</w:t>
            </w:r>
          </w:p>
        </w:tc>
        <w:tc>
          <w:tcPr>
            <w:tcW w:w="1082" w:type="dxa"/>
            <w:tcBorders>
              <w:top w:val="nil"/>
              <w:left w:val="nil"/>
              <w:bottom w:val="single" w:sz="4" w:space="0" w:color="auto"/>
              <w:right w:val="single" w:sz="4" w:space="0" w:color="auto"/>
            </w:tcBorders>
            <w:shd w:val="clear" w:color="000000" w:fill="FFFFFF"/>
            <w:vAlign w:val="bottom"/>
            <w:hideMark/>
          </w:tcPr>
          <w:p w14:paraId="5761BB92" w14:textId="77777777" w:rsidR="009B20E0" w:rsidRPr="003C3685" w:rsidRDefault="009B20E0" w:rsidP="009B20E0">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6,6</w:t>
            </w:r>
          </w:p>
        </w:tc>
        <w:tc>
          <w:tcPr>
            <w:tcW w:w="1155" w:type="dxa"/>
            <w:tcBorders>
              <w:top w:val="nil"/>
              <w:left w:val="nil"/>
              <w:bottom w:val="single" w:sz="4" w:space="0" w:color="auto"/>
              <w:right w:val="single" w:sz="4" w:space="0" w:color="auto"/>
            </w:tcBorders>
            <w:shd w:val="clear" w:color="000000" w:fill="FFFFFF"/>
            <w:vAlign w:val="bottom"/>
            <w:hideMark/>
          </w:tcPr>
          <w:p w14:paraId="5B65C60D" w14:textId="77777777" w:rsidR="009B20E0" w:rsidRPr="003C3685" w:rsidRDefault="009B20E0" w:rsidP="009B20E0">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90,1</w:t>
            </w:r>
          </w:p>
        </w:tc>
      </w:tr>
      <w:tr w:rsidR="009B20E0" w:rsidRPr="003C3685" w14:paraId="69FF8856" w14:textId="77777777" w:rsidTr="00DF2E99">
        <w:trPr>
          <w:trHeight w:val="264"/>
          <w:jc w:val="center"/>
        </w:trPr>
        <w:tc>
          <w:tcPr>
            <w:tcW w:w="2405" w:type="dxa"/>
            <w:tcBorders>
              <w:top w:val="nil"/>
              <w:left w:val="single" w:sz="4" w:space="0" w:color="auto"/>
              <w:bottom w:val="single" w:sz="4" w:space="0" w:color="auto"/>
              <w:right w:val="single" w:sz="4" w:space="0" w:color="auto"/>
            </w:tcBorders>
            <w:shd w:val="clear" w:color="000000" w:fill="FFFFFF"/>
            <w:vAlign w:val="center"/>
            <w:hideMark/>
          </w:tcPr>
          <w:p w14:paraId="425C926C" w14:textId="77777777" w:rsidR="009B20E0" w:rsidRPr="003C3685" w:rsidRDefault="009B20E0" w:rsidP="009B20E0">
            <w:pPr>
              <w:spacing w:after="0"/>
              <w:ind w:firstLine="0"/>
              <w:jc w:val="left"/>
              <w:rPr>
                <w:rFonts w:eastAsia="Times New Roman" w:cs="Times New Roman"/>
                <w:i/>
                <w:iCs/>
                <w:color w:val="000000"/>
                <w:sz w:val="20"/>
                <w:szCs w:val="20"/>
                <w:lang w:eastAsia="lv-LV"/>
              </w:rPr>
            </w:pPr>
            <w:r w:rsidRPr="003C3685">
              <w:rPr>
                <w:rFonts w:eastAsia="Times New Roman" w:cs="Times New Roman"/>
                <w:i/>
                <w:iCs/>
                <w:color w:val="000000"/>
                <w:sz w:val="20"/>
                <w:szCs w:val="20"/>
                <w:lang w:eastAsia="lv-LV"/>
              </w:rPr>
              <w:t>t.sk. atalgojums</w:t>
            </w:r>
          </w:p>
        </w:tc>
        <w:tc>
          <w:tcPr>
            <w:tcW w:w="992" w:type="dxa"/>
            <w:tcBorders>
              <w:top w:val="nil"/>
              <w:left w:val="nil"/>
              <w:bottom w:val="single" w:sz="4" w:space="0" w:color="auto"/>
              <w:right w:val="single" w:sz="4" w:space="0" w:color="auto"/>
            </w:tcBorders>
            <w:shd w:val="clear" w:color="auto" w:fill="auto"/>
            <w:noWrap/>
            <w:vAlign w:val="bottom"/>
            <w:hideMark/>
          </w:tcPr>
          <w:p w14:paraId="746A213B"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5 489</w:t>
            </w:r>
          </w:p>
        </w:tc>
        <w:tc>
          <w:tcPr>
            <w:tcW w:w="961" w:type="dxa"/>
            <w:tcBorders>
              <w:top w:val="nil"/>
              <w:left w:val="nil"/>
              <w:bottom w:val="single" w:sz="4" w:space="0" w:color="auto"/>
              <w:right w:val="single" w:sz="4" w:space="0" w:color="auto"/>
            </w:tcBorders>
            <w:shd w:val="clear" w:color="auto" w:fill="auto"/>
            <w:noWrap/>
            <w:vAlign w:val="bottom"/>
            <w:hideMark/>
          </w:tcPr>
          <w:p w14:paraId="2689D922"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6 425</w:t>
            </w:r>
          </w:p>
        </w:tc>
        <w:tc>
          <w:tcPr>
            <w:tcW w:w="972" w:type="dxa"/>
            <w:tcBorders>
              <w:top w:val="nil"/>
              <w:left w:val="nil"/>
              <w:bottom w:val="single" w:sz="4" w:space="0" w:color="auto"/>
              <w:right w:val="single" w:sz="4" w:space="0" w:color="auto"/>
            </w:tcBorders>
            <w:shd w:val="clear" w:color="auto" w:fill="auto"/>
            <w:noWrap/>
            <w:vAlign w:val="bottom"/>
            <w:hideMark/>
          </w:tcPr>
          <w:p w14:paraId="115BBB35" w14:textId="77777777" w:rsidR="009B20E0" w:rsidRPr="003C3685" w:rsidRDefault="009B20E0" w:rsidP="009B20E0">
            <w:pPr>
              <w:spacing w:after="0"/>
              <w:ind w:firstLine="0"/>
              <w:jc w:val="right"/>
              <w:rPr>
                <w:rFonts w:eastAsia="Times New Roman" w:cs="Times New Roman"/>
                <w:sz w:val="20"/>
                <w:szCs w:val="20"/>
                <w:lang w:eastAsia="lv-LV"/>
              </w:rPr>
            </w:pPr>
            <w:r>
              <w:rPr>
                <w:rFonts w:eastAsia="Times New Roman" w:cs="Times New Roman"/>
                <w:sz w:val="20"/>
                <w:szCs w:val="20"/>
                <w:lang w:eastAsia="lv-LV"/>
              </w:rPr>
              <w:t>5 825</w:t>
            </w:r>
          </w:p>
        </w:tc>
        <w:tc>
          <w:tcPr>
            <w:tcW w:w="1044" w:type="dxa"/>
            <w:tcBorders>
              <w:top w:val="nil"/>
              <w:left w:val="nil"/>
              <w:bottom w:val="single" w:sz="4" w:space="0" w:color="auto"/>
              <w:right w:val="single" w:sz="4" w:space="0" w:color="auto"/>
            </w:tcBorders>
            <w:shd w:val="clear" w:color="000000" w:fill="FFFFFF"/>
            <w:vAlign w:val="bottom"/>
            <w:hideMark/>
          </w:tcPr>
          <w:p w14:paraId="0729892B" w14:textId="77777777" w:rsidR="009B20E0" w:rsidRPr="003C3685" w:rsidRDefault="009B20E0" w:rsidP="009B20E0">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336</w:t>
            </w:r>
          </w:p>
        </w:tc>
        <w:tc>
          <w:tcPr>
            <w:tcW w:w="1044" w:type="dxa"/>
            <w:tcBorders>
              <w:top w:val="nil"/>
              <w:left w:val="nil"/>
              <w:bottom w:val="single" w:sz="4" w:space="0" w:color="auto"/>
              <w:right w:val="single" w:sz="4" w:space="0" w:color="auto"/>
            </w:tcBorders>
            <w:shd w:val="clear" w:color="000000" w:fill="FFFFFF"/>
            <w:vAlign w:val="bottom"/>
            <w:hideMark/>
          </w:tcPr>
          <w:p w14:paraId="5F7FF0D7" w14:textId="77777777" w:rsidR="009B20E0" w:rsidRPr="003C3685" w:rsidRDefault="009B20E0" w:rsidP="009B20E0">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-600</w:t>
            </w:r>
          </w:p>
        </w:tc>
        <w:tc>
          <w:tcPr>
            <w:tcW w:w="1082" w:type="dxa"/>
            <w:tcBorders>
              <w:top w:val="nil"/>
              <w:left w:val="nil"/>
              <w:bottom w:val="single" w:sz="4" w:space="0" w:color="auto"/>
              <w:right w:val="single" w:sz="4" w:space="0" w:color="auto"/>
            </w:tcBorders>
            <w:shd w:val="clear" w:color="000000" w:fill="FFFFFF"/>
            <w:vAlign w:val="bottom"/>
            <w:hideMark/>
          </w:tcPr>
          <w:p w14:paraId="4A47471D" w14:textId="77777777" w:rsidR="009B20E0" w:rsidRPr="003C3685" w:rsidRDefault="009B20E0" w:rsidP="009B20E0">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6,1</w:t>
            </w:r>
          </w:p>
        </w:tc>
        <w:tc>
          <w:tcPr>
            <w:tcW w:w="1155" w:type="dxa"/>
            <w:tcBorders>
              <w:top w:val="nil"/>
              <w:left w:val="nil"/>
              <w:bottom w:val="single" w:sz="4" w:space="0" w:color="auto"/>
              <w:right w:val="single" w:sz="4" w:space="0" w:color="auto"/>
            </w:tcBorders>
            <w:shd w:val="clear" w:color="000000" w:fill="FFFFFF"/>
            <w:vAlign w:val="bottom"/>
            <w:hideMark/>
          </w:tcPr>
          <w:p w14:paraId="2B8009AA" w14:textId="77777777" w:rsidR="009B20E0" w:rsidRPr="003C3685" w:rsidRDefault="009B20E0" w:rsidP="009B20E0">
            <w:pPr>
              <w:spacing w:after="0"/>
              <w:ind w:firstLine="0"/>
              <w:jc w:val="right"/>
              <w:rPr>
                <w:rFonts w:eastAsia="Times New Roman" w:cs="Times New Roman"/>
                <w:color w:val="000000"/>
                <w:sz w:val="20"/>
                <w:szCs w:val="20"/>
                <w:lang w:eastAsia="lv-LV"/>
              </w:rPr>
            </w:pPr>
            <w:r>
              <w:rPr>
                <w:rFonts w:eastAsia="Times New Roman" w:cs="Times New Roman"/>
                <w:color w:val="000000"/>
                <w:sz w:val="20"/>
                <w:szCs w:val="20"/>
                <w:lang w:eastAsia="lv-LV"/>
              </w:rPr>
              <w:t>90,7</w:t>
            </w:r>
          </w:p>
        </w:tc>
      </w:tr>
    </w:tbl>
    <w:p w14:paraId="0B1E3352" w14:textId="77777777" w:rsidR="00B510B1" w:rsidRPr="00DF2E99" w:rsidRDefault="00B510B1" w:rsidP="00B510B1">
      <w:pPr>
        <w:spacing w:before="120"/>
        <w:ind w:firstLine="720"/>
        <w:rPr>
          <w:sz w:val="10"/>
          <w:lang w:eastAsia="lv-LV"/>
        </w:rPr>
      </w:pPr>
    </w:p>
    <w:p w14:paraId="20A38FBB" w14:textId="77777777" w:rsidR="00B510B1" w:rsidRPr="001C1C52" w:rsidRDefault="00B510B1" w:rsidP="00B510B1">
      <w:pPr>
        <w:spacing w:before="120"/>
        <w:ind w:firstLine="720"/>
        <w:rPr>
          <w:sz w:val="24"/>
          <w:lang w:eastAsia="lv-LV"/>
        </w:rPr>
      </w:pPr>
      <w:r w:rsidRPr="001C1C52">
        <w:rPr>
          <w:sz w:val="24"/>
          <w:lang w:eastAsia="lv-LV"/>
        </w:rPr>
        <w:t xml:space="preserve">Valsts pamatbudžeta izdevumi Eiropas Savienības politiku instrumentu un pārējās ārvalstu finanšu palīdzības līdzfinansēto un finansēto projektu un pasākumu īstenošanai 2015.gada pirmajā ceturksnī bija 262,6 milj. </w:t>
      </w:r>
      <w:r w:rsidRPr="001C1C52">
        <w:rPr>
          <w:i/>
          <w:sz w:val="24"/>
          <w:lang w:eastAsia="lv-LV"/>
        </w:rPr>
        <w:t>euro</w:t>
      </w:r>
      <w:r w:rsidRPr="001C1C52">
        <w:rPr>
          <w:sz w:val="24"/>
          <w:lang w:eastAsia="lv-LV"/>
        </w:rPr>
        <w:t xml:space="preserve">, kas ir par 7,4 milj. </w:t>
      </w:r>
      <w:r w:rsidRPr="001C1C52">
        <w:rPr>
          <w:i/>
          <w:sz w:val="24"/>
          <w:lang w:eastAsia="lv-LV"/>
        </w:rPr>
        <w:t>euro</w:t>
      </w:r>
      <w:r w:rsidRPr="001C1C52">
        <w:rPr>
          <w:sz w:val="24"/>
          <w:lang w:eastAsia="lv-LV"/>
        </w:rPr>
        <w:t xml:space="preserve"> jeb 2,9% vairāk nekā 2014.gada atbilstošajā periodā.</w:t>
      </w:r>
    </w:p>
    <w:p w14:paraId="3DCDC297" w14:textId="77777777" w:rsidR="00AA0E06" w:rsidRPr="00DF2E99" w:rsidRDefault="00AA0E06" w:rsidP="00B510B1">
      <w:pPr>
        <w:spacing w:before="120"/>
        <w:ind w:firstLine="720"/>
        <w:rPr>
          <w:sz w:val="6"/>
          <w:lang w:eastAsia="lv-LV"/>
        </w:rPr>
      </w:pPr>
    </w:p>
    <w:p w14:paraId="19AEE38A" w14:textId="77777777" w:rsidR="00B510B1" w:rsidRDefault="00B510B1" w:rsidP="00EF354D">
      <w:pPr>
        <w:spacing w:before="120"/>
        <w:ind w:firstLine="0"/>
        <w:jc w:val="center"/>
        <w:rPr>
          <w:lang w:eastAsia="lv-LV"/>
        </w:rPr>
      </w:pPr>
      <w:r>
        <w:rPr>
          <w:noProof/>
          <w:lang w:eastAsia="lv-LV"/>
        </w:rPr>
        <w:drawing>
          <wp:inline distT="0" distB="0" distL="0" distR="0" wp14:anchorId="3546B88B" wp14:editId="75226CB5">
            <wp:extent cx="5524500" cy="283823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5222" cy="2854014"/>
                    </a:xfrm>
                    <a:prstGeom prst="rect">
                      <a:avLst/>
                    </a:prstGeom>
                    <a:noFill/>
                    <a:ln>
                      <a:noFill/>
                    </a:ln>
                  </pic:spPr>
                </pic:pic>
              </a:graphicData>
            </a:graphic>
          </wp:inline>
        </w:drawing>
      </w:r>
    </w:p>
    <w:p w14:paraId="655BDFF3" w14:textId="77777777" w:rsidR="00B510B1" w:rsidRPr="00EF354D" w:rsidRDefault="00234FC7" w:rsidP="00B510B1">
      <w:pPr>
        <w:spacing w:after="240"/>
        <w:ind w:firstLine="0"/>
        <w:jc w:val="center"/>
        <w:rPr>
          <w:b/>
          <w:sz w:val="20"/>
          <w:szCs w:val="24"/>
        </w:rPr>
      </w:pPr>
      <w:r w:rsidRPr="00EF354D">
        <w:rPr>
          <w:b/>
          <w:sz w:val="20"/>
          <w:szCs w:val="24"/>
        </w:rPr>
        <w:t>2.14.</w:t>
      </w:r>
      <w:r w:rsidR="00545078" w:rsidRPr="00EF354D">
        <w:rPr>
          <w:b/>
          <w:sz w:val="20"/>
          <w:szCs w:val="24"/>
        </w:rPr>
        <w:t> </w:t>
      </w:r>
      <w:r w:rsidR="00B510B1" w:rsidRPr="00EF354D">
        <w:rPr>
          <w:b/>
          <w:sz w:val="20"/>
          <w:szCs w:val="24"/>
        </w:rPr>
        <w:t>att. Izdevumi Eiropas Savienības politiku instrumentu un pārējās ārvalstu finanšu palīdzības līdzfinansēto un finansēto projektu un pasākumu īstenošanai atbilstoši ekonomiskajai klasifikācijai, milj. euro un % izmaiņas pret iepriekšējā gada attiecīgo periodu</w:t>
      </w:r>
    </w:p>
    <w:p w14:paraId="10AB5DAC" w14:textId="77777777" w:rsidR="00B510B1" w:rsidRPr="001C1C52" w:rsidRDefault="00B510B1" w:rsidP="00B510B1">
      <w:pPr>
        <w:spacing w:before="120" w:after="240"/>
        <w:ind w:firstLine="720"/>
        <w:rPr>
          <w:sz w:val="24"/>
        </w:rPr>
      </w:pPr>
      <w:r w:rsidRPr="001C1C52">
        <w:rPr>
          <w:sz w:val="24"/>
        </w:rPr>
        <w:t xml:space="preserve">Lielākā daļa izdevumu Eiropas Savienības politiku instrumentu un pārējās ārvalstu finanšu palīdzības līdzfinansēto un finansēto projektu un pasākumu īstenošanai 2015.gada </w:t>
      </w:r>
      <w:r w:rsidR="00EE72C7" w:rsidRPr="001C1C52">
        <w:rPr>
          <w:sz w:val="24"/>
        </w:rPr>
        <w:t>pirmajā</w:t>
      </w:r>
      <w:r w:rsidRPr="001C1C52">
        <w:rPr>
          <w:sz w:val="24"/>
        </w:rPr>
        <w:t xml:space="preserve"> ceturksnī tika veikti ekonomiskās klasifikācijas kodā – subsīdijas un dotācijas (68,4%) un kapitālie izdevumi (20,8%), savukārt mazākā daļa izdevumu - kārtējiem maksājumiem Eiropas Savienības budžetā un starptautiskā sadarbībai (0,3%), kā arī sociāliem pabalstiem (0,5%).</w:t>
      </w:r>
    </w:p>
    <w:p w14:paraId="193554A5" w14:textId="77777777" w:rsidR="00B510B1" w:rsidRDefault="00B510B1" w:rsidP="00EF354D">
      <w:pPr>
        <w:spacing w:before="120"/>
        <w:ind w:firstLine="0"/>
        <w:jc w:val="center"/>
      </w:pPr>
      <w:r>
        <w:rPr>
          <w:noProof/>
          <w:lang w:eastAsia="lv-LV"/>
        </w:rPr>
        <w:drawing>
          <wp:inline distT="0" distB="0" distL="0" distR="0" wp14:anchorId="44B14F25" wp14:editId="61360DCA">
            <wp:extent cx="5669915" cy="321310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9915" cy="3213100"/>
                    </a:xfrm>
                    <a:prstGeom prst="rect">
                      <a:avLst/>
                    </a:prstGeom>
                    <a:noFill/>
                    <a:ln>
                      <a:noFill/>
                    </a:ln>
                  </pic:spPr>
                </pic:pic>
              </a:graphicData>
            </a:graphic>
          </wp:inline>
        </w:drawing>
      </w:r>
    </w:p>
    <w:p w14:paraId="2DFD0A85" w14:textId="77777777" w:rsidR="00B510B1" w:rsidRPr="00EF354D" w:rsidRDefault="00234FC7" w:rsidP="00B510B1">
      <w:pPr>
        <w:ind w:firstLine="0"/>
        <w:jc w:val="center"/>
        <w:rPr>
          <w:b/>
          <w:sz w:val="20"/>
          <w:szCs w:val="24"/>
        </w:rPr>
      </w:pPr>
      <w:r w:rsidRPr="00EF354D">
        <w:rPr>
          <w:b/>
          <w:sz w:val="20"/>
          <w:szCs w:val="24"/>
        </w:rPr>
        <w:t>2.15</w:t>
      </w:r>
      <w:r w:rsidR="00B510B1" w:rsidRPr="00EF354D">
        <w:rPr>
          <w:b/>
          <w:sz w:val="20"/>
          <w:szCs w:val="24"/>
        </w:rPr>
        <w:t>.</w:t>
      </w:r>
      <w:r w:rsidR="00545078" w:rsidRPr="00EF354D">
        <w:rPr>
          <w:b/>
          <w:sz w:val="20"/>
          <w:szCs w:val="24"/>
        </w:rPr>
        <w:t> </w:t>
      </w:r>
      <w:r w:rsidR="00B510B1" w:rsidRPr="00EF354D">
        <w:rPr>
          <w:b/>
          <w:sz w:val="20"/>
          <w:szCs w:val="24"/>
        </w:rPr>
        <w:t>att. Valsts pamatbudžeta izdevumi ES fondu apguvei un pamatfunkciju finansēšanai (milj. euro)</w:t>
      </w:r>
    </w:p>
    <w:p w14:paraId="5F895C38" w14:textId="77777777" w:rsidR="00DF2E99" w:rsidRPr="00DF2E99" w:rsidRDefault="00DF2E99" w:rsidP="00B510B1">
      <w:pPr>
        <w:ind w:firstLine="0"/>
        <w:jc w:val="center"/>
        <w:rPr>
          <w:b/>
          <w:i/>
          <w:sz w:val="16"/>
          <w:szCs w:val="24"/>
        </w:rPr>
      </w:pPr>
    </w:p>
    <w:p w14:paraId="33A3AA42" w14:textId="77777777" w:rsidR="00B510B1" w:rsidRPr="001C1C52" w:rsidRDefault="00B510B1" w:rsidP="00B510B1">
      <w:pPr>
        <w:rPr>
          <w:sz w:val="24"/>
        </w:rPr>
      </w:pPr>
      <w:r w:rsidRPr="001C1C52">
        <w:rPr>
          <w:sz w:val="24"/>
        </w:rPr>
        <w:t xml:space="preserve">Tendence, ka gada beigās pieaug izdevumu apjoms ES politiku instrumentu un pārējās ārvalstu finanšu palīdzības līdzfinansēto un finansēto projektu un pasākumu īstenošanai bija vērojama jau iepriekšējos gados. Attēlā redzams, ka 2014.gadā decembrī izdevumi ES fondu apguvei bija 288 milj. </w:t>
      </w:r>
      <w:r w:rsidRPr="001C1C52">
        <w:rPr>
          <w:i/>
          <w:sz w:val="24"/>
        </w:rPr>
        <w:t>euro</w:t>
      </w:r>
      <w:r w:rsidRPr="001C1C52">
        <w:rPr>
          <w:sz w:val="24"/>
        </w:rPr>
        <w:t>, kas būtiski pārsniedza izdevumus citos mēnešos. Savukārt gan 2014.gada, gan 2015.gada pirmajā ceturksnī šie izdevumi ir aptuveni līdzīgā apjomā.</w:t>
      </w:r>
    </w:p>
    <w:p w14:paraId="28C77E9E" w14:textId="77777777" w:rsidR="00B510B1" w:rsidRPr="001C1C52" w:rsidRDefault="00B510B1" w:rsidP="00B510B1">
      <w:pPr>
        <w:tabs>
          <w:tab w:val="left" w:pos="2205"/>
        </w:tabs>
        <w:rPr>
          <w:sz w:val="24"/>
          <w:lang w:eastAsia="lv-LV"/>
        </w:rPr>
      </w:pPr>
    </w:p>
    <w:p w14:paraId="085148AC" w14:textId="77777777" w:rsidR="00B510B1" w:rsidRPr="00B510B1" w:rsidRDefault="00B510B1" w:rsidP="00B510B1">
      <w:pPr>
        <w:rPr>
          <w:lang w:eastAsia="lv-LV"/>
        </w:rPr>
      </w:pPr>
    </w:p>
    <w:p w14:paraId="315D96B9" w14:textId="77777777" w:rsidR="006415B1" w:rsidRDefault="006415B1">
      <w:pPr>
        <w:spacing w:after="0"/>
        <w:ind w:firstLine="0"/>
        <w:jc w:val="left"/>
        <w:rPr>
          <w:lang w:eastAsia="lv-LV"/>
        </w:rPr>
      </w:pPr>
      <w:r>
        <w:rPr>
          <w:lang w:eastAsia="lv-LV"/>
        </w:rPr>
        <w:br w:type="page"/>
      </w:r>
    </w:p>
    <w:p w14:paraId="6E6BFF6F" w14:textId="77777777" w:rsidR="00B510B1" w:rsidRPr="00B510B1" w:rsidRDefault="00B510B1" w:rsidP="00B510B1">
      <w:pPr>
        <w:rPr>
          <w:lang w:eastAsia="lv-LV"/>
        </w:rPr>
      </w:pPr>
    </w:p>
    <w:p w14:paraId="4033496C" w14:textId="77777777" w:rsidR="006415B1" w:rsidRPr="002237FD" w:rsidRDefault="00DE56E7" w:rsidP="002237FD">
      <w:pPr>
        <w:pStyle w:val="Style2"/>
        <w:jc w:val="center"/>
        <w:rPr>
          <w:szCs w:val="28"/>
        </w:rPr>
      </w:pPr>
      <w:bookmarkStart w:id="87" w:name="_Toc419737741"/>
      <w:r>
        <w:rPr>
          <w:szCs w:val="28"/>
        </w:rPr>
        <w:t>2.4. </w:t>
      </w:r>
      <w:hyperlink w:anchor="_Toc325101930" w:history="1">
        <w:bookmarkStart w:id="88" w:name="_Toc356399264"/>
        <w:bookmarkStart w:id="89" w:name="_Toc387845629"/>
        <w:bookmarkStart w:id="90" w:name="_Toc387911153"/>
        <w:r w:rsidR="006415B1" w:rsidRPr="002237FD">
          <w:rPr>
            <w:szCs w:val="28"/>
          </w:rPr>
          <w:t>Pašvaldību budžeta izpilde</w:t>
        </w:r>
        <w:bookmarkEnd w:id="88"/>
        <w:bookmarkEnd w:id="89"/>
        <w:bookmarkEnd w:id="90"/>
        <w:bookmarkEnd w:id="87"/>
      </w:hyperlink>
    </w:p>
    <w:p w14:paraId="0A949712" w14:textId="77777777" w:rsidR="006415B1" w:rsidRPr="001C1C52" w:rsidRDefault="006415B1" w:rsidP="006415B1">
      <w:pPr>
        <w:rPr>
          <w:sz w:val="2"/>
        </w:rPr>
      </w:pPr>
    </w:p>
    <w:p w14:paraId="0174310F" w14:textId="77777777" w:rsidR="006415B1" w:rsidRPr="001C1C52" w:rsidRDefault="006415B1" w:rsidP="006415B1">
      <w:pPr>
        <w:spacing w:after="0"/>
        <w:rPr>
          <w:sz w:val="24"/>
          <w:highlight w:val="yellow"/>
        </w:rPr>
      </w:pPr>
      <w:bookmarkStart w:id="91" w:name="_Toc356399265"/>
      <w:bookmarkStart w:id="92" w:name="_Toc356399266"/>
      <w:bookmarkStart w:id="93" w:name="_Toc356399267"/>
      <w:r w:rsidRPr="001C1C52">
        <w:rPr>
          <w:sz w:val="24"/>
        </w:rPr>
        <w:t xml:space="preserve">Pašvaldību konsolidētajā budžetā šā gada pirmajā ceturksnī bija izveidojies finansiālais pārpalikums 65,6 milj. </w:t>
      </w:r>
      <w:r w:rsidRPr="001C1C52">
        <w:rPr>
          <w:i/>
          <w:sz w:val="24"/>
        </w:rPr>
        <w:t>euro</w:t>
      </w:r>
      <w:r w:rsidRPr="001C1C52">
        <w:rPr>
          <w:sz w:val="24"/>
        </w:rPr>
        <w:t xml:space="preserve"> apmērā, kas salīdzinājumā ar iepriekšējo gadu ir samazinājies par 12,6 milj. </w:t>
      </w:r>
      <w:r w:rsidRPr="001C1C52">
        <w:rPr>
          <w:i/>
          <w:sz w:val="24"/>
        </w:rPr>
        <w:t>euro</w:t>
      </w:r>
      <w:r w:rsidRPr="001C1C52">
        <w:rPr>
          <w:sz w:val="24"/>
        </w:rPr>
        <w:t xml:space="preserve">. </w:t>
      </w:r>
      <w:bookmarkEnd w:id="91"/>
      <w:r w:rsidRPr="001C1C52">
        <w:rPr>
          <w:sz w:val="24"/>
        </w:rPr>
        <w:t>Finansiālā pārpalikuma samazinājumu pamatā noteica mazāki pašvaldību transfertu ieņēmumi no valsts pamatbudžeta ES fondu projektu īstenošanai.</w:t>
      </w:r>
    </w:p>
    <w:p w14:paraId="618AC3AB" w14:textId="77777777" w:rsidR="006415B1" w:rsidRPr="001C1C52" w:rsidRDefault="006415B1" w:rsidP="006415B1">
      <w:pPr>
        <w:spacing w:after="0"/>
        <w:rPr>
          <w:sz w:val="24"/>
        </w:rPr>
      </w:pPr>
      <w:r w:rsidRPr="001C1C52">
        <w:rPr>
          <w:sz w:val="24"/>
        </w:rPr>
        <w:t>2015. gada pirmajā ceturksnī pašvaldību konsolidētā budžeta ieņēmumi bija 533,4 milj. </w:t>
      </w:r>
      <w:r w:rsidRPr="001C1C52">
        <w:rPr>
          <w:i/>
          <w:sz w:val="24"/>
        </w:rPr>
        <w:t>euro</w:t>
      </w:r>
      <w:r w:rsidRPr="001C1C52">
        <w:rPr>
          <w:sz w:val="24"/>
        </w:rPr>
        <w:t xml:space="preserve">, kas salīdzinājumā ar 2014. gada pirmo ceturksni pieauga par 19,0 milj. </w:t>
      </w:r>
      <w:r w:rsidRPr="001C1C52">
        <w:rPr>
          <w:i/>
          <w:sz w:val="24"/>
        </w:rPr>
        <w:t>euro</w:t>
      </w:r>
      <w:r w:rsidRPr="001C1C52">
        <w:rPr>
          <w:sz w:val="24"/>
        </w:rPr>
        <w:t xml:space="preserve"> jeb par 3,7%. Vērtējot pašvaldību konsolidētā budžeta lielākās ieņēmumu pozīcijas, var secināt, ka ieņēmumu pieaugumu galvenokārt nodrošināja nodokļu ieņēmumu pieaugums 19,5 milj. </w:t>
      </w:r>
      <w:r w:rsidRPr="001C1C52">
        <w:rPr>
          <w:i/>
          <w:sz w:val="24"/>
        </w:rPr>
        <w:t>euro</w:t>
      </w:r>
      <w:r w:rsidRPr="001C1C52">
        <w:rPr>
          <w:sz w:val="24"/>
        </w:rPr>
        <w:t xml:space="preserve"> apmērā jeb par 6,0%, kur būtiskāko pieaugumu nodrošināja ieņēmumu pieaugums no IIN, kas palielinājās par 12,3 milj. </w:t>
      </w:r>
      <w:r w:rsidRPr="001C1C52">
        <w:rPr>
          <w:i/>
          <w:sz w:val="24"/>
        </w:rPr>
        <w:t>euro</w:t>
      </w:r>
      <w:r w:rsidRPr="001C1C52">
        <w:rPr>
          <w:sz w:val="24"/>
        </w:rPr>
        <w:t xml:space="preserve"> jeb 5,0%, kas galvenokārt skaidrojams ar vidējās darba algas pieaugumu. Jāatzīmē, ka pagājušā gada pirmā ceturkšņa IIN ieņēmumi bija zemāki arī dēļ </w:t>
      </w:r>
      <w:r w:rsidRPr="001C1C52">
        <w:rPr>
          <w:i/>
          <w:sz w:val="24"/>
        </w:rPr>
        <w:t>euro</w:t>
      </w:r>
      <w:r w:rsidRPr="001C1C52">
        <w:rPr>
          <w:sz w:val="24"/>
        </w:rPr>
        <w:t xml:space="preserve"> ieviešanas, kad daļa maksājumu par 2014.gada janvāri tika samaksāti jau 2013.gada decembrī. Labu izpildi nodokļu ieņēmumos veicināja arī NĪN ieņēmumu pieaugums 5,5 milj. </w:t>
      </w:r>
      <w:r w:rsidRPr="001C1C52">
        <w:rPr>
          <w:i/>
          <w:sz w:val="24"/>
        </w:rPr>
        <w:t>euro</w:t>
      </w:r>
      <w:r w:rsidRPr="001C1C52">
        <w:rPr>
          <w:sz w:val="24"/>
        </w:rPr>
        <w:t xml:space="preserve"> apmērā jeb par 7,5%, kur lielākais pieaugums ir bijis Rīgas pašvaldībai – 2,7 milj. </w:t>
      </w:r>
      <w:r w:rsidRPr="001C1C52">
        <w:rPr>
          <w:i/>
          <w:sz w:val="24"/>
        </w:rPr>
        <w:t>euro</w:t>
      </w:r>
      <w:r w:rsidRPr="001C1C52">
        <w:rPr>
          <w:sz w:val="24"/>
        </w:rPr>
        <w:t xml:space="preserve"> apmērā jeb par 9,7%. NĪN ieņēmumu pieaugumu pamatā noteica Valsts zemes dienesta pārskatītās kadastrālās vērtības.</w:t>
      </w:r>
    </w:p>
    <w:p w14:paraId="2381724E" w14:textId="77777777" w:rsidR="006415B1" w:rsidRDefault="006415B1" w:rsidP="006415B1">
      <w:pPr>
        <w:spacing w:after="0"/>
      </w:pPr>
      <w:r>
        <w:rPr>
          <w:noProof/>
          <w:lang w:eastAsia="lv-LV"/>
        </w:rPr>
        <w:drawing>
          <wp:anchor distT="0" distB="0" distL="114300" distR="114300" simplePos="0" relativeHeight="251661312" behindDoc="0" locked="0" layoutInCell="1" allowOverlap="1" wp14:anchorId="71BBE5EE" wp14:editId="5070DCB6">
            <wp:simplePos x="0" y="0"/>
            <wp:positionH relativeFrom="margin">
              <wp:align>center</wp:align>
            </wp:positionH>
            <wp:positionV relativeFrom="paragraph">
              <wp:posOffset>220497</wp:posOffset>
            </wp:positionV>
            <wp:extent cx="4034155" cy="2881630"/>
            <wp:effectExtent l="0" t="0" r="4445" b="13970"/>
            <wp:wrapTopAndBottom/>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380AF0F4" w14:textId="77777777" w:rsidR="006415B1" w:rsidRPr="00D24FBD" w:rsidRDefault="006415B1" w:rsidP="006415B1">
      <w:pPr>
        <w:ind w:firstLine="0"/>
        <w:jc w:val="center"/>
        <w:rPr>
          <w:rFonts w:cs="Times New Roman"/>
          <w:b/>
          <w:i/>
          <w:sz w:val="24"/>
        </w:rPr>
      </w:pPr>
    </w:p>
    <w:p w14:paraId="16CA9995" w14:textId="77777777" w:rsidR="006415B1" w:rsidRPr="00EF354D" w:rsidRDefault="00234FC7" w:rsidP="00EF354D">
      <w:pPr>
        <w:spacing w:after="240"/>
        <w:ind w:firstLine="0"/>
        <w:jc w:val="center"/>
        <w:rPr>
          <w:sz w:val="22"/>
        </w:rPr>
      </w:pPr>
      <w:r w:rsidRPr="00EF354D">
        <w:rPr>
          <w:rFonts w:cs="Times New Roman"/>
          <w:b/>
          <w:sz w:val="20"/>
        </w:rPr>
        <w:t>2.16</w:t>
      </w:r>
      <w:r w:rsidR="006415B1" w:rsidRPr="00EF354D">
        <w:rPr>
          <w:rFonts w:cs="Times New Roman"/>
          <w:b/>
          <w:sz w:val="20"/>
        </w:rPr>
        <w:t>. att. Pašvaldību konsolidētā budžeta ieņēmumi un izdevumi, % pret iepriekšējā gada atbilstošo periodu</w:t>
      </w:r>
    </w:p>
    <w:bookmarkEnd w:id="92"/>
    <w:bookmarkEnd w:id="93"/>
    <w:p w14:paraId="7572B3E8" w14:textId="77777777" w:rsidR="006415B1" w:rsidRDefault="006415B1" w:rsidP="00EF354D">
      <w:pPr>
        <w:rPr>
          <w:lang w:eastAsia="lv-LV"/>
        </w:rPr>
      </w:pPr>
      <w:r w:rsidRPr="001C1C52">
        <w:rPr>
          <w:sz w:val="24"/>
        </w:rPr>
        <w:t xml:space="preserve">Pašvaldību konsolidētā budžeta izdevumi 2015.gada pirmajā ceturksnī bija 467,9 milj. </w:t>
      </w:r>
      <w:r w:rsidRPr="001C1C52">
        <w:rPr>
          <w:i/>
          <w:sz w:val="24"/>
        </w:rPr>
        <w:t>euro</w:t>
      </w:r>
      <w:r w:rsidRPr="001C1C52">
        <w:rPr>
          <w:sz w:val="24"/>
        </w:rPr>
        <w:t xml:space="preserve">. Pieauguma temps pašvaldību konsolidētā budžeta izdevumiem bija straujāks nekā ieņēmumiem un tie pieauga par 31,7 milj. </w:t>
      </w:r>
      <w:r w:rsidRPr="001C1C52">
        <w:rPr>
          <w:i/>
          <w:sz w:val="24"/>
        </w:rPr>
        <w:t>euro</w:t>
      </w:r>
      <w:r w:rsidRPr="001C1C52">
        <w:rPr>
          <w:sz w:val="24"/>
        </w:rPr>
        <w:t xml:space="preserve"> jeb par 7,3% salīdzinājumā ar pagājušā gada pirmo ceturksni. Minēto izdevumu pieaugumu noteica galvenokārt ar atlīdzību saistīto izmaksu pieaugums pašvaldībās, kas salīdzinājumā ar iepriekšējo gada pirmo ceturksni palielinājās par 28,8 milj. </w:t>
      </w:r>
      <w:r w:rsidRPr="001C1C52">
        <w:rPr>
          <w:i/>
          <w:sz w:val="24"/>
        </w:rPr>
        <w:t>euro</w:t>
      </w:r>
      <w:r w:rsidRPr="001C1C52">
        <w:rPr>
          <w:sz w:val="24"/>
        </w:rPr>
        <w:t xml:space="preserve"> jeb 16,2%. Tas ir skaidrojams ar šā gada janvārī Rīgas domes veiktajiem algu maksājumiem par 2014.gada decembri, kas iepriekšējos gados  tika izmaksāti kalendārā gada beigās, kā arī ar vidējās algas pieaugumu pašvaldību sektorā strādājošajiem. Pašvaldību sociālo pabalstu izdevumi turpina kristies ceturto gadu pēc kārtas un 2015.gada pirmajā ceturksnī vēl samazinājās par 2,4 milj. </w:t>
      </w:r>
      <w:r w:rsidRPr="001C1C52">
        <w:rPr>
          <w:i/>
          <w:sz w:val="24"/>
        </w:rPr>
        <w:t>euro</w:t>
      </w:r>
      <w:r w:rsidRPr="001C1C52">
        <w:rPr>
          <w:sz w:val="24"/>
        </w:rPr>
        <w:t xml:space="preserve"> jeb par 10,1% salīdzinājumā ar iepriekšējā gada pirmo ceturksni. Kritumu pašvaldību sociālo pabalstu izdevumiem daļēji var skaidrot ar ekonomiskās situācijas uzlabošanos pēdējo gadu laikā.</w:t>
      </w:r>
      <w:r w:rsidR="00EF354D">
        <w:rPr>
          <w:sz w:val="24"/>
        </w:rPr>
        <w:t xml:space="preserve"> </w:t>
      </w:r>
      <w:r>
        <w:rPr>
          <w:lang w:eastAsia="lv-LV"/>
        </w:rPr>
        <w:br w:type="page"/>
      </w:r>
    </w:p>
    <w:p w14:paraId="4C6CAFC2" w14:textId="77777777" w:rsidR="006415B1" w:rsidRPr="001C1C52" w:rsidRDefault="00DE56E7" w:rsidP="00DE56E7">
      <w:pPr>
        <w:pStyle w:val="Style3"/>
        <w:jc w:val="center"/>
        <w:rPr>
          <w:rFonts w:eastAsiaTheme="majorEastAsia"/>
          <w:szCs w:val="28"/>
        </w:rPr>
      </w:pPr>
      <w:bookmarkStart w:id="94" w:name="_Toc419737742"/>
      <w:r>
        <w:rPr>
          <w:szCs w:val="28"/>
        </w:rPr>
        <w:t>2.5</w:t>
      </w:r>
      <w:r w:rsidR="001C1C52">
        <w:rPr>
          <w:szCs w:val="28"/>
        </w:rPr>
        <w:t>. </w:t>
      </w:r>
      <w:hyperlink w:anchor="_Toc325101931" w:history="1">
        <w:bookmarkStart w:id="95" w:name="_Toc356399270"/>
        <w:bookmarkStart w:id="96" w:name="_Toc356399767"/>
        <w:bookmarkStart w:id="97" w:name="_Toc418847872"/>
        <w:r w:rsidR="006415B1" w:rsidRPr="001C1C52">
          <w:rPr>
            <w:rFonts w:eastAsiaTheme="majorEastAsia"/>
            <w:szCs w:val="28"/>
          </w:rPr>
          <w:t>Valsts aizdevumu kopsavilkums</w:t>
        </w:r>
        <w:bookmarkEnd w:id="95"/>
        <w:bookmarkEnd w:id="96"/>
        <w:bookmarkEnd w:id="97"/>
        <w:bookmarkEnd w:id="94"/>
      </w:hyperlink>
    </w:p>
    <w:p w14:paraId="009F95A6" w14:textId="77777777" w:rsidR="006415B1" w:rsidRPr="001C1C52" w:rsidRDefault="006415B1" w:rsidP="00EF354D">
      <w:pPr>
        <w:rPr>
          <w:sz w:val="24"/>
        </w:rPr>
      </w:pPr>
      <w:r w:rsidRPr="001C1C52">
        <w:rPr>
          <w:sz w:val="24"/>
        </w:rPr>
        <w:t>Likumā „Par valsts budžetu 2015.gadam” valsts aizdevumu kopējais palielinājums 2015.gadā ir noteikts 296,0 milj.</w:t>
      </w:r>
      <w:r w:rsidRPr="001C1C52">
        <w:rPr>
          <w:i/>
          <w:sz w:val="24"/>
        </w:rPr>
        <w:t>euro</w:t>
      </w:r>
      <w:r w:rsidRPr="001C1C52">
        <w:rPr>
          <w:sz w:val="24"/>
        </w:rPr>
        <w:t xml:space="preserve"> apmērā, t.sk. pašvaldību aizņēmumu kopējais palielinājums 118,1 milj.</w:t>
      </w:r>
      <w:r w:rsidRPr="001C1C52">
        <w:rPr>
          <w:i/>
          <w:sz w:val="24"/>
        </w:rPr>
        <w:t>euro</w:t>
      </w:r>
      <w:r w:rsidRPr="001C1C52">
        <w:rPr>
          <w:sz w:val="24"/>
        </w:rPr>
        <w:t xml:space="preserve"> apmērā. Savukārt kopējais 2015.gadā pieļaujamais izsniedzamo valsts aizdevumu apmērs ir noteikts 399,6 milj.</w:t>
      </w:r>
      <w:r w:rsidRPr="001C1C52">
        <w:rPr>
          <w:i/>
          <w:sz w:val="24"/>
        </w:rPr>
        <w:t>euro</w:t>
      </w:r>
      <w:r w:rsidRPr="001C1C52">
        <w:rPr>
          <w:sz w:val="24"/>
        </w:rPr>
        <w:t xml:space="preserve"> apmērā, kas ietver gadskārtējā valsts budžeta likumā noteikto valsts aizdevumu kopējo palielinājumu 296,0 milj.</w:t>
      </w:r>
      <w:r w:rsidRPr="001C1C52">
        <w:rPr>
          <w:i/>
          <w:sz w:val="24"/>
        </w:rPr>
        <w:t>euro</w:t>
      </w:r>
      <w:r w:rsidRPr="001C1C52">
        <w:rPr>
          <w:sz w:val="24"/>
        </w:rPr>
        <w:t xml:space="preserve"> apmērā un iepriekšējos gados izsniegto valsts aizdevumu atmaksas 2015.gadā 103,6 milj.</w:t>
      </w:r>
      <w:r w:rsidRPr="001C1C52">
        <w:rPr>
          <w:i/>
          <w:sz w:val="24"/>
        </w:rPr>
        <w:t>euro</w:t>
      </w:r>
      <w:r w:rsidRPr="001C1C52">
        <w:rPr>
          <w:sz w:val="24"/>
        </w:rPr>
        <w:t xml:space="preserve"> apmērā.</w:t>
      </w:r>
    </w:p>
    <w:p w14:paraId="053CB190" w14:textId="77777777" w:rsidR="00433477" w:rsidRPr="00EF354D" w:rsidRDefault="00433477" w:rsidP="00433477">
      <w:pPr>
        <w:spacing w:after="0"/>
        <w:jc w:val="right"/>
        <w:rPr>
          <w:rFonts w:cs="Times New Roman"/>
          <w:b/>
          <w:sz w:val="20"/>
        </w:rPr>
      </w:pPr>
      <w:r w:rsidRPr="00EF354D">
        <w:rPr>
          <w:rFonts w:cs="Times New Roman"/>
          <w:b/>
          <w:sz w:val="20"/>
        </w:rPr>
        <w:t>2.</w:t>
      </w:r>
      <w:r w:rsidR="00234FC7" w:rsidRPr="00EF354D">
        <w:rPr>
          <w:rFonts w:cs="Times New Roman"/>
          <w:b/>
          <w:sz w:val="20"/>
        </w:rPr>
        <w:t>9</w:t>
      </w:r>
      <w:r w:rsidR="006415B1" w:rsidRPr="00EF354D">
        <w:rPr>
          <w:rFonts w:cs="Times New Roman"/>
          <w:b/>
          <w:sz w:val="20"/>
        </w:rPr>
        <w:t>.</w:t>
      </w:r>
      <w:r w:rsidRPr="00EF354D">
        <w:rPr>
          <w:rFonts w:cs="Times New Roman"/>
          <w:b/>
          <w:sz w:val="20"/>
        </w:rPr>
        <w:t> </w:t>
      </w:r>
      <w:r w:rsidR="006415B1" w:rsidRPr="00EF354D">
        <w:rPr>
          <w:rFonts w:cs="Times New Roman"/>
          <w:b/>
          <w:sz w:val="20"/>
        </w:rPr>
        <w:t>tabula. Izsniegti valsts aizdevumi un veiktās v</w:t>
      </w:r>
      <w:r w:rsidRPr="00EF354D">
        <w:rPr>
          <w:rFonts w:cs="Times New Roman"/>
          <w:b/>
          <w:sz w:val="20"/>
        </w:rPr>
        <w:t>alsts aizdevumu</w:t>
      </w:r>
    </w:p>
    <w:p w14:paraId="047493E5" w14:textId="77777777" w:rsidR="006415B1" w:rsidRPr="00EF354D" w:rsidRDefault="006415B1" w:rsidP="00433477">
      <w:pPr>
        <w:jc w:val="right"/>
        <w:rPr>
          <w:rFonts w:cs="Times New Roman"/>
          <w:b/>
          <w:sz w:val="20"/>
        </w:rPr>
      </w:pPr>
      <w:r w:rsidRPr="00EF354D">
        <w:rPr>
          <w:rFonts w:cs="Times New Roman"/>
          <w:b/>
          <w:sz w:val="20"/>
        </w:rPr>
        <w:t>atmaksas</w:t>
      </w:r>
      <w:r w:rsidRPr="00EF354D">
        <w:rPr>
          <w:b/>
          <w:sz w:val="22"/>
        </w:rPr>
        <w:t xml:space="preserve"> </w:t>
      </w:r>
      <w:r w:rsidRPr="00EF354D">
        <w:rPr>
          <w:rFonts w:cs="Times New Roman"/>
          <w:b/>
          <w:sz w:val="20"/>
        </w:rPr>
        <w:t>2014.gada I ceturksnī un 2015.gada I ceturksnī</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1370"/>
        <w:gridCol w:w="1370"/>
        <w:gridCol w:w="1336"/>
        <w:gridCol w:w="1357"/>
      </w:tblGrid>
      <w:tr w:rsidR="006415B1" w:rsidRPr="00565B8A" w14:paraId="4A8EDD19"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vAlign w:val="center"/>
          </w:tcPr>
          <w:p w14:paraId="075A681B" w14:textId="77777777" w:rsidR="006415B1" w:rsidRPr="00565B8A" w:rsidRDefault="006415B1" w:rsidP="00881D12">
            <w:pPr>
              <w:spacing w:after="0"/>
              <w:ind w:firstLine="0"/>
              <w:jc w:val="center"/>
              <w:rPr>
                <w:rFonts w:eastAsia="Times New Roman" w:cs="Times New Roman"/>
                <w:b/>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tcPr>
          <w:p w14:paraId="325898F2" w14:textId="77777777" w:rsidR="006415B1" w:rsidRPr="00565B8A" w:rsidRDefault="006415B1" w:rsidP="00881D12">
            <w:pPr>
              <w:spacing w:after="0"/>
              <w:ind w:firstLine="0"/>
              <w:jc w:val="center"/>
              <w:rPr>
                <w:rFonts w:eastAsia="Times New Roman" w:cs="Times New Roman"/>
                <w:b/>
                <w:sz w:val="20"/>
                <w:szCs w:val="20"/>
              </w:rPr>
            </w:pPr>
            <w:r w:rsidRPr="00565B8A">
              <w:rPr>
                <w:rFonts w:eastAsia="Times New Roman" w:cs="Times New Roman"/>
                <w:b/>
                <w:sz w:val="20"/>
                <w:szCs w:val="20"/>
              </w:rPr>
              <w:t xml:space="preserve">2014.gada plāns </w:t>
            </w:r>
          </w:p>
          <w:p w14:paraId="0BF048B8" w14:textId="77777777" w:rsidR="006415B1" w:rsidRPr="00565B8A" w:rsidRDefault="006415B1" w:rsidP="00881D12">
            <w:pPr>
              <w:spacing w:after="0"/>
              <w:ind w:firstLine="0"/>
              <w:jc w:val="center"/>
              <w:rPr>
                <w:rFonts w:eastAsia="Times New Roman" w:cs="Times New Roman"/>
                <w:i/>
                <w:sz w:val="20"/>
                <w:szCs w:val="20"/>
              </w:rPr>
            </w:pPr>
            <w:r w:rsidRPr="00565B8A">
              <w:rPr>
                <w:rFonts w:eastAsia="Times New Roman" w:cs="Times New Roman"/>
                <w:i/>
                <w:sz w:val="20"/>
                <w:szCs w:val="20"/>
              </w:rPr>
              <w:t>(euro)</w:t>
            </w:r>
          </w:p>
        </w:tc>
        <w:tc>
          <w:tcPr>
            <w:tcW w:w="1370" w:type="dxa"/>
            <w:tcBorders>
              <w:top w:val="single" w:sz="4" w:space="0" w:color="auto"/>
              <w:left w:val="single" w:sz="4" w:space="0" w:color="auto"/>
              <w:bottom w:val="single" w:sz="4" w:space="0" w:color="auto"/>
              <w:right w:val="single" w:sz="4" w:space="0" w:color="auto"/>
            </w:tcBorders>
            <w:vAlign w:val="center"/>
          </w:tcPr>
          <w:p w14:paraId="1C22754A" w14:textId="77777777" w:rsidR="006415B1" w:rsidRPr="00565B8A" w:rsidRDefault="006415B1" w:rsidP="00881D12">
            <w:pPr>
              <w:spacing w:after="0"/>
              <w:ind w:firstLine="0"/>
              <w:jc w:val="center"/>
              <w:rPr>
                <w:rFonts w:eastAsia="Times New Roman" w:cs="Times New Roman"/>
                <w:b/>
                <w:sz w:val="20"/>
                <w:szCs w:val="20"/>
              </w:rPr>
            </w:pPr>
            <w:r w:rsidRPr="00565B8A">
              <w:rPr>
                <w:rFonts w:eastAsia="Times New Roman" w:cs="Times New Roman"/>
                <w:b/>
                <w:sz w:val="20"/>
                <w:szCs w:val="20"/>
              </w:rPr>
              <w:t>Izpilde 01.01.2014.-31.03.2014.</w:t>
            </w:r>
          </w:p>
          <w:p w14:paraId="70FA656E" w14:textId="77777777" w:rsidR="006415B1" w:rsidRPr="00565B8A" w:rsidRDefault="006415B1" w:rsidP="00881D12">
            <w:pPr>
              <w:spacing w:after="0"/>
              <w:ind w:firstLine="0"/>
              <w:jc w:val="center"/>
              <w:rPr>
                <w:rFonts w:eastAsia="Times New Roman" w:cs="Times New Roman"/>
                <w:i/>
                <w:sz w:val="20"/>
                <w:szCs w:val="20"/>
              </w:rPr>
            </w:pPr>
            <w:r w:rsidRPr="00565B8A">
              <w:rPr>
                <w:rFonts w:eastAsia="Times New Roman" w:cs="Times New Roman"/>
                <w:i/>
                <w:sz w:val="20"/>
                <w:szCs w:val="20"/>
              </w:rPr>
              <w:t>(euro)</w:t>
            </w:r>
          </w:p>
        </w:tc>
        <w:tc>
          <w:tcPr>
            <w:tcW w:w="1336" w:type="dxa"/>
            <w:tcBorders>
              <w:top w:val="single" w:sz="4" w:space="0" w:color="auto"/>
              <w:left w:val="double" w:sz="4" w:space="0" w:color="auto"/>
              <w:bottom w:val="single" w:sz="4" w:space="0" w:color="auto"/>
              <w:right w:val="single" w:sz="4" w:space="0" w:color="auto"/>
            </w:tcBorders>
            <w:vAlign w:val="center"/>
            <w:hideMark/>
          </w:tcPr>
          <w:p w14:paraId="51122D16" w14:textId="77777777" w:rsidR="006415B1" w:rsidRPr="00565B8A" w:rsidRDefault="006415B1" w:rsidP="00881D12">
            <w:pPr>
              <w:spacing w:after="0"/>
              <w:ind w:firstLine="0"/>
              <w:jc w:val="center"/>
              <w:rPr>
                <w:rFonts w:eastAsia="Times New Roman" w:cs="Times New Roman"/>
                <w:b/>
                <w:sz w:val="20"/>
                <w:szCs w:val="20"/>
              </w:rPr>
            </w:pPr>
            <w:r w:rsidRPr="00565B8A">
              <w:rPr>
                <w:rFonts w:eastAsia="Times New Roman" w:cs="Times New Roman"/>
                <w:b/>
                <w:sz w:val="20"/>
                <w:szCs w:val="20"/>
              </w:rPr>
              <w:t>201</w:t>
            </w:r>
            <w:r>
              <w:rPr>
                <w:rFonts w:eastAsia="Times New Roman" w:cs="Times New Roman"/>
                <w:b/>
                <w:sz w:val="20"/>
                <w:szCs w:val="20"/>
              </w:rPr>
              <w:t>5</w:t>
            </w:r>
            <w:r w:rsidRPr="00565B8A">
              <w:rPr>
                <w:rFonts w:eastAsia="Times New Roman" w:cs="Times New Roman"/>
                <w:b/>
                <w:sz w:val="20"/>
                <w:szCs w:val="20"/>
              </w:rPr>
              <w:t xml:space="preserve">.gada plāns </w:t>
            </w:r>
          </w:p>
          <w:p w14:paraId="41589636" w14:textId="77777777" w:rsidR="006415B1" w:rsidRPr="00565B8A" w:rsidRDefault="006415B1" w:rsidP="00881D12">
            <w:pPr>
              <w:spacing w:after="0"/>
              <w:ind w:firstLine="0"/>
              <w:jc w:val="center"/>
              <w:rPr>
                <w:rFonts w:eastAsia="Times New Roman" w:cs="Times New Roman"/>
                <w:i/>
                <w:sz w:val="20"/>
                <w:szCs w:val="20"/>
              </w:rPr>
            </w:pPr>
            <w:r w:rsidRPr="00565B8A">
              <w:rPr>
                <w:rFonts w:eastAsia="Times New Roman" w:cs="Times New Roman"/>
                <w:i/>
                <w:sz w:val="20"/>
                <w:szCs w:val="20"/>
              </w:rPr>
              <w:t>(euro)</w:t>
            </w:r>
          </w:p>
        </w:tc>
        <w:tc>
          <w:tcPr>
            <w:tcW w:w="1357" w:type="dxa"/>
            <w:tcBorders>
              <w:top w:val="single" w:sz="4" w:space="0" w:color="auto"/>
              <w:left w:val="single" w:sz="4" w:space="0" w:color="auto"/>
              <w:bottom w:val="single" w:sz="4" w:space="0" w:color="auto"/>
              <w:right w:val="single" w:sz="4" w:space="0" w:color="auto"/>
            </w:tcBorders>
            <w:vAlign w:val="center"/>
            <w:hideMark/>
          </w:tcPr>
          <w:p w14:paraId="7E875AB3" w14:textId="77777777" w:rsidR="006415B1" w:rsidRPr="00565B8A" w:rsidRDefault="006415B1" w:rsidP="00881D12">
            <w:pPr>
              <w:spacing w:after="0"/>
              <w:ind w:firstLine="0"/>
              <w:jc w:val="center"/>
              <w:rPr>
                <w:rFonts w:eastAsia="Times New Roman" w:cs="Times New Roman"/>
                <w:b/>
                <w:sz w:val="20"/>
                <w:szCs w:val="20"/>
              </w:rPr>
            </w:pPr>
            <w:r>
              <w:rPr>
                <w:rFonts w:eastAsia="Times New Roman" w:cs="Times New Roman"/>
                <w:b/>
                <w:sz w:val="20"/>
                <w:szCs w:val="20"/>
              </w:rPr>
              <w:t>Izpilde 01.01.2015.-31.03.2015</w:t>
            </w:r>
            <w:r w:rsidRPr="00565B8A">
              <w:rPr>
                <w:rFonts w:eastAsia="Times New Roman" w:cs="Times New Roman"/>
                <w:b/>
                <w:sz w:val="20"/>
                <w:szCs w:val="20"/>
              </w:rPr>
              <w:t>.</w:t>
            </w:r>
          </w:p>
          <w:p w14:paraId="29AF7100" w14:textId="77777777" w:rsidR="006415B1" w:rsidRPr="00565B8A" w:rsidRDefault="006415B1" w:rsidP="00881D12">
            <w:pPr>
              <w:spacing w:after="0"/>
              <w:ind w:firstLine="0"/>
              <w:jc w:val="center"/>
              <w:rPr>
                <w:rFonts w:eastAsia="Times New Roman" w:cs="Times New Roman"/>
                <w:i/>
                <w:sz w:val="20"/>
                <w:szCs w:val="20"/>
              </w:rPr>
            </w:pPr>
            <w:r w:rsidRPr="00565B8A">
              <w:rPr>
                <w:rFonts w:eastAsia="Times New Roman" w:cs="Times New Roman"/>
                <w:i/>
                <w:sz w:val="20"/>
                <w:szCs w:val="20"/>
              </w:rPr>
              <w:t>(euro)</w:t>
            </w:r>
          </w:p>
        </w:tc>
      </w:tr>
      <w:tr w:rsidR="006415B1" w:rsidRPr="00565B8A" w14:paraId="507FAF29"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65C4E896" w14:textId="77777777" w:rsidR="006415B1" w:rsidRPr="00565B8A" w:rsidRDefault="006415B1" w:rsidP="00881D12">
            <w:pPr>
              <w:spacing w:after="0"/>
              <w:ind w:firstLine="0"/>
              <w:rPr>
                <w:rFonts w:eastAsia="Times New Roman" w:cs="Times New Roman"/>
                <w:b/>
                <w:sz w:val="20"/>
                <w:szCs w:val="20"/>
              </w:rPr>
            </w:pPr>
            <w:r w:rsidRPr="00565B8A">
              <w:rPr>
                <w:rFonts w:eastAsia="Times New Roman" w:cs="Times New Roman"/>
                <w:b/>
                <w:sz w:val="20"/>
                <w:szCs w:val="20"/>
              </w:rPr>
              <w:t>Izsniegtie valsts aizdevumi</w:t>
            </w:r>
          </w:p>
        </w:tc>
        <w:tc>
          <w:tcPr>
            <w:tcW w:w="1370" w:type="dxa"/>
            <w:tcBorders>
              <w:top w:val="single" w:sz="4" w:space="0" w:color="auto"/>
              <w:left w:val="single" w:sz="4" w:space="0" w:color="auto"/>
              <w:bottom w:val="single" w:sz="4" w:space="0" w:color="auto"/>
              <w:right w:val="single" w:sz="4" w:space="0" w:color="auto"/>
            </w:tcBorders>
          </w:tcPr>
          <w:p w14:paraId="4E1BC0E5" w14:textId="77777777" w:rsidR="006415B1" w:rsidRPr="00565B8A" w:rsidRDefault="006415B1" w:rsidP="00881D12">
            <w:pPr>
              <w:spacing w:after="200" w:line="276" w:lineRule="auto"/>
              <w:ind w:firstLine="0"/>
              <w:jc w:val="right"/>
              <w:rPr>
                <w:rFonts w:eastAsia="Times New Roman" w:cs="Times New Roman"/>
                <w:b/>
                <w:sz w:val="20"/>
                <w:szCs w:val="20"/>
              </w:rPr>
            </w:pPr>
            <w:r>
              <w:rPr>
                <w:rFonts w:eastAsia="Times New Roman" w:cs="Times New Roman"/>
                <w:b/>
                <w:sz w:val="20"/>
                <w:szCs w:val="20"/>
              </w:rPr>
              <w:t>373 514 891</w:t>
            </w:r>
          </w:p>
        </w:tc>
        <w:tc>
          <w:tcPr>
            <w:tcW w:w="1370" w:type="dxa"/>
            <w:tcBorders>
              <w:top w:val="single" w:sz="4" w:space="0" w:color="auto"/>
              <w:left w:val="single" w:sz="4" w:space="0" w:color="auto"/>
              <w:bottom w:val="single" w:sz="4" w:space="0" w:color="auto"/>
              <w:right w:val="single" w:sz="4" w:space="0" w:color="auto"/>
            </w:tcBorders>
          </w:tcPr>
          <w:p w14:paraId="19C3FB71" w14:textId="77777777" w:rsidR="006415B1" w:rsidRPr="00565B8A" w:rsidRDefault="006415B1" w:rsidP="00881D12">
            <w:pPr>
              <w:spacing w:after="200" w:line="276" w:lineRule="auto"/>
              <w:ind w:firstLine="0"/>
              <w:jc w:val="right"/>
              <w:rPr>
                <w:rFonts w:eastAsia="Times New Roman" w:cs="Times New Roman"/>
                <w:b/>
                <w:sz w:val="20"/>
                <w:szCs w:val="20"/>
              </w:rPr>
            </w:pPr>
            <w:r>
              <w:rPr>
                <w:rFonts w:eastAsia="Times New Roman" w:cs="Times New Roman"/>
                <w:b/>
                <w:sz w:val="20"/>
                <w:szCs w:val="20"/>
              </w:rPr>
              <w:t>27 374 902</w:t>
            </w:r>
          </w:p>
        </w:tc>
        <w:tc>
          <w:tcPr>
            <w:tcW w:w="1336" w:type="dxa"/>
            <w:tcBorders>
              <w:top w:val="single" w:sz="4" w:space="0" w:color="auto"/>
              <w:left w:val="double" w:sz="4" w:space="0" w:color="auto"/>
              <w:bottom w:val="single" w:sz="4" w:space="0" w:color="auto"/>
              <w:right w:val="single" w:sz="4" w:space="0" w:color="auto"/>
            </w:tcBorders>
          </w:tcPr>
          <w:p w14:paraId="0E91E742" w14:textId="77777777" w:rsidR="006415B1" w:rsidRPr="00565B8A" w:rsidRDefault="006415B1" w:rsidP="00881D12">
            <w:pPr>
              <w:spacing w:after="200" w:line="276" w:lineRule="auto"/>
              <w:ind w:firstLine="0"/>
              <w:jc w:val="right"/>
              <w:rPr>
                <w:rFonts w:eastAsia="Times New Roman" w:cs="Times New Roman"/>
                <w:b/>
                <w:sz w:val="20"/>
                <w:szCs w:val="20"/>
              </w:rPr>
            </w:pPr>
            <w:r>
              <w:rPr>
                <w:rFonts w:eastAsia="Times New Roman" w:cs="Times New Roman"/>
                <w:b/>
                <w:sz w:val="20"/>
                <w:szCs w:val="20"/>
              </w:rPr>
              <w:t>399 557 160</w:t>
            </w:r>
          </w:p>
        </w:tc>
        <w:tc>
          <w:tcPr>
            <w:tcW w:w="1357" w:type="dxa"/>
            <w:tcBorders>
              <w:top w:val="single" w:sz="4" w:space="0" w:color="auto"/>
              <w:left w:val="single" w:sz="4" w:space="0" w:color="auto"/>
              <w:bottom w:val="single" w:sz="4" w:space="0" w:color="auto"/>
              <w:right w:val="single" w:sz="4" w:space="0" w:color="auto"/>
            </w:tcBorders>
          </w:tcPr>
          <w:p w14:paraId="0E619437" w14:textId="77777777" w:rsidR="006415B1" w:rsidRPr="00565B8A" w:rsidRDefault="006415B1" w:rsidP="00881D12">
            <w:pPr>
              <w:spacing w:after="200" w:line="276" w:lineRule="auto"/>
              <w:ind w:firstLine="0"/>
              <w:jc w:val="right"/>
              <w:rPr>
                <w:rFonts w:eastAsia="Times New Roman" w:cs="Times New Roman"/>
                <w:b/>
                <w:sz w:val="20"/>
                <w:szCs w:val="20"/>
              </w:rPr>
            </w:pPr>
            <w:r>
              <w:rPr>
                <w:rFonts w:eastAsia="Times New Roman" w:cs="Times New Roman"/>
                <w:b/>
                <w:sz w:val="20"/>
                <w:szCs w:val="20"/>
              </w:rPr>
              <w:t>30 351 057</w:t>
            </w:r>
          </w:p>
        </w:tc>
      </w:tr>
      <w:tr w:rsidR="006415B1" w:rsidRPr="00565B8A" w14:paraId="6AB4C3D8"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4D6FA60A"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Valsts struktūru kontrolēti un finansēti komersanti</w:t>
            </w:r>
          </w:p>
        </w:tc>
        <w:tc>
          <w:tcPr>
            <w:tcW w:w="1370" w:type="dxa"/>
            <w:tcBorders>
              <w:top w:val="single" w:sz="4" w:space="0" w:color="auto"/>
              <w:left w:val="single" w:sz="4" w:space="0" w:color="auto"/>
              <w:bottom w:val="single" w:sz="4" w:space="0" w:color="auto"/>
              <w:right w:val="single" w:sz="4" w:space="0" w:color="auto"/>
            </w:tcBorders>
          </w:tcPr>
          <w:p w14:paraId="4F41A7EC" w14:textId="77777777" w:rsidR="006415B1" w:rsidRPr="00565B8A" w:rsidRDefault="006415B1" w:rsidP="00881D12">
            <w:pPr>
              <w:spacing w:after="200" w:line="276" w:lineRule="auto"/>
              <w:ind w:firstLine="0"/>
              <w:jc w:val="right"/>
              <w:rPr>
                <w:rFonts w:eastAsia="Times New Roman" w:cs="Times New Roman"/>
                <w:sz w:val="20"/>
                <w:szCs w:val="20"/>
              </w:rPr>
            </w:pPr>
            <w:r w:rsidRPr="00565B8A">
              <w:rPr>
                <w:rFonts w:eastAsia="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Pr>
          <w:p w14:paraId="24D3DDDB" w14:textId="77777777" w:rsidR="006415B1" w:rsidRPr="00565B8A" w:rsidRDefault="006415B1" w:rsidP="00881D12">
            <w:pPr>
              <w:spacing w:after="200" w:line="276" w:lineRule="auto"/>
              <w:ind w:firstLine="0"/>
              <w:jc w:val="right"/>
              <w:rPr>
                <w:rFonts w:eastAsia="Times New Roman" w:cs="Times New Roman"/>
                <w:sz w:val="20"/>
                <w:szCs w:val="20"/>
              </w:rPr>
            </w:pPr>
            <w:r w:rsidRPr="00565B8A">
              <w:rPr>
                <w:rFonts w:eastAsia="Times New Roman" w:cs="Times New Roman"/>
                <w:sz w:val="20"/>
                <w:szCs w:val="20"/>
              </w:rPr>
              <w:t>0</w:t>
            </w:r>
          </w:p>
        </w:tc>
        <w:tc>
          <w:tcPr>
            <w:tcW w:w="1336" w:type="dxa"/>
            <w:tcBorders>
              <w:top w:val="single" w:sz="4" w:space="0" w:color="auto"/>
              <w:left w:val="double" w:sz="4" w:space="0" w:color="auto"/>
              <w:bottom w:val="single" w:sz="4" w:space="0" w:color="auto"/>
              <w:right w:val="single" w:sz="4" w:space="0" w:color="auto"/>
            </w:tcBorders>
            <w:hideMark/>
          </w:tcPr>
          <w:p w14:paraId="6EF2DB38" w14:textId="77777777" w:rsidR="006415B1" w:rsidRPr="00565B8A" w:rsidRDefault="006415B1" w:rsidP="00881D12">
            <w:pPr>
              <w:spacing w:after="200" w:line="276" w:lineRule="auto"/>
              <w:ind w:firstLine="0"/>
              <w:jc w:val="right"/>
              <w:rPr>
                <w:rFonts w:eastAsia="Times New Roman" w:cs="Times New Roman"/>
                <w:sz w:val="20"/>
                <w:szCs w:val="20"/>
              </w:rPr>
            </w:pPr>
            <w:r>
              <w:rPr>
                <w:rFonts w:eastAsia="Times New Roman" w:cs="Times New Roman"/>
                <w:sz w:val="20"/>
                <w:szCs w:val="20"/>
              </w:rPr>
              <w:t>102 855 714</w:t>
            </w:r>
          </w:p>
        </w:tc>
        <w:tc>
          <w:tcPr>
            <w:tcW w:w="1357" w:type="dxa"/>
            <w:tcBorders>
              <w:top w:val="single" w:sz="4" w:space="0" w:color="auto"/>
              <w:left w:val="single" w:sz="4" w:space="0" w:color="auto"/>
              <w:bottom w:val="single" w:sz="4" w:space="0" w:color="auto"/>
              <w:right w:val="single" w:sz="4" w:space="0" w:color="auto"/>
            </w:tcBorders>
            <w:hideMark/>
          </w:tcPr>
          <w:p w14:paraId="75D0EA2D" w14:textId="77777777" w:rsidR="006415B1" w:rsidRPr="00565B8A" w:rsidRDefault="006415B1" w:rsidP="00881D12">
            <w:pPr>
              <w:spacing w:after="200" w:line="276" w:lineRule="auto"/>
              <w:ind w:firstLine="0"/>
              <w:jc w:val="right"/>
              <w:rPr>
                <w:rFonts w:eastAsia="Times New Roman" w:cs="Times New Roman"/>
                <w:sz w:val="20"/>
                <w:szCs w:val="20"/>
              </w:rPr>
            </w:pPr>
            <w:r w:rsidRPr="00565B8A">
              <w:rPr>
                <w:rFonts w:eastAsia="Times New Roman" w:cs="Times New Roman"/>
                <w:sz w:val="20"/>
                <w:szCs w:val="20"/>
              </w:rPr>
              <w:t>0</w:t>
            </w:r>
          </w:p>
        </w:tc>
      </w:tr>
      <w:tr w:rsidR="006415B1" w:rsidRPr="00565B8A" w14:paraId="1108AED7"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33CA2D48"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No valsts budžeta daļēji finansētas atvasinātas publiskas personas, izņemot speciālās ekonomiskās zonas, ostu un brīvostu pārvaldes</w:t>
            </w:r>
          </w:p>
        </w:tc>
        <w:tc>
          <w:tcPr>
            <w:tcW w:w="1370" w:type="dxa"/>
            <w:tcBorders>
              <w:top w:val="single" w:sz="4" w:space="0" w:color="auto"/>
              <w:left w:val="single" w:sz="4" w:space="0" w:color="auto"/>
              <w:bottom w:val="single" w:sz="4" w:space="0" w:color="auto"/>
              <w:right w:val="single" w:sz="4" w:space="0" w:color="auto"/>
            </w:tcBorders>
          </w:tcPr>
          <w:p w14:paraId="6E37E7A3"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55 404 789</w:t>
            </w:r>
          </w:p>
        </w:tc>
        <w:tc>
          <w:tcPr>
            <w:tcW w:w="1370" w:type="dxa"/>
            <w:tcBorders>
              <w:top w:val="single" w:sz="4" w:space="0" w:color="auto"/>
              <w:left w:val="single" w:sz="4" w:space="0" w:color="auto"/>
              <w:bottom w:val="single" w:sz="4" w:space="0" w:color="auto"/>
              <w:right w:val="single" w:sz="4" w:space="0" w:color="auto"/>
            </w:tcBorders>
          </w:tcPr>
          <w:p w14:paraId="71BE592A" w14:textId="77777777" w:rsidR="006415B1" w:rsidRPr="00565B8A" w:rsidRDefault="006415B1" w:rsidP="00881D12">
            <w:pPr>
              <w:spacing w:after="200" w:line="276" w:lineRule="auto"/>
              <w:ind w:firstLine="0"/>
              <w:jc w:val="right"/>
              <w:rPr>
                <w:rFonts w:eastAsia="Times New Roman" w:cs="Times New Roman"/>
                <w:sz w:val="20"/>
                <w:szCs w:val="20"/>
              </w:rPr>
            </w:pPr>
            <w:r w:rsidRPr="00565B8A">
              <w:rPr>
                <w:rFonts w:eastAsia="Times New Roman" w:cs="Times New Roman"/>
                <w:sz w:val="20"/>
                <w:szCs w:val="20"/>
              </w:rPr>
              <w:t>105 332</w:t>
            </w:r>
          </w:p>
          <w:p w14:paraId="2E6F9153" w14:textId="77777777" w:rsidR="006415B1" w:rsidRPr="00565B8A" w:rsidRDefault="006415B1" w:rsidP="00881D12">
            <w:pPr>
              <w:spacing w:after="0"/>
              <w:ind w:firstLine="0"/>
              <w:jc w:val="right"/>
              <w:rPr>
                <w:rFonts w:eastAsia="Times New Roman" w:cs="Times New Roman"/>
                <w:sz w:val="20"/>
                <w:szCs w:val="20"/>
              </w:rPr>
            </w:pPr>
          </w:p>
        </w:tc>
        <w:tc>
          <w:tcPr>
            <w:tcW w:w="1336" w:type="dxa"/>
            <w:tcBorders>
              <w:top w:val="single" w:sz="4" w:space="0" w:color="auto"/>
              <w:left w:val="double" w:sz="4" w:space="0" w:color="auto"/>
              <w:bottom w:val="single" w:sz="4" w:space="0" w:color="auto"/>
              <w:right w:val="single" w:sz="4" w:space="0" w:color="auto"/>
            </w:tcBorders>
          </w:tcPr>
          <w:p w14:paraId="0926FABE"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50 288 355</w:t>
            </w:r>
          </w:p>
        </w:tc>
        <w:tc>
          <w:tcPr>
            <w:tcW w:w="1357" w:type="dxa"/>
            <w:tcBorders>
              <w:top w:val="single" w:sz="4" w:space="0" w:color="auto"/>
              <w:left w:val="single" w:sz="4" w:space="0" w:color="auto"/>
              <w:bottom w:val="single" w:sz="4" w:space="0" w:color="auto"/>
              <w:right w:val="single" w:sz="4" w:space="0" w:color="auto"/>
            </w:tcBorders>
          </w:tcPr>
          <w:p w14:paraId="376DF97B"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773 566</w:t>
            </w:r>
          </w:p>
        </w:tc>
      </w:tr>
      <w:tr w:rsidR="006415B1" w:rsidRPr="00565B8A" w14:paraId="216CF84F"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152828B4"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Pašvaldības</w:t>
            </w:r>
          </w:p>
        </w:tc>
        <w:tc>
          <w:tcPr>
            <w:tcW w:w="1370" w:type="dxa"/>
            <w:tcBorders>
              <w:top w:val="single" w:sz="4" w:space="0" w:color="auto"/>
              <w:left w:val="single" w:sz="4" w:space="0" w:color="auto"/>
              <w:bottom w:val="single" w:sz="4" w:space="0" w:color="auto"/>
              <w:right w:val="single" w:sz="4" w:space="0" w:color="auto"/>
            </w:tcBorders>
          </w:tcPr>
          <w:p w14:paraId="40AE3684" w14:textId="77777777" w:rsidR="006415B1" w:rsidRPr="00565B8A" w:rsidRDefault="006415B1" w:rsidP="00881D12">
            <w:pPr>
              <w:spacing w:after="200" w:line="276" w:lineRule="auto"/>
              <w:ind w:firstLine="0"/>
              <w:jc w:val="right"/>
              <w:rPr>
                <w:rFonts w:asciiTheme="minorHAnsi" w:hAnsiTheme="minorHAnsi"/>
                <w:sz w:val="20"/>
                <w:szCs w:val="20"/>
              </w:rPr>
            </w:pPr>
            <w:r w:rsidRPr="00565B8A">
              <w:rPr>
                <w:rFonts w:eastAsia="Times New Roman" w:cs="Times New Roman"/>
                <w:sz w:val="20"/>
                <w:szCs w:val="20"/>
              </w:rPr>
              <w:t>177 903 357</w:t>
            </w:r>
          </w:p>
          <w:p w14:paraId="766E3779" w14:textId="77777777" w:rsidR="006415B1" w:rsidRPr="00565B8A" w:rsidRDefault="006415B1" w:rsidP="00881D12">
            <w:pPr>
              <w:spacing w:after="0"/>
              <w:ind w:firstLine="0"/>
              <w:jc w:val="right"/>
              <w:rPr>
                <w:rFonts w:eastAsia="Times New Roman" w:cs="Times New Roman"/>
                <w:sz w:val="20"/>
                <w:szCs w:val="20"/>
              </w:rPr>
            </w:pPr>
          </w:p>
        </w:tc>
        <w:tc>
          <w:tcPr>
            <w:tcW w:w="1370" w:type="dxa"/>
            <w:tcBorders>
              <w:top w:val="single" w:sz="4" w:space="0" w:color="auto"/>
              <w:left w:val="single" w:sz="4" w:space="0" w:color="auto"/>
              <w:bottom w:val="single" w:sz="4" w:space="0" w:color="auto"/>
              <w:right w:val="single" w:sz="4" w:space="0" w:color="auto"/>
            </w:tcBorders>
          </w:tcPr>
          <w:p w14:paraId="7D530EC5"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18 832 844</w:t>
            </w:r>
          </w:p>
        </w:tc>
        <w:tc>
          <w:tcPr>
            <w:tcW w:w="1336" w:type="dxa"/>
            <w:tcBorders>
              <w:top w:val="single" w:sz="4" w:space="0" w:color="auto"/>
              <w:left w:val="double" w:sz="4" w:space="0" w:color="auto"/>
              <w:bottom w:val="single" w:sz="4" w:space="0" w:color="auto"/>
              <w:right w:val="single" w:sz="4" w:space="0" w:color="auto"/>
            </w:tcBorders>
            <w:hideMark/>
          </w:tcPr>
          <w:p w14:paraId="766A9878" w14:textId="77777777" w:rsidR="006415B1" w:rsidRPr="00565B8A" w:rsidRDefault="006415B1" w:rsidP="00881D12">
            <w:pPr>
              <w:spacing w:after="200" w:line="276" w:lineRule="auto"/>
              <w:ind w:firstLine="0"/>
              <w:jc w:val="right"/>
              <w:rPr>
                <w:rFonts w:eastAsia="Times New Roman" w:cs="Times New Roman"/>
                <w:sz w:val="20"/>
                <w:szCs w:val="20"/>
              </w:rPr>
            </w:pPr>
            <w:r>
              <w:rPr>
                <w:rFonts w:eastAsia="Times New Roman" w:cs="Times New Roman"/>
                <w:sz w:val="20"/>
                <w:szCs w:val="20"/>
              </w:rPr>
              <w:t>185 443 299</w:t>
            </w:r>
          </w:p>
        </w:tc>
        <w:tc>
          <w:tcPr>
            <w:tcW w:w="1357" w:type="dxa"/>
            <w:tcBorders>
              <w:top w:val="single" w:sz="4" w:space="0" w:color="auto"/>
              <w:left w:val="single" w:sz="4" w:space="0" w:color="auto"/>
              <w:bottom w:val="single" w:sz="4" w:space="0" w:color="auto"/>
              <w:right w:val="single" w:sz="4" w:space="0" w:color="auto"/>
            </w:tcBorders>
            <w:hideMark/>
          </w:tcPr>
          <w:p w14:paraId="72682C00"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24 231 069</w:t>
            </w:r>
          </w:p>
        </w:tc>
      </w:tr>
      <w:tr w:rsidR="006415B1" w:rsidRPr="00565B8A" w14:paraId="422DC4AE"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6C7EAF5C"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Pašvaldību struktūru kontrolēti un finansēti komersanti</w:t>
            </w:r>
          </w:p>
        </w:tc>
        <w:tc>
          <w:tcPr>
            <w:tcW w:w="1370" w:type="dxa"/>
            <w:tcBorders>
              <w:top w:val="single" w:sz="4" w:space="0" w:color="auto"/>
              <w:left w:val="single" w:sz="4" w:space="0" w:color="auto"/>
              <w:bottom w:val="single" w:sz="4" w:space="0" w:color="auto"/>
              <w:right w:val="single" w:sz="4" w:space="0" w:color="auto"/>
            </w:tcBorders>
          </w:tcPr>
          <w:p w14:paraId="531A5342"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Pr>
          <w:p w14:paraId="33F8E81D"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0</w:t>
            </w:r>
          </w:p>
        </w:tc>
        <w:tc>
          <w:tcPr>
            <w:tcW w:w="1336" w:type="dxa"/>
            <w:tcBorders>
              <w:top w:val="single" w:sz="4" w:space="0" w:color="auto"/>
              <w:left w:val="double" w:sz="4" w:space="0" w:color="auto"/>
              <w:bottom w:val="single" w:sz="4" w:space="0" w:color="auto"/>
              <w:right w:val="single" w:sz="4" w:space="0" w:color="auto"/>
            </w:tcBorders>
            <w:hideMark/>
          </w:tcPr>
          <w:p w14:paraId="6EED71E8"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0</w:t>
            </w:r>
          </w:p>
        </w:tc>
        <w:tc>
          <w:tcPr>
            <w:tcW w:w="1357" w:type="dxa"/>
            <w:tcBorders>
              <w:top w:val="single" w:sz="4" w:space="0" w:color="auto"/>
              <w:left w:val="single" w:sz="4" w:space="0" w:color="auto"/>
              <w:bottom w:val="single" w:sz="4" w:space="0" w:color="auto"/>
              <w:right w:val="single" w:sz="4" w:space="0" w:color="auto"/>
            </w:tcBorders>
            <w:hideMark/>
          </w:tcPr>
          <w:p w14:paraId="2637B52A"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0</w:t>
            </w:r>
          </w:p>
        </w:tc>
      </w:tr>
      <w:tr w:rsidR="006415B1" w:rsidRPr="00565B8A" w14:paraId="4087581F"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70DF186E"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Pie pašvaldību struktūrām ietvertās speciālās ekonomiskās zonas, ostu un brīvostu pārvaldes</w:t>
            </w:r>
          </w:p>
        </w:tc>
        <w:tc>
          <w:tcPr>
            <w:tcW w:w="1370" w:type="dxa"/>
            <w:tcBorders>
              <w:top w:val="single" w:sz="4" w:space="0" w:color="auto"/>
              <w:left w:val="single" w:sz="4" w:space="0" w:color="auto"/>
              <w:bottom w:val="single" w:sz="4" w:space="0" w:color="auto"/>
              <w:right w:val="single" w:sz="4" w:space="0" w:color="auto"/>
            </w:tcBorders>
          </w:tcPr>
          <w:p w14:paraId="39B93045" w14:textId="77777777" w:rsidR="006415B1" w:rsidRPr="00565B8A" w:rsidRDefault="006415B1" w:rsidP="00881D12">
            <w:pPr>
              <w:spacing w:after="200" w:line="276" w:lineRule="auto"/>
              <w:ind w:firstLine="0"/>
              <w:jc w:val="right"/>
              <w:rPr>
                <w:rFonts w:eastAsia="Times New Roman" w:cs="Times New Roman"/>
                <w:sz w:val="20"/>
                <w:szCs w:val="20"/>
              </w:rPr>
            </w:pPr>
            <w:r w:rsidRPr="00565B8A">
              <w:rPr>
                <w:rFonts w:eastAsia="Times New Roman" w:cs="Times New Roman"/>
                <w:sz w:val="20"/>
                <w:szCs w:val="20"/>
              </w:rPr>
              <w:t>10 213 431</w:t>
            </w:r>
          </w:p>
          <w:p w14:paraId="107D87BC" w14:textId="77777777" w:rsidR="006415B1" w:rsidRPr="00565B8A" w:rsidRDefault="006415B1" w:rsidP="00881D12">
            <w:pPr>
              <w:spacing w:after="0"/>
              <w:ind w:firstLine="0"/>
              <w:jc w:val="right"/>
              <w:rPr>
                <w:rFonts w:eastAsia="Times New Roman" w:cs="Times New Roman"/>
                <w:sz w:val="20"/>
                <w:szCs w:val="20"/>
              </w:rPr>
            </w:pPr>
          </w:p>
        </w:tc>
        <w:tc>
          <w:tcPr>
            <w:tcW w:w="1370" w:type="dxa"/>
            <w:tcBorders>
              <w:top w:val="single" w:sz="4" w:space="0" w:color="auto"/>
              <w:left w:val="single" w:sz="4" w:space="0" w:color="auto"/>
              <w:bottom w:val="single" w:sz="4" w:space="0" w:color="auto"/>
              <w:right w:val="single" w:sz="4" w:space="0" w:color="auto"/>
            </w:tcBorders>
          </w:tcPr>
          <w:p w14:paraId="3ACCE168"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0</w:t>
            </w:r>
          </w:p>
        </w:tc>
        <w:tc>
          <w:tcPr>
            <w:tcW w:w="1336" w:type="dxa"/>
            <w:tcBorders>
              <w:top w:val="single" w:sz="4" w:space="0" w:color="auto"/>
              <w:left w:val="double" w:sz="4" w:space="0" w:color="auto"/>
              <w:bottom w:val="single" w:sz="4" w:space="0" w:color="auto"/>
              <w:right w:val="single" w:sz="4" w:space="0" w:color="auto"/>
            </w:tcBorders>
            <w:hideMark/>
          </w:tcPr>
          <w:p w14:paraId="60F02FC4" w14:textId="77777777" w:rsidR="006415B1" w:rsidRPr="00565B8A" w:rsidRDefault="006415B1" w:rsidP="00881D12">
            <w:pPr>
              <w:spacing w:after="200" w:line="276" w:lineRule="auto"/>
              <w:ind w:firstLine="0"/>
              <w:jc w:val="right"/>
              <w:rPr>
                <w:rFonts w:eastAsia="Times New Roman" w:cs="Times New Roman"/>
                <w:sz w:val="20"/>
                <w:szCs w:val="20"/>
              </w:rPr>
            </w:pPr>
            <w:r>
              <w:rPr>
                <w:rFonts w:eastAsia="Times New Roman" w:cs="Times New Roman"/>
                <w:sz w:val="20"/>
                <w:szCs w:val="20"/>
              </w:rPr>
              <w:t>10 000 000</w:t>
            </w:r>
          </w:p>
        </w:tc>
        <w:tc>
          <w:tcPr>
            <w:tcW w:w="1357" w:type="dxa"/>
            <w:tcBorders>
              <w:top w:val="single" w:sz="4" w:space="0" w:color="auto"/>
              <w:left w:val="single" w:sz="4" w:space="0" w:color="auto"/>
              <w:bottom w:val="single" w:sz="4" w:space="0" w:color="auto"/>
              <w:right w:val="single" w:sz="4" w:space="0" w:color="auto"/>
            </w:tcBorders>
            <w:hideMark/>
          </w:tcPr>
          <w:p w14:paraId="79655C00"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0</w:t>
            </w:r>
          </w:p>
        </w:tc>
      </w:tr>
      <w:tr w:rsidR="006415B1" w:rsidRPr="00565B8A" w14:paraId="16A7F2D7"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234C7B4C"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Nefinanšu komersanti</w:t>
            </w:r>
          </w:p>
        </w:tc>
        <w:tc>
          <w:tcPr>
            <w:tcW w:w="1370" w:type="dxa"/>
            <w:tcBorders>
              <w:top w:val="single" w:sz="4" w:space="0" w:color="auto"/>
              <w:left w:val="single" w:sz="4" w:space="0" w:color="auto"/>
              <w:bottom w:val="single" w:sz="4" w:space="0" w:color="auto"/>
              <w:right w:val="single" w:sz="4" w:space="0" w:color="auto"/>
            </w:tcBorders>
          </w:tcPr>
          <w:p w14:paraId="4822EAE0"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48 545 801</w:t>
            </w:r>
          </w:p>
        </w:tc>
        <w:tc>
          <w:tcPr>
            <w:tcW w:w="1370" w:type="dxa"/>
            <w:tcBorders>
              <w:top w:val="single" w:sz="4" w:space="0" w:color="auto"/>
              <w:left w:val="single" w:sz="4" w:space="0" w:color="auto"/>
              <w:bottom w:val="single" w:sz="4" w:space="0" w:color="auto"/>
              <w:right w:val="single" w:sz="4" w:space="0" w:color="auto"/>
            </w:tcBorders>
          </w:tcPr>
          <w:p w14:paraId="7E996C29"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4 928 620</w:t>
            </w:r>
          </w:p>
        </w:tc>
        <w:tc>
          <w:tcPr>
            <w:tcW w:w="1336" w:type="dxa"/>
            <w:tcBorders>
              <w:top w:val="single" w:sz="4" w:space="0" w:color="auto"/>
              <w:left w:val="double" w:sz="4" w:space="0" w:color="auto"/>
              <w:bottom w:val="single" w:sz="4" w:space="0" w:color="auto"/>
              <w:right w:val="single" w:sz="4" w:space="0" w:color="auto"/>
            </w:tcBorders>
            <w:hideMark/>
          </w:tcPr>
          <w:p w14:paraId="5ED76A76"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40 969 792</w:t>
            </w:r>
          </w:p>
        </w:tc>
        <w:tc>
          <w:tcPr>
            <w:tcW w:w="1357" w:type="dxa"/>
            <w:tcBorders>
              <w:top w:val="single" w:sz="4" w:space="0" w:color="auto"/>
              <w:left w:val="single" w:sz="4" w:space="0" w:color="auto"/>
              <w:bottom w:val="single" w:sz="4" w:space="0" w:color="auto"/>
              <w:right w:val="single" w:sz="4" w:space="0" w:color="auto"/>
            </w:tcBorders>
            <w:hideMark/>
          </w:tcPr>
          <w:p w14:paraId="091C1D98"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2 235 036</w:t>
            </w:r>
          </w:p>
        </w:tc>
      </w:tr>
      <w:tr w:rsidR="006415B1" w:rsidRPr="00565B8A" w14:paraId="69BF8BC4"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441BD26F"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Finanšu iestādes</w:t>
            </w:r>
          </w:p>
        </w:tc>
        <w:tc>
          <w:tcPr>
            <w:tcW w:w="1370" w:type="dxa"/>
            <w:tcBorders>
              <w:top w:val="single" w:sz="4" w:space="0" w:color="auto"/>
              <w:left w:val="single" w:sz="4" w:space="0" w:color="auto"/>
              <w:bottom w:val="single" w:sz="4" w:space="0" w:color="auto"/>
              <w:right w:val="single" w:sz="4" w:space="0" w:color="auto"/>
            </w:tcBorders>
          </w:tcPr>
          <w:p w14:paraId="7A64CC3B"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81 447 513</w:t>
            </w:r>
          </w:p>
        </w:tc>
        <w:tc>
          <w:tcPr>
            <w:tcW w:w="1370" w:type="dxa"/>
            <w:tcBorders>
              <w:top w:val="single" w:sz="4" w:space="0" w:color="auto"/>
              <w:left w:val="single" w:sz="4" w:space="0" w:color="auto"/>
              <w:bottom w:val="single" w:sz="4" w:space="0" w:color="auto"/>
              <w:right w:val="single" w:sz="4" w:space="0" w:color="auto"/>
            </w:tcBorders>
          </w:tcPr>
          <w:p w14:paraId="07FBE075"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3 508 106</w:t>
            </w:r>
          </w:p>
        </w:tc>
        <w:tc>
          <w:tcPr>
            <w:tcW w:w="1336" w:type="dxa"/>
            <w:tcBorders>
              <w:top w:val="single" w:sz="4" w:space="0" w:color="auto"/>
              <w:left w:val="double" w:sz="4" w:space="0" w:color="auto"/>
              <w:bottom w:val="single" w:sz="4" w:space="0" w:color="auto"/>
              <w:right w:val="single" w:sz="4" w:space="0" w:color="auto"/>
            </w:tcBorders>
            <w:hideMark/>
          </w:tcPr>
          <w:p w14:paraId="64DEA711"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10 000 000</w:t>
            </w:r>
          </w:p>
        </w:tc>
        <w:tc>
          <w:tcPr>
            <w:tcW w:w="1357" w:type="dxa"/>
            <w:tcBorders>
              <w:top w:val="single" w:sz="4" w:space="0" w:color="auto"/>
              <w:left w:val="single" w:sz="4" w:space="0" w:color="auto"/>
              <w:bottom w:val="single" w:sz="4" w:space="0" w:color="auto"/>
              <w:right w:val="single" w:sz="4" w:space="0" w:color="auto"/>
            </w:tcBorders>
            <w:hideMark/>
          </w:tcPr>
          <w:p w14:paraId="4CBC2AB7"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3 111 386</w:t>
            </w:r>
          </w:p>
        </w:tc>
      </w:tr>
      <w:tr w:rsidR="006415B1" w:rsidRPr="00565B8A" w14:paraId="69EACF8F"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7461BD82" w14:textId="77777777" w:rsidR="006415B1" w:rsidRPr="00565B8A" w:rsidRDefault="006415B1" w:rsidP="00881D12">
            <w:pPr>
              <w:spacing w:after="0"/>
              <w:ind w:firstLine="0"/>
              <w:rPr>
                <w:rFonts w:eastAsia="Times New Roman" w:cs="Times New Roman"/>
                <w:b/>
                <w:sz w:val="20"/>
                <w:szCs w:val="20"/>
              </w:rPr>
            </w:pPr>
            <w:r w:rsidRPr="00565B8A">
              <w:rPr>
                <w:rFonts w:eastAsia="Times New Roman" w:cs="Times New Roman"/>
                <w:b/>
                <w:sz w:val="20"/>
                <w:szCs w:val="20"/>
              </w:rPr>
              <w:t>Izsniegto valsts aizdevumu saņemtās atmaksas</w:t>
            </w:r>
          </w:p>
        </w:tc>
        <w:tc>
          <w:tcPr>
            <w:tcW w:w="1370" w:type="dxa"/>
            <w:tcBorders>
              <w:top w:val="single" w:sz="4" w:space="0" w:color="auto"/>
              <w:left w:val="single" w:sz="4" w:space="0" w:color="auto"/>
              <w:bottom w:val="single" w:sz="4" w:space="0" w:color="auto"/>
              <w:right w:val="single" w:sz="4" w:space="0" w:color="auto"/>
            </w:tcBorders>
          </w:tcPr>
          <w:p w14:paraId="64B0263A" w14:textId="77777777" w:rsidR="006415B1" w:rsidRPr="00565B8A" w:rsidRDefault="006415B1" w:rsidP="00881D12">
            <w:pPr>
              <w:spacing w:after="0"/>
              <w:ind w:firstLine="0"/>
              <w:jc w:val="right"/>
              <w:rPr>
                <w:rFonts w:eastAsia="Times New Roman" w:cs="Times New Roman"/>
                <w:b/>
                <w:sz w:val="20"/>
                <w:szCs w:val="20"/>
              </w:rPr>
            </w:pPr>
            <w:r w:rsidRPr="00565B8A">
              <w:rPr>
                <w:rFonts w:eastAsia="Times New Roman" w:cs="Times New Roman"/>
                <w:b/>
                <w:sz w:val="20"/>
                <w:szCs w:val="20"/>
              </w:rPr>
              <w:t>77 557 554</w:t>
            </w:r>
          </w:p>
        </w:tc>
        <w:tc>
          <w:tcPr>
            <w:tcW w:w="1370" w:type="dxa"/>
            <w:tcBorders>
              <w:top w:val="single" w:sz="4" w:space="0" w:color="auto"/>
              <w:left w:val="single" w:sz="4" w:space="0" w:color="auto"/>
              <w:bottom w:val="single" w:sz="4" w:space="0" w:color="auto"/>
              <w:right w:val="single" w:sz="4" w:space="0" w:color="auto"/>
            </w:tcBorders>
          </w:tcPr>
          <w:p w14:paraId="54B75E9A" w14:textId="77777777" w:rsidR="006415B1" w:rsidRPr="00565B8A" w:rsidRDefault="006415B1" w:rsidP="00881D12">
            <w:pPr>
              <w:spacing w:after="0"/>
              <w:ind w:firstLine="0"/>
              <w:jc w:val="right"/>
              <w:rPr>
                <w:rFonts w:eastAsia="Times New Roman" w:cs="Times New Roman"/>
                <w:b/>
                <w:sz w:val="20"/>
                <w:szCs w:val="20"/>
              </w:rPr>
            </w:pPr>
            <w:r w:rsidRPr="00565B8A">
              <w:rPr>
                <w:rFonts w:eastAsia="Times New Roman" w:cs="Times New Roman"/>
                <w:b/>
                <w:sz w:val="20"/>
                <w:szCs w:val="20"/>
              </w:rPr>
              <w:t>63 599 638</w:t>
            </w:r>
          </w:p>
        </w:tc>
        <w:tc>
          <w:tcPr>
            <w:tcW w:w="1336" w:type="dxa"/>
            <w:tcBorders>
              <w:top w:val="single" w:sz="4" w:space="0" w:color="auto"/>
              <w:left w:val="double" w:sz="4" w:space="0" w:color="auto"/>
              <w:bottom w:val="single" w:sz="4" w:space="0" w:color="auto"/>
              <w:right w:val="single" w:sz="4" w:space="0" w:color="auto"/>
            </w:tcBorders>
            <w:hideMark/>
          </w:tcPr>
          <w:p w14:paraId="19B52A7E" w14:textId="77777777" w:rsidR="006415B1" w:rsidRPr="00565B8A" w:rsidRDefault="006415B1" w:rsidP="00881D12">
            <w:pPr>
              <w:spacing w:after="0"/>
              <w:ind w:firstLine="0"/>
              <w:jc w:val="right"/>
              <w:rPr>
                <w:rFonts w:eastAsia="Times New Roman" w:cs="Times New Roman"/>
                <w:b/>
                <w:sz w:val="20"/>
                <w:szCs w:val="20"/>
              </w:rPr>
            </w:pPr>
            <w:r>
              <w:rPr>
                <w:rFonts w:eastAsia="Times New Roman" w:cs="Times New Roman"/>
                <w:b/>
                <w:sz w:val="20"/>
                <w:szCs w:val="20"/>
              </w:rPr>
              <w:t>103 599 823</w:t>
            </w:r>
          </w:p>
        </w:tc>
        <w:tc>
          <w:tcPr>
            <w:tcW w:w="1357" w:type="dxa"/>
            <w:tcBorders>
              <w:top w:val="single" w:sz="4" w:space="0" w:color="auto"/>
              <w:left w:val="single" w:sz="4" w:space="0" w:color="auto"/>
              <w:bottom w:val="single" w:sz="4" w:space="0" w:color="auto"/>
              <w:right w:val="single" w:sz="4" w:space="0" w:color="auto"/>
            </w:tcBorders>
            <w:hideMark/>
          </w:tcPr>
          <w:p w14:paraId="562BD081" w14:textId="77777777" w:rsidR="006415B1" w:rsidRPr="00565B8A" w:rsidRDefault="006415B1" w:rsidP="00881D12">
            <w:pPr>
              <w:spacing w:after="0"/>
              <w:ind w:firstLine="0"/>
              <w:jc w:val="right"/>
              <w:rPr>
                <w:rFonts w:eastAsia="Times New Roman" w:cs="Times New Roman"/>
                <w:b/>
                <w:sz w:val="20"/>
                <w:szCs w:val="20"/>
              </w:rPr>
            </w:pPr>
            <w:r>
              <w:rPr>
                <w:rFonts w:eastAsia="Times New Roman" w:cs="Times New Roman"/>
                <w:b/>
                <w:sz w:val="20"/>
                <w:szCs w:val="20"/>
              </w:rPr>
              <w:t>36 586 043</w:t>
            </w:r>
          </w:p>
        </w:tc>
      </w:tr>
      <w:tr w:rsidR="006415B1" w:rsidRPr="00565B8A" w14:paraId="760B6B0E"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702993F6"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Ministrijas un centrālās valsts iestādes</w:t>
            </w:r>
          </w:p>
        </w:tc>
        <w:tc>
          <w:tcPr>
            <w:tcW w:w="1370" w:type="dxa"/>
            <w:tcBorders>
              <w:top w:val="single" w:sz="4" w:space="0" w:color="auto"/>
              <w:left w:val="single" w:sz="4" w:space="0" w:color="auto"/>
              <w:bottom w:val="single" w:sz="4" w:space="0" w:color="auto"/>
              <w:right w:val="single" w:sz="4" w:space="0" w:color="auto"/>
            </w:tcBorders>
          </w:tcPr>
          <w:p w14:paraId="061E3D9B"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2 048 935</w:t>
            </w:r>
          </w:p>
        </w:tc>
        <w:tc>
          <w:tcPr>
            <w:tcW w:w="1370" w:type="dxa"/>
            <w:tcBorders>
              <w:top w:val="single" w:sz="4" w:space="0" w:color="auto"/>
              <w:left w:val="single" w:sz="4" w:space="0" w:color="auto"/>
              <w:bottom w:val="single" w:sz="4" w:space="0" w:color="auto"/>
              <w:right w:val="single" w:sz="4" w:space="0" w:color="auto"/>
            </w:tcBorders>
          </w:tcPr>
          <w:p w14:paraId="512E12E3"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141 845</w:t>
            </w:r>
          </w:p>
        </w:tc>
        <w:tc>
          <w:tcPr>
            <w:tcW w:w="1336" w:type="dxa"/>
            <w:tcBorders>
              <w:top w:val="single" w:sz="4" w:space="0" w:color="auto"/>
              <w:left w:val="double" w:sz="4" w:space="0" w:color="auto"/>
              <w:bottom w:val="single" w:sz="4" w:space="0" w:color="auto"/>
              <w:right w:val="single" w:sz="4" w:space="0" w:color="auto"/>
            </w:tcBorders>
            <w:hideMark/>
          </w:tcPr>
          <w:p w14:paraId="6F97756A"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2 048 935</w:t>
            </w:r>
          </w:p>
        </w:tc>
        <w:tc>
          <w:tcPr>
            <w:tcW w:w="1357" w:type="dxa"/>
            <w:tcBorders>
              <w:top w:val="single" w:sz="4" w:space="0" w:color="auto"/>
              <w:left w:val="single" w:sz="4" w:space="0" w:color="auto"/>
              <w:bottom w:val="single" w:sz="4" w:space="0" w:color="auto"/>
              <w:right w:val="single" w:sz="4" w:space="0" w:color="auto"/>
            </w:tcBorders>
            <w:hideMark/>
          </w:tcPr>
          <w:p w14:paraId="20805361"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61 309</w:t>
            </w:r>
          </w:p>
        </w:tc>
      </w:tr>
      <w:tr w:rsidR="006415B1" w:rsidRPr="00565B8A" w14:paraId="33F90441"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2F16E87B"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Valsts struktūru kontrolēti un finansēti komersanti</w:t>
            </w:r>
          </w:p>
        </w:tc>
        <w:tc>
          <w:tcPr>
            <w:tcW w:w="1370" w:type="dxa"/>
            <w:tcBorders>
              <w:top w:val="single" w:sz="4" w:space="0" w:color="auto"/>
              <w:left w:val="single" w:sz="4" w:space="0" w:color="auto"/>
              <w:bottom w:val="single" w:sz="4" w:space="0" w:color="auto"/>
              <w:right w:val="single" w:sz="4" w:space="0" w:color="auto"/>
            </w:tcBorders>
          </w:tcPr>
          <w:p w14:paraId="1CE17BD8"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0</w:t>
            </w:r>
          </w:p>
        </w:tc>
        <w:tc>
          <w:tcPr>
            <w:tcW w:w="1370" w:type="dxa"/>
            <w:tcBorders>
              <w:top w:val="single" w:sz="4" w:space="0" w:color="auto"/>
              <w:left w:val="single" w:sz="4" w:space="0" w:color="auto"/>
              <w:bottom w:val="single" w:sz="4" w:space="0" w:color="auto"/>
              <w:right w:val="single" w:sz="4" w:space="0" w:color="auto"/>
            </w:tcBorders>
          </w:tcPr>
          <w:p w14:paraId="1158DA0C"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1 275 334</w:t>
            </w:r>
          </w:p>
        </w:tc>
        <w:tc>
          <w:tcPr>
            <w:tcW w:w="1336" w:type="dxa"/>
            <w:tcBorders>
              <w:top w:val="single" w:sz="4" w:space="0" w:color="auto"/>
              <w:left w:val="double" w:sz="4" w:space="0" w:color="auto"/>
              <w:bottom w:val="single" w:sz="4" w:space="0" w:color="auto"/>
              <w:right w:val="single" w:sz="4" w:space="0" w:color="auto"/>
            </w:tcBorders>
            <w:hideMark/>
          </w:tcPr>
          <w:p w14:paraId="18B1CA44"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22 504 830</w:t>
            </w:r>
          </w:p>
        </w:tc>
        <w:tc>
          <w:tcPr>
            <w:tcW w:w="1357" w:type="dxa"/>
            <w:tcBorders>
              <w:top w:val="single" w:sz="4" w:space="0" w:color="auto"/>
              <w:left w:val="single" w:sz="4" w:space="0" w:color="auto"/>
              <w:bottom w:val="single" w:sz="4" w:space="0" w:color="auto"/>
              <w:right w:val="single" w:sz="4" w:space="0" w:color="auto"/>
            </w:tcBorders>
            <w:hideMark/>
          </w:tcPr>
          <w:p w14:paraId="77A94640"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700 000</w:t>
            </w:r>
          </w:p>
        </w:tc>
      </w:tr>
      <w:tr w:rsidR="006415B1" w:rsidRPr="00565B8A" w14:paraId="64D01B4E"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tcPr>
          <w:p w14:paraId="732506F4"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No valsts budžeta daļēji finansētas atvasinātas publiskas personas, izņemot speciālās ekonomiskās zonas, ostu un brīvostu pārvaldes</w:t>
            </w:r>
          </w:p>
        </w:tc>
        <w:tc>
          <w:tcPr>
            <w:tcW w:w="1370" w:type="dxa"/>
            <w:tcBorders>
              <w:top w:val="single" w:sz="4" w:space="0" w:color="auto"/>
              <w:left w:val="single" w:sz="4" w:space="0" w:color="auto"/>
              <w:bottom w:val="single" w:sz="4" w:space="0" w:color="auto"/>
              <w:right w:val="single" w:sz="4" w:space="0" w:color="auto"/>
            </w:tcBorders>
          </w:tcPr>
          <w:p w14:paraId="6E88BA92"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314 623</w:t>
            </w:r>
          </w:p>
        </w:tc>
        <w:tc>
          <w:tcPr>
            <w:tcW w:w="1370" w:type="dxa"/>
            <w:tcBorders>
              <w:top w:val="single" w:sz="4" w:space="0" w:color="auto"/>
              <w:left w:val="single" w:sz="4" w:space="0" w:color="auto"/>
              <w:bottom w:val="single" w:sz="4" w:space="0" w:color="auto"/>
              <w:right w:val="single" w:sz="4" w:space="0" w:color="auto"/>
            </w:tcBorders>
          </w:tcPr>
          <w:p w14:paraId="0E6A5DAA"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235 834</w:t>
            </w:r>
          </w:p>
        </w:tc>
        <w:tc>
          <w:tcPr>
            <w:tcW w:w="1336" w:type="dxa"/>
            <w:tcBorders>
              <w:top w:val="single" w:sz="4" w:space="0" w:color="auto"/>
              <w:left w:val="double" w:sz="4" w:space="0" w:color="auto"/>
              <w:bottom w:val="single" w:sz="4" w:space="0" w:color="auto"/>
              <w:right w:val="single" w:sz="4" w:space="0" w:color="auto"/>
            </w:tcBorders>
          </w:tcPr>
          <w:p w14:paraId="21980885"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4 427 685</w:t>
            </w:r>
          </w:p>
        </w:tc>
        <w:tc>
          <w:tcPr>
            <w:tcW w:w="1357" w:type="dxa"/>
            <w:tcBorders>
              <w:top w:val="single" w:sz="4" w:space="0" w:color="auto"/>
              <w:left w:val="single" w:sz="4" w:space="0" w:color="auto"/>
              <w:bottom w:val="single" w:sz="4" w:space="0" w:color="auto"/>
              <w:right w:val="single" w:sz="4" w:space="0" w:color="auto"/>
            </w:tcBorders>
          </w:tcPr>
          <w:p w14:paraId="608B8DE9"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1 632 896</w:t>
            </w:r>
          </w:p>
        </w:tc>
      </w:tr>
      <w:tr w:rsidR="006415B1" w:rsidRPr="00565B8A" w14:paraId="5DC646D4"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1EB45C40"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 xml:space="preserve">Pašvaldības </w:t>
            </w:r>
          </w:p>
        </w:tc>
        <w:tc>
          <w:tcPr>
            <w:tcW w:w="1370" w:type="dxa"/>
            <w:tcBorders>
              <w:top w:val="single" w:sz="4" w:space="0" w:color="auto"/>
              <w:left w:val="single" w:sz="4" w:space="0" w:color="auto"/>
              <w:bottom w:val="single" w:sz="4" w:space="0" w:color="auto"/>
              <w:right w:val="single" w:sz="4" w:space="0" w:color="auto"/>
            </w:tcBorders>
          </w:tcPr>
          <w:p w14:paraId="0843BFB9"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59 765 099</w:t>
            </w:r>
          </w:p>
        </w:tc>
        <w:tc>
          <w:tcPr>
            <w:tcW w:w="1370" w:type="dxa"/>
            <w:tcBorders>
              <w:top w:val="single" w:sz="4" w:space="0" w:color="auto"/>
              <w:left w:val="single" w:sz="4" w:space="0" w:color="auto"/>
              <w:bottom w:val="single" w:sz="4" w:space="0" w:color="auto"/>
              <w:right w:val="single" w:sz="4" w:space="0" w:color="auto"/>
            </w:tcBorders>
          </w:tcPr>
          <w:p w14:paraId="2A1EBFBA"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30 214 627</w:t>
            </w:r>
          </w:p>
        </w:tc>
        <w:tc>
          <w:tcPr>
            <w:tcW w:w="1336" w:type="dxa"/>
            <w:tcBorders>
              <w:top w:val="single" w:sz="4" w:space="0" w:color="auto"/>
              <w:left w:val="double" w:sz="4" w:space="0" w:color="auto"/>
              <w:bottom w:val="single" w:sz="4" w:space="0" w:color="auto"/>
              <w:right w:val="single" w:sz="4" w:space="0" w:color="auto"/>
            </w:tcBorders>
            <w:hideMark/>
          </w:tcPr>
          <w:p w14:paraId="78ADF9CA"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67 305 041</w:t>
            </w:r>
          </w:p>
        </w:tc>
        <w:tc>
          <w:tcPr>
            <w:tcW w:w="1357" w:type="dxa"/>
            <w:tcBorders>
              <w:top w:val="single" w:sz="4" w:space="0" w:color="auto"/>
              <w:left w:val="single" w:sz="4" w:space="0" w:color="auto"/>
              <w:bottom w:val="single" w:sz="4" w:space="0" w:color="auto"/>
              <w:right w:val="single" w:sz="4" w:space="0" w:color="auto"/>
            </w:tcBorders>
            <w:hideMark/>
          </w:tcPr>
          <w:p w14:paraId="4554B591"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30 078 360</w:t>
            </w:r>
          </w:p>
        </w:tc>
      </w:tr>
      <w:tr w:rsidR="006415B1" w:rsidRPr="00565B8A" w14:paraId="5B5D83DC"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1A9813FA"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 xml:space="preserve">Pašvaldību struktūru kontrolēti un finansēti komersanti </w:t>
            </w:r>
          </w:p>
        </w:tc>
        <w:tc>
          <w:tcPr>
            <w:tcW w:w="1370" w:type="dxa"/>
            <w:tcBorders>
              <w:top w:val="single" w:sz="4" w:space="0" w:color="auto"/>
              <w:left w:val="single" w:sz="4" w:space="0" w:color="auto"/>
              <w:bottom w:val="single" w:sz="4" w:space="0" w:color="auto"/>
              <w:right w:val="single" w:sz="4" w:space="0" w:color="auto"/>
            </w:tcBorders>
          </w:tcPr>
          <w:p w14:paraId="574312F2"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18 571</w:t>
            </w:r>
          </w:p>
        </w:tc>
        <w:tc>
          <w:tcPr>
            <w:tcW w:w="1370" w:type="dxa"/>
            <w:tcBorders>
              <w:top w:val="single" w:sz="4" w:space="0" w:color="auto"/>
              <w:left w:val="single" w:sz="4" w:space="0" w:color="auto"/>
              <w:bottom w:val="single" w:sz="4" w:space="0" w:color="auto"/>
              <w:right w:val="single" w:sz="4" w:space="0" w:color="auto"/>
            </w:tcBorders>
          </w:tcPr>
          <w:p w14:paraId="433A9F70"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4 643</w:t>
            </w:r>
          </w:p>
        </w:tc>
        <w:tc>
          <w:tcPr>
            <w:tcW w:w="1336" w:type="dxa"/>
            <w:tcBorders>
              <w:top w:val="single" w:sz="4" w:space="0" w:color="auto"/>
              <w:left w:val="double" w:sz="4" w:space="0" w:color="auto"/>
              <w:bottom w:val="single" w:sz="4" w:space="0" w:color="auto"/>
              <w:right w:val="single" w:sz="4" w:space="0" w:color="auto"/>
            </w:tcBorders>
            <w:hideMark/>
          </w:tcPr>
          <w:p w14:paraId="3B035724"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18 585</w:t>
            </w:r>
          </w:p>
        </w:tc>
        <w:tc>
          <w:tcPr>
            <w:tcW w:w="1357" w:type="dxa"/>
            <w:tcBorders>
              <w:top w:val="single" w:sz="4" w:space="0" w:color="auto"/>
              <w:left w:val="single" w:sz="4" w:space="0" w:color="auto"/>
              <w:bottom w:val="single" w:sz="4" w:space="0" w:color="auto"/>
              <w:right w:val="single" w:sz="4" w:space="0" w:color="auto"/>
            </w:tcBorders>
            <w:hideMark/>
          </w:tcPr>
          <w:p w14:paraId="0A32D68D"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20 533</w:t>
            </w:r>
          </w:p>
        </w:tc>
      </w:tr>
      <w:tr w:rsidR="006415B1" w:rsidRPr="00565B8A" w14:paraId="481D0D04"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2D98884F"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Pie pašvaldību struktūrām ietvertās speciālās ekonomiskās zonas, ostu un brīvostu pārvaldes</w:t>
            </w:r>
          </w:p>
        </w:tc>
        <w:tc>
          <w:tcPr>
            <w:tcW w:w="1370" w:type="dxa"/>
            <w:tcBorders>
              <w:top w:val="single" w:sz="4" w:space="0" w:color="auto"/>
              <w:left w:val="single" w:sz="4" w:space="0" w:color="auto"/>
              <w:bottom w:val="single" w:sz="4" w:space="0" w:color="auto"/>
              <w:right w:val="single" w:sz="4" w:space="0" w:color="auto"/>
            </w:tcBorders>
          </w:tcPr>
          <w:p w14:paraId="4FB1FC11"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527 103</w:t>
            </w:r>
          </w:p>
        </w:tc>
        <w:tc>
          <w:tcPr>
            <w:tcW w:w="1370" w:type="dxa"/>
            <w:tcBorders>
              <w:top w:val="single" w:sz="4" w:space="0" w:color="auto"/>
              <w:left w:val="single" w:sz="4" w:space="0" w:color="auto"/>
              <w:bottom w:val="single" w:sz="4" w:space="0" w:color="auto"/>
              <w:right w:val="single" w:sz="4" w:space="0" w:color="auto"/>
            </w:tcBorders>
          </w:tcPr>
          <w:p w14:paraId="7A1FE8F2" w14:textId="77777777" w:rsidR="006415B1" w:rsidRPr="00565B8A" w:rsidRDefault="006415B1" w:rsidP="00881D12">
            <w:pPr>
              <w:spacing w:after="0"/>
              <w:ind w:firstLine="0"/>
              <w:jc w:val="right"/>
              <w:rPr>
                <w:rFonts w:eastAsia="Times New Roman" w:cs="Times New Roman"/>
                <w:sz w:val="20"/>
                <w:szCs w:val="20"/>
              </w:rPr>
            </w:pPr>
          </w:p>
        </w:tc>
        <w:tc>
          <w:tcPr>
            <w:tcW w:w="1336" w:type="dxa"/>
            <w:tcBorders>
              <w:top w:val="single" w:sz="4" w:space="0" w:color="auto"/>
              <w:left w:val="double" w:sz="4" w:space="0" w:color="auto"/>
              <w:bottom w:val="single" w:sz="4" w:space="0" w:color="auto"/>
              <w:right w:val="single" w:sz="4" w:space="0" w:color="auto"/>
            </w:tcBorders>
            <w:hideMark/>
          </w:tcPr>
          <w:p w14:paraId="353884C6" w14:textId="77777777" w:rsidR="006415B1" w:rsidRPr="00565B8A" w:rsidRDefault="006415B1" w:rsidP="00881D12">
            <w:pPr>
              <w:spacing w:after="0"/>
              <w:ind w:firstLine="0"/>
              <w:jc w:val="right"/>
              <w:rPr>
                <w:rFonts w:eastAsia="Times New Roman" w:cs="Times New Roman"/>
                <w:sz w:val="20"/>
                <w:szCs w:val="20"/>
              </w:rPr>
            </w:pPr>
          </w:p>
        </w:tc>
        <w:tc>
          <w:tcPr>
            <w:tcW w:w="1357" w:type="dxa"/>
            <w:tcBorders>
              <w:top w:val="single" w:sz="4" w:space="0" w:color="auto"/>
              <w:left w:val="single" w:sz="4" w:space="0" w:color="auto"/>
              <w:bottom w:val="single" w:sz="4" w:space="0" w:color="auto"/>
              <w:right w:val="single" w:sz="4" w:space="0" w:color="auto"/>
            </w:tcBorders>
          </w:tcPr>
          <w:p w14:paraId="544A7951" w14:textId="77777777" w:rsidR="006415B1" w:rsidRPr="00565B8A" w:rsidRDefault="006415B1" w:rsidP="00881D12">
            <w:pPr>
              <w:spacing w:after="0"/>
              <w:ind w:firstLine="0"/>
              <w:jc w:val="right"/>
              <w:rPr>
                <w:rFonts w:eastAsia="Times New Roman" w:cs="Times New Roman"/>
                <w:sz w:val="20"/>
                <w:szCs w:val="20"/>
              </w:rPr>
            </w:pPr>
          </w:p>
        </w:tc>
      </w:tr>
      <w:tr w:rsidR="006415B1" w:rsidRPr="00565B8A" w14:paraId="6CC1E806"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1D891E35"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Nefinanšu komersanti</w:t>
            </w:r>
          </w:p>
        </w:tc>
        <w:tc>
          <w:tcPr>
            <w:tcW w:w="1370" w:type="dxa"/>
            <w:tcBorders>
              <w:top w:val="single" w:sz="4" w:space="0" w:color="auto"/>
              <w:left w:val="single" w:sz="4" w:space="0" w:color="auto"/>
              <w:bottom w:val="single" w:sz="4" w:space="0" w:color="auto"/>
              <w:right w:val="single" w:sz="4" w:space="0" w:color="auto"/>
            </w:tcBorders>
          </w:tcPr>
          <w:p w14:paraId="3058A33C"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15 239 250</w:t>
            </w:r>
          </w:p>
        </w:tc>
        <w:tc>
          <w:tcPr>
            <w:tcW w:w="1370" w:type="dxa"/>
            <w:tcBorders>
              <w:top w:val="single" w:sz="4" w:space="0" w:color="auto"/>
              <w:left w:val="single" w:sz="4" w:space="0" w:color="auto"/>
              <w:bottom w:val="single" w:sz="4" w:space="0" w:color="auto"/>
              <w:right w:val="single" w:sz="4" w:space="0" w:color="auto"/>
            </w:tcBorders>
          </w:tcPr>
          <w:p w14:paraId="537AEF51"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16 519 515</w:t>
            </w:r>
          </w:p>
        </w:tc>
        <w:tc>
          <w:tcPr>
            <w:tcW w:w="1336" w:type="dxa"/>
            <w:tcBorders>
              <w:top w:val="single" w:sz="4" w:space="0" w:color="auto"/>
              <w:left w:val="double" w:sz="4" w:space="0" w:color="auto"/>
              <w:bottom w:val="single" w:sz="4" w:space="0" w:color="auto"/>
              <w:right w:val="single" w:sz="4" w:space="0" w:color="auto"/>
            </w:tcBorders>
            <w:hideMark/>
          </w:tcPr>
          <w:p w14:paraId="2E3BCAF2"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7 209 209</w:t>
            </w:r>
          </w:p>
        </w:tc>
        <w:tc>
          <w:tcPr>
            <w:tcW w:w="1357" w:type="dxa"/>
            <w:tcBorders>
              <w:top w:val="single" w:sz="4" w:space="0" w:color="auto"/>
              <w:left w:val="single" w:sz="4" w:space="0" w:color="auto"/>
              <w:bottom w:val="single" w:sz="4" w:space="0" w:color="auto"/>
              <w:right w:val="single" w:sz="4" w:space="0" w:color="auto"/>
            </w:tcBorders>
            <w:hideMark/>
          </w:tcPr>
          <w:p w14:paraId="46E57B8F"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2 287 345</w:t>
            </w:r>
          </w:p>
        </w:tc>
      </w:tr>
      <w:tr w:rsidR="006415B1" w:rsidRPr="00565B8A" w14:paraId="61E33B10" w14:textId="77777777" w:rsidTr="00881D12">
        <w:trPr>
          <w:jc w:val="center"/>
        </w:trPr>
        <w:tc>
          <w:tcPr>
            <w:tcW w:w="3924" w:type="dxa"/>
            <w:tcBorders>
              <w:top w:val="single" w:sz="4" w:space="0" w:color="auto"/>
              <w:left w:val="single" w:sz="4" w:space="0" w:color="auto"/>
              <w:bottom w:val="single" w:sz="4" w:space="0" w:color="auto"/>
              <w:right w:val="single" w:sz="4" w:space="0" w:color="auto"/>
            </w:tcBorders>
            <w:hideMark/>
          </w:tcPr>
          <w:p w14:paraId="65EF2E88" w14:textId="77777777" w:rsidR="006415B1" w:rsidRPr="00565B8A" w:rsidRDefault="006415B1" w:rsidP="00881D12">
            <w:pPr>
              <w:spacing w:after="0"/>
              <w:ind w:firstLine="0"/>
              <w:jc w:val="right"/>
              <w:rPr>
                <w:rFonts w:eastAsia="Times New Roman" w:cs="Times New Roman"/>
                <w:i/>
                <w:sz w:val="20"/>
                <w:szCs w:val="20"/>
              </w:rPr>
            </w:pPr>
            <w:r w:rsidRPr="00565B8A">
              <w:rPr>
                <w:rFonts w:eastAsia="Times New Roman" w:cs="Times New Roman"/>
                <w:i/>
                <w:sz w:val="20"/>
                <w:szCs w:val="20"/>
              </w:rPr>
              <w:t>Finanšu iestādes</w:t>
            </w:r>
          </w:p>
        </w:tc>
        <w:tc>
          <w:tcPr>
            <w:tcW w:w="1370" w:type="dxa"/>
            <w:tcBorders>
              <w:top w:val="single" w:sz="4" w:space="0" w:color="auto"/>
              <w:left w:val="single" w:sz="4" w:space="0" w:color="auto"/>
              <w:bottom w:val="single" w:sz="4" w:space="0" w:color="auto"/>
              <w:right w:val="single" w:sz="4" w:space="0" w:color="auto"/>
            </w:tcBorders>
          </w:tcPr>
          <w:p w14:paraId="23D8F717"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171 076</w:t>
            </w:r>
          </w:p>
        </w:tc>
        <w:tc>
          <w:tcPr>
            <w:tcW w:w="1370" w:type="dxa"/>
            <w:tcBorders>
              <w:top w:val="single" w:sz="4" w:space="0" w:color="auto"/>
              <w:left w:val="single" w:sz="4" w:space="0" w:color="auto"/>
              <w:bottom w:val="single" w:sz="4" w:space="0" w:color="auto"/>
              <w:right w:val="single" w:sz="4" w:space="0" w:color="auto"/>
            </w:tcBorders>
          </w:tcPr>
          <w:p w14:paraId="558C0578" w14:textId="77777777" w:rsidR="006415B1" w:rsidRPr="00565B8A" w:rsidRDefault="006415B1" w:rsidP="00881D12">
            <w:pPr>
              <w:spacing w:after="0"/>
              <w:ind w:firstLine="0"/>
              <w:jc w:val="right"/>
              <w:rPr>
                <w:rFonts w:eastAsia="Times New Roman" w:cs="Times New Roman"/>
                <w:sz w:val="20"/>
                <w:szCs w:val="20"/>
              </w:rPr>
            </w:pPr>
            <w:r w:rsidRPr="00565B8A">
              <w:rPr>
                <w:rFonts w:eastAsia="Times New Roman" w:cs="Times New Roman"/>
                <w:sz w:val="20"/>
                <w:szCs w:val="20"/>
              </w:rPr>
              <w:t>15 207 840</w:t>
            </w:r>
          </w:p>
        </w:tc>
        <w:tc>
          <w:tcPr>
            <w:tcW w:w="1336" w:type="dxa"/>
            <w:tcBorders>
              <w:top w:val="single" w:sz="4" w:space="0" w:color="auto"/>
              <w:left w:val="double" w:sz="4" w:space="0" w:color="auto"/>
              <w:bottom w:val="single" w:sz="4" w:space="0" w:color="auto"/>
              <w:right w:val="single" w:sz="4" w:space="0" w:color="auto"/>
            </w:tcBorders>
            <w:hideMark/>
          </w:tcPr>
          <w:p w14:paraId="77BABDCF"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85 538</w:t>
            </w:r>
          </w:p>
        </w:tc>
        <w:tc>
          <w:tcPr>
            <w:tcW w:w="1357" w:type="dxa"/>
            <w:tcBorders>
              <w:top w:val="single" w:sz="4" w:space="0" w:color="auto"/>
              <w:left w:val="single" w:sz="4" w:space="0" w:color="auto"/>
              <w:bottom w:val="single" w:sz="4" w:space="0" w:color="auto"/>
              <w:right w:val="single" w:sz="4" w:space="0" w:color="auto"/>
            </w:tcBorders>
            <w:hideMark/>
          </w:tcPr>
          <w:p w14:paraId="521099A5" w14:textId="77777777" w:rsidR="006415B1" w:rsidRPr="00565B8A" w:rsidRDefault="006415B1" w:rsidP="00881D12">
            <w:pPr>
              <w:spacing w:after="0"/>
              <w:ind w:firstLine="0"/>
              <w:jc w:val="right"/>
              <w:rPr>
                <w:rFonts w:eastAsia="Times New Roman" w:cs="Times New Roman"/>
                <w:sz w:val="20"/>
                <w:szCs w:val="20"/>
              </w:rPr>
            </w:pPr>
            <w:r>
              <w:rPr>
                <w:rFonts w:eastAsia="Times New Roman" w:cs="Times New Roman"/>
                <w:sz w:val="20"/>
                <w:szCs w:val="20"/>
              </w:rPr>
              <w:t>1 805 600</w:t>
            </w:r>
          </w:p>
        </w:tc>
      </w:tr>
    </w:tbl>
    <w:p w14:paraId="655DB2C5" w14:textId="77777777" w:rsidR="006415B1" w:rsidRPr="00565B8A" w:rsidRDefault="006415B1" w:rsidP="006415B1">
      <w:pPr>
        <w:spacing w:after="0"/>
        <w:ind w:firstLine="0"/>
        <w:rPr>
          <w:rFonts w:eastAsia="Times New Roman" w:cs="Times New Roman"/>
          <w:sz w:val="24"/>
          <w:szCs w:val="24"/>
          <w:highlight w:val="yellow"/>
        </w:rPr>
      </w:pPr>
    </w:p>
    <w:p w14:paraId="56A0273A" w14:textId="77777777" w:rsidR="006415B1" w:rsidRPr="001C1C52" w:rsidRDefault="006415B1" w:rsidP="006415B1">
      <w:pPr>
        <w:rPr>
          <w:sz w:val="24"/>
        </w:rPr>
      </w:pPr>
      <w:r w:rsidRPr="001C1C52">
        <w:rPr>
          <w:sz w:val="24"/>
        </w:rPr>
        <w:t>2015.gada pirmajā ceturksnī tika izsniegti valsts aizdevumi 30,4 milj.</w:t>
      </w:r>
      <w:r w:rsidRPr="001C1C52">
        <w:rPr>
          <w:i/>
          <w:sz w:val="24"/>
        </w:rPr>
        <w:t xml:space="preserve">euro </w:t>
      </w:r>
      <w:r w:rsidRPr="001C1C52">
        <w:rPr>
          <w:sz w:val="24"/>
        </w:rPr>
        <w:t>apmērā.</w:t>
      </w:r>
    </w:p>
    <w:p w14:paraId="590DB8FB" w14:textId="77777777" w:rsidR="006415B1" w:rsidRPr="001C1C52" w:rsidRDefault="006415B1" w:rsidP="006415B1">
      <w:pPr>
        <w:rPr>
          <w:sz w:val="24"/>
        </w:rPr>
      </w:pPr>
      <w:r w:rsidRPr="001C1C52">
        <w:rPr>
          <w:sz w:val="24"/>
        </w:rPr>
        <w:t xml:space="preserve"> No tiem vislielākais valsts aizdevumu apjoms ir izsniegts pašvaldībām – 24,2 milj.</w:t>
      </w:r>
      <w:r w:rsidRPr="001C1C52">
        <w:rPr>
          <w:i/>
          <w:sz w:val="24"/>
        </w:rPr>
        <w:t>euro</w:t>
      </w:r>
      <w:r w:rsidRPr="001C1C52">
        <w:rPr>
          <w:sz w:val="24"/>
        </w:rPr>
        <w:t xml:space="preserve"> apmērā jeb 79,6% no kopējā valsts izsniegto aizdevumu apjoma. Lielākā daļa valsts aizdevumu pašvaldībām izsniegti Eiropas Savienības (turpmāk – ES) līdzfinansēto projektu īstenošanai (61,3%). Atlikusī daļa no izsniegtajiem aizdevumiem pašvaldībām izsniegti pašvaldību investīcijām, t.i. skolu un pirmskolu iestāžu remontam, valsts nozīmes arhitektūras pieminekļa Dzintaru koncertzāles rekonstrukcijai (22,3%). Vienlaikus 2015.gadā turpinājās valsts aizdevumu izsniegšana to pašvaldību un to kapitālsabiedrību projektu īstenošanai, par kuriem valsts aizdevumu līgumi noslēgti un projektu īstenošana uzsākta 2013. un 2014.gadā, taču finansējums projekta īstenošanai nepieciešams arī 2015.gadā.</w:t>
      </w:r>
    </w:p>
    <w:p w14:paraId="7E7E5803" w14:textId="77777777" w:rsidR="006415B1" w:rsidRPr="001C1C52" w:rsidRDefault="006415B1" w:rsidP="006415B1">
      <w:pPr>
        <w:rPr>
          <w:rFonts w:cs="Times New Roman"/>
          <w:sz w:val="24"/>
        </w:rPr>
      </w:pPr>
      <w:r w:rsidRPr="001C1C52">
        <w:rPr>
          <w:rFonts w:cs="Times New Roman"/>
          <w:sz w:val="24"/>
        </w:rPr>
        <w:t>Valsts aizdevums 3,1 milj.euro apmērā jeb 10,2% no kopsummas izsniegts finanšu iestādei –</w:t>
      </w:r>
      <w:r w:rsidRPr="001C1C52">
        <w:rPr>
          <w:b/>
          <w:sz w:val="22"/>
          <w:szCs w:val="24"/>
        </w:rPr>
        <w:t xml:space="preserve"> </w:t>
      </w:r>
      <w:r w:rsidRPr="001C1C52">
        <w:rPr>
          <w:rFonts w:cs="Times New Roman"/>
          <w:sz w:val="24"/>
        </w:rPr>
        <w:t>VAS „Lauku attīstības fonds” lauksaimniecībā izmantojamās zemes iegādes kreditēšanai saskaņā ar 2012.gada 29.maija Ministru kabineta noteikumiem Nr.381 „Valsts atbalsta piešķiršanas kārtība lauksaimniecībā izmantojamās zemes iegādei lauksaimniecības produkcijas ražošanai”.</w:t>
      </w:r>
    </w:p>
    <w:p w14:paraId="50035B55" w14:textId="77777777" w:rsidR="006415B1" w:rsidRPr="001C1C52" w:rsidRDefault="006415B1" w:rsidP="006415B1">
      <w:pPr>
        <w:rPr>
          <w:rFonts w:cs="Times New Roman"/>
          <w:sz w:val="24"/>
        </w:rPr>
      </w:pPr>
      <w:r w:rsidRPr="001C1C52">
        <w:rPr>
          <w:rFonts w:cs="Times New Roman"/>
          <w:sz w:val="24"/>
        </w:rPr>
        <w:t>2015.gada 15.aprīlī noslēdzoties reorganizācijas procesam, VAS "Lauku attīstības fonds" kopā ar VAS "Latvijas attīstības finanšu institūcija Altum" un SIA "Latvijas Garantiju aģentūra" ir apvienojušies vienotā institūcijā AS "Attīstības finanšu institūcija Altum".</w:t>
      </w:r>
    </w:p>
    <w:p w14:paraId="2BD3A99E" w14:textId="77777777" w:rsidR="006415B1" w:rsidRPr="001C1C52" w:rsidRDefault="006415B1" w:rsidP="006415B1">
      <w:pPr>
        <w:rPr>
          <w:sz w:val="24"/>
        </w:rPr>
      </w:pPr>
      <w:r w:rsidRPr="001C1C52">
        <w:rPr>
          <w:sz w:val="24"/>
        </w:rPr>
        <w:t>Valsts aizdevumi 2,2 milj.</w:t>
      </w:r>
      <w:r w:rsidRPr="001C1C52">
        <w:rPr>
          <w:i/>
          <w:sz w:val="24"/>
        </w:rPr>
        <w:t>euro</w:t>
      </w:r>
      <w:r w:rsidRPr="001C1C52">
        <w:rPr>
          <w:sz w:val="24"/>
        </w:rPr>
        <w:t xml:space="preserve"> apmērā jeb 7,2% no kopsummas izsniegti nefinanšu komersantiem, t.sk.: </w:t>
      </w:r>
    </w:p>
    <w:p w14:paraId="721ECECA" w14:textId="77777777" w:rsidR="006415B1" w:rsidRPr="001C1C52" w:rsidRDefault="006415B1" w:rsidP="006415B1">
      <w:pPr>
        <w:pStyle w:val="ListParagraph"/>
        <w:numPr>
          <w:ilvl w:val="0"/>
          <w:numId w:val="22"/>
        </w:numPr>
        <w:ind w:left="1134" w:hanging="425"/>
        <w:rPr>
          <w:sz w:val="24"/>
        </w:rPr>
      </w:pPr>
      <w:r w:rsidRPr="001C1C52">
        <w:rPr>
          <w:sz w:val="24"/>
        </w:rPr>
        <w:t>2,0 milj.</w:t>
      </w:r>
      <w:r w:rsidRPr="001C1C52">
        <w:rPr>
          <w:i/>
          <w:sz w:val="24"/>
        </w:rPr>
        <w:t>euro</w:t>
      </w:r>
      <w:r w:rsidRPr="001C1C52">
        <w:rPr>
          <w:sz w:val="24"/>
        </w:rPr>
        <w:t xml:space="preserve"> VAS „Starptautiskā lidosta „Rīga””;</w:t>
      </w:r>
    </w:p>
    <w:p w14:paraId="22F004A9" w14:textId="77777777" w:rsidR="006415B1" w:rsidRPr="001C1C52" w:rsidRDefault="006415B1" w:rsidP="006415B1">
      <w:pPr>
        <w:pStyle w:val="ListParagraph"/>
        <w:numPr>
          <w:ilvl w:val="0"/>
          <w:numId w:val="22"/>
        </w:numPr>
        <w:ind w:left="1134" w:hanging="425"/>
        <w:rPr>
          <w:sz w:val="24"/>
        </w:rPr>
      </w:pPr>
      <w:r w:rsidRPr="001C1C52">
        <w:rPr>
          <w:sz w:val="24"/>
        </w:rPr>
        <w:t>0,1 milj.</w:t>
      </w:r>
      <w:r w:rsidRPr="001C1C52">
        <w:rPr>
          <w:i/>
          <w:sz w:val="24"/>
        </w:rPr>
        <w:t>euro</w:t>
      </w:r>
      <w:r w:rsidRPr="001C1C52">
        <w:rPr>
          <w:sz w:val="24"/>
        </w:rPr>
        <w:t xml:space="preserve">  SIA „Norma K”;</w:t>
      </w:r>
    </w:p>
    <w:p w14:paraId="6CEF82CF" w14:textId="77777777" w:rsidR="006415B1" w:rsidRPr="001C1C52" w:rsidRDefault="006415B1" w:rsidP="006415B1">
      <w:pPr>
        <w:pStyle w:val="ListParagraph"/>
        <w:numPr>
          <w:ilvl w:val="0"/>
          <w:numId w:val="22"/>
        </w:numPr>
        <w:ind w:left="1134" w:hanging="425"/>
        <w:rPr>
          <w:sz w:val="24"/>
        </w:rPr>
      </w:pPr>
      <w:r w:rsidRPr="001C1C52">
        <w:rPr>
          <w:sz w:val="24"/>
        </w:rPr>
        <w:t>0,05 milj.</w:t>
      </w:r>
      <w:r w:rsidRPr="001C1C52">
        <w:rPr>
          <w:i/>
          <w:sz w:val="24"/>
        </w:rPr>
        <w:t xml:space="preserve">euro </w:t>
      </w:r>
      <w:r w:rsidRPr="001C1C52">
        <w:rPr>
          <w:sz w:val="24"/>
        </w:rPr>
        <w:t>SIA „Viesītes komunālā saimniecība”;</w:t>
      </w:r>
    </w:p>
    <w:p w14:paraId="3B7A40FA" w14:textId="77777777" w:rsidR="006415B1" w:rsidRPr="001C1C52" w:rsidRDefault="006415B1" w:rsidP="006415B1">
      <w:pPr>
        <w:pStyle w:val="ListParagraph"/>
        <w:numPr>
          <w:ilvl w:val="0"/>
          <w:numId w:val="22"/>
        </w:numPr>
        <w:ind w:left="1134" w:hanging="425"/>
        <w:rPr>
          <w:sz w:val="24"/>
        </w:rPr>
      </w:pPr>
      <w:r w:rsidRPr="001C1C52">
        <w:rPr>
          <w:sz w:val="24"/>
        </w:rPr>
        <w:t>0,05 milj.</w:t>
      </w:r>
      <w:r w:rsidRPr="001C1C52">
        <w:rPr>
          <w:i/>
          <w:sz w:val="24"/>
        </w:rPr>
        <w:t xml:space="preserve">euro </w:t>
      </w:r>
      <w:r w:rsidRPr="001C1C52">
        <w:rPr>
          <w:sz w:val="24"/>
        </w:rPr>
        <w:t>SIA „Koknese komunālie pakalpojumi”.</w:t>
      </w:r>
    </w:p>
    <w:p w14:paraId="5C1B815F" w14:textId="77777777" w:rsidR="006415B1" w:rsidRPr="001C1C52" w:rsidRDefault="006415B1" w:rsidP="006415B1">
      <w:pPr>
        <w:rPr>
          <w:sz w:val="24"/>
        </w:rPr>
      </w:pPr>
      <w:r w:rsidRPr="001C1C52">
        <w:rPr>
          <w:sz w:val="24"/>
        </w:rPr>
        <w:t>Savukārt valsts aizdevums 0,8 milj.</w:t>
      </w:r>
      <w:r w:rsidRPr="001C1C52">
        <w:rPr>
          <w:i/>
          <w:sz w:val="24"/>
        </w:rPr>
        <w:t xml:space="preserve">euro </w:t>
      </w:r>
      <w:r w:rsidRPr="001C1C52">
        <w:rPr>
          <w:sz w:val="24"/>
        </w:rPr>
        <w:t>apmērā izsniegts no valsts budžeta daļēji finansētas atvasinātas publiskas personām ES projektu īstenošanai, t.sk.:</w:t>
      </w:r>
    </w:p>
    <w:p w14:paraId="263F0F73" w14:textId="77777777" w:rsidR="006415B1" w:rsidRPr="001C1C52" w:rsidRDefault="006415B1" w:rsidP="006415B1">
      <w:pPr>
        <w:pStyle w:val="ListParagraph"/>
        <w:numPr>
          <w:ilvl w:val="0"/>
          <w:numId w:val="23"/>
        </w:numPr>
        <w:ind w:left="1134"/>
        <w:rPr>
          <w:sz w:val="24"/>
        </w:rPr>
      </w:pPr>
      <w:r w:rsidRPr="001C1C52">
        <w:rPr>
          <w:sz w:val="24"/>
        </w:rPr>
        <w:t>0,7 milj.</w:t>
      </w:r>
      <w:r w:rsidRPr="001C1C52">
        <w:rPr>
          <w:i/>
          <w:sz w:val="24"/>
        </w:rPr>
        <w:t xml:space="preserve"> euro</w:t>
      </w:r>
      <w:r w:rsidRPr="001C1C52">
        <w:rPr>
          <w:sz w:val="24"/>
        </w:rPr>
        <w:t xml:space="preserve"> Daugavpils universitāte;</w:t>
      </w:r>
    </w:p>
    <w:p w14:paraId="5C4084DE" w14:textId="77777777" w:rsidR="006415B1" w:rsidRPr="001C1C52" w:rsidRDefault="006415B1" w:rsidP="006415B1">
      <w:pPr>
        <w:pStyle w:val="ListParagraph"/>
        <w:numPr>
          <w:ilvl w:val="0"/>
          <w:numId w:val="23"/>
        </w:numPr>
        <w:ind w:left="1134"/>
        <w:rPr>
          <w:sz w:val="24"/>
        </w:rPr>
      </w:pPr>
      <w:r w:rsidRPr="001C1C52">
        <w:rPr>
          <w:sz w:val="24"/>
        </w:rPr>
        <w:t>0,08 milj.</w:t>
      </w:r>
      <w:r w:rsidRPr="001C1C52">
        <w:rPr>
          <w:i/>
          <w:sz w:val="24"/>
        </w:rPr>
        <w:t xml:space="preserve">euro </w:t>
      </w:r>
      <w:r w:rsidRPr="001C1C52">
        <w:rPr>
          <w:sz w:val="24"/>
        </w:rPr>
        <w:t>Rīgas Tehniskā universitāte;</w:t>
      </w:r>
    </w:p>
    <w:p w14:paraId="32362D8A" w14:textId="77777777" w:rsidR="006415B1" w:rsidRPr="001C1C52" w:rsidRDefault="006415B1" w:rsidP="006415B1">
      <w:pPr>
        <w:pStyle w:val="ListParagraph"/>
        <w:numPr>
          <w:ilvl w:val="0"/>
          <w:numId w:val="23"/>
        </w:numPr>
        <w:ind w:left="1134"/>
        <w:rPr>
          <w:sz w:val="24"/>
        </w:rPr>
      </w:pPr>
      <w:r w:rsidRPr="001C1C52">
        <w:rPr>
          <w:sz w:val="24"/>
        </w:rPr>
        <w:t>0,02 milj.</w:t>
      </w:r>
      <w:r w:rsidRPr="001C1C52">
        <w:rPr>
          <w:i/>
          <w:sz w:val="24"/>
        </w:rPr>
        <w:t xml:space="preserve">euro </w:t>
      </w:r>
      <w:r w:rsidRPr="001C1C52">
        <w:rPr>
          <w:sz w:val="24"/>
        </w:rPr>
        <w:t>Latvijas Biomedicīnas pētījumu un studiju centrs.</w:t>
      </w:r>
    </w:p>
    <w:p w14:paraId="637DC865" w14:textId="77777777" w:rsidR="006415B1" w:rsidRPr="001C1C52" w:rsidRDefault="006415B1" w:rsidP="006415B1">
      <w:pPr>
        <w:rPr>
          <w:sz w:val="24"/>
        </w:rPr>
      </w:pPr>
      <w:r w:rsidRPr="001C1C52">
        <w:rPr>
          <w:sz w:val="24"/>
        </w:rPr>
        <w:t>Valsts aizdevumu atmaksas laika periodā no 2015.gada 1.janvāra līdz 2015.gada 31.martam ir 36,6 milj.</w:t>
      </w:r>
      <w:r w:rsidRPr="001C1C52">
        <w:rPr>
          <w:i/>
          <w:sz w:val="24"/>
        </w:rPr>
        <w:t>euro</w:t>
      </w:r>
      <w:r w:rsidRPr="001C1C52">
        <w:rPr>
          <w:sz w:val="24"/>
        </w:rPr>
        <w:t>, ko pamatā veido:</w:t>
      </w:r>
    </w:p>
    <w:p w14:paraId="6B7DAC8C" w14:textId="77777777" w:rsidR="006415B1" w:rsidRPr="001C1C52" w:rsidRDefault="006415B1" w:rsidP="006415B1">
      <w:pPr>
        <w:pStyle w:val="ListParagraph"/>
        <w:numPr>
          <w:ilvl w:val="0"/>
          <w:numId w:val="24"/>
        </w:numPr>
        <w:spacing w:after="200" w:line="276" w:lineRule="auto"/>
        <w:ind w:left="851"/>
        <w:rPr>
          <w:sz w:val="24"/>
        </w:rPr>
      </w:pPr>
      <w:r w:rsidRPr="001C1C52">
        <w:rPr>
          <w:sz w:val="24"/>
        </w:rPr>
        <w:t>24,2 milj.</w:t>
      </w:r>
      <w:r w:rsidRPr="001C1C52">
        <w:rPr>
          <w:i/>
          <w:sz w:val="24"/>
        </w:rPr>
        <w:t xml:space="preserve">euro </w:t>
      </w:r>
      <w:r w:rsidRPr="001C1C52">
        <w:rPr>
          <w:sz w:val="24"/>
        </w:rPr>
        <w:t xml:space="preserve">apmērā pašvaldībām izsniegto valsts aizdevumu atmaksas; </w:t>
      </w:r>
    </w:p>
    <w:p w14:paraId="4F51593D" w14:textId="77777777" w:rsidR="006415B1" w:rsidRPr="001C1C52" w:rsidRDefault="006415B1" w:rsidP="006415B1">
      <w:pPr>
        <w:pStyle w:val="ListParagraph"/>
        <w:numPr>
          <w:ilvl w:val="0"/>
          <w:numId w:val="24"/>
        </w:numPr>
        <w:spacing w:after="200" w:line="276" w:lineRule="auto"/>
        <w:ind w:left="851"/>
        <w:rPr>
          <w:sz w:val="24"/>
        </w:rPr>
      </w:pPr>
      <w:r w:rsidRPr="001C1C52">
        <w:rPr>
          <w:sz w:val="24"/>
        </w:rPr>
        <w:t>2,3 milj.</w:t>
      </w:r>
      <w:r w:rsidRPr="001C1C52">
        <w:rPr>
          <w:i/>
          <w:sz w:val="24"/>
        </w:rPr>
        <w:t xml:space="preserve">euro </w:t>
      </w:r>
      <w:r w:rsidRPr="001C1C52">
        <w:rPr>
          <w:sz w:val="24"/>
        </w:rPr>
        <w:t>nefinanšu komersantu veiktās atmaksas</w:t>
      </w:r>
      <w:r w:rsidRPr="001C1C52">
        <w:rPr>
          <w:i/>
          <w:sz w:val="24"/>
        </w:rPr>
        <w:t xml:space="preserve">, </w:t>
      </w:r>
      <w:r w:rsidRPr="001C1C52">
        <w:rPr>
          <w:sz w:val="24"/>
        </w:rPr>
        <w:t>t.sk. lielākās atmaksas veido 0,5 milj.</w:t>
      </w:r>
      <w:r w:rsidRPr="001C1C52">
        <w:rPr>
          <w:i/>
          <w:sz w:val="24"/>
        </w:rPr>
        <w:t>euro</w:t>
      </w:r>
      <w:r w:rsidRPr="001C1C52">
        <w:rPr>
          <w:sz w:val="24"/>
        </w:rPr>
        <w:t xml:space="preserve"> SIA „Liepājas tramvajs”, 0,4 milj.</w:t>
      </w:r>
      <w:r w:rsidRPr="001C1C52">
        <w:rPr>
          <w:i/>
          <w:sz w:val="24"/>
        </w:rPr>
        <w:t>euro</w:t>
      </w:r>
      <w:r w:rsidRPr="001C1C52">
        <w:rPr>
          <w:sz w:val="24"/>
        </w:rPr>
        <w:t xml:space="preserve"> VAS „Starptautiskajai lidostai „Rīga””;</w:t>
      </w:r>
    </w:p>
    <w:p w14:paraId="7ED96607" w14:textId="77777777" w:rsidR="006415B1" w:rsidRPr="001C1C52" w:rsidRDefault="006415B1" w:rsidP="006415B1">
      <w:pPr>
        <w:pStyle w:val="ListParagraph"/>
        <w:numPr>
          <w:ilvl w:val="0"/>
          <w:numId w:val="24"/>
        </w:numPr>
        <w:spacing w:after="200" w:line="276" w:lineRule="auto"/>
        <w:ind w:left="851"/>
        <w:rPr>
          <w:sz w:val="24"/>
        </w:rPr>
      </w:pPr>
      <w:r w:rsidRPr="001C1C52">
        <w:rPr>
          <w:sz w:val="24"/>
        </w:rPr>
        <w:t>1,8 milj.</w:t>
      </w:r>
      <w:r w:rsidRPr="001C1C52">
        <w:rPr>
          <w:i/>
          <w:sz w:val="24"/>
        </w:rPr>
        <w:t xml:space="preserve">euro </w:t>
      </w:r>
      <w:r w:rsidRPr="001C1C52">
        <w:rPr>
          <w:sz w:val="24"/>
        </w:rPr>
        <w:t xml:space="preserve">finanšu iestādes veiktās atmaksas veido </w:t>
      </w:r>
      <w:r w:rsidRPr="001C1C52">
        <w:rPr>
          <w:rFonts w:cs="Times New Roman"/>
          <w:sz w:val="24"/>
        </w:rPr>
        <w:t>AS "Attīstības finanšu institūcija Altum" (iepriekš –</w:t>
      </w:r>
      <w:r w:rsidRPr="001C1C52">
        <w:rPr>
          <w:sz w:val="24"/>
        </w:rPr>
        <w:t xml:space="preserve"> VAS „Lauku attīstības fonds”) izsniegtā valsts aizdevuma pirmstermiņa atmaksas;</w:t>
      </w:r>
    </w:p>
    <w:p w14:paraId="752C17D2" w14:textId="77777777" w:rsidR="006415B1" w:rsidRPr="001C1C52" w:rsidRDefault="006415B1" w:rsidP="006415B1">
      <w:pPr>
        <w:pStyle w:val="ListParagraph"/>
        <w:numPr>
          <w:ilvl w:val="0"/>
          <w:numId w:val="24"/>
        </w:numPr>
        <w:spacing w:after="200" w:line="276" w:lineRule="auto"/>
        <w:ind w:left="851"/>
        <w:rPr>
          <w:sz w:val="24"/>
        </w:rPr>
      </w:pPr>
      <w:r w:rsidRPr="001C1C52">
        <w:rPr>
          <w:sz w:val="24"/>
        </w:rPr>
        <w:t>1,6 milj.</w:t>
      </w:r>
      <w:r w:rsidRPr="001C1C52">
        <w:rPr>
          <w:i/>
          <w:sz w:val="24"/>
        </w:rPr>
        <w:t xml:space="preserve">euro </w:t>
      </w:r>
      <w:r w:rsidRPr="001C1C52">
        <w:rPr>
          <w:sz w:val="24"/>
        </w:rPr>
        <w:t>apmērā no valsts budžeta daļēji finansētas atvasinātas publiskas personas veiktās atmaksas, t.sk. 1,3 milj.</w:t>
      </w:r>
      <w:r w:rsidRPr="001C1C52">
        <w:rPr>
          <w:i/>
          <w:sz w:val="24"/>
        </w:rPr>
        <w:t>euro</w:t>
      </w:r>
      <w:r w:rsidRPr="001C1C52">
        <w:rPr>
          <w:sz w:val="24"/>
        </w:rPr>
        <w:t xml:space="preserve"> Rīgas Stradiņa universitātes;</w:t>
      </w:r>
    </w:p>
    <w:p w14:paraId="379AC81A" w14:textId="77777777" w:rsidR="006415B1" w:rsidRPr="001C1C52" w:rsidRDefault="006415B1" w:rsidP="006415B1">
      <w:pPr>
        <w:pStyle w:val="ListParagraph"/>
        <w:numPr>
          <w:ilvl w:val="0"/>
          <w:numId w:val="24"/>
        </w:numPr>
        <w:spacing w:after="200" w:line="276" w:lineRule="auto"/>
        <w:ind w:left="851"/>
        <w:rPr>
          <w:sz w:val="24"/>
        </w:rPr>
      </w:pPr>
      <w:r w:rsidRPr="001C1C52">
        <w:rPr>
          <w:sz w:val="24"/>
        </w:rPr>
        <w:t>0,7 milj.</w:t>
      </w:r>
      <w:r w:rsidRPr="001C1C52">
        <w:rPr>
          <w:i/>
          <w:sz w:val="24"/>
        </w:rPr>
        <w:t>euro</w:t>
      </w:r>
      <w:r w:rsidRPr="001C1C52">
        <w:rPr>
          <w:sz w:val="24"/>
        </w:rPr>
        <w:t xml:space="preserve"> apmērā valsts struktūru kontrolētu un finansētu komersanta SIA „Hiponia” veiktās pirmstermiņa atmaksas.</w:t>
      </w:r>
    </w:p>
    <w:p w14:paraId="47FB6E2D" w14:textId="77777777" w:rsidR="00B510B1" w:rsidRPr="00EF354D" w:rsidRDefault="00B510B1" w:rsidP="00B510B1">
      <w:pPr>
        <w:rPr>
          <w:sz w:val="72"/>
          <w:lang w:eastAsia="lv-LV"/>
        </w:rPr>
      </w:pPr>
    </w:p>
    <w:p w14:paraId="13BEA14C" w14:textId="095A16C2" w:rsidR="004472BB" w:rsidRPr="001C1C52" w:rsidRDefault="004472BB" w:rsidP="004472BB">
      <w:pPr>
        <w:spacing w:after="0"/>
        <w:ind w:firstLine="0"/>
        <w:rPr>
          <w:sz w:val="24"/>
        </w:rPr>
      </w:pPr>
      <w:r w:rsidRPr="001C1C52">
        <w:rPr>
          <w:sz w:val="24"/>
        </w:rPr>
        <w:t>Finanšu ministrs</w:t>
      </w:r>
      <w:r w:rsidRPr="001C1C52">
        <w:rPr>
          <w:sz w:val="24"/>
        </w:rPr>
        <w:tab/>
      </w:r>
      <w:r w:rsidRPr="001C1C52">
        <w:rPr>
          <w:sz w:val="24"/>
        </w:rPr>
        <w:tab/>
      </w:r>
      <w:r w:rsidRPr="001C1C52">
        <w:rPr>
          <w:sz w:val="24"/>
        </w:rPr>
        <w:tab/>
      </w:r>
      <w:r w:rsidRPr="001C1C52">
        <w:rPr>
          <w:sz w:val="24"/>
        </w:rPr>
        <w:tab/>
      </w:r>
      <w:r w:rsidRPr="001C1C52">
        <w:rPr>
          <w:sz w:val="24"/>
        </w:rPr>
        <w:tab/>
      </w:r>
      <w:r w:rsidR="009D14C4">
        <w:rPr>
          <w:sz w:val="24"/>
        </w:rPr>
        <w:tab/>
      </w:r>
      <w:r w:rsidRPr="001C1C52">
        <w:rPr>
          <w:sz w:val="24"/>
        </w:rPr>
        <w:tab/>
      </w:r>
      <w:r w:rsidRPr="001C1C52">
        <w:rPr>
          <w:sz w:val="24"/>
        </w:rPr>
        <w:tab/>
      </w:r>
      <w:r w:rsidRPr="001C1C52">
        <w:rPr>
          <w:sz w:val="24"/>
        </w:rPr>
        <w:tab/>
      </w:r>
      <w:r w:rsidRPr="001C1C52">
        <w:rPr>
          <w:sz w:val="24"/>
        </w:rPr>
        <w:tab/>
        <w:t>J.Reirs</w:t>
      </w:r>
    </w:p>
    <w:p w14:paraId="133E9822" w14:textId="77777777" w:rsidR="004472BB" w:rsidRPr="00EF354D" w:rsidRDefault="004472BB" w:rsidP="004472BB">
      <w:pPr>
        <w:ind w:firstLine="0"/>
        <w:rPr>
          <w:sz w:val="48"/>
        </w:rPr>
      </w:pPr>
    </w:p>
    <w:p w14:paraId="635F1AAE" w14:textId="77777777" w:rsidR="00EF354D" w:rsidRPr="00EF354D" w:rsidRDefault="00EF354D" w:rsidP="004472BB">
      <w:pPr>
        <w:ind w:firstLine="0"/>
        <w:rPr>
          <w:sz w:val="4"/>
        </w:rPr>
      </w:pPr>
    </w:p>
    <w:p w14:paraId="528F663E" w14:textId="09215A73" w:rsidR="004472BB" w:rsidRDefault="004472BB" w:rsidP="004472BB">
      <w:pPr>
        <w:spacing w:after="0"/>
        <w:ind w:firstLine="0"/>
        <w:rPr>
          <w:sz w:val="18"/>
          <w:szCs w:val="18"/>
        </w:rPr>
      </w:pPr>
      <w:r>
        <w:rPr>
          <w:sz w:val="18"/>
          <w:szCs w:val="18"/>
        </w:rPr>
        <w:t>1</w:t>
      </w:r>
      <w:r w:rsidR="009D14C4">
        <w:rPr>
          <w:sz w:val="18"/>
          <w:szCs w:val="18"/>
        </w:rPr>
        <w:t>9</w:t>
      </w:r>
      <w:r>
        <w:rPr>
          <w:sz w:val="18"/>
          <w:szCs w:val="18"/>
        </w:rPr>
        <w:t xml:space="preserve">.05.2015 </w:t>
      </w:r>
      <w:r w:rsidR="00843F34">
        <w:rPr>
          <w:sz w:val="18"/>
          <w:szCs w:val="18"/>
        </w:rPr>
        <w:t>16:53</w:t>
      </w:r>
    </w:p>
    <w:p w14:paraId="62523AFA" w14:textId="5E29E695" w:rsidR="004472BB" w:rsidRPr="000147BB" w:rsidRDefault="004472BB" w:rsidP="004472BB">
      <w:pPr>
        <w:spacing w:after="0"/>
        <w:ind w:firstLine="0"/>
        <w:rPr>
          <w:sz w:val="18"/>
          <w:szCs w:val="18"/>
        </w:rPr>
      </w:pPr>
      <w:r>
        <w:rPr>
          <w:sz w:val="18"/>
          <w:szCs w:val="18"/>
        </w:rPr>
        <w:t xml:space="preserve">15 </w:t>
      </w:r>
      <w:r w:rsidR="009D14C4">
        <w:rPr>
          <w:sz w:val="18"/>
          <w:szCs w:val="18"/>
        </w:rPr>
        <w:t>860</w:t>
      </w:r>
    </w:p>
    <w:p w14:paraId="07AD7C97" w14:textId="77777777" w:rsidR="004472BB" w:rsidRPr="00EA285C" w:rsidRDefault="004472BB" w:rsidP="004472BB">
      <w:pPr>
        <w:spacing w:after="0"/>
        <w:ind w:firstLine="0"/>
        <w:rPr>
          <w:sz w:val="18"/>
          <w:szCs w:val="18"/>
        </w:rPr>
      </w:pPr>
      <w:r>
        <w:rPr>
          <w:sz w:val="18"/>
          <w:szCs w:val="18"/>
        </w:rPr>
        <w:t>Līga Ozoliņa</w:t>
      </w:r>
    </w:p>
    <w:p w14:paraId="25915252" w14:textId="77777777" w:rsidR="004472BB" w:rsidRPr="00EA285C" w:rsidRDefault="004472BB" w:rsidP="004472BB">
      <w:pPr>
        <w:spacing w:after="0"/>
        <w:ind w:firstLine="0"/>
        <w:rPr>
          <w:sz w:val="18"/>
          <w:szCs w:val="18"/>
        </w:rPr>
      </w:pPr>
      <w:r w:rsidRPr="00EA285C">
        <w:rPr>
          <w:sz w:val="18"/>
          <w:szCs w:val="18"/>
        </w:rPr>
        <w:t xml:space="preserve">Fiskālās politikas departamenta </w:t>
      </w:r>
    </w:p>
    <w:p w14:paraId="530FE6BC" w14:textId="77777777" w:rsidR="004472BB" w:rsidRDefault="004472BB" w:rsidP="004472BB">
      <w:pPr>
        <w:spacing w:after="0"/>
        <w:ind w:firstLine="0"/>
        <w:rPr>
          <w:sz w:val="18"/>
          <w:szCs w:val="18"/>
        </w:rPr>
      </w:pPr>
      <w:r>
        <w:rPr>
          <w:sz w:val="18"/>
          <w:szCs w:val="18"/>
        </w:rPr>
        <w:t>F</w:t>
      </w:r>
      <w:r w:rsidRPr="00EA285C">
        <w:rPr>
          <w:sz w:val="18"/>
          <w:szCs w:val="18"/>
        </w:rPr>
        <w:t xml:space="preserve">iskālās pārvaldības nodaļas </w:t>
      </w:r>
      <w:r>
        <w:rPr>
          <w:sz w:val="18"/>
          <w:szCs w:val="18"/>
        </w:rPr>
        <w:t>vadītāja vietniece</w:t>
      </w:r>
    </w:p>
    <w:p w14:paraId="2413970F" w14:textId="77777777" w:rsidR="004472BB" w:rsidRPr="00EA285C" w:rsidRDefault="004472BB" w:rsidP="004472BB">
      <w:pPr>
        <w:spacing w:after="0"/>
        <w:ind w:firstLine="0"/>
        <w:rPr>
          <w:sz w:val="18"/>
          <w:szCs w:val="18"/>
        </w:rPr>
      </w:pPr>
      <w:r>
        <w:rPr>
          <w:sz w:val="18"/>
          <w:szCs w:val="18"/>
        </w:rPr>
        <w:t>tālrunis 67083823</w:t>
      </w:r>
      <w:r w:rsidRPr="00EA285C">
        <w:rPr>
          <w:sz w:val="18"/>
          <w:szCs w:val="18"/>
        </w:rPr>
        <w:t xml:space="preserve">, </w:t>
      </w:r>
    </w:p>
    <w:p w14:paraId="1E96EF58" w14:textId="77777777" w:rsidR="00B510B1" w:rsidRPr="00B510B1" w:rsidRDefault="009F4B95" w:rsidP="00433477">
      <w:pPr>
        <w:ind w:firstLine="0"/>
        <w:rPr>
          <w:lang w:eastAsia="lv-LV"/>
        </w:rPr>
      </w:pPr>
      <w:hyperlink r:id="rId48" w:history="1">
        <w:r w:rsidR="004472BB" w:rsidRPr="0062753E">
          <w:rPr>
            <w:rStyle w:val="Hyperlink"/>
            <w:sz w:val="18"/>
            <w:szCs w:val="18"/>
          </w:rPr>
          <w:t>Liga.Ozolin@fm.gov.lv</w:t>
        </w:r>
      </w:hyperlink>
    </w:p>
    <w:sectPr w:rsidR="00B510B1" w:rsidRPr="00B510B1" w:rsidSect="00EF354D">
      <w:headerReference w:type="even" r:id="rId49"/>
      <w:headerReference w:type="default" r:id="rId50"/>
      <w:footerReference w:type="default" r:id="rId51"/>
      <w:pgSz w:w="11906" w:h="16838"/>
      <w:pgMar w:top="1418" w:right="566" w:bottom="993" w:left="1701" w:header="709" w:footer="35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1F2F2F" w14:textId="77777777" w:rsidR="009F4B95" w:rsidRDefault="009F4B95" w:rsidP="001E7227">
      <w:pPr>
        <w:spacing w:after="0"/>
      </w:pPr>
      <w:r>
        <w:separator/>
      </w:r>
    </w:p>
  </w:endnote>
  <w:endnote w:type="continuationSeparator" w:id="0">
    <w:p w14:paraId="1E23AF37" w14:textId="77777777" w:rsidR="009F4B95" w:rsidRDefault="009F4B95" w:rsidP="001E72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altName w:val="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911C3" w14:textId="77777777" w:rsidR="009F4B95" w:rsidRDefault="009F4B95" w:rsidP="00A8463B">
    <w:pPr>
      <w:pStyle w:val="Footer"/>
      <w:rPr>
        <w:szCs w:val="20"/>
      </w:rPr>
    </w:pPr>
    <w:r>
      <w:rPr>
        <w:szCs w:val="20"/>
      </w:rPr>
      <w:fldChar w:fldCharType="begin"/>
    </w:r>
    <w:r>
      <w:rPr>
        <w:szCs w:val="20"/>
      </w:rPr>
      <w:instrText xml:space="preserve"> FILENAME   \* MERGEFORMAT </w:instrText>
    </w:r>
    <w:r>
      <w:rPr>
        <w:szCs w:val="20"/>
      </w:rPr>
      <w:fldChar w:fldCharType="separate"/>
    </w:r>
    <w:r>
      <w:rPr>
        <w:noProof/>
        <w:szCs w:val="20"/>
      </w:rPr>
      <w:t>FMInfo_19052015_Tauts.docx</w:t>
    </w:r>
    <w:r>
      <w:rPr>
        <w:szCs w:val="20"/>
      </w:rPr>
      <w:fldChar w:fldCharType="end"/>
    </w:r>
    <w:r>
      <w:rPr>
        <w:szCs w:val="20"/>
      </w:rPr>
      <w:t>; Informatīvais ziņojums „Par tautsaimniecības attīstību un kopbudžeta izpildes gaitu 2015.gada 1.ceturksnī”</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BEB55" w14:textId="77777777" w:rsidR="009F4B95" w:rsidRDefault="009F4B95" w:rsidP="001E7227">
      <w:pPr>
        <w:spacing w:after="0"/>
      </w:pPr>
      <w:r>
        <w:separator/>
      </w:r>
    </w:p>
  </w:footnote>
  <w:footnote w:type="continuationSeparator" w:id="0">
    <w:p w14:paraId="25438E09" w14:textId="77777777" w:rsidR="009F4B95" w:rsidRDefault="009F4B95" w:rsidP="001E7227">
      <w:pPr>
        <w:spacing w:after="0"/>
      </w:pPr>
      <w:r>
        <w:continuationSeparator/>
      </w:r>
    </w:p>
  </w:footnote>
  <w:footnote w:id="1">
    <w:p w14:paraId="4B91802D" w14:textId="77777777" w:rsidR="009F4B95" w:rsidRPr="00FF4987" w:rsidRDefault="009F4B95" w:rsidP="007722BA">
      <w:pPr>
        <w:pStyle w:val="FootnoteText"/>
      </w:pPr>
      <w:r w:rsidRPr="00FF4987">
        <w:rPr>
          <w:rStyle w:val="FootnoteReference"/>
        </w:rPr>
        <w:footnoteRef/>
      </w:r>
      <w:r w:rsidRPr="00FF4987">
        <w:t xml:space="preserve"> </w:t>
      </w:r>
      <w:r w:rsidRPr="00FF4987">
        <w:rPr>
          <w:i/>
        </w:rPr>
        <w:t xml:space="preserve">European Economic Forecast - </w:t>
      </w:r>
      <w:r>
        <w:rPr>
          <w:i/>
        </w:rPr>
        <w:t>Spring</w:t>
      </w:r>
      <w:r w:rsidRPr="00FF4987">
        <w:rPr>
          <w:i/>
        </w:rPr>
        <w:t xml:space="preserve"> 2015, European Commission</w:t>
      </w:r>
    </w:p>
  </w:footnote>
  <w:footnote w:id="2">
    <w:p w14:paraId="27EF1F75" w14:textId="77777777" w:rsidR="009F4B95" w:rsidRPr="00FF4987" w:rsidRDefault="009F4B95" w:rsidP="007722BA">
      <w:pPr>
        <w:pStyle w:val="FootnoteText"/>
      </w:pPr>
      <w:r w:rsidRPr="00FF4987">
        <w:rPr>
          <w:rStyle w:val="FootnoteReference"/>
        </w:rPr>
        <w:footnoteRef/>
      </w:r>
      <w:r w:rsidRPr="00FF4987">
        <w:t xml:space="preserve"> Datu avots: </w:t>
      </w:r>
      <w:r w:rsidRPr="00FF4987">
        <w:rPr>
          <w:i/>
        </w:rPr>
        <w:t xml:space="preserve">World Economic Outlook Update, </w:t>
      </w:r>
      <w:r>
        <w:rPr>
          <w:i/>
        </w:rPr>
        <w:t>April 15</w:t>
      </w:r>
      <w:r w:rsidRPr="00FF4987">
        <w:rPr>
          <w:i/>
        </w:rPr>
        <w:t>, 2015, International Monetary Fund</w:t>
      </w:r>
    </w:p>
  </w:footnote>
  <w:footnote w:id="3">
    <w:p w14:paraId="1B968E91" w14:textId="77777777" w:rsidR="009F4B95" w:rsidRPr="00FF4987" w:rsidRDefault="009F4B95" w:rsidP="007722BA">
      <w:pPr>
        <w:pStyle w:val="FootnoteText"/>
        <w:ind w:left="142" w:hanging="142"/>
      </w:pPr>
      <w:r w:rsidRPr="00FF4987">
        <w:rPr>
          <w:rStyle w:val="FootnoteReference"/>
        </w:rPr>
        <w:footnoteRef/>
      </w:r>
      <w:r w:rsidRPr="00FF4987">
        <w:t xml:space="preserve"> Latvijas ārējās tirdzniecības galveno partnervalstu (Igaunija, Lietuva, Krievija, Vācija, Polija, Zviedrija) vidējā izaugsme, svērta ar  vidējo eksporta īpatsvaru uz konkrēto valsti 2014. gadā. Datu avots: </w:t>
      </w:r>
      <w:r w:rsidRPr="00FF4987">
        <w:rPr>
          <w:i/>
        </w:rPr>
        <w:t xml:space="preserve">Eurostat; European Economic Forecast - </w:t>
      </w:r>
      <w:r>
        <w:rPr>
          <w:i/>
        </w:rPr>
        <w:t>Spring</w:t>
      </w:r>
      <w:r w:rsidRPr="00FF4987">
        <w:rPr>
          <w:i/>
        </w:rPr>
        <w:t xml:space="preserve"> 2015, European Commission</w:t>
      </w:r>
      <w:r w:rsidRPr="00FF4987">
        <w:t>; FM aprēķini.</w:t>
      </w:r>
    </w:p>
  </w:footnote>
  <w:footnote w:id="4">
    <w:p w14:paraId="79E819F4" w14:textId="77777777" w:rsidR="009F4B95" w:rsidRDefault="009F4B95" w:rsidP="007722BA">
      <w:pPr>
        <w:pStyle w:val="FootnoteText"/>
      </w:pPr>
      <w:r w:rsidRPr="004E4838">
        <w:rPr>
          <w:rStyle w:val="FootnoteReference"/>
        </w:rPr>
        <w:footnoteRef/>
      </w:r>
      <w:r w:rsidRPr="004E4838">
        <w:t xml:space="preserve"> Datu avots: Klaipēdas ostas mājas lapa, www.portofklaipeda.lt</w:t>
      </w:r>
    </w:p>
  </w:footnote>
  <w:footnote w:id="5">
    <w:p w14:paraId="58389834" w14:textId="77777777" w:rsidR="009F4B95" w:rsidRDefault="009F4B95" w:rsidP="006415B1">
      <w:pPr>
        <w:pStyle w:val="FootnoteText"/>
        <w:ind w:left="0" w:firstLine="0"/>
      </w:pPr>
      <w:r>
        <w:rPr>
          <w:rStyle w:val="FootnoteReference"/>
        </w:rPr>
        <w:footnoteRef/>
      </w:r>
      <w:r>
        <w:t xml:space="preserve"> 2015. gada 5. janvāra Finanšu ministrijas rīkojums Nr.2 “Par nodokļu un valsts pamatbudžeta nenodokļu ieņēmumu plānu sadalījumā pa mēnešiem 2015. gadā”</w:t>
      </w:r>
    </w:p>
  </w:footnote>
  <w:footnote w:id="6">
    <w:p w14:paraId="0E33F8C2" w14:textId="77777777" w:rsidR="009F4B95" w:rsidRDefault="009F4B95" w:rsidP="006415B1">
      <w:pPr>
        <w:pStyle w:val="FootnoteText"/>
      </w:pPr>
      <w:r>
        <w:rPr>
          <w:rStyle w:val="FootnoteReference"/>
        </w:rPr>
        <w:footnoteRef/>
      </w:r>
      <w:r>
        <w:t xml:space="preserve"> Ieskaitot iemaksas valsts fondēto pensiju shēmā</w:t>
      </w:r>
    </w:p>
  </w:footnote>
  <w:footnote w:id="7">
    <w:p w14:paraId="7ADAD33C" w14:textId="77777777" w:rsidR="009F4B95" w:rsidRDefault="009F4B95" w:rsidP="006415B1">
      <w:pPr>
        <w:pStyle w:val="FootnoteText"/>
      </w:pPr>
      <w:r>
        <w:rPr>
          <w:rStyle w:val="FootnoteReference"/>
        </w:rPr>
        <w:footnoteRef/>
      </w:r>
      <w:r>
        <w:t xml:space="preserve"> Tajā skaitā transportlīdzekļi ar gāzes un benzīna dzinēju un gāzes un dīzeļdegvielas dzinēju</w:t>
      </w:r>
    </w:p>
  </w:footnote>
  <w:footnote w:id="8">
    <w:p w14:paraId="37E69DCF" w14:textId="77777777" w:rsidR="009F4B95" w:rsidRDefault="009F4B95" w:rsidP="006415B1">
      <w:pPr>
        <w:pStyle w:val="FootnoteText"/>
      </w:pPr>
      <w:r>
        <w:rPr>
          <w:rStyle w:val="FootnoteReference"/>
        </w:rPr>
        <w:footnoteRef/>
      </w:r>
      <w:r>
        <w:t xml:space="preserve"> Galvenokārt stiprie alkoholiskie dzērieni</w:t>
      </w:r>
    </w:p>
  </w:footnote>
  <w:footnote w:id="9">
    <w:p w14:paraId="2540CF2A" w14:textId="77777777" w:rsidR="009F4B95" w:rsidRDefault="009F4B95" w:rsidP="006415B1">
      <w:pPr>
        <w:pStyle w:val="FootnoteText"/>
      </w:pPr>
      <w:r>
        <w:rPr>
          <w:rStyle w:val="FootnoteReference"/>
        </w:rPr>
        <w:footnoteRef/>
      </w:r>
      <w:r>
        <w:t xml:space="preserve"> </w:t>
      </w:r>
      <w:r>
        <w:tab/>
        <w:t>I</w:t>
      </w:r>
      <w:r w:rsidRPr="00BA1FB9">
        <w:t>eskaitot transportlīdzekļu ikgadējo nodevu, kas tiek maksāta par iepriekšējiem periodiem</w:t>
      </w:r>
    </w:p>
  </w:footnote>
  <w:footnote w:id="10">
    <w:p w14:paraId="4258443E" w14:textId="77777777" w:rsidR="009F4B95" w:rsidRDefault="009F4B95" w:rsidP="006415B1">
      <w:pPr>
        <w:pStyle w:val="FootnoteText"/>
      </w:pPr>
      <w:r>
        <w:rPr>
          <w:rStyle w:val="FootnoteReference"/>
        </w:rPr>
        <w:footnoteRef/>
      </w:r>
      <w:r>
        <w:t xml:space="preserve"> At</w:t>
      </w:r>
      <w:r w:rsidRPr="00BA1FB9">
        <w:t xml:space="preserve">skaitot transportlīdzekļu ikgadējo nodevu, kas tiek </w:t>
      </w:r>
      <w:r>
        <w:t>ieskaitīta</w:t>
      </w:r>
      <w:r w:rsidRPr="00687DC1">
        <w:t xml:space="preserve"> p</w:t>
      </w:r>
      <w:r>
        <w:t xml:space="preserve">ie </w:t>
      </w:r>
      <w:r w:rsidRPr="00687DC1">
        <w:t xml:space="preserve">transportlīdzekļu </w:t>
      </w:r>
      <w:r>
        <w:t>ekspluatācijas nodokļa. A</w:t>
      </w:r>
      <w:r w:rsidRPr="00687DC1">
        <w:t>r 01.01.2011. transportlīdzekļu ikgadējā nodeva tika pārveidota par transportlīdzekļu nodokli.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7E583" w14:textId="77777777" w:rsidR="009F4B95" w:rsidRDefault="009F4B9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ACA46A" w14:textId="77777777" w:rsidR="009F4B95" w:rsidRDefault="009F4B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36509"/>
      <w:docPartObj>
        <w:docPartGallery w:val="Page Numbers (Top of Page)"/>
        <w:docPartUnique/>
      </w:docPartObj>
    </w:sdtPr>
    <w:sdtEndPr>
      <w:rPr>
        <w:noProof/>
      </w:rPr>
    </w:sdtEndPr>
    <w:sdtContent>
      <w:p w14:paraId="5458E2F0" w14:textId="77777777" w:rsidR="009F4B95" w:rsidRDefault="009F4B95" w:rsidP="00B36423">
        <w:pPr>
          <w:pStyle w:val="Header"/>
          <w:jc w:val="center"/>
        </w:pPr>
        <w:r w:rsidRPr="000B3341">
          <w:fldChar w:fldCharType="begin"/>
        </w:r>
        <w:r w:rsidRPr="000B3341">
          <w:instrText xml:space="preserve"> PAGE   \* MERGEFORMAT </w:instrText>
        </w:r>
        <w:r w:rsidRPr="000B3341">
          <w:fldChar w:fldCharType="separate"/>
        </w:r>
        <w:r w:rsidR="000665FE">
          <w:rPr>
            <w:noProof/>
          </w:rPr>
          <w:t>22</w:t>
        </w:r>
        <w:r w:rsidRPr="000B3341">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376D3"/>
    <w:multiLevelType w:val="multilevel"/>
    <w:tmpl w:val="088066E6"/>
    <w:styleLink w:val="1111111"/>
    <w:lvl w:ilvl="0">
      <w:start w:val="1"/>
      <w:numFmt w:val="bullet"/>
      <w:lvlText w:val=""/>
      <w:lvlJc w:val="left"/>
      <w:pPr>
        <w:ind w:left="1429" w:hanging="360"/>
      </w:pPr>
      <w:rPr>
        <w:rFonts w:ascii="Symbol" w:hAnsi="Symbol"/>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nsid w:val="0EC7109B"/>
    <w:multiLevelType w:val="hybridMultilevel"/>
    <w:tmpl w:val="B7F00EF6"/>
    <w:styleLink w:val="11111111"/>
    <w:lvl w:ilvl="0" w:tplc="FFFFFFFF">
      <w:start w:val="1"/>
      <w:numFmt w:val="bullet"/>
      <w:pStyle w:val="virsr21"/>
      <w:lvlText w:val=""/>
      <w:lvlJc w:val="left"/>
      <w:pPr>
        <w:tabs>
          <w:tab w:val="num" w:pos="502"/>
        </w:tabs>
        <w:ind w:left="426" w:hanging="284"/>
      </w:pPr>
      <w:rPr>
        <w:rFonts w:ascii="Wingdings" w:hAnsi="Wingdings" w:hint="default"/>
        <w:color w:val="00000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ED376B9"/>
    <w:multiLevelType w:val="hybridMultilevel"/>
    <w:tmpl w:val="3E0CD884"/>
    <w:styleLink w:val="1111113"/>
    <w:lvl w:ilvl="0" w:tplc="ACF4BAD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55A52AF"/>
    <w:multiLevelType w:val="hybridMultilevel"/>
    <w:tmpl w:val="E6E22C58"/>
    <w:lvl w:ilvl="0" w:tplc="1D34C8C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
    <w:nsid w:val="1D126FD5"/>
    <w:multiLevelType w:val="hybridMultilevel"/>
    <w:tmpl w:val="0EA412C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
    <w:nsid w:val="2161361C"/>
    <w:multiLevelType w:val="hybridMultilevel"/>
    <w:tmpl w:val="00A88834"/>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6">
    <w:nsid w:val="255444AA"/>
    <w:multiLevelType w:val="hybridMultilevel"/>
    <w:tmpl w:val="E09E999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
    <w:nsid w:val="280457B5"/>
    <w:multiLevelType w:val="hybridMultilevel"/>
    <w:tmpl w:val="97F4D48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nsid w:val="2F3B3403"/>
    <w:multiLevelType w:val="hybridMultilevel"/>
    <w:tmpl w:val="088066E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9">
    <w:nsid w:val="2FB279D8"/>
    <w:multiLevelType w:val="multilevel"/>
    <w:tmpl w:val="28FE1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5F42253"/>
    <w:multiLevelType w:val="hybridMultilevel"/>
    <w:tmpl w:val="1E46B7F0"/>
    <w:lvl w:ilvl="0" w:tplc="E9561DDE">
      <w:start w:val="5"/>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1">
    <w:nsid w:val="40780C7B"/>
    <w:multiLevelType w:val="multilevel"/>
    <w:tmpl w:val="882A2C94"/>
    <w:lvl w:ilvl="0">
      <w:start w:val="1"/>
      <w:numFmt w:val="decimal"/>
      <w:lvlText w:val="%1."/>
      <w:lvlJc w:val="left"/>
      <w:pPr>
        <w:ind w:left="1429" w:hanging="360"/>
      </w:pPr>
      <w:rPr>
        <w:rFonts w:hint="default"/>
      </w:rPr>
    </w:lvl>
    <w:lvl w:ilvl="1">
      <w:start w:val="3"/>
      <w:numFmt w:val="decimal"/>
      <w:isLgl/>
      <w:lvlText w:val="%1.%2."/>
      <w:lvlJc w:val="left"/>
      <w:pPr>
        <w:ind w:left="1864" w:hanging="795"/>
      </w:pPr>
      <w:rPr>
        <w:rFonts w:hint="default"/>
      </w:rPr>
    </w:lvl>
    <w:lvl w:ilvl="2">
      <w:start w:val="2"/>
      <w:numFmt w:val="decimal"/>
      <w:isLgl/>
      <w:lvlText w:val="%1.%2.%3."/>
      <w:lvlJc w:val="left"/>
      <w:pPr>
        <w:ind w:left="1864" w:hanging="79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229" w:hanging="2160"/>
      </w:pPr>
      <w:rPr>
        <w:rFonts w:hint="default"/>
      </w:rPr>
    </w:lvl>
  </w:abstractNum>
  <w:abstractNum w:abstractNumId="12">
    <w:nsid w:val="4C46524E"/>
    <w:multiLevelType w:val="hybridMultilevel"/>
    <w:tmpl w:val="79CAD8E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nsid w:val="5110208D"/>
    <w:multiLevelType w:val="hybridMultilevel"/>
    <w:tmpl w:val="0D04B476"/>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14">
    <w:nsid w:val="53551C05"/>
    <w:multiLevelType w:val="hybridMultilevel"/>
    <w:tmpl w:val="0E9CCBFA"/>
    <w:lvl w:ilvl="0" w:tplc="E452D196">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5">
    <w:nsid w:val="5E4D7C1F"/>
    <w:multiLevelType w:val="multilevel"/>
    <w:tmpl w:val="2EC6B40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nsid w:val="61194214"/>
    <w:multiLevelType w:val="hybridMultilevel"/>
    <w:tmpl w:val="DDF478B6"/>
    <w:lvl w:ilvl="0" w:tplc="FF60A1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6641092F"/>
    <w:multiLevelType w:val="hybridMultilevel"/>
    <w:tmpl w:val="F0F817B0"/>
    <w:lvl w:ilvl="0" w:tplc="04260001">
      <w:start w:val="1"/>
      <w:numFmt w:val="bullet"/>
      <w:lvlText w:val=""/>
      <w:lvlJc w:val="left"/>
      <w:pPr>
        <w:ind w:left="2149" w:hanging="360"/>
      </w:pPr>
      <w:rPr>
        <w:rFonts w:ascii="Symbol" w:hAnsi="Symbol"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8">
    <w:nsid w:val="67835BA2"/>
    <w:multiLevelType w:val="hybridMultilevel"/>
    <w:tmpl w:val="44F8580A"/>
    <w:lvl w:ilvl="0" w:tplc="04260001">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9">
    <w:nsid w:val="69F1079F"/>
    <w:multiLevelType w:val="hybridMultilevel"/>
    <w:tmpl w:val="104EEB7C"/>
    <w:lvl w:ilvl="0" w:tplc="DE921B2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0">
    <w:nsid w:val="6FCC469D"/>
    <w:multiLevelType w:val="hybridMultilevel"/>
    <w:tmpl w:val="3B8A7B88"/>
    <w:styleLink w:val="1111112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735E1AEE"/>
    <w:multiLevelType w:val="multilevel"/>
    <w:tmpl w:val="AC1E842E"/>
    <w:lvl w:ilvl="0">
      <w:start w:val="1"/>
      <w:numFmt w:val="decimal"/>
      <w:lvlText w:val="%1."/>
      <w:lvlJc w:val="left"/>
      <w:pPr>
        <w:ind w:left="1429" w:hanging="360"/>
      </w:pPr>
    </w:lvl>
    <w:lvl w:ilvl="1">
      <w:start w:val="3"/>
      <w:numFmt w:val="decimal"/>
      <w:isLgl/>
      <w:lvlText w:val="%1.%2."/>
      <w:lvlJc w:val="left"/>
      <w:pPr>
        <w:ind w:left="1864" w:hanging="795"/>
      </w:pPr>
      <w:rPr>
        <w:rFonts w:hint="default"/>
      </w:rPr>
    </w:lvl>
    <w:lvl w:ilvl="2">
      <w:start w:val="2"/>
      <w:numFmt w:val="decimal"/>
      <w:isLgl/>
      <w:lvlText w:val="%1.%2.%3."/>
      <w:lvlJc w:val="left"/>
      <w:pPr>
        <w:ind w:left="1864" w:hanging="79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3229" w:hanging="2160"/>
      </w:pPr>
      <w:rPr>
        <w:rFonts w:hint="default"/>
      </w:rPr>
    </w:lvl>
    <w:lvl w:ilvl="8">
      <w:start w:val="1"/>
      <w:numFmt w:val="decimal"/>
      <w:isLgl/>
      <w:lvlText w:val="%1.%2.%3.%4.%5.%6.%7.%8.%9."/>
      <w:lvlJc w:val="left"/>
      <w:pPr>
        <w:ind w:left="3229" w:hanging="2160"/>
      </w:pPr>
      <w:rPr>
        <w:rFonts w:hint="default"/>
      </w:rPr>
    </w:lvl>
  </w:abstractNum>
  <w:abstractNum w:abstractNumId="22">
    <w:nsid w:val="7A335894"/>
    <w:multiLevelType w:val="hybridMultilevel"/>
    <w:tmpl w:val="DDF0DD86"/>
    <w:styleLink w:val="1111112"/>
    <w:lvl w:ilvl="0" w:tplc="FFFFFFFF">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nsid w:val="7C0F22BC"/>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8"/>
  </w:num>
  <w:num w:numId="2">
    <w:abstractNumId w:val="6"/>
  </w:num>
  <w:num w:numId="3">
    <w:abstractNumId w:val="15"/>
  </w:num>
  <w:num w:numId="4">
    <w:abstractNumId w:val="7"/>
  </w:num>
  <w:num w:numId="5">
    <w:abstractNumId w:val="1"/>
  </w:num>
  <w:num w:numId="6">
    <w:abstractNumId w:val="20"/>
  </w:num>
  <w:num w:numId="7">
    <w:abstractNumId w:val="2"/>
  </w:num>
  <w:num w:numId="8">
    <w:abstractNumId w:val="0"/>
  </w:num>
  <w:num w:numId="9">
    <w:abstractNumId w:val="22"/>
  </w:num>
  <w:num w:numId="10">
    <w:abstractNumId w:val="23"/>
  </w:num>
  <w:num w:numId="11">
    <w:abstractNumId w:val="19"/>
  </w:num>
  <w:num w:numId="12">
    <w:abstractNumId w:val="3"/>
  </w:num>
  <w:num w:numId="13">
    <w:abstractNumId w:val="10"/>
  </w:num>
  <w:num w:numId="14">
    <w:abstractNumId w:val="14"/>
  </w:num>
  <w:num w:numId="15">
    <w:abstractNumId w:val="9"/>
  </w:num>
  <w:num w:numId="16">
    <w:abstractNumId w:val="11"/>
  </w:num>
  <w:num w:numId="17">
    <w:abstractNumId w:val="16"/>
  </w:num>
  <w:num w:numId="18">
    <w:abstractNumId w:val="21"/>
  </w:num>
  <w:num w:numId="19">
    <w:abstractNumId w:val="18"/>
  </w:num>
  <w:num w:numId="20">
    <w:abstractNumId w:val="12"/>
  </w:num>
  <w:num w:numId="21">
    <w:abstractNumId w:val="4"/>
  </w:num>
  <w:num w:numId="22">
    <w:abstractNumId w:val="5"/>
  </w:num>
  <w:num w:numId="23">
    <w:abstractNumId w:val="13"/>
  </w:num>
  <w:num w:numId="24">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227"/>
    <w:rsid w:val="0000543C"/>
    <w:rsid w:val="0003106A"/>
    <w:rsid w:val="00033FF2"/>
    <w:rsid w:val="000446E1"/>
    <w:rsid w:val="00055B27"/>
    <w:rsid w:val="0005721C"/>
    <w:rsid w:val="0006091D"/>
    <w:rsid w:val="00061918"/>
    <w:rsid w:val="00063490"/>
    <w:rsid w:val="000665FE"/>
    <w:rsid w:val="00067A94"/>
    <w:rsid w:val="00067E41"/>
    <w:rsid w:val="000B3341"/>
    <w:rsid w:val="000C3807"/>
    <w:rsid w:val="000E4583"/>
    <w:rsid w:val="000F0034"/>
    <w:rsid w:val="001024A4"/>
    <w:rsid w:val="00143A2E"/>
    <w:rsid w:val="001632F0"/>
    <w:rsid w:val="001763F5"/>
    <w:rsid w:val="00185DDE"/>
    <w:rsid w:val="001A3F77"/>
    <w:rsid w:val="001A779F"/>
    <w:rsid w:val="001B3D73"/>
    <w:rsid w:val="001C1C52"/>
    <w:rsid w:val="001C2D66"/>
    <w:rsid w:val="001D06ED"/>
    <w:rsid w:val="001D1009"/>
    <w:rsid w:val="001E7227"/>
    <w:rsid w:val="001F5574"/>
    <w:rsid w:val="00204321"/>
    <w:rsid w:val="002237FD"/>
    <w:rsid w:val="00234FC7"/>
    <w:rsid w:val="002367B2"/>
    <w:rsid w:val="00237E5A"/>
    <w:rsid w:val="002652A1"/>
    <w:rsid w:val="00267CDF"/>
    <w:rsid w:val="002810D5"/>
    <w:rsid w:val="002909B7"/>
    <w:rsid w:val="002959F5"/>
    <w:rsid w:val="002A3A39"/>
    <w:rsid w:val="002C692A"/>
    <w:rsid w:val="002E5168"/>
    <w:rsid w:val="00301491"/>
    <w:rsid w:val="00323EB9"/>
    <w:rsid w:val="003313C5"/>
    <w:rsid w:val="00345509"/>
    <w:rsid w:val="00367174"/>
    <w:rsid w:val="00383D72"/>
    <w:rsid w:val="0038444E"/>
    <w:rsid w:val="003A1C49"/>
    <w:rsid w:val="003C3685"/>
    <w:rsid w:val="00402DD8"/>
    <w:rsid w:val="00405104"/>
    <w:rsid w:val="004167EF"/>
    <w:rsid w:val="0042066E"/>
    <w:rsid w:val="00420A42"/>
    <w:rsid w:val="00432ED3"/>
    <w:rsid w:val="00433477"/>
    <w:rsid w:val="004472BB"/>
    <w:rsid w:val="00447BCA"/>
    <w:rsid w:val="0045218B"/>
    <w:rsid w:val="00454B7F"/>
    <w:rsid w:val="004639B2"/>
    <w:rsid w:val="004708BB"/>
    <w:rsid w:val="00477951"/>
    <w:rsid w:val="004803EA"/>
    <w:rsid w:val="004A41F7"/>
    <w:rsid w:val="004B7AE5"/>
    <w:rsid w:val="004D53E2"/>
    <w:rsid w:val="004E6579"/>
    <w:rsid w:val="004E7073"/>
    <w:rsid w:val="00512338"/>
    <w:rsid w:val="00521C7C"/>
    <w:rsid w:val="00521FE7"/>
    <w:rsid w:val="00535A6D"/>
    <w:rsid w:val="00536967"/>
    <w:rsid w:val="0053717E"/>
    <w:rsid w:val="00545078"/>
    <w:rsid w:val="00554809"/>
    <w:rsid w:val="00563AB5"/>
    <w:rsid w:val="00577F19"/>
    <w:rsid w:val="00583906"/>
    <w:rsid w:val="00594721"/>
    <w:rsid w:val="005A0790"/>
    <w:rsid w:val="005A31C4"/>
    <w:rsid w:val="005C7CBD"/>
    <w:rsid w:val="00606558"/>
    <w:rsid w:val="00612C3C"/>
    <w:rsid w:val="006376C6"/>
    <w:rsid w:val="00637924"/>
    <w:rsid w:val="006415B1"/>
    <w:rsid w:val="00644E84"/>
    <w:rsid w:val="00651AC4"/>
    <w:rsid w:val="00681E58"/>
    <w:rsid w:val="006916C1"/>
    <w:rsid w:val="00695386"/>
    <w:rsid w:val="006A2361"/>
    <w:rsid w:val="006A37E4"/>
    <w:rsid w:val="006B2DC5"/>
    <w:rsid w:val="006D22E3"/>
    <w:rsid w:val="006D2F25"/>
    <w:rsid w:val="006D3E4D"/>
    <w:rsid w:val="006D4A45"/>
    <w:rsid w:val="006D7F36"/>
    <w:rsid w:val="006E5EA0"/>
    <w:rsid w:val="00710834"/>
    <w:rsid w:val="007116CF"/>
    <w:rsid w:val="007220EC"/>
    <w:rsid w:val="007262B6"/>
    <w:rsid w:val="00732661"/>
    <w:rsid w:val="00741843"/>
    <w:rsid w:val="00766E6B"/>
    <w:rsid w:val="007722BA"/>
    <w:rsid w:val="00772ABB"/>
    <w:rsid w:val="007755EF"/>
    <w:rsid w:val="00785D08"/>
    <w:rsid w:val="0079475D"/>
    <w:rsid w:val="00794AC0"/>
    <w:rsid w:val="00797669"/>
    <w:rsid w:val="007A75C7"/>
    <w:rsid w:val="007B7492"/>
    <w:rsid w:val="007C2AB0"/>
    <w:rsid w:val="007C30F8"/>
    <w:rsid w:val="007D442A"/>
    <w:rsid w:val="007D530A"/>
    <w:rsid w:val="007E2569"/>
    <w:rsid w:val="007E2EEC"/>
    <w:rsid w:val="00802E69"/>
    <w:rsid w:val="00806EB3"/>
    <w:rsid w:val="008101CF"/>
    <w:rsid w:val="008223A1"/>
    <w:rsid w:val="0083538B"/>
    <w:rsid w:val="00835E30"/>
    <w:rsid w:val="00843F34"/>
    <w:rsid w:val="00864F94"/>
    <w:rsid w:val="008703D0"/>
    <w:rsid w:val="00871756"/>
    <w:rsid w:val="00881D12"/>
    <w:rsid w:val="008A1535"/>
    <w:rsid w:val="008A19B2"/>
    <w:rsid w:val="008A2376"/>
    <w:rsid w:val="008A3800"/>
    <w:rsid w:val="008A3EDB"/>
    <w:rsid w:val="008B01C2"/>
    <w:rsid w:val="008B0395"/>
    <w:rsid w:val="008B7EE2"/>
    <w:rsid w:val="008F42F1"/>
    <w:rsid w:val="009115CF"/>
    <w:rsid w:val="009141CD"/>
    <w:rsid w:val="0092040F"/>
    <w:rsid w:val="00920FA8"/>
    <w:rsid w:val="009320F2"/>
    <w:rsid w:val="00937C1D"/>
    <w:rsid w:val="00937D35"/>
    <w:rsid w:val="00953456"/>
    <w:rsid w:val="00956B4D"/>
    <w:rsid w:val="009617A3"/>
    <w:rsid w:val="00971A63"/>
    <w:rsid w:val="0097201A"/>
    <w:rsid w:val="00975F8C"/>
    <w:rsid w:val="009A6736"/>
    <w:rsid w:val="009A6C63"/>
    <w:rsid w:val="009B0C02"/>
    <w:rsid w:val="009B20E0"/>
    <w:rsid w:val="009C3D8D"/>
    <w:rsid w:val="009C4C87"/>
    <w:rsid w:val="009D14C4"/>
    <w:rsid w:val="009E332A"/>
    <w:rsid w:val="009E5AA3"/>
    <w:rsid w:val="009E7381"/>
    <w:rsid w:val="009F4B95"/>
    <w:rsid w:val="00A23E4C"/>
    <w:rsid w:val="00A26E10"/>
    <w:rsid w:val="00A27491"/>
    <w:rsid w:val="00A34DFA"/>
    <w:rsid w:val="00A45677"/>
    <w:rsid w:val="00A507FD"/>
    <w:rsid w:val="00A55B6A"/>
    <w:rsid w:val="00A55D87"/>
    <w:rsid w:val="00A8463B"/>
    <w:rsid w:val="00A90239"/>
    <w:rsid w:val="00A97EAE"/>
    <w:rsid w:val="00AA0E06"/>
    <w:rsid w:val="00AD1C4C"/>
    <w:rsid w:val="00AD1C86"/>
    <w:rsid w:val="00AD6919"/>
    <w:rsid w:val="00AE2CDC"/>
    <w:rsid w:val="00B04B9F"/>
    <w:rsid w:val="00B11858"/>
    <w:rsid w:val="00B275A9"/>
    <w:rsid w:val="00B36423"/>
    <w:rsid w:val="00B4221E"/>
    <w:rsid w:val="00B510B1"/>
    <w:rsid w:val="00B563D4"/>
    <w:rsid w:val="00B7523D"/>
    <w:rsid w:val="00B80D80"/>
    <w:rsid w:val="00B8139F"/>
    <w:rsid w:val="00B82CC0"/>
    <w:rsid w:val="00B87545"/>
    <w:rsid w:val="00B9086B"/>
    <w:rsid w:val="00B91DC1"/>
    <w:rsid w:val="00B9297F"/>
    <w:rsid w:val="00B92CBC"/>
    <w:rsid w:val="00BA6947"/>
    <w:rsid w:val="00BB4C12"/>
    <w:rsid w:val="00BC4340"/>
    <w:rsid w:val="00BE11DC"/>
    <w:rsid w:val="00BF5865"/>
    <w:rsid w:val="00C0720F"/>
    <w:rsid w:val="00C1297C"/>
    <w:rsid w:val="00C168D8"/>
    <w:rsid w:val="00C1733B"/>
    <w:rsid w:val="00C20013"/>
    <w:rsid w:val="00C211CF"/>
    <w:rsid w:val="00C41F81"/>
    <w:rsid w:val="00C425A5"/>
    <w:rsid w:val="00C46E2C"/>
    <w:rsid w:val="00C62191"/>
    <w:rsid w:val="00C65651"/>
    <w:rsid w:val="00C704E3"/>
    <w:rsid w:val="00C7378A"/>
    <w:rsid w:val="00C90AD2"/>
    <w:rsid w:val="00C91A4A"/>
    <w:rsid w:val="00C935DC"/>
    <w:rsid w:val="00CA119F"/>
    <w:rsid w:val="00CA22BE"/>
    <w:rsid w:val="00CA33A5"/>
    <w:rsid w:val="00CC0B9B"/>
    <w:rsid w:val="00CC6587"/>
    <w:rsid w:val="00CC6873"/>
    <w:rsid w:val="00CD67AF"/>
    <w:rsid w:val="00CE5F4D"/>
    <w:rsid w:val="00D05689"/>
    <w:rsid w:val="00D06923"/>
    <w:rsid w:val="00D20E8D"/>
    <w:rsid w:val="00D21C2F"/>
    <w:rsid w:val="00D4319A"/>
    <w:rsid w:val="00D53758"/>
    <w:rsid w:val="00D80AB2"/>
    <w:rsid w:val="00D86EC6"/>
    <w:rsid w:val="00D925E6"/>
    <w:rsid w:val="00DA606E"/>
    <w:rsid w:val="00DA7514"/>
    <w:rsid w:val="00DE56E7"/>
    <w:rsid w:val="00DF1F2B"/>
    <w:rsid w:val="00DF2E99"/>
    <w:rsid w:val="00DF7939"/>
    <w:rsid w:val="00E12B95"/>
    <w:rsid w:val="00E179D8"/>
    <w:rsid w:val="00E30F4B"/>
    <w:rsid w:val="00E52334"/>
    <w:rsid w:val="00E54394"/>
    <w:rsid w:val="00E60138"/>
    <w:rsid w:val="00E6338A"/>
    <w:rsid w:val="00E757B9"/>
    <w:rsid w:val="00E9770D"/>
    <w:rsid w:val="00EB0CA6"/>
    <w:rsid w:val="00EB7727"/>
    <w:rsid w:val="00EC19FA"/>
    <w:rsid w:val="00ED4BB5"/>
    <w:rsid w:val="00EE605C"/>
    <w:rsid w:val="00EE72C7"/>
    <w:rsid w:val="00EF354D"/>
    <w:rsid w:val="00EF3CFC"/>
    <w:rsid w:val="00F06DFB"/>
    <w:rsid w:val="00F1164B"/>
    <w:rsid w:val="00F32308"/>
    <w:rsid w:val="00F43C6A"/>
    <w:rsid w:val="00F81ACB"/>
    <w:rsid w:val="00FA06C2"/>
    <w:rsid w:val="00FB079C"/>
    <w:rsid w:val="00FB54F1"/>
    <w:rsid w:val="00FB6673"/>
    <w:rsid w:val="00FE6773"/>
    <w:rsid w:val="00FF7A9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727390F"/>
  <w15:docId w15:val="{688829AC-BE1C-4697-9BE0-659E85476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227"/>
    <w:pPr>
      <w:spacing w:after="120"/>
      <w:ind w:firstLine="709"/>
      <w:jc w:val="both"/>
    </w:pPr>
    <w:rPr>
      <w:szCs w:val="28"/>
    </w:rPr>
  </w:style>
  <w:style w:type="paragraph" w:styleId="Heading1">
    <w:name w:val="heading 1"/>
    <w:basedOn w:val="Normal"/>
    <w:next w:val="Normal"/>
    <w:link w:val="Heading1Char"/>
    <w:qFormat/>
    <w:rsid w:val="00CC6873"/>
    <w:pPr>
      <w:keepNext/>
      <w:spacing w:before="240" w:after="60"/>
      <w:outlineLvl w:val="0"/>
    </w:pPr>
    <w:rPr>
      <w:b/>
      <w:kern w:val="28"/>
      <w:sz w:val="44"/>
    </w:rPr>
  </w:style>
  <w:style w:type="paragraph" w:styleId="Heading2">
    <w:name w:val="heading 2"/>
    <w:basedOn w:val="Normal"/>
    <w:next w:val="Normal"/>
    <w:link w:val="Heading2Char"/>
    <w:unhideWhenUsed/>
    <w:qFormat/>
    <w:rsid w:val="00CC68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A33A5"/>
    <w:pPr>
      <w:keepNext/>
      <w:spacing w:before="240" w:after="60"/>
      <w:outlineLvl w:val="2"/>
    </w:pPr>
    <w:rPr>
      <w:rFonts w:ascii="Arial" w:eastAsia="Times New Roman" w:hAnsi="Arial" w:cs="Times New Roman"/>
      <w:sz w:val="24"/>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2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227"/>
    <w:rPr>
      <w:rFonts w:ascii="Tahoma" w:hAnsi="Tahoma" w:cs="Tahoma"/>
      <w:sz w:val="16"/>
      <w:szCs w:val="16"/>
    </w:rPr>
  </w:style>
  <w:style w:type="paragraph" w:styleId="Footer">
    <w:name w:val="footer"/>
    <w:basedOn w:val="Normal"/>
    <w:link w:val="FooterChar"/>
    <w:uiPriority w:val="99"/>
    <w:rsid w:val="001E7227"/>
    <w:pPr>
      <w:tabs>
        <w:tab w:val="center" w:pos="4153"/>
        <w:tab w:val="right" w:pos="8306"/>
      </w:tabs>
      <w:spacing w:after="0"/>
      <w:ind w:firstLine="0"/>
    </w:pPr>
    <w:rPr>
      <w:sz w:val="20"/>
    </w:rPr>
  </w:style>
  <w:style w:type="character" w:customStyle="1" w:styleId="FooterChar">
    <w:name w:val="Footer Char"/>
    <w:basedOn w:val="DefaultParagraphFont"/>
    <w:link w:val="Footer"/>
    <w:uiPriority w:val="99"/>
    <w:rsid w:val="001E7227"/>
    <w:rPr>
      <w:sz w:val="20"/>
      <w:szCs w:val="28"/>
    </w:rPr>
  </w:style>
  <w:style w:type="character" w:styleId="PageNumber">
    <w:name w:val="page number"/>
    <w:basedOn w:val="DefaultParagraphFont"/>
    <w:rsid w:val="001E7227"/>
  </w:style>
  <w:style w:type="paragraph" w:styleId="Header">
    <w:name w:val="header"/>
    <w:basedOn w:val="Normal"/>
    <w:link w:val="HeaderChar"/>
    <w:uiPriority w:val="99"/>
    <w:rsid w:val="001E7227"/>
    <w:pPr>
      <w:tabs>
        <w:tab w:val="center" w:pos="4153"/>
        <w:tab w:val="right" w:pos="8306"/>
      </w:tabs>
      <w:spacing w:after="0"/>
      <w:ind w:firstLine="0"/>
    </w:pPr>
    <w:rPr>
      <w:sz w:val="24"/>
    </w:rPr>
  </w:style>
  <w:style w:type="character" w:customStyle="1" w:styleId="HeaderChar">
    <w:name w:val="Header Char"/>
    <w:basedOn w:val="DefaultParagraphFont"/>
    <w:link w:val="Header"/>
    <w:uiPriority w:val="99"/>
    <w:rsid w:val="001E7227"/>
    <w:rPr>
      <w:sz w:val="24"/>
      <w:szCs w:val="28"/>
    </w:rPr>
  </w:style>
  <w:style w:type="paragraph" w:styleId="TOC2">
    <w:name w:val="toc 2"/>
    <w:basedOn w:val="Normal"/>
    <w:next w:val="Normal"/>
    <w:autoRedefine/>
    <w:uiPriority w:val="39"/>
    <w:qFormat/>
    <w:rsid w:val="00871756"/>
    <w:pPr>
      <w:tabs>
        <w:tab w:val="right" w:leader="dot" w:pos="9061"/>
      </w:tabs>
      <w:spacing w:after="0"/>
      <w:ind w:left="1276" w:right="992" w:hanging="567"/>
    </w:pPr>
    <w:rPr>
      <w:rFonts w:asciiTheme="minorHAnsi" w:hAnsiTheme="minorHAnsi"/>
      <w:smallCaps/>
      <w:sz w:val="20"/>
      <w:szCs w:val="20"/>
    </w:rPr>
  </w:style>
  <w:style w:type="paragraph" w:styleId="TOC1">
    <w:name w:val="toc 1"/>
    <w:basedOn w:val="Normal"/>
    <w:next w:val="Normal"/>
    <w:autoRedefine/>
    <w:uiPriority w:val="39"/>
    <w:qFormat/>
    <w:rsid w:val="00433477"/>
    <w:pPr>
      <w:tabs>
        <w:tab w:val="right" w:leader="dot" w:pos="9072"/>
      </w:tabs>
      <w:spacing w:before="120"/>
      <w:jc w:val="left"/>
    </w:pPr>
    <w:rPr>
      <w:rFonts w:asciiTheme="minorHAnsi" w:hAnsiTheme="minorHAnsi"/>
      <w:b/>
      <w:bCs/>
      <w:caps/>
      <w:sz w:val="20"/>
      <w:szCs w:val="20"/>
    </w:rPr>
  </w:style>
  <w:style w:type="paragraph" w:styleId="TOC3">
    <w:name w:val="toc 3"/>
    <w:basedOn w:val="Normal"/>
    <w:next w:val="Normal"/>
    <w:autoRedefine/>
    <w:uiPriority w:val="39"/>
    <w:qFormat/>
    <w:rsid w:val="009115CF"/>
    <w:pPr>
      <w:spacing w:after="0"/>
      <w:ind w:left="560"/>
      <w:jc w:val="left"/>
    </w:pPr>
    <w:rPr>
      <w:rFonts w:asciiTheme="minorHAnsi" w:hAnsiTheme="minorHAnsi"/>
      <w:i/>
      <w:iCs/>
      <w:sz w:val="20"/>
      <w:szCs w:val="20"/>
    </w:rPr>
  </w:style>
  <w:style w:type="character" w:styleId="Hyperlink">
    <w:name w:val="Hyperlink"/>
    <w:uiPriority w:val="99"/>
    <w:rsid w:val="00F1164B"/>
    <w:rPr>
      <w:color w:val="0000FF"/>
      <w:u w:val="single"/>
    </w:rPr>
  </w:style>
  <w:style w:type="paragraph" w:customStyle="1" w:styleId="H2">
    <w:name w:val="H2"/>
    <w:link w:val="H2Char"/>
    <w:rsid w:val="00EB0CA6"/>
    <w:pPr>
      <w:spacing w:after="120"/>
      <w:jc w:val="center"/>
      <w:outlineLvl w:val="1"/>
    </w:pPr>
    <w:rPr>
      <w:rFonts w:eastAsia="Times New Roman" w:cs="Times New Roman"/>
      <w:b/>
      <w:sz w:val="36"/>
      <w:szCs w:val="20"/>
    </w:rPr>
  </w:style>
  <w:style w:type="paragraph" w:customStyle="1" w:styleId="Z">
    <w:name w:val="Z"/>
    <w:basedOn w:val="Normal"/>
    <w:uiPriority w:val="99"/>
    <w:qFormat/>
    <w:rsid w:val="00EB0CA6"/>
    <w:pPr>
      <w:ind w:firstLine="0"/>
      <w:jc w:val="center"/>
    </w:pPr>
    <w:rPr>
      <w:rFonts w:eastAsia="Times New Roman" w:cs="Times New Roman"/>
      <w:b/>
      <w:i/>
      <w:szCs w:val="20"/>
    </w:rPr>
  </w:style>
  <w:style w:type="paragraph" w:styleId="FootnoteText">
    <w:name w:val="footnote text"/>
    <w:aliases w:val="Footnote,Fußnote,Fußnote Char Char Char"/>
    <w:basedOn w:val="Normal"/>
    <w:link w:val="FootnoteTextChar"/>
    <w:rsid w:val="00EB0CA6"/>
    <w:pPr>
      <w:spacing w:after="0"/>
      <w:ind w:left="284" w:hanging="284"/>
    </w:pPr>
    <w:rPr>
      <w:rFonts w:eastAsia="Times New Roman" w:cs="Times New Roman"/>
      <w:sz w:val="20"/>
      <w:szCs w:val="20"/>
    </w:rPr>
  </w:style>
  <w:style w:type="character" w:customStyle="1" w:styleId="FootnoteTextChar">
    <w:name w:val="Footnote Text Char"/>
    <w:aliases w:val="Footnote Char,Fußnote Char,Fußnote Char Char Char Char"/>
    <w:basedOn w:val="DefaultParagraphFont"/>
    <w:link w:val="FootnoteText"/>
    <w:rsid w:val="00EB0CA6"/>
    <w:rPr>
      <w:rFonts w:eastAsia="Times New Roman" w:cs="Times New Roman"/>
      <w:sz w:val="20"/>
      <w:szCs w:val="20"/>
    </w:rPr>
  </w:style>
  <w:style w:type="character" w:styleId="FootnoteReference">
    <w:name w:val="footnote reference"/>
    <w:aliases w:val="Footnote Reference Number,Footnote symbol,Footnote Reference Superscript,ftref"/>
    <w:rsid w:val="00EB0CA6"/>
    <w:rPr>
      <w:rFonts w:ascii="Garamond" w:hAnsi="Garamond"/>
      <w:noProof w:val="0"/>
      <w:vertAlign w:val="superscript"/>
      <w:lang w:val="lv-LV"/>
    </w:rPr>
  </w:style>
  <w:style w:type="paragraph" w:customStyle="1" w:styleId="H3">
    <w:name w:val="H3"/>
    <w:link w:val="H3Char"/>
    <w:rsid w:val="00EB0CA6"/>
    <w:pPr>
      <w:spacing w:after="120"/>
      <w:jc w:val="center"/>
      <w:outlineLvl w:val="2"/>
    </w:pPr>
    <w:rPr>
      <w:rFonts w:eastAsia="Times New Roman" w:cs="Times New Roman"/>
      <w:b/>
      <w:sz w:val="32"/>
      <w:szCs w:val="20"/>
    </w:rPr>
  </w:style>
  <w:style w:type="paragraph" w:customStyle="1" w:styleId="Default">
    <w:name w:val="Default"/>
    <w:rsid w:val="00EB0CA6"/>
    <w:pPr>
      <w:autoSpaceDE w:val="0"/>
      <w:autoSpaceDN w:val="0"/>
      <w:adjustRightInd w:val="0"/>
    </w:pPr>
    <w:rPr>
      <w:rFonts w:eastAsia="Calibri" w:cs="Times New Roman"/>
      <w:color w:val="000000"/>
      <w:sz w:val="24"/>
      <w:szCs w:val="24"/>
      <w:lang w:eastAsia="lv-LV"/>
    </w:rPr>
  </w:style>
  <w:style w:type="character" w:customStyle="1" w:styleId="Heading1Char">
    <w:name w:val="Heading 1 Char"/>
    <w:basedOn w:val="DefaultParagraphFont"/>
    <w:link w:val="Heading1"/>
    <w:rsid w:val="00CC6873"/>
    <w:rPr>
      <w:b/>
      <w:kern w:val="28"/>
      <w:sz w:val="44"/>
      <w:szCs w:val="28"/>
    </w:rPr>
  </w:style>
  <w:style w:type="character" w:customStyle="1" w:styleId="Heading2Char">
    <w:name w:val="Heading 2 Char"/>
    <w:basedOn w:val="DefaultParagraphFont"/>
    <w:link w:val="Heading2"/>
    <w:rsid w:val="00CC687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CC6873"/>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tekst">
    <w:name w:val="tab_tekst"/>
    <w:basedOn w:val="Normal"/>
    <w:rsid w:val="00CC6873"/>
    <w:pPr>
      <w:spacing w:after="0"/>
      <w:ind w:firstLine="0"/>
      <w:jc w:val="left"/>
    </w:pPr>
    <w:rPr>
      <w:color w:val="000000"/>
      <w:sz w:val="20"/>
    </w:rPr>
  </w:style>
  <w:style w:type="paragraph" w:styleId="NormalWeb">
    <w:name w:val="Normal (Web)"/>
    <w:basedOn w:val="Normal"/>
    <w:uiPriority w:val="99"/>
    <w:rsid w:val="00CC6873"/>
    <w:pPr>
      <w:spacing w:after="0"/>
      <w:ind w:firstLine="450"/>
      <w:jc w:val="left"/>
    </w:pPr>
    <w:rPr>
      <w:rFonts w:eastAsia="Times New Roman" w:cs="Times New Roman"/>
      <w:sz w:val="24"/>
      <w:szCs w:val="24"/>
      <w:lang w:eastAsia="lv-LV"/>
    </w:rPr>
  </w:style>
  <w:style w:type="character" w:styleId="FollowedHyperlink">
    <w:name w:val="FollowedHyperlink"/>
    <w:basedOn w:val="DefaultParagraphFont"/>
    <w:uiPriority w:val="99"/>
    <w:semiHidden/>
    <w:unhideWhenUsed/>
    <w:rsid w:val="00975F8C"/>
    <w:rPr>
      <w:color w:val="800080" w:themeColor="followedHyperlink"/>
      <w:u w:val="single"/>
    </w:rPr>
  </w:style>
  <w:style w:type="paragraph" w:styleId="Title">
    <w:name w:val="Title"/>
    <w:basedOn w:val="Normal"/>
    <w:link w:val="TitleChar"/>
    <w:uiPriority w:val="10"/>
    <w:qFormat/>
    <w:rsid w:val="00975F8C"/>
    <w:pPr>
      <w:spacing w:after="0"/>
      <w:ind w:firstLine="0"/>
      <w:jc w:val="center"/>
    </w:pPr>
    <w:rPr>
      <w:rFonts w:eastAsia="Times New Roman" w:cs="Times New Roman"/>
      <w:b/>
      <w:bCs/>
      <w:sz w:val="24"/>
      <w:szCs w:val="24"/>
    </w:rPr>
  </w:style>
  <w:style w:type="character" w:customStyle="1" w:styleId="TitleChar">
    <w:name w:val="Title Char"/>
    <w:basedOn w:val="DefaultParagraphFont"/>
    <w:link w:val="Title"/>
    <w:uiPriority w:val="10"/>
    <w:rsid w:val="00975F8C"/>
    <w:rPr>
      <w:rFonts w:eastAsia="Times New Roman" w:cs="Times New Roman"/>
      <w:b/>
      <w:bCs/>
      <w:sz w:val="24"/>
      <w:szCs w:val="24"/>
    </w:rPr>
  </w:style>
  <w:style w:type="paragraph" w:styleId="BodyText">
    <w:name w:val="Body Text"/>
    <w:basedOn w:val="Normal"/>
    <w:link w:val="BodyTextChar"/>
    <w:uiPriority w:val="99"/>
    <w:unhideWhenUsed/>
    <w:rsid w:val="00975F8C"/>
    <w:pPr>
      <w:spacing w:after="0"/>
      <w:ind w:firstLine="0"/>
      <w:jc w:val="center"/>
    </w:pPr>
    <w:rPr>
      <w:rFonts w:eastAsia="Times New Roman" w:cs="Times New Roman"/>
      <w:sz w:val="24"/>
      <w:szCs w:val="24"/>
    </w:rPr>
  </w:style>
  <w:style w:type="character" w:customStyle="1" w:styleId="BodyTextChar">
    <w:name w:val="Body Text Char"/>
    <w:basedOn w:val="DefaultParagraphFont"/>
    <w:link w:val="BodyText"/>
    <w:uiPriority w:val="99"/>
    <w:rsid w:val="00975F8C"/>
    <w:rPr>
      <w:rFonts w:eastAsia="Times New Roman" w:cs="Times New Roman"/>
      <w:sz w:val="24"/>
      <w:szCs w:val="24"/>
    </w:rPr>
  </w:style>
  <w:style w:type="paragraph" w:styleId="ListParagraph">
    <w:name w:val="List Paragraph"/>
    <w:basedOn w:val="Normal"/>
    <w:link w:val="ListParagraphChar"/>
    <w:uiPriority w:val="34"/>
    <w:qFormat/>
    <w:rsid w:val="00975F8C"/>
    <w:pPr>
      <w:ind w:left="720"/>
      <w:contextualSpacing/>
    </w:pPr>
  </w:style>
  <w:style w:type="character" w:customStyle="1" w:styleId="Heading3Char">
    <w:name w:val="Heading 3 Char"/>
    <w:basedOn w:val="DefaultParagraphFont"/>
    <w:link w:val="Heading3"/>
    <w:rsid w:val="00CA33A5"/>
    <w:rPr>
      <w:rFonts w:ascii="Arial" w:eastAsia="Times New Roman" w:hAnsi="Arial" w:cs="Times New Roman"/>
      <w:sz w:val="24"/>
      <w:szCs w:val="20"/>
      <w:lang w:val="x-none"/>
    </w:rPr>
  </w:style>
  <w:style w:type="paragraph" w:styleId="NoSpacing">
    <w:name w:val="No Spacing"/>
    <w:uiPriority w:val="1"/>
    <w:qFormat/>
    <w:rsid w:val="00CA33A5"/>
    <w:rPr>
      <w:rFonts w:eastAsia="Times New Roman" w:cs="Times New Roman"/>
      <w:sz w:val="20"/>
      <w:szCs w:val="20"/>
    </w:rPr>
  </w:style>
  <w:style w:type="paragraph" w:customStyle="1" w:styleId="tekstsbul">
    <w:name w:val="teksts_bul"/>
    <w:basedOn w:val="Normal"/>
    <w:rsid w:val="00CA33A5"/>
    <w:pPr>
      <w:spacing w:after="0"/>
      <w:ind w:left="720" w:hanging="360"/>
    </w:pPr>
    <w:rPr>
      <w:rFonts w:ascii="Garamond" w:eastAsia="Times New Roman" w:hAnsi="Garamond" w:cs="Times New Roman"/>
      <w:snapToGrid w:val="0"/>
      <w:sz w:val="24"/>
      <w:szCs w:val="20"/>
    </w:rPr>
  </w:style>
  <w:style w:type="paragraph" w:customStyle="1" w:styleId="virsr21">
    <w:name w:val="virsr_21"/>
    <w:basedOn w:val="Normal"/>
    <w:rsid w:val="00CA33A5"/>
    <w:pPr>
      <w:keepNext/>
      <w:numPr>
        <w:numId w:val="5"/>
      </w:numPr>
      <w:tabs>
        <w:tab w:val="clear" w:pos="502"/>
      </w:tabs>
      <w:spacing w:before="360"/>
      <w:ind w:left="0" w:firstLine="0"/>
      <w:jc w:val="left"/>
      <w:outlineLvl w:val="2"/>
    </w:pPr>
    <w:rPr>
      <w:rFonts w:ascii="Garamond" w:eastAsia="Times New Roman" w:hAnsi="Garamond" w:cs="Times New Roman"/>
      <w:b/>
      <w:snapToGrid w:val="0"/>
      <w:sz w:val="24"/>
      <w:szCs w:val="20"/>
    </w:rPr>
  </w:style>
  <w:style w:type="paragraph" w:customStyle="1" w:styleId="teksts">
    <w:name w:val="teksts"/>
    <w:rsid w:val="00CA33A5"/>
    <w:pPr>
      <w:spacing w:after="120"/>
      <w:jc w:val="both"/>
    </w:pPr>
    <w:rPr>
      <w:rFonts w:ascii="Garamond" w:eastAsia="Times New Roman" w:hAnsi="Garamond" w:cs="Times New Roman"/>
      <w:sz w:val="24"/>
      <w:szCs w:val="20"/>
    </w:rPr>
  </w:style>
  <w:style w:type="paragraph" w:customStyle="1" w:styleId="teksts1r">
    <w:name w:val="teksts_1r"/>
    <w:basedOn w:val="teksts"/>
    <w:rsid w:val="00CA33A5"/>
    <w:pPr>
      <w:spacing w:before="120"/>
    </w:pPr>
    <w:rPr>
      <w:snapToGrid w:val="0"/>
    </w:rPr>
  </w:style>
  <w:style w:type="character" w:customStyle="1" w:styleId="mediumtext">
    <w:name w:val="mediumtext"/>
    <w:uiPriority w:val="99"/>
    <w:rsid w:val="00CA33A5"/>
    <w:rPr>
      <w:rFonts w:cs="Times New Roman"/>
    </w:rPr>
  </w:style>
  <w:style w:type="paragraph" w:customStyle="1" w:styleId="tabteksts">
    <w:name w:val="tab_teksts"/>
    <w:basedOn w:val="Normal"/>
    <w:rsid w:val="00CA33A5"/>
    <w:pPr>
      <w:spacing w:after="0"/>
      <w:ind w:firstLine="0"/>
      <w:jc w:val="left"/>
    </w:pPr>
    <w:rPr>
      <w:rFonts w:eastAsia="Times New Roman" w:cs="Times New Roman"/>
      <w:sz w:val="20"/>
      <w:szCs w:val="20"/>
    </w:rPr>
  </w:style>
  <w:style w:type="numbering" w:customStyle="1" w:styleId="NoList1">
    <w:name w:val="No List1"/>
    <w:next w:val="NoList"/>
    <w:uiPriority w:val="99"/>
    <w:semiHidden/>
    <w:unhideWhenUsed/>
    <w:rsid w:val="00CA33A5"/>
  </w:style>
  <w:style w:type="paragraph" w:customStyle="1" w:styleId="T">
    <w:name w:val="T"/>
    <w:basedOn w:val="Normal"/>
    <w:rsid w:val="00CA33A5"/>
    <w:pPr>
      <w:ind w:firstLine="0"/>
      <w:jc w:val="center"/>
    </w:pPr>
    <w:rPr>
      <w:rFonts w:eastAsia="Times New Roman" w:cs="Times New Roman"/>
      <w:b/>
      <w:i/>
      <w:szCs w:val="20"/>
    </w:rPr>
  </w:style>
  <w:style w:type="paragraph" w:customStyle="1" w:styleId="H1">
    <w:name w:val="H1"/>
    <w:rsid w:val="00CA33A5"/>
    <w:pPr>
      <w:spacing w:after="120"/>
      <w:jc w:val="center"/>
      <w:outlineLvl w:val="0"/>
    </w:pPr>
    <w:rPr>
      <w:rFonts w:eastAsia="Times New Roman" w:cs="Times New Roman"/>
      <w:b/>
      <w:sz w:val="44"/>
      <w:szCs w:val="20"/>
    </w:rPr>
  </w:style>
  <w:style w:type="paragraph" w:styleId="BodyTextIndent3">
    <w:name w:val="Body Text Indent 3"/>
    <w:basedOn w:val="Normal"/>
    <w:link w:val="BodyTextIndent3Char"/>
    <w:uiPriority w:val="99"/>
    <w:semiHidden/>
    <w:rsid w:val="00CA33A5"/>
    <w:pPr>
      <w:overflowPunct w:val="0"/>
      <w:autoSpaceDE w:val="0"/>
      <w:autoSpaceDN w:val="0"/>
      <w:adjustRightInd w:val="0"/>
      <w:textAlignment w:val="baseline"/>
    </w:pPr>
    <w:rPr>
      <w:rFonts w:eastAsia="Times New Roman" w:cs="Times New Roman"/>
      <w:szCs w:val="20"/>
      <w:lang w:val="x-none"/>
    </w:rPr>
  </w:style>
  <w:style w:type="character" w:customStyle="1" w:styleId="BodyTextIndent3Char">
    <w:name w:val="Body Text Indent 3 Char"/>
    <w:basedOn w:val="DefaultParagraphFont"/>
    <w:link w:val="BodyTextIndent3"/>
    <w:uiPriority w:val="99"/>
    <w:semiHidden/>
    <w:rsid w:val="00CA33A5"/>
    <w:rPr>
      <w:rFonts w:eastAsia="Times New Roman" w:cs="Times New Roman"/>
      <w:szCs w:val="20"/>
      <w:lang w:val="x-none"/>
    </w:rPr>
  </w:style>
  <w:style w:type="paragraph" w:customStyle="1" w:styleId="H4">
    <w:name w:val="H4"/>
    <w:rsid w:val="00CA33A5"/>
    <w:pPr>
      <w:spacing w:after="120"/>
      <w:jc w:val="center"/>
      <w:outlineLvl w:val="3"/>
    </w:pPr>
    <w:rPr>
      <w:rFonts w:eastAsia="Times New Roman" w:cs="Times New Roman"/>
      <w:b/>
      <w:szCs w:val="20"/>
    </w:rPr>
  </w:style>
  <w:style w:type="character" w:customStyle="1" w:styleId="BodyTextIndent2Char">
    <w:name w:val="Body Text Indent 2 Char"/>
    <w:link w:val="BodyTextIndent2"/>
    <w:uiPriority w:val="99"/>
    <w:semiHidden/>
    <w:rsid w:val="00CA33A5"/>
    <w:rPr>
      <w:rFonts w:eastAsia="Times New Roman"/>
    </w:rPr>
  </w:style>
  <w:style w:type="paragraph" w:styleId="BodyTextIndent2">
    <w:name w:val="Body Text Indent 2"/>
    <w:basedOn w:val="Normal"/>
    <w:link w:val="BodyTextIndent2Char"/>
    <w:uiPriority w:val="99"/>
    <w:semiHidden/>
    <w:unhideWhenUsed/>
    <w:rsid w:val="00CA33A5"/>
    <w:pPr>
      <w:spacing w:line="480" w:lineRule="auto"/>
      <w:ind w:left="283"/>
    </w:pPr>
    <w:rPr>
      <w:rFonts w:eastAsia="Times New Roman"/>
      <w:szCs w:val="22"/>
    </w:rPr>
  </w:style>
  <w:style w:type="character" w:customStyle="1" w:styleId="BodyTextIndent2Char1">
    <w:name w:val="Body Text Indent 2 Char1"/>
    <w:basedOn w:val="DefaultParagraphFont"/>
    <w:uiPriority w:val="99"/>
    <w:semiHidden/>
    <w:rsid w:val="00CA33A5"/>
    <w:rPr>
      <w:szCs w:val="28"/>
    </w:rPr>
  </w:style>
  <w:style w:type="character" w:customStyle="1" w:styleId="EndnoteTextChar">
    <w:name w:val="Endnote Text Char"/>
    <w:link w:val="EndnoteText"/>
    <w:uiPriority w:val="99"/>
    <w:semiHidden/>
    <w:rsid w:val="00CA33A5"/>
    <w:rPr>
      <w:rFonts w:eastAsia="Times New Roman"/>
    </w:rPr>
  </w:style>
  <w:style w:type="paragraph" w:styleId="EndnoteText">
    <w:name w:val="endnote text"/>
    <w:basedOn w:val="Normal"/>
    <w:link w:val="EndnoteTextChar"/>
    <w:uiPriority w:val="99"/>
    <w:semiHidden/>
    <w:unhideWhenUsed/>
    <w:rsid w:val="00CA33A5"/>
    <w:rPr>
      <w:rFonts w:eastAsia="Times New Roman"/>
      <w:szCs w:val="22"/>
    </w:rPr>
  </w:style>
  <w:style w:type="character" w:customStyle="1" w:styleId="EndnoteTextChar1">
    <w:name w:val="Endnote Text Char1"/>
    <w:basedOn w:val="DefaultParagraphFont"/>
    <w:uiPriority w:val="99"/>
    <w:semiHidden/>
    <w:rsid w:val="00CA33A5"/>
    <w:rPr>
      <w:sz w:val="20"/>
      <w:szCs w:val="20"/>
    </w:rPr>
  </w:style>
  <w:style w:type="paragraph" w:customStyle="1" w:styleId="tabnum">
    <w:name w:val="tab_num"/>
    <w:basedOn w:val="Normal"/>
    <w:autoRedefine/>
    <w:rsid w:val="00CA33A5"/>
    <w:pPr>
      <w:keepLines/>
      <w:ind w:firstLine="0"/>
      <w:jc w:val="right"/>
    </w:pPr>
    <w:rPr>
      <w:rFonts w:ascii="Garamond" w:eastAsia="Times New Roman" w:hAnsi="Garamond" w:cs="Times New Roman"/>
      <w:sz w:val="24"/>
      <w:szCs w:val="20"/>
    </w:rPr>
  </w:style>
  <w:style w:type="paragraph" w:styleId="TOC4">
    <w:name w:val="toc 4"/>
    <w:basedOn w:val="Normal"/>
    <w:next w:val="Normal"/>
    <w:autoRedefine/>
    <w:semiHidden/>
    <w:rsid w:val="00CA33A5"/>
    <w:pPr>
      <w:spacing w:after="0"/>
      <w:ind w:left="840"/>
      <w:jc w:val="left"/>
    </w:pPr>
    <w:rPr>
      <w:rFonts w:asciiTheme="minorHAnsi" w:hAnsiTheme="minorHAnsi"/>
      <w:sz w:val="18"/>
      <w:szCs w:val="18"/>
    </w:rPr>
  </w:style>
  <w:style w:type="paragraph" w:styleId="TOC5">
    <w:name w:val="toc 5"/>
    <w:basedOn w:val="Normal"/>
    <w:next w:val="Normal"/>
    <w:autoRedefine/>
    <w:semiHidden/>
    <w:rsid w:val="00CA33A5"/>
    <w:pPr>
      <w:spacing w:after="0"/>
      <w:ind w:left="1120"/>
      <w:jc w:val="left"/>
    </w:pPr>
    <w:rPr>
      <w:rFonts w:asciiTheme="minorHAnsi" w:hAnsiTheme="minorHAnsi"/>
      <w:sz w:val="18"/>
      <w:szCs w:val="18"/>
    </w:rPr>
  </w:style>
  <w:style w:type="paragraph" w:styleId="TOC6">
    <w:name w:val="toc 6"/>
    <w:basedOn w:val="Normal"/>
    <w:next w:val="Normal"/>
    <w:autoRedefine/>
    <w:semiHidden/>
    <w:rsid w:val="00CA33A5"/>
    <w:pPr>
      <w:spacing w:after="0"/>
      <w:ind w:left="1400"/>
      <w:jc w:val="left"/>
    </w:pPr>
    <w:rPr>
      <w:rFonts w:asciiTheme="minorHAnsi" w:hAnsiTheme="minorHAnsi"/>
      <w:sz w:val="18"/>
      <w:szCs w:val="18"/>
    </w:rPr>
  </w:style>
  <w:style w:type="paragraph" w:styleId="TOC7">
    <w:name w:val="toc 7"/>
    <w:basedOn w:val="Normal"/>
    <w:next w:val="Normal"/>
    <w:autoRedefine/>
    <w:semiHidden/>
    <w:rsid w:val="00CA33A5"/>
    <w:pPr>
      <w:spacing w:after="0"/>
      <w:ind w:left="1680"/>
      <w:jc w:val="left"/>
    </w:pPr>
    <w:rPr>
      <w:rFonts w:asciiTheme="minorHAnsi" w:hAnsiTheme="minorHAnsi"/>
      <w:sz w:val="18"/>
      <w:szCs w:val="18"/>
    </w:rPr>
  </w:style>
  <w:style w:type="paragraph" w:styleId="TOC8">
    <w:name w:val="toc 8"/>
    <w:basedOn w:val="Normal"/>
    <w:next w:val="Normal"/>
    <w:autoRedefine/>
    <w:semiHidden/>
    <w:rsid w:val="00CA33A5"/>
    <w:pPr>
      <w:spacing w:after="0"/>
      <w:ind w:left="1960"/>
      <w:jc w:val="left"/>
    </w:pPr>
    <w:rPr>
      <w:rFonts w:asciiTheme="minorHAnsi" w:hAnsiTheme="minorHAnsi"/>
      <w:sz w:val="18"/>
      <w:szCs w:val="18"/>
    </w:rPr>
  </w:style>
  <w:style w:type="paragraph" w:styleId="TOC9">
    <w:name w:val="toc 9"/>
    <w:basedOn w:val="Normal"/>
    <w:next w:val="Normal"/>
    <w:autoRedefine/>
    <w:semiHidden/>
    <w:rsid w:val="00CA33A5"/>
    <w:pPr>
      <w:spacing w:after="0"/>
      <w:ind w:left="2240"/>
      <w:jc w:val="left"/>
    </w:pPr>
    <w:rPr>
      <w:rFonts w:asciiTheme="minorHAnsi" w:hAnsiTheme="minorHAnsi"/>
      <w:sz w:val="18"/>
      <w:szCs w:val="18"/>
    </w:rPr>
  </w:style>
  <w:style w:type="character" w:styleId="EndnoteReference">
    <w:name w:val="endnote reference"/>
    <w:uiPriority w:val="99"/>
    <w:semiHidden/>
    <w:unhideWhenUsed/>
    <w:rsid w:val="00CA33A5"/>
    <w:rPr>
      <w:vertAlign w:val="superscript"/>
    </w:rPr>
  </w:style>
  <w:style w:type="paragraph" w:styleId="BodyTextIndent">
    <w:name w:val="Body Text Indent"/>
    <w:basedOn w:val="Normal"/>
    <w:link w:val="BodyTextIndentChar"/>
    <w:rsid w:val="00CA33A5"/>
    <w:pPr>
      <w:ind w:left="283" w:firstLine="0"/>
    </w:pPr>
    <w:rPr>
      <w:rFonts w:eastAsia="Times New Roman" w:cs="Times New Roman"/>
      <w:sz w:val="24"/>
      <w:szCs w:val="20"/>
      <w:lang w:val="x-none"/>
    </w:rPr>
  </w:style>
  <w:style w:type="character" w:customStyle="1" w:styleId="BodyTextIndentChar">
    <w:name w:val="Body Text Indent Char"/>
    <w:basedOn w:val="DefaultParagraphFont"/>
    <w:link w:val="BodyTextIndent"/>
    <w:rsid w:val="00CA33A5"/>
    <w:rPr>
      <w:rFonts w:eastAsia="Times New Roman" w:cs="Times New Roman"/>
      <w:sz w:val="24"/>
      <w:szCs w:val="20"/>
      <w:lang w:val="x-none"/>
    </w:rPr>
  </w:style>
  <w:style w:type="numbering" w:styleId="111111">
    <w:name w:val="Outline List 2"/>
    <w:basedOn w:val="NoList"/>
    <w:uiPriority w:val="99"/>
    <w:rsid w:val="00CA33A5"/>
    <w:pPr>
      <w:numPr>
        <w:numId w:val="10"/>
      </w:numPr>
    </w:pPr>
  </w:style>
  <w:style w:type="paragraph" w:customStyle="1" w:styleId="programmas">
    <w:name w:val="programmas"/>
    <w:basedOn w:val="Normal"/>
    <w:rsid w:val="00CA33A5"/>
    <w:pPr>
      <w:spacing w:before="100" w:beforeAutospacing="1" w:after="100" w:afterAutospacing="1"/>
      <w:ind w:firstLine="0"/>
      <w:jc w:val="left"/>
    </w:pPr>
    <w:rPr>
      <w:rFonts w:eastAsia="Calibri" w:cs="Times New Roman"/>
      <w:sz w:val="24"/>
      <w:szCs w:val="24"/>
      <w:lang w:val="en-US"/>
    </w:rPr>
  </w:style>
  <w:style w:type="numbering" w:customStyle="1" w:styleId="1111111">
    <w:name w:val="1 / 1.1 / 1.1.11"/>
    <w:basedOn w:val="NoList"/>
    <w:next w:val="111111"/>
    <w:rsid w:val="00CA33A5"/>
    <w:pPr>
      <w:numPr>
        <w:numId w:val="8"/>
      </w:numPr>
    </w:pPr>
  </w:style>
  <w:style w:type="character" w:customStyle="1" w:styleId="contentpaneopen1">
    <w:name w:val="contentpaneopen1"/>
    <w:rsid w:val="00CA33A5"/>
    <w:rPr>
      <w:rFonts w:ascii="Arial" w:hAnsi="Arial" w:cs="Arial" w:hint="default"/>
      <w:sz w:val="21"/>
      <w:szCs w:val="21"/>
    </w:rPr>
  </w:style>
  <w:style w:type="numbering" w:customStyle="1" w:styleId="1111112">
    <w:name w:val="1 / 1.1 / 1.1.12"/>
    <w:basedOn w:val="NoList"/>
    <w:next w:val="111111"/>
    <w:rsid w:val="00CA33A5"/>
    <w:pPr>
      <w:numPr>
        <w:numId w:val="9"/>
      </w:numPr>
    </w:pPr>
  </w:style>
  <w:style w:type="paragraph" w:customStyle="1" w:styleId="naiskr">
    <w:name w:val="naiskr"/>
    <w:basedOn w:val="Normal"/>
    <w:uiPriority w:val="99"/>
    <w:rsid w:val="00CA33A5"/>
    <w:pPr>
      <w:spacing w:before="100" w:beforeAutospacing="1" w:after="100" w:afterAutospacing="1"/>
      <w:ind w:firstLine="0"/>
      <w:jc w:val="left"/>
    </w:pPr>
    <w:rPr>
      <w:rFonts w:eastAsia="Times New Roman" w:cs="Times New Roman"/>
      <w:sz w:val="24"/>
      <w:szCs w:val="24"/>
      <w:lang w:eastAsia="lv-LV"/>
    </w:rPr>
  </w:style>
  <w:style w:type="paragraph" w:customStyle="1" w:styleId="cipari">
    <w:name w:val="cipari"/>
    <w:basedOn w:val="Normal"/>
    <w:link w:val="cipariChar"/>
    <w:uiPriority w:val="99"/>
    <w:rsid w:val="00CA33A5"/>
    <w:pPr>
      <w:suppressAutoHyphens/>
      <w:ind w:left="709" w:hanging="709"/>
    </w:pPr>
    <w:rPr>
      <w:rFonts w:ascii="Calibri" w:eastAsia="Calibri" w:hAnsi="Calibri" w:cs="Times New Roman"/>
      <w:sz w:val="24"/>
      <w:szCs w:val="20"/>
      <w:lang w:val="x-none" w:eastAsia="ar-SA"/>
    </w:rPr>
  </w:style>
  <w:style w:type="character" w:customStyle="1" w:styleId="cipariChar">
    <w:name w:val="cipari Char"/>
    <w:link w:val="cipari"/>
    <w:uiPriority w:val="99"/>
    <w:locked/>
    <w:rsid w:val="00CA33A5"/>
    <w:rPr>
      <w:rFonts w:ascii="Calibri" w:eastAsia="Calibri" w:hAnsi="Calibri" w:cs="Times New Roman"/>
      <w:sz w:val="24"/>
      <w:szCs w:val="20"/>
      <w:lang w:val="x-none" w:eastAsia="ar-SA"/>
    </w:rPr>
  </w:style>
  <w:style w:type="paragraph" w:customStyle="1" w:styleId="TableContents">
    <w:name w:val="Table Contents"/>
    <w:basedOn w:val="Normal"/>
    <w:uiPriority w:val="99"/>
    <w:rsid w:val="00CA33A5"/>
    <w:pPr>
      <w:suppressLineNumbers/>
      <w:suppressAutoHyphens/>
      <w:spacing w:after="0"/>
      <w:ind w:firstLine="0"/>
      <w:jc w:val="left"/>
    </w:pPr>
    <w:rPr>
      <w:rFonts w:eastAsia="Times New Roman" w:cs="Times New Roman"/>
      <w:sz w:val="20"/>
      <w:szCs w:val="20"/>
      <w:lang w:val="en-US" w:eastAsia="ar-SA"/>
    </w:rPr>
  </w:style>
  <w:style w:type="paragraph" w:customStyle="1" w:styleId="izdevumi">
    <w:name w:val="izdevumi"/>
    <w:basedOn w:val="Normal"/>
    <w:qFormat/>
    <w:rsid w:val="00CA33A5"/>
    <w:pPr>
      <w:widowControl w:val="0"/>
      <w:spacing w:before="120"/>
      <w:ind w:left="567" w:firstLine="0"/>
    </w:pPr>
    <w:rPr>
      <w:rFonts w:eastAsia="Times New Roman" w:cs="Times New Roman"/>
      <w:i/>
      <w:sz w:val="24"/>
      <w:szCs w:val="20"/>
    </w:rPr>
  </w:style>
  <w:style w:type="character" w:styleId="Emphasis">
    <w:name w:val="Emphasis"/>
    <w:basedOn w:val="DefaultParagraphFont"/>
    <w:qFormat/>
    <w:rsid w:val="00CA33A5"/>
    <w:rPr>
      <w:rFonts w:ascii="Times New Roman" w:hAnsi="Times New Roman"/>
      <w:i w:val="0"/>
      <w:iCs/>
      <w:sz w:val="22"/>
    </w:rPr>
  </w:style>
  <w:style w:type="numbering" w:customStyle="1" w:styleId="NoList2">
    <w:name w:val="No List2"/>
    <w:next w:val="NoList"/>
    <w:uiPriority w:val="99"/>
    <w:semiHidden/>
    <w:unhideWhenUsed/>
    <w:rsid w:val="00CA33A5"/>
  </w:style>
  <w:style w:type="table" w:customStyle="1" w:styleId="TableGrid1">
    <w:name w:val="Table Grid1"/>
    <w:basedOn w:val="TableNormal"/>
    <w:next w:val="TableGrid"/>
    <w:uiPriority w:val="59"/>
    <w:rsid w:val="00CA33A5"/>
    <w:rPr>
      <w:rFonts w:eastAsia="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3">
    <w:name w:val="1 / 1.1 / 1.1.13"/>
    <w:basedOn w:val="NoList"/>
    <w:next w:val="111111"/>
    <w:uiPriority w:val="99"/>
    <w:rsid w:val="00CA33A5"/>
    <w:pPr>
      <w:numPr>
        <w:numId w:val="7"/>
      </w:numPr>
    </w:pPr>
  </w:style>
  <w:style w:type="numbering" w:customStyle="1" w:styleId="11111111">
    <w:name w:val="1 / 1.1 / 1.1.111"/>
    <w:basedOn w:val="NoList"/>
    <w:next w:val="111111"/>
    <w:rsid w:val="00CA33A5"/>
    <w:pPr>
      <w:numPr>
        <w:numId w:val="5"/>
      </w:numPr>
    </w:pPr>
  </w:style>
  <w:style w:type="numbering" w:customStyle="1" w:styleId="11111121">
    <w:name w:val="1 / 1.1 / 1.1.121"/>
    <w:basedOn w:val="NoList"/>
    <w:next w:val="111111"/>
    <w:rsid w:val="00CA33A5"/>
    <w:pPr>
      <w:numPr>
        <w:numId w:val="6"/>
      </w:numPr>
    </w:pPr>
  </w:style>
  <w:style w:type="numbering" w:customStyle="1" w:styleId="NoList3">
    <w:name w:val="No List3"/>
    <w:next w:val="NoList"/>
    <w:uiPriority w:val="99"/>
    <w:semiHidden/>
    <w:unhideWhenUsed/>
    <w:rsid w:val="00CA33A5"/>
  </w:style>
  <w:style w:type="numbering" w:customStyle="1" w:styleId="NoList4">
    <w:name w:val="No List4"/>
    <w:next w:val="NoList"/>
    <w:uiPriority w:val="99"/>
    <w:semiHidden/>
    <w:unhideWhenUsed/>
    <w:rsid w:val="00CA33A5"/>
  </w:style>
  <w:style w:type="paragraph" w:customStyle="1" w:styleId="heading222">
    <w:name w:val="heading222"/>
    <w:basedOn w:val="H2"/>
    <w:link w:val="heading222Char"/>
    <w:qFormat/>
    <w:rsid w:val="00FA06C2"/>
  </w:style>
  <w:style w:type="paragraph" w:customStyle="1" w:styleId="heading3333">
    <w:name w:val="heading3333"/>
    <w:basedOn w:val="H3"/>
    <w:link w:val="heading3333Char"/>
    <w:qFormat/>
    <w:rsid w:val="00FA06C2"/>
    <w:pPr>
      <w:spacing w:before="240"/>
    </w:pPr>
  </w:style>
  <w:style w:type="character" w:customStyle="1" w:styleId="H2Char">
    <w:name w:val="H2 Char"/>
    <w:basedOn w:val="DefaultParagraphFont"/>
    <w:link w:val="H2"/>
    <w:rsid w:val="00FA06C2"/>
    <w:rPr>
      <w:rFonts w:eastAsia="Times New Roman" w:cs="Times New Roman"/>
      <w:b/>
      <w:sz w:val="36"/>
      <w:szCs w:val="20"/>
    </w:rPr>
  </w:style>
  <w:style w:type="character" w:customStyle="1" w:styleId="heading222Char">
    <w:name w:val="heading222 Char"/>
    <w:basedOn w:val="H2Char"/>
    <w:link w:val="heading222"/>
    <w:rsid w:val="00FA06C2"/>
    <w:rPr>
      <w:rFonts w:eastAsia="Times New Roman" w:cs="Times New Roman"/>
      <w:b/>
      <w:sz w:val="36"/>
      <w:szCs w:val="20"/>
    </w:rPr>
  </w:style>
  <w:style w:type="paragraph" w:styleId="TOCHeading">
    <w:name w:val="TOC Heading"/>
    <w:basedOn w:val="Heading1"/>
    <w:next w:val="Normal"/>
    <w:uiPriority w:val="39"/>
    <w:unhideWhenUsed/>
    <w:qFormat/>
    <w:rsid w:val="00FA06C2"/>
    <w:pPr>
      <w:keepLines/>
      <w:spacing w:before="480" w:after="0" w:line="276" w:lineRule="auto"/>
      <w:ind w:firstLine="0"/>
      <w:jc w:val="left"/>
      <w:outlineLvl w:val="9"/>
    </w:pPr>
    <w:rPr>
      <w:rFonts w:asciiTheme="majorHAnsi" w:eastAsiaTheme="majorEastAsia" w:hAnsiTheme="majorHAnsi" w:cstheme="majorBidi"/>
      <w:bCs/>
      <w:color w:val="365F91" w:themeColor="accent1" w:themeShade="BF"/>
      <w:kern w:val="0"/>
      <w:sz w:val="28"/>
      <w:lang w:val="en-US" w:eastAsia="ja-JP"/>
    </w:rPr>
  </w:style>
  <w:style w:type="character" w:customStyle="1" w:styleId="H3Char">
    <w:name w:val="H3 Char"/>
    <w:basedOn w:val="DefaultParagraphFont"/>
    <w:link w:val="H3"/>
    <w:rsid w:val="00FA06C2"/>
    <w:rPr>
      <w:rFonts w:eastAsia="Times New Roman" w:cs="Times New Roman"/>
      <w:b/>
      <w:sz w:val="32"/>
      <w:szCs w:val="20"/>
    </w:rPr>
  </w:style>
  <w:style w:type="character" w:customStyle="1" w:styleId="heading3333Char">
    <w:name w:val="heading3333 Char"/>
    <w:basedOn w:val="H3Char"/>
    <w:link w:val="heading3333"/>
    <w:rsid w:val="00FA06C2"/>
    <w:rPr>
      <w:rFonts w:eastAsia="Times New Roman" w:cs="Times New Roman"/>
      <w:b/>
      <w:sz w:val="32"/>
      <w:szCs w:val="20"/>
    </w:rPr>
  </w:style>
  <w:style w:type="paragraph" w:styleId="Subtitle">
    <w:name w:val="Subtitle"/>
    <w:basedOn w:val="Normal"/>
    <w:next w:val="Normal"/>
    <w:link w:val="SubtitleChar"/>
    <w:uiPriority w:val="11"/>
    <w:qFormat/>
    <w:rsid w:val="00B36423"/>
    <w:pPr>
      <w:numPr>
        <w:ilvl w:val="1"/>
      </w:numPr>
      <w:spacing w:after="160"/>
      <w:ind w:firstLine="709"/>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B36423"/>
    <w:rPr>
      <w:rFonts w:asciiTheme="minorHAnsi" w:eastAsiaTheme="minorEastAsia" w:hAnsiTheme="minorHAnsi"/>
      <w:color w:val="5A5A5A" w:themeColor="text1" w:themeTint="A5"/>
      <w:spacing w:val="15"/>
      <w:sz w:val="22"/>
    </w:rPr>
  </w:style>
  <w:style w:type="character" w:customStyle="1" w:styleId="ListParagraphChar">
    <w:name w:val="List Paragraph Char"/>
    <w:link w:val="ListParagraph"/>
    <w:uiPriority w:val="34"/>
    <w:locked/>
    <w:rsid w:val="007722BA"/>
    <w:rPr>
      <w:szCs w:val="28"/>
    </w:rPr>
  </w:style>
  <w:style w:type="table" w:styleId="GridTable1Light-Accent1">
    <w:name w:val="Grid Table 1 Light Accent 1"/>
    <w:basedOn w:val="TableNormal"/>
    <w:uiPriority w:val="46"/>
    <w:rsid w:val="007722B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tyle1">
    <w:name w:val="Style1"/>
    <w:basedOn w:val="Heading1"/>
    <w:link w:val="Style1Char"/>
    <w:qFormat/>
    <w:rsid w:val="00881D12"/>
    <w:pPr>
      <w:pBdr>
        <w:bottom w:val="single" w:sz="4" w:space="1" w:color="auto"/>
      </w:pBdr>
      <w:jc w:val="center"/>
    </w:pPr>
    <w:rPr>
      <w:sz w:val="32"/>
    </w:rPr>
  </w:style>
  <w:style w:type="paragraph" w:customStyle="1" w:styleId="Style2">
    <w:name w:val="Style2"/>
    <w:basedOn w:val="Heading2"/>
    <w:link w:val="Style2Char"/>
    <w:qFormat/>
    <w:rsid w:val="00881D12"/>
    <w:pPr>
      <w:spacing w:before="240" w:after="120"/>
    </w:pPr>
    <w:rPr>
      <w:rFonts w:ascii="Times New Roman" w:eastAsia="Calibri" w:hAnsi="Times New Roman" w:cs="Times New Roman"/>
      <w:color w:val="000000" w:themeColor="text1"/>
      <w:sz w:val="28"/>
    </w:rPr>
  </w:style>
  <w:style w:type="character" w:customStyle="1" w:styleId="Style1Char">
    <w:name w:val="Style1 Char"/>
    <w:basedOn w:val="Heading1Char"/>
    <w:link w:val="Style1"/>
    <w:rsid w:val="00881D12"/>
    <w:rPr>
      <w:b/>
      <w:kern w:val="28"/>
      <w:sz w:val="32"/>
      <w:szCs w:val="28"/>
    </w:rPr>
  </w:style>
  <w:style w:type="paragraph" w:customStyle="1" w:styleId="Style3">
    <w:name w:val="Style3"/>
    <w:basedOn w:val="Style2"/>
    <w:link w:val="Style3Char"/>
    <w:qFormat/>
    <w:rsid w:val="001C1C52"/>
  </w:style>
  <w:style w:type="character" w:customStyle="1" w:styleId="Style2Char">
    <w:name w:val="Style2 Char"/>
    <w:basedOn w:val="Heading2Char"/>
    <w:link w:val="Style2"/>
    <w:rsid w:val="00881D12"/>
    <w:rPr>
      <w:rFonts w:asciiTheme="majorHAnsi" w:eastAsia="Calibri" w:hAnsiTheme="majorHAnsi" w:cs="Times New Roman"/>
      <w:b/>
      <w:bCs/>
      <w:color w:val="000000" w:themeColor="text1"/>
      <w:sz w:val="26"/>
      <w:szCs w:val="26"/>
    </w:rPr>
  </w:style>
  <w:style w:type="character" w:customStyle="1" w:styleId="Style3Char">
    <w:name w:val="Style3 Char"/>
    <w:basedOn w:val="Style2Char"/>
    <w:link w:val="Style3"/>
    <w:rsid w:val="001C1C52"/>
    <w:rPr>
      <w:rFonts w:asciiTheme="majorHAnsi" w:eastAsia="Calibri" w:hAnsiTheme="majorHAnsi" w:cs="Times New Roman"/>
      <w:b/>
      <w:bCs/>
      <w:color w:val="000000" w:themeColor="text1"/>
      <w:sz w:val="26"/>
      <w:szCs w:val="26"/>
    </w:rPr>
  </w:style>
  <w:style w:type="character" w:styleId="CommentReference">
    <w:name w:val="annotation reference"/>
    <w:basedOn w:val="DefaultParagraphFont"/>
    <w:uiPriority w:val="99"/>
    <w:semiHidden/>
    <w:unhideWhenUsed/>
    <w:rsid w:val="005A0790"/>
    <w:rPr>
      <w:sz w:val="16"/>
      <w:szCs w:val="16"/>
    </w:rPr>
  </w:style>
  <w:style w:type="paragraph" w:styleId="CommentText">
    <w:name w:val="annotation text"/>
    <w:basedOn w:val="Normal"/>
    <w:link w:val="CommentTextChar"/>
    <w:uiPriority w:val="99"/>
    <w:semiHidden/>
    <w:unhideWhenUsed/>
    <w:rsid w:val="005A0790"/>
    <w:rPr>
      <w:sz w:val="20"/>
      <w:szCs w:val="20"/>
    </w:rPr>
  </w:style>
  <w:style w:type="character" w:customStyle="1" w:styleId="CommentTextChar">
    <w:name w:val="Comment Text Char"/>
    <w:basedOn w:val="DefaultParagraphFont"/>
    <w:link w:val="CommentText"/>
    <w:uiPriority w:val="99"/>
    <w:semiHidden/>
    <w:rsid w:val="005A0790"/>
    <w:rPr>
      <w:sz w:val="20"/>
      <w:szCs w:val="20"/>
    </w:rPr>
  </w:style>
  <w:style w:type="paragraph" w:styleId="CommentSubject">
    <w:name w:val="annotation subject"/>
    <w:basedOn w:val="CommentText"/>
    <w:next w:val="CommentText"/>
    <w:link w:val="CommentSubjectChar"/>
    <w:uiPriority w:val="99"/>
    <w:semiHidden/>
    <w:unhideWhenUsed/>
    <w:rsid w:val="005A0790"/>
    <w:rPr>
      <w:b/>
      <w:bCs/>
    </w:rPr>
  </w:style>
  <w:style w:type="character" w:customStyle="1" w:styleId="CommentSubjectChar">
    <w:name w:val="Comment Subject Char"/>
    <w:basedOn w:val="CommentTextChar"/>
    <w:link w:val="CommentSubject"/>
    <w:uiPriority w:val="99"/>
    <w:semiHidden/>
    <w:rsid w:val="005A0790"/>
    <w:rPr>
      <w:b/>
      <w:bCs/>
      <w:sz w:val="20"/>
      <w:szCs w:val="20"/>
    </w:rPr>
  </w:style>
  <w:style w:type="paragraph" w:styleId="Revision">
    <w:name w:val="Revision"/>
    <w:hidden/>
    <w:uiPriority w:val="99"/>
    <w:semiHidden/>
    <w:rsid w:val="009C4C87"/>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5916">
      <w:bodyDiv w:val="1"/>
      <w:marLeft w:val="0"/>
      <w:marRight w:val="0"/>
      <w:marTop w:val="0"/>
      <w:marBottom w:val="0"/>
      <w:divBdr>
        <w:top w:val="none" w:sz="0" w:space="0" w:color="auto"/>
        <w:left w:val="none" w:sz="0" w:space="0" w:color="auto"/>
        <w:bottom w:val="none" w:sz="0" w:space="0" w:color="auto"/>
        <w:right w:val="none" w:sz="0" w:space="0" w:color="auto"/>
      </w:divBdr>
    </w:div>
    <w:div w:id="314920082">
      <w:bodyDiv w:val="1"/>
      <w:marLeft w:val="0"/>
      <w:marRight w:val="0"/>
      <w:marTop w:val="0"/>
      <w:marBottom w:val="0"/>
      <w:divBdr>
        <w:top w:val="none" w:sz="0" w:space="0" w:color="auto"/>
        <w:left w:val="none" w:sz="0" w:space="0" w:color="auto"/>
        <w:bottom w:val="none" w:sz="0" w:space="0" w:color="auto"/>
        <w:right w:val="none" w:sz="0" w:space="0" w:color="auto"/>
      </w:divBdr>
    </w:div>
    <w:div w:id="329144315">
      <w:bodyDiv w:val="1"/>
      <w:marLeft w:val="0"/>
      <w:marRight w:val="0"/>
      <w:marTop w:val="0"/>
      <w:marBottom w:val="0"/>
      <w:divBdr>
        <w:top w:val="none" w:sz="0" w:space="0" w:color="auto"/>
        <w:left w:val="none" w:sz="0" w:space="0" w:color="auto"/>
        <w:bottom w:val="none" w:sz="0" w:space="0" w:color="auto"/>
        <w:right w:val="none" w:sz="0" w:space="0" w:color="auto"/>
      </w:divBdr>
    </w:div>
    <w:div w:id="395592062">
      <w:bodyDiv w:val="1"/>
      <w:marLeft w:val="0"/>
      <w:marRight w:val="0"/>
      <w:marTop w:val="0"/>
      <w:marBottom w:val="0"/>
      <w:divBdr>
        <w:top w:val="none" w:sz="0" w:space="0" w:color="auto"/>
        <w:left w:val="none" w:sz="0" w:space="0" w:color="auto"/>
        <w:bottom w:val="none" w:sz="0" w:space="0" w:color="auto"/>
        <w:right w:val="none" w:sz="0" w:space="0" w:color="auto"/>
      </w:divBdr>
    </w:div>
    <w:div w:id="426199197">
      <w:bodyDiv w:val="1"/>
      <w:marLeft w:val="0"/>
      <w:marRight w:val="0"/>
      <w:marTop w:val="0"/>
      <w:marBottom w:val="0"/>
      <w:divBdr>
        <w:top w:val="none" w:sz="0" w:space="0" w:color="auto"/>
        <w:left w:val="none" w:sz="0" w:space="0" w:color="auto"/>
        <w:bottom w:val="none" w:sz="0" w:space="0" w:color="auto"/>
        <w:right w:val="none" w:sz="0" w:space="0" w:color="auto"/>
      </w:divBdr>
    </w:div>
    <w:div w:id="460340011">
      <w:bodyDiv w:val="1"/>
      <w:marLeft w:val="0"/>
      <w:marRight w:val="0"/>
      <w:marTop w:val="0"/>
      <w:marBottom w:val="0"/>
      <w:divBdr>
        <w:top w:val="none" w:sz="0" w:space="0" w:color="auto"/>
        <w:left w:val="none" w:sz="0" w:space="0" w:color="auto"/>
        <w:bottom w:val="none" w:sz="0" w:space="0" w:color="auto"/>
        <w:right w:val="none" w:sz="0" w:space="0" w:color="auto"/>
      </w:divBdr>
    </w:div>
    <w:div w:id="553587023">
      <w:bodyDiv w:val="1"/>
      <w:marLeft w:val="0"/>
      <w:marRight w:val="0"/>
      <w:marTop w:val="0"/>
      <w:marBottom w:val="0"/>
      <w:divBdr>
        <w:top w:val="none" w:sz="0" w:space="0" w:color="auto"/>
        <w:left w:val="none" w:sz="0" w:space="0" w:color="auto"/>
        <w:bottom w:val="none" w:sz="0" w:space="0" w:color="auto"/>
        <w:right w:val="none" w:sz="0" w:space="0" w:color="auto"/>
      </w:divBdr>
    </w:div>
    <w:div w:id="773480192">
      <w:bodyDiv w:val="1"/>
      <w:marLeft w:val="0"/>
      <w:marRight w:val="0"/>
      <w:marTop w:val="0"/>
      <w:marBottom w:val="0"/>
      <w:divBdr>
        <w:top w:val="none" w:sz="0" w:space="0" w:color="auto"/>
        <w:left w:val="none" w:sz="0" w:space="0" w:color="auto"/>
        <w:bottom w:val="none" w:sz="0" w:space="0" w:color="auto"/>
        <w:right w:val="none" w:sz="0" w:space="0" w:color="auto"/>
      </w:divBdr>
    </w:div>
    <w:div w:id="1011569717">
      <w:bodyDiv w:val="1"/>
      <w:marLeft w:val="0"/>
      <w:marRight w:val="0"/>
      <w:marTop w:val="0"/>
      <w:marBottom w:val="0"/>
      <w:divBdr>
        <w:top w:val="none" w:sz="0" w:space="0" w:color="auto"/>
        <w:left w:val="none" w:sz="0" w:space="0" w:color="auto"/>
        <w:bottom w:val="none" w:sz="0" w:space="0" w:color="auto"/>
        <w:right w:val="none" w:sz="0" w:space="0" w:color="auto"/>
      </w:divBdr>
    </w:div>
    <w:div w:id="1629360617">
      <w:bodyDiv w:val="1"/>
      <w:marLeft w:val="0"/>
      <w:marRight w:val="0"/>
      <w:marTop w:val="0"/>
      <w:marBottom w:val="0"/>
      <w:divBdr>
        <w:top w:val="none" w:sz="0" w:space="0" w:color="auto"/>
        <w:left w:val="none" w:sz="0" w:space="0" w:color="auto"/>
        <w:bottom w:val="none" w:sz="0" w:space="0" w:color="auto"/>
        <w:right w:val="none" w:sz="0" w:space="0" w:color="auto"/>
      </w:divBdr>
    </w:div>
    <w:div w:id="1711879868">
      <w:bodyDiv w:val="1"/>
      <w:marLeft w:val="0"/>
      <w:marRight w:val="0"/>
      <w:marTop w:val="0"/>
      <w:marBottom w:val="0"/>
      <w:divBdr>
        <w:top w:val="none" w:sz="0" w:space="0" w:color="auto"/>
        <w:left w:val="none" w:sz="0" w:space="0" w:color="auto"/>
        <w:bottom w:val="none" w:sz="0" w:space="0" w:color="auto"/>
        <w:right w:val="none" w:sz="0" w:space="0" w:color="auto"/>
      </w:divBdr>
    </w:div>
    <w:div w:id="1779522965">
      <w:bodyDiv w:val="1"/>
      <w:marLeft w:val="0"/>
      <w:marRight w:val="0"/>
      <w:marTop w:val="0"/>
      <w:marBottom w:val="0"/>
      <w:divBdr>
        <w:top w:val="none" w:sz="0" w:space="0" w:color="auto"/>
        <w:left w:val="none" w:sz="0" w:space="0" w:color="auto"/>
        <w:bottom w:val="none" w:sz="0" w:space="0" w:color="auto"/>
        <w:right w:val="none" w:sz="0" w:space="0" w:color="auto"/>
      </w:divBdr>
    </w:div>
    <w:div w:id="186863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chart" Target="charts/chart17.xm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emf"/><Relationship Id="rId29" Type="http://schemas.openxmlformats.org/officeDocument/2006/relationships/image" Target="media/image8.pn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chart" Target="charts/chart14.xml"/><Relationship Id="rId37" Type="http://schemas.openxmlformats.org/officeDocument/2006/relationships/image" Target="media/image15.png"/><Relationship Id="rId40" Type="http://schemas.openxmlformats.org/officeDocument/2006/relationships/image" Target="media/image18.emf"/><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1.jpg@01D0874F.DACDA220" TargetMode="Externa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chart" Target="charts/chart16.xml"/><Relationship Id="rId48" Type="http://schemas.openxmlformats.org/officeDocument/2006/relationships/hyperlink" Target="mailto:Liga.Ozolin@fm.gov.lv" TargetMode="External"/><Relationship Id="rId8" Type="http://schemas.openxmlformats.org/officeDocument/2006/relationships/image" Target="media/image1.jpeg"/><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fs\FPJ\TAND\Prezentacija\Prezentacijas-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fs\FPJ\TAND\Prezentacija\Prezentacijas-DATA.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1" Type="http://schemas.openxmlformats.org/officeDocument/2006/relationships/oleObject" Target="file:///\\fs\FPJ\TAND\_Ikmenesa_apskati\MacroInfoBoard\Board_lv.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oleObject" Target="file:///C:\Users\td-jursa\AppData\Local\Microsoft\Windows\Temporary%20Internet%20Files\Content.IE5\F5EJNXCS\AT0020mE.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d-kabak\Desktop\Konsolidetais_kopbudzets.xlsm"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fs\BD\Kopsavilkuma_nod\Ineta_Valmane\2015\2015_Icet_izpilde_uz052015\I_cet_zinojums_izpilde_uz0515\PBunSpb2015ek_3men_230415.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fs\BD\Kopsavilkuma_nod\Ineta_Valmane\2015\2015_Icet_izpilde_uz052015\I_cet_zinojums_izpilde_uz0515\PBunSpb2015ek_3men_230415.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s\FPJ\TAND\_Ikmenesa_apskati\MacroInfoBoard\Board_lv.xlsx" TargetMode="External"/><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3" Type="http://schemas.openxmlformats.org/officeDocument/2006/relationships/oleObject" Target="file:///\\fs\FPJ\TAND\Diana%20Ondza\IKP\ikp.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fs\FPJ\TAND\Diana%20Ondza\R&#362;PNIEC&#298;BA\R&#362;PNIEC&#298;BA%20pa%20m&#275;ne&#353;ie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FPJ\TAND\Diana%20Ondza\R&#362;PNIEC&#298;BA\R&#362;PNIEC&#298;BA%20pa%20ceturk&#353;&#326;ie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FPJ\TAND\_Zinojumi\2015_gads\Grafiki\Copy%20of%20RU0080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s\FPJ\TAND\Diana%20Ondza\R&#362;PNIEC&#298;BA\RA&#381;OT&#256;JU%20CENU%20INDEKS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3" Type="http://schemas.openxmlformats.org/officeDocument/2006/relationships/oleObject" Target="file:///\\fs\FPJ\TAND\Prezentacija\Prezentacijas-DAT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207165133474054E-2"/>
          <c:y val="4.7159699892818867E-2"/>
          <c:w val="0.93521042134108123"/>
          <c:h val="0.68372281439096638"/>
        </c:manualLayout>
      </c:layout>
      <c:barChart>
        <c:barDir val="col"/>
        <c:grouping val="clustered"/>
        <c:varyColors val="0"/>
        <c:ser>
          <c:idx val="4"/>
          <c:order val="2"/>
          <c:tx>
            <c:strRef>
              <c:f>'Parnervalstu svērtā izaugsme'!$C$9</c:f>
              <c:strCache>
                <c:ptCount val="1"/>
                <c:pt idx="0">
                  <c:v>Latvija</c:v>
                </c:pt>
              </c:strCache>
            </c:strRef>
          </c:tx>
          <c:spPr>
            <a:solidFill>
              <a:srgbClr val="C00000"/>
            </a:solidFill>
            <a:ln>
              <a:noFill/>
            </a:ln>
            <a:effectLst/>
          </c:spPr>
          <c:invertIfNegative val="0"/>
          <c:cat>
            <c:multiLvlStrRef>
              <c:f>'Parnervalstu svērtā izaugsme'!$A$10:$B$23</c:f>
              <c:multiLvlStrCache>
                <c:ptCount val="14"/>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lvl>
                <c:lvl>
                  <c:pt idx="0">
                    <c:v>2011</c:v>
                  </c:pt>
                  <c:pt idx="4">
                    <c:v>2012</c:v>
                  </c:pt>
                  <c:pt idx="8">
                    <c:v>2013</c:v>
                  </c:pt>
                  <c:pt idx="12">
                    <c:v>2014</c:v>
                  </c:pt>
                </c:lvl>
              </c:multiLvlStrCache>
            </c:multiLvlStrRef>
          </c:cat>
          <c:val>
            <c:numRef>
              <c:f>'Parnervalstu svērtā izaugsme'!$M$10:$M$27</c:f>
              <c:numCache>
                <c:formatCode>General</c:formatCode>
                <c:ptCount val="18"/>
                <c:pt idx="0">
                  <c:v>0</c:v>
                </c:pt>
                <c:pt idx="16">
                  <c:v>2.1</c:v>
                </c:pt>
                <c:pt idx="17">
                  <c:v>3</c:v>
                </c:pt>
              </c:numCache>
            </c:numRef>
          </c:val>
        </c:ser>
        <c:ser>
          <c:idx val="3"/>
          <c:order val="4"/>
          <c:tx>
            <c:strRef>
              <c:f>'Parnervalstu svērtā izaugsme'!$J$9</c:f>
              <c:strCache>
                <c:ptCount val="1"/>
                <c:pt idx="0">
                  <c:v>ES</c:v>
                </c:pt>
              </c:strCache>
            </c:strRef>
          </c:tx>
          <c:spPr>
            <a:solidFill>
              <a:srgbClr val="10253F"/>
            </a:solidFill>
            <a:ln>
              <a:noFill/>
            </a:ln>
            <a:effectLst/>
          </c:spPr>
          <c:invertIfNegative val="0"/>
          <c:val>
            <c:numRef>
              <c:f>'Parnervalstu svērtā izaugsme'!$N$10:$N$27</c:f>
              <c:numCache>
                <c:formatCode>General</c:formatCode>
                <c:ptCount val="18"/>
                <c:pt idx="16">
                  <c:v>1.8</c:v>
                </c:pt>
                <c:pt idx="17">
                  <c:v>2.1</c:v>
                </c:pt>
              </c:numCache>
            </c:numRef>
          </c:val>
        </c:ser>
        <c:ser>
          <c:idx val="5"/>
          <c:order val="5"/>
          <c:tx>
            <c:strRef>
              <c:f>'Parnervalstu svērtā izaugsme'!$K$9</c:f>
              <c:strCache>
                <c:ptCount val="1"/>
                <c:pt idx="0">
                  <c:v>Partnervalstis*</c:v>
                </c:pt>
              </c:strCache>
            </c:strRef>
          </c:tx>
          <c:spPr>
            <a:solidFill>
              <a:srgbClr val="9BBB59"/>
            </a:solidFill>
            <a:ln>
              <a:noFill/>
            </a:ln>
            <a:effectLst/>
          </c:spPr>
          <c:invertIfNegative val="0"/>
          <c:val>
            <c:numRef>
              <c:f>'Parnervalstu svērtā izaugsme'!$O$10:$O$27</c:f>
              <c:numCache>
                <c:formatCode>General</c:formatCode>
                <c:ptCount val="18"/>
                <c:pt idx="16">
                  <c:v>1.4857698257402174</c:v>
                </c:pt>
                <c:pt idx="17">
                  <c:v>2.4</c:v>
                </c:pt>
              </c:numCache>
            </c:numRef>
          </c:val>
        </c:ser>
        <c:ser>
          <c:idx val="7"/>
          <c:order val="7"/>
          <c:spPr>
            <a:pattFill prst="narHorz">
              <a:fgClr>
                <a:schemeClr val="accent3">
                  <a:lumMod val="50000"/>
                </a:schemeClr>
              </a:fgClr>
              <a:bgClr>
                <a:schemeClr val="bg1"/>
              </a:bgClr>
            </a:pattFill>
            <a:ln>
              <a:solidFill>
                <a:schemeClr val="accent3">
                  <a:lumMod val="50000"/>
                </a:schemeClr>
              </a:solidFill>
            </a:ln>
            <a:effectLst/>
          </c:spPr>
          <c:invertIfNegative val="0"/>
          <c:val>
            <c:numRef>
              <c:f>'Parnervalstu svērtā izaugsme'!$P$10:$P$27</c:f>
              <c:numCache>
                <c:formatCode>General</c:formatCode>
                <c:ptCount val="18"/>
                <c:pt idx="16">
                  <c:v>2.5681579872974418</c:v>
                </c:pt>
                <c:pt idx="17">
                  <c:v>2.9929457132229178</c:v>
                </c:pt>
              </c:numCache>
            </c:numRef>
          </c:val>
        </c:ser>
        <c:dLbls>
          <c:showLegendKey val="0"/>
          <c:showVal val="0"/>
          <c:showCatName val="0"/>
          <c:showSerName val="0"/>
          <c:showPercent val="0"/>
          <c:showBubbleSize val="0"/>
        </c:dLbls>
        <c:gapWidth val="150"/>
        <c:axId val="503957928"/>
        <c:axId val="569364536"/>
      </c:barChart>
      <c:lineChart>
        <c:grouping val="standard"/>
        <c:varyColors val="0"/>
        <c:ser>
          <c:idx val="0"/>
          <c:order val="0"/>
          <c:tx>
            <c:strRef>
              <c:f>'Parnervalstu svērtā izaugsme'!$J$9</c:f>
              <c:strCache>
                <c:ptCount val="1"/>
                <c:pt idx="0">
                  <c:v>ES</c:v>
                </c:pt>
              </c:strCache>
            </c:strRef>
          </c:tx>
          <c:spPr>
            <a:ln w="28575" cap="rnd">
              <a:solidFill>
                <a:schemeClr val="tx2">
                  <a:lumMod val="50000"/>
                </a:schemeClr>
              </a:solidFill>
              <a:round/>
            </a:ln>
            <a:effectLst/>
          </c:spPr>
          <c:marker>
            <c:symbol val="none"/>
          </c:marker>
          <c:cat>
            <c:multiLvlStrRef>
              <c:f>'Parnervalstu svērtā izaugsme'!$A$10:$B$27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2015</c:v>
                  </c:pt>
                  <c:pt idx="17">
                    <c:v>2016</c:v>
                  </c:pt>
                </c:lvl>
                <c:lvl>
                  <c:pt idx="0">
                    <c:v>2011</c:v>
                  </c:pt>
                  <c:pt idx="4">
                    <c:v>2012</c:v>
                  </c:pt>
                  <c:pt idx="8">
                    <c:v>2013</c:v>
                  </c:pt>
                  <c:pt idx="12">
                    <c:v>2014</c:v>
                  </c:pt>
                  <c:pt idx="16">
                    <c:v>Prognoze**</c:v>
                  </c:pt>
                </c:lvl>
              </c:multiLvlStrCache>
            </c:multiLvlStrRef>
          </c:cat>
          <c:val>
            <c:numRef>
              <c:f>'Parnervalstu svērtā izaugsme'!$J$10:$J$25</c:f>
              <c:numCache>
                <c:formatCode>General</c:formatCode>
                <c:ptCount val="16"/>
                <c:pt idx="0">
                  <c:v>2.9</c:v>
                </c:pt>
                <c:pt idx="1">
                  <c:v>2</c:v>
                </c:pt>
                <c:pt idx="2">
                  <c:v>1.5</c:v>
                </c:pt>
                <c:pt idx="3">
                  <c:v>0.6</c:v>
                </c:pt>
                <c:pt idx="4">
                  <c:v>0.3</c:v>
                </c:pt>
                <c:pt idx="5">
                  <c:v>-0.7</c:v>
                </c:pt>
                <c:pt idx="6">
                  <c:v>-0.6</c:v>
                </c:pt>
                <c:pt idx="7">
                  <c:v>-0.9</c:v>
                </c:pt>
                <c:pt idx="8">
                  <c:v>-1.3</c:v>
                </c:pt>
                <c:pt idx="9">
                  <c:v>0</c:v>
                </c:pt>
                <c:pt idx="10">
                  <c:v>0.5</c:v>
                </c:pt>
                <c:pt idx="11">
                  <c:v>0.9</c:v>
                </c:pt>
                <c:pt idx="12">
                  <c:v>1.4</c:v>
                </c:pt>
                <c:pt idx="13">
                  <c:v>1.2</c:v>
                </c:pt>
                <c:pt idx="14">
                  <c:v>1.3</c:v>
                </c:pt>
                <c:pt idx="15">
                  <c:v>1.2</c:v>
                </c:pt>
              </c:numCache>
            </c:numRef>
          </c:val>
          <c:smooth val="0"/>
        </c:ser>
        <c:ser>
          <c:idx val="2"/>
          <c:order val="1"/>
          <c:tx>
            <c:strRef>
              <c:f>'Parnervalstu svērtā izaugsme'!$C$9</c:f>
              <c:strCache>
                <c:ptCount val="1"/>
                <c:pt idx="0">
                  <c:v>Latvija</c:v>
                </c:pt>
              </c:strCache>
            </c:strRef>
          </c:tx>
          <c:spPr>
            <a:ln w="28575" cap="rnd">
              <a:solidFill>
                <a:srgbClr val="C00000"/>
              </a:solidFill>
              <a:round/>
            </a:ln>
            <a:effectLst/>
          </c:spPr>
          <c:marker>
            <c:symbol val="none"/>
          </c:marker>
          <c:cat>
            <c:multiLvlStrRef>
              <c:f>'Parnervalstu svērtā izaugsme'!$A$10:$B$27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2015</c:v>
                  </c:pt>
                  <c:pt idx="17">
                    <c:v>2016</c:v>
                  </c:pt>
                </c:lvl>
                <c:lvl>
                  <c:pt idx="0">
                    <c:v>2011</c:v>
                  </c:pt>
                  <c:pt idx="4">
                    <c:v>2012</c:v>
                  </c:pt>
                  <c:pt idx="8">
                    <c:v>2013</c:v>
                  </c:pt>
                  <c:pt idx="12">
                    <c:v>2014</c:v>
                  </c:pt>
                  <c:pt idx="16">
                    <c:v>Prognoze**</c:v>
                  </c:pt>
                </c:lvl>
              </c:multiLvlStrCache>
            </c:multiLvlStrRef>
          </c:cat>
          <c:val>
            <c:numRef>
              <c:f>'Parnervalstu svērtā izaugsme'!$C$10:$C$25</c:f>
              <c:numCache>
                <c:formatCode>General</c:formatCode>
                <c:ptCount val="16"/>
                <c:pt idx="0">
                  <c:v>1.1000000000000001</c:v>
                </c:pt>
                <c:pt idx="1">
                  <c:v>4.9000000000000004</c:v>
                </c:pt>
                <c:pt idx="2">
                  <c:v>8</c:v>
                </c:pt>
                <c:pt idx="3">
                  <c:v>5.5</c:v>
                </c:pt>
                <c:pt idx="4">
                  <c:v>8.8000000000000007</c:v>
                </c:pt>
                <c:pt idx="5">
                  <c:v>4.3</c:v>
                </c:pt>
                <c:pt idx="6">
                  <c:v>3.7</c:v>
                </c:pt>
                <c:pt idx="7">
                  <c:v>3.4</c:v>
                </c:pt>
                <c:pt idx="8">
                  <c:v>3.1</c:v>
                </c:pt>
                <c:pt idx="9">
                  <c:v>4.5999999999999996</c:v>
                </c:pt>
                <c:pt idx="10">
                  <c:v>4.5999999999999996</c:v>
                </c:pt>
                <c:pt idx="11">
                  <c:v>4.5</c:v>
                </c:pt>
                <c:pt idx="12">
                  <c:v>2.8</c:v>
                </c:pt>
                <c:pt idx="13">
                  <c:v>2.2999999999999998</c:v>
                </c:pt>
                <c:pt idx="14">
                  <c:v>2.4</c:v>
                </c:pt>
                <c:pt idx="15">
                  <c:v>2.1</c:v>
                </c:pt>
              </c:numCache>
            </c:numRef>
          </c:val>
          <c:smooth val="0"/>
        </c:ser>
        <c:ser>
          <c:idx val="1"/>
          <c:order val="3"/>
          <c:tx>
            <c:strRef>
              <c:f>'Parnervalstu svērtā izaugsme'!$K$9</c:f>
              <c:strCache>
                <c:ptCount val="1"/>
                <c:pt idx="0">
                  <c:v>Partnervalstis*</c:v>
                </c:pt>
              </c:strCache>
            </c:strRef>
          </c:tx>
          <c:spPr>
            <a:ln w="25400" cap="rnd">
              <a:solidFill>
                <a:schemeClr val="accent3"/>
              </a:solidFill>
              <a:round/>
            </a:ln>
            <a:effectLst/>
          </c:spPr>
          <c:marker>
            <c:symbol val="none"/>
          </c:marker>
          <c:cat>
            <c:multiLvlStrRef>
              <c:f>'Parnervalstu svērtā izaugsme'!$A$10:$B$27</c:f>
              <c:multiLvlStrCache>
                <c:ptCount val="1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2015</c:v>
                  </c:pt>
                  <c:pt idx="17">
                    <c:v>2016</c:v>
                  </c:pt>
                </c:lvl>
                <c:lvl>
                  <c:pt idx="0">
                    <c:v>2011</c:v>
                  </c:pt>
                  <c:pt idx="4">
                    <c:v>2012</c:v>
                  </c:pt>
                  <c:pt idx="8">
                    <c:v>2013</c:v>
                  </c:pt>
                  <c:pt idx="12">
                    <c:v>2014</c:v>
                  </c:pt>
                  <c:pt idx="16">
                    <c:v>Prognoze**</c:v>
                  </c:pt>
                </c:lvl>
              </c:multiLvlStrCache>
            </c:multiLvlStrRef>
          </c:cat>
          <c:val>
            <c:numRef>
              <c:f>'Parnervalstu svērtā izaugsme'!$K$10:$K$25</c:f>
              <c:numCache>
                <c:formatCode>General</c:formatCode>
                <c:ptCount val="16"/>
                <c:pt idx="0">
                  <c:v>5.8657719910245145</c:v>
                </c:pt>
                <c:pt idx="1">
                  <c:v>5.0701776455609329</c:v>
                </c:pt>
                <c:pt idx="2">
                  <c:v>6.2125542788532595</c:v>
                </c:pt>
                <c:pt idx="3">
                  <c:v>4.6328746270768715</c:v>
                </c:pt>
                <c:pt idx="4">
                  <c:v>3.8251674315898994</c:v>
                </c:pt>
                <c:pt idx="5">
                  <c:v>2.6459047702944649</c:v>
                </c:pt>
                <c:pt idx="6">
                  <c:v>3.0067804262292777</c:v>
                </c:pt>
                <c:pt idx="7">
                  <c:v>2.3406521596740069</c:v>
                </c:pt>
                <c:pt idx="8">
                  <c:v>1.7145223073173748</c:v>
                </c:pt>
                <c:pt idx="9">
                  <c:v>1.757757806859521</c:v>
                </c:pt>
                <c:pt idx="10">
                  <c:v>1.7107487449285039</c:v>
                </c:pt>
                <c:pt idx="11">
                  <c:v>2.3299234579603811</c:v>
                </c:pt>
                <c:pt idx="12">
                  <c:v>2.0722198282481483</c:v>
                </c:pt>
                <c:pt idx="13">
                  <c:v>2.2727571732991998</c:v>
                </c:pt>
                <c:pt idx="14">
                  <c:v>2.1727019983752727</c:v>
                </c:pt>
                <c:pt idx="15">
                  <c:v>2.1503565364196207</c:v>
                </c:pt>
              </c:numCache>
            </c:numRef>
          </c:val>
          <c:smooth val="0"/>
        </c:ser>
        <c:ser>
          <c:idx val="6"/>
          <c:order val="6"/>
          <c:tx>
            <c:strRef>
              <c:f>'Parnervalstu svērtā izaugsme'!$L$9</c:f>
              <c:strCache>
                <c:ptCount val="1"/>
                <c:pt idx="0">
                  <c:v>Partnervalstis (bez Krievijas)</c:v>
                </c:pt>
              </c:strCache>
            </c:strRef>
          </c:tx>
          <c:spPr>
            <a:ln w="31750" cap="rnd">
              <a:solidFill>
                <a:schemeClr val="accent3">
                  <a:lumMod val="50000"/>
                </a:schemeClr>
              </a:solidFill>
              <a:prstDash val="sysDash"/>
              <a:round/>
            </a:ln>
            <a:effectLst/>
          </c:spPr>
          <c:marker>
            <c:symbol val="none"/>
          </c:marker>
          <c:val>
            <c:numRef>
              <c:f>'Parnervalstu svērtā izaugsme'!$L$10:$L$25</c:f>
              <c:numCache>
                <c:formatCode>General</c:formatCode>
                <c:ptCount val="16"/>
                <c:pt idx="0">
                  <c:v>6.4370270635199685</c:v>
                </c:pt>
                <c:pt idx="1">
                  <c:v>5.4617371064725804</c:v>
                </c:pt>
                <c:pt idx="2">
                  <c:v>6.4696505644717481</c:v>
                </c:pt>
                <c:pt idx="3">
                  <c:v>4.5136449759207036</c:v>
                </c:pt>
                <c:pt idx="4">
                  <c:v>3.6256150260813937</c:v>
                </c:pt>
                <c:pt idx="5">
                  <c:v>2.3071389360818482</c:v>
                </c:pt>
                <c:pt idx="6">
                  <c:v>2.9936714983385975</c:v>
                </c:pt>
                <c:pt idx="7">
                  <c:v>2.4154723824584297</c:v>
                </c:pt>
                <c:pt idx="8">
                  <c:v>1.9314589930220529</c:v>
                </c:pt>
                <c:pt idx="9">
                  <c:v>1.889383826074686</c:v>
                </c:pt>
                <c:pt idx="10">
                  <c:v>1.8112073697990425</c:v>
                </c:pt>
                <c:pt idx="11">
                  <c:v>2.3844000764187312</c:v>
                </c:pt>
                <c:pt idx="12">
                  <c:v>2.4040764629238609</c:v>
                </c:pt>
                <c:pt idx="13">
                  <c:v>2.6166092865163768</c:v>
                </c:pt>
                <c:pt idx="14">
                  <c:v>2.462773399297804</c:v>
                </c:pt>
                <c:pt idx="15">
                  <c:v>2.5293245597868625</c:v>
                </c:pt>
              </c:numCache>
            </c:numRef>
          </c:val>
          <c:smooth val="0"/>
        </c:ser>
        <c:dLbls>
          <c:showLegendKey val="0"/>
          <c:showVal val="0"/>
          <c:showCatName val="0"/>
          <c:showSerName val="0"/>
          <c:showPercent val="0"/>
          <c:showBubbleSize val="0"/>
        </c:dLbls>
        <c:marker val="1"/>
        <c:smooth val="0"/>
        <c:axId val="503957928"/>
        <c:axId val="569364536"/>
      </c:lineChart>
      <c:catAx>
        <c:axId val="503957928"/>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69364536"/>
        <c:crosses val="autoZero"/>
        <c:auto val="1"/>
        <c:lblAlgn val="ctr"/>
        <c:lblOffset val="100"/>
        <c:noMultiLvlLbl val="0"/>
      </c:catAx>
      <c:valAx>
        <c:axId val="56936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03957928"/>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846221514232999E-2"/>
          <c:y val="5.1400554097404488E-2"/>
          <c:w val="0.89739861617121874"/>
          <c:h val="0.67579800524934386"/>
        </c:manualLayout>
      </c:layout>
      <c:barChart>
        <c:barDir val="col"/>
        <c:grouping val="stacked"/>
        <c:varyColors val="0"/>
        <c:ser>
          <c:idx val="0"/>
          <c:order val="0"/>
          <c:tx>
            <c:strRef>
              <c:f>Bezdarbs!$C$1</c:f>
              <c:strCache>
                <c:ptCount val="1"/>
                <c:pt idx="0">
                  <c:v>t.sk. ilgstošo bezdarbnieku skaits, tūkst.</c:v>
                </c:pt>
              </c:strCache>
            </c:strRef>
          </c:tx>
          <c:spPr>
            <a:solidFill>
              <a:schemeClr val="tx2">
                <a:lumMod val="50000"/>
              </a:schemeClr>
            </a:solidFill>
            <a:ln>
              <a:noFill/>
            </a:ln>
            <a:effectLst/>
          </c:spPr>
          <c:invertIfNegative val="0"/>
          <c:cat>
            <c:multiLvlStrRef>
              <c:f>Bezdarbs!$A$2:$B$88</c:f>
              <c:multiLvlStrCache>
                <c:ptCount val="8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lvl>
                <c:lvl>
                  <c:pt idx="0">
                    <c:v>2008</c:v>
                  </c:pt>
                  <c:pt idx="12">
                    <c:v>2009</c:v>
                  </c:pt>
                  <c:pt idx="24">
                    <c:v>2010</c:v>
                  </c:pt>
                  <c:pt idx="36">
                    <c:v>2011</c:v>
                  </c:pt>
                  <c:pt idx="48">
                    <c:v>2012</c:v>
                  </c:pt>
                  <c:pt idx="60">
                    <c:v>2013</c:v>
                  </c:pt>
                  <c:pt idx="72">
                    <c:v>2014</c:v>
                  </c:pt>
                  <c:pt idx="84">
                    <c:v>2015</c:v>
                  </c:pt>
                </c:lvl>
              </c:multiLvlStrCache>
            </c:multiLvlStrRef>
          </c:cat>
          <c:val>
            <c:numRef>
              <c:f>Bezdarbs!$C$2:$C$88</c:f>
              <c:numCache>
                <c:formatCode>0.0</c:formatCode>
                <c:ptCount val="87"/>
                <c:pt idx="0">
                  <c:v>8.4659999999999993</c:v>
                </c:pt>
                <c:pt idx="1">
                  <c:v>8.4659999999999993</c:v>
                </c:pt>
                <c:pt idx="2">
                  <c:v>8.4659999999999993</c:v>
                </c:pt>
                <c:pt idx="3">
                  <c:v>8.4659999999999993</c:v>
                </c:pt>
                <c:pt idx="4">
                  <c:v>8.4659999999999993</c:v>
                </c:pt>
                <c:pt idx="5">
                  <c:v>8.4659999999999993</c:v>
                </c:pt>
                <c:pt idx="6">
                  <c:v>8.4659999999999993</c:v>
                </c:pt>
                <c:pt idx="7">
                  <c:v>8.4659999999999993</c:v>
                </c:pt>
                <c:pt idx="8">
                  <c:v>8.2729999999999997</c:v>
                </c:pt>
                <c:pt idx="9">
                  <c:v>8.3239999999999998</c:v>
                </c:pt>
                <c:pt idx="10">
                  <c:v>8.3659999999999997</c:v>
                </c:pt>
                <c:pt idx="11">
                  <c:v>8.4659999999999993</c:v>
                </c:pt>
                <c:pt idx="12">
                  <c:v>8.8040000000000003</c:v>
                </c:pt>
                <c:pt idx="13">
                  <c:v>9.1270000000000007</c:v>
                </c:pt>
                <c:pt idx="14">
                  <c:v>9.5709999999999997</c:v>
                </c:pt>
                <c:pt idx="15">
                  <c:v>10.414999999999999</c:v>
                </c:pt>
                <c:pt idx="16">
                  <c:v>11.256</c:v>
                </c:pt>
                <c:pt idx="17">
                  <c:v>12.067</c:v>
                </c:pt>
                <c:pt idx="18">
                  <c:v>12.722</c:v>
                </c:pt>
                <c:pt idx="19">
                  <c:v>13.746</c:v>
                </c:pt>
                <c:pt idx="20">
                  <c:v>15.336</c:v>
                </c:pt>
                <c:pt idx="21">
                  <c:v>17.702000000000002</c:v>
                </c:pt>
                <c:pt idx="22">
                  <c:v>20.384</c:v>
                </c:pt>
                <c:pt idx="23">
                  <c:v>24.172000000000001</c:v>
                </c:pt>
                <c:pt idx="24">
                  <c:v>29.42</c:v>
                </c:pt>
                <c:pt idx="25">
                  <c:v>34.387</c:v>
                </c:pt>
                <c:pt idx="26">
                  <c:v>39.509</c:v>
                </c:pt>
                <c:pt idx="27">
                  <c:v>42.323</c:v>
                </c:pt>
                <c:pt idx="28">
                  <c:v>43.735999999999997</c:v>
                </c:pt>
                <c:pt idx="29">
                  <c:v>44.982999999999997</c:v>
                </c:pt>
                <c:pt idx="30">
                  <c:v>47.350999999999999</c:v>
                </c:pt>
                <c:pt idx="31">
                  <c:v>49.665999999999997</c:v>
                </c:pt>
                <c:pt idx="32">
                  <c:v>53.645000000000003</c:v>
                </c:pt>
                <c:pt idx="33">
                  <c:v>56.432000000000002</c:v>
                </c:pt>
                <c:pt idx="34">
                  <c:v>59.29</c:v>
                </c:pt>
                <c:pt idx="35">
                  <c:v>61.331000000000003</c:v>
                </c:pt>
                <c:pt idx="36">
                  <c:v>63.023000000000003</c:v>
                </c:pt>
                <c:pt idx="37">
                  <c:v>64.658000000000001</c:v>
                </c:pt>
                <c:pt idx="38">
                  <c:v>65.399000000000001</c:v>
                </c:pt>
                <c:pt idx="39">
                  <c:v>65.090999999999994</c:v>
                </c:pt>
                <c:pt idx="40">
                  <c:v>63.093000000000004</c:v>
                </c:pt>
                <c:pt idx="41">
                  <c:v>61.018000000000001</c:v>
                </c:pt>
                <c:pt idx="42">
                  <c:v>60.070999999999998</c:v>
                </c:pt>
                <c:pt idx="43">
                  <c:v>59.052</c:v>
                </c:pt>
                <c:pt idx="44">
                  <c:v>58.503</c:v>
                </c:pt>
                <c:pt idx="45">
                  <c:v>58.146999999999998</c:v>
                </c:pt>
                <c:pt idx="46">
                  <c:v>57.691000000000003</c:v>
                </c:pt>
                <c:pt idx="47">
                  <c:v>56.933999999999997</c:v>
                </c:pt>
                <c:pt idx="48">
                  <c:v>56.755000000000003</c:v>
                </c:pt>
                <c:pt idx="49">
                  <c:v>56.432000000000002</c:v>
                </c:pt>
                <c:pt idx="50">
                  <c:v>56.35</c:v>
                </c:pt>
                <c:pt idx="51">
                  <c:v>55.607999999999997</c:v>
                </c:pt>
                <c:pt idx="52">
                  <c:v>54</c:v>
                </c:pt>
                <c:pt idx="53">
                  <c:v>52.4</c:v>
                </c:pt>
                <c:pt idx="54">
                  <c:v>51</c:v>
                </c:pt>
                <c:pt idx="55">
                  <c:v>50</c:v>
                </c:pt>
                <c:pt idx="56">
                  <c:v>49.567</c:v>
                </c:pt>
                <c:pt idx="57">
                  <c:v>48.158999999999999</c:v>
                </c:pt>
                <c:pt idx="58">
                  <c:v>47.003999999999998</c:v>
                </c:pt>
                <c:pt idx="59">
                  <c:v>45.981000000000002</c:v>
                </c:pt>
                <c:pt idx="60">
                  <c:v>45.231999999999999</c:v>
                </c:pt>
                <c:pt idx="61">
                  <c:v>44.7</c:v>
                </c:pt>
                <c:pt idx="62">
                  <c:v>44.1</c:v>
                </c:pt>
                <c:pt idx="63">
                  <c:v>42.3</c:v>
                </c:pt>
                <c:pt idx="64">
                  <c:v>40.1</c:v>
                </c:pt>
                <c:pt idx="65">
                  <c:v>38.200000000000003</c:v>
                </c:pt>
                <c:pt idx="66">
                  <c:v>36.6</c:v>
                </c:pt>
                <c:pt idx="67">
                  <c:v>35.4</c:v>
                </c:pt>
                <c:pt idx="68">
                  <c:v>34.700000000000003</c:v>
                </c:pt>
                <c:pt idx="69">
                  <c:v>33.853000000000002</c:v>
                </c:pt>
                <c:pt idx="70">
                  <c:v>33.585999999999999</c:v>
                </c:pt>
                <c:pt idx="71" formatCode="General">
                  <c:v>33</c:v>
                </c:pt>
                <c:pt idx="72" formatCode="General">
                  <c:v>33.4</c:v>
                </c:pt>
                <c:pt idx="73" formatCode="General">
                  <c:v>33.4</c:v>
                </c:pt>
                <c:pt idx="74" formatCode="General">
                  <c:v>33.200000000000003</c:v>
                </c:pt>
                <c:pt idx="75" formatCode="General">
                  <c:v>32.4</c:v>
                </c:pt>
                <c:pt idx="76" formatCode="General">
                  <c:v>31.2</c:v>
                </c:pt>
                <c:pt idx="77" formatCode="General">
                  <c:v>29.9</c:v>
                </c:pt>
                <c:pt idx="78" formatCode="General">
                  <c:v>28.9</c:v>
                </c:pt>
                <c:pt idx="79" formatCode="General">
                  <c:v>28.2</c:v>
                </c:pt>
                <c:pt idx="80" formatCode="General">
                  <c:v>27.6</c:v>
                </c:pt>
                <c:pt idx="81" formatCode="General">
                  <c:v>27.3</c:v>
                </c:pt>
                <c:pt idx="82">
                  <c:v>27.5</c:v>
                </c:pt>
                <c:pt idx="83">
                  <c:v>27</c:v>
                </c:pt>
                <c:pt idx="84" formatCode="General">
                  <c:v>27.2</c:v>
                </c:pt>
                <c:pt idx="85">
                  <c:v>27.1</c:v>
                </c:pt>
                <c:pt idx="86">
                  <c:v>26.9</c:v>
                </c:pt>
              </c:numCache>
            </c:numRef>
          </c:val>
        </c:ser>
        <c:ser>
          <c:idx val="1"/>
          <c:order val="1"/>
          <c:tx>
            <c:strRef>
              <c:f>Bezdarbs!$D$1</c:f>
              <c:strCache>
                <c:ptCount val="1"/>
                <c:pt idx="0">
                  <c:v>reģistrēto bezdarbnieku skaits, tūkst.</c:v>
                </c:pt>
              </c:strCache>
            </c:strRef>
          </c:tx>
          <c:spPr>
            <a:solidFill>
              <a:srgbClr val="92D050"/>
            </a:solidFill>
            <a:ln>
              <a:noFill/>
            </a:ln>
            <a:effectLst/>
          </c:spPr>
          <c:invertIfNegative val="0"/>
          <c:cat>
            <c:multiLvlStrRef>
              <c:f>Bezdarbs!$A$2:$B$88</c:f>
              <c:multiLvlStrCache>
                <c:ptCount val="8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lvl>
                <c:lvl>
                  <c:pt idx="0">
                    <c:v>2008</c:v>
                  </c:pt>
                  <c:pt idx="12">
                    <c:v>2009</c:v>
                  </c:pt>
                  <c:pt idx="24">
                    <c:v>2010</c:v>
                  </c:pt>
                  <c:pt idx="36">
                    <c:v>2011</c:v>
                  </c:pt>
                  <c:pt idx="48">
                    <c:v>2012</c:v>
                  </c:pt>
                  <c:pt idx="60">
                    <c:v>2013</c:v>
                  </c:pt>
                  <c:pt idx="72">
                    <c:v>2014</c:v>
                  </c:pt>
                  <c:pt idx="84">
                    <c:v>2015</c:v>
                  </c:pt>
                </c:lvl>
              </c:multiLvlStrCache>
            </c:multiLvlStrRef>
          </c:cat>
          <c:val>
            <c:numRef>
              <c:f>Bezdarbs!$D$2:$D$88</c:f>
              <c:numCache>
                <c:formatCode>0.0</c:formatCode>
                <c:ptCount val="87"/>
                <c:pt idx="0">
                  <c:v>44.859000000000002</c:v>
                </c:pt>
                <c:pt idx="1">
                  <c:v>44.963000000000001</c:v>
                </c:pt>
                <c:pt idx="2">
                  <c:v>44.339999999999996</c:v>
                </c:pt>
                <c:pt idx="3">
                  <c:v>44.430999999999997</c:v>
                </c:pt>
                <c:pt idx="4">
                  <c:v>43.747</c:v>
                </c:pt>
                <c:pt idx="5">
                  <c:v>45.545999999999999</c:v>
                </c:pt>
                <c:pt idx="6">
                  <c:v>46.97</c:v>
                </c:pt>
                <c:pt idx="7">
                  <c:v>47.866999999999997</c:v>
                </c:pt>
                <c:pt idx="8">
                  <c:v>49.371000000000002</c:v>
                </c:pt>
                <c:pt idx="9">
                  <c:v>52.725000000000001</c:v>
                </c:pt>
                <c:pt idx="10">
                  <c:v>58.698999999999998</c:v>
                </c:pt>
                <c:pt idx="11">
                  <c:v>67.968999999999994</c:v>
                </c:pt>
                <c:pt idx="12">
                  <c:v>81.632000000000005</c:v>
                </c:pt>
                <c:pt idx="13">
                  <c:v>94.603999999999999</c:v>
                </c:pt>
                <c:pt idx="14">
                  <c:v>107.197</c:v>
                </c:pt>
                <c:pt idx="15">
                  <c:v>112.712</c:v>
                </c:pt>
                <c:pt idx="16">
                  <c:v>115.339</c:v>
                </c:pt>
                <c:pt idx="17">
                  <c:v>117.202</c:v>
                </c:pt>
                <c:pt idx="18">
                  <c:v>119.797</c:v>
                </c:pt>
                <c:pt idx="19">
                  <c:v>123.84</c:v>
                </c:pt>
                <c:pt idx="20">
                  <c:v>132.41800000000001</c:v>
                </c:pt>
                <c:pt idx="21">
                  <c:v>140.19499999999999</c:v>
                </c:pt>
                <c:pt idx="22">
                  <c:v>148.852</c:v>
                </c:pt>
                <c:pt idx="23">
                  <c:v>155.06299999999999</c:v>
                </c:pt>
                <c:pt idx="24">
                  <c:v>156.875</c:v>
                </c:pt>
                <c:pt idx="25">
                  <c:v>157.666</c:v>
                </c:pt>
                <c:pt idx="26">
                  <c:v>154.744</c:v>
                </c:pt>
                <c:pt idx="27">
                  <c:v>147.55799999999999</c:v>
                </c:pt>
                <c:pt idx="28">
                  <c:v>139.851</c:v>
                </c:pt>
                <c:pt idx="29">
                  <c:v>131.89599999999999</c:v>
                </c:pt>
                <c:pt idx="30">
                  <c:v>125.95</c:v>
                </c:pt>
                <c:pt idx="31">
                  <c:v>120.28</c:v>
                </c:pt>
                <c:pt idx="32">
                  <c:v>111.745</c:v>
                </c:pt>
                <c:pt idx="33">
                  <c:v>106.065</c:v>
                </c:pt>
                <c:pt idx="34">
                  <c:v>102.526</c:v>
                </c:pt>
                <c:pt idx="35">
                  <c:v>101.13200000000001</c:v>
                </c:pt>
                <c:pt idx="36">
                  <c:v>101.52800000000001</c:v>
                </c:pt>
                <c:pt idx="37">
                  <c:v>100.22199999999999</c:v>
                </c:pt>
                <c:pt idx="38">
                  <c:v>98.055000000000007</c:v>
                </c:pt>
                <c:pt idx="39">
                  <c:v>92.766000000000005</c:v>
                </c:pt>
                <c:pt idx="40">
                  <c:v>86.507000000000005</c:v>
                </c:pt>
                <c:pt idx="41">
                  <c:v>81.41</c:v>
                </c:pt>
                <c:pt idx="42">
                  <c:v>77.566999999999993</c:v>
                </c:pt>
                <c:pt idx="43">
                  <c:v>75.123000000000005</c:v>
                </c:pt>
                <c:pt idx="44">
                  <c:v>73.156000000000006</c:v>
                </c:pt>
                <c:pt idx="45">
                  <c:v>72.394000000000005</c:v>
                </c:pt>
                <c:pt idx="46">
                  <c:v>72.549000000000007</c:v>
                </c:pt>
                <c:pt idx="47">
                  <c:v>73.361999999999995</c:v>
                </c:pt>
                <c:pt idx="48">
                  <c:v>75.819999999999993</c:v>
                </c:pt>
                <c:pt idx="49">
                  <c:v>76.980999999999995</c:v>
                </c:pt>
                <c:pt idx="50">
                  <c:v>75.808000000000007</c:v>
                </c:pt>
                <c:pt idx="51">
                  <c:v>72.174999999999997</c:v>
                </c:pt>
                <c:pt idx="52">
                  <c:v>68</c:v>
                </c:pt>
                <c:pt idx="53">
                  <c:v>65.2</c:v>
                </c:pt>
                <c:pt idx="54">
                  <c:v>63.7</c:v>
                </c:pt>
                <c:pt idx="55">
                  <c:v>61.5</c:v>
                </c:pt>
                <c:pt idx="56">
                  <c:v>58.755000000000003</c:v>
                </c:pt>
                <c:pt idx="57">
                  <c:v>57.511000000000003</c:v>
                </c:pt>
                <c:pt idx="58">
                  <c:v>57.41</c:v>
                </c:pt>
                <c:pt idx="59">
                  <c:v>58.070999999999998</c:v>
                </c:pt>
                <c:pt idx="60">
                  <c:v>62.256</c:v>
                </c:pt>
                <c:pt idx="61">
                  <c:v>62.986999999999995</c:v>
                </c:pt>
                <c:pt idx="62">
                  <c:v>62.963000000000001</c:v>
                </c:pt>
                <c:pt idx="63">
                  <c:v>60.460000000000008</c:v>
                </c:pt>
                <c:pt idx="64">
                  <c:v>57.669000000000004</c:v>
                </c:pt>
                <c:pt idx="65">
                  <c:v>56.5</c:v>
                </c:pt>
                <c:pt idx="66">
                  <c:v>56.4</c:v>
                </c:pt>
                <c:pt idx="67">
                  <c:v>55.8</c:v>
                </c:pt>
                <c:pt idx="68">
                  <c:v>54.7</c:v>
                </c:pt>
                <c:pt idx="69">
                  <c:v>55.762999999999998</c:v>
                </c:pt>
                <c:pt idx="70">
                  <c:v>58.033000000000001</c:v>
                </c:pt>
                <c:pt idx="71">
                  <c:v>60.3</c:v>
                </c:pt>
                <c:pt idx="72">
                  <c:v>63.3</c:v>
                </c:pt>
                <c:pt idx="73">
                  <c:v>64.3</c:v>
                </c:pt>
                <c:pt idx="74" formatCode="General">
                  <c:v>63.3</c:v>
                </c:pt>
                <c:pt idx="75" formatCode="General">
                  <c:v>59.6</c:v>
                </c:pt>
                <c:pt idx="76" formatCode="General">
                  <c:v>56.5</c:v>
                </c:pt>
                <c:pt idx="77" formatCode="General">
                  <c:v>55.4</c:v>
                </c:pt>
                <c:pt idx="78" formatCode="General">
                  <c:v>54.3</c:v>
                </c:pt>
                <c:pt idx="79" formatCode="General">
                  <c:v>52.7</c:v>
                </c:pt>
                <c:pt idx="80" formatCode="General">
                  <c:v>51.5</c:v>
                </c:pt>
                <c:pt idx="81" formatCode="General">
                  <c:v>51.8</c:v>
                </c:pt>
                <c:pt idx="82">
                  <c:v>52.3</c:v>
                </c:pt>
                <c:pt idx="83">
                  <c:v>55</c:v>
                </c:pt>
                <c:pt idx="84">
                  <c:v>58</c:v>
                </c:pt>
                <c:pt idx="85" formatCode="General">
                  <c:v>60.7</c:v>
                </c:pt>
                <c:pt idx="86" formatCode="General">
                  <c:v>59.7</c:v>
                </c:pt>
              </c:numCache>
            </c:numRef>
          </c:val>
        </c:ser>
        <c:dLbls>
          <c:showLegendKey val="0"/>
          <c:showVal val="0"/>
          <c:showCatName val="0"/>
          <c:showSerName val="0"/>
          <c:showPercent val="0"/>
          <c:showBubbleSize val="0"/>
        </c:dLbls>
        <c:gapWidth val="32"/>
        <c:overlap val="100"/>
        <c:axId val="514270312"/>
        <c:axId val="578314936"/>
      </c:barChart>
      <c:lineChart>
        <c:grouping val="standard"/>
        <c:varyColors val="0"/>
        <c:ser>
          <c:idx val="2"/>
          <c:order val="2"/>
          <c:tx>
            <c:strRef>
              <c:f>Bezdarbs!$E$1</c:f>
              <c:strCache>
                <c:ptCount val="1"/>
                <c:pt idx="0">
                  <c:v>reģistrētais bezdarba līmenis, % (labā ass)</c:v>
                </c:pt>
              </c:strCache>
            </c:strRef>
          </c:tx>
          <c:spPr>
            <a:ln w="28575" cap="rnd">
              <a:solidFill>
                <a:schemeClr val="tx1"/>
              </a:solidFill>
              <a:prstDash val="solid"/>
              <a:round/>
            </a:ln>
            <a:effectLst/>
          </c:spPr>
          <c:marker>
            <c:symbol val="none"/>
          </c:marker>
          <c:dLbls>
            <c:dLbl>
              <c:idx val="85"/>
              <c:layout>
                <c:manualLayout>
                  <c:x val="-1.3333333333333456E-2"/>
                  <c:y val="-1.2232415902140673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a:t>9,2</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Bezdarbs!$A$2:$B$88</c:f>
              <c:multiLvlStrCache>
                <c:ptCount val="8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lvl>
                <c:lvl>
                  <c:pt idx="0">
                    <c:v>2008</c:v>
                  </c:pt>
                  <c:pt idx="12">
                    <c:v>2009</c:v>
                  </c:pt>
                  <c:pt idx="24">
                    <c:v>2010</c:v>
                  </c:pt>
                  <c:pt idx="36">
                    <c:v>2011</c:v>
                  </c:pt>
                  <c:pt idx="48">
                    <c:v>2012</c:v>
                  </c:pt>
                  <c:pt idx="60">
                    <c:v>2013</c:v>
                  </c:pt>
                  <c:pt idx="72">
                    <c:v>2014</c:v>
                  </c:pt>
                  <c:pt idx="84">
                    <c:v>2015</c:v>
                  </c:pt>
                </c:lvl>
              </c:multiLvlStrCache>
            </c:multiLvlStrRef>
          </c:cat>
          <c:val>
            <c:numRef>
              <c:f>Bezdarbs!$E$2:$E$87</c:f>
              <c:numCache>
                <c:formatCode>0.0</c:formatCode>
                <c:ptCount val="86"/>
                <c:pt idx="0">
                  <c:v>5</c:v>
                </c:pt>
                <c:pt idx="1">
                  <c:v>5</c:v>
                </c:pt>
                <c:pt idx="2">
                  <c:v>4.9000000000000004</c:v>
                </c:pt>
                <c:pt idx="3">
                  <c:v>4.8</c:v>
                </c:pt>
                <c:pt idx="4">
                  <c:v>4.8</c:v>
                </c:pt>
                <c:pt idx="5">
                  <c:v>4.9000000000000004</c:v>
                </c:pt>
                <c:pt idx="6">
                  <c:v>5.0999999999999996</c:v>
                </c:pt>
                <c:pt idx="7">
                  <c:v>5.2</c:v>
                </c:pt>
                <c:pt idx="8">
                  <c:v>5.3</c:v>
                </c:pt>
                <c:pt idx="9">
                  <c:v>5.6</c:v>
                </c:pt>
                <c:pt idx="10">
                  <c:v>6.1</c:v>
                </c:pt>
                <c:pt idx="11">
                  <c:v>7</c:v>
                </c:pt>
                <c:pt idx="12">
                  <c:v>8.3000000000000007</c:v>
                </c:pt>
                <c:pt idx="13">
                  <c:v>9.5</c:v>
                </c:pt>
                <c:pt idx="14">
                  <c:v>10.7</c:v>
                </c:pt>
                <c:pt idx="15">
                  <c:v>11</c:v>
                </c:pt>
                <c:pt idx="16">
                  <c:v>11.3</c:v>
                </c:pt>
                <c:pt idx="17">
                  <c:v>11.5</c:v>
                </c:pt>
                <c:pt idx="18">
                  <c:v>11.8</c:v>
                </c:pt>
                <c:pt idx="19">
                  <c:v>12.3</c:v>
                </c:pt>
                <c:pt idx="20">
                  <c:v>13.2</c:v>
                </c:pt>
                <c:pt idx="21">
                  <c:v>14.1</c:v>
                </c:pt>
                <c:pt idx="22">
                  <c:v>15.1</c:v>
                </c:pt>
                <c:pt idx="23">
                  <c:v>16</c:v>
                </c:pt>
                <c:pt idx="24">
                  <c:v>16.600000000000001</c:v>
                </c:pt>
                <c:pt idx="25">
                  <c:v>17.100000000000001</c:v>
                </c:pt>
                <c:pt idx="26">
                  <c:v>17.3</c:v>
                </c:pt>
                <c:pt idx="27">
                  <c:v>16.7</c:v>
                </c:pt>
                <c:pt idx="28">
                  <c:v>16.2</c:v>
                </c:pt>
                <c:pt idx="29">
                  <c:v>15.6</c:v>
                </c:pt>
                <c:pt idx="30">
                  <c:v>15.3</c:v>
                </c:pt>
                <c:pt idx="31">
                  <c:v>15</c:v>
                </c:pt>
                <c:pt idx="32">
                  <c:v>14.6</c:v>
                </c:pt>
                <c:pt idx="33">
                  <c:v>14.3</c:v>
                </c:pt>
                <c:pt idx="34">
                  <c:v>14.3</c:v>
                </c:pt>
                <c:pt idx="35">
                  <c:v>14.3</c:v>
                </c:pt>
                <c:pt idx="36">
                  <c:v>14.5</c:v>
                </c:pt>
                <c:pt idx="37">
                  <c:v>14.5</c:v>
                </c:pt>
                <c:pt idx="38">
                  <c:v>14.4</c:v>
                </c:pt>
                <c:pt idx="39">
                  <c:v>13.9</c:v>
                </c:pt>
                <c:pt idx="40">
                  <c:v>13.2</c:v>
                </c:pt>
                <c:pt idx="41">
                  <c:v>12.6</c:v>
                </c:pt>
                <c:pt idx="42">
                  <c:v>12.1</c:v>
                </c:pt>
                <c:pt idx="43">
                  <c:v>11.8</c:v>
                </c:pt>
                <c:pt idx="44">
                  <c:v>11.6</c:v>
                </c:pt>
                <c:pt idx="45">
                  <c:v>11.5</c:v>
                </c:pt>
                <c:pt idx="46">
                  <c:v>11.5</c:v>
                </c:pt>
                <c:pt idx="47">
                  <c:v>11.5</c:v>
                </c:pt>
                <c:pt idx="48">
                  <c:v>11.7</c:v>
                </c:pt>
                <c:pt idx="49">
                  <c:v>11.8</c:v>
                </c:pt>
                <c:pt idx="50">
                  <c:v>11.7</c:v>
                </c:pt>
                <c:pt idx="51">
                  <c:v>12.9</c:v>
                </c:pt>
                <c:pt idx="52">
                  <c:v>12.3</c:v>
                </c:pt>
                <c:pt idx="53">
                  <c:v>11.9</c:v>
                </c:pt>
                <c:pt idx="54">
                  <c:v>11.6</c:v>
                </c:pt>
                <c:pt idx="55">
                  <c:v>11.3</c:v>
                </c:pt>
                <c:pt idx="56">
                  <c:v>11</c:v>
                </c:pt>
                <c:pt idx="57">
                  <c:v>10.7</c:v>
                </c:pt>
                <c:pt idx="58">
                  <c:v>10.6</c:v>
                </c:pt>
                <c:pt idx="59">
                  <c:v>10.5</c:v>
                </c:pt>
                <c:pt idx="60">
                  <c:v>10.9</c:v>
                </c:pt>
                <c:pt idx="61">
                  <c:v>10.9</c:v>
                </c:pt>
                <c:pt idx="62">
                  <c:v>10.8</c:v>
                </c:pt>
                <c:pt idx="63">
                  <c:v>10.4</c:v>
                </c:pt>
                <c:pt idx="64">
                  <c:v>9.9</c:v>
                </c:pt>
                <c:pt idx="65">
                  <c:v>9.6</c:v>
                </c:pt>
                <c:pt idx="66">
                  <c:v>9.5</c:v>
                </c:pt>
                <c:pt idx="67">
                  <c:v>9.3000000000000007</c:v>
                </c:pt>
                <c:pt idx="68">
                  <c:v>9.1</c:v>
                </c:pt>
                <c:pt idx="69" formatCode="General">
                  <c:v>9.1</c:v>
                </c:pt>
                <c:pt idx="70" formatCode="General">
                  <c:v>9.3000000000000007</c:v>
                </c:pt>
                <c:pt idx="71" formatCode="General">
                  <c:v>9.5</c:v>
                </c:pt>
                <c:pt idx="72" formatCode="General">
                  <c:v>9.8000000000000007</c:v>
                </c:pt>
                <c:pt idx="73" formatCode="General">
                  <c:v>9.9</c:v>
                </c:pt>
                <c:pt idx="74" formatCode="General">
                  <c:v>9.8000000000000007</c:v>
                </c:pt>
                <c:pt idx="75" formatCode="General">
                  <c:v>9.6</c:v>
                </c:pt>
                <c:pt idx="76" formatCode="General">
                  <c:v>9.1</c:v>
                </c:pt>
                <c:pt idx="77" formatCode="General">
                  <c:v>8.9</c:v>
                </c:pt>
                <c:pt idx="78" formatCode="General">
                  <c:v>8.6</c:v>
                </c:pt>
                <c:pt idx="79" formatCode="General">
                  <c:v>8.4</c:v>
                </c:pt>
                <c:pt idx="80" formatCode="General">
                  <c:v>8.1999999999999993</c:v>
                </c:pt>
                <c:pt idx="81" formatCode="General">
                  <c:v>8.1999999999999993</c:v>
                </c:pt>
                <c:pt idx="82" formatCode="General">
                  <c:v>8.3000000000000007</c:v>
                </c:pt>
                <c:pt idx="83" formatCode="General">
                  <c:v>8.5</c:v>
                </c:pt>
                <c:pt idx="84">
                  <c:v>9</c:v>
                </c:pt>
                <c:pt idx="85">
                  <c:v>9.1</c:v>
                </c:pt>
              </c:numCache>
            </c:numRef>
          </c:val>
          <c:smooth val="0"/>
        </c:ser>
        <c:ser>
          <c:idx val="3"/>
          <c:order val="3"/>
          <c:tx>
            <c:strRef>
              <c:f>Bezdarbs!$F$1</c:f>
              <c:strCache>
                <c:ptCount val="1"/>
                <c:pt idx="0">
                  <c:v>darba meklētāju īpatsvars, % (labā ass)</c:v>
                </c:pt>
              </c:strCache>
            </c:strRef>
          </c:tx>
          <c:spPr>
            <a:ln w="28575" cap="rnd">
              <a:solidFill>
                <a:schemeClr val="tx1"/>
              </a:solidFill>
              <a:prstDash val="sysDash"/>
              <a:round/>
            </a:ln>
            <a:effectLst/>
          </c:spPr>
          <c:marker>
            <c:symbol val="none"/>
          </c:marker>
          <c:dLbls>
            <c:dLbl>
              <c:idx val="25"/>
              <c:layout>
                <c:manualLayout>
                  <c:x val="-3.5001370255415262E-2"/>
                  <c:y val="-2.48888888888888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4"/>
              <c:layout>
                <c:manualLayout>
                  <c:x val="9.1666666666666785E-2"/>
                  <c:y val="6.1162079510703364E-3"/>
                </c:manualLayout>
              </c:layout>
              <c:tx>
                <c:rich>
                  <a:bodyPr/>
                  <a:lstStyle/>
                  <a:p>
                    <a:r>
                      <a:rPr lang="en-US"/>
                      <a:t>10,2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Bezdarbs!$A$2:$B$88</c:f>
              <c:multiLvlStrCache>
                <c:ptCount val="87"/>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lvl>
                <c:lvl>
                  <c:pt idx="0">
                    <c:v>2008</c:v>
                  </c:pt>
                  <c:pt idx="12">
                    <c:v>2009</c:v>
                  </c:pt>
                  <c:pt idx="24">
                    <c:v>2010</c:v>
                  </c:pt>
                  <c:pt idx="36">
                    <c:v>2011</c:v>
                  </c:pt>
                  <c:pt idx="48">
                    <c:v>2012</c:v>
                  </c:pt>
                  <c:pt idx="60">
                    <c:v>2013</c:v>
                  </c:pt>
                  <c:pt idx="72">
                    <c:v>2014</c:v>
                  </c:pt>
                  <c:pt idx="84">
                    <c:v>2015</c:v>
                  </c:pt>
                </c:lvl>
              </c:multiLvlStrCache>
            </c:multiLvlStrRef>
          </c:cat>
          <c:val>
            <c:numRef>
              <c:f>Bezdarbs!$F$2:$F$88</c:f>
              <c:numCache>
                <c:formatCode>0.0</c:formatCode>
                <c:ptCount val="87"/>
                <c:pt idx="0">
                  <c:v>6.7</c:v>
                </c:pt>
                <c:pt idx="1">
                  <c:v>6.7</c:v>
                </c:pt>
                <c:pt idx="2">
                  <c:v>6.7</c:v>
                </c:pt>
                <c:pt idx="3">
                  <c:v>6.6</c:v>
                </c:pt>
                <c:pt idx="4">
                  <c:v>6.6</c:v>
                </c:pt>
                <c:pt idx="5">
                  <c:v>6.6</c:v>
                </c:pt>
                <c:pt idx="6">
                  <c:v>7.4</c:v>
                </c:pt>
                <c:pt idx="7">
                  <c:v>7.4</c:v>
                </c:pt>
                <c:pt idx="8">
                  <c:v>7.4</c:v>
                </c:pt>
                <c:pt idx="9">
                  <c:v>10.199999999999999</c:v>
                </c:pt>
                <c:pt idx="10">
                  <c:v>10.199999999999999</c:v>
                </c:pt>
                <c:pt idx="11">
                  <c:v>10.199999999999999</c:v>
                </c:pt>
                <c:pt idx="12">
                  <c:v>14.2</c:v>
                </c:pt>
                <c:pt idx="13">
                  <c:v>14.2</c:v>
                </c:pt>
                <c:pt idx="14">
                  <c:v>14.2</c:v>
                </c:pt>
                <c:pt idx="15">
                  <c:v>17.2</c:v>
                </c:pt>
                <c:pt idx="16">
                  <c:v>17.2</c:v>
                </c:pt>
                <c:pt idx="17">
                  <c:v>17.2</c:v>
                </c:pt>
                <c:pt idx="18">
                  <c:v>18.8</c:v>
                </c:pt>
                <c:pt idx="19">
                  <c:v>18.8</c:v>
                </c:pt>
                <c:pt idx="20">
                  <c:v>18.8</c:v>
                </c:pt>
                <c:pt idx="21">
                  <c:v>19.899999999999999</c:v>
                </c:pt>
                <c:pt idx="22">
                  <c:v>19.899999999999999</c:v>
                </c:pt>
                <c:pt idx="23">
                  <c:v>19.899999999999999</c:v>
                </c:pt>
                <c:pt idx="24">
                  <c:v>21.3</c:v>
                </c:pt>
                <c:pt idx="25">
                  <c:v>21.3</c:v>
                </c:pt>
                <c:pt idx="26">
                  <c:v>21.3</c:v>
                </c:pt>
                <c:pt idx="27">
                  <c:v>20.399999999999999</c:v>
                </c:pt>
                <c:pt idx="28">
                  <c:v>20.399999999999999</c:v>
                </c:pt>
                <c:pt idx="29">
                  <c:v>20.399999999999999</c:v>
                </c:pt>
                <c:pt idx="30">
                  <c:v>18.5</c:v>
                </c:pt>
                <c:pt idx="31">
                  <c:v>18.5</c:v>
                </c:pt>
                <c:pt idx="32">
                  <c:v>18.5</c:v>
                </c:pt>
                <c:pt idx="33">
                  <c:v>17.8</c:v>
                </c:pt>
                <c:pt idx="34">
                  <c:v>17.8</c:v>
                </c:pt>
                <c:pt idx="35">
                  <c:v>17.8</c:v>
                </c:pt>
                <c:pt idx="36">
                  <c:v>17.600000000000001</c:v>
                </c:pt>
                <c:pt idx="37">
                  <c:v>17.600000000000001</c:v>
                </c:pt>
                <c:pt idx="38">
                  <c:v>17.600000000000001</c:v>
                </c:pt>
                <c:pt idx="39">
                  <c:v>17.100000000000001</c:v>
                </c:pt>
                <c:pt idx="40">
                  <c:v>17.100000000000001</c:v>
                </c:pt>
                <c:pt idx="41">
                  <c:v>17.100000000000001</c:v>
                </c:pt>
                <c:pt idx="42">
                  <c:v>15.1</c:v>
                </c:pt>
                <c:pt idx="43">
                  <c:v>15.1</c:v>
                </c:pt>
                <c:pt idx="44">
                  <c:v>15.1</c:v>
                </c:pt>
                <c:pt idx="45">
                  <c:v>15</c:v>
                </c:pt>
                <c:pt idx="46">
                  <c:v>15</c:v>
                </c:pt>
                <c:pt idx="47">
                  <c:v>15</c:v>
                </c:pt>
                <c:pt idx="48">
                  <c:v>16.3</c:v>
                </c:pt>
                <c:pt idx="49">
                  <c:v>16.3</c:v>
                </c:pt>
                <c:pt idx="50">
                  <c:v>16.3</c:v>
                </c:pt>
                <c:pt idx="51" formatCode="General">
                  <c:v>16.3</c:v>
                </c:pt>
                <c:pt idx="52" formatCode="General">
                  <c:v>16.3</c:v>
                </c:pt>
                <c:pt idx="53" formatCode="General">
                  <c:v>16.3</c:v>
                </c:pt>
                <c:pt idx="54">
                  <c:v>13.7</c:v>
                </c:pt>
                <c:pt idx="55">
                  <c:v>13.7</c:v>
                </c:pt>
                <c:pt idx="56">
                  <c:v>13.7</c:v>
                </c:pt>
                <c:pt idx="57">
                  <c:v>13.9</c:v>
                </c:pt>
                <c:pt idx="58">
                  <c:v>13.9</c:v>
                </c:pt>
                <c:pt idx="59">
                  <c:v>13.9</c:v>
                </c:pt>
                <c:pt idx="60">
                  <c:v>13</c:v>
                </c:pt>
                <c:pt idx="61">
                  <c:v>13</c:v>
                </c:pt>
                <c:pt idx="62">
                  <c:v>13</c:v>
                </c:pt>
                <c:pt idx="63">
                  <c:v>11.4</c:v>
                </c:pt>
                <c:pt idx="64">
                  <c:v>11.4</c:v>
                </c:pt>
                <c:pt idx="65">
                  <c:v>11.4</c:v>
                </c:pt>
                <c:pt idx="66">
                  <c:v>11.8</c:v>
                </c:pt>
                <c:pt idx="67">
                  <c:v>11.8</c:v>
                </c:pt>
                <c:pt idx="68">
                  <c:v>11.8</c:v>
                </c:pt>
                <c:pt idx="69" formatCode="General">
                  <c:v>11.3</c:v>
                </c:pt>
                <c:pt idx="70" formatCode="General">
                  <c:v>11.3</c:v>
                </c:pt>
                <c:pt idx="71" formatCode="General">
                  <c:v>11.3</c:v>
                </c:pt>
                <c:pt idx="72" formatCode="General">
                  <c:v>11.9</c:v>
                </c:pt>
                <c:pt idx="73" formatCode="General">
                  <c:v>11.9</c:v>
                </c:pt>
                <c:pt idx="74" formatCode="General">
                  <c:v>11.9</c:v>
                </c:pt>
                <c:pt idx="75" formatCode="General">
                  <c:v>10.7</c:v>
                </c:pt>
                <c:pt idx="76" formatCode="General">
                  <c:v>10.7</c:v>
                </c:pt>
                <c:pt idx="77" formatCode="General">
                  <c:v>10.7</c:v>
                </c:pt>
                <c:pt idx="78" formatCode="General">
                  <c:v>10.6</c:v>
                </c:pt>
                <c:pt idx="79" formatCode="General">
                  <c:v>10.6</c:v>
                </c:pt>
                <c:pt idx="80" formatCode="General">
                  <c:v>10.6</c:v>
                </c:pt>
                <c:pt idx="81" formatCode="General">
                  <c:v>10.199999999999999</c:v>
                </c:pt>
                <c:pt idx="82" formatCode="General">
                  <c:v>10.199999999999999</c:v>
                </c:pt>
                <c:pt idx="83" formatCode="General">
                  <c:v>10.199999999999999</c:v>
                </c:pt>
                <c:pt idx="84" formatCode="General">
                  <c:v>10.199999999999999</c:v>
                </c:pt>
                <c:pt idx="85" formatCode="General">
                  <c:v>10.199999999999999</c:v>
                </c:pt>
                <c:pt idx="86" formatCode="General">
                  <c:v>10.199999999999999</c:v>
                </c:pt>
              </c:numCache>
            </c:numRef>
          </c:val>
          <c:smooth val="0"/>
        </c:ser>
        <c:dLbls>
          <c:showLegendKey val="0"/>
          <c:showVal val="0"/>
          <c:showCatName val="0"/>
          <c:showSerName val="0"/>
          <c:showPercent val="0"/>
          <c:showBubbleSize val="0"/>
        </c:dLbls>
        <c:marker val="1"/>
        <c:smooth val="0"/>
        <c:axId val="578315720"/>
        <c:axId val="578315328"/>
      </c:lineChart>
      <c:catAx>
        <c:axId val="5142703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8314936"/>
        <c:crosses val="autoZero"/>
        <c:auto val="1"/>
        <c:lblAlgn val="ctr"/>
        <c:lblOffset val="100"/>
        <c:noMultiLvlLbl val="0"/>
      </c:catAx>
      <c:valAx>
        <c:axId val="578314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14270312"/>
        <c:crosses val="autoZero"/>
        <c:crossBetween val="between"/>
      </c:valAx>
      <c:valAx>
        <c:axId val="578315328"/>
        <c:scaling>
          <c:orientation val="minMax"/>
          <c:max val="22"/>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8315720"/>
        <c:crosses val="max"/>
        <c:crossBetween val="between"/>
        <c:majorUnit val="4"/>
      </c:valAx>
      <c:catAx>
        <c:axId val="578315720"/>
        <c:scaling>
          <c:orientation val="minMax"/>
        </c:scaling>
        <c:delete val="1"/>
        <c:axPos val="b"/>
        <c:numFmt formatCode="General" sourceLinked="1"/>
        <c:majorTickMark val="none"/>
        <c:minorTickMark val="none"/>
        <c:tickLblPos val="nextTo"/>
        <c:crossAx val="57831532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767408421773358E-2"/>
          <c:y val="1.9607843137254902E-2"/>
          <c:w val="0.91772534520141502"/>
          <c:h val="0.75222170758067008"/>
        </c:manualLayout>
      </c:layout>
      <c:barChart>
        <c:barDir val="col"/>
        <c:grouping val="clustered"/>
        <c:varyColors val="0"/>
        <c:ser>
          <c:idx val="1"/>
          <c:order val="1"/>
          <c:tx>
            <c:v>reālā alga, PCI deflators</c:v>
          </c:tx>
          <c:spPr>
            <a:solidFill>
              <a:schemeClr val="accent3"/>
            </a:solidFill>
            <a:ln>
              <a:noFill/>
            </a:ln>
          </c:spPr>
          <c:invertIfNegative val="0"/>
          <c:cat>
            <c:multiLvlStrRef>
              <c:f>[1]!WAGE_TIME</c:f>
              <c:multiLvlStrCache>
                <c:ptCount val="32"/>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lvl>
                <c:lvl>
                  <c:pt idx="0">
                    <c:v>2007</c:v>
                  </c:pt>
                  <c:pt idx="4">
                    <c:v>2008</c:v>
                  </c:pt>
                  <c:pt idx="8">
                    <c:v>2009</c:v>
                  </c:pt>
                  <c:pt idx="12">
                    <c:v>2010</c:v>
                  </c:pt>
                  <c:pt idx="16">
                    <c:v>2011</c:v>
                  </c:pt>
                  <c:pt idx="20">
                    <c:v>2012</c:v>
                  </c:pt>
                  <c:pt idx="24">
                    <c:v>2013</c:v>
                  </c:pt>
                  <c:pt idx="28">
                    <c:v>2014</c:v>
                  </c:pt>
                </c:lvl>
              </c:multiLvlStrCache>
            </c:multiLvlStrRef>
          </c:cat>
          <c:val>
            <c:numRef>
              <c:f>[1]!WAGE_REAL</c:f>
              <c:numCache>
                <c:formatCode>0.0</c:formatCode>
                <c:ptCount val="32"/>
                <c:pt idx="0">
                  <c:v>22.176522395505515</c:v>
                </c:pt>
                <c:pt idx="1">
                  <c:v>21.873942321749862</c:v>
                </c:pt>
                <c:pt idx="2">
                  <c:v>20.483892442602137</c:v>
                </c:pt>
                <c:pt idx="3">
                  <c:v>14.234565535976508</c:v>
                </c:pt>
                <c:pt idx="4">
                  <c:v>10.048269276947241</c:v>
                </c:pt>
                <c:pt idx="5">
                  <c:v>5.1460978378744304</c:v>
                </c:pt>
                <c:pt idx="6">
                  <c:v>4.1144999176521369</c:v>
                </c:pt>
                <c:pt idx="7">
                  <c:v>4.6230906111022207E-2</c:v>
                </c:pt>
                <c:pt idx="8">
                  <c:v>-5.045298523030306</c:v>
                </c:pt>
                <c:pt idx="9">
                  <c:v>-5.2070784512015962</c:v>
                </c:pt>
                <c:pt idx="10">
                  <c:v>-7.8319111558961101</c:v>
                </c:pt>
                <c:pt idx="11">
                  <c:v>-11.134673244851424</c:v>
                </c:pt>
                <c:pt idx="12">
                  <c:v>-4.6169847011668264</c:v>
                </c:pt>
                <c:pt idx="13">
                  <c:v>-4.2631530004036078</c:v>
                </c:pt>
                <c:pt idx="14">
                  <c:v>-1.6772276997114144</c:v>
                </c:pt>
                <c:pt idx="15">
                  <c:v>1.5144069470245158</c:v>
                </c:pt>
                <c:pt idx="16">
                  <c:v>0.30255862175443404</c:v>
                </c:pt>
                <c:pt idx="17">
                  <c:v>-0.36797698201789242</c:v>
                </c:pt>
                <c:pt idx="18">
                  <c:v>-0.26232499071897619</c:v>
                </c:pt>
                <c:pt idx="19">
                  <c:v>0.32634286216468578</c:v>
                </c:pt>
                <c:pt idx="20">
                  <c:v>0.18710942372428541</c:v>
                </c:pt>
                <c:pt idx="21">
                  <c:v>1.4266721012226258</c:v>
                </c:pt>
                <c:pt idx="22">
                  <c:v>1.7213214287157719</c:v>
                </c:pt>
                <c:pt idx="23">
                  <c:v>2.3471479761852487</c:v>
                </c:pt>
                <c:pt idx="24">
                  <c:v>3.4498681894769456</c:v>
                </c:pt>
                <c:pt idx="25">
                  <c:v>4.6930715791693389</c:v>
                </c:pt>
                <c:pt idx="26">
                  <c:v>5.1581564971427074</c:v>
                </c:pt>
                <c:pt idx="27">
                  <c:v>5.1298310398129265</c:v>
                </c:pt>
                <c:pt idx="28">
                  <c:v>6.953160466538244</c:v>
                </c:pt>
                <c:pt idx="29">
                  <c:v>5.820007118760695</c:v>
                </c:pt>
                <c:pt idx="30">
                  <c:v>6.0844893006493539</c:v>
                </c:pt>
                <c:pt idx="31" formatCode="General">
                  <c:v>5.9845920925448048</c:v>
                </c:pt>
              </c:numCache>
            </c:numRef>
          </c:val>
        </c:ser>
        <c:dLbls>
          <c:showLegendKey val="0"/>
          <c:showVal val="0"/>
          <c:showCatName val="0"/>
          <c:showSerName val="0"/>
          <c:showPercent val="0"/>
          <c:showBubbleSize val="0"/>
        </c:dLbls>
        <c:gapWidth val="150"/>
        <c:axId val="578316504"/>
        <c:axId val="578316896"/>
      </c:barChart>
      <c:lineChart>
        <c:grouping val="standard"/>
        <c:varyColors val="0"/>
        <c:ser>
          <c:idx val="0"/>
          <c:order val="0"/>
          <c:tx>
            <c:v>bruto alga</c:v>
          </c:tx>
          <c:spPr>
            <a:ln w="25400">
              <a:solidFill>
                <a:schemeClr val="tx2">
                  <a:lumMod val="50000"/>
                </a:schemeClr>
              </a:solidFill>
              <a:prstDash val="sysDash"/>
            </a:ln>
          </c:spPr>
          <c:marker>
            <c:symbol val="none"/>
          </c:marker>
          <c:val>
            <c:numRef>
              <c:f>[1]!WAGE_GROSS</c:f>
              <c:numCache>
                <c:formatCode>0.0</c:formatCode>
                <c:ptCount val="32"/>
                <c:pt idx="0">
                  <c:v>31.524635560896598</c:v>
                </c:pt>
                <c:pt idx="1">
                  <c:v>32.360601967972237</c:v>
                </c:pt>
                <c:pt idx="2">
                  <c:v>32.914816870144278</c:v>
                </c:pt>
                <c:pt idx="3">
                  <c:v>29.829690662632125</c:v>
                </c:pt>
                <c:pt idx="4">
                  <c:v>28.094150362498759</c:v>
                </c:pt>
                <c:pt idx="5">
                  <c:v>23.76006705294995</c:v>
                </c:pt>
                <c:pt idx="6">
                  <c:v>20.51910999773845</c:v>
                </c:pt>
                <c:pt idx="7">
                  <c:v>12.078549944095386</c:v>
                </c:pt>
                <c:pt idx="8">
                  <c:v>3.7014064414086167</c:v>
                </c:pt>
                <c:pt idx="9">
                  <c:v>-0.71405435646771931</c:v>
                </c:pt>
                <c:pt idx="10">
                  <c:v>-6.3569964490891699</c:v>
                </c:pt>
                <c:pt idx="11">
                  <c:v>-12.082168298885787</c:v>
                </c:pt>
                <c:pt idx="12">
                  <c:v>-8.1927746874813074</c:v>
                </c:pt>
                <c:pt idx="13">
                  <c:v>-6.3110755223393822</c:v>
                </c:pt>
                <c:pt idx="14">
                  <c:v>-1.8158276042790633</c:v>
                </c:pt>
                <c:pt idx="15">
                  <c:v>3.354535575017592</c:v>
                </c:pt>
                <c:pt idx="16">
                  <c:v>4.2819681743407667</c:v>
                </c:pt>
                <c:pt idx="17">
                  <c:v>4.3763156645194146</c:v>
                </c:pt>
                <c:pt idx="18">
                  <c:v>4.2655739763878264</c:v>
                </c:pt>
                <c:pt idx="19">
                  <c:v>4.5460871178735429</c:v>
                </c:pt>
                <c:pt idx="20">
                  <c:v>3.6204042107893741</c:v>
                </c:pt>
                <c:pt idx="21">
                  <c:v>3.7545870864040154</c:v>
                </c:pt>
                <c:pt idx="22">
                  <c:v>3.497809163868526</c:v>
                </c:pt>
                <c:pt idx="23">
                  <c:v>3.9727263315141093</c:v>
                </c:pt>
                <c:pt idx="24">
                  <c:v>3.8390811527794444</c:v>
                </c:pt>
                <c:pt idx="25">
                  <c:v>4.5789365993393893</c:v>
                </c:pt>
                <c:pt idx="26">
                  <c:v>5.0613943202979517</c:v>
                </c:pt>
                <c:pt idx="27">
                  <c:v>4.825241475454134</c:v>
                </c:pt>
                <c:pt idx="28">
                  <c:v>7.3710644351221655</c:v>
                </c:pt>
                <c:pt idx="29">
                  <c:v>6.5278457130878431</c:v>
                </c:pt>
                <c:pt idx="30">
                  <c:v>6.9694661773869848</c:v>
                </c:pt>
                <c:pt idx="31" formatCode="General">
                  <c:v>6.6061420293395345</c:v>
                </c:pt>
              </c:numCache>
            </c:numRef>
          </c:val>
          <c:smooth val="0"/>
        </c:ser>
        <c:dLbls>
          <c:showLegendKey val="0"/>
          <c:showVal val="0"/>
          <c:showCatName val="0"/>
          <c:showSerName val="0"/>
          <c:showPercent val="0"/>
          <c:showBubbleSize val="0"/>
        </c:dLbls>
        <c:marker val="1"/>
        <c:smooth val="0"/>
        <c:axId val="578316504"/>
        <c:axId val="578316896"/>
      </c:lineChart>
      <c:catAx>
        <c:axId val="578316504"/>
        <c:scaling>
          <c:orientation val="minMax"/>
        </c:scaling>
        <c:delete val="0"/>
        <c:axPos val="b"/>
        <c:numFmt formatCode="General" sourceLinked="0"/>
        <c:majorTickMark val="out"/>
        <c:minorTickMark val="none"/>
        <c:tickLblPos val="low"/>
        <c:txPr>
          <a:bodyPr/>
          <a:lstStyle/>
          <a:p>
            <a:pPr>
              <a:defRPr sz="900">
                <a:solidFill>
                  <a:schemeClr val="tx1">
                    <a:lumMod val="65000"/>
                    <a:lumOff val="35000"/>
                  </a:schemeClr>
                </a:solidFill>
              </a:defRPr>
            </a:pPr>
            <a:endParaRPr lang="lv-LV"/>
          </a:p>
        </c:txPr>
        <c:crossAx val="578316896"/>
        <c:crosses val="autoZero"/>
        <c:auto val="1"/>
        <c:lblAlgn val="ctr"/>
        <c:lblOffset val="100"/>
        <c:noMultiLvlLbl val="0"/>
      </c:catAx>
      <c:valAx>
        <c:axId val="578316896"/>
        <c:scaling>
          <c:orientation val="minMax"/>
          <c:max val="35"/>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sz="900">
                <a:solidFill>
                  <a:schemeClr val="tx1">
                    <a:lumMod val="65000"/>
                    <a:lumOff val="35000"/>
                  </a:schemeClr>
                </a:solidFill>
                <a:latin typeface="+mn-lt"/>
              </a:defRPr>
            </a:pPr>
            <a:endParaRPr lang="lv-LV"/>
          </a:p>
        </c:txPr>
        <c:crossAx val="578316504"/>
        <c:crosses val="autoZero"/>
        <c:crossBetween val="between"/>
      </c:valAx>
    </c:plotArea>
    <c:legend>
      <c:legendPos val="b"/>
      <c:layout/>
      <c:overlay val="0"/>
      <c:txPr>
        <a:bodyPr/>
        <a:lstStyle/>
        <a:p>
          <a:pPr>
            <a:defRPr sz="900" b="0">
              <a:solidFill>
                <a:schemeClr val="tx1">
                  <a:lumMod val="65000"/>
                  <a:lumOff val="35000"/>
                </a:schemeClr>
              </a:solidFill>
            </a:defRPr>
          </a:pPr>
          <a:endParaRPr lang="lv-LV"/>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24759405074366"/>
          <c:y val="2.2602961666828684E-2"/>
          <c:w val="0.85219685039370074"/>
          <c:h val="0.6990920579372023"/>
        </c:manualLayout>
      </c:layout>
      <c:barChart>
        <c:barDir val="col"/>
        <c:grouping val="stacked"/>
        <c:varyColors val="0"/>
        <c:ser>
          <c:idx val="1"/>
          <c:order val="2"/>
          <c:tx>
            <c:strRef>
              <c:f>'pabalstu saņēmēju īpatsvars'!$A$4</c:f>
              <c:strCache>
                <c:ptCount val="1"/>
              </c:strCache>
            </c:strRef>
          </c:tx>
          <c:spPr>
            <a:solidFill>
              <a:schemeClr val="accent2"/>
            </a:solidFill>
            <a:ln>
              <a:noFill/>
            </a:ln>
            <a:effectLst/>
          </c:spPr>
          <c:invertIfNegative val="0"/>
          <c:cat>
            <c:strRef>
              <c:f>'pabalstu saņēmēju īpatsvars'!$B$2:$AB$2</c:f>
              <c:strCache>
                <c:ptCount val="27"/>
                <c:pt idx="0">
                  <c:v>2012`I</c:v>
                </c:pt>
                <c:pt idx="1">
                  <c:v>II</c:v>
                </c:pt>
                <c:pt idx="2">
                  <c:v>III</c:v>
                </c:pt>
                <c:pt idx="3">
                  <c:v>IV</c:v>
                </c:pt>
                <c:pt idx="4">
                  <c:v>V</c:v>
                </c:pt>
                <c:pt idx="5">
                  <c:v>VI</c:v>
                </c:pt>
                <c:pt idx="6">
                  <c:v>VII</c:v>
                </c:pt>
                <c:pt idx="7">
                  <c:v>VIII</c:v>
                </c:pt>
                <c:pt idx="8">
                  <c:v>IX</c:v>
                </c:pt>
                <c:pt idx="9">
                  <c:v>X</c:v>
                </c:pt>
                <c:pt idx="10">
                  <c:v>XI</c:v>
                </c:pt>
                <c:pt idx="11">
                  <c:v>XII</c:v>
                </c:pt>
                <c:pt idx="12">
                  <c:v>2013`I</c:v>
                </c:pt>
                <c:pt idx="13">
                  <c:v>II</c:v>
                </c:pt>
                <c:pt idx="14">
                  <c:v>III</c:v>
                </c:pt>
                <c:pt idx="15">
                  <c:v>IV</c:v>
                </c:pt>
                <c:pt idx="16">
                  <c:v>V</c:v>
                </c:pt>
                <c:pt idx="17">
                  <c:v>VI</c:v>
                </c:pt>
                <c:pt idx="18">
                  <c:v>VII</c:v>
                </c:pt>
                <c:pt idx="19">
                  <c:v>VIII</c:v>
                </c:pt>
                <c:pt idx="20">
                  <c:v>IX</c:v>
                </c:pt>
                <c:pt idx="21">
                  <c:v>X</c:v>
                </c:pt>
                <c:pt idx="22">
                  <c:v>XI</c:v>
                </c:pt>
                <c:pt idx="23">
                  <c:v>XII</c:v>
                </c:pt>
                <c:pt idx="24">
                  <c:v>2014`I</c:v>
                </c:pt>
                <c:pt idx="25">
                  <c:v>II</c:v>
                </c:pt>
                <c:pt idx="26">
                  <c:v>III</c:v>
                </c:pt>
              </c:strCache>
            </c:strRef>
          </c:cat>
          <c:val>
            <c:numRef>
              <c:f>'pabalstu saņēmēju īpatsvars'!$B$4:$AB$4</c:f>
            </c:numRef>
          </c:val>
        </c:ser>
        <c:dLbls>
          <c:showLegendKey val="0"/>
          <c:showVal val="0"/>
          <c:showCatName val="0"/>
          <c:showSerName val="0"/>
          <c:showPercent val="0"/>
          <c:showBubbleSize val="0"/>
        </c:dLbls>
        <c:gapWidth val="150"/>
        <c:overlap val="100"/>
        <c:axId val="578318072"/>
        <c:axId val="578318464"/>
      </c:barChart>
      <c:barChart>
        <c:barDir val="col"/>
        <c:grouping val="clustered"/>
        <c:varyColors val="0"/>
        <c:ser>
          <c:idx val="0"/>
          <c:order val="0"/>
          <c:tx>
            <c:strRef>
              <c:f>'pabalstu saņēmēju īpatsvars'!$A$3</c:f>
              <c:strCache>
                <c:ptCount val="1"/>
                <c:pt idx="0">
                  <c:v>Kopējais bezdarbnieku skaits</c:v>
                </c:pt>
              </c:strCache>
            </c:strRef>
          </c:tx>
          <c:spPr>
            <a:solidFill>
              <a:srgbClr val="1F497D">
                <a:lumMod val="50000"/>
              </a:srgbClr>
            </a:solidFill>
            <a:ln>
              <a:solidFill>
                <a:srgbClr val="1F497D">
                  <a:lumMod val="50000"/>
                </a:srgbClr>
              </a:solidFill>
            </a:ln>
            <a:effectLst/>
          </c:spPr>
          <c:invertIfNegative val="0"/>
          <c:cat>
            <c:strRef>
              <c:f>'pabalstu saņēmēju īpatsvars'!$B$2:$AN$2</c:f>
              <c:strCache>
                <c:ptCount val="39"/>
                <c:pt idx="0">
                  <c:v>2012`I</c:v>
                </c:pt>
                <c:pt idx="1">
                  <c:v>II</c:v>
                </c:pt>
                <c:pt idx="2">
                  <c:v>III</c:v>
                </c:pt>
                <c:pt idx="3">
                  <c:v>IV</c:v>
                </c:pt>
                <c:pt idx="4">
                  <c:v>V</c:v>
                </c:pt>
                <c:pt idx="5">
                  <c:v>VI</c:v>
                </c:pt>
                <c:pt idx="6">
                  <c:v>VII</c:v>
                </c:pt>
                <c:pt idx="7">
                  <c:v>VIII</c:v>
                </c:pt>
                <c:pt idx="8">
                  <c:v>IX</c:v>
                </c:pt>
                <c:pt idx="9">
                  <c:v>X</c:v>
                </c:pt>
                <c:pt idx="10">
                  <c:v>XI</c:v>
                </c:pt>
                <c:pt idx="11">
                  <c:v>XII</c:v>
                </c:pt>
                <c:pt idx="12">
                  <c:v>2013`I</c:v>
                </c:pt>
                <c:pt idx="13">
                  <c:v>II</c:v>
                </c:pt>
                <c:pt idx="14">
                  <c:v>III</c:v>
                </c:pt>
                <c:pt idx="15">
                  <c:v>IV</c:v>
                </c:pt>
                <c:pt idx="16">
                  <c:v>V</c:v>
                </c:pt>
                <c:pt idx="17">
                  <c:v>VI</c:v>
                </c:pt>
                <c:pt idx="18">
                  <c:v>VII</c:v>
                </c:pt>
                <c:pt idx="19">
                  <c:v>VIII</c:v>
                </c:pt>
                <c:pt idx="20">
                  <c:v>IX</c:v>
                </c:pt>
                <c:pt idx="21">
                  <c:v>X</c:v>
                </c:pt>
                <c:pt idx="22">
                  <c:v>XI</c:v>
                </c:pt>
                <c:pt idx="23">
                  <c:v>XII</c:v>
                </c:pt>
                <c:pt idx="24">
                  <c:v>2014`I</c:v>
                </c:pt>
                <c:pt idx="25">
                  <c:v>II</c:v>
                </c:pt>
                <c:pt idx="26">
                  <c:v>III</c:v>
                </c:pt>
                <c:pt idx="27">
                  <c:v>IV</c:v>
                </c:pt>
                <c:pt idx="28">
                  <c:v>V</c:v>
                </c:pt>
                <c:pt idx="29">
                  <c:v>VI</c:v>
                </c:pt>
                <c:pt idx="30">
                  <c:v>VII</c:v>
                </c:pt>
                <c:pt idx="31">
                  <c:v>VIII</c:v>
                </c:pt>
                <c:pt idx="32">
                  <c:v>IX</c:v>
                </c:pt>
                <c:pt idx="33">
                  <c:v>X</c:v>
                </c:pt>
                <c:pt idx="34">
                  <c:v>XI</c:v>
                </c:pt>
                <c:pt idx="35">
                  <c:v>XII</c:v>
                </c:pt>
                <c:pt idx="36">
                  <c:v>2015`I</c:v>
                </c:pt>
                <c:pt idx="37">
                  <c:v>II</c:v>
                </c:pt>
                <c:pt idx="38">
                  <c:v>III</c:v>
                </c:pt>
              </c:strCache>
            </c:strRef>
          </c:cat>
          <c:val>
            <c:numRef>
              <c:f>'pabalstu saņēmēju īpatsvars'!$B$3:$AN$3</c:f>
              <c:numCache>
                <c:formatCode>General</c:formatCode>
                <c:ptCount val="39"/>
                <c:pt idx="0">
                  <c:v>132575</c:v>
                </c:pt>
                <c:pt idx="1">
                  <c:v>133413</c:v>
                </c:pt>
                <c:pt idx="2">
                  <c:v>132158</c:v>
                </c:pt>
                <c:pt idx="3">
                  <c:v>127783</c:v>
                </c:pt>
                <c:pt idx="4">
                  <c:v>121994</c:v>
                </c:pt>
                <c:pt idx="5">
                  <c:v>117606</c:v>
                </c:pt>
                <c:pt idx="6">
                  <c:v>114689</c:v>
                </c:pt>
                <c:pt idx="7">
                  <c:v>111542</c:v>
                </c:pt>
                <c:pt idx="8">
                  <c:v>108322</c:v>
                </c:pt>
                <c:pt idx="9">
                  <c:v>105670</c:v>
                </c:pt>
                <c:pt idx="10">
                  <c:v>104414</c:v>
                </c:pt>
                <c:pt idx="11">
                  <c:v>104052</c:v>
                </c:pt>
                <c:pt idx="12">
                  <c:v>107488</c:v>
                </c:pt>
                <c:pt idx="13">
                  <c:v>107687</c:v>
                </c:pt>
                <c:pt idx="14">
                  <c:v>107063</c:v>
                </c:pt>
                <c:pt idx="15">
                  <c:v>102760</c:v>
                </c:pt>
                <c:pt idx="16">
                  <c:v>97769</c:v>
                </c:pt>
                <c:pt idx="17">
                  <c:v>94754</c:v>
                </c:pt>
                <c:pt idx="18">
                  <c:v>92975</c:v>
                </c:pt>
                <c:pt idx="19">
                  <c:v>91202</c:v>
                </c:pt>
                <c:pt idx="20">
                  <c:v>89435</c:v>
                </c:pt>
                <c:pt idx="21">
                  <c:v>89616</c:v>
                </c:pt>
                <c:pt idx="22">
                  <c:v>91619</c:v>
                </c:pt>
                <c:pt idx="23">
                  <c:v>93321</c:v>
                </c:pt>
                <c:pt idx="24">
                  <c:v>96762</c:v>
                </c:pt>
                <c:pt idx="25">
                  <c:v>97736</c:v>
                </c:pt>
                <c:pt idx="26">
                  <c:v>96496</c:v>
                </c:pt>
                <c:pt idx="27">
                  <c:v>92010</c:v>
                </c:pt>
                <c:pt idx="28">
                  <c:v>87780</c:v>
                </c:pt>
                <c:pt idx="29">
                  <c:v>85296</c:v>
                </c:pt>
                <c:pt idx="30">
                  <c:v>83163</c:v>
                </c:pt>
                <c:pt idx="31">
                  <c:v>80938</c:v>
                </c:pt>
                <c:pt idx="32" formatCode="#,##0">
                  <c:v>79104</c:v>
                </c:pt>
                <c:pt idx="33" formatCode="#,##0">
                  <c:v>79183</c:v>
                </c:pt>
                <c:pt idx="34">
                  <c:v>79869</c:v>
                </c:pt>
                <c:pt idx="35">
                  <c:v>82027</c:v>
                </c:pt>
                <c:pt idx="36">
                  <c:v>86246</c:v>
                </c:pt>
                <c:pt idx="37">
                  <c:v>87873</c:v>
                </c:pt>
                <c:pt idx="38">
                  <c:v>86604</c:v>
                </c:pt>
              </c:numCache>
            </c:numRef>
          </c:val>
        </c:ser>
        <c:ser>
          <c:idx val="2"/>
          <c:order val="1"/>
          <c:tx>
            <c:strRef>
              <c:f>'pabalstu saņēmēju īpatsvars'!$A$5</c:f>
              <c:strCache>
                <c:ptCount val="1"/>
                <c:pt idx="0">
                  <c:v>Bezdarbnieka pabalsta saņēmēju skaits</c:v>
                </c:pt>
              </c:strCache>
            </c:strRef>
          </c:tx>
          <c:spPr>
            <a:solidFill>
              <a:srgbClr val="9BBB59"/>
            </a:solidFill>
            <a:ln>
              <a:noFill/>
            </a:ln>
            <a:effectLst/>
          </c:spPr>
          <c:invertIfNegative val="0"/>
          <c:cat>
            <c:strRef>
              <c:f>'pabalstu saņēmēju īpatsvars'!$B$2:$AN$2</c:f>
              <c:strCache>
                <c:ptCount val="39"/>
                <c:pt idx="0">
                  <c:v>2012`I</c:v>
                </c:pt>
                <c:pt idx="1">
                  <c:v>II</c:v>
                </c:pt>
                <c:pt idx="2">
                  <c:v>III</c:v>
                </c:pt>
                <c:pt idx="3">
                  <c:v>IV</c:v>
                </c:pt>
                <c:pt idx="4">
                  <c:v>V</c:v>
                </c:pt>
                <c:pt idx="5">
                  <c:v>VI</c:v>
                </c:pt>
                <c:pt idx="6">
                  <c:v>VII</c:v>
                </c:pt>
                <c:pt idx="7">
                  <c:v>VIII</c:v>
                </c:pt>
                <c:pt idx="8">
                  <c:v>IX</c:v>
                </c:pt>
                <c:pt idx="9">
                  <c:v>X</c:v>
                </c:pt>
                <c:pt idx="10">
                  <c:v>XI</c:v>
                </c:pt>
                <c:pt idx="11">
                  <c:v>XII</c:v>
                </c:pt>
                <c:pt idx="12">
                  <c:v>2013`I</c:v>
                </c:pt>
                <c:pt idx="13">
                  <c:v>II</c:v>
                </c:pt>
                <c:pt idx="14">
                  <c:v>III</c:v>
                </c:pt>
                <c:pt idx="15">
                  <c:v>IV</c:v>
                </c:pt>
                <c:pt idx="16">
                  <c:v>V</c:v>
                </c:pt>
                <c:pt idx="17">
                  <c:v>VI</c:v>
                </c:pt>
                <c:pt idx="18">
                  <c:v>VII</c:v>
                </c:pt>
                <c:pt idx="19">
                  <c:v>VIII</c:v>
                </c:pt>
                <c:pt idx="20">
                  <c:v>IX</c:v>
                </c:pt>
                <c:pt idx="21">
                  <c:v>X</c:v>
                </c:pt>
                <c:pt idx="22">
                  <c:v>XI</c:v>
                </c:pt>
                <c:pt idx="23">
                  <c:v>XII</c:v>
                </c:pt>
                <c:pt idx="24">
                  <c:v>2014`I</c:v>
                </c:pt>
                <c:pt idx="25">
                  <c:v>II</c:v>
                </c:pt>
                <c:pt idx="26">
                  <c:v>III</c:v>
                </c:pt>
                <c:pt idx="27">
                  <c:v>IV</c:v>
                </c:pt>
                <c:pt idx="28">
                  <c:v>V</c:v>
                </c:pt>
                <c:pt idx="29">
                  <c:v>VI</c:v>
                </c:pt>
                <c:pt idx="30">
                  <c:v>VII</c:v>
                </c:pt>
                <c:pt idx="31">
                  <c:v>VIII</c:v>
                </c:pt>
                <c:pt idx="32">
                  <c:v>IX</c:v>
                </c:pt>
                <c:pt idx="33">
                  <c:v>X</c:v>
                </c:pt>
                <c:pt idx="34">
                  <c:v>XI</c:v>
                </c:pt>
                <c:pt idx="35">
                  <c:v>XII</c:v>
                </c:pt>
                <c:pt idx="36">
                  <c:v>2015`I</c:v>
                </c:pt>
                <c:pt idx="37">
                  <c:v>II</c:v>
                </c:pt>
                <c:pt idx="38">
                  <c:v>III</c:v>
                </c:pt>
              </c:strCache>
            </c:strRef>
          </c:cat>
          <c:val>
            <c:numRef>
              <c:f>'pabalstu saņēmēju īpatsvars'!$B$5:$AN$5</c:f>
              <c:numCache>
                <c:formatCode>General</c:formatCode>
                <c:ptCount val="39"/>
                <c:pt idx="0">
                  <c:v>32504</c:v>
                </c:pt>
                <c:pt idx="1">
                  <c:v>34118</c:v>
                </c:pt>
                <c:pt idx="2">
                  <c:v>34323</c:v>
                </c:pt>
                <c:pt idx="3">
                  <c:v>34286</c:v>
                </c:pt>
                <c:pt idx="4">
                  <c:v>33314</c:v>
                </c:pt>
                <c:pt idx="5">
                  <c:v>31730</c:v>
                </c:pt>
                <c:pt idx="6">
                  <c:v>29993</c:v>
                </c:pt>
                <c:pt idx="7">
                  <c:v>29427</c:v>
                </c:pt>
                <c:pt idx="8">
                  <c:v>27534</c:v>
                </c:pt>
                <c:pt idx="9">
                  <c:v>26566</c:v>
                </c:pt>
                <c:pt idx="10">
                  <c:v>25111</c:v>
                </c:pt>
                <c:pt idx="11">
                  <c:v>25324</c:v>
                </c:pt>
                <c:pt idx="12">
                  <c:v>26437</c:v>
                </c:pt>
                <c:pt idx="13">
                  <c:v>30159</c:v>
                </c:pt>
                <c:pt idx="14">
                  <c:v>31690</c:v>
                </c:pt>
                <c:pt idx="15">
                  <c:v>32996</c:v>
                </c:pt>
                <c:pt idx="16">
                  <c:v>34033</c:v>
                </c:pt>
                <c:pt idx="17">
                  <c:v>32696</c:v>
                </c:pt>
                <c:pt idx="18">
                  <c:v>33500</c:v>
                </c:pt>
                <c:pt idx="19">
                  <c:v>33631</c:v>
                </c:pt>
                <c:pt idx="20">
                  <c:v>33494</c:v>
                </c:pt>
                <c:pt idx="21">
                  <c:v>33617</c:v>
                </c:pt>
                <c:pt idx="22">
                  <c:v>33420</c:v>
                </c:pt>
                <c:pt idx="23">
                  <c:v>34304</c:v>
                </c:pt>
                <c:pt idx="24">
                  <c:v>36305</c:v>
                </c:pt>
                <c:pt idx="25">
                  <c:v>39297</c:v>
                </c:pt>
                <c:pt idx="26">
                  <c:v>39444</c:v>
                </c:pt>
                <c:pt idx="27">
                  <c:v>39589</c:v>
                </c:pt>
                <c:pt idx="28">
                  <c:v>37028</c:v>
                </c:pt>
                <c:pt idx="29">
                  <c:v>35364</c:v>
                </c:pt>
                <c:pt idx="30" formatCode="#,##0">
                  <c:v>35734</c:v>
                </c:pt>
                <c:pt idx="31" formatCode="#,##0">
                  <c:v>34978</c:v>
                </c:pt>
                <c:pt idx="32">
                  <c:v>34333</c:v>
                </c:pt>
                <c:pt idx="33" formatCode="#,##0">
                  <c:v>32498</c:v>
                </c:pt>
                <c:pt idx="34" formatCode="#,##0">
                  <c:v>32569</c:v>
                </c:pt>
                <c:pt idx="35" formatCode="#,##0">
                  <c:v>33046</c:v>
                </c:pt>
                <c:pt idx="36" formatCode="#,##0">
                  <c:v>35228</c:v>
                </c:pt>
                <c:pt idx="37" formatCode="#,##0">
                  <c:v>38917</c:v>
                </c:pt>
                <c:pt idx="38" formatCode="#,##0">
                  <c:v>40066</c:v>
                </c:pt>
              </c:numCache>
            </c:numRef>
          </c:val>
          <c:extLst/>
        </c:ser>
        <c:dLbls>
          <c:showLegendKey val="0"/>
          <c:showVal val="0"/>
          <c:showCatName val="0"/>
          <c:showSerName val="0"/>
          <c:showPercent val="0"/>
          <c:showBubbleSize val="0"/>
        </c:dLbls>
        <c:gapWidth val="70"/>
        <c:overlap val="66"/>
        <c:axId val="578318072"/>
        <c:axId val="578318464"/>
      </c:barChart>
      <c:lineChart>
        <c:grouping val="standard"/>
        <c:varyColors val="0"/>
        <c:ser>
          <c:idx val="3"/>
          <c:order val="3"/>
          <c:tx>
            <c:strRef>
              <c:f>'pabalstu saņēmēju īpatsvars'!$A$6</c:f>
              <c:strCache>
                <c:ptCount val="1"/>
                <c:pt idx="0">
                  <c:v>Pabalsta vidējais lielums eiro, labā ass</c:v>
                </c:pt>
              </c:strCache>
            </c:strRef>
          </c:tx>
          <c:spPr>
            <a:ln w="31750" cap="rnd">
              <a:solidFill>
                <a:srgbClr val="9BBB59"/>
              </a:solidFill>
              <a:round/>
            </a:ln>
            <a:effectLst/>
          </c:spPr>
          <c:marker>
            <c:symbol val="none"/>
          </c:marker>
          <c:cat>
            <c:strRef>
              <c:f>'pabalstu saņēmēju īpatsvars'!$B$2:$AN$2</c:f>
              <c:strCache>
                <c:ptCount val="39"/>
                <c:pt idx="0">
                  <c:v>2012`I</c:v>
                </c:pt>
                <c:pt idx="1">
                  <c:v>II</c:v>
                </c:pt>
                <c:pt idx="2">
                  <c:v>III</c:v>
                </c:pt>
                <c:pt idx="3">
                  <c:v>IV</c:v>
                </c:pt>
                <c:pt idx="4">
                  <c:v>V</c:v>
                </c:pt>
                <c:pt idx="5">
                  <c:v>VI</c:v>
                </c:pt>
                <c:pt idx="6">
                  <c:v>VII</c:v>
                </c:pt>
                <c:pt idx="7">
                  <c:v>VIII</c:v>
                </c:pt>
                <c:pt idx="8">
                  <c:v>IX</c:v>
                </c:pt>
                <c:pt idx="9">
                  <c:v>X</c:v>
                </c:pt>
                <c:pt idx="10">
                  <c:v>XI</c:v>
                </c:pt>
                <c:pt idx="11">
                  <c:v>XII</c:v>
                </c:pt>
                <c:pt idx="12">
                  <c:v>2013`I</c:v>
                </c:pt>
                <c:pt idx="13">
                  <c:v>II</c:v>
                </c:pt>
                <c:pt idx="14">
                  <c:v>III</c:v>
                </c:pt>
                <c:pt idx="15">
                  <c:v>IV</c:v>
                </c:pt>
                <c:pt idx="16">
                  <c:v>V</c:v>
                </c:pt>
                <c:pt idx="17">
                  <c:v>VI</c:v>
                </c:pt>
                <c:pt idx="18">
                  <c:v>VII</c:v>
                </c:pt>
                <c:pt idx="19">
                  <c:v>VIII</c:v>
                </c:pt>
                <c:pt idx="20">
                  <c:v>IX</c:v>
                </c:pt>
                <c:pt idx="21">
                  <c:v>X</c:v>
                </c:pt>
                <c:pt idx="22">
                  <c:v>XI</c:v>
                </c:pt>
                <c:pt idx="23">
                  <c:v>XII</c:v>
                </c:pt>
                <c:pt idx="24">
                  <c:v>2014`I</c:v>
                </c:pt>
                <c:pt idx="25">
                  <c:v>II</c:v>
                </c:pt>
                <c:pt idx="26">
                  <c:v>III</c:v>
                </c:pt>
                <c:pt idx="27">
                  <c:v>IV</c:v>
                </c:pt>
                <c:pt idx="28">
                  <c:v>V</c:v>
                </c:pt>
                <c:pt idx="29">
                  <c:v>VI</c:v>
                </c:pt>
                <c:pt idx="30">
                  <c:v>VII</c:v>
                </c:pt>
                <c:pt idx="31">
                  <c:v>VIII</c:v>
                </c:pt>
                <c:pt idx="32">
                  <c:v>IX</c:v>
                </c:pt>
                <c:pt idx="33">
                  <c:v>X</c:v>
                </c:pt>
                <c:pt idx="34">
                  <c:v>XI</c:v>
                </c:pt>
                <c:pt idx="35">
                  <c:v>XII</c:v>
                </c:pt>
                <c:pt idx="36">
                  <c:v>2015`I</c:v>
                </c:pt>
                <c:pt idx="37">
                  <c:v>II</c:v>
                </c:pt>
                <c:pt idx="38">
                  <c:v>III</c:v>
                </c:pt>
              </c:strCache>
            </c:strRef>
          </c:cat>
          <c:val>
            <c:numRef>
              <c:f>'pabalstu saņēmēju īpatsvars'!$B$6:$AN$6</c:f>
              <c:numCache>
                <c:formatCode>General</c:formatCode>
                <c:ptCount val="39"/>
                <c:pt idx="0">
                  <c:v>155.41999999999999</c:v>
                </c:pt>
                <c:pt idx="1">
                  <c:v>158.35</c:v>
                </c:pt>
                <c:pt idx="2">
                  <c:v>149.97999999999999</c:v>
                </c:pt>
                <c:pt idx="3">
                  <c:v>154.13999999999999</c:v>
                </c:pt>
                <c:pt idx="4">
                  <c:v>143.72</c:v>
                </c:pt>
                <c:pt idx="5">
                  <c:v>145.22</c:v>
                </c:pt>
                <c:pt idx="6">
                  <c:v>149.13</c:v>
                </c:pt>
                <c:pt idx="7">
                  <c:v>157.71</c:v>
                </c:pt>
                <c:pt idx="8">
                  <c:v>166.23</c:v>
                </c:pt>
                <c:pt idx="9">
                  <c:v>160.77000000000001</c:v>
                </c:pt>
                <c:pt idx="10">
                  <c:v>173.41</c:v>
                </c:pt>
                <c:pt idx="11">
                  <c:v>172.22</c:v>
                </c:pt>
                <c:pt idx="12">
                  <c:v>183.1</c:v>
                </c:pt>
                <c:pt idx="13">
                  <c:v>198.01</c:v>
                </c:pt>
                <c:pt idx="14">
                  <c:v>185.7</c:v>
                </c:pt>
                <c:pt idx="15">
                  <c:v>201.62</c:v>
                </c:pt>
                <c:pt idx="16">
                  <c:v>181.99</c:v>
                </c:pt>
                <c:pt idx="17">
                  <c:v>183.66</c:v>
                </c:pt>
                <c:pt idx="18">
                  <c:v>179.17</c:v>
                </c:pt>
                <c:pt idx="19">
                  <c:v>191.31</c:v>
                </c:pt>
                <c:pt idx="20">
                  <c:v>190.55</c:v>
                </c:pt>
                <c:pt idx="21">
                  <c:v>180.26</c:v>
                </c:pt>
                <c:pt idx="22">
                  <c:v>188.83</c:v>
                </c:pt>
                <c:pt idx="23">
                  <c:v>188.45</c:v>
                </c:pt>
                <c:pt idx="24">
                  <c:v>205.43</c:v>
                </c:pt>
                <c:pt idx="25">
                  <c:v>204.47</c:v>
                </c:pt>
                <c:pt idx="26">
                  <c:v>190.18</c:v>
                </c:pt>
                <c:pt idx="27">
                  <c:v>200.34</c:v>
                </c:pt>
                <c:pt idx="28">
                  <c:v>190.63</c:v>
                </c:pt>
                <c:pt idx="29">
                  <c:v>191.21</c:v>
                </c:pt>
                <c:pt idx="30">
                  <c:v>184.77</c:v>
                </c:pt>
                <c:pt idx="31">
                  <c:v>196.66</c:v>
                </c:pt>
                <c:pt idx="32">
                  <c:v>197.14</c:v>
                </c:pt>
                <c:pt idx="33">
                  <c:v>190.91</c:v>
                </c:pt>
                <c:pt idx="34">
                  <c:v>196.9</c:v>
                </c:pt>
                <c:pt idx="35">
                  <c:v>194.07</c:v>
                </c:pt>
                <c:pt idx="36">
                  <c:v>205.09</c:v>
                </c:pt>
                <c:pt idx="37">
                  <c:v>221.85</c:v>
                </c:pt>
                <c:pt idx="38">
                  <c:v>209.86</c:v>
                </c:pt>
              </c:numCache>
            </c:numRef>
          </c:val>
          <c:smooth val="0"/>
        </c:ser>
        <c:dLbls>
          <c:showLegendKey val="0"/>
          <c:showVal val="0"/>
          <c:showCatName val="0"/>
          <c:showSerName val="0"/>
          <c:showPercent val="0"/>
          <c:showBubbleSize val="0"/>
        </c:dLbls>
        <c:marker val="1"/>
        <c:smooth val="0"/>
        <c:axId val="288200064"/>
        <c:axId val="288199672"/>
      </c:lineChart>
      <c:catAx>
        <c:axId val="57831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8318464"/>
        <c:crosses val="autoZero"/>
        <c:auto val="1"/>
        <c:lblAlgn val="ctr"/>
        <c:lblOffset val="100"/>
        <c:noMultiLvlLbl val="0"/>
      </c:catAx>
      <c:valAx>
        <c:axId val="578318464"/>
        <c:scaling>
          <c:orientation val="minMax"/>
          <c:max val="14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8318072"/>
        <c:crosses val="autoZero"/>
        <c:crossBetween val="between"/>
      </c:valAx>
      <c:valAx>
        <c:axId val="2881996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8200064"/>
        <c:crosses val="max"/>
        <c:crossBetween val="between"/>
      </c:valAx>
      <c:catAx>
        <c:axId val="288200064"/>
        <c:scaling>
          <c:orientation val="minMax"/>
        </c:scaling>
        <c:delete val="1"/>
        <c:axPos val="b"/>
        <c:numFmt formatCode="General" sourceLinked="1"/>
        <c:majorTickMark val="out"/>
        <c:minorTickMark val="none"/>
        <c:tickLblPos val="nextTo"/>
        <c:crossAx val="288199672"/>
        <c:crosses val="autoZero"/>
        <c:auto val="1"/>
        <c:lblAlgn val="ctr"/>
        <c:lblOffset val="100"/>
        <c:noMultiLvlLbl val="0"/>
      </c:catAx>
      <c:spPr>
        <a:noFill/>
        <a:ln>
          <a:noFill/>
        </a:ln>
        <a:effectLst/>
      </c:spPr>
    </c:plotArea>
    <c:legend>
      <c:legendPos val="b"/>
      <c:layout>
        <c:manualLayout>
          <c:xMode val="edge"/>
          <c:yMode val="edge"/>
          <c:x val="5.5512904636920393E-2"/>
          <c:y val="0.89190071241094859"/>
          <c:w val="0.92230752405949279"/>
          <c:h val="9.262902137232846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AT0020mE!$F$3</c:f>
              <c:strCache>
                <c:ptCount val="1"/>
                <c:pt idx="0">
                  <c:v>Bilance</c:v>
                </c:pt>
              </c:strCache>
            </c:strRef>
          </c:tx>
          <c:spPr>
            <a:solidFill>
              <a:schemeClr val="tx2">
                <a:lumMod val="50000"/>
              </a:schemeClr>
            </a:solidFill>
            <a:ln>
              <a:noFill/>
            </a:ln>
            <a:effectLst>
              <a:outerShdw blurRad="50800" dist="38100" dir="2700000" algn="tl" rotWithShape="0">
                <a:prstClr val="black">
                  <a:alpha val="40000"/>
                </a:prstClr>
              </a:outerShdw>
            </a:effectLst>
          </c:spPr>
          <c:invertIfNegative val="0"/>
          <c:dLbls>
            <c:dLbl>
              <c:idx val="2"/>
              <c:layout/>
              <c:showLegendKey val="0"/>
              <c:showVal val="1"/>
              <c:showCatName val="0"/>
              <c:showSerName val="0"/>
              <c:showPercent val="0"/>
              <c:showBubbleSize val="0"/>
              <c:extLst>
                <c:ext xmlns:c15="http://schemas.microsoft.com/office/drawing/2012/chart" uri="{CE6537A1-D6FC-4f65-9D91-7224C49458BB}">
                  <c15:layout/>
                </c:ext>
              </c:extLst>
            </c:dLbl>
            <c:dLbl>
              <c:idx val="28"/>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AT0020mE!$B$4:$C$32</c:f>
              <c:multiLvlStrCache>
                <c:ptCount val="2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lvl>
                <c:lvl>
                  <c:pt idx="0">
                    <c:v>2008</c:v>
                  </c:pt>
                  <c:pt idx="4">
                    <c:v>2009</c:v>
                  </c:pt>
                  <c:pt idx="8">
                    <c:v>2010</c:v>
                  </c:pt>
                  <c:pt idx="12">
                    <c:v>2011</c:v>
                  </c:pt>
                  <c:pt idx="16">
                    <c:v>2012</c:v>
                  </c:pt>
                  <c:pt idx="20">
                    <c:v>2013</c:v>
                  </c:pt>
                  <c:pt idx="24">
                    <c:v>2014</c:v>
                  </c:pt>
                  <c:pt idx="28">
                    <c:v>15</c:v>
                  </c:pt>
                </c:lvl>
              </c:multiLvlStrCache>
            </c:multiLvlStrRef>
          </c:cat>
          <c:val>
            <c:numRef>
              <c:f>AT0020mE!$F$4:$F$32</c:f>
              <c:numCache>
                <c:formatCode>0</c:formatCode>
                <c:ptCount val="29"/>
                <c:pt idx="0">
                  <c:v>-1141.0999999999999</c:v>
                </c:pt>
                <c:pt idx="1">
                  <c:v>-1132.3</c:v>
                </c:pt>
                <c:pt idx="2">
                  <c:v>-1137.9000000000001</c:v>
                </c:pt>
                <c:pt idx="3">
                  <c:v>-997.50000000000023</c:v>
                </c:pt>
                <c:pt idx="4">
                  <c:v>-549.5</c:v>
                </c:pt>
                <c:pt idx="5">
                  <c:v>-358</c:v>
                </c:pt>
                <c:pt idx="6">
                  <c:v>-371.89999999999986</c:v>
                </c:pt>
                <c:pt idx="7">
                  <c:v>-296.5</c:v>
                </c:pt>
                <c:pt idx="8">
                  <c:v>-342.20000000000005</c:v>
                </c:pt>
                <c:pt idx="9">
                  <c:v>-329.39999999999986</c:v>
                </c:pt>
                <c:pt idx="10">
                  <c:v>-474.19999999999982</c:v>
                </c:pt>
                <c:pt idx="11">
                  <c:v>-585.90000000000009</c:v>
                </c:pt>
                <c:pt idx="12">
                  <c:v>-469.20000000000005</c:v>
                </c:pt>
                <c:pt idx="13">
                  <c:v>-518.5</c:v>
                </c:pt>
                <c:pt idx="14">
                  <c:v>-746.19999999999982</c:v>
                </c:pt>
                <c:pt idx="15">
                  <c:v>-714.29999999999973</c:v>
                </c:pt>
                <c:pt idx="16">
                  <c:v>-696.79999999999973</c:v>
                </c:pt>
                <c:pt idx="17">
                  <c:v>-763.5</c:v>
                </c:pt>
                <c:pt idx="18">
                  <c:v>-615.29999999999973</c:v>
                </c:pt>
                <c:pt idx="19">
                  <c:v>-565.59999999999991</c:v>
                </c:pt>
                <c:pt idx="20">
                  <c:v>-679.40000000000009</c:v>
                </c:pt>
                <c:pt idx="21">
                  <c:v>-639.30000000000018</c:v>
                </c:pt>
                <c:pt idx="22">
                  <c:v>-743.70000000000027</c:v>
                </c:pt>
                <c:pt idx="23">
                  <c:v>-551.40000000000009</c:v>
                </c:pt>
                <c:pt idx="24">
                  <c:v>-608</c:v>
                </c:pt>
                <c:pt idx="25">
                  <c:v>-612.5</c:v>
                </c:pt>
                <c:pt idx="26">
                  <c:v>-633.40000000000009</c:v>
                </c:pt>
                <c:pt idx="27">
                  <c:v>-569.29999999999973</c:v>
                </c:pt>
                <c:pt idx="28">
                  <c:v>-475.80000000000018</c:v>
                </c:pt>
              </c:numCache>
            </c:numRef>
          </c:val>
        </c:ser>
        <c:dLbls>
          <c:showLegendKey val="0"/>
          <c:showVal val="0"/>
          <c:showCatName val="0"/>
          <c:showSerName val="0"/>
          <c:showPercent val="0"/>
          <c:showBubbleSize val="0"/>
        </c:dLbls>
        <c:gapWidth val="113"/>
        <c:axId val="288200848"/>
        <c:axId val="288201240"/>
      </c:barChart>
      <c:lineChart>
        <c:grouping val="standard"/>
        <c:varyColors val="0"/>
        <c:ser>
          <c:idx val="0"/>
          <c:order val="0"/>
          <c:tx>
            <c:strRef>
              <c:f>AT0020mE!$D$3</c:f>
              <c:strCache>
                <c:ptCount val="1"/>
                <c:pt idx="0">
                  <c:v>Eksports</c:v>
                </c:pt>
              </c:strCache>
            </c:strRef>
          </c:tx>
          <c:spPr>
            <a:ln w="31750" cap="rnd">
              <a:solidFill>
                <a:schemeClr val="accent3"/>
              </a:solidFill>
              <a:round/>
            </a:ln>
            <a:effectLst>
              <a:outerShdw blurRad="50800" dist="38100" dir="2700000" algn="tl" rotWithShape="0">
                <a:prstClr val="black">
                  <a:alpha val="40000"/>
                </a:prstClr>
              </a:outerShdw>
            </a:effectLst>
          </c:spPr>
          <c:marker>
            <c:symbol val="none"/>
          </c:marker>
          <c:dLbls>
            <c:dLbl>
              <c:idx val="2"/>
              <c:layout>
                <c:manualLayout>
                  <c:x val="-6.3888888888888884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8"/>
              <c:layout>
                <c:manualLayout>
                  <c:x val="-2.7778041108694786E-3"/>
                  <c:y val="3.56121353896612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AT0020mE!$B$4:$C$32</c:f>
              <c:multiLvlStrCache>
                <c:ptCount val="2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lvl>
                <c:lvl>
                  <c:pt idx="0">
                    <c:v>2008</c:v>
                  </c:pt>
                  <c:pt idx="4">
                    <c:v>2009</c:v>
                  </c:pt>
                  <c:pt idx="8">
                    <c:v>2010</c:v>
                  </c:pt>
                  <c:pt idx="12">
                    <c:v>2011</c:v>
                  </c:pt>
                  <c:pt idx="16">
                    <c:v>2012</c:v>
                  </c:pt>
                  <c:pt idx="20">
                    <c:v>2013</c:v>
                  </c:pt>
                  <c:pt idx="24">
                    <c:v>2014</c:v>
                  </c:pt>
                  <c:pt idx="28">
                    <c:v>15</c:v>
                  </c:pt>
                </c:lvl>
              </c:multiLvlStrCache>
            </c:multiLvlStrRef>
          </c:cat>
          <c:val>
            <c:numRef>
              <c:f>AT0020mE!$D$4:$D$32</c:f>
              <c:numCache>
                <c:formatCode>0</c:formatCode>
                <c:ptCount val="29"/>
                <c:pt idx="0">
                  <c:v>1528.9</c:v>
                </c:pt>
                <c:pt idx="1">
                  <c:v>1620.2</c:v>
                </c:pt>
                <c:pt idx="2">
                  <c:v>1683.5</c:v>
                </c:pt>
                <c:pt idx="3">
                  <c:v>1469.3</c:v>
                </c:pt>
                <c:pt idx="4">
                  <c:v>1165.8</c:v>
                </c:pt>
                <c:pt idx="5">
                  <c:v>1216.0999999999999</c:v>
                </c:pt>
                <c:pt idx="6">
                  <c:v>1297.7</c:v>
                </c:pt>
                <c:pt idx="7">
                  <c:v>1445.9</c:v>
                </c:pt>
                <c:pt idx="8">
                  <c:v>1338.5</c:v>
                </c:pt>
                <c:pt idx="9">
                  <c:v>1599.2</c:v>
                </c:pt>
                <c:pt idx="10">
                  <c:v>1835.4</c:v>
                </c:pt>
                <c:pt idx="11">
                  <c:v>1907.1</c:v>
                </c:pt>
                <c:pt idx="12">
                  <c:v>1890.3</c:v>
                </c:pt>
                <c:pt idx="13">
                  <c:v>2120.1</c:v>
                </c:pt>
                <c:pt idx="14">
                  <c:v>2234.3000000000002</c:v>
                </c:pt>
                <c:pt idx="15">
                  <c:v>2290.4</c:v>
                </c:pt>
                <c:pt idx="16">
                  <c:v>2160.9</c:v>
                </c:pt>
                <c:pt idx="17">
                  <c:v>2299.9</c:v>
                </c:pt>
                <c:pt idx="18">
                  <c:v>2623.3</c:v>
                </c:pt>
                <c:pt idx="19">
                  <c:v>2787</c:v>
                </c:pt>
                <c:pt idx="20">
                  <c:v>2337.5</c:v>
                </c:pt>
                <c:pt idx="21">
                  <c:v>2421.6</c:v>
                </c:pt>
                <c:pt idx="22">
                  <c:v>2550.1</c:v>
                </c:pt>
                <c:pt idx="23">
                  <c:v>2712.1</c:v>
                </c:pt>
                <c:pt idx="24">
                  <c:v>2412.4</c:v>
                </c:pt>
                <c:pt idx="25">
                  <c:v>2448.9</c:v>
                </c:pt>
                <c:pt idx="26">
                  <c:v>2595.1</c:v>
                </c:pt>
                <c:pt idx="27">
                  <c:v>2797.3</c:v>
                </c:pt>
                <c:pt idx="28">
                  <c:v>2421.6</c:v>
                </c:pt>
              </c:numCache>
            </c:numRef>
          </c:val>
          <c:smooth val="1"/>
        </c:ser>
        <c:ser>
          <c:idx val="1"/>
          <c:order val="1"/>
          <c:tx>
            <c:strRef>
              <c:f>AT0020mE!$E$3</c:f>
              <c:strCache>
                <c:ptCount val="1"/>
                <c:pt idx="0">
                  <c:v>Imports</c:v>
                </c:pt>
              </c:strCache>
            </c:strRef>
          </c:tx>
          <c:spPr>
            <a:ln w="31750" cap="rnd">
              <a:solidFill>
                <a:schemeClr val="tx2">
                  <a:lumMod val="50000"/>
                </a:schemeClr>
              </a:solidFill>
              <a:round/>
            </a:ln>
            <a:effectLst>
              <a:outerShdw blurRad="50800" dist="38100" dir="2700000" algn="tl" rotWithShape="0">
                <a:prstClr val="black">
                  <a:alpha val="40000"/>
                </a:prstClr>
              </a:outerShdw>
            </a:effectLst>
          </c:spPr>
          <c:marker>
            <c:symbol val="none"/>
          </c:marker>
          <c:dLbls>
            <c:dLbl>
              <c:idx val="2"/>
              <c:layout>
                <c:manualLayout>
                  <c:x val="-6.6666666666666666E-2"/>
                  <c:y val="-4.16666666666666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8"/>
              <c:layout>
                <c:manualLayout>
                  <c:x val="0"/>
                  <c:y val="-4.202107776344189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AT0020mE!$B$4:$C$32</c:f>
              <c:multiLvlStrCache>
                <c:ptCount val="29"/>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lvl>
                <c:lvl>
                  <c:pt idx="0">
                    <c:v>2008</c:v>
                  </c:pt>
                  <c:pt idx="4">
                    <c:v>2009</c:v>
                  </c:pt>
                  <c:pt idx="8">
                    <c:v>2010</c:v>
                  </c:pt>
                  <c:pt idx="12">
                    <c:v>2011</c:v>
                  </c:pt>
                  <c:pt idx="16">
                    <c:v>2012</c:v>
                  </c:pt>
                  <c:pt idx="20">
                    <c:v>2013</c:v>
                  </c:pt>
                  <c:pt idx="24">
                    <c:v>2014</c:v>
                  </c:pt>
                  <c:pt idx="28">
                    <c:v>15</c:v>
                  </c:pt>
                </c:lvl>
              </c:multiLvlStrCache>
            </c:multiLvlStrRef>
          </c:cat>
          <c:val>
            <c:numRef>
              <c:f>AT0020mE!$E$4:$E$32</c:f>
              <c:numCache>
                <c:formatCode>0</c:formatCode>
                <c:ptCount val="29"/>
                <c:pt idx="0">
                  <c:v>2670</c:v>
                </c:pt>
                <c:pt idx="1">
                  <c:v>2752.5</c:v>
                </c:pt>
                <c:pt idx="2">
                  <c:v>2821.4</c:v>
                </c:pt>
                <c:pt idx="3">
                  <c:v>2466.8000000000002</c:v>
                </c:pt>
                <c:pt idx="4">
                  <c:v>1715.3</c:v>
                </c:pt>
                <c:pt idx="5">
                  <c:v>1574.1</c:v>
                </c:pt>
                <c:pt idx="6">
                  <c:v>1669.6</c:v>
                </c:pt>
                <c:pt idx="7">
                  <c:v>1742.4</c:v>
                </c:pt>
                <c:pt idx="8">
                  <c:v>1680.7</c:v>
                </c:pt>
                <c:pt idx="9">
                  <c:v>1928.6</c:v>
                </c:pt>
                <c:pt idx="10">
                  <c:v>2309.6</c:v>
                </c:pt>
                <c:pt idx="11">
                  <c:v>2493</c:v>
                </c:pt>
                <c:pt idx="12">
                  <c:v>2359.5</c:v>
                </c:pt>
                <c:pt idx="13">
                  <c:v>2638.6</c:v>
                </c:pt>
                <c:pt idx="14">
                  <c:v>2980.5</c:v>
                </c:pt>
                <c:pt idx="15">
                  <c:v>3004.7</c:v>
                </c:pt>
                <c:pt idx="16">
                  <c:v>2857.7</c:v>
                </c:pt>
                <c:pt idx="17">
                  <c:v>3063.4</c:v>
                </c:pt>
                <c:pt idx="18">
                  <c:v>3238.6</c:v>
                </c:pt>
                <c:pt idx="19">
                  <c:v>3352.6</c:v>
                </c:pt>
                <c:pt idx="20">
                  <c:v>3016.9</c:v>
                </c:pt>
                <c:pt idx="21">
                  <c:v>3060.9</c:v>
                </c:pt>
                <c:pt idx="22">
                  <c:v>3293.8</c:v>
                </c:pt>
                <c:pt idx="23">
                  <c:v>3263.5</c:v>
                </c:pt>
                <c:pt idx="24">
                  <c:v>3020.4</c:v>
                </c:pt>
                <c:pt idx="25">
                  <c:v>3061.4</c:v>
                </c:pt>
                <c:pt idx="26">
                  <c:v>3228.5</c:v>
                </c:pt>
                <c:pt idx="27">
                  <c:v>3366.6</c:v>
                </c:pt>
                <c:pt idx="28">
                  <c:v>2897.4</c:v>
                </c:pt>
              </c:numCache>
            </c:numRef>
          </c:val>
          <c:smooth val="1"/>
        </c:ser>
        <c:dLbls>
          <c:showLegendKey val="0"/>
          <c:showVal val="0"/>
          <c:showCatName val="0"/>
          <c:showSerName val="0"/>
          <c:showPercent val="0"/>
          <c:showBubbleSize val="0"/>
        </c:dLbls>
        <c:marker val="1"/>
        <c:smooth val="0"/>
        <c:axId val="288200848"/>
        <c:axId val="288201240"/>
      </c:lineChart>
      <c:catAx>
        <c:axId val="288200848"/>
        <c:scaling>
          <c:orientation val="minMax"/>
        </c:scaling>
        <c:delete val="0"/>
        <c:axPos val="b"/>
        <c:numFmt formatCode="General" sourceLinked="1"/>
        <c:majorTickMark val="none"/>
        <c:minorTickMark val="none"/>
        <c:tickLblPos val="low"/>
        <c:spPr>
          <a:noFill/>
          <a:ln w="0" cap="flat" cmpd="sng" algn="ctr">
            <a:solidFill>
              <a:schemeClr val="tx1">
                <a:lumMod val="15000"/>
                <a:lumOff val="85000"/>
              </a:schemeClr>
            </a:solidFill>
            <a:round/>
          </a:ln>
          <a:effectLst>
            <a:glow>
              <a:schemeClr val="accent1">
                <a:alpha val="40000"/>
              </a:schemeClr>
            </a:glow>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lv-LV"/>
          </a:p>
        </c:txPr>
        <c:crossAx val="288201240"/>
        <c:crosses val="autoZero"/>
        <c:auto val="1"/>
        <c:lblAlgn val="ctr"/>
        <c:lblOffset val="100"/>
        <c:noMultiLvlLbl val="0"/>
      </c:catAx>
      <c:valAx>
        <c:axId val="288201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8200848"/>
        <c:crosses val="autoZero"/>
        <c:crossBetween val="between"/>
        <c:majorUnit val="1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736993085351466E-2"/>
          <c:y val="5.9896542335965149E-2"/>
          <c:w val="0.89577612995823153"/>
          <c:h val="0.56358959077841919"/>
        </c:manualLayout>
      </c:layout>
      <c:barChart>
        <c:barDir val="col"/>
        <c:grouping val="stacked"/>
        <c:varyColors val="0"/>
        <c:ser>
          <c:idx val="0"/>
          <c:order val="0"/>
          <c:tx>
            <c:strRef>
              <c:f>Sheet1!$A$5</c:f>
              <c:strCache>
                <c:ptCount val="1"/>
                <c:pt idx="0">
                  <c:v>Valsts konsolidētais budžets</c:v>
                </c:pt>
              </c:strCache>
            </c:strRef>
          </c:tx>
          <c:spPr>
            <a:solidFill>
              <a:schemeClr val="bg1">
                <a:lumMod val="75000"/>
              </a:schemeClr>
            </a:solidFill>
            <a:ln>
              <a:noFill/>
            </a:ln>
            <a:effectLst/>
          </c:spPr>
          <c:invertIfNegative val="0"/>
          <c:cat>
            <c:multiLvlStrRef>
              <c:f>Sheet1!$B$3:$N$4</c:f>
              <c:multiLvlStrCache>
                <c:ptCount val="13"/>
                <c:lvl>
                  <c:pt idx="0">
                    <c:v>I cet.</c:v>
                  </c:pt>
                  <c:pt idx="1">
                    <c:v>I-II cet.</c:v>
                  </c:pt>
                  <c:pt idx="2">
                    <c:v>I-III cet.</c:v>
                  </c:pt>
                  <c:pt idx="3">
                    <c:v>I-IV cet.</c:v>
                  </c:pt>
                  <c:pt idx="4">
                    <c:v>I cet.</c:v>
                  </c:pt>
                  <c:pt idx="5">
                    <c:v>I-II cet.</c:v>
                  </c:pt>
                  <c:pt idx="6">
                    <c:v>I-III cet.</c:v>
                  </c:pt>
                  <c:pt idx="7">
                    <c:v>I-IV cet.</c:v>
                  </c:pt>
                  <c:pt idx="8">
                    <c:v>I cet.</c:v>
                  </c:pt>
                  <c:pt idx="9">
                    <c:v>I-II cet.</c:v>
                  </c:pt>
                  <c:pt idx="10">
                    <c:v>I-III cet.</c:v>
                  </c:pt>
                  <c:pt idx="11">
                    <c:v>I-IV cet.</c:v>
                  </c:pt>
                  <c:pt idx="12">
                    <c:v>I cet.</c:v>
                  </c:pt>
                </c:lvl>
                <c:lvl>
                  <c:pt idx="0">
                    <c:v>2012</c:v>
                  </c:pt>
                  <c:pt idx="4">
                    <c:v>2013</c:v>
                  </c:pt>
                  <c:pt idx="8">
                    <c:v>2014</c:v>
                  </c:pt>
                  <c:pt idx="12">
                    <c:v>2015</c:v>
                  </c:pt>
                </c:lvl>
              </c:multiLvlStrCache>
            </c:multiLvlStrRef>
          </c:cat>
          <c:val>
            <c:numRef>
              <c:f>Sheet1!$B$5:$N$5</c:f>
              <c:numCache>
                <c:formatCode>0.0</c:formatCode>
                <c:ptCount val="13"/>
                <c:pt idx="0">
                  <c:v>-154.51889696133026</c:v>
                </c:pt>
                <c:pt idx="1">
                  <c:v>147.22902445087627</c:v>
                </c:pt>
                <c:pt idx="2">
                  <c:v>442.662242076045</c:v>
                </c:pt>
                <c:pt idx="3">
                  <c:v>-320.20646982657632</c:v>
                </c:pt>
                <c:pt idx="4">
                  <c:v>-16.672122765982451</c:v>
                </c:pt>
                <c:pt idx="5">
                  <c:v>161.2415485101605</c:v>
                </c:pt>
                <c:pt idx="6">
                  <c:v>205.6701939285087</c:v>
                </c:pt>
                <c:pt idx="7">
                  <c:v>-358.50478749326732</c:v>
                </c:pt>
                <c:pt idx="8">
                  <c:v>-51.261864100000324</c:v>
                </c:pt>
                <c:pt idx="9">
                  <c:v>270.86150246</c:v>
                </c:pt>
                <c:pt idx="10">
                  <c:v>79.297546680000721</c:v>
                </c:pt>
                <c:pt idx="11">
                  <c:v>-611.93647271000248</c:v>
                </c:pt>
                <c:pt idx="12">
                  <c:v>-31.080387010000511</c:v>
                </c:pt>
              </c:numCache>
            </c:numRef>
          </c:val>
        </c:ser>
        <c:ser>
          <c:idx val="1"/>
          <c:order val="1"/>
          <c:tx>
            <c:strRef>
              <c:f>Sheet1!$A$6</c:f>
              <c:strCache>
                <c:ptCount val="1"/>
                <c:pt idx="0">
                  <c:v>Pašvaldību konsolidētais budžets</c:v>
                </c:pt>
              </c:strCache>
            </c:strRef>
          </c:tx>
          <c:spPr>
            <a:solidFill>
              <a:srgbClr val="C00000"/>
            </a:solidFill>
            <a:ln>
              <a:noFill/>
            </a:ln>
            <a:effectLst/>
          </c:spPr>
          <c:invertIfNegative val="0"/>
          <c:cat>
            <c:multiLvlStrRef>
              <c:f>Sheet1!$B$3:$N$4</c:f>
              <c:multiLvlStrCache>
                <c:ptCount val="13"/>
                <c:lvl>
                  <c:pt idx="0">
                    <c:v>I cet.</c:v>
                  </c:pt>
                  <c:pt idx="1">
                    <c:v>I-II cet.</c:v>
                  </c:pt>
                  <c:pt idx="2">
                    <c:v>I-III cet.</c:v>
                  </c:pt>
                  <c:pt idx="3">
                    <c:v>I-IV cet.</c:v>
                  </c:pt>
                  <c:pt idx="4">
                    <c:v>I cet.</c:v>
                  </c:pt>
                  <c:pt idx="5">
                    <c:v>I-II cet.</c:v>
                  </c:pt>
                  <c:pt idx="6">
                    <c:v>I-III cet.</c:v>
                  </c:pt>
                  <c:pt idx="7">
                    <c:v>I-IV cet.</c:v>
                  </c:pt>
                  <c:pt idx="8">
                    <c:v>I cet.</c:v>
                  </c:pt>
                  <c:pt idx="9">
                    <c:v>I-II cet.</c:v>
                  </c:pt>
                  <c:pt idx="10">
                    <c:v>I-III cet.</c:v>
                  </c:pt>
                  <c:pt idx="11">
                    <c:v>I-IV cet.</c:v>
                  </c:pt>
                  <c:pt idx="12">
                    <c:v>I cet.</c:v>
                  </c:pt>
                </c:lvl>
                <c:lvl>
                  <c:pt idx="0">
                    <c:v>2012</c:v>
                  </c:pt>
                  <c:pt idx="4">
                    <c:v>2013</c:v>
                  </c:pt>
                  <c:pt idx="8">
                    <c:v>2014</c:v>
                  </c:pt>
                  <c:pt idx="12">
                    <c:v>2015</c:v>
                  </c:pt>
                </c:lvl>
              </c:multiLvlStrCache>
            </c:multiLvlStrRef>
          </c:cat>
          <c:val>
            <c:numRef>
              <c:f>Sheet1!$B$6:$N$6</c:f>
              <c:numCache>
                <c:formatCode>0.0</c:formatCode>
                <c:ptCount val="13"/>
                <c:pt idx="0">
                  <c:v>91.984116481765895</c:v>
                </c:pt>
                <c:pt idx="1">
                  <c:v>3.9901935674811138</c:v>
                </c:pt>
                <c:pt idx="2">
                  <c:v>-45.672318313498486</c:v>
                </c:pt>
                <c:pt idx="3">
                  <c:v>-127.07898929957123</c:v>
                </c:pt>
                <c:pt idx="4">
                  <c:v>61.945687558553665</c:v>
                </c:pt>
                <c:pt idx="5">
                  <c:v>29.065581584623892</c:v>
                </c:pt>
                <c:pt idx="6">
                  <c:v>-69.176498710878136</c:v>
                </c:pt>
                <c:pt idx="7">
                  <c:v>-141.16825743735012</c:v>
                </c:pt>
                <c:pt idx="8">
                  <c:v>78.225201999999996</c:v>
                </c:pt>
                <c:pt idx="9">
                  <c:v>-21.957257999999999</c:v>
                </c:pt>
                <c:pt idx="10">
                  <c:v>-40.556997000000003</c:v>
                </c:pt>
                <c:pt idx="11">
                  <c:v>-101.668464</c:v>
                </c:pt>
                <c:pt idx="12">
                  <c:v>65.581736000000006</c:v>
                </c:pt>
              </c:numCache>
            </c:numRef>
          </c:val>
        </c:ser>
        <c:dLbls>
          <c:showLegendKey val="0"/>
          <c:showVal val="0"/>
          <c:showCatName val="0"/>
          <c:showSerName val="0"/>
          <c:showPercent val="0"/>
          <c:showBubbleSize val="0"/>
        </c:dLbls>
        <c:gapWidth val="219"/>
        <c:overlap val="100"/>
        <c:axId val="288202024"/>
        <c:axId val="288202416"/>
      </c:barChart>
      <c:lineChart>
        <c:grouping val="standard"/>
        <c:varyColors val="0"/>
        <c:ser>
          <c:idx val="2"/>
          <c:order val="2"/>
          <c:tx>
            <c:strRef>
              <c:f>Sheet1!$A$7</c:f>
              <c:strCache>
                <c:ptCount val="1"/>
                <c:pt idx="0">
                  <c:v>Konsolidētais kopbudžets</c:v>
                </c:pt>
              </c:strCache>
            </c:strRef>
          </c:tx>
          <c:spPr>
            <a:ln w="12700" cap="rnd">
              <a:solidFill>
                <a:schemeClr val="tx1"/>
              </a:solidFill>
              <a:round/>
            </a:ln>
            <a:effectLst/>
          </c:spPr>
          <c:marker>
            <c:symbol val="triangle"/>
            <c:size val="6"/>
            <c:spPr>
              <a:solidFill>
                <a:schemeClr val="tx1"/>
              </a:solidFill>
              <a:ln w="9525">
                <a:solidFill>
                  <a:schemeClr val="tx1"/>
                </a:solidFill>
              </a:ln>
              <a:effectLst/>
            </c:spPr>
          </c:marker>
          <c:dLbls>
            <c:dLbl>
              <c:idx val="5"/>
              <c:layout>
                <c:manualLayout>
                  <c:x val="-1.2456581783180933E-2"/>
                  <c:y val="-4.694833945202046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86848726747714E-2"/>
                  <c:y val="-4.22535055068184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2.4078979051288226E-3"/>
                  <c:y val="-1.089028042472093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Sheet1!$B$3:$N$4</c:f>
              <c:multiLvlStrCache>
                <c:ptCount val="13"/>
                <c:lvl>
                  <c:pt idx="0">
                    <c:v>I cet.</c:v>
                  </c:pt>
                  <c:pt idx="1">
                    <c:v>I-II cet.</c:v>
                  </c:pt>
                  <c:pt idx="2">
                    <c:v>I-III cet.</c:v>
                  </c:pt>
                  <c:pt idx="3">
                    <c:v>I-IV cet.</c:v>
                  </c:pt>
                  <c:pt idx="4">
                    <c:v>I cet.</c:v>
                  </c:pt>
                  <c:pt idx="5">
                    <c:v>I-II cet.</c:v>
                  </c:pt>
                  <c:pt idx="6">
                    <c:v>I-III cet.</c:v>
                  </c:pt>
                  <c:pt idx="7">
                    <c:v>I-IV cet.</c:v>
                  </c:pt>
                  <c:pt idx="8">
                    <c:v>I cet.</c:v>
                  </c:pt>
                  <c:pt idx="9">
                    <c:v>I-II cet.</c:v>
                  </c:pt>
                  <c:pt idx="10">
                    <c:v>I-III cet.</c:v>
                  </c:pt>
                  <c:pt idx="11">
                    <c:v>I-IV cet.</c:v>
                  </c:pt>
                  <c:pt idx="12">
                    <c:v>I cet.</c:v>
                  </c:pt>
                </c:lvl>
                <c:lvl>
                  <c:pt idx="0">
                    <c:v>2012</c:v>
                  </c:pt>
                  <c:pt idx="4">
                    <c:v>2013</c:v>
                  </c:pt>
                  <c:pt idx="8">
                    <c:v>2014</c:v>
                  </c:pt>
                  <c:pt idx="12">
                    <c:v>2015</c:v>
                  </c:pt>
                </c:lvl>
              </c:multiLvlStrCache>
            </c:multiLvlStrRef>
          </c:cat>
          <c:val>
            <c:numRef>
              <c:f>Sheet1!$B$7:$N$7</c:f>
              <c:numCache>
                <c:formatCode>0.0</c:formatCode>
                <c:ptCount val="13"/>
                <c:pt idx="0">
                  <c:v>-62.53478047956434</c:v>
                </c:pt>
                <c:pt idx="1">
                  <c:v>151.21921801835737</c:v>
                </c:pt>
                <c:pt idx="2">
                  <c:v>396.98992376254648</c:v>
                </c:pt>
                <c:pt idx="3">
                  <c:v>-447.28545912614743</c:v>
                </c:pt>
                <c:pt idx="4">
                  <c:v>45.27356479257125</c:v>
                </c:pt>
                <c:pt idx="5">
                  <c:v>190.30713009478433</c:v>
                </c:pt>
                <c:pt idx="6">
                  <c:v>136.49369521763052</c:v>
                </c:pt>
                <c:pt idx="7">
                  <c:v>-499.67304493061755</c:v>
                </c:pt>
                <c:pt idx="8">
                  <c:v>26.963337899999917</c:v>
                </c:pt>
                <c:pt idx="9">
                  <c:v>248.90424445999997</c:v>
                </c:pt>
                <c:pt idx="10">
                  <c:v>38.740549680000726</c:v>
                </c:pt>
                <c:pt idx="11">
                  <c:v>-713.60493671000245</c:v>
                </c:pt>
                <c:pt idx="12">
                  <c:v>34.501348989999485</c:v>
                </c:pt>
              </c:numCache>
            </c:numRef>
          </c:val>
          <c:smooth val="1"/>
        </c:ser>
        <c:dLbls>
          <c:showLegendKey val="0"/>
          <c:showVal val="0"/>
          <c:showCatName val="0"/>
          <c:showSerName val="0"/>
          <c:showPercent val="0"/>
          <c:showBubbleSize val="0"/>
        </c:dLbls>
        <c:marker val="1"/>
        <c:smooth val="0"/>
        <c:axId val="288202024"/>
        <c:axId val="288202416"/>
      </c:lineChart>
      <c:catAx>
        <c:axId val="2882020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288202416"/>
        <c:crosses val="autoZero"/>
        <c:auto val="1"/>
        <c:lblAlgn val="ctr"/>
        <c:lblOffset val="100"/>
        <c:noMultiLvlLbl val="0"/>
      </c:catAx>
      <c:valAx>
        <c:axId val="288202416"/>
        <c:scaling>
          <c:orientation val="minMax"/>
          <c:max val="500"/>
          <c:min val="-7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288202024"/>
        <c:crosses val="autoZero"/>
        <c:crossBetween val="between"/>
        <c:majorUnit val="250"/>
      </c:valAx>
      <c:spPr>
        <a:noFill/>
        <a:ln>
          <a:noFill/>
        </a:ln>
        <a:effectLst/>
      </c:spPr>
    </c:plotArea>
    <c:legend>
      <c:legendPos val="b"/>
      <c:layout>
        <c:manualLayout>
          <c:xMode val="edge"/>
          <c:yMode val="edge"/>
          <c:x val="3.7671278328350031E-3"/>
          <c:y val="0.85161864295958378"/>
          <c:w val="0.9876499485240724"/>
          <c:h val="0.115710515766253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453998250218725"/>
          <c:y val="0.25906672763264887"/>
          <c:w val="0.68682909620439214"/>
          <c:h val="0.5986476876055221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scene3d>
                <a:camera prst="orthographicFront"/>
                <a:lightRig rig="threePt" dir="t"/>
              </a:scene3d>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5.5561379046778613E-3"/>
                  <c:y val="-6.7181891805443081E-2"/>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E25DFCB0-D16E-4C1F-B844-7C0B9F80BE7B}" type="CATEGORYNAME">
                      <a:rPr lang="en-US" b="0">
                        <a:solidFill>
                          <a:sysClr val="windowText" lastClr="000000"/>
                        </a:solidFill>
                      </a:rPr>
                      <a:pPr>
                        <a:defRPr b="0">
                          <a:solidFill>
                            <a:sysClr val="windowText" lastClr="000000"/>
                          </a:solidFill>
                        </a:defRPr>
                      </a:pPr>
                      <a:t>[CATEGORY NAME]</a:t>
                    </a:fld>
                    <a:r>
                      <a:rPr lang="en-US" b="0" baseline="0">
                        <a:solidFill>
                          <a:sysClr val="windowText" lastClr="000000"/>
                        </a:solidFill>
                      </a:rPr>
                      <a:t>
</a:t>
                    </a:r>
                    <a:fld id="{89B6DB5C-584E-4F59-AA81-834FE58A17B2}" type="PERCENTAGE">
                      <a:rPr lang="en-US" b="1" baseline="0">
                        <a:solidFill>
                          <a:sysClr val="windowText" lastClr="000000"/>
                        </a:solidFill>
                      </a:rPr>
                      <a:pPr>
                        <a:defRPr b="0">
                          <a:solidFill>
                            <a:sysClr val="windowText" lastClr="000000"/>
                          </a:solidFill>
                        </a:defRPr>
                      </a:pPr>
                      <a:t>[PERCENTAGE]</a:t>
                    </a:fld>
                    <a:endParaRPr lang="en-US" b="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layout>
                <c:manualLayout>
                  <c:x val="-2.4721105575893264E-2"/>
                  <c:y val="0.12993592464165563"/>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8FC3E89D-70A7-44A1-95B0-358FAC72252E}" type="CATEGORYNAME">
                      <a:rPr lang="en-US" b="0">
                        <a:solidFill>
                          <a:sysClr val="windowText" lastClr="000000"/>
                        </a:solidFill>
                      </a:rPr>
                      <a:pPr>
                        <a:defRPr b="0">
                          <a:solidFill>
                            <a:sysClr val="windowText" lastClr="000000"/>
                          </a:solidFill>
                        </a:defRPr>
                      </a:pPr>
                      <a:t>[CATEGORY NAME]</a:t>
                    </a:fld>
                    <a:r>
                      <a:rPr lang="en-US" b="0" baseline="0">
                        <a:solidFill>
                          <a:sysClr val="windowText" lastClr="000000"/>
                        </a:solidFill>
                      </a:rPr>
                      <a:t>
</a:t>
                    </a:r>
                    <a:fld id="{F45C616F-0522-4FF4-A3DC-92679E6CBCE1}" type="PERCENTAGE">
                      <a:rPr lang="en-US" b="1" baseline="0">
                        <a:solidFill>
                          <a:sysClr val="windowText" lastClr="000000"/>
                        </a:solidFill>
                      </a:rPr>
                      <a:pPr>
                        <a:defRPr b="0">
                          <a:solidFill>
                            <a:sysClr val="windowText" lastClr="000000"/>
                          </a:solidFill>
                        </a:defRPr>
                      </a:pPr>
                      <a:t>[PERCENTAGE]</a:t>
                    </a:fld>
                    <a:endParaRPr lang="en-US" b="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1521590647809602"/>
                      <c:h val="0.1737775714836349"/>
                    </c:manualLayout>
                  </c15:layout>
                  <c15:dlblFieldTable/>
                  <c15:showDataLabelsRange val="0"/>
                </c:ext>
              </c:extLst>
            </c:dLbl>
            <c:dLbl>
              <c:idx val="2"/>
              <c:layout>
                <c:manualLayout>
                  <c:x val="0.10064258300355618"/>
                  <c:y val="3.0940458285410952E-2"/>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78C4D2F6-A2A2-4E1D-AD9A-2B53EBC8C722}" type="CATEGORYNAME">
                      <a:rPr lang="en-US" b="0">
                        <a:solidFill>
                          <a:sysClr val="windowText" lastClr="000000"/>
                        </a:solidFill>
                      </a:rPr>
                      <a:pPr>
                        <a:defRPr b="0">
                          <a:solidFill>
                            <a:sysClr val="windowText" lastClr="000000"/>
                          </a:solidFill>
                        </a:defRPr>
                      </a:pPr>
                      <a:t>[CATEGORY NAME]</a:t>
                    </a:fld>
                    <a:r>
                      <a:rPr lang="en-US" b="0" baseline="0">
                        <a:solidFill>
                          <a:sysClr val="windowText" lastClr="000000"/>
                        </a:solidFill>
                      </a:rPr>
                      <a:t>
</a:t>
                    </a:r>
                    <a:fld id="{03F40598-193B-4D69-AE67-C8FC8F0F9DCD}" type="PERCENTAGE">
                      <a:rPr lang="en-US" b="1" baseline="0">
                        <a:solidFill>
                          <a:sysClr val="windowText" lastClr="000000"/>
                        </a:solidFill>
                      </a:rPr>
                      <a:pPr>
                        <a:defRPr b="0">
                          <a:solidFill>
                            <a:sysClr val="windowText" lastClr="000000"/>
                          </a:solidFill>
                        </a:defRPr>
                      </a:pPr>
                      <a:t>[PERCENTAGE]</a:t>
                    </a:fld>
                    <a:endParaRPr lang="en-US" b="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3"/>
              <c:layout>
                <c:manualLayout>
                  <c:x val="-2.3840769903762028E-2"/>
                  <c:y val="-8.1996325613105131E-2"/>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FF240A19-7726-4702-ACD0-FECA0E2971E4}" type="CATEGORYNAME">
                      <a:rPr lang="en-US" b="0">
                        <a:solidFill>
                          <a:sysClr val="windowText" lastClr="000000"/>
                        </a:solidFill>
                      </a:rPr>
                      <a:pPr>
                        <a:defRPr b="0">
                          <a:solidFill>
                            <a:sysClr val="windowText" lastClr="000000"/>
                          </a:solidFill>
                        </a:defRPr>
                      </a:pPr>
                      <a:t>[CATEGORY NAME]</a:t>
                    </a:fld>
                    <a:r>
                      <a:rPr lang="en-US" b="0" baseline="0">
                        <a:solidFill>
                          <a:sysClr val="windowText" lastClr="000000"/>
                        </a:solidFill>
                      </a:rPr>
                      <a:t>
</a:t>
                    </a:r>
                    <a:fld id="{60834217-2C87-49F5-9738-AE8F57216E53}" type="PERCENTAGE">
                      <a:rPr lang="en-US" b="1" baseline="0">
                        <a:solidFill>
                          <a:sysClr val="windowText" lastClr="000000"/>
                        </a:solidFill>
                      </a:rPr>
                      <a:pPr>
                        <a:defRPr b="0">
                          <a:solidFill>
                            <a:sysClr val="windowText" lastClr="000000"/>
                          </a:solidFill>
                        </a:defRPr>
                      </a:pPr>
                      <a:t>[PERCENTAGE]</a:t>
                    </a:fld>
                    <a:endParaRPr lang="en-US" b="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4"/>
              <c:layout>
                <c:manualLayout>
                  <c:x val="-5.2021872265966751E-3"/>
                  <c:y val="-6.8715415723199835E-2"/>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51802534-3AF0-4AAD-9E7E-A9211C108496}" type="CATEGORYNAME">
                      <a:rPr lang="en-US" b="0">
                        <a:solidFill>
                          <a:sysClr val="windowText" lastClr="000000"/>
                        </a:solidFill>
                      </a:rPr>
                      <a:pPr>
                        <a:defRPr b="0">
                          <a:solidFill>
                            <a:sysClr val="windowText" lastClr="000000"/>
                          </a:solidFill>
                        </a:defRPr>
                      </a:pPr>
                      <a:t>[CATEGORY NAME]</a:t>
                    </a:fld>
                    <a:r>
                      <a:rPr lang="en-US" b="0" baseline="0">
                        <a:solidFill>
                          <a:sysClr val="windowText" lastClr="000000"/>
                        </a:solidFill>
                      </a:rPr>
                      <a:t>
</a:t>
                    </a:r>
                    <a:fld id="{8D888DB0-78F2-41F5-BF9F-E32331F498BB}" type="PERCENTAGE">
                      <a:rPr lang="en-US" b="1" baseline="0">
                        <a:solidFill>
                          <a:sysClr val="windowText" lastClr="000000"/>
                        </a:solidFill>
                      </a:rPr>
                      <a:pPr>
                        <a:defRPr b="0">
                          <a:solidFill>
                            <a:sysClr val="windowText" lastClr="000000"/>
                          </a:solidFill>
                        </a:defRPr>
                      </a:pPr>
                      <a:t>[PERCENTAGE]</a:t>
                    </a:fld>
                    <a:endParaRPr lang="en-US" b="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5"/>
              <c:layout>
                <c:manualLayout>
                  <c:x val="9.133035870516186E-2"/>
                  <c:y val="-2.3789054050724078E-2"/>
                </c:manualLayout>
              </c:layout>
              <c:tx>
                <c:rich>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fld id="{3C79AE5A-7CF7-4396-9E59-EC4CB8B6EB8E}" type="CATEGORYNAME">
                      <a:rPr lang="en-US" b="0">
                        <a:solidFill>
                          <a:sysClr val="windowText" lastClr="000000"/>
                        </a:solidFill>
                      </a:rPr>
                      <a:pPr>
                        <a:defRPr b="0">
                          <a:solidFill>
                            <a:sysClr val="windowText" lastClr="000000"/>
                          </a:solidFill>
                        </a:defRPr>
                      </a:pPr>
                      <a:t>[CATEGORY NAME]</a:t>
                    </a:fld>
                    <a:r>
                      <a:rPr lang="en-US" b="0" baseline="0">
                        <a:solidFill>
                          <a:sysClr val="windowText" lastClr="000000"/>
                        </a:solidFill>
                      </a:rPr>
                      <a:t>
</a:t>
                    </a:r>
                    <a:fld id="{F139D646-9A4C-4095-B3F7-2D632528DE4D}" type="PERCENTAGE">
                      <a:rPr lang="en-US" b="1" baseline="0">
                        <a:solidFill>
                          <a:sysClr val="windowText" lastClr="000000"/>
                        </a:solidFill>
                      </a:rPr>
                      <a:pPr>
                        <a:defRPr b="0">
                          <a:solidFill>
                            <a:sysClr val="windowText" lastClr="000000"/>
                          </a:solidFill>
                        </a:defRPr>
                      </a:pPr>
                      <a:t>[PERCENTAGE]</a:t>
                    </a:fld>
                    <a:endParaRPr lang="en-US" b="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numFmt formatCode="0.0%" sourceLinked="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ipatsv_3men!$A$6:$A$11</c:f>
              <c:strCache>
                <c:ptCount val="6"/>
                <c:pt idx="0">
                  <c:v>Kārtējie izdevumi</c:v>
                </c:pt>
                <c:pt idx="1">
                  <c:v>Procentu izdevumi</c:v>
                </c:pt>
                <c:pt idx="2">
                  <c:v>Subsīdijas, dotācijas un sociālie pabalsti</c:v>
                </c:pt>
                <c:pt idx="3">
                  <c:v>Kārtējie izdevumi Eiropas Kopienas budžetā un starptautiskā sadarbība</c:v>
                </c:pt>
                <c:pt idx="4">
                  <c:v>Uzturēšanas izdevumu transferti</c:v>
                </c:pt>
                <c:pt idx="5">
                  <c:v>Kapitālie izdevumi</c:v>
                </c:pt>
              </c:strCache>
            </c:strRef>
          </c:cat>
          <c:val>
            <c:numRef>
              <c:f>ipatsv_3men!$E$6:$E$11</c:f>
              <c:numCache>
                <c:formatCode>0.0%</c:formatCode>
                <c:ptCount val="6"/>
                <c:pt idx="0">
                  <c:v>0.24451486962397415</c:v>
                </c:pt>
                <c:pt idx="1">
                  <c:v>0.1078808005453277</c:v>
                </c:pt>
                <c:pt idx="2">
                  <c:v>0.3504292634159259</c:v>
                </c:pt>
                <c:pt idx="3">
                  <c:v>8.3290410215329486E-2</c:v>
                </c:pt>
                <c:pt idx="4">
                  <c:v>0.16578302356077224</c:v>
                </c:pt>
                <c:pt idx="5">
                  <c:v>4.8101632638670476E-2</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4.4206557513644128E-2"/>
          <c:w val="1"/>
          <c:h val="0.9142115568887222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dLbl>
              <c:idx val="0"/>
              <c:layout>
                <c:manualLayout>
                  <c:x val="3.8591579289121776E-2"/>
                  <c:y val="-1.7706120068315093E-4"/>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EFB7F69-0A91-4E42-8461-FB8B04547184}" type="CATEGORYNAME">
                      <a:rPr lang="en-US" sz="100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en-US" sz="1000" baseline="0">
                        <a:solidFill>
                          <a:sysClr val="windowText" lastClr="000000"/>
                        </a:solidFill>
                        <a:latin typeface="Times New Roman" panose="02020603050405020304" pitchFamily="18" charset="0"/>
                        <a:cs typeface="Times New Roman" panose="02020603050405020304" pitchFamily="18" charset="0"/>
                      </a:rPr>
                      <a:t>
</a:t>
                    </a:r>
                    <a:fld id="{9489BC9E-F8F7-4D9F-B049-E49A31CB5F41}" type="VALUE">
                      <a:rPr lang="en-US" sz="1000" b="1" baseline="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[VALUE]</a:t>
                    </a:fld>
                    <a:endParaRPr lang="en-US" sz="10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1"/>
              <c:delete val="1"/>
              <c:extLst>
                <c:ext xmlns:c15="http://schemas.microsoft.com/office/drawing/2012/chart" uri="{CE6537A1-D6FC-4f65-9D91-7224C49458BB}"/>
              </c:extLst>
            </c:dLbl>
            <c:dLbl>
              <c:idx val="2"/>
              <c:layout>
                <c:manualLayout>
                  <c:x val="0.12301391000476522"/>
                  <c:y val="0.26455026455026454"/>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5C22EE8-2D2D-4CEB-B43D-97F3DEBF8B6F}" type="CATEGORYNAME">
                      <a:rPr lang="en-US" sz="100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en-US" sz="1000" baseline="0">
                        <a:solidFill>
                          <a:sysClr val="windowText" lastClr="000000"/>
                        </a:solidFill>
                        <a:latin typeface="Times New Roman" panose="02020603050405020304" pitchFamily="18" charset="0"/>
                        <a:cs typeface="Times New Roman" panose="02020603050405020304" pitchFamily="18" charset="0"/>
                      </a:rPr>
                      <a:t>
</a:t>
                    </a:r>
                    <a:fld id="{C8512046-C8EF-46C1-BED7-3D9A9AC9AA2A}" type="VALUE">
                      <a:rPr lang="en-US" sz="1000" b="1" baseline="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[VALUE]</a:t>
                    </a:fld>
                    <a:endParaRPr lang="en-US" sz="10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ipatsv_3men!$H$6:$H$11</c:f>
              <c:strCache>
                <c:ptCount val="6"/>
                <c:pt idx="0">
                  <c:v>Kārtējie izdevumi</c:v>
                </c:pt>
                <c:pt idx="1">
                  <c:v>Procentu izdevumi</c:v>
                </c:pt>
                <c:pt idx="2">
                  <c:v>Subsīdijas, dotācijas un sociālie pabalsti</c:v>
                </c:pt>
                <c:pt idx="3">
                  <c:v>Kārtējie izdevumi Eiropas Kopienas budžetā un starptautiskā sadarbība</c:v>
                </c:pt>
                <c:pt idx="4">
                  <c:v>Uzturēšanas izdevumu transferti</c:v>
                </c:pt>
                <c:pt idx="5">
                  <c:v>Kapitālie izdevumi</c:v>
                </c:pt>
              </c:strCache>
            </c:strRef>
          </c:cat>
          <c:val>
            <c:numRef>
              <c:f>ipatsv_3men!$L$6:$L$11</c:f>
              <c:numCache>
                <c:formatCode>0.0%</c:formatCode>
                <c:ptCount val="6"/>
                <c:pt idx="0">
                  <c:v>5.5320391498272208E-3</c:v>
                </c:pt>
                <c:pt idx="1">
                  <c:v>0</c:v>
                </c:pt>
                <c:pt idx="2">
                  <c:v>0.99327294314065406</c:v>
                </c:pt>
                <c:pt idx="3">
                  <c:v>3.158120247429179E-5</c:v>
                </c:pt>
                <c:pt idx="4">
                  <c:v>9.7099613652639654E-4</c:v>
                </c:pt>
                <c:pt idx="5">
                  <c:v>1.9244037051801137E-4</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62984937366064"/>
          <c:y val="0.12354708966800038"/>
          <c:w val="0.54937056038914611"/>
          <c:h val="0.85812930740092019"/>
        </c:manualLayout>
      </c:layout>
      <c:barChart>
        <c:barDir val="bar"/>
        <c:grouping val="clustered"/>
        <c:varyColors val="0"/>
        <c:ser>
          <c:idx val="0"/>
          <c:order val="0"/>
          <c:tx>
            <c:strRef>
              <c:f>'\TAND\FISKĀLĀS ANALĪZES UN PROGNOZĒŠANAS NODAĻA\GG TABULAS\Dati\[Macro_parskats.xlsm]Chart4'!$N$27</c:f>
              <c:strCache>
                <c:ptCount val="1"/>
                <c:pt idx="0">
                  <c:v>2015</c:v>
                </c:pt>
              </c:strCache>
            </c:strRef>
          </c:tx>
          <c:spPr>
            <a:solidFill>
              <a:srgbClr val="DB303A"/>
            </a:solidFill>
          </c:spPr>
          <c:invertIfNegative val="0"/>
          <c:dPt>
            <c:idx val="0"/>
            <c:invertIfNegative val="0"/>
            <c:bubble3D val="0"/>
            <c:spPr>
              <a:solidFill>
                <a:srgbClr val="E19F2A"/>
              </a:solidFill>
              <a:ln w="9525">
                <a:solidFill>
                  <a:sysClr val="windowText" lastClr="000000"/>
                </a:solidFill>
                <a:prstDash val="solid"/>
              </a:ln>
            </c:spPr>
          </c:dPt>
          <c:dPt>
            <c:idx val="1"/>
            <c:invertIfNegative val="0"/>
            <c:bubble3D val="0"/>
            <c:spPr>
              <a:solidFill>
                <a:srgbClr val="E19F2A"/>
              </a:solidFill>
              <a:ln>
                <a:solidFill>
                  <a:schemeClr val="tx1"/>
                </a:solidFill>
              </a:ln>
            </c:spPr>
          </c:dPt>
          <c:dPt>
            <c:idx val="2"/>
            <c:invertIfNegative val="0"/>
            <c:bubble3D val="0"/>
            <c:spPr>
              <a:solidFill>
                <a:srgbClr val="E19F2A"/>
              </a:solidFill>
              <a:ln>
                <a:solidFill>
                  <a:schemeClr val="tx1"/>
                </a:solidFill>
              </a:ln>
            </c:spPr>
          </c:dPt>
          <c:dPt>
            <c:idx val="3"/>
            <c:invertIfNegative val="0"/>
            <c:bubble3D val="0"/>
            <c:spPr>
              <a:solidFill>
                <a:srgbClr val="E19F2A"/>
              </a:solidFill>
              <a:ln>
                <a:solidFill>
                  <a:schemeClr val="tx1"/>
                </a:solidFill>
              </a:ln>
            </c:spPr>
          </c:dPt>
          <c:dPt>
            <c:idx val="4"/>
            <c:invertIfNegative val="0"/>
            <c:bubble3D val="0"/>
            <c:spPr>
              <a:solidFill>
                <a:srgbClr val="E19F2A"/>
              </a:solidFill>
              <a:ln>
                <a:solidFill>
                  <a:schemeClr val="tx1"/>
                </a:solidFill>
              </a:ln>
            </c:spPr>
          </c:dPt>
          <c:dPt>
            <c:idx val="5"/>
            <c:invertIfNegative val="0"/>
            <c:bubble3D val="0"/>
            <c:spPr>
              <a:solidFill>
                <a:srgbClr val="DB303A"/>
              </a:solidFill>
              <a:ln w="9525">
                <a:solidFill>
                  <a:sysClr val="windowText" lastClr="000000"/>
                </a:solidFill>
                <a:prstDash val="solid"/>
              </a:ln>
            </c:spPr>
          </c:dPt>
          <c:dPt>
            <c:idx val="6"/>
            <c:invertIfNegative val="0"/>
            <c:bubble3D val="0"/>
            <c:spPr>
              <a:solidFill>
                <a:srgbClr val="DB303A"/>
              </a:solidFill>
              <a:ln>
                <a:solidFill>
                  <a:schemeClr val="tx2">
                    <a:lumMod val="50000"/>
                  </a:schemeClr>
                </a:solidFill>
              </a:ln>
            </c:spPr>
          </c:dPt>
          <c:dPt>
            <c:idx val="7"/>
            <c:invertIfNegative val="0"/>
            <c:bubble3D val="0"/>
            <c:spPr>
              <a:solidFill>
                <a:srgbClr val="DB303A"/>
              </a:solidFill>
              <a:ln>
                <a:solidFill>
                  <a:schemeClr val="tx2">
                    <a:lumMod val="50000"/>
                  </a:schemeClr>
                </a:solidFill>
              </a:ln>
            </c:spPr>
          </c:dPt>
          <c:dPt>
            <c:idx val="8"/>
            <c:invertIfNegative val="0"/>
            <c:bubble3D val="0"/>
            <c:spPr>
              <a:solidFill>
                <a:srgbClr val="DB303A"/>
              </a:solidFill>
              <a:ln>
                <a:solidFill>
                  <a:schemeClr val="tx2">
                    <a:lumMod val="50000"/>
                  </a:schemeClr>
                </a:solidFill>
              </a:ln>
            </c:spPr>
          </c:dPt>
          <c:dPt>
            <c:idx val="9"/>
            <c:invertIfNegative val="0"/>
            <c:bubble3D val="0"/>
            <c:spPr>
              <a:solidFill>
                <a:srgbClr val="DB303A"/>
              </a:solidFill>
              <a:ln>
                <a:solidFill>
                  <a:schemeClr val="tx2">
                    <a:lumMod val="50000"/>
                  </a:schemeClr>
                </a:solidFill>
              </a:ln>
            </c:spPr>
          </c:dPt>
          <c:dPt>
            <c:idx val="10"/>
            <c:invertIfNegative val="0"/>
            <c:bubble3D val="0"/>
            <c:spPr>
              <a:solidFill>
                <a:srgbClr val="DB303A"/>
              </a:solidFill>
              <a:ln>
                <a:solidFill>
                  <a:schemeClr val="tx2">
                    <a:lumMod val="50000"/>
                  </a:schemeClr>
                </a:solidFill>
              </a:ln>
            </c:spPr>
          </c:dPt>
          <c:dPt>
            <c:idx val="11"/>
            <c:invertIfNegative val="0"/>
            <c:bubble3D val="0"/>
            <c:spPr>
              <a:solidFill>
                <a:srgbClr val="DB303A"/>
              </a:solidFill>
              <a:ln>
                <a:solidFill>
                  <a:schemeClr val="tx2">
                    <a:lumMod val="50000"/>
                  </a:schemeClr>
                </a:solidFill>
              </a:ln>
            </c:spPr>
          </c:dPt>
          <c:dPt>
            <c:idx val="12"/>
            <c:invertIfNegative val="0"/>
            <c:bubble3D val="0"/>
            <c:spPr>
              <a:solidFill>
                <a:srgbClr val="DB303A"/>
              </a:solidFill>
              <a:ln>
                <a:solidFill>
                  <a:schemeClr val="tx2">
                    <a:lumMod val="50000"/>
                  </a:schemeClr>
                </a:solidFill>
              </a:ln>
            </c:spPr>
          </c:dPt>
          <c:dPt>
            <c:idx val="13"/>
            <c:invertIfNegative val="0"/>
            <c:bubble3D val="0"/>
            <c:spPr>
              <a:solidFill>
                <a:srgbClr val="DB303A"/>
              </a:solidFill>
              <a:ln>
                <a:solidFill>
                  <a:schemeClr val="tx1"/>
                </a:solidFill>
              </a:ln>
            </c:spPr>
          </c:dPt>
          <c:dLbls>
            <c:numFmt formatCode="#,##0.0" sourceLinked="0"/>
            <c:spPr>
              <a:noFill/>
              <a:ln>
                <a:noFill/>
              </a:ln>
              <a:effectLst/>
            </c:spPr>
            <c:txPr>
              <a:bodyPr/>
              <a:lstStyle/>
              <a:p>
                <a:pPr>
                  <a:defRPr sz="800"/>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'\TAND\FISKĀLĀS ANALĪZES UN PROGNOZĒŠANAS NODAĻA\GG TABULAS\Dati\[Macro_parskats.xlsm]Chart4'!$K$28:$K$39</c:f>
              <c:strCache>
                <c:ptCount val="12"/>
                <c:pt idx="0">
                  <c:v>Ieņēmumi kopā</c:v>
                </c:pt>
                <c:pt idx="1">
                  <c:v>Nodokļu ieņēmumi</c:v>
                </c:pt>
                <c:pt idx="2">
                  <c:v>Nenodokļu ieņēmumi</c:v>
                </c:pt>
                <c:pt idx="3">
                  <c:v>Pašu ieņēmumi  </c:v>
                </c:pt>
                <c:pt idx="4">
                  <c:v>Valsts budžeta transferti</c:v>
                </c:pt>
                <c:pt idx="5">
                  <c:v>Izdevumi kopā</c:v>
                </c:pt>
                <c:pt idx="6">
                  <c:v>Atlīdzība </c:v>
                </c:pt>
                <c:pt idx="7">
                  <c:v>Preces un pakalpojumi </c:v>
                </c:pt>
                <c:pt idx="8">
                  <c:v>Procentu izdevumi </c:v>
                </c:pt>
                <c:pt idx="9">
                  <c:v>Subsīdijas un dotācijas</c:v>
                </c:pt>
                <c:pt idx="10">
                  <c:v>Sociālie pabalsti</c:v>
                </c:pt>
                <c:pt idx="11">
                  <c:v>Kapitālie izdevumi</c:v>
                </c:pt>
              </c:strCache>
            </c:strRef>
          </c:cat>
          <c:val>
            <c:numRef>
              <c:f>'\TAND\FISKĀLĀS ANALĪZES UN PROGNOZĒŠANAS NODAĻA\GG TABULAS\Dati\[Macro_parskats.xlsm]Chart4'!$N$28:$N$39</c:f>
              <c:numCache>
                <c:formatCode>General</c:formatCode>
                <c:ptCount val="12"/>
                <c:pt idx="0">
                  <c:v>3.7031141285355798</c:v>
                </c:pt>
                <c:pt idx="1">
                  <c:v>6.0357519981649066</c:v>
                </c:pt>
                <c:pt idx="2">
                  <c:v>5.8544649860742402</c:v>
                </c:pt>
                <c:pt idx="3">
                  <c:v>1.5995049890642099</c:v>
                </c:pt>
                <c:pt idx="4">
                  <c:v>-0.23093815769501977</c:v>
                </c:pt>
                <c:pt idx="5">
                  <c:v>7.2660067090868559</c:v>
                </c:pt>
                <c:pt idx="6">
                  <c:v>16.248018134626239</c:v>
                </c:pt>
                <c:pt idx="7">
                  <c:v>4.6220801509002705</c:v>
                </c:pt>
                <c:pt idx="8">
                  <c:v>-8.2154715554587376</c:v>
                </c:pt>
                <c:pt idx="9">
                  <c:v>0.4155580876247667</c:v>
                </c:pt>
                <c:pt idx="10">
                  <c:v>-10.13978798704346</c:v>
                </c:pt>
                <c:pt idx="11">
                  <c:v>2.0738732095649675</c:v>
                </c:pt>
              </c:numCache>
            </c:numRef>
          </c:val>
        </c:ser>
        <c:dLbls>
          <c:dLblPos val="outEnd"/>
          <c:showLegendKey val="0"/>
          <c:showVal val="1"/>
          <c:showCatName val="0"/>
          <c:showSerName val="0"/>
          <c:showPercent val="0"/>
          <c:showBubbleSize val="0"/>
        </c:dLbls>
        <c:gapWidth val="61"/>
        <c:overlap val="100"/>
        <c:axId val="578118968"/>
        <c:axId val="578119360"/>
      </c:barChart>
      <c:catAx>
        <c:axId val="578118968"/>
        <c:scaling>
          <c:orientation val="maxMin"/>
        </c:scaling>
        <c:delete val="0"/>
        <c:axPos val="l"/>
        <c:numFmt formatCode="General" sourceLinked="0"/>
        <c:majorTickMark val="out"/>
        <c:minorTickMark val="none"/>
        <c:tickLblPos val="low"/>
        <c:txPr>
          <a:bodyPr/>
          <a:lstStyle/>
          <a:p>
            <a:pPr>
              <a:defRPr sz="800"/>
            </a:pPr>
            <a:endParaRPr lang="lv-LV"/>
          </a:p>
        </c:txPr>
        <c:crossAx val="578119360"/>
        <c:crosses val="autoZero"/>
        <c:auto val="1"/>
        <c:lblAlgn val="ctr"/>
        <c:lblOffset val="100"/>
        <c:noMultiLvlLbl val="0"/>
      </c:catAx>
      <c:valAx>
        <c:axId val="578119360"/>
        <c:scaling>
          <c:orientation val="minMax"/>
          <c:max val="25"/>
          <c:min val="-25"/>
        </c:scaling>
        <c:delete val="0"/>
        <c:axPos val="t"/>
        <c:majorGridlines>
          <c:spPr>
            <a:ln>
              <a:solidFill>
                <a:schemeClr val="bg1">
                  <a:lumMod val="85000"/>
                </a:schemeClr>
              </a:solidFill>
            </a:ln>
          </c:spPr>
        </c:majorGridlines>
        <c:numFmt formatCode="#,##0" sourceLinked="0"/>
        <c:majorTickMark val="out"/>
        <c:minorTickMark val="none"/>
        <c:tickLblPos val="nextTo"/>
        <c:txPr>
          <a:bodyPr/>
          <a:lstStyle/>
          <a:p>
            <a:pPr>
              <a:defRPr sz="800"/>
            </a:pPr>
            <a:endParaRPr lang="lv-LV"/>
          </a:p>
        </c:txPr>
        <c:crossAx val="578118968"/>
        <c:crosses val="autoZero"/>
        <c:crossBetween val="between"/>
        <c:majorUnit val="10"/>
      </c:valAx>
      <c:spPr>
        <a:noFill/>
        <a:ln>
          <a:solidFill>
            <a:schemeClr val="bg1">
              <a:lumMod val="50000"/>
            </a:schemeClr>
          </a:solidFill>
        </a:ln>
      </c:spPr>
    </c:plotArea>
    <c:plotVisOnly val="1"/>
    <c:dispBlanksAs val="gap"/>
    <c:showDLblsOverMax val="0"/>
  </c:chart>
  <c:spPr>
    <a:ln w="3175">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'IKP cet'!$F$3</c:f>
              <c:strCache>
                <c:ptCount val="1"/>
                <c:pt idx="0">
                  <c:v>pret iepriekšējā gada atbilstošo periodu (sezonāli neizlīdzināts)</c:v>
                </c:pt>
              </c:strCache>
            </c:strRef>
          </c:tx>
          <c:spPr>
            <a:solidFill>
              <a:schemeClr val="accent3"/>
            </a:solidFill>
            <a:ln>
              <a:noFill/>
            </a:ln>
            <a:effectLst>
              <a:outerShdw blurRad="50800" dist="38100" dir="2700000" algn="tl" rotWithShape="0">
                <a:prstClr val="black">
                  <a:alpha val="40000"/>
                </a:prstClr>
              </a:outerShdw>
            </a:effectLst>
          </c:spPr>
          <c:invertIfNegative val="0"/>
          <c:dLbls>
            <c:dLbl>
              <c:idx val="16"/>
              <c:layout/>
              <c:tx>
                <c:rich>
                  <a:bodyPr/>
                  <a:lstStyle/>
                  <a:p>
                    <a:fld id="{C695DD46-0803-4CEF-883D-57C4F644E44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'IKP cet'!$B$48:$C$64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2011</c:v>
                  </c:pt>
                  <c:pt idx="4">
                    <c:v>2012</c:v>
                  </c:pt>
                  <c:pt idx="8">
                    <c:v>2013</c:v>
                  </c:pt>
                  <c:pt idx="12">
                    <c:v>2014</c:v>
                  </c:pt>
                  <c:pt idx="16">
                    <c:v>2015</c:v>
                  </c:pt>
                </c:lvl>
              </c:multiLvlStrCache>
            </c:multiLvlStrRef>
          </c:cat>
          <c:val>
            <c:numRef>
              <c:f>'IKP cet'!$F$48:$F$64</c:f>
              <c:numCache>
                <c:formatCode>General</c:formatCode>
                <c:ptCount val="17"/>
                <c:pt idx="0">
                  <c:v>1.0706910410331147</c:v>
                </c:pt>
                <c:pt idx="1">
                  <c:v>4.9411923559628974</c:v>
                </c:pt>
                <c:pt idx="2">
                  <c:v>7.9640842648416594</c:v>
                </c:pt>
                <c:pt idx="3">
                  <c:v>5.5118151638975377</c:v>
                </c:pt>
                <c:pt idx="4">
                  <c:v>8.7571786685706741</c:v>
                </c:pt>
                <c:pt idx="5">
                  <c:v>4.2921030776997213</c:v>
                </c:pt>
                <c:pt idx="6">
                  <c:v>3.65415593511932</c:v>
                </c:pt>
                <c:pt idx="7">
                  <c:v>3.3662191254853155</c:v>
                </c:pt>
                <c:pt idx="8">
                  <c:v>3.1182291637531279</c:v>
                </c:pt>
                <c:pt idx="9">
                  <c:v>4.5571935811650519</c:v>
                </c:pt>
                <c:pt idx="10">
                  <c:v>4.611790683348687</c:v>
                </c:pt>
                <c:pt idx="11">
                  <c:v>4.4706419881651129</c:v>
                </c:pt>
                <c:pt idx="12">
                  <c:v>2.7974596994074545</c:v>
                </c:pt>
                <c:pt idx="13">
                  <c:v>2.2813851890415009</c:v>
                </c:pt>
                <c:pt idx="14">
                  <c:v>2.3597565270255814</c:v>
                </c:pt>
                <c:pt idx="15">
                  <c:v>2.0810022350144664</c:v>
                </c:pt>
                <c:pt idx="16">
                  <c:v>2</c:v>
                </c:pt>
              </c:numCache>
            </c:numRef>
          </c:val>
        </c:ser>
        <c:dLbls>
          <c:showLegendKey val="0"/>
          <c:showVal val="0"/>
          <c:showCatName val="0"/>
          <c:showSerName val="0"/>
          <c:showPercent val="0"/>
          <c:showBubbleSize val="0"/>
        </c:dLbls>
        <c:gapWidth val="219"/>
        <c:overlap val="-27"/>
        <c:axId val="569365320"/>
        <c:axId val="569365712"/>
      </c:barChart>
      <c:lineChart>
        <c:grouping val="standard"/>
        <c:varyColors val="0"/>
        <c:ser>
          <c:idx val="1"/>
          <c:order val="1"/>
          <c:tx>
            <c:strRef>
              <c:f>'IKP cet'!$G$3</c:f>
              <c:strCache>
                <c:ptCount val="1"/>
                <c:pt idx="0">
                  <c:v>pret iepriekšējo periodu (sezonāli izlīdzināts)</c:v>
                </c:pt>
              </c:strCache>
            </c:strRef>
          </c:tx>
          <c:spPr>
            <a:ln w="28575" cap="rnd">
              <a:solidFill>
                <a:srgbClr val="002060"/>
              </a:solidFill>
              <a:round/>
            </a:ln>
            <a:effectLst>
              <a:outerShdw blurRad="50800" dist="38100" dir="2700000" algn="tl" rotWithShape="0">
                <a:prstClr val="black">
                  <a:alpha val="40000"/>
                </a:prstClr>
              </a:outerShdw>
            </a:effectLst>
          </c:spPr>
          <c:marker>
            <c:symbol val="none"/>
          </c:marker>
          <c:cat>
            <c:multiLvlStrRef>
              <c:f>'IKP cet'!$B$48:$C$64</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2011</c:v>
                  </c:pt>
                  <c:pt idx="4">
                    <c:v>2012</c:v>
                  </c:pt>
                  <c:pt idx="8">
                    <c:v>2013</c:v>
                  </c:pt>
                  <c:pt idx="12">
                    <c:v>2014</c:v>
                  </c:pt>
                  <c:pt idx="16">
                    <c:v>2015</c:v>
                  </c:pt>
                </c:lvl>
              </c:multiLvlStrCache>
            </c:multiLvlStrRef>
          </c:cat>
          <c:val>
            <c:numRef>
              <c:f>'IKP cet'!$G$48:$G$64</c:f>
              <c:numCache>
                <c:formatCode>General</c:formatCode>
                <c:ptCount val="17"/>
                <c:pt idx="0">
                  <c:v>5.9030829475190671E-2</c:v>
                </c:pt>
                <c:pt idx="1">
                  <c:v>3.5838429786543458</c:v>
                </c:pt>
                <c:pt idx="2">
                  <c:v>2.0914093339963244</c:v>
                </c:pt>
                <c:pt idx="3">
                  <c:v>-0.1023195538444952</c:v>
                </c:pt>
                <c:pt idx="4">
                  <c:v>1.015557888312884</c:v>
                </c:pt>
                <c:pt idx="5">
                  <c:v>0.9874536198048105</c:v>
                </c:pt>
                <c:pt idx="6">
                  <c:v>1.9884344294574561</c:v>
                </c:pt>
                <c:pt idx="7">
                  <c:v>0.41705419313602476</c:v>
                </c:pt>
                <c:pt idx="8">
                  <c:v>2.3971298093788391</c:v>
                </c:pt>
                <c:pt idx="9">
                  <c:v>-0.17171896066430747</c:v>
                </c:pt>
                <c:pt idx="10">
                  <c:v>1.3841894323953738</c:v>
                </c:pt>
                <c:pt idx="11">
                  <c:v>0.82815005644040696</c:v>
                </c:pt>
                <c:pt idx="12">
                  <c:v>0.23556602684458028</c:v>
                </c:pt>
                <c:pt idx="13">
                  <c:v>0.78026168479239288</c:v>
                </c:pt>
                <c:pt idx="14">
                  <c:v>0.49091560826674652</c:v>
                </c:pt>
                <c:pt idx="15">
                  <c:v>0.57760911724567165</c:v>
                </c:pt>
                <c:pt idx="16">
                  <c:v>0.4</c:v>
                </c:pt>
              </c:numCache>
            </c:numRef>
          </c:val>
          <c:smooth val="0"/>
        </c:ser>
        <c:dLbls>
          <c:showLegendKey val="0"/>
          <c:showVal val="0"/>
          <c:showCatName val="0"/>
          <c:showSerName val="0"/>
          <c:showPercent val="0"/>
          <c:showBubbleSize val="0"/>
        </c:dLbls>
        <c:marker val="1"/>
        <c:smooth val="0"/>
        <c:axId val="569365320"/>
        <c:axId val="569365712"/>
      </c:lineChart>
      <c:catAx>
        <c:axId val="569365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569365712"/>
        <c:crosses val="autoZero"/>
        <c:auto val="1"/>
        <c:lblAlgn val="ctr"/>
        <c:lblOffset val="100"/>
        <c:noMultiLvlLbl val="0"/>
      </c:catAx>
      <c:valAx>
        <c:axId val="569365712"/>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69365320"/>
        <c:crosses val="autoZero"/>
        <c:crossBetween val="between"/>
        <c:majorUnit val="5"/>
      </c:valAx>
      <c:spPr>
        <a:noFill/>
        <a:ln>
          <a:noFill/>
        </a:ln>
        <a:effectLst/>
      </c:spPr>
    </c:plotArea>
    <c:legend>
      <c:legendPos val="b"/>
      <c:layout>
        <c:manualLayout>
          <c:xMode val="edge"/>
          <c:yMode val="edge"/>
          <c:x val="2.2808023997000368E-2"/>
          <c:y val="0.80439705453485"/>
          <c:w val="0.63295519310086235"/>
          <c:h val="0.19560294546515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'Apj. ind.'!$GC$1</c:f>
              <c:strCache>
                <c:ptCount val="1"/>
                <c:pt idx="0">
                  <c:v>Rūpniecības produkcijas apjoma indekss, sez. izl. (2010=100)</c:v>
                </c:pt>
              </c:strCache>
            </c:strRef>
          </c:tx>
          <c:spPr>
            <a:solidFill>
              <a:schemeClr val="tx2">
                <a:lumMod val="50000"/>
              </a:schemeClr>
            </a:solidFill>
            <a:ln>
              <a:noFill/>
            </a:ln>
            <a:effectLst>
              <a:outerShdw blurRad="50800" dist="38100" dir="2700000" algn="tl" rotWithShape="0">
                <a:prstClr val="black">
                  <a:alpha val="40000"/>
                </a:prstClr>
              </a:outerShdw>
            </a:effectLst>
          </c:spPr>
          <c:invertIfNegative val="0"/>
          <c:cat>
            <c:multiLvlStrRef>
              <c:f>'Apj. ind.'!$DF$4:$GB$5</c:f>
              <c:multiLvlStrCache>
                <c:ptCount val="7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lvl>
                <c:lvl>
                  <c:pt idx="0">
                    <c:v>2009</c:v>
                  </c:pt>
                  <c:pt idx="12">
                    <c:v>2010</c:v>
                  </c:pt>
                  <c:pt idx="24">
                    <c:v>2011</c:v>
                  </c:pt>
                  <c:pt idx="36">
                    <c:v>2012</c:v>
                  </c:pt>
                  <c:pt idx="48">
                    <c:v>2013</c:v>
                  </c:pt>
                  <c:pt idx="60">
                    <c:v>2014</c:v>
                  </c:pt>
                  <c:pt idx="72">
                    <c:v>2015</c:v>
                  </c:pt>
                </c:lvl>
              </c:multiLvlStrCache>
            </c:multiLvlStrRef>
          </c:cat>
          <c:val>
            <c:numRef>
              <c:f>'Apj. ind.'!$DF$6:$GB$6</c:f>
              <c:numCache>
                <c:formatCode>General</c:formatCode>
                <c:ptCount val="75"/>
                <c:pt idx="0">
                  <c:v>90.21</c:v>
                </c:pt>
                <c:pt idx="1">
                  <c:v>89.73</c:v>
                </c:pt>
                <c:pt idx="2">
                  <c:v>85.31</c:v>
                </c:pt>
                <c:pt idx="3">
                  <c:v>87.74</c:v>
                </c:pt>
                <c:pt idx="4">
                  <c:v>85.56</c:v>
                </c:pt>
                <c:pt idx="5">
                  <c:v>86.54</c:v>
                </c:pt>
                <c:pt idx="6">
                  <c:v>83.99</c:v>
                </c:pt>
                <c:pt idx="7">
                  <c:v>85.39</c:v>
                </c:pt>
                <c:pt idx="8">
                  <c:v>84.14</c:v>
                </c:pt>
                <c:pt idx="9">
                  <c:v>85.88</c:v>
                </c:pt>
                <c:pt idx="10">
                  <c:v>89.71</c:v>
                </c:pt>
                <c:pt idx="11">
                  <c:v>88.67</c:v>
                </c:pt>
                <c:pt idx="12">
                  <c:v>95.05</c:v>
                </c:pt>
                <c:pt idx="13">
                  <c:v>93.39</c:v>
                </c:pt>
                <c:pt idx="14">
                  <c:v>93.37</c:v>
                </c:pt>
                <c:pt idx="15">
                  <c:v>96.71</c:v>
                </c:pt>
                <c:pt idx="16">
                  <c:v>96.05</c:v>
                </c:pt>
                <c:pt idx="17">
                  <c:v>97.35</c:v>
                </c:pt>
                <c:pt idx="18">
                  <c:v>101.2</c:v>
                </c:pt>
                <c:pt idx="19">
                  <c:v>102.62</c:v>
                </c:pt>
                <c:pt idx="20">
                  <c:v>101.85</c:v>
                </c:pt>
                <c:pt idx="21">
                  <c:v>105.12</c:v>
                </c:pt>
                <c:pt idx="22">
                  <c:v>102.46</c:v>
                </c:pt>
                <c:pt idx="23">
                  <c:v>103.92</c:v>
                </c:pt>
                <c:pt idx="24">
                  <c:v>102.81</c:v>
                </c:pt>
                <c:pt idx="25">
                  <c:v>104.35</c:v>
                </c:pt>
                <c:pt idx="26">
                  <c:v>105.57</c:v>
                </c:pt>
                <c:pt idx="27">
                  <c:v>108.22</c:v>
                </c:pt>
                <c:pt idx="28">
                  <c:v>107.5</c:v>
                </c:pt>
                <c:pt idx="29">
                  <c:v>109.47</c:v>
                </c:pt>
                <c:pt idx="30">
                  <c:v>109.02</c:v>
                </c:pt>
                <c:pt idx="31">
                  <c:v>108.55</c:v>
                </c:pt>
                <c:pt idx="32">
                  <c:v>111.06</c:v>
                </c:pt>
                <c:pt idx="33">
                  <c:v>110.09</c:v>
                </c:pt>
                <c:pt idx="34">
                  <c:v>110.96</c:v>
                </c:pt>
                <c:pt idx="35">
                  <c:v>107.33</c:v>
                </c:pt>
                <c:pt idx="36">
                  <c:v>112.72</c:v>
                </c:pt>
                <c:pt idx="37">
                  <c:v>113.2</c:v>
                </c:pt>
                <c:pt idx="38">
                  <c:v>115.19</c:v>
                </c:pt>
                <c:pt idx="39">
                  <c:v>112.94</c:v>
                </c:pt>
                <c:pt idx="40">
                  <c:v>113.81</c:v>
                </c:pt>
                <c:pt idx="41">
                  <c:v>115.16</c:v>
                </c:pt>
                <c:pt idx="42">
                  <c:v>114.06</c:v>
                </c:pt>
                <c:pt idx="43">
                  <c:v>117.76</c:v>
                </c:pt>
                <c:pt idx="44">
                  <c:v>113.87</c:v>
                </c:pt>
                <c:pt idx="45">
                  <c:v>113.24</c:v>
                </c:pt>
                <c:pt idx="46">
                  <c:v>114.68</c:v>
                </c:pt>
                <c:pt idx="47">
                  <c:v>118.23</c:v>
                </c:pt>
                <c:pt idx="48">
                  <c:v>115.72</c:v>
                </c:pt>
                <c:pt idx="49">
                  <c:v>112.41</c:v>
                </c:pt>
                <c:pt idx="50">
                  <c:v>112.9</c:v>
                </c:pt>
                <c:pt idx="51">
                  <c:v>112.4</c:v>
                </c:pt>
                <c:pt idx="52">
                  <c:v>114.63</c:v>
                </c:pt>
                <c:pt idx="53">
                  <c:v>114.83</c:v>
                </c:pt>
                <c:pt idx="54">
                  <c:v>116.27</c:v>
                </c:pt>
                <c:pt idx="55">
                  <c:v>114.53</c:v>
                </c:pt>
                <c:pt idx="56">
                  <c:v>114.1</c:v>
                </c:pt>
                <c:pt idx="57">
                  <c:v>114.44</c:v>
                </c:pt>
                <c:pt idx="58">
                  <c:v>114.96</c:v>
                </c:pt>
                <c:pt idx="59">
                  <c:v>113.17</c:v>
                </c:pt>
                <c:pt idx="60">
                  <c:v>111.93</c:v>
                </c:pt>
                <c:pt idx="61">
                  <c:v>112.12</c:v>
                </c:pt>
                <c:pt idx="62">
                  <c:v>112.48</c:v>
                </c:pt>
                <c:pt idx="63">
                  <c:v>114.33</c:v>
                </c:pt>
                <c:pt idx="64">
                  <c:v>114.3</c:v>
                </c:pt>
                <c:pt idx="65">
                  <c:v>112.69</c:v>
                </c:pt>
                <c:pt idx="66">
                  <c:v>113.7</c:v>
                </c:pt>
                <c:pt idx="67">
                  <c:v>113.09</c:v>
                </c:pt>
                <c:pt idx="68">
                  <c:v>114.45</c:v>
                </c:pt>
                <c:pt idx="69">
                  <c:v>114.52</c:v>
                </c:pt>
                <c:pt idx="70">
                  <c:v>112.25</c:v>
                </c:pt>
                <c:pt idx="71">
                  <c:v>112.41</c:v>
                </c:pt>
                <c:pt idx="72">
                  <c:v>109.45</c:v>
                </c:pt>
                <c:pt idx="73">
                  <c:v>110.46</c:v>
                </c:pt>
                <c:pt idx="74">
                  <c:v>122.47</c:v>
                </c:pt>
              </c:numCache>
            </c:numRef>
          </c:val>
        </c:ser>
        <c:dLbls>
          <c:showLegendKey val="0"/>
          <c:showVal val="0"/>
          <c:showCatName val="0"/>
          <c:showSerName val="0"/>
          <c:showPercent val="0"/>
          <c:showBubbleSize val="0"/>
        </c:dLbls>
        <c:gapWidth val="219"/>
        <c:overlap val="-27"/>
        <c:axId val="569366496"/>
        <c:axId val="580298632"/>
      </c:barChart>
      <c:lineChart>
        <c:grouping val="standard"/>
        <c:varyColors val="0"/>
        <c:ser>
          <c:idx val="1"/>
          <c:order val="1"/>
          <c:tx>
            <c:strRef>
              <c:f>'Apj. ind.'!$GC$2</c:f>
              <c:strCache>
                <c:ptCount val="1"/>
                <c:pt idx="0">
                  <c:v>Rūpniecības produkcijas apjoma izmaiņas pret iepriekšējā gada atbilstošo mēnesi, % (labā ass)</c:v>
                </c:pt>
              </c:strCache>
            </c:strRef>
          </c:tx>
          <c:spPr>
            <a:ln w="28575" cap="rnd">
              <a:solidFill>
                <a:schemeClr val="accent3"/>
              </a:solidFill>
              <a:round/>
            </a:ln>
            <a:effectLst>
              <a:outerShdw blurRad="50800" dist="38100" dir="2700000" algn="tl" rotWithShape="0">
                <a:prstClr val="black">
                  <a:alpha val="40000"/>
                </a:prstClr>
              </a:outerShdw>
            </a:effectLst>
          </c:spPr>
          <c:marker>
            <c:symbol val="none"/>
          </c:marker>
          <c:val>
            <c:numRef>
              <c:f>'Apj. ind.'!$DF$94:$GB$94</c:f>
              <c:numCache>
                <c:formatCode>General</c:formatCode>
                <c:ptCount val="75"/>
                <c:pt idx="0">
                  <c:v>-22.020796908070306</c:v>
                </c:pt>
                <c:pt idx="1">
                  <c:v>-23.516543614984965</c:v>
                </c:pt>
                <c:pt idx="2">
                  <c:v>-26.079806110966842</c:v>
                </c:pt>
                <c:pt idx="3">
                  <c:v>-20.636347294625214</c:v>
                </c:pt>
                <c:pt idx="4">
                  <c:v>-22.075453767936903</c:v>
                </c:pt>
                <c:pt idx="5">
                  <c:v>-18.615774172371747</c:v>
                </c:pt>
                <c:pt idx="6">
                  <c:v>-19.279598464718038</c:v>
                </c:pt>
                <c:pt idx="7">
                  <c:v>-14.693197412272097</c:v>
                </c:pt>
                <c:pt idx="8">
                  <c:v>-17.952153110047853</c:v>
                </c:pt>
                <c:pt idx="9">
                  <c:v>-14.074344689012698</c:v>
                </c:pt>
                <c:pt idx="10">
                  <c:v>-6.5631974031243656</c:v>
                </c:pt>
                <c:pt idx="11">
                  <c:v>-7.4871266735324404</c:v>
                </c:pt>
                <c:pt idx="12">
                  <c:v>5.0153410431909462</c:v>
                </c:pt>
                <c:pt idx="13">
                  <c:v>2.872124895721595</c:v>
                </c:pt>
                <c:pt idx="14">
                  <c:v>8.4309133489461239</c:v>
                </c:pt>
                <c:pt idx="15">
                  <c:v>10.419026047565128</c:v>
                </c:pt>
                <c:pt idx="16">
                  <c:v>12.243902439024401</c:v>
                </c:pt>
                <c:pt idx="17">
                  <c:v>13.06752707997234</c:v>
                </c:pt>
                <c:pt idx="18">
                  <c:v>21.787368934406249</c:v>
                </c:pt>
                <c:pt idx="19">
                  <c:v>21.854532919682867</c:v>
                </c:pt>
                <c:pt idx="20">
                  <c:v>21.775134126428753</c:v>
                </c:pt>
                <c:pt idx="21">
                  <c:v>23.278061224489811</c:v>
                </c:pt>
                <c:pt idx="22">
                  <c:v>14.363261317989373</c:v>
                </c:pt>
                <c:pt idx="23">
                  <c:v>16.520093509963264</c:v>
                </c:pt>
                <c:pt idx="24">
                  <c:v>7.0794471288909033</c:v>
                </c:pt>
                <c:pt idx="25">
                  <c:v>10.067191844300293</c:v>
                </c:pt>
                <c:pt idx="26">
                  <c:v>12.278617710583163</c:v>
                </c:pt>
                <c:pt idx="27">
                  <c:v>11.55897435897435</c:v>
                </c:pt>
                <c:pt idx="28">
                  <c:v>12.070838765754011</c:v>
                </c:pt>
                <c:pt idx="29">
                  <c:v>12.943334692213604</c:v>
                </c:pt>
                <c:pt idx="30">
                  <c:v>8.5594153568925755</c:v>
                </c:pt>
                <c:pt idx="31">
                  <c:v>6.7892503536068016</c:v>
                </c:pt>
                <c:pt idx="32">
                  <c:v>9.5967819174408664</c:v>
                </c:pt>
                <c:pt idx="33">
                  <c:v>5.1215726849456855</c:v>
                </c:pt>
                <c:pt idx="34">
                  <c:v>8.4773115625593309</c:v>
                </c:pt>
                <c:pt idx="35">
                  <c:v>3.2100888506735537</c:v>
                </c:pt>
                <c:pt idx="36">
                  <c:v>8.6997586315457944</c:v>
                </c:pt>
                <c:pt idx="37">
                  <c:v>7.1781917692874453</c:v>
                </c:pt>
                <c:pt idx="38">
                  <c:v>8.4928344714821478</c:v>
                </c:pt>
                <c:pt idx="39">
                  <c:v>3.8061965615519</c:v>
                </c:pt>
                <c:pt idx="40">
                  <c:v>6.0591371788657256</c:v>
                </c:pt>
                <c:pt idx="41">
                  <c:v>5.4322324490164275</c:v>
                </c:pt>
                <c:pt idx="42">
                  <c:v>5.3485798598303269</c:v>
                </c:pt>
                <c:pt idx="43">
                  <c:v>9.3509933774834408</c:v>
                </c:pt>
                <c:pt idx="44">
                  <c:v>2.9712487983920122</c:v>
                </c:pt>
                <c:pt idx="45">
                  <c:v>3.2480314960629864</c:v>
                </c:pt>
                <c:pt idx="46">
                  <c:v>3.7455150083136379</c:v>
                </c:pt>
                <c:pt idx="47">
                  <c:v>10.709987966305645</c:v>
                </c:pt>
                <c:pt idx="48">
                  <c:v>1.8439853253523708</c:v>
                </c:pt>
                <c:pt idx="49">
                  <c:v>-1.856034567416287</c:v>
                </c:pt>
                <c:pt idx="50">
                  <c:v>-2.8014184397163078</c:v>
                </c:pt>
                <c:pt idx="51">
                  <c:v>-0.92994420334779893</c:v>
                </c:pt>
                <c:pt idx="52">
                  <c:v>0.88665447897622318</c:v>
                </c:pt>
                <c:pt idx="53">
                  <c:v>-0.2909962341663852</c:v>
                </c:pt>
                <c:pt idx="54">
                  <c:v>2.5122549019607865</c:v>
                </c:pt>
                <c:pt idx="55">
                  <c:v>-2.3821059431524572</c:v>
                </c:pt>
                <c:pt idx="56">
                  <c:v>0.71289145378936603</c:v>
                </c:pt>
                <c:pt idx="57">
                  <c:v>1.7318080711788975</c:v>
                </c:pt>
                <c:pt idx="58">
                  <c:v>0.53142134120625073</c:v>
                </c:pt>
                <c:pt idx="59">
                  <c:v>-4.080267558528428</c:v>
                </c:pt>
                <c:pt idx="60">
                  <c:v>-4.1899706133282759</c:v>
                </c:pt>
                <c:pt idx="61">
                  <c:v>-0.97058234940964327</c:v>
                </c:pt>
                <c:pt idx="62">
                  <c:v>-0.85735133163078459</c:v>
                </c:pt>
                <c:pt idx="63">
                  <c:v>1.6717325227963542</c:v>
                </c:pt>
                <c:pt idx="64">
                  <c:v>-0.13590649633052898</c:v>
                </c:pt>
                <c:pt idx="65">
                  <c:v>-2.0000000000000018</c:v>
                </c:pt>
                <c:pt idx="66">
                  <c:v>-1.981043463410459</c:v>
                </c:pt>
                <c:pt idx="67">
                  <c:v>-1.1663495739928864</c:v>
                </c:pt>
                <c:pt idx="68">
                  <c:v>0.75840566276228483</c:v>
                </c:pt>
                <c:pt idx="69">
                  <c:v>0.62470716851477093</c:v>
                </c:pt>
                <c:pt idx="70">
                  <c:v>-2.1983554287632212</c:v>
                </c:pt>
                <c:pt idx="71">
                  <c:v>-0.55788005578800703</c:v>
                </c:pt>
                <c:pt idx="72">
                  <c:v>-2.7307806470762697</c:v>
                </c:pt>
                <c:pt idx="73">
                  <c:v>-1.7277963019096676</c:v>
                </c:pt>
                <c:pt idx="74">
                  <c:v>8.656853725850965</c:v>
                </c:pt>
              </c:numCache>
            </c:numRef>
          </c:val>
          <c:smooth val="0"/>
        </c:ser>
        <c:dLbls>
          <c:showLegendKey val="0"/>
          <c:showVal val="0"/>
          <c:showCatName val="0"/>
          <c:showSerName val="0"/>
          <c:showPercent val="0"/>
          <c:showBubbleSize val="0"/>
        </c:dLbls>
        <c:marker val="1"/>
        <c:smooth val="0"/>
        <c:axId val="580297848"/>
        <c:axId val="580298240"/>
      </c:lineChart>
      <c:catAx>
        <c:axId val="56936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lv-LV"/>
          </a:p>
        </c:txPr>
        <c:crossAx val="580298632"/>
        <c:crosses val="autoZero"/>
        <c:auto val="1"/>
        <c:lblAlgn val="ctr"/>
        <c:lblOffset val="100"/>
        <c:noMultiLvlLbl val="0"/>
      </c:catAx>
      <c:valAx>
        <c:axId val="580298632"/>
        <c:scaling>
          <c:orientation val="minMax"/>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lv-LV"/>
          </a:p>
        </c:txPr>
        <c:crossAx val="569366496"/>
        <c:crosses val="autoZero"/>
        <c:crossBetween val="between"/>
      </c:valAx>
      <c:valAx>
        <c:axId val="58029824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lv-LV"/>
          </a:p>
        </c:txPr>
        <c:crossAx val="580297848"/>
        <c:crosses val="max"/>
        <c:crossBetween val="between"/>
      </c:valAx>
      <c:catAx>
        <c:axId val="580297848"/>
        <c:scaling>
          <c:orientation val="minMax"/>
        </c:scaling>
        <c:delete val="1"/>
        <c:axPos val="b"/>
        <c:majorTickMark val="out"/>
        <c:minorTickMark val="none"/>
        <c:tickLblPos val="nextTo"/>
        <c:crossAx val="58029824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849629555799196E-2"/>
          <c:y val="3.3808423789297624E-2"/>
          <c:w val="0.96195454998504937"/>
          <c:h val="0.95357327968073391"/>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4">
                  <a:lumMod val="60000"/>
                  <a:lumOff val="4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2">
                  <a:lumMod val="40000"/>
                  <a:lumOff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Lbls>
            <c:dLbl>
              <c:idx val="0"/>
              <c:layout>
                <c:manualLayout>
                  <c:x val="-0.17317662046630136"/>
                  <c:y val="0.18981481481481483"/>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0696474344215745"/>
                  <c:y val="1.0547535724701079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1.9428220206651539E-2"/>
                  <c:y val="-1.7282429601662569E-2"/>
                </c:manualLayout>
              </c:layout>
              <c:showLegendKey val="0"/>
              <c:showVal val="0"/>
              <c:showCatName val="1"/>
              <c:showSerName val="0"/>
              <c:showPercent val="1"/>
              <c:showBubbleSize val="0"/>
              <c:extLst>
                <c:ext xmlns:c15="http://schemas.microsoft.com/office/drawing/2012/chart" uri="{CE6537A1-D6FC-4f65-9D91-7224C49458BB}">
                  <c15:layout>
                    <c:manualLayout>
                      <c:w val="0.27123267486301056"/>
                      <c:h val="0.16645851560221639"/>
                    </c:manualLayout>
                  </c15:layout>
                </c:ext>
              </c:extLst>
            </c:dLbl>
            <c:dLbl>
              <c:idx val="3"/>
              <c:layout>
                <c:manualLayout>
                  <c:x val="-0.20210956086629522"/>
                  <c:y val="-0.14379629629629628"/>
                </c:manualLayout>
              </c:layout>
              <c:showLegendKey val="0"/>
              <c:showVal val="0"/>
              <c:showCatName val="1"/>
              <c:showSerName val="0"/>
              <c:showPercent val="1"/>
              <c:showBubbleSize val="0"/>
              <c:extLst>
                <c:ext xmlns:c15="http://schemas.microsoft.com/office/drawing/2012/chart" uri="{CE6537A1-D6FC-4f65-9D91-7224C49458BB}">
                  <c15:layout>
                    <c:manualLayout>
                      <c:w val="0.27206612331353319"/>
                      <c:h val="0.21731481481481482"/>
                    </c:manualLayout>
                  </c15:layout>
                </c:ext>
              </c:extLst>
            </c:dLbl>
            <c:dLbl>
              <c:idx val="4"/>
              <c:layout>
                <c:manualLayout>
                  <c:x val="0.1573852951925313"/>
                  <c:y val="-1.9508681288655952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358923117066507"/>
                      <c:h val="0.15856481481481483"/>
                    </c:manualLayout>
                  </c15:layout>
                </c:ext>
              </c:extLst>
            </c:dLbl>
            <c:dLbl>
              <c:idx val="5"/>
              <c:layout>
                <c:manualLayout>
                  <c:x val="0.19219442506395562"/>
                  <c:y val="-0.14159450888828187"/>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4.9578059071729956E-2"/>
                  <c:y val="-2.5711517921458555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3.4803481843250599E-3"/>
                  <c:y val="-3.743262376114657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0050732582477818"/>
                      <c:h val="0.15768532088063125"/>
                    </c:manualLayout>
                  </c15:layout>
                </c:ext>
              </c:extLst>
            </c:dLbl>
            <c:dLbl>
              <c:idx val="8"/>
              <c:layout>
                <c:manualLayout>
                  <c:x val="7.1165154988537811E-4"/>
                  <c:y val="3.472681056823725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mn-lt"/>
                      <a:ea typeface="+mn-ea"/>
                      <a:cs typeface="+mn-cs"/>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8161778023361115"/>
                      <c:h val="0.18437518226888305"/>
                    </c:manualLayout>
                  </c15:layout>
                </c:ext>
              </c:extLst>
            </c:dLbl>
            <c:dLbl>
              <c:idx val="9"/>
              <c:layout>
                <c:manualLayout>
                  <c:x val="3.6355543276388701E-3"/>
                  <c:y val="4.1807925051035248E-2"/>
                </c:manualLayout>
              </c:layout>
              <c:showLegendKey val="0"/>
              <c:showVal val="0"/>
              <c:showCatName val="1"/>
              <c:showSerName val="0"/>
              <c:showPercent val="1"/>
              <c:showBubbleSize val="0"/>
              <c:extLst>
                <c:ext xmlns:c15="http://schemas.microsoft.com/office/drawing/2012/chart" uri="{CE6537A1-D6FC-4f65-9D91-7224C49458BB}">
                  <c15:layout>
                    <c:manualLayout>
                      <c:w val="0.29389848198799717"/>
                      <c:h val="0.14951407115777193"/>
                    </c:manualLayout>
                  </c15:layout>
                </c:ext>
              </c:extLst>
            </c:dLbl>
            <c:dLbl>
              <c:idx val="10"/>
              <c:layout>
                <c:manualLayout>
                  <c:x val="2.449079829933538E-3"/>
                  <c:y val="3.032115777194517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11"/>
              <c:layout>
                <c:manualLayout>
                  <c:x val="0.17543859649122806"/>
                  <c:y val="0.13078703703703703"/>
                </c:manualLayout>
              </c:layout>
              <c:showLegendKey val="0"/>
              <c:showVal val="0"/>
              <c:showCatName val="1"/>
              <c:showSerName val="0"/>
              <c:showPercent val="1"/>
              <c:showBubbleSize val="0"/>
              <c:extLst>
                <c:ext xmlns:c15="http://schemas.microsoft.com/office/drawing/2012/chart" uri="{CE6537A1-D6FC-4f65-9D91-7224C49458BB}">
                  <c15:layout>
                    <c:manualLayout>
                      <c:w val="0.31384015594541909"/>
                      <c:h val="0.16666666666666666"/>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'izlaide &amp; apgr. fakt. cenas'!$AD$121:$AD$132</c:f>
              <c:strCache>
                <c:ptCount val="12"/>
                <c:pt idx="0">
                  <c:v>Pārtikas produkti</c:v>
                </c:pt>
                <c:pt idx="1">
                  <c:v>Dzērieni</c:v>
                </c:pt>
                <c:pt idx="2">
                  <c:v>Vieglā rūpniecība </c:v>
                </c:pt>
                <c:pt idx="3">
                  <c:v>Koksne, koka izstrādājumi</c:v>
                </c:pt>
                <c:pt idx="4">
                  <c:v>Ķīmiskie produkti</c:v>
                </c:pt>
                <c:pt idx="5">
                  <c:v>Nemetālisko minerālu izstrādājumi</c:v>
                </c:pt>
                <c:pt idx="6">
                  <c:v>Metāli</c:v>
                </c:pt>
                <c:pt idx="7">
                  <c:v>Gatavie metālizstrādājumi</c:v>
                </c:pt>
                <c:pt idx="8">
                  <c:v>Datori, elektroniskās un optiskās iekārtas</c:v>
                </c:pt>
                <c:pt idx="9">
                  <c:v>Elektriskās iekārtas</c:v>
                </c:pt>
                <c:pt idx="10">
                  <c:v>Mēbeles</c:v>
                </c:pt>
                <c:pt idx="11">
                  <c:v>Pārējās apakšnozares</c:v>
                </c:pt>
              </c:strCache>
            </c:strRef>
          </c:cat>
          <c:val>
            <c:numRef>
              <c:f>'izlaide &amp; apgr. fakt. cenas'!$AF$121:$AF$132</c:f>
              <c:numCache>
                <c:formatCode>0</c:formatCode>
                <c:ptCount val="12"/>
                <c:pt idx="0">
                  <c:v>22.381107134057455</c:v>
                </c:pt>
                <c:pt idx="1">
                  <c:v>3.1215420772681246</c:v>
                </c:pt>
                <c:pt idx="2">
                  <c:v>4.1897953442444056</c:v>
                </c:pt>
                <c:pt idx="3">
                  <c:v>25.693784467966918</c:v>
                </c:pt>
                <c:pt idx="4">
                  <c:v>2.9386333473454012</c:v>
                </c:pt>
                <c:pt idx="5">
                  <c:v>6.6007610616103474</c:v>
                </c:pt>
                <c:pt idx="6">
                  <c:v>1.9646665282991846</c:v>
                </c:pt>
                <c:pt idx="7">
                  <c:v>7.0853827162291996</c:v>
                </c:pt>
                <c:pt idx="8">
                  <c:v>3.0688147611400995</c:v>
                </c:pt>
                <c:pt idx="9">
                  <c:v>2.9164739838789746</c:v>
                </c:pt>
                <c:pt idx="10">
                  <c:v>2.5589538528263582</c:v>
                </c:pt>
                <c:pt idx="11">
                  <c:v>17.480084725133526</c:v>
                </c:pt>
              </c:numCache>
            </c:numRef>
          </c:val>
        </c:ser>
        <c:dLbls>
          <c:showLegendKey val="0"/>
          <c:showVal val="1"/>
          <c:showCatName val="0"/>
          <c:showSerName val="0"/>
          <c:showPercent val="0"/>
          <c:showBubbleSize val="0"/>
          <c:showLeaderLines val="1"/>
        </c:dLbls>
        <c:firstSliceAng val="0"/>
      </c:pieChart>
      <c:spPr>
        <a:noFill/>
        <a:ln>
          <a:solidFill>
            <a:schemeClr val="bg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219329178944658"/>
          <c:y val="4.9717514124293788E-2"/>
          <c:w val="0.54461652416147366"/>
          <c:h val="0.84543155834334272"/>
        </c:manualLayout>
      </c:layout>
      <c:barChart>
        <c:barDir val="bar"/>
        <c:grouping val="clustered"/>
        <c:varyColors val="0"/>
        <c:ser>
          <c:idx val="0"/>
          <c:order val="0"/>
          <c:spPr>
            <a:solidFill>
              <a:schemeClr val="accent5">
                <a:lumMod val="50000"/>
              </a:schemeClr>
            </a:solidFill>
            <a:ln w="19050">
              <a:noFill/>
            </a:ln>
            <a:effectLst/>
          </c:spPr>
          <c:invertIfNegative val="0"/>
          <c:dPt>
            <c:idx val="0"/>
            <c:invertIfNegative val="0"/>
            <c:bubble3D val="0"/>
            <c:spPr>
              <a:solidFill>
                <a:srgbClr val="C00000"/>
              </a:solidFill>
              <a:ln w="19050">
                <a:noFill/>
              </a:ln>
              <a:effectLst/>
            </c:spPr>
          </c:dPt>
          <c:dPt>
            <c:idx val="1"/>
            <c:invertIfNegative val="0"/>
            <c:bubble3D val="0"/>
            <c:spPr>
              <a:solidFill>
                <a:schemeClr val="tx2">
                  <a:lumMod val="50000"/>
                </a:schemeClr>
              </a:solidFill>
              <a:ln w="19050">
                <a:noFill/>
              </a:ln>
              <a:effectLst/>
            </c:spPr>
          </c:dPt>
          <c:dPt>
            <c:idx val="2"/>
            <c:invertIfNegative val="0"/>
            <c:bubble3D val="0"/>
            <c:spPr>
              <a:solidFill>
                <a:srgbClr val="C00000"/>
              </a:solidFill>
              <a:ln w="19050">
                <a:noFill/>
              </a:ln>
              <a:effectLst/>
            </c:spPr>
          </c:dPt>
          <c:dPt>
            <c:idx val="3"/>
            <c:invertIfNegative val="0"/>
            <c:bubble3D val="0"/>
            <c:spPr>
              <a:solidFill>
                <a:schemeClr val="tx2">
                  <a:lumMod val="50000"/>
                </a:schemeClr>
              </a:solidFill>
              <a:ln w="19050">
                <a:noFill/>
              </a:ln>
              <a:effectLst/>
            </c:spPr>
          </c:dPt>
          <c:dPt>
            <c:idx val="4"/>
            <c:invertIfNegative val="0"/>
            <c:bubble3D val="0"/>
            <c:spPr>
              <a:solidFill>
                <a:schemeClr val="tx2">
                  <a:lumMod val="50000"/>
                </a:schemeClr>
              </a:solidFill>
              <a:ln w="19050">
                <a:noFill/>
              </a:ln>
              <a:effectLst/>
            </c:spPr>
          </c:dPt>
          <c:dPt>
            <c:idx val="5"/>
            <c:invertIfNegative val="0"/>
            <c:bubble3D val="0"/>
            <c:spPr>
              <a:solidFill>
                <a:schemeClr val="tx2">
                  <a:lumMod val="50000"/>
                </a:schemeClr>
              </a:solidFill>
              <a:ln w="19050">
                <a:noFill/>
              </a:ln>
              <a:effectLst/>
            </c:spPr>
          </c:dPt>
          <c:dPt>
            <c:idx val="6"/>
            <c:invertIfNegative val="0"/>
            <c:bubble3D val="0"/>
            <c:spPr>
              <a:solidFill>
                <a:srgbClr val="C00000"/>
              </a:solidFill>
              <a:ln w="19050">
                <a:noFill/>
              </a:ln>
              <a:effectLst/>
            </c:spPr>
          </c:dPt>
          <c:dPt>
            <c:idx val="7"/>
            <c:invertIfNegative val="0"/>
            <c:bubble3D val="0"/>
            <c:spPr>
              <a:solidFill>
                <a:srgbClr val="C00000"/>
              </a:solidFill>
              <a:ln w="19050">
                <a:noFill/>
              </a:ln>
              <a:effectLst/>
            </c:spPr>
          </c:dPt>
          <c:dPt>
            <c:idx val="8"/>
            <c:invertIfNegative val="0"/>
            <c:bubble3D val="0"/>
            <c:spPr>
              <a:solidFill>
                <a:schemeClr val="accent1">
                  <a:lumMod val="50000"/>
                </a:schemeClr>
              </a:solidFill>
              <a:ln w="19050">
                <a:noFill/>
              </a:ln>
              <a:effectLst/>
            </c:spPr>
          </c:dPt>
          <c:dPt>
            <c:idx val="9"/>
            <c:invertIfNegative val="0"/>
            <c:bubble3D val="0"/>
            <c:spPr>
              <a:solidFill>
                <a:srgbClr val="C00000"/>
              </a:solidFill>
              <a:ln w="19050">
                <a:noFill/>
              </a:ln>
              <a:effectLst/>
            </c:spPr>
          </c:dPt>
          <c:dPt>
            <c:idx val="10"/>
            <c:invertIfNegative val="0"/>
            <c:bubble3D val="0"/>
            <c:spPr>
              <a:solidFill>
                <a:srgbClr val="C00000"/>
              </a:solidFill>
              <a:ln w="19050">
                <a:noFill/>
              </a:ln>
              <a:effectLst/>
            </c:spPr>
          </c:dPt>
          <c:dPt>
            <c:idx val="11"/>
            <c:invertIfNegative val="0"/>
            <c:bubble3D val="0"/>
            <c:spPr>
              <a:solidFill>
                <a:srgbClr val="C00000"/>
              </a:solidFill>
              <a:ln w="19050">
                <a:noFill/>
              </a:ln>
              <a:effectLst/>
            </c:spPr>
          </c:dPt>
          <c:dPt>
            <c:idx val="12"/>
            <c:invertIfNegative val="0"/>
            <c:bubble3D val="0"/>
            <c:spPr>
              <a:solidFill>
                <a:schemeClr val="tx2">
                  <a:lumMod val="50000"/>
                </a:schemeClr>
              </a:solidFill>
              <a:ln w="19050">
                <a:noFill/>
              </a:ln>
              <a:effectLst/>
            </c:spPr>
          </c:dPt>
          <c:dPt>
            <c:idx val="13"/>
            <c:invertIfNegative val="0"/>
            <c:bubble3D val="0"/>
            <c:spPr>
              <a:solidFill>
                <a:schemeClr val="tx2">
                  <a:lumMod val="50000"/>
                </a:schemeClr>
              </a:solidFill>
              <a:ln w="19050">
                <a:noFill/>
              </a:ln>
              <a:effectLst/>
            </c:spPr>
          </c:dPt>
          <c:dLbls>
            <c:dLbl>
              <c:idx val="2"/>
              <c:layout>
                <c:manualLayout>
                  <c:x val="-2.4539877300613498E-2"/>
                  <c:y val="-1.6572313263320941E-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4539877300613498E-2"/>
                  <c:y val="4.519774011299435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4.0900117546656359E-2"/>
                  <c:y val="-3.9173336640061513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RU0080c!$E$4:$E$17</c:f>
              <c:strCache>
                <c:ptCount val="14"/>
                <c:pt idx="0">
                  <c:v>Elektroen. un gāzes apgāde</c:v>
                </c:pt>
                <c:pt idx="1">
                  <c:v>Mēbeles</c:v>
                </c:pt>
                <c:pt idx="2">
                  <c:v>Elektriskās iekārtas</c:v>
                </c:pt>
                <c:pt idx="3">
                  <c:v>Datori, elektron. un opt. iek.</c:v>
                </c:pt>
                <c:pt idx="4">
                  <c:v>Gatavie metālizstrādājumi</c:v>
                </c:pt>
                <c:pt idx="5">
                  <c:v>Metāli*</c:v>
                </c:pt>
                <c:pt idx="6">
                  <c:v>Nemetālisko minerālu izstr.</c:v>
                </c:pt>
                <c:pt idx="7">
                  <c:v>Ķīmiskie produkti</c:v>
                </c:pt>
                <c:pt idx="8">
                  <c:v>Koksne, koka izstrādājumi</c:v>
                </c:pt>
                <c:pt idx="9">
                  <c:v>Vieglā rūpniecība</c:v>
                </c:pt>
                <c:pt idx="10">
                  <c:v>Dzērieni</c:v>
                </c:pt>
                <c:pt idx="11">
                  <c:v>Pārtika</c:v>
                </c:pt>
                <c:pt idx="12">
                  <c:v>Apstrādes rūpniecība</c:v>
                </c:pt>
                <c:pt idx="13">
                  <c:v>Rūpniecība</c:v>
                </c:pt>
              </c:strCache>
            </c:strRef>
          </c:cat>
          <c:val>
            <c:numRef>
              <c:f>RU0080c!$F$4:$F$17</c:f>
              <c:numCache>
                <c:formatCode>General</c:formatCode>
                <c:ptCount val="14"/>
                <c:pt idx="0">
                  <c:v>-7.7</c:v>
                </c:pt>
                <c:pt idx="1">
                  <c:v>12.8</c:v>
                </c:pt>
                <c:pt idx="2">
                  <c:v>-15.9</c:v>
                </c:pt>
                <c:pt idx="3">
                  <c:v>79</c:v>
                </c:pt>
                <c:pt idx="4">
                  <c:v>1.5</c:v>
                </c:pt>
                <c:pt idx="5">
                  <c:v>13</c:v>
                </c:pt>
                <c:pt idx="6">
                  <c:v>-6</c:v>
                </c:pt>
                <c:pt idx="7">
                  <c:v>-5.9</c:v>
                </c:pt>
                <c:pt idx="8">
                  <c:v>8.6999999999999993</c:v>
                </c:pt>
                <c:pt idx="9">
                  <c:v>-19</c:v>
                </c:pt>
                <c:pt idx="10">
                  <c:v>-0.6</c:v>
                </c:pt>
                <c:pt idx="11">
                  <c:v>-5.0999999999999996</c:v>
                </c:pt>
                <c:pt idx="12">
                  <c:v>4.2</c:v>
                </c:pt>
                <c:pt idx="13">
                  <c:v>1.6</c:v>
                </c:pt>
              </c:numCache>
            </c:numRef>
          </c:val>
        </c:ser>
        <c:dLbls>
          <c:showLegendKey val="0"/>
          <c:showVal val="0"/>
          <c:showCatName val="0"/>
          <c:showSerName val="0"/>
          <c:showPercent val="0"/>
          <c:showBubbleSize val="0"/>
        </c:dLbls>
        <c:gapWidth val="77"/>
        <c:overlap val="31"/>
        <c:axId val="287362920"/>
        <c:axId val="287362136"/>
      </c:barChart>
      <c:catAx>
        <c:axId val="28736292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287362136"/>
        <c:crosses val="autoZero"/>
        <c:auto val="1"/>
        <c:lblAlgn val="ctr"/>
        <c:lblOffset val="100"/>
        <c:noMultiLvlLbl val="0"/>
      </c:catAx>
      <c:valAx>
        <c:axId val="287362136"/>
        <c:scaling>
          <c:orientation val="minMax"/>
          <c:max val="80"/>
          <c:min val="-3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7362920"/>
        <c:crosses val="autoZero"/>
        <c:crossBetween val="between"/>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v>Rūpniecība kopā</c:v>
          </c:tx>
          <c:spPr>
            <a:solidFill>
              <a:schemeClr val="accent3"/>
            </a:solidFill>
            <a:ln>
              <a:noFill/>
            </a:ln>
            <a:effectLst>
              <a:outerShdw blurRad="50800" dist="38100" dir="2700000" algn="tl" rotWithShape="0">
                <a:prstClr val="black">
                  <a:alpha val="40000"/>
                </a:prstClr>
              </a:outerShdw>
            </a:effectLst>
          </c:spPr>
          <c:cat>
            <c:multiLvlStrRef>
              <c:f>'Pieauguma tempi'!$BJ$3:$DT$4</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2010</c:v>
                  </c:pt>
                  <c:pt idx="12">
                    <c:v>2011</c:v>
                  </c:pt>
                  <c:pt idx="24">
                    <c:v>2012</c:v>
                  </c:pt>
                  <c:pt idx="36">
                    <c:v>2013</c:v>
                  </c:pt>
                  <c:pt idx="48">
                    <c:v>2014</c:v>
                  </c:pt>
                  <c:pt idx="60">
                    <c:v>2015</c:v>
                  </c:pt>
                </c:lvl>
              </c:multiLvlStrCache>
            </c:multiLvlStrRef>
          </c:cat>
          <c:val>
            <c:numRef>
              <c:f>'Pieauguma tempi'!$BJ$7:$DT$7</c:f>
              <c:numCache>
                <c:formatCode>General</c:formatCode>
                <c:ptCount val="63"/>
                <c:pt idx="0">
                  <c:v>-4.7337278106508904</c:v>
                </c:pt>
                <c:pt idx="1">
                  <c:v>-2.7162977867203324</c:v>
                </c:pt>
                <c:pt idx="2">
                  <c:v>0.10245901639345334</c:v>
                </c:pt>
                <c:pt idx="3">
                  <c:v>1.7598343685300222</c:v>
                </c:pt>
                <c:pt idx="4">
                  <c:v>3.7305699481865275</c:v>
                </c:pt>
                <c:pt idx="5">
                  <c:v>5.2410901467505226</c:v>
                </c:pt>
                <c:pt idx="6">
                  <c:v>5.2465897166841557</c:v>
                </c:pt>
                <c:pt idx="7">
                  <c:v>5.8700209643605774</c:v>
                </c:pt>
                <c:pt idx="8">
                  <c:v>6.5830721003134727</c:v>
                </c:pt>
                <c:pt idx="9">
                  <c:v>5.9006211180124239</c:v>
                </c:pt>
                <c:pt idx="10">
                  <c:v>7.465825446898009</c:v>
                </c:pt>
                <c:pt idx="11">
                  <c:v>7.0083682008368271</c:v>
                </c:pt>
                <c:pt idx="12">
                  <c:v>7.142857142857153</c:v>
                </c:pt>
                <c:pt idx="13">
                  <c:v>8.3764219234746662</c:v>
                </c:pt>
                <c:pt idx="14">
                  <c:v>8.5977482088024573</c:v>
                </c:pt>
                <c:pt idx="15">
                  <c:v>8.7487283825025486</c:v>
                </c:pt>
                <c:pt idx="16">
                  <c:v>6.9930069930070005</c:v>
                </c:pt>
                <c:pt idx="17">
                  <c:v>6.573705179282868</c:v>
                </c:pt>
                <c:pt idx="18">
                  <c:v>7.7766699900299159</c:v>
                </c:pt>
                <c:pt idx="19">
                  <c:v>7.0297029702970235</c:v>
                </c:pt>
                <c:pt idx="20">
                  <c:v>5.4901960784313673</c:v>
                </c:pt>
                <c:pt idx="21">
                  <c:v>5.6695992179863168</c:v>
                </c:pt>
                <c:pt idx="22">
                  <c:v>5.283757338551851</c:v>
                </c:pt>
                <c:pt idx="23">
                  <c:v>5.1808406647116385</c:v>
                </c:pt>
                <c:pt idx="24">
                  <c:v>4.3478260869565162</c:v>
                </c:pt>
                <c:pt idx="25">
                  <c:v>3.053435114503813</c:v>
                </c:pt>
                <c:pt idx="26">
                  <c:v>1.4137606032045227</c:v>
                </c:pt>
                <c:pt idx="27">
                  <c:v>1.8709073900841844</c:v>
                </c:pt>
                <c:pt idx="28">
                  <c:v>1.2138188608776943</c:v>
                </c:pt>
                <c:pt idx="29">
                  <c:v>1.5887850467289724</c:v>
                </c:pt>
                <c:pt idx="30">
                  <c:v>0.55504162812211177</c:v>
                </c:pt>
                <c:pt idx="31">
                  <c:v>0.64754856614246137</c:v>
                </c:pt>
                <c:pt idx="32">
                  <c:v>1.3940520446096656</c:v>
                </c:pt>
                <c:pt idx="33">
                  <c:v>1.3876040703052723</c:v>
                </c:pt>
                <c:pt idx="34">
                  <c:v>2.0446096654275152</c:v>
                </c:pt>
                <c:pt idx="35">
                  <c:v>2.0446096654275152</c:v>
                </c:pt>
                <c:pt idx="36">
                  <c:v>2.2222222222222285</c:v>
                </c:pt>
                <c:pt idx="37">
                  <c:v>2.4074074074074048</c:v>
                </c:pt>
                <c:pt idx="38">
                  <c:v>3.1598513011152534</c:v>
                </c:pt>
                <c:pt idx="39">
                  <c:v>1.8365472910927423</c:v>
                </c:pt>
                <c:pt idx="40">
                  <c:v>2.9520295202951985</c:v>
                </c:pt>
                <c:pt idx="41">
                  <c:v>2.299908003679846</c:v>
                </c:pt>
                <c:pt idx="42">
                  <c:v>2.1159153633854686</c:v>
                </c:pt>
                <c:pt idx="43">
                  <c:v>1.9301470588235361</c:v>
                </c:pt>
                <c:pt idx="44">
                  <c:v>1.8331805682859823</c:v>
                </c:pt>
                <c:pt idx="45">
                  <c:v>1.3686131386861433</c:v>
                </c:pt>
                <c:pt idx="46">
                  <c:v>1.1839708561020075</c:v>
                </c:pt>
                <c:pt idx="47">
                  <c:v>1.3661202185792405</c:v>
                </c:pt>
                <c:pt idx="48">
                  <c:v>1.0869565217391255</c:v>
                </c:pt>
                <c:pt idx="49">
                  <c:v>0.99457504520796647</c:v>
                </c:pt>
                <c:pt idx="50">
                  <c:v>0.54054054054054745</c:v>
                </c:pt>
                <c:pt idx="51">
                  <c:v>0.63119927862939562</c:v>
                </c:pt>
                <c:pt idx="52">
                  <c:v>0</c:v>
                </c:pt>
                <c:pt idx="53">
                  <c:v>0.62949640287769171</c:v>
                </c:pt>
                <c:pt idx="54">
                  <c:v>0.63063063063063396</c:v>
                </c:pt>
                <c:pt idx="55">
                  <c:v>0.63119927862939562</c:v>
                </c:pt>
                <c:pt idx="56">
                  <c:v>0.18001800180017824</c:v>
                </c:pt>
                <c:pt idx="57">
                  <c:v>-9.0009000900082015E-2</c:v>
                </c:pt>
                <c:pt idx="58">
                  <c:v>0</c:v>
                </c:pt>
                <c:pt idx="59">
                  <c:v>-0.53908355795148566</c:v>
                </c:pt>
                <c:pt idx="60">
                  <c:v>-0.71684587813619771</c:v>
                </c:pt>
                <c:pt idx="61">
                  <c:v>-0.80572963294538624</c:v>
                </c:pt>
                <c:pt idx="62">
                  <c:v>-0.26881720430107237</c:v>
                </c:pt>
              </c:numCache>
            </c:numRef>
          </c:val>
        </c:ser>
        <c:dLbls>
          <c:showLegendKey val="0"/>
          <c:showVal val="0"/>
          <c:showCatName val="0"/>
          <c:showSerName val="0"/>
          <c:showPercent val="0"/>
          <c:showBubbleSize val="0"/>
        </c:dLbls>
        <c:axId val="399791048"/>
        <c:axId val="513701632"/>
      </c:areaChart>
      <c:lineChart>
        <c:grouping val="standard"/>
        <c:varyColors val="0"/>
        <c:ser>
          <c:idx val="1"/>
          <c:order val="1"/>
          <c:tx>
            <c:v>Vietējā tirgū realizētā produkcija</c:v>
          </c:tx>
          <c:spPr>
            <a:ln w="28575" cap="rnd">
              <a:solidFill>
                <a:schemeClr val="tx2">
                  <a:lumMod val="50000"/>
                </a:schemeClr>
              </a:solidFill>
              <a:prstDash val="sysDash"/>
              <a:round/>
            </a:ln>
            <a:effectLst>
              <a:outerShdw blurRad="50800" dist="38100" dir="2700000" algn="tl" rotWithShape="0">
                <a:prstClr val="black">
                  <a:alpha val="40000"/>
                </a:prstClr>
              </a:outerShdw>
            </a:effectLst>
          </c:spPr>
          <c:marker>
            <c:symbol val="none"/>
          </c:marker>
          <c:cat>
            <c:multiLvlStrRef>
              <c:f>'Pieauguma tempi'!$BJ$3:$DT$4</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2010</c:v>
                  </c:pt>
                  <c:pt idx="12">
                    <c:v>2011</c:v>
                  </c:pt>
                  <c:pt idx="24">
                    <c:v>2012</c:v>
                  </c:pt>
                  <c:pt idx="36">
                    <c:v>2013</c:v>
                  </c:pt>
                  <c:pt idx="48">
                    <c:v>2014</c:v>
                  </c:pt>
                  <c:pt idx="60">
                    <c:v>2015</c:v>
                  </c:pt>
                </c:lvl>
              </c:multiLvlStrCache>
            </c:multiLvlStrRef>
          </c:cat>
          <c:val>
            <c:numRef>
              <c:f>'Pieauguma tempi'!$BJ$37:$DT$37</c:f>
              <c:numCache>
                <c:formatCode>General</c:formatCode>
                <c:ptCount val="63"/>
                <c:pt idx="0">
                  <c:v>-6.9259962049335968</c:v>
                </c:pt>
                <c:pt idx="1">
                  <c:v>-5.2274927395934156</c:v>
                </c:pt>
                <c:pt idx="2">
                  <c:v>-4.2926829268292721</c:v>
                </c:pt>
                <c:pt idx="3">
                  <c:v>-2.6706231454005831</c:v>
                </c:pt>
                <c:pt idx="4">
                  <c:v>-1.0967098703888354</c:v>
                </c:pt>
                <c:pt idx="5">
                  <c:v>0.10050251256281229</c:v>
                </c:pt>
                <c:pt idx="6">
                  <c:v>0.70707070707071296</c:v>
                </c:pt>
                <c:pt idx="7">
                  <c:v>1.5166835187057615</c:v>
                </c:pt>
                <c:pt idx="8">
                  <c:v>3.1440162271805292</c:v>
                </c:pt>
                <c:pt idx="9">
                  <c:v>2.9292929292929273</c:v>
                </c:pt>
                <c:pt idx="10">
                  <c:v>4.6012269938650405</c:v>
                </c:pt>
                <c:pt idx="11">
                  <c:v>3.955375253549704</c:v>
                </c:pt>
                <c:pt idx="12">
                  <c:v>6.2181447502548508</c:v>
                </c:pt>
                <c:pt idx="13">
                  <c:v>6.9458631256383967</c:v>
                </c:pt>
                <c:pt idx="14">
                  <c:v>7.5433231396534239</c:v>
                </c:pt>
                <c:pt idx="15">
                  <c:v>8.7398373983739788</c:v>
                </c:pt>
                <c:pt idx="16">
                  <c:v>8.4677419354838719</c:v>
                </c:pt>
                <c:pt idx="17">
                  <c:v>8.3333333333333428</c:v>
                </c:pt>
                <c:pt idx="18">
                  <c:v>8.6258776328986926</c:v>
                </c:pt>
                <c:pt idx="19">
                  <c:v>8.2669322709163282</c:v>
                </c:pt>
                <c:pt idx="20">
                  <c:v>6.686332350049156</c:v>
                </c:pt>
                <c:pt idx="21">
                  <c:v>6.7713444553483697</c:v>
                </c:pt>
                <c:pt idx="22">
                  <c:v>5.9628543499511295</c:v>
                </c:pt>
                <c:pt idx="23">
                  <c:v>5.4634146341463463</c:v>
                </c:pt>
                <c:pt idx="24">
                  <c:v>4.2226487523992233</c:v>
                </c:pt>
                <c:pt idx="25">
                  <c:v>3.7249283667621711</c:v>
                </c:pt>
                <c:pt idx="26">
                  <c:v>3.1279620853080559</c:v>
                </c:pt>
                <c:pt idx="27">
                  <c:v>2.0560747663551382</c:v>
                </c:pt>
                <c:pt idx="28">
                  <c:v>1.3940520446096656</c:v>
                </c:pt>
                <c:pt idx="29">
                  <c:v>1.4828544949026821</c:v>
                </c:pt>
                <c:pt idx="30">
                  <c:v>0.8310249307479296</c:v>
                </c:pt>
                <c:pt idx="31">
                  <c:v>0.36798528058876911</c:v>
                </c:pt>
                <c:pt idx="32">
                  <c:v>0.92165898617511743</c:v>
                </c:pt>
                <c:pt idx="33">
                  <c:v>1.0110294117647101</c:v>
                </c:pt>
                <c:pt idx="34">
                  <c:v>1.93726937269372</c:v>
                </c:pt>
                <c:pt idx="35">
                  <c:v>2.0351526364477337</c:v>
                </c:pt>
                <c:pt idx="36">
                  <c:v>1.7495395948434691</c:v>
                </c:pt>
                <c:pt idx="37">
                  <c:v>2.2099447513812152</c:v>
                </c:pt>
                <c:pt idx="38">
                  <c:v>2.0220588235294201</c:v>
                </c:pt>
                <c:pt idx="39">
                  <c:v>1.46520146520146</c:v>
                </c:pt>
                <c:pt idx="40">
                  <c:v>2.0164986251145791</c:v>
                </c:pt>
                <c:pt idx="41">
                  <c:v>1.2785388127853849</c:v>
                </c:pt>
                <c:pt idx="42">
                  <c:v>1.831501831501825</c:v>
                </c:pt>
                <c:pt idx="43">
                  <c:v>1.8331805682859823</c:v>
                </c:pt>
                <c:pt idx="44">
                  <c:v>1.735159817351601</c:v>
                </c:pt>
                <c:pt idx="45">
                  <c:v>1.0919017288444053</c:v>
                </c:pt>
                <c:pt idx="46">
                  <c:v>0.72398190045248612</c:v>
                </c:pt>
                <c:pt idx="47">
                  <c:v>1.2692656391659085</c:v>
                </c:pt>
                <c:pt idx="48">
                  <c:v>1.3574660633484115</c:v>
                </c:pt>
                <c:pt idx="49">
                  <c:v>0.90090090090090769</c:v>
                </c:pt>
                <c:pt idx="50">
                  <c:v>0.81081081081080697</c:v>
                </c:pt>
                <c:pt idx="51">
                  <c:v>1.1732851985559591</c:v>
                </c:pt>
                <c:pt idx="52">
                  <c:v>0.89847259658580469</c:v>
                </c:pt>
                <c:pt idx="53">
                  <c:v>1.2623985572587912</c:v>
                </c:pt>
                <c:pt idx="54">
                  <c:v>0.71942446043165376</c:v>
                </c:pt>
                <c:pt idx="55">
                  <c:v>0.90009000900090541</c:v>
                </c:pt>
                <c:pt idx="56">
                  <c:v>-8.9766606822266226E-2</c:v>
                </c:pt>
                <c:pt idx="57">
                  <c:v>0</c:v>
                </c:pt>
                <c:pt idx="58">
                  <c:v>-0.26954177897573572</c:v>
                </c:pt>
                <c:pt idx="59">
                  <c:v>-0.80572963294538624</c:v>
                </c:pt>
                <c:pt idx="60">
                  <c:v>-0.8928571428571388</c:v>
                </c:pt>
                <c:pt idx="61">
                  <c:v>-0.625</c:v>
                </c:pt>
                <c:pt idx="62">
                  <c:v>-0.4468275245755251</c:v>
                </c:pt>
              </c:numCache>
            </c:numRef>
          </c:val>
          <c:smooth val="0"/>
        </c:ser>
        <c:ser>
          <c:idx val="2"/>
          <c:order val="2"/>
          <c:tx>
            <c:v>Eksportētā produkcija</c:v>
          </c:tx>
          <c:spPr>
            <a:ln w="19050" cap="rnd">
              <a:solidFill>
                <a:schemeClr val="tx2">
                  <a:lumMod val="50000"/>
                </a:schemeClr>
              </a:solidFill>
              <a:round/>
            </a:ln>
            <a:effectLst>
              <a:outerShdw blurRad="50800" dist="38100" dir="2700000" algn="tl" rotWithShape="0">
                <a:prstClr val="black">
                  <a:alpha val="40000"/>
                </a:prstClr>
              </a:outerShdw>
            </a:effectLst>
          </c:spPr>
          <c:marker>
            <c:symbol val="none"/>
          </c:marker>
          <c:cat>
            <c:multiLvlStrRef>
              <c:f>'Pieauguma tempi'!$BJ$3:$DT$4</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2010</c:v>
                  </c:pt>
                  <c:pt idx="12">
                    <c:v>2011</c:v>
                  </c:pt>
                  <c:pt idx="24">
                    <c:v>2012</c:v>
                  </c:pt>
                  <c:pt idx="36">
                    <c:v>2013</c:v>
                  </c:pt>
                  <c:pt idx="48">
                    <c:v>2014</c:v>
                  </c:pt>
                  <c:pt idx="60">
                    <c:v>2015</c:v>
                  </c:pt>
                </c:lvl>
              </c:multiLvlStrCache>
            </c:multiLvlStrRef>
          </c:cat>
          <c:val>
            <c:numRef>
              <c:f>'Pieauguma tempi'!$BJ$67:$DT$67</c:f>
              <c:numCache>
                <c:formatCode>General</c:formatCode>
                <c:ptCount val="63"/>
                <c:pt idx="0">
                  <c:v>-2.4590163934426243</c:v>
                </c:pt>
                <c:pt idx="1">
                  <c:v>-0.10449320794148775</c:v>
                </c:pt>
                <c:pt idx="2">
                  <c:v>4.7362755651237762</c:v>
                </c:pt>
                <c:pt idx="3">
                  <c:v>6.6160520607375304</c:v>
                </c:pt>
                <c:pt idx="4">
                  <c:v>8.6021505376344152</c:v>
                </c:pt>
                <c:pt idx="5">
                  <c:v>10.491803278688522</c:v>
                </c:pt>
                <c:pt idx="6">
                  <c:v>9.6844396082698552</c:v>
                </c:pt>
                <c:pt idx="7">
                  <c:v>10.206297502714449</c:v>
                </c:pt>
                <c:pt idx="8">
                  <c:v>10</c:v>
                </c:pt>
                <c:pt idx="9">
                  <c:v>8.7923728813559308</c:v>
                </c:pt>
                <c:pt idx="10">
                  <c:v>10.367170626349903</c:v>
                </c:pt>
                <c:pt idx="11">
                  <c:v>10.129310344827587</c:v>
                </c:pt>
                <c:pt idx="12">
                  <c:v>8.0882352941176379</c:v>
                </c:pt>
                <c:pt idx="13">
                  <c:v>9.7280334728033608</c:v>
                </c:pt>
                <c:pt idx="14">
                  <c:v>9.4552929085303248</c:v>
                </c:pt>
                <c:pt idx="15">
                  <c:v>8.646998982706009</c:v>
                </c:pt>
                <c:pt idx="16">
                  <c:v>5.6435643564356468</c:v>
                </c:pt>
                <c:pt idx="17">
                  <c:v>5.1434223541048567</c:v>
                </c:pt>
                <c:pt idx="18">
                  <c:v>7.0436507936507979</c:v>
                </c:pt>
                <c:pt idx="19">
                  <c:v>6.0098522167487687</c:v>
                </c:pt>
                <c:pt idx="20">
                  <c:v>4.4965786901270803</c:v>
                </c:pt>
                <c:pt idx="21">
                  <c:v>4.5764362220058388</c:v>
                </c:pt>
                <c:pt idx="22">
                  <c:v>4.5988258317025412</c:v>
                </c:pt>
                <c:pt idx="23">
                  <c:v>4.7945205479451971</c:v>
                </c:pt>
                <c:pt idx="24">
                  <c:v>4.4703595724003833</c:v>
                </c:pt>
                <c:pt idx="25">
                  <c:v>2.4785510009532885</c:v>
                </c:pt>
                <c:pt idx="26">
                  <c:v>0.18779342723004788</c:v>
                </c:pt>
                <c:pt idx="27">
                  <c:v>1.68539325842697</c:v>
                </c:pt>
                <c:pt idx="28">
                  <c:v>1.1246485473289596</c:v>
                </c:pt>
                <c:pt idx="29">
                  <c:v>1.6933207902163758</c:v>
                </c:pt>
                <c:pt idx="30">
                  <c:v>0.37071362372566341</c:v>
                </c:pt>
                <c:pt idx="31">
                  <c:v>0.83643122676581072</c:v>
                </c:pt>
                <c:pt idx="32">
                  <c:v>1.6838166510757731</c:v>
                </c:pt>
                <c:pt idx="33">
                  <c:v>1.8621973929236475</c:v>
                </c:pt>
                <c:pt idx="34">
                  <c:v>2.2450888681010213</c:v>
                </c:pt>
                <c:pt idx="35">
                  <c:v>2.1475256769374482</c:v>
                </c:pt>
                <c:pt idx="36">
                  <c:v>2.5116279069767415</c:v>
                </c:pt>
                <c:pt idx="37">
                  <c:v>2.6046511627907023</c:v>
                </c:pt>
                <c:pt idx="38">
                  <c:v>3.8425492033739488</c:v>
                </c:pt>
                <c:pt idx="39">
                  <c:v>2.1178637200736716</c:v>
                </c:pt>
                <c:pt idx="40">
                  <c:v>3.4291010194624647</c:v>
                </c:pt>
                <c:pt idx="41">
                  <c:v>3.0527289546716077</c:v>
                </c:pt>
                <c:pt idx="42">
                  <c:v>2.3084025854109029</c:v>
                </c:pt>
                <c:pt idx="43">
                  <c:v>1.9354838709677438</c:v>
                </c:pt>
                <c:pt idx="44">
                  <c:v>1.9319227230910769</c:v>
                </c:pt>
                <c:pt idx="45">
                  <c:v>1.5539305301645356</c:v>
                </c:pt>
                <c:pt idx="46">
                  <c:v>1.3723696248856356</c:v>
                </c:pt>
                <c:pt idx="47">
                  <c:v>1.4625228519195588</c:v>
                </c:pt>
                <c:pt idx="48">
                  <c:v>0.99818511796732423</c:v>
                </c:pt>
                <c:pt idx="49">
                  <c:v>1.0879419764279277</c:v>
                </c:pt>
                <c:pt idx="50">
                  <c:v>0.4512635379061436</c:v>
                </c:pt>
                <c:pt idx="51">
                  <c:v>0.27051397655544918</c:v>
                </c:pt>
                <c:pt idx="52">
                  <c:v>-0.53763440860214473</c:v>
                </c:pt>
                <c:pt idx="53">
                  <c:v>0.17953321364451824</c:v>
                </c:pt>
                <c:pt idx="54">
                  <c:v>0.4512635379061436</c:v>
                </c:pt>
                <c:pt idx="55">
                  <c:v>0.45207956600361854</c:v>
                </c:pt>
                <c:pt idx="56">
                  <c:v>0.27075812274368616</c:v>
                </c:pt>
                <c:pt idx="57">
                  <c:v>-0.27002700270026025</c:v>
                </c:pt>
                <c:pt idx="58">
                  <c:v>0.27075812274368616</c:v>
                </c:pt>
                <c:pt idx="59">
                  <c:v>-0.45045045045044674</c:v>
                </c:pt>
                <c:pt idx="60">
                  <c:v>-0.71877807726863807</c:v>
                </c:pt>
                <c:pt idx="61">
                  <c:v>-0.98654708520179213</c:v>
                </c:pt>
                <c:pt idx="62">
                  <c:v>-8.9847259658583312E-2</c:v>
                </c:pt>
              </c:numCache>
            </c:numRef>
          </c:val>
          <c:smooth val="0"/>
        </c:ser>
        <c:dLbls>
          <c:showLegendKey val="0"/>
          <c:showVal val="0"/>
          <c:showCatName val="0"/>
          <c:showSerName val="0"/>
          <c:showPercent val="0"/>
          <c:showBubbleSize val="0"/>
        </c:dLbls>
        <c:marker val="1"/>
        <c:smooth val="0"/>
        <c:axId val="399791048"/>
        <c:axId val="513701632"/>
      </c:lineChart>
      <c:catAx>
        <c:axId val="3997910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13701632"/>
        <c:crosses val="autoZero"/>
        <c:auto val="1"/>
        <c:lblAlgn val="ctr"/>
        <c:lblOffset val="100"/>
        <c:noMultiLvlLbl val="0"/>
      </c:catAx>
      <c:valAx>
        <c:axId val="51370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9791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247169307759879E-2"/>
          <c:y val="2.0107394832526663E-2"/>
          <c:w val="0.92710496728482017"/>
          <c:h val="0.80218417651921947"/>
        </c:manualLayout>
      </c:layout>
      <c:barChart>
        <c:barDir val="col"/>
        <c:grouping val="stacked"/>
        <c:varyColors val="0"/>
        <c:ser>
          <c:idx val="0"/>
          <c:order val="0"/>
          <c:tx>
            <c:v>degviela</c:v>
          </c:tx>
          <c:spPr>
            <a:solidFill>
              <a:srgbClr val="1F497D">
                <a:lumMod val="50000"/>
              </a:srgbClr>
            </a:solidFill>
            <a:ln>
              <a:noFill/>
            </a:ln>
          </c:spPr>
          <c:invertIfNegative val="0"/>
          <c:cat>
            <c:multiLvlStrRef>
              <c:f>[1]Retail!$A$110:$B$172</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2010</c:v>
                  </c:pt>
                  <c:pt idx="12">
                    <c:v>2011</c:v>
                  </c:pt>
                  <c:pt idx="24">
                    <c:v>2012</c:v>
                  </c:pt>
                  <c:pt idx="36">
                    <c:v>2013</c:v>
                  </c:pt>
                  <c:pt idx="48">
                    <c:v>2014</c:v>
                  </c:pt>
                  <c:pt idx="60">
                    <c:v>15</c:v>
                  </c:pt>
                </c:lvl>
              </c:multiLvlStrCache>
            </c:multiLvlStrRef>
          </c:cat>
          <c:val>
            <c:numRef>
              <c:f>[1]Retail!$M$110:$M$172</c:f>
              <c:numCache>
                <c:formatCode>0.0</c:formatCode>
                <c:ptCount val="63"/>
                <c:pt idx="0">
                  <c:v>-3.4373798610413679</c:v>
                </c:pt>
                <c:pt idx="1">
                  <c:v>-2.2462395507955555</c:v>
                </c:pt>
                <c:pt idx="2">
                  <c:v>-1.5928875900421544</c:v>
                </c:pt>
                <c:pt idx="3">
                  <c:v>-1.7269839905366304</c:v>
                </c:pt>
                <c:pt idx="4">
                  <c:v>-0.96292898820022743</c:v>
                </c:pt>
                <c:pt idx="5">
                  <c:v>-0.63151952192966809</c:v>
                </c:pt>
                <c:pt idx="6">
                  <c:v>-2.1929057361878019</c:v>
                </c:pt>
                <c:pt idx="7">
                  <c:v>-0.33489854008125636</c:v>
                </c:pt>
                <c:pt idx="8">
                  <c:v>-6.3772759078013747E-2</c:v>
                </c:pt>
                <c:pt idx="9">
                  <c:v>-1.3656155506770618</c:v>
                </c:pt>
                <c:pt idx="10">
                  <c:v>-0.89253247995213059</c:v>
                </c:pt>
                <c:pt idx="11">
                  <c:v>0.6018464830175575</c:v>
                </c:pt>
                <c:pt idx="12">
                  <c:v>-3.146900234637152</c:v>
                </c:pt>
                <c:pt idx="13">
                  <c:v>-0.82736361311029072</c:v>
                </c:pt>
                <c:pt idx="14">
                  <c:v>-1.1104426021836278</c:v>
                </c:pt>
                <c:pt idx="15">
                  <c:v>-3.0762598344263634</c:v>
                </c:pt>
                <c:pt idx="16">
                  <c:v>-1.8847812022412522</c:v>
                </c:pt>
                <c:pt idx="17">
                  <c:v>-1.674286430256313</c:v>
                </c:pt>
                <c:pt idx="18">
                  <c:v>-2.5341869888843136</c:v>
                </c:pt>
                <c:pt idx="19">
                  <c:v>-1.3209230198202537</c:v>
                </c:pt>
                <c:pt idx="20">
                  <c:v>-0.89245383920600108</c:v>
                </c:pt>
                <c:pt idx="21">
                  <c:v>-0.96220701598947078</c:v>
                </c:pt>
                <c:pt idx="22">
                  <c:v>-0.18484898563544638</c:v>
                </c:pt>
                <c:pt idx="23">
                  <c:v>-2.0083420158173158</c:v>
                </c:pt>
                <c:pt idx="24">
                  <c:v>1.8061730507739659</c:v>
                </c:pt>
                <c:pt idx="25">
                  <c:v>0.89226412433189739</c:v>
                </c:pt>
                <c:pt idx="26">
                  <c:v>0.78749935973670937</c:v>
                </c:pt>
                <c:pt idx="27">
                  <c:v>2.0765777713906912</c:v>
                </c:pt>
                <c:pt idx="28">
                  <c:v>0.66754932750302143</c:v>
                </c:pt>
                <c:pt idx="29">
                  <c:v>1.4516397568675241</c:v>
                </c:pt>
                <c:pt idx="30">
                  <c:v>3.4650536650297599</c:v>
                </c:pt>
                <c:pt idx="31">
                  <c:v>3.9347038267824557</c:v>
                </c:pt>
                <c:pt idx="32">
                  <c:v>1.8358946423324012</c:v>
                </c:pt>
                <c:pt idx="33">
                  <c:v>3.4534874037036976</c:v>
                </c:pt>
                <c:pt idx="34">
                  <c:v>1.3091796090695189</c:v>
                </c:pt>
                <c:pt idx="35">
                  <c:v>1.5929673409274832</c:v>
                </c:pt>
                <c:pt idx="36">
                  <c:v>0.67231394626437302</c:v>
                </c:pt>
                <c:pt idx="37">
                  <c:v>-1.0452246790290673</c:v>
                </c:pt>
                <c:pt idx="38">
                  <c:v>-0.59241597791494438</c:v>
                </c:pt>
                <c:pt idx="39">
                  <c:v>-0.7543988175546894</c:v>
                </c:pt>
                <c:pt idx="40">
                  <c:v>0.77201898661309931</c:v>
                </c:pt>
                <c:pt idx="41">
                  <c:v>-0.58925141234624701</c:v>
                </c:pt>
                <c:pt idx="42">
                  <c:v>-0.14740769102532567</c:v>
                </c:pt>
                <c:pt idx="43">
                  <c:v>-0.78606563731448476</c:v>
                </c:pt>
                <c:pt idx="44">
                  <c:v>0.8222656167074418</c:v>
                </c:pt>
                <c:pt idx="45">
                  <c:v>0.55912064970758724</c:v>
                </c:pt>
                <c:pt idx="46">
                  <c:v>-0.16337470504646553</c:v>
                </c:pt>
                <c:pt idx="47">
                  <c:v>-1.355922946117353</c:v>
                </c:pt>
                <c:pt idx="48">
                  <c:v>9.2046549627196758E-2</c:v>
                </c:pt>
                <c:pt idx="49">
                  <c:v>-0.6461086841663638</c:v>
                </c:pt>
                <c:pt idx="50">
                  <c:v>0.59813416022784005</c:v>
                </c:pt>
                <c:pt idx="51">
                  <c:v>4.4629529537823664</c:v>
                </c:pt>
                <c:pt idx="52">
                  <c:v>-0.49729811023628723</c:v>
                </c:pt>
                <c:pt idx="53">
                  <c:v>0.10924780523539535</c:v>
                </c:pt>
                <c:pt idx="54">
                  <c:v>0.49804858636650262</c:v>
                </c:pt>
                <c:pt idx="55">
                  <c:v>0.44513160116140799</c:v>
                </c:pt>
                <c:pt idx="56">
                  <c:v>2.7021192039631763</c:v>
                </c:pt>
                <c:pt idx="57">
                  <c:v>1.2648566169206734</c:v>
                </c:pt>
                <c:pt idx="58">
                  <c:v>2.6769475433835002</c:v>
                </c:pt>
                <c:pt idx="59">
                  <c:v>1.8659528490940664</c:v>
                </c:pt>
                <c:pt idx="60">
                  <c:v>1.3804369064369397</c:v>
                </c:pt>
                <c:pt idx="61">
                  <c:v>4.1950868823340066</c:v>
                </c:pt>
                <c:pt idx="62">
                  <c:v>3.7713928431735044</c:v>
                </c:pt>
              </c:numCache>
            </c:numRef>
          </c:val>
        </c:ser>
        <c:ser>
          <c:idx val="1"/>
          <c:order val="1"/>
          <c:tx>
            <c:v>pārtika</c:v>
          </c:tx>
          <c:spPr>
            <a:solidFill>
              <a:srgbClr val="C00000"/>
            </a:solidFill>
            <a:ln>
              <a:noFill/>
            </a:ln>
          </c:spPr>
          <c:invertIfNegative val="0"/>
          <c:cat>
            <c:multiLvlStrRef>
              <c:f>[1]Retail!$A$110:$B$172</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2010</c:v>
                  </c:pt>
                  <c:pt idx="12">
                    <c:v>2011</c:v>
                  </c:pt>
                  <c:pt idx="24">
                    <c:v>2012</c:v>
                  </c:pt>
                  <c:pt idx="36">
                    <c:v>2013</c:v>
                  </c:pt>
                  <c:pt idx="48">
                    <c:v>2014</c:v>
                  </c:pt>
                  <c:pt idx="60">
                    <c:v>15</c:v>
                  </c:pt>
                </c:lvl>
              </c:multiLvlStrCache>
            </c:multiLvlStrRef>
          </c:cat>
          <c:val>
            <c:numRef>
              <c:f>[1]Retail!$N$110:$N$172</c:f>
              <c:numCache>
                <c:formatCode>0.0</c:formatCode>
                <c:ptCount val="63"/>
                <c:pt idx="0">
                  <c:v>-7.3579755833133316</c:v>
                </c:pt>
                <c:pt idx="1">
                  <c:v>-5.3656779750005326</c:v>
                </c:pt>
                <c:pt idx="2">
                  <c:v>-2.5148033646411747</c:v>
                </c:pt>
                <c:pt idx="3">
                  <c:v>-3.8818759221367798</c:v>
                </c:pt>
                <c:pt idx="4">
                  <c:v>-3.9474891145934028</c:v>
                </c:pt>
                <c:pt idx="5">
                  <c:v>-2.6547412748495707</c:v>
                </c:pt>
                <c:pt idx="6">
                  <c:v>-0.81006962352371181</c:v>
                </c:pt>
                <c:pt idx="7">
                  <c:v>-0.46967706529356679</c:v>
                </c:pt>
                <c:pt idx="8">
                  <c:v>-9.7944753281538691E-2</c:v>
                </c:pt>
                <c:pt idx="9">
                  <c:v>-0.13966368010986427</c:v>
                </c:pt>
                <c:pt idx="10">
                  <c:v>0.68741549651969813</c:v>
                </c:pt>
                <c:pt idx="11">
                  <c:v>0.40087790806734797</c:v>
                </c:pt>
                <c:pt idx="12">
                  <c:v>-0.84681794072794581</c:v>
                </c:pt>
                <c:pt idx="13">
                  <c:v>-0.35201762458483515</c:v>
                </c:pt>
                <c:pt idx="14">
                  <c:v>-0.92370067417718127</c:v>
                </c:pt>
                <c:pt idx="15">
                  <c:v>-0.41971634042307771</c:v>
                </c:pt>
                <c:pt idx="16">
                  <c:v>-0.56181984316536671</c:v>
                </c:pt>
                <c:pt idx="17">
                  <c:v>0.46126921141433241</c:v>
                </c:pt>
                <c:pt idx="18">
                  <c:v>1.306800682442008</c:v>
                </c:pt>
                <c:pt idx="19">
                  <c:v>0.72326711714248826</c:v>
                </c:pt>
                <c:pt idx="20">
                  <c:v>0.96393625764106994</c:v>
                </c:pt>
                <c:pt idx="21">
                  <c:v>1.0241601349866853</c:v>
                </c:pt>
                <c:pt idx="22">
                  <c:v>2.0747423629667381</c:v>
                </c:pt>
                <c:pt idx="23">
                  <c:v>2.4467948932093058</c:v>
                </c:pt>
                <c:pt idx="24">
                  <c:v>1.8123217181608833</c:v>
                </c:pt>
                <c:pt idx="25">
                  <c:v>2.4684612015535343</c:v>
                </c:pt>
                <c:pt idx="26">
                  <c:v>1.1122764356984651</c:v>
                </c:pt>
                <c:pt idx="27">
                  <c:v>0.31628757651331174</c:v>
                </c:pt>
                <c:pt idx="28">
                  <c:v>1.9887760164314137</c:v>
                </c:pt>
                <c:pt idx="29">
                  <c:v>2.3747680468307624</c:v>
                </c:pt>
                <c:pt idx="30">
                  <c:v>1.4069632141694992</c:v>
                </c:pt>
                <c:pt idx="31">
                  <c:v>1.0403869332227831</c:v>
                </c:pt>
                <c:pt idx="32">
                  <c:v>0.83824806950663944</c:v>
                </c:pt>
                <c:pt idx="33">
                  <c:v>0.35216016723439597</c:v>
                </c:pt>
                <c:pt idx="34">
                  <c:v>0.8359082683146527</c:v>
                </c:pt>
                <c:pt idx="35">
                  <c:v>0.5084544156500046</c:v>
                </c:pt>
                <c:pt idx="36">
                  <c:v>1.8898965021699712</c:v>
                </c:pt>
                <c:pt idx="37">
                  <c:v>0.77835565475453017</c:v>
                </c:pt>
                <c:pt idx="38">
                  <c:v>3.6980648974248784</c:v>
                </c:pt>
                <c:pt idx="39">
                  <c:v>0.88197759869025349</c:v>
                </c:pt>
                <c:pt idx="40">
                  <c:v>2.319713229839786</c:v>
                </c:pt>
                <c:pt idx="41">
                  <c:v>1.3877549321915723</c:v>
                </c:pt>
                <c:pt idx="42">
                  <c:v>0.74277581128958248</c:v>
                </c:pt>
                <c:pt idx="43">
                  <c:v>1.6055005701169707</c:v>
                </c:pt>
                <c:pt idx="44">
                  <c:v>0.57153719578393303</c:v>
                </c:pt>
                <c:pt idx="45">
                  <c:v>1.6615817498800747</c:v>
                </c:pt>
                <c:pt idx="46">
                  <c:v>2.8209536689047785</c:v>
                </c:pt>
                <c:pt idx="47">
                  <c:v>3.0439391356811485</c:v>
                </c:pt>
                <c:pt idx="48">
                  <c:v>1.443325436946284</c:v>
                </c:pt>
                <c:pt idx="49">
                  <c:v>0.85878755504405979</c:v>
                </c:pt>
                <c:pt idx="50">
                  <c:v>1.2498929814191557</c:v>
                </c:pt>
                <c:pt idx="51">
                  <c:v>4.3832328241724401</c:v>
                </c:pt>
                <c:pt idx="52">
                  <c:v>2.1145414015875112</c:v>
                </c:pt>
                <c:pt idx="53">
                  <c:v>1.2054240062724126</c:v>
                </c:pt>
                <c:pt idx="54">
                  <c:v>2.2505869541310348</c:v>
                </c:pt>
                <c:pt idx="55">
                  <c:v>1.576078479986132</c:v>
                </c:pt>
                <c:pt idx="56">
                  <c:v>1.2186421465203259</c:v>
                </c:pt>
                <c:pt idx="57">
                  <c:v>1.449359636415487</c:v>
                </c:pt>
                <c:pt idx="58">
                  <c:v>-0.16965337867809982</c:v>
                </c:pt>
                <c:pt idx="59">
                  <c:v>-0.36845717259144006</c:v>
                </c:pt>
                <c:pt idx="60">
                  <c:v>2.0718275886944619</c:v>
                </c:pt>
                <c:pt idx="61">
                  <c:v>2.5863362005115107</c:v>
                </c:pt>
                <c:pt idx="62">
                  <c:v>0.64689792981251049</c:v>
                </c:pt>
              </c:numCache>
            </c:numRef>
          </c:val>
        </c:ser>
        <c:ser>
          <c:idx val="2"/>
          <c:order val="2"/>
          <c:tx>
            <c:v>nepārtika</c:v>
          </c:tx>
          <c:spPr>
            <a:solidFill>
              <a:srgbClr val="9BBB59"/>
            </a:solidFill>
            <a:ln>
              <a:noFill/>
            </a:ln>
          </c:spPr>
          <c:invertIfNegative val="0"/>
          <c:cat>
            <c:multiLvlStrRef>
              <c:f>[1]Retail!$A$110:$B$172</c:f>
              <c:multiLvlStrCache>
                <c:ptCount val="63"/>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lvl>
                <c:lvl>
                  <c:pt idx="0">
                    <c:v>2010</c:v>
                  </c:pt>
                  <c:pt idx="12">
                    <c:v>2011</c:v>
                  </c:pt>
                  <c:pt idx="24">
                    <c:v>2012</c:v>
                  </c:pt>
                  <c:pt idx="36">
                    <c:v>2013</c:v>
                  </c:pt>
                  <c:pt idx="48">
                    <c:v>2014</c:v>
                  </c:pt>
                  <c:pt idx="60">
                    <c:v>15</c:v>
                  </c:pt>
                </c:lvl>
              </c:multiLvlStrCache>
            </c:multiLvlStrRef>
          </c:cat>
          <c:val>
            <c:numRef>
              <c:f>[1]Retail!$O$110:$O$172</c:f>
              <c:numCache>
                <c:formatCode>0.0</c:formatCode>
                <c:ptCount val="63"/>
                <c:pt idx="0">
                  <c:v>-7.2472512042146358</c:v>
                </c:pt>
                <c:pt idx="1">
                  <c:v>-5.8422109567086755</c:v>
                </c:pt>
                <c:pt idx="2">
                  <c:v>-2.669123356163261</c:v>
                </c:pt>
                <c:pt idx="3">
                  <c:v>-1.9233627099747803</c:v>
                </c:pt>
                <c:pt idx="4">
                  <c:v>-0.82539822320757827</c:v>
                </c:pt>
                <c:pt idx="5">
                  <c:v>-1.476204455402946E-2</c:v>
                </c:pt>
                <c:pt idx="6">
                  <c:v>0.58368103545845884</c:v>
                </c:pt>
                <c:pt idx="7">
                  <c:v>3.3006238258415515</c:v>
                </c:pt>
                <c:pt idx="8">
                  <c:v>5.5936513186438379</c:v>
                </c:pt>
                <c:pt idx="9">
                  <c:v>4.9361916764384031</c:v>
                </c:pt>
                <c:pt idx="10">
                  <c:v>7.1424958540536378</c:v>
                </c:pt>
                <c:pt idx="11">
                  <c:v>6.1104495899536984</c:v>
                </c:pt>
                <c:pt idx="12">
                  <c:v>3.3454487948952223</c:v>
                </c:pt>
                <c:pt idx="13">
                  <c:v>2.7817841291306928</c:v>
                </c:pt>
                <c:pt idx="14">
                  <c:v>1.9544080855115487</c:v>
                </c:pt>
                <c:pt idx="15">
                  <c:v>1.1375431470081532</c:v>
                </c:pt>
                <c:pt idx="16">
                  <c:v>2.1904175212938646</c:v>
                </c:pt>
                <c:pt idx="17">
                  <c:v>3.0592158176860873</c:v>
                </c:pt>
                <c:pt idx="18">
                  <c:v>4.4520411023332969</c:v>
                </c:pt>
                <c:pt idx="19">
                  <c:v>6.4140111333545899</c:v>
                </c:pt>
                <c:pt idx="20">
                  <c:v>4.6880213349273676</c:v>
                </c:pt>
                <c:pt idx="21">
                  <c:v>3.6122653026862306</c:v>
                </c:pt>
                <c:pt idx="22">
                  <c:v>3.9901478468302258</c:v>
                </c:pt>
                <c:pt idx="23">
                  <c:v>4.5521986266213528</c:v>
                </c:pt>
                <c:pt idx="24">
                  <c:v>8.8804711930430411</c:v>
                </c:pt>
                <c:pt idx="25">
                  <c:v>5.3379535776296585</c:v>
                </c:pt>
                <c:pt idx="26">
                  <c:v>4.9062515861423277</c:v>
                </c:pt>
                <c:pt idx="27">
                  <c:v>2.9978704904339284</c:v>
                </c:pt>
                <c:pt idx="28">
                  <c:v>3.5493069204131338</c:v>
                </c:pt>
                <c:pt idx="29">
                  <c:v>4.5088907899047541</c:v>
                </c:pt>
                <c:pt idx="30">
                  <c:v>4.1197221675868203</c:v>
                </c:pt>
                <c:pt idx="31">
                  <c:v>3.7076208258818864</c:v>
                </c:pt>
                <c:pt idx="32">
                  <c:v>2.5958912605795743</c:v>
                </c:pt>
                <c:pt idx="33">
                  <c:v>4.9532100599961852</c:v>
                </c:pt>
                <c:pt idx="34">
                  <c:v>3.3143655619915333</c:v>
                </c:pt>
                <c:pt idx="35">
                  <c:v>3.0272281412527429</c:v>
                </c:pt>
                <c:pt idx="36">
                  <c:v>1.8241447797597525</c:v>
                </c:pt>
                <c:pt idx="37">
                  <c:v>3.3042848807318088</c:v>
                </c:pt>
                <c:pt idx="38">
                  <c:v>1.2341735467703905</c:v>
                </c:pt>
                <c:pt idx="39">
                  <c:v>4.7178474837417976</c:v>
                </c:pt>
                <c:pt idx="40">
                  <c:v>3.9643833903695396</c:v>
                </c:pt>
                <c:pt idx="41">
                  <c:v>0.58209434538650462</c:v>
                </c:pt>
                <c:pt idx="42">
                  <c:v>3.1811706367097057</c:v>
                </c:pt>
                <c:pt idx="43">
                  <c:v>0.66696192537119625</c:v>
                </c:pt>
                <c:pt idx="44">
                  <c:v>1.5423081207052136</c:v>
                </c:pt>
                <c:pt idx="45">
                  <c:v>1.1514193525002705</c:v>
                </c:pt>
                <c:pt idx="46">
                  <c:v>1.5886620606624333</c:v>
                </c:pt>
                <c:pt idx="47">
                  <c:v>3.3494652550405979</c:v>
                </c:pt>
                <c:pt idx="48">
                  <c:v>0.40985377471256063</c:v>
                </c:pt>
                <c:pt idx="49">
                  <c:v>0.79631693097692235</c:v>
                </c:pt>
                <c:pt idx="50">
                  <c:v>2.5622825499506998</c:v>
                </c:pt>
                <c:pt idx="51">
                  <c:v>1.4716245303328934</c:v>
                </c:pt>
                <c:pt idx="52">
                  <c:v>-0.17539363564866006</c:v>
                </c:pt>
                <c:pt idx="53">
                  <c:v>1.0689375739896012</c:v>
                </c:pt>
                <c:pt idx="54">
                  <c:v>1.3070252225713757</c:v>
                </c:pt>
                <c:pt idx="55">
                  <c:v>0.5337501192132994</c:v>
                </c:pt>
                <c:pt idx="56">
                  <c:v>0.32721651459467038</c:v>
                </c:pt>
                <c:pt idx="57">
                  <c:v>2.3209966300717459</c:v>
                </c:pt>
                <c:pt idx="58">
                  <c:v>1.4368716459736024</c:v>
                </c:pt>
                <c:pt idx="59">
                  <c:v>1.6473561739095954</c:v>
                </c:pt>
                <c:pt idx="60">
                  <c:v>2.6136963346207169</c:v>
                </c:pt>
                <c:pt idx="61">
                  <c:v>2.4667648900495145</c:v>
                </c:pt>
                <c:pt idx="62">
                  <c:v>3.0878085915075348</c:v>
                </c:pt>
              </c:numCache>
            </c:numRef>
          </c:val>
        </c:ser>
        <c:dLbls>
          <c:showLegendKey val="0"/>
          <c:showVal val="0"/>
          <c:showCatName val="0"/>
          <c:showSerName val="0"/>
          <c:showPercent val="0"/>
          <c:showBubbleSize val="0"/>
        </c:dLbls>
        <c:gapWidth val="54"/>
        <c:overlap val="100"/>
        <c:axId val="514266784"/>
        <c:axId val="514267176"/>
      </c:barChart>
      <c:lineChart>
        <c:grouping val="standard"/>
        <c:varyColors val="0"/>
        <c:ser>
          <c:idx val="3"/>
          <c:order val="3"/>
          <c:tx>
            <c:v>mazumtirdzniecība</c:v>
          </c:tx>
          <c:spPr>
            <a:ln w="15875">
              <a:solidFill>
                <a:schemeClr val="tx1"/>
              </a:solidFill>
              <a:prstDash val="sysDash"/>
            </a:ln>
          </c:spPr>
          <c:marker>
            <c:symbol val="none"/>
          </c:marker>
          <c:dPt>
            <c:idx val="22"/>
            <c:bubble3D val="0"/>
          </c:dPt>
          <c:val>
            <c:numRef>
              <c:f>[1]Retail!$L$110:$L$172</c:f>
              <c:numCache>
                <c:formatCode>0.0</c:formatCode>
                <c:ptCount val="63"/>
                <c:pt idx="0">
                  <c:v>-18.039073496102663</c:v>
                </c:pt>
                <c:pt idx="1">
                  <c:v>-13.458336354569955</c:v>
                </c:pt>
                <c:pt idx="2">
                  <c:v>-6.7941349812622782</c:v>
                </c:pt>
                <c:pt idx="3">
                  <c:v>-7.5855692803189374</c:v>
                </c:pt>
                <c:pt idx="4">
                  <c:v>-5.8741775308887352</c:v>
                </c:pt>
                <c:pt idx="5">
                  <c:v>-3.3866312979371149</c:v>
                </c:pt>
                <c:pt idx="6">
                  <c:v>-2.6215238048194478</c:v>
                </c:pt>
                <c:pt idx="7">
                  <c:v>2.2908358690042485</c:v>
                </c:pt>
                <c:pt idx="8">
                  <c:v>4.9953419501555185</c:v>
                </c:pt>
                <c:pt idx="9">
                  <c:v>2.880027343562741</c:v>
                </c:pt>
                <c:pt idx="10">
                  <c:v>6.241580274733205</c:v>
                </c:pt>
                <c:pt idx="11">
                  <c:v>6.8505809558192521</c:v>
                </c:pt>
                <c:pt idx="12">
                  <c:v>-1.1788618261200812</c:v>
                </c:pt>
                <c:pt idx="13">
                  <c:v>1.5894677830858406</c:v>
                </c:pt>
                <c:pt idx="14">
                  <c:v>-4.6317284829955341E-2</c:v>
                </c:pt>
                <c:pt idx="15">
                  <c:v>-2.5051531903489965</c:v>
                </c:pt>
                <c:pt idx="16">
                  <c:v>-0.24392670096342606</c:v>
                </c:pt>
                <c:pt idx="17">
                  <c:v>1.8622598003619872</c:v>
                </c:pt>
                <c:pt idx="18">
                  <c:v>2.9831167223209221</c:v>
                </c:pt>
                <c:pt idx="19">
                  <c:v>5.6169350098319581</c:v>
                </c:pt>
                <c:pt idx="20">
                  <c:v>4.7757880015168563</c:v>
                </c:pt>
                <c:pt idx="21">
                  <c:v>3.7447819451426723</c:v>
                </c:pt>
                <c:pt idx="22">
                  <c:v>5.9930605977661422</c:v>
                </c:pt>
                <c:pt idx="23">
                  <c:v>4.8090682371429327</c:v>
                </c:pt>
                <c:pt idx="24">
                  <c:v>12.374218054593289</c:v>
                </c:pt>
                <c:pt idx="25">
                  <c:v>8.8710007911339197</c:v>
                </c:pt>
                <c:pt idx="26">
                  <c:v>6.9153247923996464</c:v>
                </c:pt>
                <c:pt idx="27">
                  <c:v>5.169832962953036</c:v>
                </c:pt>
                <c:pt idx="28">
                  <c:v>6.3406189296616011</c:v>
                </c:pt>
                <c:pt idx="29">
                  <c:v>8.4201065199746914</c:v>
                </c:pt>
                <c:pt idx="30">
                  <c:v>8.6908143846638595</c:v>
                </c:pt>
                <c:pt idx="31">
                  <c:v>8.1830588884813658</c:v>
                </c:pt>
                <c:pt idx="32">
                  <c:v>5.1559941465134651</c:v>
                </c:pt>
                <c:pt idx="33">
                  <c:v>8.3214191481209667</c:v>
                </c:pt>
                <c:pt idx="34">
                  <c:v>5.4782056648439603</c:v>
                </c:pt>
                <c:pt idx="35">
                  <c:v>5.0516581353607259</c:v>
                </c:pt>
                <c:pt idx="36">
                  <c:v>4.4092498622577914</c:v>
                </c:pt>
                <c:pt idx="37">
                  <c:v>3.2650866010984991</c:v>
                </c:pt>
                <c:pt idx="38">
                  <c:v>4.2635474973612864</c:v>
                </c:pt>
                <c:pt idx="39">
                  <c:v>4.9577241786739501</c:v>
                </c:pt>
                <c:pt idx="40">
                  <c:v>7.1703960325629312</c:v>
                </c:pt>
                <c:pt idx="41">
                  <c:v>1.3880155902958879</c:v>
                </c:pt>
                <c:pt idx="42">
                  <c:v>3.9484754357367757</c:v>
                </c:pt>
                <c:pt idx="43">
                  <c:v>1.5324041266408628</c:v>
                </c:pt>
                <c:pt idx="44">
                  <c:v>2.9426418520768438</c:v>
                </c:pt>
                <c:pt idx="45">
                  <c:v>3.3494579752959774</c:v>
                </c:pt>
                <c:pt idx="46">
                  <c:v>4.2273568778551596</c:v>
                </c:pt>
                <c:pt idx="47">
                  <c:v>4.9928944053019508</c:v>
                </c:pt>
                <c:pt idx="48">
                  <c:v>1.896638408505158</c:v>
                </c:pt>
                <c:pt idx="49">
                  <c:v>1.0739677142358905</c:v>
                </c:pt>
                <c:pt idx="50">
                  <c:v>4.4867062280558256</c:v>
                </c:pt>
                <c:pt idx="51">
                  <c:v>9.4415884682356186</c:v>
                </c:pt>
                <c:pt idx="52">
                  <c:v>1.3100499450873881</c:v>
                </c:pt>
                <c:pt idx="53">
                  <c:v>2.4155302930750633</c:v>
                </c:pt>
                <c:pt idx="54">
                  <c:v>4.0199535135596598</c:v>
                </c:pt>
                <c:pt idx="55">
                  <c:v>2.4858199568527528</c:v>
                </c:pt>
                <c:pt idx="56">
                  <c:v>3.8267855541048057</c:v>
                </c:pt>
                <c:pt idx="57">
                  <c:v>5.0376773401640706</c:v>
                </c:pt>
                <c:pt idx="58">
                  <c:v>3.6637178318736252</c:v>
                </c:pt>
                <c:pt idx="59">
                  <c:v>3.0567898099372881</c:v>
                </c:pt>
                <c:pt idx="60">
                  <c:v>6.1156954288244414</c:v>
                </c:pt>
                <c:pt idx="61">
                  <c:v>8.9348180685951064</c:v>
                </c:pt>
                <c:pt idx="62">
                  <c:v>7.2026964880590238</c:v>
                </c:pt>
              </c:numCache>
            </c:numRef>
          </c:val>
          <c:smooth val="0"/>
        </c:ser>
        <c:dLbls>
          <c:showLegendKey val="0"/>
          <c:showVal val="0"/>
          <c:showCatName val="0"/>
          <c:showSerName val="0"/>
          <c:showPercent val="0"/>
          <c:showBubbleSize val="0"/>
        </c:dLbls>
        <c:marker val="1"/>
        <c:smooth val="0"/>
        <c:axId val="514266784"/>
        <c:axId val="514267176"/>
      </c:lineChart>
      <c:catAx>
        <c:axId val="514266784"/>
        <c:scaling>
          <c:orientation val="minMax"/>
        </c:scaling>
        <c:delete val="0"/>
        <c:axPos val="b"/>
        <c:numFmt formatCode="General" sourceLinked="0"/>
        <c:majorTickMark val="out"/>
        <c:minorTickMark val="none"/>
        <c:tickLblPos val="low"/>
        <c:txPr>
          <a:bodyPr/>
          <a:lstStyle/>
          <a:p>
            <a:pPr>
              <a:defRPr>
                <a:solidFill>
                  <a:schemeClr val="tx1">
                    <a:lumMod val="65000"/>
                    <a:lumOff val="35000"/>
                  </a:schemeClr>
                </a:solidFill>
                <a:latin typeface="+mn-lt"/>
              </a:defRPr>
            </a:pPr>
            <a:endParaRPr lang="lv-LV"/>
          </a:p>
        </c:txPr>
        <c:crossAx val="514267176"/>
        <c:crosses val="autoZero"/>
        <c:auto val="1"/>
        <c:lblAlgn val="ctr"/>
        <c:lblOffset val="100"/>
        <c:noMultiLvlLbl val="0"/>
      </c:catAx>
      <c:valAx>
        <c:axId val="514267176"/>
        <c:scaling>
          <c:orientation val="minMax"/>
          <c:min val="-20"/>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a:solidFill>
                  <a:schemeClr val="tx1">
                    <a:lumMod val="65000"/>
                    <a:lumOff val="35000"/>
                  </a:schemeClr>
                </a:solidFill>
                <a:latin typeface="+mn-lt"/>
              </a:defRPr>
            </a:pPr>
            <a:endParaRPr lang="lv-LV"/>
          </a:p>
        </c:txPr>
        <c:crossAx val="514266784"/>
        <c:crosses val="autoZero"/>
        <c:crossBetween val="between"/>
      </c:valAx>
    </c:plotArea>
    <c:legend>
      <c:legendPos val="t"/>
      <c:layout>
        <c:manualLayout>
          <c:xMode val="edge"/>
          <c:yMode val="edge"/>
          <c:x val="0.14344833731805676"/>
          <c:y val="0.59724517227681295"/>
          <c:w val="0.80752193177875398"/>
          <c:h val="0.1467754104065111"/>
        </c:manualLayout>
      </c:layout>
      <c:overlay val="1"/>
      <c:txPr>
        <a:bodyPr/>
        <a:lstStyle/>
        <a:p>
          <a:pPr>
            <a:defRPr>
              <a:solidFill>
                <a:schemeClr val="tx1">
                  <a:lumMod val="65000"/>
                  <a:lumOff val="35000"/>
                </a:schemeClr>
              </a:solidFill>
              <a:latin typeface="+mn-lt"/>
            </a:defRPr>
          </a:pPr>
          <a:endParaRPr lang="lv-LV"/>
        </a:p>
      </c:txPr>
    </c:legend>
    <c:plotVisOnly val="1"/>
    <c:dispBlanksAs val="gap"/>
    <c:showDLblsOverMax val="0"/>
  </c:chart>
  <c:spPr>
    <a:noFill/>
    <a:ln>
      <a:noFill/>
    </a:ln>
  </c:spPr>
  <c:txPr>
    <a:bodyPr/>
    <a:lstStyle/>
    <a:p>
      <a:pPr>
        <a:defRPr sz="1000"/>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09860947599441"/>
          <c:y val="9.0017798380276515E-2"/>
          <c:w val="0.83964332654370588"/>
          <c:h val="0.69169668814335394"/>
        </c:manualLayout>
      </c:layout>
      <c:barChart>
        <c:barDir val="col"/>
        <c:grouping val="clustered"/>
        <c:varyColors val="0"/>
        <c:ser>
          <c:idx val="5"/>
          <c:order val="0"/>
          <c:tx>
            <c:strRef>
              <c:f>Ostas2!$D$4</c:f>
              <c:strCache>
                <c:ptCount val="1"/>
                <c:pt idx="0">
                  <c:v>2011</c:v>
                </c:pt>
              </c:strCache>
            </c:strRef>
          </c:tx>
          <c:spPr>
            <a:solidFill>
              <a:srgbClr val="1F497D">
                <a:lumMod val="50000"/>
              </a:srgbClr>
            </a:solidFill>
            <a:ln>
              <a:noFill/>
            </a:ln>
            <a:effectLst/>
          </c:spPr>
          <c:invertIfNegative val="0"/>
          <c:cat>
            <c:strRef>
              <c:f>Ostas2!$E$3:$G$3</c:f>
              <c:strCache>
                <c:ptCount val="3"/>
                <c:pt idx="0">
                  <c:v>Pavisam</c:v>
                </c:pt>
                <c:pt idx="1">
                  <c:v>Naftas produkti</c:v>
                </c:pt>
                <c:pt idx="2">
                  <c:v>Ogles</c:v>
                </c:pt>
              </c:strCache>
            </c:strRef>
          </c:cat>
          <c:val>
            <c:numRef>
              <c:f>Ostas2!$E$4:$G$4</c:f>
              <c:numCache>
                <c:formatCode>General</c:formatCode>
                <c:ptCount val="3"/>
                <c:pt idx="0">
                  <c:v>16345.49</c:v>
                </c:pt>
                <c:pt idx="1">
                  <c:v>5953.5</c:v>
                </c:pt>
                <c:pt idx="2">
                  <c:v>4202.2</c:v>
                </c:pt>
              </c:numCache>
            </c:numRef>
          </c:val>
        </c:ser>
        <c:ser>
          <c:idx val="6"/>
          <c:order val="1"/>
          <c:tx>
            <c:strRef>
              <c:f>Ostas2!$D$5</c:f>
              <c:strCache>
                <c:ptCount val="1"/>
                <c:pt idx="0">
                  <c:v>2012</c:v>
                </c:pt>
              </c:strCache>
            </c:strRef>
          </c:tx>
          <c:spPr>
            <a:solidFill>
              <a:srgbClr val="C00000"/>
            </a:solidFill>
            <a:ln>
              <a:noFill/>
            </a:ln>
            <a:effectLst/>
          </c:spPr>
          <c:invertIfNegative val="0"/>
          <c:cat>
            <c:strRef>
              <c:f>Ostas2!$E$3:$G$3</c:f>
              <c:strCache>
                <c:ptCount val="3"/>
                <c:pt idx="0">
                  <c:v>Pavisam</c:v>
                </c:pt>
                <c:pt idx="1">
                  <c:v>Naftas produkti</c:v>
                </c:pt>
                <c:pt idx="2">
                  <c:v>Ogles</c:v>
                </c:pt>
              </c:strCache>
            </c:strRef>
          </c:cat>
          <c:val>
            <c:numRef>
              <c:f>Ostas2!$E$5:$G$5</c:f>
              <c:numCache>
                <c:formatCode>General</c:formatCode>
                <c:ptCount val="3"/>
                <c:pt idx="0">
                  <c:v>20032.099999999999</c:v>
                </c:pt>
                <c:pt idx="1">
                  <c:v>7191.4</c:v>
                </c:pt>
                <c:pt idx="2">
                  <c:v>6310.0999999999995</c:v>
                </c:pt>
              </c:numCache>
            </c:numRef>
          </c:val>
        </c:ser>
        <c:ser>
          <c:idx val="7"/>
          <c:order val="2"/>
          <c:tx>
            <c:strRef>
              <c:f>Ostas2!$D$6</c:f>
              <c:strCache>
                <c:ptCount val="1"/>
                <c:pt idx="0">
                  <c:v>2013</c:v>
                </c:pt>
              </c:strCache>
            </c:strRef>
          </c:tx>
          <c:spPr>
            <a:solidFill>
              <a:srgbClr val="9BBB59"/>
            </a:solidFill>
            <a:ln>
              <a:noFill/>
            </a:ln>
            <a:effectLst/>
          </c:spPr>
          <c:invertIfNegative val="0"/>
          <c:cat>
            <c:strRef>
              <c:f>Ostas2!$E$3:$G$3</c:f>
              <c:strCache>
                <c:ptCount val="3"/>
                <c:pt idx="0">
                  <c:v>Pavisam</c:v>
                </c:pt>
                <c:pt idx="1">
                  <c:v>Naftas produkti</c:v>
                </c:pt>
                <c:pt idx="2">
                  <c:v>Ogles</c:v>
                </c:pt>
              </c:strCache>
            </c:strRef>
          </c:cat>
          <c:val>
            <c:numRef>
              <c:f>Ostas2!$E$6:$G$6</c:f>
              <c:numCache>
                <c:formatCode>General</c:formatCode>
                <c:ptCount val="3"/>
                <c:pt idx="0">
                  <c:v>18968.5</c:v>
                </c:pt>
                <c:pt idx="1">
                  <c:v>7056.5</c:v>
                </c:pt>
                <c:pt idx="2">
                  <c:v>5622.4</c:v>
                </c:pt>
              </c:numCache>
            </c:numRef>
          </c:val>
        </c:ser>
        <c:ser>
          <c:idx val="0"/>
          <c:order val="3"/>
          <c:tx>
            <c:strRef>
              <c:f>Ostas2!$D$7</c:f>
              <c:strCache>
                <c:ptCount val="1"/>
                <c:pt idx="0">
                  <c:v>2014</c:v>
                </c:pt>
              </c:strCache>
            </c:strRef>
          </c:tx>
          <c:spPr>
            <a:solidFill>
              <a:srgbClr val="FFC000"/>
            </a:solidFill>
            <a:ln>
              <a:noFill/>
            </a:ln>
            <a:effectLst/>
          </c:spPr>
          <c:invertIfNegative val="0"/>
          <c:cat>
            <c:strRef>
              <c:f>Ostas2!$E$3:$G$3</c:f>
              <c:strCache>
                <c:ptCount val="3"/>
                <c:pt idx="0">
                  <c:v>Pavisam</c:v>
                </c:pt>
                <c:pt idx="1">
                  <c:v>Naftas produkti</c:v>
                </c:pt>
                <c:pt idx="2">
                  <c:v>Ogles</c:v>
                </c:pt>
              </c:strCache>
            </c:strRef>
          </c:cat>
          <c:val>
            <c:numRef>
              <c:f>Ostas2!$E$7:$G$7</c:f>
              <c:numCache>
                <c:formatCode>General</c:formatCode>
                <c:ptCount val="3"/>
                <c:pt idx="0">
                  <c:v>20748.5</c:v>
                </c:pt>
                <c:pt idx="1">
                  <c:v>7761.7</c:v>
                </c:pt>
                <c:pt idx="2">
                  <c:v>5868.4</c:v>
                </c:pt>
              </c:numCache>
            </c:numRef>
          </c:val>
        </c:ser>
        <c:ser>
          <c:idx val="1"/>
          <c:order val="4"/>
          <c:tx>
            <c:strRef>
              <c:f>Ostas2!$D$8</c:f>
              <c:strCache>
                <c:ptCount val="1"/>
                <c:pt idx="0">
                  <c:v>2015</c:v>
                </c:pt>
              </c:strCache>
            </c:strRef>
          </c:tx>
          <c:spPr>
            <a:solidFill>
              <a:srgbClr val="5593D5"/>
            </a:solidFill>
            <a:ln>
              <a:noFill/>
            </a:ln>
            <a:effectLst/>
          </c:spPr>
          <c:invertIfNegative val="0"/>
          <c:dLbls>
            <c:dLbl>
              <c:idx val="0"/>
              <c:layout/>
              <c:tx>
                <c:rich>
                  <a:bodyPr/>
                  <a:lstStyle/>
                  <a:p>
                    <a:fld id="{D33A32A2-B50D-4BB6-AD0B-1A791D47ABD3}"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5A767378-1B87-41D4-885C-AE5F3F7858FA}"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9B8D816A-52F1-417B-8DCC-88D400F837A8}"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Ostas2!$E$3:$G$3</c:f>
              <c:strCache>
                <c:ptCount val="3"/>
                <c:pt idx="0">
                  <c:v>Pavisam</c:v>
                </c:pt>
                <c:pt idx="1">
                  <c:v>Naftas produkti</c:v>
                </c:pt>
                <c:pt idx="2">
                  <c:v>Ogles</c:v>
                </c:pt>
              </c:strCache>
            </c:strRef>
          </c:cat>
          <c:val>
            <c:numRef>
              <c:f>Ostas2!$E$8:$G$8</c:f>
              <c:numCache>
                <c:formatCode>General</c:formatCode>
                <c:ptCount val="3"/>
                <c:pt idx="0">
                  <c:v>19810.400000000001</c:v>
                </c:pt>
                <c:pt idx="1">
                  <c:v>7600.7000000000007</c:v>
                </c:pt>
                <c:pt idx="2">
                  <c:v>5725</c:v>
                </c:pt>
              </c:numCache>
            </c:numRef>
          </c:val>
          <c:extLst>
            <c:ext xmlns:c15="http://schemas.microsoft.com/office/drawing/2012/chart" uri="{02D57815-91ED-43cb-92C2-25804820EDAC}">
              <c15:datalabelsRange>
                <c15:f>Ostas2!$E$9:$G$9</c15:f>
                <c15:dlblRangeCache>
                  <c:ptCount val="3"/>
                  <c:pt idx="0">
                    <c:v>-4,5%</c:v>
                  </c:pt>
                  <c:pt idx="1">
                    <c:v>-2,1%</c:v>
                  </c:pt>
                  <c:pt idx="2">
                    <c:v>-2,4%</c:v>
                  </c:pt>
                </c15:dlblRangeCache>
              </c15:datalabelsRange>
            </c:ext>
          </c:extLst>
        </c:ser>
        <c:dLbls>
          <c:showLegendKey val="0"/>
          <c:showVal val="0"/>
          <c:showCatName val="0"/>
          <c:showSerName val="0"/>
          <c:showPercent val="0"/>
          <c:showBubbleSize val="0"/>
        </c:dLbls>
        <c:gapWidth val="219"/>
        <c:overlap val="-27"/>
        <c:axId val="514267960"/>
        <c:axId val="514268352"/>
      </c:barChart>
      <c:catAx>
        <c:axId val="51426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GB" sz="1000" b="0" i="0" u="none" strike="noStrike" kern="1200" baseline="0">
                <a:solidFill>
                  <a:schemeClr val="tx1">
                    <a:lumMod val="65000"/>
                    <a:lumOff val="35000"/>
                  </a:schemeClr>
                </a:solidFill>
                <a:latin typeface="+mn-lt"/>
                <a:ea typeface="+mn-ea"/>
                <a:cs typeface="+mn-cs"/>
              </a:defRPr>
            </a:pPr>
            <a:endParaRPr lang="lv-LV"/>
          </a:p>
        </c:txPr>
        <c:crossAx val="514268352"/>
        <c:crosses val="autoZero"/>
        <c:auto val="1"/>
        <c:lblAlgn val="ctr"/>
        <c:lblOffset val="100"/>
        <c:noMultiLvlLbl val="0"/>
      </c:catAx>
      <c:valAx>
        <c:axId val="514268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GB" sz="1000" b="0" i="0" u="none" strike="noStrike" kern="1200" baseline="0">
                <a:solidFill>
                  <a:schemeClr val="tx1">
                    <a:lumMod val="65000"/>
                    <a:lumOff val="35000"/>
                  </a:schemeClr>
                </a:solidFill>
                <a:latin typeface="+mn-lt"/>
                <a:ea typeface="+mn-ea"/>
                <a:cs typeface="+mn-cs"/>
              </a:defRPr>
            </a:pPr>
            <a:endParaRPr lang="lv-LV"/>
          </a:p>
        </c:txPr>
        <c:crossAx val="514267960"/>
        <c:crosses val="autoZero"/>
        <c:crossBetween val="between"/>
      </c:valAx>
      <c:spPr>
        <a:noFill/>
        <a:ln w="25400">
          <a:noFill/>
        </a:ln>
        <a:effectLst/>
      </c:spPr>
    </c:plotArea>
    <c:legend>
      <c:legendPos val="b"/>
      <c:layout>
        <c:manualLayout>
          <c:xMode val="edge"/>
          <c:yMode val="edge"/>
          <c:x val="0.11476339082715105"/>
          <c:y val="0.90026751663165561"/>
          <c:w val="0.80347610238010703"/>
          <c:h val="7.9950577878452486E-2"/>
        </c:manualLayout>
      </c:layout>
      <c:overlay val="0"/>
      <c:spPr>
        <a:noFill/>
        <a:ln>
          <a:noFill/>
        </a:ln>
        <a:effectLst/>
      </c:spPr>
      <c:txPr>
        <a:bodyPr rot="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sz="1100" b="1"/>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PCI!$L$1</c:f>
              <c:strCache>
                <c:ptCount val="1"/>
                <c:pt idx="0">
                  <c:v>pamatinflācija</c:v>
                </c:pt>
              </c:strCache>
            </c:strRef>
          </c:tx>
          <c:spPr>
            <a:solidFill>
              <a:srgbClr val="C00000"/>
            </a:solidFill>
            <a:ln w="15875">
              <a:noFill/>
            </a:ln>
            <a:effectLst/>
          </c:spPr>
          <c:invertIfNegative val="0"/>
          <c:cat>
            <c:multiLvlStrRef>
              <c:f>PCI!$A$62:$B$136</c:f>
              <c:multiLvlStrCache>
                <c:ptCount val="7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lvl>
                <c:lvl>
                  <c:pt idx="0">
                    <c:v>2009</c:v>
                  </c:pt>
                  <c:pt idx="12">
                    <c:v>2010</c:v>
                  </c:pt>
                  <c:pt idx="24">
                    <c:v>2011</c:v>
                  </c:pt>
                  <c:pt idx="36">
                    <c:v>2012</c:v>
                  </c:pt>
                  <c:pt idx="48">
                    <c:v>2013</c:v>
                  </c:pt>
                  <c:pt idx="60">
                    <c:v>2014</c:v>
                  </c:pt>
                  <c:pt idx="72">
                    <c:v>2015</c:v>
                  </c:pt>
                </c:lvl>
              </c:multiLvlStrCache>
            </c:multiLvlStrRef>
          </c:cat>
          <c:val>
            <c:numRef>
              <c:f>PCI!$L$62:$L$136</c:f>
              <c:numCache>
                <c:formatCode>0.000</c:formatCode>
                <c:ptCount val="75"/>
                <c:pt idx="0">
                  <c:v>3.1989579271289785</c:v>
                </c:pt>
                <c:pt idx="1">
                  <c:v>1.8275971585190272</c:v>
                </c:pt>
                <c:pt idx="2">
                  <c:v>1.2641789543018884</c:v>
                </c:pt>
                <c:pt idx="3">
                  <c:v>0.53963435470069676</c:v>
                </c:pt>
                <c:pt idx="4">
                  <c:v>-0.19283497090982937</c:v>
                </c:pt>
                <c:pt idx="5">
                  <c:v>-0.78305867547567498</c:v>
                </c:pt>
                <c:pt idx="6">
                  <c:v>-0.97097385256348456</c:v>
                </c:pt>
                <c:pt idx="7">
                  <c:v>-1.6056136767009956</c:v>
                </c:pt>
                <c:pt idx="8">
                  <c:v>-2.6373113788985387</c:v>
                </c:pt>
                <c:pt idx="9">
                  <c:v>-3.0374444072596676</c:v>
                </c:pt>
                <c:pt idx="10">
                  <c:v>-3.6451143267178616</c:v>
                </c:pt>
                <c:pt idx="11">
                  <c:v>-3.8933400214320937</c:v>
                </c:pt>
                <c:pt idx="12">
                  <c:v>-2.9802448303148794</c:v>
                </c:pt>
                <c:pt idx="13">
                  <c:v>-2.85455261123515</c:v>
                </c:pt>
                <c:pt idx="14">
                  <c:v>-3.055245446830535</c:v>
                </c:pt>
                <c:pt idx="15">
                  <c:v>-2.8617262718477137</c:v>
                </c:pt>
                <c:pt idx="16">
                  <c:v>-2.6603293144512099</c:v>
                </c:pt>
                <c:pt idx="17">
                  <c:v>-2.2316592300921223</c:v>
                </c:pt>
                <c:pt idx="18">
                  <c:v>-2.0631131818482977</c:v>
                </c:pt>
                <c:pt idx="19">
                  <c:v>-1.9073599291272509</c:v>
                </c:pt>
                <c:pt idx="20">
                  <c:v>-1.3556496561248843</c:v>
                </c:pt>
                <c:pt idx="21">
                  <c:v>-0.84851190249570452</c:v>
                </c:pt>
                <c:pt idx="22">
                  <c:v>-0.2588905148681136</c:v>
                </c:pt>
                <c:pt idx="23">
                  <c:v>-0.18327623555566597</c:v>
                </c:pt>
                <c:pt idx="24">
                  <c:v>-0.23221569906666106</c:v>
                </c:pt>
                <c:pt idx="25">
                  <c:v>0.16795475336256693</c:v>
                </c:pt>
                <c:pt idx="26">
                  <c:v>0.44278884920387007</c:v>
                </c:pt>
                <c:pt idx="27">
                  <c:v>0.81758930354354042</c:v>
                </c:pt>
                <c:pt idx="28">
                  <c:v>1.1538504176328621</c:v>
                </c:pt>
                <c:pt idx="29">
                  <c:v>1.1430112377119528</c:v>
                </c:pt>
                <c:pt idx="30">
                  <c:v>0.83605353700602669</c:v>
                </c:pt>
                <c:pt idx="31">
                  <c:v>1.2310116803752664</c:v>
                </c:pt>
                <c:pt idx="32">
                  <c:v>0.90949947868702985</c:v>
                </c:pt>
                <c:pt idx="33">
                  <c:v>0.58318986093315961</c:v>
                </c:pt>
                <c:pt idx="34">
                  <c:v>0.32144784070706667</c:v>
                </c:pt>
                <c:pt idx="35">
                  <c:v>0.8953919297645081</c:v>
                </c:pt>
                <c:pt idx="36">
                  <c:v>1.1025399286447484</c:v>
                </c:pt>
                <c:pt idx="37">
                  <c:v>0.75283553879838938</c:v>
                </c:pt>
                <c:pt idx="38">
                  <c:v>0.70006534667926335</c:v>
                </c:pt>
                <c:pt idx="39">
                  <c:v>0.75882155483669722</c:v>
                </c:pt>
                <c:pt idx="40">
                  <c:v>0.5042807887152726</c:v>
                </c:pt>
                <c:pt idx="41">
                  <c:v>0.5250149278475813</c:v>
                </c:pt>
                <c:pt idx="42">
                  <c:v>0.94604690603242114</c:v>
                </c:pt>
                <c:pt idx="43">
                  <c:v>0.51205000000000001</c:v>
                </c:pt>
                <c:pt idx="44">
                  <c:v>0.43890000000000001</c:v>
                </c:pt>
                <c:pt idx="45">
                  <c:v>0.23674329875476033</c:v>
                </c:pt>
                <c:pt idx="46">
                  <c:v>0.58520000000000005</c:v>
                </c:pt>
                <c:pt idx="47">
                  <c:v>0.24072210767254887</c:v>
                </c:pt>
                <c:pt idx="48">
                  <c:v>0.14873482477826305</c:v>
                </c:pt>
                <c:pt idx="49">
                  <c:v>0.35127993369216037</c:v>
                </c:pt>
                <c:pt idx="50">
                  <c:v>0.44251789227145061</c:v>
                </c:pt>
                <c:pt idx="51">
                  <c:v>0.12330434791444761</c:v>
                </c:pt>
                <c:pt idx="52">
                  <c:v>0.12404939902377055</c:v>
                </c:pt>
                <c:pt idx="53">
                  <c:v>0.17541545444146373</c:v>
                </c:pt>
                <c:pt idx="54">
                  <c:v>-5.3226889141087218E-2</c:v>
                </c:pt>
                <c:pt idx="55">
                  <c:v>-2.9177576201974635E-2</c:v>
                </c:pt>
                <c:pt idx="56">
                  <c:v>0.14581285857661022</c:v>
                </c:pt>
                <c:pt idx="57">
                  <c:v>0.5488233147039856</c:v>
                </c:pt>
                <c:pt idx="58">
                  <c:v>9.4562309743944001E-2</c:v>
                </c:pt>
                <c:pt idx="59">
                  <c:v>5.3931978934110641E-2</c:v>
                </c:pt>
                <c:pt idx="60">
                  <c:v>0.4821958859143014</c:v>
                </c:pt>
                <c:pt idx="61">
                  <c:v>0.57083809816700892</c:v>
                </c:pt>
                <c:pt idx="62">
                  <c:v>0.51930731603166869</c:v>
                </c:pt>
                <c:pt idx="63">
                  <c:v>0.7738396437201791</c:v>
                </c:pt>
                <c:pt idx="64">
                  <c:v>0.80550931877674226</c:v>
                </c:pt>
                <c:pt idx="65">
                  <c:v>0.98052429251140638</c:v>
                </c:pt>
                <c:pt idx="66">
                  <c:v>0.87349478257318613</c:v>
                </c:pt>
                <c:pt idx="67">
                  <c:v>1.0797400811483076</c:v>
                </c:pt>
                <c:pt idx="68">
                  <c:v>1.0351073928203123</c:v>
                </c:pt>
                <c:pt idx="69">
                  <c:v>0.68437473553227646</c:v>
                </c:pt>
                <c:pt idx="70">
                  <c:v>1.1267558433159195</c:v>
                </c:pt>
                <c:pt idx="71">
                  <c:v>1.0003549428536691</c:v>
                </c:pt>
                <c:pt idx="72">
                  <c:v>0.65429999999999999</c:v>
                </c:pt>
                <c:pt idx="73">
                  <c:v>0.50889999999999991</c:v>
                </c:pt>
                <c:pt idx="74">
                  <c:v>0.72699999999999998</c:v>
                </c:pt>
              </c:numCache>
            </c:numRef>
          </c:val>
        </c:ser>
        <c:ser>
          <c:idx val="1"/>
          <c:order val="1"/>
          <c:tx>
            <c:strRef>
              <c:f>PCI!$D$1</c:f>
              <c:strCache>
                <c:ptCount val="1"/>
                <c:pt idx="0">
                  <c:v>nodokļi</c:v>
                </c:pt>
              </c:strCache>
            </c:strRef>
          </c:tx>
          <c:spPr>
            <a:solidFill>
              <a:schemeClr val="accent3"/>
            </a:solidFill>
            <a:ln w="15875">
              <a:noFill/>
            </a:ln>
            <a:effectLst/>
          </c:spPr>
          <c:invertIfNegative val="0"/>
          <c:cat>
            <c:multiLvlStrRef>
              <c:f>PCI!$A$62:$B$136</c:f>
              <c:multiLvlStrCache>
                <c:ptCount val="7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lvl>
                <c:lvl>
                  <c:pt idx="0">
                    <c:v>2009</c:v>
                  </c:pt>
                  <c:pt idx="12">
                    <c:v>2010</c:v>
                  </c:pt>
                  <c:pt idx="24">
                    <c:v>2011</c:v>
                  </c:pt>
                  <c:pt idx="36">
                    <c:v>2012</c:v>
                  </c:pt>
                  <c:pt idx="48">
                    <c:v>2013</c:v>
                  </c:pt>
                  <c:pt idx="60">
                    <c:v>2014</c:v>
                  </c:pt>
                  <c:pt idx="72">
                    <c:v>2015</c:v>
                  </c:pt>
                </c:lvl>
              </c:multiLvlStrCache>
            </c:multiLvlStrRef>
          </c:cat>
          <c:val>
            <c:numRef>
              <c:f>PCI!$D$62:$D$136</c:f>
              <c:numCache>
                <c:formatCode>#,##0.00</c:formatCode>
                <c:ptCount val="75"/>
                <c:pt idx="0">
                  <c:v>4.273787883874026</c:v>
                </c:pt>
                <c:pt idx="1">
                  <c:v>5.4958386658088267</c:v>
                </c:pt>
                <c:pt idx="2">
                  <c:v>5.4096218050796674</c:v>
                </c:pt>
                <c:pt idx="3">
                  <c:v>5.3374488581903412</c:v>
                </c:pt>
                <c:pt idx="4">
                  <c:v>5.2844243095700794</c:v>
                </c:pt>
                <c:pt idx="5">
                  <c:v>5.2372353187323473</c:v>
                </c:pt>
                <c:pt idx="6">
                  <c:v>5.3527719011356005</c:v>
                </c:pt>
                <c:pt idx="7">
                  <c:v>5.2317625932280176</c:v>
                </c:pt>
                <c:pt idx="8">
                  <c:v>5.1667999482577613</c:v>
                </c:pt>
                <c:pt idx="9">
                  <c:v>5.1181473960828949</c:v>
                </c:pt>
                <c:pt idx="10">
                  <c:v>5.1118632528285417</c:v>
                </c:pt>
                <c:pt idx="11">
                  <c:v>5.1214819925265997</c:v>
                </c:pt>
                <c:pt idx="12">
                  <c:v>1.4743955481212208</c:v>
                </c:pt>
                <c:pt idx="13">
                  <c:v>0.12840434537499945</c:v>
                </c:pt>
                <c:pt idx="14">
                  <c:v>0.15885303590536015</c:v>
                </c:pt>
                <c:pt idx="15">
                  <c:v>0.15362501038491683</c:v>
                </c:pt>
                <c:pt idx="16">
                  <c:v>2.7061284682328157E-2</c:v>
                </c:pt>
                <c:pt idx="17">
                  <c:v>2.7672212634721749E-2</c:v>
                </c:pt>
                <c:pt idx="18">
                  <c:v>-9.7781351703163377E-2</c:v>
                </c:pt>
                <c:pt idx="19">
                  <c:v>-5.427839908889176E-3</c:v>
                </c:pt>
                <c:pt idx="20">
                  <c:v>-4.5275491913576715E-2</c:v>
                </c:pt>
                <c:pt idx="21">
                  <c:v>-3.5471102465312043E-2</c:v>
                </c:pt>
                <c:pt idx="22">
                  <c:v>-5.650216282049314E-2</c:v>
                </c:pt>
                <c:pt idx="23">
                  <c:v>-7.4933278874866893E-2</c:v>
                </c:pt>
                <c:pt idx="24">
                  <c:v>1.2304159339607379</c:v>
                </c:pt>
                <c:pt idx="25">
                  <c:v>1.1814441802687536</c:v>
                </c:pt>
                <c:pt idx="26">
                  <c:v>1.2282632800507454</c:v>
                </c:pt>
                <c:pt idx="27">
                  <c:v>1.2582139240150614</c:v>
                </c:pt>
                <c:pt idx="28">
                  <c:v>1.3815608807900004</c:v>
                </c:pt>
                <c:pt idx="29">
                  <c:v>1.5489923608996037</c:v>
                </c:pt>
                <c:pt idx="30">
                  <c:v>1.7224995425278999</c:v>
                </c:pt>
                <c:pt idx="31">
                  <c:v>1.7346736635327265</c:v>
                </c:pt>
                <c:pt idx="32">
                  <c:v>1.7678932970511152</c:v>
                </c:pt>
                <c:pt idx="33">
                  <c:v>1.7582145591458653</c:v>
                </c:pt>
                <c:pt idx="34">
                  <c:v>1.7525143152246292</c:v>
                </c:pt>
                <c:pt idx="35">
                  <c:v>1.759879651758256</c:v>
                </c:pt>
                <c:pt idx="36">
                  <c:v>0.45790177568316714</c:v>
                </c:pt>
                <c:pt idx="37">
                  <c:v>0.47421735595629677</c:v>
                </c:pt>
                <c:pt idx="38">
                  <c:v>0.48589108472161247</c:v>
                </c:pt>
                <c:pt idx="39">
                  <c:v>0.45332701566038747</c:v>
                </c:pt>
                <c:pt idx="40">
                  <c:v>0.45839335112942692</c:v>
                </c:pt>
                <c:pt idx="41">
                  <c:v>0.28794871077664208</c:v>
                </c:pt>
                <c:pt idx="42">
                  <c:v>-0.57943527856882948</c:v>
                </c:pt>
                <c:pt idx="43">
                  <c:v>-0.6</c:v>
                </c:pt>
                <c:pt idx="44">
                  <c:v>-0.6</c:v>
                </c:pt>
                <c:pt idx="45">
                  <c:v>-0.6</c:v>
                </c:pt>
                <c:pt idx="46">
                  <c:v>-0.6</c:v>
                </c:pt>
                <c:pt idx="47">
                  <c:v>-0.6</c:v>
                </c:pt>
                <c:pt idx="48">
                  <c:v>-0.5733946089227171</c:v>
                </c:pt>
                <c:pt idx="49">
                  <c:v>-0.58098727977005105</c:v>
                </c:pt>
                <c:pt idx="50">
                  <c:v>-0.57033236924597386</c:v>
                </c:pt>
                <c:pt idx="51">
                  <c:v>-0.56953712074033769</c:v>
                </c:pt>
                <c:pt idx="52">
                  <c:v>-0.57056152760039947</c:v>
                </c:pt>
                <c:pt idx="53">
                  <c:v>-0.56980619320539105</c:v>
                </c:pt>
                <c:pt idx="54">
                  <c:v>5.5124878739420957E-2</c:v>
                </c:pt>
                <c:pt idx="55">
                  <c:v>5.3038196191046438E-2</c:v>
                </c:pt>
                <c:pt idx="56">
                  <c:v>5.2307315329991333E-2</c:v>
                </c:pt>
                <c:pt idx="57">
                  <c:v>6.0488734943564548E-2</c:v>
                </c:pt>
                <c:pt idx="58">
                  <c:v>-6.3255390162519909E-2</c:v>
                </c:pt>
                <c:pt idx="59">
                  <c:v>0.12584630972898303</c:v>
                </c:pt>
                <c:pt idx="60" formatCode="0.0">
                  <c:v>0.15061955041055786</c:v>
                </c:pt>
                <c:pt idx="61" formatCode="0.0">
                  <c:v>0.1538970823339314</c:v>
                </c:pt>
                <c:pt idx="62" formatCode="0.0">
                  <c:v>0.11696066381416959</c:v>
                </c:pt>
                <c:pt idx="63" formatCode="0.0">
                  <c:v>0.11069249748212329</c:v>
                </c:pt>
                <c:pt idx="64" formatCode="0.0">
                  <c:v>0.10844835380341422</c:v>
                </c:pt>
                <c:pt idx="65" formatCode="0.0">
                  <c:v>0.10741092312749334</c:v>
                </c:pt>
                <c:pt idx="66" formatCode="0.0">
                  <c:v>0.11439307809111288</c:v>
                </c:pt>
                <c:pt idx="67" formatCode="0.0">
                  <c:v>0.11355181380807711</c:v>
                </c:pt>
                <c:pt idx="68" formatCode="0.0">
                  <c:v>0.11662503495490917</c:v>
                </c:pt>
                <c:pt idx="69" formatCode="0.0">
                  <c:v>0.11300252823733814</c:v>
                </c:pt>
                <c:pt idx="70" formatCode="0.0">
                  <c:v>0.11145052099761354</c:v>
                </c:pt>
                <c:pt idx="71" formatCode="0.0">
                  <c:v>0.11842732627773689</c:v>
                </c:pt>
                <c:pt idx="72" formatCode="0.0">
                  <c:v>0</c:v>
                </c:pt>
                <c:pt idx="73" formatCode="0.0">
                  <c:v>0</c:v>
                </c:pt>
                <c:pt idx="74" formatCode="0.0">
                  <c:v>0</c:v>
                </c:pt>
              </c:numCache>
            </c:numRef>
          </c:val>
        </c:ser>
        <c:ser>
          <c:idx val="2"/>
          <c:order val="2"/>
          <c:tx>
            <c:strRef>
              <c:f>PCI!$N$1</c:f>
              <c:strCache>
                <c:ptCount val="1"/>
                <c:pt idx="0">
                  <c:v>importētā inflācija</c:v>
                </c:pt>
              </c:strCache>
            </c:strRef>
          </c:tx>
          <c:spPr>
            <a:solidFill>
              <a:schemeClr val="tx2">
                <a:lumMod val="50000"/>
              </a:schemeClr>
            </a:solidFill>
            <a:ln w="15875">
              <a:noFill/>
            </a:ln>
            <a:effectLst/>
          </c:spPr>
          <c:invertIfNegative val="0"/>
          <c:cat>
            <c:multiLvlStrRef>
              <c:f>PCI!$A$62:$B$136</c:f>
              <c:multiLvlStrCache>
                <c:ptCount val="75"/>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lvl>
                <c:lvl>
                  <c:pt idx="0">
                    <c:v>2009</c:v>
                  </c:pt>
                  <c:pt idx="12">
                    <c:v>2010</c:v>
                  </c:pt>
                  <c:pt idx="24">
                    <c:v>2011</c:v>
                  </c:pt>
                  <c:pt idx="36">
                    <c:v>2012</c:v>
                  </c:pt>
                  <c:pt idx="48">
                    <c:v>2013</c:v>
                  </c:pt>
                  <c:pt idx="60">
                    <c:v>2014</c:v>
                  </c:pt>
                  <c:pt idx="72">
                    <c:v>2015</c:v>
                  </c:pt>
                </c:lvl>
              </c:multiLvlStrCache>
            </c:multiLvlStrRef>
          </c:cat>
          <c:val>
            <c:numRef>
              <c:f>PCI!$N$62:$N$136</c:f>
              <c:numCache>
                <c:formatCode>0.000</c:formatCode>
                <c:ptCount val="75"/>
                <c:pt idx="0">
                  <c:v>2.4420260006420738</c:v>
                </c:pt>
                <c:pt idx="1">
                  <c:v>2.28454878326753</c:v>
                </c:pt>
                <c:pt idx="2">
                  <c:v>1.5884804866502309</c:v>
                </c:pt>
                <c:pt idx="3">
                  <c:v>0.3289701738344224</c:v>
                </c:pt>
                <c:pt idx="4">
                  <c:v>-0.466582752399753</c:v>
                </c:pt>
                <c:pt idx="5">
                  <c:v>-1.1230311650476179</c:v>
                </c:pt>
                <c:pt idx="6">
                  <c:v>-1.9387011821017426</c:v>
                </c:pt>
                <c:pt idx="7">
                  <c:v>-1.8233545500535899</c:v>
                </c:pt>
                <c:pt idx="8">
                  <c:v>-2.0456012078671271</c:v>
                </c:pt>
                <c:pt idx="9">
                  <c:v>-2.9248566475173914</c:v>
                </c:pt>
                <c:pt idx="10">
                  <c:v>-2.6246914109288091</c:v>
                </c:pt>
                <c:pt idx="11">
                  <c:v>-2.399476582980939</c:v>
                </c:pt>
                <c:pt idx="12">
                  <c:v>-1.7594151303914809</c:v>
                </c:pt>
                <c:pt idx="13">
                  <c:v>-1.616645272564653</c:v>
                </c:pt>
                <c:pt idx="14">
                  <c:v>-1.1946275848517698</c:v>
                </c:pt>
                <c:pt idx="15">
                  <c:v>-0.17407782699617341</c:v>
                </c:pt>
                <c:pt idx="16">
                  <c:v>0.21959704869705407</c:v>
                </c:pt>
                <c:pt idx="17">
                  <c:v>0.77430010922467474</c:v>
                </c:pt>
                <c:pt idx="18">
                  <c:v>1.5626999476057835</c:v>
                </c:pt>
                <c:pt idx="19">
                  <c:v>1.7077453717771827</c:v>
                </c:pt>
                <c:pt idx="20">
                  <c:v>1.9443580828673703</c:v>
                </c:pt>
                <c:pt idx="21">
                  <c:v>1.955296744542304</c:v>
                </c:pt>
                <c:pt idx="22">
                  <c:v>2.2884369986946096</c:v>
                </c:pt>
                <c:pt idx="23">
                  <c:v>2.8650911646143258</c:v>
                </c:pt>
                <c:pt idx="24">
                  <c:v>2.8834528192088245</c:v>
                </c:pt>
                <c:pt idx="25">
                  <c:v>2.8625196696794273</c:v>
                </c:pt>
                <c:pt idx="26">
                  <c:v>2.7263831103723568</c:v>
                </c:pt>
                <c:pt idx="27">
                  <c:v>2.5093191528072625</c:v>
                </c:pt>
                <c:pt idx="28">
                  <c:v>2.5067314402860381</c:v>
                </c:pt>
                <c:pt idx="29">
                  <c:v>2.106677499666862</c:v>
                </c:pt>
                <c:pt idx="30">
                  <c:v>1.7344881688173326</c:v>
                </c:pt>
                <c:pt idx="31">
                  <c:v>1.7319405310242746</c:v>
                </c:pt>
                <c:pt idx="32">
                  <c:v>1.9810557804919338</c:v>
                </c:pt>
                <c:pt idx="33">
                  <c:v>2.1531286654410158</c:v>
                </c:pt>
                <c:pt idx="34">
                  <c:v>2.1658622140663866</c:v>
                </c:pt>
                <c:pt idx="35">
                  <c:v>1.3858537886143987</c:v>
                </c:pt>
                <c:pt idx="36">
                  <c:v>2.0288576077879736</c:v>
                </c:pt>
                <c:pt idx="37">
                  <c:v>2.190771258960976</c:v>
                </c:pt>
                <c:pt idx="38">
                  <c:v>2.1507213095365101</c:v>
                </c:pt>
                <c:pt idx="39">
                  <c:v>1.5591771703921111</c:v>
                </c:pt>
                <c:pt idx="40">
                  <c:v>1.2268187823701311</c:v>
                </c:pt>
                <c:pt idx="41">
                  <c:v>1.0872325222077743</c:v>
                </c:pt>
                <c:pt idx="42">
                  <c:v>1.3151668750902583</c:v>
                </c:pt>
                <c:pt idx="43">
                  <c:v>1.7879499999999999</c:v>
                </c:pt>
                <c:pt idx="44">
                  <c:v>1.9842835589837653</c:v>
                </c:pt>
                <c:pt idx="45">
                  <c:v>1.9673908456173221</c:v>
                </c:pt>
                <c:pt idx="46">
                  <c:v>1.6148</c:v>
                </c:pt>
                <c:pt idx="47">
                  <c:v>1.9099159152639635</c:v>
                </c:pt>
                <c:pt idx="48">
                  <c:v>1.024659784144454</c:v>
                </c:pt>
                <c:pt idx="49">
                  <c:v>0.52970734607789072</c:v>
                </c:pt>
                <c:pt idx="50">
                  <c:v>0.34981008018024096</c:v>
                </c:pt>
                <c:pt idx="51">
                  <c:v>4.6232772825890056E-2</c:v>
                </c:pt>
                <c:pt idx="52">
                  <c:v>0.34651212857662894</c:v>
                </c:pt>
                <c:pt idx="53">
                  <c:v>0.56644238223728949</c:v>
                </c:pt>
                <c:pt idx="54">
                  <c:v>0.33430344745057006</c:v>
                </c:pt>
                <c:pt idx="55">
                  <c:v>-0.24872504366326789</c:v>
                </c:pt>
                <c:pt idx="56">
                  <c:v>-0.58599540994250832</c:v>
                </c:pt>
                <c:pt idx="57">
                  <c:v>-0.66269111021102334</c:v>
                </c:pt>
                <c:pt idx="58">
                  <c:v>-0.47526678390652227</c:v>
                </c:pt>
                <c:pt idx="59">
                  <c:v>-0.57027653418009483</c:v>
                </c:pt>
                <c:pt idx="60">
                  <c:v>-0.23366748995491726</c:v>
                </c:pt>
                <c:pt idx="61">
                  <c:v>-0.2151209265364053</c:v>
                </c:pt>
                <c:pt idx="62">
                  <c:v>-0.29872233926318714</c:v>
                </c:pt>
                <c:pt idx="63">
                  <c:v>-0.16457475869102578</c:v>
                </c:pt>
                <c:pt idx="64">
                  <c:v>-0.30208692161739953</c:v>
                </c:pt>
                <c:pt idx="65">
                  <c:v>-0.41397643472438889</c:v>
                </c:pt>
                <c:pt idx="66">
                  <c:v>-0.36956776329889635</c:v>
                </c:pt>
                <c:pt idx="67">
                  <c:v>-0.35670516879911113</c:v>
                </c:pt>
                <c:pt idx="68">
                  <c:v>-9.5002728108940393E-2</c:v>
                </c:pt>
                <c:pt idx="69">
                  <c:v>-0.13218879370310122</c:v>
                </c:pt>
                <c:pt idx="70">
                  <c:v>-0.3473377674315668</c:v>
                </c:pt>
                <c:pt idx="71">
                  <c:v>-0.95183736095110616</c:v>
                </c:pt>
                <c:pt idx="72">
                  <c:v>-1.0543</c:v>
                </c:pt>
                <c:pt idx="73">
                  <c:v>-0.60889999999999989</c:v>
                </c:pt>
                <c:pt idx="74">
                  <c:v>-0.32699999999999996</c:v>
                </c:pt>
              </c:numCache>
            </c:numRef>
          </c:val>
        </c:ser>
        <c:dLbls>
          <c:showLegendKey val="0"/>
          <c:showVal val="0"/>
          <c:showCatName val="0"/>
          <c:showSerName val="0"/>
          <c:showPercent val="0"/>
          <c:showBubbleSize val="0"/>
        </c:dLbls>
        <c:gapWidth val="75"/>
        <c:overlap val="100"/>
        <c:axId val="514269528"/>
        <c:axId val="514269920"/>
      </c:barChart>
      <c:lineChart>
        <c:grouping val="standard"/>
        <c:varyColors val="0"/>
        <c:ser>
          <c:idx val="3"/>
          <c:order val="3"/>
          <c:tx>
            <c:strRef>
              <c:f>PCI!$C$1</c:f>
              <c:strCache>
                <c:ptCount val="1"/>
                <c:pt idx="0">
                  <c:v>PCI</c:v>
                </c:pt>
              </c:strCache>
            </c:strRef>
          </c:tx>
          <c:spPr>
            <a:ln w="25400" cap="rnd">
              <a:solidFill>
                <a:schemeClr val="tx1"/>
              </a:solidFill>
              <a:prstDash val="sysDash"/>
              <a:round/>
            </a:ln>
            <a:effectLst/>
          </c:spPr>
          <c:marker>
            <c:symbol val="none"/>
          </c:marker>
          <c:val>
            <c:numRef>
              <c:f>PCI!$C$62:$C$136</c:f>
              <c:numCache>
                <c:formatCode>#,##0.0</c:formatCode>
                <c:ptCount val="75"/>
                <c:pt idx="0">
                  <c:v>9.9147718116450783</c:v>
                </c:pt>
                <c:pt idx="1">
                  <c:v>9.6079846075953839</c:v>
                </c:pt>
                <c:pt idx="2">
                  <c:v>8.2622812460317867</c:v>
                </c:pt>
                <c:pt idx="3">
                  <c:v>6.2060533867254604</c:v>
                </c:pt>
                <c:pt idx="4">
                  <c:v>4.625006586260497</c:v>
                </c:pt>
                <c:pt idx="5">
                  <c:v>3.3311454782090544</c:v>
                </c:pt>
                <c:pt idx="6">
                  <c:v>2.4430968664703734</c:v>
                </c:pt>
                <c:pt idx="7">
                  <c:v>1.8027943664734321</c:v>
                </c:pt>
                <c:pt idx="8">
                  <c:v>0.48388736149209555</c:v>
                </c:pt>
                <c:pt idx="9">
                  <c:v>-0.84415365869416426</c:v>
                </c:pt>
                <c:pt idx="10">
                  <c:v>-1.157942484818129</c:v>
                </c:pt>
                <c:pt idx="11">
                  <c:v>-1.1713346118864327</c:v>
                </c:pt>
                <c:pt idx="12">
                  <c:v>-3.2652644125851396</c:v>
                </c:pt>
                <c:pt idx="13">
                  <c:v>-4.3427935384248038</c:v>
                </c:pt>
                <c:pt idx="14">
                  <c:v>-4.0910199957769446</c:v>
                </c:pt>
                <c:pt idx="15">
                  <c:v>-2.8821790884589702</c:v>
                </c:pt>
                <c:pt idx="16">
                  <c:v>-2.4136709810718275</c:v>
                </c:pt>
                <c:pt idx="17">
                  <c:v>-1.4296869082327257</c:v>
                </c:pt>
                <c:pt idx="18">
                  <c:v>-0.59819458594567743</c:v>
                </c:pt>
                <c:pt idx="19">
                  <c:v>-0.20504239725895745</c:v>
                </c:pt>
                <c:pt idx="20">
                  <c:v>0.54343293482890931</c:v>
                </c:pt>
                <c:pt idx="21">
                  <c:v>1.0713137395812873</c:v>
                </c:pt>
                <c:pt idx="22">
                  <c:v>1.9730443210060029</c:v>
                </c:pt>
                <c:pt idx="23">
                  <c:v>2.606881650183793</c:v>
                </c:pt>
                <c:pt idx="24">
                  <c:v>3.8816530541029008</c:v>
                </c:pt>
                <c:pt idx="25">
                  <c:v>4.2119186033107479</c:v>
                </c:pt>
                <c:pt idx="26">
                  <c:v>4.3974352396269722</c:v>
                </c:pt>
                <c:pt idx="27">
                  <c:v>4.5851223803658643</c:v>
                </c:pt>
                <c:pt idx="28">
                  <c:v>5.0421427387089004</c:v>
                </c:pt>
                <c:pt idx="29">
                  <c:v>4.7986810982784185</c:v>
                </c:pt>
                <c:pt idx="30">
                  <c:v>4.2930412483512592</c:v>
                </c:pt>
                <c:pt idx="31">
                  <c:v>4.6976258749322675</c:v>
                </c:pt>
                <c:pt idx="32">
                  <c:v>4.6584485562300788</c:v>
                </c:pt>
                <c:pt idx="33">
                  <c:v>4.4945330855200405</c:v>
                </c:pt>
                <c:pt idx="34">
                  <c:v>4.2398243699980824</c:v>
                </c:pt>
                <c:pt idx="35">
                  <c:v>4.0411253701371628</c:v>
                </c:pt>
                <c:pt idx="36">
                  <c:v>3.5892993121158892</c:v>
                </c:pt>
                <c:pt idx="37">
                  <c:v>3.417824153715662</c:v>
                </c:pt>
                <c:pt idx="38" formatCode="0.0">
                  <c:v>3.336677740937386</c:v>
                </c:pt>
                <c:pt idx="39" formatCode="0.0">
                  <c:v>2.7713257408891958</c:v>
                </c:pt>
                <c:pt idx="40" formatCode="0.0">
                  <c:v>2.1894929222148307</c:v>
                </c:pt>
                <c:pt idx="41" formatCode="0.0">
                  <c:v>1.9001961608319977</c:v>
                </c:pt>
                <c:pt idx="42" formatCode="0.0">
                  <c:v>1.6817785025538501</c:v>
                </c:pt>
                <c:pt idx="43" formatCode="General">
                  <c:v>1.7</c:v>
                </c:pt>
                <c:pt idx="44" formatCode="0.0">
                  <c:v>1.8231835589837653</c:v>
                </c:pt>
                <c:pt idx="45" formatCode="0.0">
                  <c:v>1.6041341443720825</c:v>
                </c:pt>
                <c:pt idx="46" formatCode="General">
                  <c:v>1.6</c:v>
                </c:pt>
                <c:pt idx="47" formatCode="0.0">
                  <c:v>1.5506380229365124</c:v>
                </c:pt>
                <c:pt idx="48" formatCode="0.0">
                  <c:v>0.6</c:v>
                </c:pt>
                <c:pt idx="49">
                  <c:v>0.3</c:v>
                </c:pt>
                <c:pt idx="50">
                  <c:v>0.22199560320571768</c:v>
                </c:pt>
                <c:pt idx="51">
                  <c:v>-0.4</c:v>
                </c:pt>
                <c:pt idx="52">
                  <c:v>-0.1</c:v>
                </c:pt>
                <c:pt idx="53" formatCode="0.0">
                  <c:v>0.1720516434733621</c:v>
                </c:pt>
                <c:pt idx="54" formatCode="0.0">
                  <c:v>0.33620143704890382</c:v>
                </c:pt>
                <c:pt idx="55" formatCode="0.0">
                  <c:v>-0.2248644236741961</c:v>
                </c:pt>
                <c:pt idx="56" formatCode="0.0">
                  <c:v>-0.38787523603590679</c:v>
                </c:pt>
                <c:pt idx="57" formatCode="0.0">
                  <c:v>-5.3379060563473191E-2</c:v>
                </c:pt>
                <c:pt idx="58" formatCode="0.0">
                  <c:v>-0.44395986432509815</c:v>
                </c:pt>
                <c:pt idx="59" formatCode="0.0">
                  <c:v>-0.39049824551700107</c:v>
                </c:pt>
                <c:pt idx="60" formatCode="0.0">
                  <c:v>0.399147946369942</c:v>
                </c:pt>
                <c:pt idx="61" formatCode="0.0">
                  <c:v>0.50961425396453508</c:v>
                </c:pt>
                <c:pt idx="62" formatCode="0.0">
                  <c:v>0.33754564058265113</c:v>
                </c:pt>
                <c:pt idx="63" formatCode="0.0">
                  <c:v>0.71995738251127661</c:v>
                </c:pt>
                <c:pt idx="64" formatCode="0.0">
                  <c:v>0.611870750962757</c:v>
                </c:pt>
                <c:pt idx="65" formatCode="0.0">
                  <c:v>0.67395878091451089</c:v>
                </c:pt>
                <c:pt idx="66" formatCode="0.0">
                  <c:v>0.61832009736540261</c:v>
                </c:pt>
                <c:pt idx="67" formatCode="0.0">
                  <c:v>0.83658672615727347</c:v>
                </c:pt>
                <c:pt idx="68" formatCode="0.0">
                  <c:v>1.0567296996662812</c:v>
                </c:pt>
                <c:pt idx="69" formatCode="0.0">
                  <c:v>0.66518847006651338</c:v>
                </c:pt>
                <c:pt idx="70" formatCode="0.0">
                  <c:v>0.89086859688196629</c:v>
                </c:pt>
                <c:pt idx="71" formatCode="0.0">
                  <c:v>0.16694490818029983</c:v>
                </c:pt>
                <c:pt idx="72" formatCode="0.0">
                  <c:v>-0.4</c:v>
                </c:pt>
                <c:pt idx="73" formatCode="0.0">
                  <c:v>-0.1</c:v>
                </c:pt>
                <c:pt idx="74" formatCode="0.0">
                  <c:v>0.4</c:v>
                </c:pt>
              </c:numCache>
            </c:numRef>
          </c:val>
          <c:smooth val="0"/>
        </c:ser>
        <c:dLbls>
          <c:showLegendKey val="0"/>
          <c:showVal val="0"/>
          <c:showCatName val="0"/>
          <c:showSerName val="0"/>
          <c:showPercent val="0"/>
          <c:showBubbleSize val="0"/>
        </c:dLbls>
        <c:marker val="1"/>
        <c:smooth val="0"/>
        <c:axId val="514269528"/>
        <c:axId val="514269920"/>
      </c:lineChart>
      <c:catAx>
        <c:axId val="51426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lv-LV"/>
          </a:p>
        </c:txPr>
        <c:crossAx val="514269920"/>
        <c:crossesAt val="-8"/>
        <c:auto val="1"/>
        <c:lblAlgn val="ctr"/>
        <c:lblOffset val="100"/>
        <c:noMultiLvlLbl val="0"/>
      </c:catAx>
      <c:valAx>
        <c:axId val="514269920"/>
        <c:scaling>
          <c:orientation val="minMax"/>
          <c:max val="12"/>
          <c:min val="-8"/>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514269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0.71607</cdr:x>
      <cdr:y>0.80556</cdr:y>
    </cdr:from>
    <cdr:to>
      <cdr:x>0.9625</cdr:x>
      <cdr:y>0.88542</cdr:y>
    </cdr:to>
    <cdr:sp macro="" textlink="">
      <cdr:nvSpPr>
        <cdr:cNvPr id="2" name="Text Box 1"/>
        <cdr:cNvSpPr txBox="1"/>
      </cdr:nvSpPr>
      <cdr:spPr>
        <a:xfrm xmlns:a="http://schemas.openxmlformats.org/drawingml/2006/main">
          <a:off x="3819525" y="2209800"/>
          <a:ext cx="13144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a:solidFill>
                <a:schemeClr val="tx1">
                  <a:lumMod val="75000"/>
                  <a:lumOff val="25000"/>
                </a:schemeClr>
              </a:solidFill>
            </a:rPr>
            <a:t>*IKP ātrais novērtējums</a:t>
          </a:r>
        </a:p>
      </cdr:txBody>
    </cdr:sp>
  </cdr:relSizeAnchor>
</c:userShapes>
</file>

<file path=word/drawings/drawing2.xml><?xml version="1.0" encoding="utf-8"?>
<c:userShapes xmlns:c="http://schemas.openxmlformats.org/drawingml/2006/chart">
  <cdr:relSizeAnchor xmlns:cdr="http://schemas.openxmlformats.org/drawingml/2006/chartDrawing">
    <cdr:from>
      <cdr:x>0.04476</cdr:x>
      <cdr:y>1</cdr:y>
    </cdr:from>
    <cdr:to>
      <cdr:x>1</cdr:x>
      <cdr:y>1</cdr:y>
    </cdr:to>
    <cdr:cxnSp macro="">
      <cdr:nvCxnSpPr>
        <cdr:cNvPr id="6" name="Straight Connector 5"/>
        <cdr:cNvCxnSpPr/>
      </cdr:nvCxnSpPr>
      <cdr:spPr>
        <a:xfrm xmlns:a="http://schemas.openxmlformats.org/drawingml/2006/main">
          <a:off x="168460" y="2380615"/>
          <a:ext cx="3595185" cy="0"/>
        </a:xfrm>
        <a:prstGeom xmlns:a="http://schemas.openxmlformats.org/drawingml/2006/main" prst="line">
          <a:avLst/>
        </a:prstGeom>
        <a:ln xmlns:a="http://schemas.openxmlformats.org/drawingml/2006/main" w="6350">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0.54833</cdr:y>
    </cdr:from>
    <cdr:to>
      <cdr:x>0.83231</cdr:x>
      <cdr:y>0.54971</cdr:y>
    </cdr:to>
    <cdr:cxnSp macro="">
      <cdr:nvCxnSpPr>
        <cdr:cNvPr id="4" name="Straight Connector 3"/>
        <cdr:cNvCxnSpPr/>
      </cdr:nvCxnSpPr>
      <cdr:spPr>
        <a:xfrm xmlns:a="http://schemas.openxmlformats.org/drawingml/2006/main" flipV="1">
          <a:off x="0" y="1580083"/>
          <a:ext cx="3357677" cy="3991"/>
        </a:xfrm>
        <a:prstGeom xmlns:a="http://schemas.openxmlformats.org/drawingml/2006/main" prst="line">
          <a:avLst/>
        </a:prstGeom>
        <a:ln xmlns:a="http://schemas.openxmlformats.org/drawingml/2006/main" w="6350">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0.19293</cdr:y>
    </cdr:from>
    <cdr:to>
      <cdr:x>0.8254</cdr:x>
      <cdr:y>0.19615</cdr:y>
    </cdr:to>
    <cdr:cxnSp macro="">
      <cdr:nvCxnSpPr>
        <cdr:cNvPr id="5" name="Straight Connector 4"/>
        <cdr:cNvCxnSpPr/>
      </cdr:nvCxnSpPr>
      <cdr:spPr>
        <a:xfrm xmlns:a="http://schemas.openxmlformats.org/drawingml/2006/main" flipV="1">
          <a:off x="0" y="555956"/>
          <a:ext cx="3329774" cy="9280"/>
        </a:xfrm>
        <a:prstGeom xmlns:a="http://schemas.openxmlformats.org/drawingml/2006/main" prst="line">
          <a:avLst/>
        </a:prstGeom>
        <a:ln xmlns:a="http://schemas.openxmlformats.org/drawingml/2006/main" w="6350">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0.00544</cdr:x>
      <cdr:y>0.12105</cdr:y>
    </cdr:from>
    <cdr:to>
      <cdr:x>0.83413</cdr:x>
      <cdr:y>0.12185</cdr:y>
    </cdr:to>
    <cdr:cxnSp macro="">
      <cdr:nvCxnSpPr>
        <cdr:cNvPr id="7" name="Straight Connector 6"/>
        <cdr:cNvCxnSpPr/>
      </cdr:nvCxnSpPr>
      <cdr:spPr>
        <a:xfrm xmlns:a="http://schemas.openxmlformats.org/drawingml/2006/main">
          <a:off x="21946" y="348818"/>
          <a:ext cx="3343064" cy="2305"/>
        </a:xfrm>
        <a:prstGeom xmlns:a="http://schemas.openxmlformats.org/drawingml/2006/main" prst="line">
          <a:avLst/>
        </a:prstGeom>
        <a:ln xmlns:a="http://schemas.openxmlformats.org/drawingml/2006/main" w="6350">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0.48117</cdr:y>
    </cdr:from>
    <cdr:to>
      <cdr:x>0.8305</cdr:x>
      <cdr:y>0.48233</cdr:y>
    </cdr:to>
    <cdr:cxnSp macro="">
      <cdr:nvCxnSpPr>
        <cdr:cNvPr id="8" name="Straight Connector 7"/>
        <cdr:cNvCxnSpPr/>
      </cdr:nvCxnSpPr>
      <cdr:spPr>
        <a:xfrm xmlns:a="http://schemas.openxmlformats.org/drawingml/2006/main">
          <a:off x="0" y="1386563"/>
          <a:ext cx="3350362" cy="3325"/>
        </a:xfrm>
        <a:prstGeom xmlns:a="http://schemas.openxmlformats.org/drawingml/2006/main" prst="line">
          <a:avLst/>
        </a:prstGeom>
        <a:ln xmlns:a="http://schemas.openxmlformats.org/drawingml/2006/main" w="6350">
          <a:solidFill>
            <a:schemeClr val="bg1">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2">
    <a:dk1>
      <a:sysClr val="windowText" lastClr="000000"/>
    </a:dk1>
    <a:lt1>
      <a:sysClr val="window" lastClr="FFFFFF"/>
    </a:lt1>
    <a:dk2>
      <a:srgbClr val="44546A"/>
    </a:dk2>
    <a:lt2>
      <a:srgbClr val="E7E6E6"/>
    </a:lt2>
    <a:accent1>
      <a:srgbClr val="FB6308"/>
    </a:accent1>
    <a:accent2>
      <a:srgbClr val="1E4C6D"/>
    </a:accent2>
    <a:accent3>
      <a:srgbClr val="F6C820"/>
    </a:accent3>
    <a:accent4>
      <a:srgbClr val="B73016"/>
    </a:accent4>
    <a:accent5>
      <a:srgbClr val="91B44A"/>
    </a:accent5>
    <a:accent6>
      <a:srgbClr val="91B44A"/>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A6716-A0E6-4084-B52E-401DFFF28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51</Pages>
  <Words>76007</Words>
  <Characters>43324</Characters>
  <Application>Microsoft Office Word</Application>
  <DocSecurity>0</DocSecurity>
  <Lines>361</Lines>
  <Paragraphs>238</Paragraphs>
  <ScaleCrop>false</ScaleCrop>
  <HeadingPairs>
    <vt:vector size="2" baseType="variant">
      <vt:variant>
        <vt:lpstr>Title</vt:lpstr>
      </vt:variant>
      <vt:variant>
        <vt:i4>1</vt:i4>
      </vt:variant>
    </vt:vector>
  </HeadingPairs>
  <TitlesOfParts>
    <vt:vector size="1" baseType="lpstr">
      <vt:lpstr>Par tautsaimniecības attīstību un kopbudžeta izpildes gaitu 2015. gada 1. ceturksnī</vt:lpstr>
    </vt:vector>
  </TitlesOfParts>
  <Company>Finanšu ministrija</Company>
  <LinksUpToDate>false</LinksUpToDate>
  <CharactersWithSpaces>119093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tautsaimniecības attīstību un kopbudžeta izpildes gaitu 2015. gada 1. ceturksnī</dc:title>
  <dc:subject>Informatīvais ziņojums</dc:subject>
  <dc:creator>Līga Ozoliņa</dc:creator>
  <cp:keywords/>
  <dc:description>e-pasta adrese: liga.ozolina@fm.gov.lv
tālrunis: 67083823</dc:description>
  <cp:lastModifiedBy>Līga Ozoliņa</cp:lastModifiedBy>
  <cp:revision>27</cp:revision>
  <cp:lastPrinted>2015-05-15T12:27:00Z</cp:lastPrinted>
  <dcterms:created xsi:type="dcterms:W3CDTF">2015-05-15T08:51:00Z</dcterms:created>
  <dcterms:modified xsi:type="dcterms:W3CDTF">2015-05-19T13:53:00Z</dcterms:modified>
</cp:coreProperties>
</file>