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89A24" w14:textId="6DDD7FAB" w:rsidR="00F86C1C" w:rsidRPr="00CA0D50" w:rsidRDefault="00F23F1D" w:rsidP="00BF662D">
      <w:pPr>
        <w:pStyle w:val="tv2121"/>
        <w:spacing w:before="0" w:line="240" w:lineRule="auto"/>
        <w:contextualSpacing/>
        <w:rPr>
          <w:rFonts w:ascii="Times New Roman" w:hAnsi="Times New Roman"/>
          <w:sz w:val="24"/>
          <w:szCs w:val="24"/>
        </w:rPr>
      </w:pPr>
      <w:bookmarkStart w:id="0" w:name="372832"/>
      <w:r w:rsidRPr="00CA0D50">
        <w:rPr>
          <w:rFonts w:ascii="Times New Roman" w:hAnsi="Times New Roman"/>
          <w:bCs w:val="0"/>
          <w:sz w:val="24"/>
          <w:szCs w:val="24"/>
        </w:rPr>
        <w:t>Ministru kabineta noteikumu</w:t>
      </w:r>
      <w:bookmarkEnd w:id="0"/>
      <w:r w:rsidR="00660D3B" w:rsidRPr="00CA0D50">
        <w:rPr>
          <w:rFonts w:ascii="Times New Roman" w:hAnsi="Times New Roman"/>
          <w:bCs w:val="0"/>
          <w:sz w:val="24"/>
          <w:szCs w:val="24"/>
        </w:rPr>
        <w:t xml:space="preserve"> </w:t>
      </w:r>
      <w:r w:rsidR="00047AA5" w:rsidRPr="00CA0D50">
        <w:rPr>
          <w:rFonts w:ascii="Times New Roman" w:hAnsi="Times New Roman"/>
          <w:bCs w:val="0"/>
          <w:sz w:val="24"/>
          <w:szCs w:val="24"/>
        </w:rPr>
        <w:t>“</w:t>
      </w:r>
      <w:r w:rsidR="00174E03" w:rsidRPr="00CA0D50">
        <w:rPr>
          <w:rFonts w:ascii="Times New Roman" w:hAnsi="Times New Roman"/>
          <w:sz w:val="24"/>
          <w:szCs w:val="24"/>
        </w:rPr>
        <w:t xml:space="preserve">Grozījumi “Ministru kabineta </w:t>
      </w:r>
      <w:proofErr w:type="gramStart"/>
      <w:r w:rsidR="00174E03" w:rsidRPr="00CA0D50">
        <w:rPr>
          <w:rFonts w:ascii="Times New Roman" w:hAnsi="Times New Roman"/>
          <w:sz w:val="24"/>
          <w:szCs w:val="24"/>
        </w:rPr>
        <w:t>2014.gada</w:t>
      </w:r>
      <w:proofErr w:type="gramEnd"/>
      <w:r w:rsidR="00174E03" w:rsidRPr="00CA0D50">
        <w:rPr>
          <w:rFonts w:ascii="Times New Roman" w:hAnsi="Times New Roman"/>
          <w:sz w:val="24"/>
          <w:szCs w:val="24"/>
        </w:rPr>
        <w:t xml:space="preserve"> 23.decembra noteikumos Nr.836 “Darbības programmas “Izaugsme un nodarbinātība” 7.1.1. specifiskā atbalsta mērķa “Paaugstināt bezdarbnieku kvalifikāciju un prasmes atbilstoši darba tirgus pieprasījumam” īstenošanas noteikumi”</w:t>
      </w:r>
      <w:r w:rsidR="00E35333" w:rsidRPr="00CA0D50">
        <w:rPr>
          <w:rFonts w:ascii="Times New Roman" w:hAnsi="Times New Roman"/>
          <w:sz w:val="24"/>
          <w:szCs w:val="24"/>
        </w:rPr>
        <w:t>”</w:t>
      </w:r>
      <w:r w:rsidR="00F86C1C" w:rsidRPr="00CA0D50">
        <w:rPr>
          <w:rFonts w:ascii="Times New Roman" w:hAnsi="Times New Roman"/>
          <w:sz w:val="24"/>
          <w:szCs w:val="24"/>
        </w:rPr>
        <w:t xml:space="preserve"> </w:t>
      </w:r>
      <w:r w:rsidR="00F86C1C" w:rsidRPr="00CA0D50">
        <w:rPr>
          <w:rFonts w:ascii="Times New Roman" w:hAnsi="Times New Roman"/>
          <w:bCs w:val="0"/>
          <w:sz w:val="24"/>
          <w:szCs w:val="24"/>
        </w:rPr>
        <w:t>projekta</w:t>
      </w:r>
      <w:r w:rsidR="00F86C1C" w:rsidRPr="00CA0D50">
        <w:rPr>
          <w:rFonts w:ascii="Times New Roman" w:hAnsi="Times New Roman"/>
          <w:sz w:val="24"/>
          <w:szCs w:val="24"/>
        </w:rPr>
        <w:t xml:space="preserve"> sākotnējās ietekmes novērtējuma ziņojums (anotācija)</w:t>
      </w:r>
    </w:p>
    <w:p w14:paraId="0092C99C" w14:textId="77777777" w:rsidR="00F21E42" w:rsidRPr="00CA0D50" w:rsidRDefault="00F21E42" w:rsidP="00BF662D">
      <w:pPr>
        <w:pStyle w:val="tv2121"/>
        <w:spacing w:before="0" w:line="240" w:lineRule="auto"/>
        <w:contextualSpacing/>
        <w:rPr>
          <w:rFonts w:ascii="Times New Roman" w:hAnsi="Times New Roman"/>
          <w:sz w:val="24"/>
          <w:szCs w:val="24"/>
        </w:rPr>
      </w:pPr>
    </w:p>
    <w:tbl>
      <w:tblPr>
        <w:tblpPr w:leftFromText="180" w:rightFromText="180" w:vertAnchor="text" w:horzAnchor="margin" w:tblpXSpec="center" w:tblpY="149"/>
        <w:tblW w:w="53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5"/>
        <w:gridCol w:w="6378"/>
      </w:tblGrid>
      <w:tr w:rsidR="00CC1A56" w:rsidRPr="00CA0D50" w14:paraId="282051D5" w14:textId="77777777" w:rsidTr="0089655E">
        <w:trPr>
          <w:trHeight w:val="419"/>
        </w:trPr>
        <w:tc>
          <w:tcPr>
            <w:tcW w:w="5000" w:type="pct"/>
            <w:gridSpan w:val="3"/>
            <w:vAlign w:val="center"/>
          </w:tcPr>
          <w:p w14:paraId="18E1C3C6" w14:textId="77777777" w:rsidR="00CC1A56" w:rsidRPr="00CA0D50" w:rsidRDefault="00CC1A56" w:rsidP="00BF662D">
            <w:pPr>
              <w:pStyle w:val="naisnod"/>
              <w:spacing w:before="0" w:beforeAutospacing="0" w:after="0" w:afterAutospacing="0"/>
              <w:ind w:left="57" w:right="57"/>
              <w:contextualSpacing/>
              <w:jc w:val="center"/>
              <w:rPr>
                <w:b/>
              </w:rPr>
            </w:pPr>
            <w:r w:rsidRPr="00CA0D50">
              <w:rPr>
                <w:b/>
              </w:rPr>
              <w:t>I. Tiesību akta projekta izstrādes nepieciešamība</w:t>
            </w:r>
          </w:p>
        </w:tc>
      </w:tr>
      <w:tr w:rsidR="00CC1A56" w:rsidRPr="00CA0D50" w14:paraId="137B5A88" w14:textId="77777777" w:rsidTr="00922362">
        <w:trPr>
          <w:trHeight w:val="415"/>
        </w:trPr>
        <w:tc>
          <w:tcPr>
            <w:tcW w:w="224" w:type="pct"/>
          </w:tcPr>
          <w:p w14:paraId="7AF0161E" w14:textId="77777777" w:rsidR="00CC1A56" w:rsidRPr="00CA0D50" w:rsidRDefault="00CC1A56" w:rsidP="00BF662D">
            <w:pPr>
              <w:pStyle w:val="naiskr"/>
              <w:spacing w:before="0" w:beforeAutospacing="0" w:after="0" w:afterAutospacing="0"/>
              <w:ind w:left="57" w:right="57"/>
              <w:contextualSpacing/>
              <w:jc w:val="center"/>
            </w:pPr>
            <w:r w:rsidRPr="00CA0D50">
              <w:t>1.</w:t>
            </w:r>
          </w:p>
        </w:tc>
        <w:tc>
          <w:tcPr>
            <w:tcW w:w="1466" w:type="pct"/>
          </w:tcPr>
          <w:p w14:paraId="678D7083" w14:textId="4D6EBF06" w:rsidR="00026A31" w:rsidRPr="00CA0D50" w:rsidRDefault="00CC1A56" w:rsidP="00BF662D">
            <w:pPr>
              <w:pStyle w:val="naiskr"/>
              <w:spacing w:before="0" w:beforeAutospacing="0" w:after="0" w:afterAutospacing="0"/>
              <w:ind w:left="57" w:right="57"/>
              <w:contextualSpacing/>
              <w:rPr>
                <w:rFonts w:eastAsiaTheme="minorHAnsi"/>
                <w:shd w:val="clear" w:color="auto" w:fill="FFFFFF"/>
                <w:lang w:eastAsia="en-US"/>
              </w:rPr>
            </w:pPr>
            <w:r w:rsidRPr="00CA0D50">
              <w:rPr>
                <w:rFonts w:eastAsiaTheme="minorHAnsi"/>
                <w:shd w:val="clear" w:color="auto" w:fill="FFFFFF"/>
                <w:lang w:eastAsia="en-US"/>
              </w:rPr>
              <w:t>Pamatojums</w:t>
            </w:r>
          </w:p>
          <w:p w14:paraId="2CA3292A" w14:textId="77777777" w:rsidR="00CC1A56" w:rsidRPr="00CA0D50" w:rsidRDefault="00CC1A56" w:rsidP="00BF662D">
            <w:pPr>
              <w:spacing w:after="0" w:line="240" w:lineRule="auto"/>
              <w:ind w:firstLine="720"/>
              <w:contextualSpacing/>
              <w:rPr>
                <w:rFonts w:ascii="Times New Roman" w:hAnsi="Times New Roman" w:cs="Times New Roman"/>
                <w:sz w:val="24"/>
                <w:szCs w:val="24"/>
                <w:shd w:val="clear" w:color="auto" w:fill="FFFFFF"/>
              </w:rPr>
            </w:pPr>
          </w:p>
        </w:tc>
        <w:tc>
          <w:tcPr>
            <w:tcW w:w="3310" w:type="pct"/>
          </w:tcPr>
          <w:p w14:paraId="7EF3F7C9" w14:textId="0F1D1A55" w:rsidR="00174E03" w:rsidRPr="00CA0D50" w:rsidRDefault="00467554"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Ministru kabineta</w:t>
            </w:r>
            <w:r w:rsidR="0089655E" w:rsidRPr="00CA0D50">
              <w:rPr>
                <w:rFonts w:ascii="Times New Roman" w:hAnsi="Times New Roman" w:cs="Times New Roman"/>
                <w:sz w:val="24"/>
                <w:szCs w:val="24"/>
                <w:shd w:val="clear" w:color="auto" w:fill="FFFFFF"/>
              </w:rPr>
              <w:t xml:space="preserve"> (turpmāk - MK)</w:t>
            </w:r>
            <w:r w:rsidRPr="00CA0D50">
              <w:rPr>
                <w:rFonts w:ascii="Times New Roman" w:hAnsi="Times New Roman" w:cs="Times New Roman"/>
                <w:sz w:val="24"/>
                <w:szCs w:val="24"/>
                <w:shd w:val="clear" w:color="auto" w:fill="FFFFFF"/>
              </w:rPr>
              <w:t xml:space="preserve"> noteikumu projekts </w:t>
            </w:r>
            <w:r w:rsidR="00047AA5" w:rsidRPr="00CA0D50">
              <w:rPr>
                <w:rFonts w:ascii="Times New Roman" w:hAnsi="Times New Roman" w:cs="Times New Roman"/>
                <w:sz w:val="24"/>
                <w:szCs w:val="24"/>
                <w:shd w:val="clear" w:color="auto" w:fill="FFFFFF"/>
              </w:rPr>
              <w:t>“</w:t>
            </w:r>
            <w:r w:rsidR="00174E03" w:rsidRPr="00CA0D50">
              <w:rPr>
                <w:rFonts w:ascii="Times New Roman" w:hAnsi="Times New Roman" w:cs="Times New Roman"/>
                <w:sz w:val="24"/>
                <w:szCs w:val="24"/>
                <w:shd w:val="clear" w:color="auto" w:fill="FFFFFF"/>
              </w:rPr>
              <w:t xml:space="preserve">Grozījumi “Ministru kabineta </w:t>
            </w:r>
            <w:proofErr w:type="gramStart"/>
            <w:r w:rsidR="00174E03" w:rsidRPr="00CA0D50">
              <w:rPr>
                <w:rFonts w:ascii="Times New Roman" w:hAnsi="Times New Roman" w:cs="Times New Roman"/>
                <w:sz w:val="24"/>
                <w:szCs w:val="24"/>
                <w:shd w:val="clear" w:color="auto" w:fill="FFFFFF"/>
              </w:rPr>
              <w:t>2014.gada</w:t>
            </w:r>
            <w:proofErr w:type="gramEnd"/>
            <w:r w:rsidR="00174E03" w:rsidRPr="00CA0D50">
              <w:rPr>
                <w:rFonts w:ascii="Times New Roman" w:hAnsi="Times New Roman" w:cs="Times New Roman"/>
                <w:sz w:val="24"/>
                <w:szCs w:val="24"/>
                <w:shd w:val="clear" w:color="auto" w:fill="FFFFFF"/>
              </w:rPr>
              <w:t xml:space="preserve"> 23.decembra noteikumos Nr.836 “Darbības programmas “Izaugsme un nodarbinātība” 7.1.1. specifiskā atbalsta mērķa “Paaugstināt bezdarbnieku kvalifikāciju un prasmes atbilstoši darba tirgus pieprasījumam” īstenošanas noteikumi”</w:t>
            </w:r>
            <w:r w:rsidRPr="00CA0D50">
              <w:rPr>
                <w:rFonts w:ascii="Times New Roman" w:hAnsi="Times New Roman" w:cs="Times New Roman"/>
                <w:sz w:val="24"/>
                <w:szCs w:val="24"/>
                <w:shd w:val="clear" w:color="auto" w:fill="FFFFFF"/>
              </w:rPr>
              <w:t>”</w:t>
            </w:r>
            <w:r w:rsidR="0089655E" w:rsidRPr="00CA0D50">
              <w:rPr>
                <w:rFonts w:ascii="Times New Roman" w:hAnsi="Times New Roman" w:cs="Times New Roman"/>
                <w:sz w:val="24"/>
                <w:szCs w:val="24"/>
                <w:shd w:val="clear" w:color="auto" w:fill="FFFFFF"/>
              </w:rPr>
              <w:t xml:space="preserve"> (turpmāk – MK noteikumu projekts)</w:t>
            </w:r>
            <w:r w:rsidR="00204981" w:rsidRPr="00CA0D50">
              <w:rPr>
                <w:rFonts w:ascii="Times New Roman" w:hAnsi="Times New Roman" w:cs="Times New Roman"/>
                <w:sz w:val="24"/>
                <w:szCs w:val="24"/>
                <w:shd w:val="clear" w:color="auto" w:fill="FFFFFF"/>
              </w:rPr>
              <w:t xml:space="preserve"> </w:t>
            </w:r>
            <w:r w:rsidR="00174E03" w:rsidRPr="00CA0D50">
              <w:rPr>
                <w:rFonts w:ascii="Times New Roman" w:hAnsi="Times New Roman" w:cs="Times New Roman"/>
                <w:sz w:val="24"/>
                <w:szCs w:val="24"/>
                <w:shd w:val="clear" w:color="auto" w:fill="FFFFFF"/>
              </w:rPr>
              <w:t>izstrādāts</w:t>
            </w:r>
            <w:r w:rsidR="005E1FE1" w:rsidRPr="00CA0D50">
              <w:rPr>
                <w:rFonts w:ascii="Times New Roman" w:hAnsi="Times New Roman" w:cs="Times New Roman"/>
                <w:sz w:val="24"/>
                <w:szCs w:val="24"/>
                <w:shd w:val="clear" w:color="auto" w:fill="FFFFFF"/>
              </w:rPr>
              <w:t xml:space="preserve"> </w:t>
            </w:r>
            <w:r w:rsidR="00174E03" w:rsidRPr="00CA0D50">
              <w:rPr>
                <w:rFonts w:ascii="Times New Roman" w:hAnsi="Times New Roman" w:cs="Times New Roman"/>
                <w:sz w:val="24"/>
                <w:szCs w:val="24"/>
                <w:shd w:val="clear" w:color="auto" w:fill="FFFFFF"/>
              </w:rPr>
              <w:t xml:space="preserve"> saskaņā ar:</w:t>
            </w:r>
          </w:p>
          <w:p w14:paraId="123FBB46" w14:textId="7C0057D6" w:rsidR="00174E03" w:rsidRPr="00CA0D50" w:rsidRDefault="00174E03"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 xml:space="preserve">- Eiropas Parlamenta un Padomes regulas (ES) Nr. 1303/2013, ar ko paredz kopīgus noteikumus par Eiropas Reģionālās attīstības fondu, Eiropas Sociālo fondu, Kohēzijas fondu, Eiropas Lauksaimniecības fondu lauku attīstībai un Eiropas Jūrlietu un zivsaimniecības fondu un vispārīgus noteikumus, 67. un </w:t>
            </w:r>
            <w:proofErr w:type="gramStart"/>
            <w:r w:rsidRPr="00CA0D50">
              <w:rPr>
                <w:rFonts w:ascii="Times New Roman" w:hAnsi="Times New Roman" w:cs="Times New Roman"/>
                <w:sz w:val="24"/>
                <w:szCs w:val="24"/>
                <w:shd w:val="clear" w:color="auto" w:fill="FFFFFF"/>
              </w:rPr>
              <w:t>68.pantu</w:t>
            </w:r>
            <w:proofErr w:type="gramEnd"/>
            <w:r w:rsidR="005E1FE1" w:rsidRPr="00CA0D50">
              <w:rPr>
                <w:rFonts w:ascii="Times New Roman" w:hAnsi="Times New Roman" w:cs="Times New Roman"/>
                <w:sz w:val="24"/>
                <w:szCs w:val="24"/>
                <w:shd w:val="clear" w:color="auto" w:fill="FFFFFF"/>
              </w:rPr>
              <w:t>, lai vienkāršotu  Eiropas Savienības (turpmāk – ES) fondu projektu izmaksu uzskaiti, t.sk. samazinātu finansējuma saņēmēja administratīvo slogu projekta netiešu izmaksu uzskaitei un maksājumu pieprasījumu pamatojošās dokumentācijas sagatavošanai, kā arī samazinātu ES fondu uzraugošās iestādes administratīvo slogu projektu dokumentāciju pārbaudēm un palielinātu ES fondu finansējuma aprites ātrumu</w:t>
            </w:r>
            <w:r w:rsidRPr="00CA0D50">
              <w:rPr>
                <w:rFonts w:ascii="Times New Roman" w:hAnsi="Times New Roman" w:cs="Times New Roman"/>
                <w:sz w:val="24"/>
                <w:szCs w:val="24"/>
                <w:shd w:val="clear" w:color="auto" w:fill="FFFFFF"/>
              </w:rPr>
              <w:t>;</w:t>
            </w:r>
          </w:p>
          <w:p w14:paraId="382235EB" w14:textId="0D7744D2" w:rsidR="00174E03" w:rsidRPr="00CA0D50" w:rsidRDefault="00174E03"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 xml:space="preserve">- Labklājības ministrijas rosinātajiem grozījumiem </w:t>
            </w:r>
            <w:r w:rsidR="00CE5F74" w:rsidRPr="00CA0D50">
              <w:rPr>
                <w:rFonts w:ascii="Times New Roman" w:hAnsi="Times New Roman" w:cs="Times New Roman"/>
                <w:sz w:val="24"/>
                <w:szCs w:val="24"/>
                <w:shd w:val="clear" w:color="auto" w:fill="FFFFFF"/>
              </w:rPr>
              <w:t>MK</w:t>
            </w:r>
            <w:r w:rsidRPr="00CA0D50">
              <w:rPr>
                <w:rFonts w:ascii="Times New Roman" w:hAnsi="Times New Roman" w:cs="Times New Roman"/>
                <w:sz w:val="24"/>
                <w:szCs w:val="24"/>
                <w:shd w:val="clear" w:color="auto" w:fill="FFFFFF"/>
              </w:rPr>
              <w:t xml:space="preserve"> </w:t>
            </w:r>
            <w:proofErr w:type="gramStart"/>
            <w:r w:rsidRPr="00CA0D50">
              <w:rPr>
                <w:rFonts w:ascii="Times New Roman" w:hAnsi="Times New Roman" w:cs="Times New Roman"/>
                <w:sz w:val="24"/>
                <w:szCs w:val="24"/>
                <w:shd w:val="clear" w:color="auto" w:fill="FFFFFF"/>
              </w:rPr>
              <w:t>2011.gada</w:t>
            </w:r>
            <w:proofErr w:type="gramEnd"/>
            <w:r w:rsidRPr="00CA0D50">
              <w:rPr>
                <w:rFonts w:ascii="Times New Roman" w:hAnsi="Times New Roman" w:cs="Times New Roman"/>
                <w:sz w:val="24"/>
                <w:szCs w:val="24"/>
                <w:shd w:val="clear" w:color="auto" w:fill="FFFFFF"/>
              </w:rPr>
              <w:t xml:space="preserve"> 25.janvāra noteikumos Nr.75 “Noteikumi par aktīvo nodarbinātības pasākumu un preventīvo bezdarba samazināšanas pasākumu organizēšanas un finansēšanas kārtību un pasākumu īstenotāju izvēles principiem”</w:t>
            </w:r>
            <w:r w:rsidR="00CE5F74" w:rsidRPr="00CA0D50">
              <w:rPr>
                <w:rFonts w:ascii="Times New Roman" w:hAnsi="Times New Roman" w:cs="Times New Roman"/>
                <w:sz w:val="24"/>
                <w:szCs w:val="24"/>
                <w:shd w:val="clear" w:color="auto" w:fill="FFFFFF"/>
              </w:rPr>
              <w:t xml:space="preserve"> </w:t>
            </w:r>
            <w:r w:rsidR="00CE5F74" w:rsidRPr="00CA0D50">
              <w:rPr>
                <w:rFonts w:ascii="Times New Roman" w:hAnsi="Times New Roman" w:cs="Times New Roman"/>
                <w:sz w:val="24"/>
                <w:szCs w:val="24"/>
              </w:rPr>
              <w:t>(izsludināts Valsts sekretāru sanāksmē 2014.gada 27.novembrī, VSS-1072)</w:t>
            </w:r>
            <w:r w:rsidRPr="00CA0D50">
              <w:rPr>
                <w:rFonts w:ascii="Times New Roman" w:hAnsi="Times New Roman" w:cs="Times New Roman"/>
                <w:sz w:val="24"/>
                <w:szCs w:val="24"/>
                <w:shd w:val="clear" w:color="auto" w:fill="FFFFFF"/>
              </w:rPr>
              <w:t>.</w:t>
            </w:r>
          </w:p>
        </w:tc>
      </w:tr>
      <w:tr w:rsidR="00CC1A56" w:rsidRPr="00CA0D50" w14:paraId="02E973A7" w14:textId="77777777" w:rsidTr="00922362">
        <w:trPr>
          <w:trHeight w:val="472"/>
        </w:trPr>
        <w:tc>
          <w:tcPr>
            <w:tcW w:w="224" w:type="pct"/>
          </w:tcPr>
          <w:p w14:paraId="7E4CC4EE" w14:textId="32002407" w:rsidR="00CC1A56" w:rsidRPr="00CA0D50" w:rsidRDefault="00CC1A56" w:rsidP="00BF662D">
            <w:pPr>
              <w:pStyle w:val="naiskr"/>
              <w:spacing w:before="0" w:beforeAutospacing="0" w:after="0" w:afterAutospacing="0"/>
              <w:ind w:left="57" w:right="57"/>
              <w:contextualSpacing/>
              <w:jc w:val="center"/>
            </w:pPr>
            <w:r w:rsidRPr="00CA0D50">
              <w:t>2.</w:t>
            </w:r>
          </w:p>
        </w:tc>
        <w:tc>
          <w:tcPr>
            <w:tcW w:w="1466" w:type="pct"/>
          </w:tcPr>
          <w:p w14:paraId="622BE122" w14:textId="3C77003C" w:rsidR="00A01B7A" w:rsidRPr="00CA0D50" w:rsidRDefault="00CC1A56" w:rsidP="00BF662D">
            <w:pPr>
              <w:pStyle w:val="naiskr"/>
              <w:tabs>
                <w:tab w:val="left" w:pos="170"/>
              </w:tabs>
              <w:spacing w:before="0" w:beforeAutospacing="0" w:after="0" w:afterAutospacing="0"/>
              <w:ind w:left="57" w:right="57"/>
              <w:contextualSpacing/>
            </w:pPr>
            <w:r w:rsidRPr="00CA0D50">
              <w:t>Pašreizējā situācija un problēmas, kuru risināšanai tiesību akta projekts izstrādāts, tiesiskā regulējuma mērķis un būtība</w:t>
            </w:r>
          </w:p>
          <w:p w14:paraId="3C50E4D3" w14:textId="77777777" w:rsidR="00CC1A56" w:rsidRPr="00CA0D50" w:rsidRDefault="00CC1A56" w:rsidP="00BF662D">
            <w:pPr>
              <w:spacing w:after="0" w:line="240" w:lineRule="auto"/>
              <w:contextualSpacing/>
              <w:jc w:val="center"/>
              <w:rPr>
                <w:rFonts w:ascii="Times New Roman" w:hAnsi="Times New Roman" w:cs="Times New Roman"/>
                <w:sz w:val="24"/>
                <w:szCs w:val="24"/>
                <w:lang w:eastAsia="lv-LV"/>
              </w:rPr>
            </w:pPr>
          </w:p>
        </w:tc>
        <w:tc>
          <w:tcPr>
            <w:tcW w:w="3310" w:type="pct"/>
          </w:tcPr>
          <w:p w14:paraId="76B9DB2D" w14:textId="5233F73F" w:rsidR="005E1FE1"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 xml:space="preserve">1. Šobrīd MK </w:t>
            </w:r>
            <w:proofErr w:type="gramStart"/>
            <w:r w:rsidRPr="00CA0D50">
              <w:rPr>
                <w:rFonts w:ascii="Times New Roman" w:hAnsi="Times New Roman" w:cs="Times New Roman"/>
                <w:sz w:val="24"/>
                <w:szCs w:val="24"/>
                <w:shd w:val="clear" w:color="auto" w:fill="FFFFFF"/>
              </w:rPr>
              <w:t>2014.gada</w:t>
            </w:r>
            <w:proofErr w:type="gramEnd"/>
            <w:r w:rsidRPr="00CA0D50">
              <w:rPr>
                <w:rFonts w:ascii="Times New Roman" w:hAnsi="Times New Roman" w:cs="Times New Roman"/>
                <w:sz w:val="24"/>
                <w:szCs w:val="24"/>
                <w:shd w:val="clear" w:color="auto" w:fill="FFFFFF"/>
              </w:rPr>
              <w:t xml:space="preserve"> 23.decembra noteikumi Nr.836 “Darbības programmas “Izaugsme un nodarbinātība” 7.1.1. specifiskā atbalsta mērķa “Paaugstināt bezdarbnieku kvalifikāciju un prasmes atbilstoši darba tirgus pieprasījumam” īstenošanas noteikumi” (turpmāk – MK noteikumi Nr.836) nosaka, ka  projekta netiešās attiecināmās izmaksas tiek plānotas kā reālās izmaksas ne vairāk kā 7% apjomā no projekta tiešajām attiecināmajām izmaksām (projekta īstenošanas izmaksas, kas tieši saistītas ar projekta mērķa un rādītāju sasniegšanu, un horizontālo principu nodrošināšanu).</w:t>
            </w:r>
          </w:p>
          <w:p w14:paraId="531A39D8" w14:textId="712D3DA4" w:rsidR="005E1FE1"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Lai vienkāršotu ES fondu projektu izmaksu uzskaiti, t.sk. samazinātu finansējuma saņēmēja administratīvo slogu (projekta netiešu izmaksu uzskaitei, kā arī maksājuma pieprasījumu pamatojošās dokumentācijas sagatavošanai), ES fondu projekta uzraugošās iestādes administratīvo slogu</w:t>
            </w:r>
            <w:r w:rsidR="00C25B5B">
              <w:rPr>
                <w:rFonts w:ascii="Times New Roman" w:hAnsi="Times New Roman" w:cs="Times New Roman"/>
                <w:sz w:val="24"/>
                <w:szCs w:val="24"/>
                <w:shd w:val="clear" w:color="auto" w:fill="FFFFFF"/>
              </w:rPr>
              <w:t>,</w:t>
            </w:r>
            <w:r w:rsidRPr="00CA0D50">
              <w:rPr>
                <w:rFonts w:ascii="Times New Roman" w:hAnsi="Times New Roman" w:cs="Times New Roman"/>
                <w:sz w:val="24"/>
                <w:szCs w:val="24"/>
                <w:shd w:val="clear" w:color="auto" w:fill="FFFFFF"/>
              </w:rPr>
              <w:t xml:space="preserve"> veicot projekta dokumentācijas pārbaudes, kā arī, lai vienkāršotu ES fondu uzskaiti un ES fondu finansējuma apriti ir nepieciešamas izstrādāt šo MK noteikumu projektu saskaņā ar Finanšu </w:t>
            </w:r>
            <w:r w:rsidRPr="00CA0D50">
              <w:rPr>
                <w:rFonts w:ascii="Times New Roman" w:hAnsi="Times New Roman" w:cs="Times New Roman"/>
                <w:sz w:val="24"/>
                <w:szCs w:val="24"/>
                <w:shd w:val="clear" w:color="auto" w:fill="FFFFFF"/>
              </w:rPr>
              <w:lastRenderedPageBreak/>
              <w:t>ministrijas “Vadlīnijām attiecināmo un neattiecināmo izmaksu noteikšanai 2014.–</w:t>
            </w:r>
            <w:proofErr w:type="gramStart"/>
            <w:r w:rsidRPr="00CA0D50">
              <w:rPr>
                <w:rFonts w:ascii="Times New Roman" w:hAnsi="Times New Roman" w:cs="Times New Roman"/>
                <w:sz w:val="24"/>
                <w:szCs w:val="24"/>
                <w:shd w:val="clear" w:color="auto" w:fill="FFFFFF"/>
              </w:rPr>
              <w:t>2020.gada</w:t>
            </w:r>
            <w:proofErr w:type="gramEnd"/>
            <w:r w:rsidRPr="00CA0D50">
              <w:rPr>
                <w:rFonts w:ascii="Times New Roman" w:hAnsi="Times New Roman" w:cs="Times New Roman"/>
                <w:sz w:val="24"/>
                <w:szCs w:val="24"/>
                <w:shd w:val="clear" w:color="auto" w:fill="FFFFFF"/>
              </w:rPr>
              <w:t xml:space="preserve"> plānošanas periodā” un “Metodiku par netiešo izmaksu vienotās likmes piemērošanu projekta izmaksu atzīšanā 2014.–2020.gada plānošanas periodā”.</w:t>
            </w:r>
          </w:p>
          <w:p w14:paraId="13CAB1A6" w14:textId="77777777" w:rsidR="00042448"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Izstrādātais MK noteikumu projekts paredz netiešo izmaksu vienotās likmes piemērošanu MK notiekumiem Nr.836, t.i., noteikt, ka netiešās attiecināmās izmaksas (izmaksas, kas nav tieši saistītas ar projekta rezultātu sasniegšanu, bet atbalsta un nodrošina apstākļus projekta rezultātu sasniegšanu – finansējuma saņēmēja administratīvās izmaksas) tiek plānotas kā viena izmaksu pozīcija 15% apmērā no tiešajām personāla attiecināmajām izmaksām, ko veido projekta īstenošanas un projekta vadības personāla atlīdzības izmaksas (netiešās izmaksas = tiešās personāla attiecināmās izmaksas x 15%).</w:t>
            </w:r>
          </w:p>
          <w:p w14:paraId="29A3B593" w14:textId="043F9339" w:rsidR="00C25B5B" w:rsidRPr="00063B5C" w:rsidRDefault="00042448" w:rsidP="00BF662D">
            <w:pPr>
              <w:spacing w:after="0" w:line="240" w:lineRule="auto"/>
              <w:ind w:left="57" w:right="113"/>
              <w:contextualSpacing/>
              <w:jc w:val="both"/>
            </w:pPr>
            <w:r w:rsidRPr="00063B5C">
              <w:rPr>
                <w:rFonts w:ascii="Times New Roman" w:hAnsi="Times New Roman" w:cs="Times New Roman"/>
                <w:sz w:val="24"/>
                <w:szCs w:val="24"/>
                <w:shd w:val="clear" w:color="auto" w:fill="FFFFFF"/>
              </w:rPr>
              <w:t>Vienkāršoto izmaksu metode projektā tiek piemērota no Finanšu ministrijas izstrādās metodikas “Metodiku par netiešo izmaksu vienotās likmes piemērošanu projekta izmaksu atzīšanā 2014.–</w:t>
            </w:r>
            <w:proofErr w:type="gramStart"/>
            <w:r w:rsidRPr="00063B5C">
              <w:rPr>
                <w:rFonts w:ascii="Times New Roman" w:hAnsi="Times New Roman" w:cs="Times New Roman"/>
                <w:sz w:val="24"/>
                <w:szCs w:val="24"/>
                <w:shd w:val="clear" w:color="auto" w:fill="FFFFFF"/>
              </w:rPr>
              <w:t>2020.gada</w:t>
            </w:r>
            <w:proofErr w:type="gramEnd"/>
            <w:r w:rsidRPr="00063B5C">
              <w:rPr>
                <w:rFonts w:ascii="Times New Roman" w:hAnsi="Times New Roman" w:cs="Times New Roman"/>
                <w:sz w:val="24"/>
                <w:szCs w:val="24"/>
                <w:shd w:val="clear" w:color="auto" w:fill="FFFFFF"/>
              </w:rPr>
              <w:t xml:space="preserve"> plānošanas periodā” spēkā stāšanās dienas (t.i., no 2015.gada 16.februāra). </w:t>
            </w:r>
            <w:r w:rsidR="00C25B5B" w:rsidRPr="00063B5C">
              <w:rPr>
                <w:rFonts w:ascii="Times New Roman" w:hAnsi="Times New Roman" w:cs="Times New Roman"/>
                <w:sz w:val="24"/>
                <w:szCs w:val="24"/>
                <w:shd w:val="clear" w:color="auto" w:fill="FFFFFF"/>
              </w:rPr>
              <w:t xml:space="preserve">Vienkāršoto izmaksu piemērošana no </w:t>
            </w:r>
            <w:proofErr w:type="gramStart"/>
            <w:r w:rsidR="00C25B5B" w:rsidRPr="00063B5C">
              <w:rPr>
                <w:rFonts w:ascii="Times New Roman" w:hAnsi="Times New Roman" w:cs="Times New Roman"/>
                <w:sz w:val="24"/>
                <w:szCs w:val="24"/>
                <w:shd w:val="clear" w:color="auto" w:fill="FFFFFF"/>
              </w:rPr>
              <w:t>2015.gada</w:t>
            </w:r>
            <w:proofErr w:type="gramEnd"/>
            <w:r w:rsidR="00C25B5B" w:rsidRPr="00063B5C">
              <w:rPr>
                <w:rFonts w:ascii="Times New Roman" w:hAnsi="Times New Roman" w:cs="Times New Roman"/>
                <w:sz w:val="24"/>
                <w:szCs w:val="24"/>
                <w:shd w:val="clear" w:color="auto" w:fill="FFFFFF"/>
              </w:rPr>
              <w:t xml:space="preserve"> 16.februāra veicina labvēlīgākus apstākļus finansējuma saņēmējam, proti, tiek jau šobrīd mazināts administratīvais slogs (t.sk., jau sākotnēji projekta ietvaros veiktajām izmaksām piemērojot projektā vienkāršoto izmaksu pieeju, finansējuma saņēmējam nebūs nepieciešams veikt papildu grozījumus projektā, mainot netiešo izmaksu uzskaites kārtību), kā arī tiks mazināts neattiecināmo izmaksu risks, veicot pāreju netiešo izmaksu uzskaites kārtībā.</w:t>
            </w:r>
          </w:p>
          <w:p w14:paraId="4C8C2F55" w14:textId="0B87CCB7" w:rsidR="00042448" w:rsidRPr="00063B5C" w:rsidRDefault="00042448" w:rsidP="00BF662D">
            <w:pPr>
              <w:spacing w:after="0" w:line="240" w:lineRule="auto"/>
              <w:ind w:left="57" w:right="113"/>
              <w:contextualSpacing/>
              <w:jc w:val="both"/>
              <w:rPr>
                <w:rFonts w:ascii="Times New Roman" w:hAnsi="Times New Roman" w:cs="Times New Roman"/>
                <w:sz w:val="24"/>
                <w:szCs w:val="24"/>
                <w:shd w:val="clear" w:color="auto" w:fill="FFFFFF"/>
              </w:rPr>
            </w:pPr>
            <w:r w:rsidRPr="00063B5C">
              <w:rPr>
                <w:rFonts w:ascii="Times New Roman" w:hAnsi="Times New Roman" w:cs="Times New Roman"/>
                <w:sz w:val="24"/>
                <w:szCs w:val="24"/>
                <w:shd w:val="clear" w:color="auto" w:fill="FFFFFF"/>
              </w:rPr>
              <w:t xml:space="preserve">Izmaksas, kas radušas līdz vienkāršoto izmaksu piemērošanai (t.i., no </w:t>
            </w:r>
            <w:proofErr w:type="gramStart"/>
            <w:r w:rsidRPr="00063B5C">
              <w:rPr>
                <w:rFonts w:ascii="Times New Roman" w:hAnsi="Times New Roman" w:cs="Times New Roman"/>
                <w:sz w:val="24"/>
                <w:szCs w:val="24"/>
                <w:shd w:val="clear" w:color="auto" w:fill="FFFFFF"/>
              </w:rPr>
              <w:t>2015.gada</w:t>
            </w:r>
            <w:proofErr w:type="gramEnd"/>
            <w:r w:rsidRPr="00063B5C">
              <w:rPr>
                <w:rFonts w:ascii="Times New Roman" w:hAnsi="Times New Roman" w:cs="Times New Roman"/>
                <w:sz w:val="24"/>
                <w:szCs w:val="24"/>
                <w:shd w:val="clear" w:color="auto" w:fill="FFFFFF"/>
              </w:rPr>
              <w:t xml:space="preserve"> 2.janvāra līdz 2015.gada 15.februārim),  finansējuma saņēmējs - Nodarbinātības valsts aģentūra </w:t>
            </w:r>
            <w:r w:rsidR="00E41B43" w:rsidRPr="00063B5C">
              <w:rPr>
                <w:rFonts w:ascii="Times New Roman" w:hAnsi="Times New Roman" w:cs="Times New Roman"/>
                <w:sz w:val="24"/>
                <w:szCs w:val="24"/>
                <w:shd w:val="clear" w:color="auto" w:fill="FFFFFF"/>
              </w:rPr>
              <w:t xml:space="preserve">– </w:t>
            </w:r>
            <w:r w:rsidR="00C25B5B" w:rsidRPr="00063B5C">
              <w:rPr>
                <w:rFonts w:ascii="Times New Roman" w:hAnsi="Times New Roman" w:cs="Times New Roman"/>
                <w:sz w:val="24"/>
                <w:szCs w:val="24"/>
                <w:shd w:val="clear" w:color="auto" w:fill="FFFFFF"/>
              </w:rPr>
              <w:t xml:space="preserve">uzskaita ārpus projekta un </w:t>
            </w:r>
            <w:r w:rsidR="00E41B43" w:rsidRPr="00063B5C">
              <w:rPr>
                <w:rFonts w:ascii="Times New Roman" w:hAnsi="Times New Roman" w:cs="Times New Roman"/>
                <w:sz w:val="24"/>
                <w:szCs w:val="24"/>
                <w:shd w:val="clear" w:color="auto" w:fill="FFFFFF"/>
              </w:rPr>
              <w:t>finansēs</w:t>
            </w:r>
            <w:r w:rsidRPr="00063B5C">
              <w:rPr>
                <w:rFonts w:ascii="Times New Roman" w:hAnsi="Times New Roman" w:cs="Times New Roman"/>
                <w:sz w:val="24"/>
                <w:szCs w:val="24"/>
                <w:shd w:val="clear" w:color="auto" w:fill="FFFFFF"/>
              </w:rPr>
              <w:t xml:space="preserve"> no valsts pamatbudžeta apakšprogrammas 07.01.00 “Nodarbinātības valsts aģentūras administrēšana”.</w:t>
            </w:r>
          </w:p>
          <w:p w14:paraId="29FEEA18" w14:textId="77777777" w:rsidR="005E1FE1"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p>
          <w:p w14:paraId="0249544E" w14:textId="4ECCAC8E" w:rsidR="005E1FE1"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2.</w:t>
            </w:r>
            <w:r w:rsidR="00CE5F74" w:rsidRPr="00CA0D50">
              <w:rPr>
                <w:rFonts w:ascii="Times New Roman" w:hAnsi="Times New Roman" w:cs="Times New Roman"/>
                <w:sz w:val="24"/>
                <w:szCs w:val="24"/>
                <w:shd w:val="clear" w:color="auto" w:fill="FFFFFF"/>
              </w:rPr>
              <w:t xml:space="preserve"> </w:t>
            </w:r>
            <w:r w:rsidR="00CA0D50" w:rsidRPr="00CA0D50">
              <w:rPr>
                <w:rFonts w:ascii="Times New Roman" w:hAnsi="Times New Roman" w:cs="Times New Roman"/>
                <w:sz w:val="24"/>
                <w:szCs w:val="24"/>
                <w:shd w:val="clear" w:color="auto" w:fill="FFFFFF"/>
              </w:rPr>
              <w:t>A</w:t>
            </w:r>
            <w:r w:rsidR="00CE5F74" w:rsidRPr="00CA0D50">
              <w:rPr>
                <w:rFonts w:ascii="Times New Roman" w:hAnsi="Times New Roman" w:cs="Times New Roman"/>
                <w:sz w:val="24"/>
                <w:szCs w:val="24"/>
                <w:shd w:val="clear" w:color="auto" w:fill="FFFFFF"/>
              </w:rPr>
              <w:t xml:space="preserve">tbilstoši Labklājības ministrijas rosinātajiem grozījumiem MK </w:t>
            </w:r>
            <w:proofErr w:type="gramStart"/>
            <w:r w:rsidR="00CE5F74" w:rsidRPr="00CA0D50">
              <w:rPr>
                <w:rFonts w:ascii="Times New Roman" w:hAnsi="Times New Roman" w:cs="Times New Roman"/>
                <w:sz w:val="24"/>
                <w:szCs w:val="24"/>
                <w:shd w:val="clear" w:color="auto" w:fill="FFFFFF"/>
              </w:rPr>
              <w:t>2011.gada</w:t>
            </w:r>
            <w:proofErr w:type="gramEnd"/>
            <w:r w:rsidR="00CE5F74" w:rsidRPr="00CA0D50">
              <w:rPr>
                <w:rFonts w:ascii="Times New Roman" w:hAnsi="Times New Roman" w:cs="Times New Roman"/>
                <w:sz w:val="24"/>
                <w:szCs w:val="24"/>
                <w:shd w:val="clear" w:color="auto" w:fill="FFFFFF"/>
              </w:rPr>
              <w:t xml:space="preserve"> 25.janvāra noteikumos Nr.75 “Noteikumi par aktīvo nodarbinātības pasākumu un preventīvo bezdarba samazināšanas pasākumu organizēšanas un finansēšanas kārtību un pasākumu īstenotāju izvēles principiem”:</w:t>
            </w:r>
          </w:p>
          <w:p w14:paraId="6C6918B1" w14:textId="2AB2756B" w:rsidR="00CE5F74" w:rsidRPr="00CA0D50" w:rsidRDefault="00CE5F74"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 xml:space="preserve">- precizēti bezdarbnieku iesaistes nosacījumi atbalstāmajā darbībā “atbalsts reģionālai mobilitātei”, </w:t>
            </w:r>
            <w:proofErr w:type="gramStart"/>
            <w:r w:rsidRPr="00CA0D50">
              <w:rPr>
                <w:rFonts w:ascii="Times New Roman" w:hAnsi="Times New Roman" w:cs="Times New Roman"/>
                <w:sz w:val="24"/>
                <w:szCs w:val="24"/>
                <w:shd w:val="clear" w:color="auto" w:fill="FFFFFF"/>
              </w:rPr>
              <w:t>paredzot, ka atbalstu</w:t>
            </w:r>
            <w:proofErr w:type="gramEnd"/>
            <w:r w:rsidRPr="00CA0D50">
              <w:rPr>
                <w:rFonts w:ascii="Times New Roman" w:hAnsi="Times New Roman" w:cs="Times New Roman"/>
                <w:sz w:val="24"/>
                <w:szCs w:val="24"/>
                <w:shd w:val="clear" w:color="auto" w:fill="FFFFFF"/>
              </w:rPr>
              <w:t xml:space="preserve"> var saņemt ne tikai t</w:t>
            </w:r>
            <w:r w:rsidR="00CA0D50" w:rsidRPr="00CA0D50">
              <w:rPr>
                <w:rFonts w:ascii="Times New Roman" w:hAnsi="Times New Roman" w:cs="Times New Roman"/>
                <w:sz w:val="24"/>
                <w:szCs w:val="24"/>
                <w:shd w:val="clear" w:color="auto" w:fill="FFFFFF"/>
              </w:rPr>
              <w:t>ie bezdarbnieki</w:t>
            </w:r>
            <w:r w:rsidRPr="00CA0D50">
              <w:rPr>
                <w:rFonts w:ascii="Times New Roman" w:hAnsi="Times New Roman" w:cs="Times New Roman"/>
                <w:sz w:val="24"/>
                <w:szCs w:val="24"/>
                <w:shd w:val="clear" w:color="auto" w:fill="FFFFFF"/>
              </w:rPr>
              <w:t xml:space="preserve">, kuru apmācību vai prakses vieta atrodas 20 km attālumā no bezdarbnieka deklarētās dzīvesvietas, kuras administratīvajā teritorijā bezdarbnieks ir deklarēts vismaz sešus mēnešus, bet arī </w:t>
            </w:r>
            <w:r w:rsidR="00CA0D50" w:rsidRPr="00CA0D50">
              <w:rPr>
                <w:rFonts w:ascii="Times New Roman" w:hAnsi="Times New Roman" w:cs="Times New Roman"/>
                <w:sz w:val="24"/>
                <w:szCs w:val="24"/>
                <w:shd w:val="clear" w:color="auto" w:fill="FFFFFF"/>
              </w:rPr>
              <w:t>tie</w:t>
            </w:r>
            <w:r w:rsidRPr="00CA0D50">
              <w:rPr>
                <w:rFonts w:ascii="Times New Roman" w:hAnsi="Times New Roman" w:cs="Times New Roman"/>
                <w:sz w:val="24"/>
                <w:szCs w:val="24"/>
                <w:shd w:val="clear" w:color="auto" w:fill="FFFFFF"/>
              </w:rPr>
              <w:t xml:space="preserve"> bezdarbnieki, kas šajā laikā mainījuši deklarēto dzīvesvietu un gan jaunā, gan iepriekšējā dzīvesvieta atrodas vienas pašvaldības administratīvajā teritorijā. Papildus tiek paredzēts, ka finanšu atlīdzību finansējuma saņēmējs izmaksā līdz katra mēneša 10. vai 20.</w:t>
            </w:r>
            <w:r w:rsidR="00D53088" w:rsidRPr="00CA0D50">
              <w:rPr>
                <w:rFonts w:ascii="Times New Roman" w:hAnsi="Times New Roman" w:cs="Times New Roman"/>
                <w:sz w:val="24"/>
                <w:szCs w:val="24"/>
                <w:shd w:val="clear" w:color="auto" w:fill="FFFFFF"/>
              </w:rPr>
              <w:t>datumam pēc transporta un īres izdevumus apliecinošo dokumentu saņemšanas</w:t>
            </w:r>
            <w:r w:rsidRPr="00CA0D50">
              <w:rPr>
                <w:rFonts w:ascii="Times New Roman" w:hAnsi="Times New Roman" w:cs="Times New Roman"/>
                <w:sz w:val="24"/>
                <w:szCs w:val="24"/>
                <w:shd w:val="clear" w:color="auto" w:fill="FFFFFF"/>
              </w:rPr>
              <w:t>;</w:t>
            </w:r>
          </w:p>
          <w:p w14:paraId="63162F70" w14:textId="4663C5A3" w:rsidR="00CE5F74" w:rsidRPr="00CA0D50" w:rsidRDefault="00CE5F74"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lastRenderedPageBreak/>
              <w:t>- precizēts 7.1.1. specifiskā atbalsta mērķa “Paaugstināt bezdarbnieku kvalifikāciju un prasmes atbilstoši darba tirgus pieprasījumam”</w:t>
            </w:r>
            <w:r w:rsidR="00D53088" w:rsidRPr="00CA0D50">
              <w:rPr>
                <w:rFonts w:ascii="Times New Roman" w:hAnsi="Times New Roman" w:cs="Times New Roman"/>
                <w:sz w:val="24"/>
                <w:szCs w:val="24"/>
                <w:shd w:val="clear" w:color="auto" w:fill="FFFFFF"/>
              </w:rPr>
              <w:t xml:space="preserve"> </w:t>
            </w:r>
            <w:r w:rsidRPr="00CA0D50">
              <w:rPr>
                <w:rFonts w:ascii="Times New Roman" w:hAnsi="Times New Roman" w:cs="Times New Roman"/>
                <w:sz w:val="24"/>
                <w:szCs w:val="24"/>
                <w:shd w:val="clear" w:color="auto" w:fill="FFFFFF"/>
              </w:rPr>
              <w:t>ietvaros plānotā ES struktūrfondu un Kohēzijas fonda 2007.-</w:t>
            </w:r>
            <w:proofErr w:type="gramStart"/>
            <w:r w:rsidRPr="00CA0D50">
              <w:rPr>
                <w:rFonts w:ascii="Times New Roman" w:hAnsi="Times New Roman" w:cs="Times New Roman"/>
                <w:sz w:val="24"/>
                <w:szCs w:val="24"/>
                <w:shd w:val="clear" w:color="auto" w:fill="FFFFFF"/>
              </w:rPr>
              <w:t>2013.gada</w:t>
            </w:r>
            <w:proofErr w:type="gramEnd"/>
            <w:r w:rsidRPr="00CA0D50">
              <w:rPr>
                <w:rFonts w:ascii="Times New Roman" w:hAnsi="Times New Roman" w:cs="Times New Roman"/>
                <w:sz w:val="24"/>
                <w:szCs w:val="24"/>
                <w:shd w:val="clear" w:color="auto" w:fill="FFFFFF"/>
              </w:rPr>
              <w:t xml:space="preserve"> plānošanas periodā darbības programmas  “Cilvēkresursi un nodarbinātība” 1.3.1.1.3.apakšaktivitātes „Bezdarbnieku un darba meklētāju apmācība” otrās kārtas ietvaros īstenotā izmēģinājumprojekta 2.kārtas īstenošanas periods, paredzot</w:t>
            </w:r>
            <w:r w:rsidR="00D53088" w:rsidRPr="00CA0D50">
              <w:rPr>
                <w:rFonts w:ascii="Times New Roman" w:hAnsi="Times New Roman" w:cs="Times New Roman"/>
                <w:sz w:val="24"/>
                <w:szCs w:val="24"/>
                <w:shd w:val="clear" w:color="auto" w:fill="FFFFFF"/>
              </w:rPr>
              <w:t>, ka bezdarbnieku iesaiste pilotprojektā tiek veikta līdz kopā ir iesaistīti 200 bezdarbnieki, bet ne ilgāk kā līdz 2016.gada 1.aprīlim (iepriekš tika plānots, ka iesaiste ilgs ne ilgāk kā līdz 2015.gada 30.jūlijam)</w:t>
            </w:r>
            <w:r w:rsidRPr="00CA0D50">
              <w:rPr>
                <w:rFonts w:ascii="Times New Roman" w:hAnsi="Times New Roman" w:cs="Times New Roman"/>
                <w:sz w:val="24"/>
                <w:szCs w:val="24"/>
                <w:shd w:val="clear" w:color="auto" w:fill="FFFFFF"/>
              </w:rPr>
              <w:t>;</w:t>
            </w:r>
          </w:p>
          <w:p w14:paraId="14ABD07D" w14:textId="4052A88A" w:rsidR="00CE5F74" w:rsidRPr="00CA0D50" w:rsidRDefault="00D53088"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 xml:space="preserve">- </w:t>
            </w:r>
            <w:r w:rsidR="00CA0D50" w:rsidRPr="00CA0D50">
              <w:rPr>
                <w:rFonts w:ascii="Times New Roman" w:hAnsi="Times New Roman" w:cs="Times New Roman"/>
                <w:sz w:val="24"/>
                <w:szCs w:val="24"/>
                <w:shd w:val="clear" w:color="auto" w:fill="FFFFFF"/>
              </w:rPr>
              <w:t>paredzēts</w:t>
            </w:r>
            <w:r w:rsidRPr="00CA0D50">
              <w:rPr>
                <w:rFonts w:ascii="Times New Roman" w:hAnsi="Times New Roman" w:cs="Times New Roman"/>
                <w:sz w:val="24"/>
                <w:szCs w:val="24"/>
                <w:shd w:val="clear" w:color="auto" w:fill="FFFFFF"/>
              </w:rPr>
              <w:t>, ka atbalstāmo darbību “profesionālā apmācība, pārkvalifikācija, kvalifikācijas paaugstināšana” un “neformālās izglītības programmu apguve” ietvaros finanšu atbalsts izglītības iestādēm, lai pielāgotu mācību un prakses vietas bezdarbniekiem tiek sniegts saskaņā ar valsts atbalsta saņemšanu saistītiem nosacījumiem.</w:t>
            </w:r>
          </w:p>
          <w:p w14:paraId="0442EF4F" w14:textId="77777777" w:rsidR="005E1FE1"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p>
          <w:p w14:paraId="603D6CEC" w14:textId="58BE663D" w:rsidR="00475EDD"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 xml:space="preserve">Ņemot vērā </w:t>
            </w:r>
            <w:r w:rsidR="00CA0D50" w:rsidRPr="00CA0D50">
              <w:rPr>
                <w:rFonts w:ascii="Times New Roman" w:hAnsi="Times New Roman" w:cs="Times New Roman"/>
                <w:sz w:val="24"/>
                <w:szCs w:val="24"/>
                <w:shd w:val="clear" w:color="auto" w:fill="FFFFFF"/>
              </w:rPr>
              <w:t xml:space="preserve">iepriekš </w:t>
            </w:r>
            <w:r w:rsidRPr="00CA0D50">
              <w:rPr>
                <w:rFonts w:ascii="Times New Roman" w:hAnsi="Times New Roman" w:cs="Times New Roman"/>
                <w:sz w:val="24"/>
                <w:szCs w:val="24"/>
                <w:shd w:val="clear" w:color="auto" w:fill="FFFFFF"/>
              </w:rPr>
              <w:t>minēto, MK noteikumos Nr.836 ir nepieciešams veikt atbilstošus grozījumus.</w:t>
            </w:r>
          </w:p>
          <w:p w14:paraId="5C82043D" w14:textId="0491E706" w:rsidR="00D53088" w:rsidRPr="00CA0D50" w:rsidRDefault="00D53088"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Papildus MK noteikumu projekts precizēts atbilstoši iebildumiem</w:t>
            </w:r>
            <w:r w:rsidR="00EF6FD1" w:rsidRPr="00CA0D50">
              <w:rPr>
                <w:rFonts w:ascii="Times New Roman" w:hAnsi="Times New Roman" w:cs="Times New Roman"/>
                <w:sz w:val="24"/>
                <w:szCs w:val="24"/>
                <w:shd w:val="clear" w:color="auto" w:fill="FFFFFF"/>
              </w:rPr>
              <w:t xml:space="preserve"> un priekšlikumiem</w:t>
            </w:r>
            <w:r w:rsidRPr="00CA0D50">
              <w:rPr>
                <w:rFonts w:ascii="Times New Roman" w:hAnsi="Times New Roman" w:cs="Times New Roman"/>
                <w:sz w:val="24"/>
                <w:szCs w:val="24"/>
                <w:shd w:val="clear" w:color="auto" w:fill="FFFFFF"/>
              </w:rPr>
              <w:t xml:space="preserve">, kas saņemti </w:t>
            </w:r>
            <w:r w:rsidR="00EF6FD1" w:rsidRPr="00CA0D50">
              <w:rPr>
                <w:rFonts w:ascii="Times New Roman" w:hAnsi="Times New Roman" w:cs="Times New Roman"/>
                <w:sz w:val="24"/>
                <w:szCs w:val="24"/>
                <w:shd w:val="clear" w:color="auto" w:fill="FFFFFF"/>
              </w:rPr>
              <w:t>saskaņošanas procesā par citiem MK noteikumu projektiem</w:t>
            </w:r>
            <w:r w:rsidRPr="00CA0D50">
              <w:rPr>
                <w:rFonts w:ascii="Times New Roman" w:hAnsi="Times New Roman" w:cs="Times New Roman"/>
                <w:sz w:val="24"/>
                <w:szCs w:val="24"/>
                <w:shd w:val="clear" w:color="auto" w:fill="FFFFFF"/>
              </w:rPr>
              <w:t xml:space="preserve"> par Labklājības ministrijas pārziņā esošo</w:t>
            </w:r>
            <w:r w:rsidR="00EF6FD1" w:rsidRPr="00CA0D50">
              <w:rPr>
                <w:rFonts w:ascii="Times New Roman" w:hAnsi="Times New Roman" w:cs="Times New Roman"/>
                <w:sz w:val="24"/>
                <w:szCs w:val="24"/>
                <w:shd w:val="clear" w:color="auto" w:fill="FFFFFF"/>
              </w:rPr>
              <w:t xml:space="preserve"> specifisko atbalsta mērķu īstenošanu.</w:t>
            </w:r>
          </w:p>
        </w:tc>
      </w:tr>
      <w:tr w:rsidR="00CC1A56" w:rsidRPr="00CA0D50" w14:paraId="430D5B1D" w14:textId="77777777" w:rsidTr="00922362">
        <w:trPr>
          <w:trHeight w:val="476"/>
        </w:trPr>
        <w:tc>
          <w:tcPr>
            <w:tcW w:w="224" w:type="pct"/>
          </w:tcPr>
          <w:p w14:paraId="510678D3" w14:textId="1E6A00FC" w:rsidR="00CC1A56" w:rsidRPr="00CA0D50" w:rsidRDefault="00CC1A56" w:rsidP="00BF662D">
            <w:pPr>
              <w:pStyle w:val="naiskr"/>
              <w:spacing w:before="0" w:beforeAutospacing="0" w:after="0" w:afterAutospacing="0"/>
              <w:ind w:left="57" w:right="57"/>
              <w:contextualSpacing/>
              <w:jc w:val="center"/>
            </w:pPr>
            <w:r w:rsidRPr="00CA0D50">
              <w:lastRenderedPageBreak/>
              <w:t>3.</w:t>
            </w:r>
          </w:p>
        </w:tc>
        <w:tc>
          <w:tcPr>
            <w:tcW w:w="1466" w:type="pct"/>
          </w:tcPr>
          <w:p w14:paraId="0056287A" w14:textId="77777777" w:rsidR="00CC1A56" w:rsidRPr="00CA0D50" w:rsidRDefault="00CC1A56" w:rsidP="00BF662D">
            <w:pPr>
              <w:pStyle w:val="naiskr"/>
              <w:spacing w:before="0" w:beforeAutospacing="0" w:after="0" w:afterAutospacing="0"/>
              <w:ind w:left="57" w:right="57"/>
              <w:contextualSpacing/>
            </w:pPr>
            <w:r w:rsidRPr="00CA0D50">
              <w:t>Projekta izstrādē iesaistītās institūcijas</w:t>
            </w:r>
          </w:p>
        </w:tc>
        <w:tc>
          <w:tcPr>
            <w:tcW w:w="3310" w:type="pct"/>
          </w:tcPr>
          <w:p w14:paraId="045B7111" w14:textId="06A1B377" w:rsidR="00382F6F" w:rsidRPr="00CA0D50" w:rsidRDefault="005E1FE1" w:rsidP="00BF662D">
            <w:pPr>
              <w:spacing w:after="0" w:line="240" w:lineRule="auto"/>
              <w:ind w:left="57" w:right="113"/>
              <w:contextualSpacing/>
              <w:jc w:val="both"/>
              <w:rPr>
                <w:rFonts w:ascii="Times New Roman" w:hAnsi="Times New Roman" w:cs="Times New Roman"/>
                <w:sz w:val="24"/>
                <w:szCs w:val="24"/>
                <w:shd w:val="clear" w:color="auto" w:fill="FFFFFF"/>
              </w:rPr>
            </w:pPr>
            <w:r w:rsidRPr="00CA0D50">
              <w:rPr>
                <w:rFonts w:ascii="Times New Roman" w:hAnsi="Times New Roman" w:cs="Times New Roman"/>
                <w:sz w:val="24"/>
                <w:szCs w:val="24"/>
                <w:shd w:val="clear" w:color="auto" w:fill="FFFFFF"/>
              </w:rPr>
              <w:t>MK noteikumu projekts šo jomu neskar.</w:t>
            </w:r>
          </w:p>
        </w:tc>
      </w:tr>
      <w:tr w:rsidR="00CC1A56" w:rsidRPr="00CA0D50" w14:paraId="3888F858" w14:textId="77777777" w:rsidTr="00922362">
        <w:tc>
          <w:tcPr>
            <w:tcW w:w="224" w:type="pct"/>
          </w:tcPr>
          <w:p w14:paraId="726D49C0" w14:textId="0CB86B9C" w:rsidR="00CC1A56" w:rsidRPr="00CA0D50" w:rsidRDefault="00CC1A56" w:rsidP="00BF662D">
            <w:pPr>
              <w:pStyle w:val="naiskr"/>
              <w:spacing w:before="0" w:beforeAutospacing="0" w:after="0" w:afterAutospacing="0"/>
              <w:ind w:left="57" w:right="57"/>
              <w:contextualSpacing/>
              <w:jc w:val="center"/>
            </w:pPr>
            <w:r w:rsidRPr="00CA0D50">
              <w:t>4.</w:t>
            </w:r>
          </w:p>
        </w:tc>
        <w:tc>
          <w:tcPr>
            <w:tcW w:w="1466" w:type="pct"/>
          </w:tcPr>
          <w:p w14:paraId="65B3391E" w14:textId="77777777" w:rsidR="00CC1A56" w:rsidRPr="00CA0D50" w:rsidRDefault="00CC1A56" w:rsidP="00BF662D">
            <w:pPr>
              <w:pStyle w:val="naiskr"/>
              <w:spacing w:before="0" w:beforeAutospacing="0" w:after="0" w:afterAutospacing="0"/>
              <w:ind w:left="57" w:right="57"/>
              <w:contextualSpacing/>
            </w:pPr>
            <w:r w:rsidRPr="00CA0D50">
              <w:t>Cita informācija</w:t>
            </w:r>
          </w:p>
        </w:tc>
        <w:tc>
          <w:tcPr>
            <w:tcW w:w="3310" w:type="pct"/>
          </w:tcPr>
          <w:p w14:paraId="27A3232B" w14:textId="230FC775" w:rsidR="00AB321F" w:rsidRPr="00CA0D50" w:rsidRDefault="005E1FE1" w:rsidP="00BF662D">
            <w:pPr>
              <w:spacing w:after="0" w:line="240" w:lineRule="auto"/>
              <w:ind w:left="57" w:right="113"/>
              <w:contextualSpacing/>
              <w:jc w:val="both"/>
              <w:rPr>
                <w:rFonts w:ascii="Times New Roman" w:hAnsi="Times New Roman" w:cs="Times New Roman"/>
                <w:color w:val="000000"/>
                <w:sz w:val="24"/>
                <w:szCs w:val="24"/>
              </w:rPr>
            </w:pPr>
            <w:r w:rsidRPr="00CA0D50">
              <w:rPr>
                <w:rFonts w:ascii="Times New Roman" w:hAnsi="Times New Roman" w:cs="Times New Roman"/>
                <w:sz w:val="24"/>
                <w:szCs w:val="24"/>
                <w:shd w:val="clear" w:color="auto" w:fill="FFFFFF"/>
              </w:rPr>
              <w:t>Nav.</w:t>
            </w:r>
          </w:p>
        </w:tc>
      </w:tr>
    </w:tbl>
    <w:p w14:paraId="1A4D22BE" w14:textId="77777777" w:rsidR="00F21E42" w:rsidRPr="00BF662D" w:rsidRDefault="00F21E42" w:rsidP="00BF662D">
      <w:pPr>
        <w:spacing w:after="0" w:line="240" w:lineRule="auto"/>
        <w:contextualSpacing/>
        <w:rPr>
          <w:rFonts w:ascii="Times New Roman" w:hAnsi="Times New Roman" w:cs="Times New Roman"/>
          <w:sz w:val="16"/>
          <w:szCs w:val="16"/>
          <w:highlight w:val="yellow"/>
        </w:rPr>
      </w:pPr>
    </w:p>
    <w:tbl>
      <w:tblPr>
        <w:tblpPr w:leftFromText="180" w:rightFromText="180" w:vertAnchor="text" w:horzAnchor="margin" w:tblpXSpec="center" w:tblpY="11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825"/>
        <w:gridCol w:w="6378"/>
      </w:tblGrid>
      <w:tr w:rsidR="00CC1A56" w:rsidRPr="00CA0D50" w14:paraId="0320F7F7" w14:textId="77777777" w:rsidTr="0089655E">
        <w:trPr>
          <w:trHeight w:val="556"/>
        </w:trPr>
        <w:tc>
          <w:tcPr>
            <w:tcW w:w="9634" w:type="dxa"/>
            <w:gridSpan w:val="3"/>
            <w:vAlign w:val="center"/>
          </w:tcPr>
          <w:p w14:paraId="5D20C248" w14:textId="77777777" w:rsidR="00CC1A56" w:rsidRPr="00CA0D50" w:rsidRDefault="00CC1A56" w:rsidP="00BF662D">
            <w:pPr>
              <w:pStyle w:val="naisnod"/>
              <w:spacing w:before="0" w:beforeAutospacing="0" w:after="0" w:afterAutospacing="0"/>
              <w:ind w:left="57" w:right="57"/>
              <w:contextualSpacing/>
              <w:jc w:val="center"/>
              <w:rPr>
                <w:b/>
              </w:rPr>
            </w:pPr>
            <w:r w:rsidRPr="00CA0D50">
              <w:rPr>
                <w:b/>
              </w:rPr>
              <w:t>II. Tiesību akta projekta ietekme uz sabiedrību, tautsaimniecības attīstību</w:t>
            </w:r>
          </w:p>
          <w:p w14:paraId="4CCA2CAE" w14:textId="77777777" w:rsidR="00CC1A56" w:rsidRPr="00CA0D50" w:rsidRDefault="00CC1A56" w:rsidP="00BF662D">
            <w:pPr>
              <w:pStyle w:val="naisnod"/>
              <w:spacing w:before="0" w:beforeAutospacing="0" w:after="0" w:afterAutospacing="0"/>
              <w:ind w:left="57" w:right="57"/>
              <w:contextualSpacing/>
              <w:jc w:val="center"/>
              <w:rPr>
                <w:b/>
              </w:rPr>
            </w:pPr>
            <w:r w:rsidRPr="00CA0D50">
              <w:rPr>
                <w:b/>
              </w:rPr>
              <w:t>un administratīvo slogu</w:t>
            </w:r>
          </w:p>
        </w:tc>
      </w:tr>
      <w:tr w:rsidR="00CC1A56" w:rsidRPr="00CA0D50" w14:paraId="7690B02F" w14:textId="77777777" w:rsidTr="00922362">
        <w:trPr>
          <w:trHeight w:val="467"/>
        </w:trPr>
        <w:tc>
          <w:tcPr>
            <w:tcW w:w="431" w:type="dxa"/>
          </w:tcPr>
          <w:p w14:paraId="22D56FA9" w14:textId="77777777" w:rsidR="00CC1A56" w:rsidRPr="00CA0D50" w:rsidRDefault="00CC1A56" w:rsidP="00BF662D">
            <w:pPr>
              <w:pStyle w:val="naiskr"/>
              <w:spacing w:before="0" w:beforeAutospacing="0" w:after="0" w:afterAutospacing="0"/>
              <w:ind w:left="57" w:right="57"/>
              <w:contextualSpacing/>
              <w:jc w:val="both"/>
            </w:pPr>
            <w:r w:rsidRPr="00CA0D50">
              <w:t>1.</w:t>
            </w:r>
          </w:p>
        </w:tc>
        <w:tc>
          <w:tcPr>
            <w:tcW w:w="2825" w:type="dxa"/>
          </w:tcPr>
          <w:p w14:paraId="71297153" w14:textId="77777777" w:rsidR="00CC1A56" w:rsidRPr="00CA0D50" w:rsidRDefault="00CC1A56" w:rsidP="00BF662D">
            <w:pPr>
              <w:pStyle w:val="naiskr"/>
              <w:spacing w:before="0" w:beforeAutospacing="0" w:after="0" w:afterAutospacing="0"/>
              <w:ind w:left="57" w:right="57"/>
              <w:contextualSpacing/>
            </w:pPr>
            <w:r w:rsidRPr="00CA0D50">
              <w:t>Sabiedrības mērķgrupas, kuras tiesiskais regulējums ietekmē vai varētu ietekmēt</w:t>
            </w:r>
          </w:p>
        </w:tc>
        <w:tc>
          <w:tcPr>
            <w:tcW w:w="6378" w:type="dxa"/>
          </w:tcPr>
          <w:p w14:paraId="5DED6035" w14:textId="065398E9" w:rsidR="00CC1A56" w:rsidRPr="00CA0D50" w:rsidRDefault="00F91BD8" w:rsidP="00BF662D">
            <w:pPr>
              <w:shd w:val="clear" w:color="auto" w:fill="FFFFFF"/>
              <w:spacing w:after="0" w:line="240" w:lineRule="auto"/>
              <w:ind w:left="57" w:right="113"/>
              <w:contextualSpacing/>
              <w:jc w:val="both"/>
              <w:rPr>
                <w:rFonts w:ascii="Times New Roman" w:hAnsi="Times New Roman" w:cs="Times New Roman"/>
                <w:sz w:val="24"/>
                <w:szCs w:val="24"/>
              </w:rPr>
            </w:pPr>
            <w:bookmarkStart w:id="1" w:name="p21"/>
            <w:bookmarkEnd w:id="1"/>
            <w:r w:rsidRPr="00CA0D50">
              <w:rPr>
                <w:rFonts w:ascii="Times New Roman" w:hAnsi="Times New Roman" w:cs="Times New Roman"/>
                <w:sz w:val="24"/>
                <w:szCs w:val="24"/>
              </w:rPr>
              <w:t xml:space="preserve">Nodarbinātības valsts aģentūras </w:t>
            </w:r>
            <w:r w:rsidR="00FD0C6A" w:rsidRPr="00CA0D50">
              <w:rPr>
                <w:rFonts w:ascii="Times New Roman" w:hAnsi="Times New Roman" w:cs="Times New Roman"/>
                <w:sz w:val="24"/>
                <w:szCs w:val="24"/>
              </w:rPr>
              <w:t xml:space="preserve">(turpmāk – NVA) </w:t>
            </w:r>
            <w:r w:rsidRPr="00CA0D50">
              <w:rPr>
                <w:rFonts w:ascii="Times New Roman" w:hAnsi="Times New Roman" w:cs="Times New Roman"/>
                <w:sz w:val="24"/>
                <w:szCs w:val="24"/>
              </w:rPr>
              <w:t xml:space="preserve">reģistrēti bezdarbnieki un darba meklētāji, īpaši ar zemu un darba tirgus prasībām neatbilstošu prasmju un kvalifikācijas līmeni (atbilstoši </w:t>
            </w:r>
            <w:r w:rsidR="00797F3E" w:rsidRPr="00CA0D50">
              <w:rPr>
                <w:rFonts w:ascii="Times New Roman" w:hAnsi="Times New Roman" w:cs="Times New Roman"/>
                <w:sz w:val="24"/>
                <w:szCs w:val="24"/>
              </w:rPr>
              <w:t>NVA</w:t>
            </w:r>
            <w:r w:rsidRPr="00CA0D50">
              <w:rPr>
                <w:rFonts w:ascii="Times New Roman" w:hAnsi="Times New Roman" w:cs="Times New Roman"/>
                <w:sz w:val="24"/>
                <w:szCs w:val="24"/>
              </w:rPr>
              <w:t xml:space="preserve"> statistikas datiem – reģistrētais bezdarba līmenis valstī </w:t>
            </w:r>
            <w:proofErr w:type="gramStart"/>
            <w:r w:rsidRPr="00CA0D50">
              <w:rPr>
                <w:rFonts w:ascii="Times New Roman" w:hAnsi="Times New Roman" w:cs="Times New Roman"/>
                <w:sz w:val="24"/>
                <w:szCs w:val="24"/>
              </w:rPr>
              <w:t>201</w:t>
            </w:r>
            <w:r w:rsidR="005E1FE1" w:rsidRPr="00CA0D50">
              <w:rPr>
                <w:rFonts w:ascii="Times New Roman" w:hAnsi="Times New Roman" w:cs="Times New Roman"/>
                <w:sz w:val="24"/>
                <w:szCs w:val="24"/>
              </w:rPr>
              <w:t>5</w:t>
            </w:r>
            <w:r w:rsidRPr="00CA0D50">
              <w:rPr>
                <w:rFonts w:ascii="Times New Roman" w:hAnsi="Times New Roman" w:cs="Times New Roman"/>
                <w:sz w:val="24"/>
                <w:szCs w:val="24"/>
              </w:rPr>
              <w:t>.gada</w:t>
            </w:r>
            <w:proofErr w:type="gramEnd"/>
            <w:r w:rsidRPr="00CA0D50">
              <w:rPr>
                <w:rFonts w:ascii="Times New Roman" w:hAnsi="Times New Roman" w:cs="Times New Roman"/>
                <w:sz w:val="24"/>
                <w:szCs w:val="24"/>
              </w:rPr>
              <w:t xml:space="preserve"> </w:t>
            </w:r>
            <w:r w:rsidR="005E1FE1" w:rsidRPr="00CA0D50">
              <w:rPr>
                <w:rFonts w:ascii="Times New Roman" w:hAnsi="Times New Roman" w:cs="Times New Roman"/>
                <w:sz w:val="24"/>
                <w:szCs w:val="24"/>
              </w:rPr>
              <w:t>31.martā</w:t>
            </w:r>
            <w:r w:rsidR="00C64158" w:rsidRPr="00CA0D50">
              <w:rPr>
                <w:rFonts w:ascii="Times New Roman" w:hAnsi="Times New Roman" w:cs="Times New Roman"/>
                <w:sz w:val="24"/>
                <w:szCs w:val="24"/>
              </w:rPr>
              <w:t xml:space="preserve"> </w:t>
            </w:r>
            <w:r w:rsidRPr="00CA0D50">
              <w:rPr>
                <w:rFonts w:ascii="Times New Roman" w:hAnsi="Times New Roman" w:cs="Times New Roman"/>
                <w:sz w:val="24"/>
                <w:szCs w:val="24"/>
              </w:rPr>
              <w:t xml:space="preserve">bija </w:t>
            </w:r>
            <w:r w:rsidR="005E1FE1" w:rsidRPr="00CA0D50">
              <w:rPr>
                <w:rFonts w:ascii="Times New Roman" w:hAnsi="Times New Roman" w:cs="Times New Roman"/>
                <w:sz w:val="24"/>
                <w:szCs w:val="24"/>
              </w:rPr>
              <w:t>9</w:t>
            </w:r>
            <w:r w:rsidRPr="00CA0D50">
              <w:rPr>
                <w:rFonts w:ascii="Times New Roman" w:hAnsi="Times New Roman" w:cs="Times New Roman"/>
                <w:sz w:val="24"/>
                <w:szCs w:val="24"/>
              </w:rPr>
              <w:t>,</w:t>
            </w:r>
            <w:r w:rsidR="00C64158" w:rsidRPr="00CA0D50">
              <w:rPr>
                <w:rFonts w:ascii="Times New Roman" w:hAnsi="Times New Roman" w:cs="Times New Roman"/>
                <w:sz w:val="24"/>
                <w:szCs w:val="24"/>
              </w:rPr>
              <w:t>2</w:t>
            </w:r>
            <w:r w:rsidRPr="00CA0D50">
              <w:rPr>
                <w:rFonts w:ascii="Times New Roman" w:hAnsi="Times New Roman" w:cs="Times New Roman"/>
                <w:sz w:val="24"/>
                <w:szCs w:val="24"/>
              </w:rPr>
              <w:t xml:space="preserve">%). </w:t>
            </w:r>
          </w:p>
        </w:tc>
      </w:tr>
      <w:tr w:rsidR="00CC1A56" w:rsidRPr="00CA0D50" w14:paraId="6F8CAE29" w14:textId="77777777" w:rsidTr="00922362">
        <w:trPr>
          <w:trHeight w:val="523"/>
        </w:trPr>
        <w:tc>
          <w:tcPr>
            <w:tcW w:w="431" w:type="dxa"/>
          </w:tcPr>
          <w:p w14:paraId="27C40099" w14:textId="77777777" w:rsidR="00CC1A56" w:rsidRPr="00CA0D50" w:rsidRDefault="00CC1A56" w:rsidP="00BF662D">
            <w:pPr>
              <w:pStyle w:val="naiskr"/>
              <w:spacing w:before="0" w:beforeAutospacing="0" w:after="0" w:afterAutospacing="0"/>
              <w:ind w:left="57" w:right="57"/>
              <w:contextualSpacing/>
              <w:jc w:val="both"/>
            </w:pPr>
            <w:r w:rsidRPr="00CA0D50">
              <w:t>2.</w:t>
            </w:r>
          </w:p>
        </w:tc>
        <w:tc>
          <w:tcPr>
            <w:tcW w:w="2825" w:type="dxa"/>
          </w:tcPr>
          <w:p w14:paraId="2557BB6F" w14:textId="77777777" w:rsidR="00CC1A56" w:rsidRPr="00CA0D50" w:rsidRDefault="00CC1A56" w:rsidP="00BF662D">
            <w:pPr>
              <w:pStyle w:val="naiskr"/>
              <w:spacing w:before="0" w:beforeAutospacing="0" w:after="0" w:afterAutospacing="0"/>
              <w:ind w:left="57" w:right="57"/>
              <w:contextualSpacing/>
            </w:pPr>
            <w:r w:rsidRPr="00CA0D50">
              <w:t>Tiesiskā regulējuma ietekme uz tautsaimniecību un administratīvo slogu</w:t>
            </w:r>
          </w:p>
        </w:tc>
        <w:tc>
          <w:tcPr>
            <w:tcW w:w="6378" w:type="dxa"/>
          </w:tcPr>
          <w:p w14:paraId="31BE6099" w14:textId="3ADDDE94" w:rsidR="004F135B" w:rsidRPr="00CA0D50" w:rsidRDefault="005E1FE1" w:rsidP="00BF662D">
            <w:pPr>
              <w:shd w:val="clear" w:color="auto" w:fill="FFFFFF"/>
              <w:spacing w:after="0" w:line="240" w:lineRule="auto"/>
              <w:ind w:left="57" w:right="113"/>
              <w:contextualSpacing/>
              <w:jc w:val="both"/>
              <w:rPr>
                <w:rFonts w:ascii="Times New Roman" w:hAnsi="Times New Roman" w:cs="Times New Roman"/>
                <w:sz w:val="24"/>
                <w:szCs w:val="24"/>
                <w:lang w:eastAsia="lv-LV"/>
              </w:rPr>
            </w:pPr>
            <w:r w:rsidRPr="00CA0D50">
              <w:rPr>
                <w:rFonts w:ascii="Times New Roman" w:hAnsi="Times New Roman" w:cs="Times New Roman"/>
                <w:sz w:val="24"/>
                <w:szCs w:val="24"/>
              </w:rPr>
              <w:t>Kopumā sabiedrības grupām MK noteikumu projekta tiesiskais regulējums nemaina tiesības un pienākumus, kā arī veicamās darbības. Vienlaikus MK notiekumu projekts samazina administratīvo slogu finansējuma saņēmējam un ES fondu uzraugošajām iestādēm.</w:t>
            </w:r>
          </w:p>
        </w:tc>
      </w:tr>
      <w:tr w:rsidR="00CC1A56" w:rsidRPr="00CA0D50" w14:paraId="61914012" w14:textId="77777777" w:rsidTr="00922362">
        <w:trPr>
          <w:trHeight w:val="523"/>
        </w:trPr>
        <w:tc>
          <w:tcPr>
            <w:tcW w:w="431" w:type="dxa"/>
          </w:tcPr>
          <w:p w14:paraId="03026045" w14:textId="77777777" w:rsidR="00CC1A56" w:rsidRPr="00CA0D50" w:rsidRDefault="00CC1A56" w:rsidP="00BF662D">
            <w:pPr>
              <w:pStyle w:val="naiskr"/>
              <w:spacing w:before="0" w:beforeAutospacing="0" w:after="0" w:afterAutospacing="0"/>
              <w:ind w:left="57" w:right="57"/>
              <w:contextualSpacing/>
              <w:jc w:val="both"/>
            </w:pPr>
            <w:r w:rsidRPr="00CA0D50">
              <w:t>3.</w:t>
            </w:r>
          </w:p>
        </w:tc>
        <w:tc>
          <w:tcPr>
            <w:tcW w:w="2825" w:type="dxa"/>
          </w:tcPr>
          <w:p w14:paraId="0D33F6D5" w14:textId="77777777" w:rsidR="00CC1A56" w:rsidRPr="00CA0D50" w:rsidRDefault="00CC1A56" w:rsidP="00BF662D">
            <w:pPr>
              <w:pStyle w:val="naiskr"/>
              <w:spacing w:before="0" w:beforeAutospacing="0" w:after="0" w:afterAutospacing="0"/>
              <w:ind w:left="57" w:right="57"/>
              <w:contextualSpacing/>
            </w:pPr>
            <w:r w:rsidRPr="00CA0D50">
              <w:t>Administratīvo izmaksu monetārs novērtējums</w:t>
            </w:r>
          </w:p>
        </w:tc>
        <w:tc>
          <w:tcPr>
            <w:tcW w:w="6378" w:type="dxa"/>
          </w:tcPr>
          <w:p w14:paraId="1D9112F7" w14:textId="23B316E0" w:rsidR="00CC1A56" w:rsidRPr="00CA0D50" w:rsidRDefault="005E1FE1" w:rsidP="00BF662D">
            <w:pPr>
              <w:shd w:val="clear" w:color="auto" w:fill="FFFFFF"/>
              <w:spacing w:after="0" w:line="240" w:lineRule="auto"/>
              <w:ind w:left="57" w:right="113"/>
              <w:contextualSpacing/>
              <w:jc w:val="both"/>
              <w:rPr>
                <w:rFonts w:ascii="Times New Roman" w:hAnsi="Times New Roman" w:cs="Times New Roman"/>
                <w:sz w:val="24"/>
                <w:szCs w:val="24"/>
              </w:rPr>
            </w:pPr>
            <w:r w:rsidRPr="00CA0D50">
              <w:rPr>
                <w:rFonts w:ascii="Times New Roman" w:hAnsi="Times New Roman" w:cs="Times New Roman"/>
                <w:sz w:val="24"/>
                <w:szCs w:val="24"/>
              </w:rPr>
              <w:t>MK noteikumu projekts šo jomu neskar.</w:t>
            </w:r>
          </w:p>
        </w:tc>
      </w:tr>
      <w:tr w:rsidR="00CC1A56" w:rsidRPr="00CA0D50" w14:paraId="474C7997" w14:textId="77777777" w:rsidTr="00922362">
        <w:trPr>
          <w:trHeight w:val="357"/>
        </w:trPr>
        <w:tc>
          <w:tcPr>
            <w:tcW w:w="431" w:type="dxa"/>
          </w:tcPr>
          <w:p w14:paraId="1C53E5E5" w14:textId="77777777" w:rsidR="00CC1A56" w:rsidRPr="00CA0D50" w:rsidRDefault="00CC1A56" w:rsidP="00BF662D">
            <w:pPr>
              <w:pStyle w:val="naiskr"/>
              <w:spacing w:before="0" w:beforeAutospacing="0" w:after="0" w:afterAutospacing="0"/>
              <w:ind w:left="57" w:right="57"/>
              <w:contextualSpacing/>
              <w:jc w:val="both"/>
            </w:pPr>
            <w:r w:rsidRPr="00CA0D50">
              <w:t>4.</w:t>
            </w:r>
          </w:p>
        </w:tc>
        <w:tc>
          <w:tcPr>
            <w:tcW w:w="2825" w:type="dxa"/>
          </w:tcPr>
          <w:p w14:paraId="59A73AD6" w14:textId="77777777" w:rsidR="00CC1A56" w:rsidRPr="00CA0D50" w:rsidRDefault="00CC1A56" w:rsidP="00BF662D">
            <w:pPr>
              <w:pStyle w:val="naiskr"/>
              <w:spacing w:before="0" w:beforeAutospacing="0" w:after="0" w:afterAutospacing="0"/>
              <w:ind w:left="57" w:right="57"/>
              <w:contextualSpacing/>
            </w:pPr>
            <w:r w:rsidRPr="00CA0D50">
              <w:t>Cita informācija</w:t>
            </w:r>
          </w:p>
        </w:tc>
        <w:tc>
          <w:tcPr>
            <w:tcW w:w="6378" w:type="dxa"/>
          </w:tcPr>
          <w:p w14:paraId="7F8909DE" w14:textId="77777777" w:rsidR="00CC1A56" w:rsidRPr="00CA0D50" w:rsidRDefault="007F44BF" w:rsidP="00BF662D">
            <w:pPr>
              <w:shd w:val="clear" w:color="auto" w:fill="FFFFFF"/>
              <w:spacing w:after="0" w:line="240" w:lineRule="auto"/>
              <w:ind w:left="57" w:right="113"/>
              <w:contextualSpacing/>
              <w:jc w:val="both"/>
              <w:rPr>
                <w:rFonts w:ascii="Times New Roman" w:hAnsi="Times New Roman" w:cs="Times New Roman"/>
                <w:sz w:val="24"/>
                <w:szCs w:val="24"/>
              </w:rPr>
            </w:pPr>
            <w:r w:rsidRPr="00CA0D50">
              <w:rPr>
                <w:rFonts w:ascii="Times New Roman" w:hAnsi="Times New Roman" w:cs="Times New Roman"/>
                <w:sz w:val="24"/>
                <w:szCs w:val="24"/>
              </w:rPr>
              <w:t>Nav.</w:t>
            </w:r>
          </w:p>
        </w:tc>
      </w:tr>
    </w:tbl>
    <w:p w14:paraId="0C7D5738" w14:textId="77777777" w:rsidR="00F21E42" w:rsidRPr="00CA0D50" w:rsidRDefault="00F21E42" w:rsidP="00BF662D">
      <w:pPr>
        <w:spacing w:after="0" w:line="240" w:lineRule="auto"/>
        <w:contextualSpacing/>
        <w:rPr>
          <w:rFonts w:ascii="Times New Roman" w:hAnsi="Times New Roman" w:cs="Times New Roman"/>
          <w:sz w:val="24"/>
          <w:szCs w:val="24"/>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86"/>
        <w:gridCol w:w="6378"/>
      </w:tblGrid>
      <w:tr w:rsidR="00CC1A56" w:rsidRPr="00CA0D50" w14:paraId="625465D7" w14:textId="77777777" w:rsidTr="0089655E">
        <w:trPr>
          <w:trHeight w:val="461"/>
          <w:jc w:val="center"/>
        </w:trPr>
        <w:tc>
          <w:tcPr>
            <w:tcW w:w="9634" w:type="dxa"/>
            <w:gridSpan w:val="3"/>
            <w:vAlign w:val="center"/>
          </w:tcPr>
          <w:p w14:paraId="40A3ADEE" w14:textId="77777777" w:rsidR="00CC1A56" w:rsidRPr="00CA0D50" w:rsidRDefault="00CC1A56" w:rsidP="00BF662D">
            <w:pPr>
              <w:pStyle w:val="naisnod"/>
              <w:spacing w:before="0" w:beforeAutospacing="0" w:after="0" w:afterAutospacing="0"/>
              <w:contextualSpacing/>
              <w:jc w:val="center"/>
              <w:rPr>
                <w:b/>
              </w:rPr>
            </w:pPr>
            <w:r w:rsidRPr="00CA0D50">
              <w:br w:type="page"/>
            </w:r>
            <w:r w:rsidRPr="00CA0D50">
              <w:rPr>
                <w:b/>
              </w:rPr>
              <w:t>IV. Tiesību akta projekta ietekme uz spēkā esošo tiesību normu sistēmu</w:t>
            </w:r>
          </w:p>
        </w:tc>
      </w:tr>
      <w:tr w:rsidR="00CC1A56" w:rsidRPr="00CA0D50" w14:paraId="547E5DA0" w14:textId="77777777" w:rsidTr="00922362">
        <w:trPr>
          <w:jc w:val="center"/>
        </w:trPr>
        <w:tc>
          <w:tcPr>
            <w:tcW w:w="470" w:type="dxa"/>
          </w:tcPr>
          <w:p w14:paraId="5AD3D5E6" w14:textId="77777777" w:rsidR="00CC1A56" w:rsidRPr="00CA0D50" w:rsidRDefault="00CC1A56" w:rsidP="00BF662D">
            <w:pPr>
              <w:pStyle w:val="naiskr"/>
              <w:tabs>
                <w:tab w:val="left" w:pos="2628"/>
              </w:tabs>
              <w:spacing w:before="0" w:beforeAutospacing="0" w:after="0" w:afterAutospacing="0"/>
              <w:contextualSpacing/>
              <w:jc w:val="both"/>
              <w:rPr>
                <w:iCs/>
              </w:rPr>
            </w:pPr>
            <w:r w:rsidRPr="00CA0D50">
              <w:rPr>
                <w:iCs/>
              </w:rPr>
              <w:t>1.</w:t>
            </w:r>
          </w:p>
        </w:tc>
        <w:tc>
          <w:tcPr>
            <w:tcW w:w="2786" w:type="dxa"/>
          </w:tcPr>
          <w:p w14:paraId="0BC1CEDF" w14:textId="77777777" w:rsidR="00CC1A56" w:rsidRPr="00CA0D50" w:rsidRDefault="00CC1A56" w:rsidP="00BF662D">
            <w:pPr>
              <w:pStyle w:val="naiskr"/>
              <w:tabs>
                <w:tab w:val="left" w:pos="2628"/>
              </w:tabs>
              <w:spacing w:before="0" w:beforeAutospacing="0" w:after="0" w:afterAutospacing="0"/>
              <w:contextualSpacing/>
              <w:jc w:val="both"/>
              <w:rPr>
                <w:iCs/>
              </w:rPr>
            </w:pPr>
            <w:r w:rsidRPr="00CA0D50">
              <w:t>Nepieciešamie saistītie tiesību aktu projekti</w:t>
            </w:r>
          </w:p>
        </w:tc>
        <w:tc>
          <w:tcPr>
            <w:tcW w:w="6378" w:type="dxa"/>
          </w:tcPr>
          <w:p w14:paraId="2529ED39" w14:textId="1F5BDFE9" w:rsidR="00CC1A56" w:rsidRPr="00CA0D50" w:rsidRDefault="005E1FE1" w:rsidP="00BF662D">
            <w:pPr>
              <w:shd w:val="clear" w:color="auto" w:fill="FFFFFF"/>
              <w:spacing w:after="0" w:line="240" w:lineRule="auto"/>
              <w:contextualSpacing/>
              <w:jc w:val="both"/>
              <w:rPr>
                <w:rFonts w:ascii="Times New Roman" w:hAnsi="Times New Roman" w:cs="Times New Roman"/>
                <w:color w:val="000000"/>
                <w:sz w:val="24"/>
                <w:szCs w:val="24"/>
                <w:lang w:eastAsia="lv-LV"/>
              </w:rPr>
            </w:pPr>
            <w:r w:rsidRPr="00CA0D50">
              <w:rPr>
                <w:rFonts w:ascii="Times New Roman" w:hAnsi="Times New Roman" w:cs="Times New Roman"/>
                <w:sz w:val="24"/>
                <w:szCs w:val="24"/>
              </w:rPr>
              <w:t xml:space="preserve">MK noteikumu projekts izstrādāts atbilstoši Labklājības ministrijas rosinātajiem grozījumiem </w:t>
            </w:r>
            <w:hyperlink r:id="rId8" w:history="1">
              <w:r w:rsidR="00FD0C6A" w:rsidRPr="00CA0D50">
                <w:rPr>
                  <w:rFonts w:ascii="Times New Roman" w:hAnsi="Times New Roman" w:cs="Times New Roman"/>
                  <w:sz w:val="24"/>
                  <w:szCs w:val="24"/>
                </w:rPr>
                <w:t xml:space="preserve">MK </w:t>
              </w:r>
              <w:proofErr w:type="gramStart"/>
              <w:r w:rsidR="00FD0C6A" w:rsidRPr="00CA0D50">
                <w:rPr>
                  <w:rFonts w:ascii="Times New Roman" w:hAnsi="Times New Roman" w:cs="Times New Roman"/>
                  <w:sz w:val="24"/>
                  <w:szCs w:val="24"/>
                </w:rPr>
                <w:t>2011.gada</w:t>
              </w:r>
              <w:proofErr w:type="gramEnd"/>
              <w:r w:rsidR="00FD0C6A" w:rsidRPr="00CA0D50">
                <w:rPr>
                  <w:rFonts w:ascii="Times New Roman" w:hAnsi="Times New Roman" w:cs="Times New Roman"/>
                  <w:sz w:val="24"/>
                  <w:szCs w:val="24"/>
                </w:rPr>
                <w:t xml:space="preserve"> 25.janvāra noteikumos Nr.75 “Noteikumi par aktīvo nodarbinātības pasākumu un preventīvo bezdarba samazināšanas pasākumu </w:t>
              </w:r>
              <w:r w:rsidR="00FD0C6A" w:rsidRPr="00CA0D50">
                <w:rPr>
                  <w:rFonts w:ascii="Times New Roman" w:hAnsi="Times New Roman" w:cs="Times New Roman"/>
                  <w:sz w:val="24"/>
                  <w:szCs w:val="24"/>
                </w:rPr>
                <w:lastRenderedPageBreak/>
                <w:t>organizēšanas un finansēšanas kārtību un pasākumu īstenotāju izvēles principiem</w:t>
              </w:r>
            </w:hyperlink>
            <w:r w:rsidR="00FD0C6A" w:rsidRPr="00CA0D50">
              <w:rPr>
                <w:rFonts w:ascii="Times New Roman" w:hAnsi="Times New Roman" w:cs="Times New Roman"/>
                <w:sz w:val="24"/>
                <w:szCs w:val="24"/>
              </w:rPr>
              <w:t>” (izsludināts Valsts sekretāru sanāksmē 2014.gada 27.novembrī, VSS-1072)</w:t>
            </w:r>
            <w:r w:rsidRPr="00CA0D50">
              <w:rPr>
                <w:rFonts w:ascii="Times New Roman" w:hAnsi="Times New Roman" w:cs="Times New Roman"/>
                <w:sz w:val="24"/>
                <w:szCs w:val="24"/>
              </w:rPr>
              <w:t>.</w:t>
            </w:r>
          </w:p>
        </w:tc>
      </w:tr>
      <w:tr w:rsidR="00CC1A56" w:rsidRPr="00CA0D50" w14:paraId="0FF5BEF5" w14:textId="77777777" w:rsidTr="00922362">
        <w:trPr>
          <w:jc w:val="center"/>
        </w:trPr>
        <w:tc>
          <w:tcPr>
            <w:tcW w:w="470" w:type="dxa"/>
          </w:tcPr>
          <w:p w14:paraId="0EDAACA1" w14:textId="77777777" w:rsidR="00CC1A56" w:rsidRPr="00CA0D50" w:rsidRDefault="00CC1A56" w:rsidP="00BF662D">
            <w:pPr>
              <w:pStyle w:val="naiskr"/>
              <w:tabs>
                <w:tab w:val="left" w:pos="2628"/>
              </w:tabs>
              <w:spacing w:before="0" w:beforeAutospacing="0" w:after="0" w:afterAutospacing="0"/>
              <w:contextualSpacing/>
              <w:jc w:val="both"/>
              <w:rPr>
                <w:iCs/>
              </w:rPr>
            </w:pPr>
            <w:r w:rsidRPr="00CA0D50">
              <w:rPr>
                <w:iCs/>
              </w:rPr>
              <w:lastRenderedPageBreak/>
              <w:t>2.</w:t>
            </w:r>
          </w:p>
        </w:tc>
        <w:tc>
          <w:tcPr>
            <w:tcW w:w="2786" w:type="dxa"/>
          </w:tcPr>
          <w:p w14:paraId="761D465F" w14:textId="77777777" w:rsidR="00CC1A56" w:rsidRPr="00CA0D50" w:rsidRDefault="00CC1A56" w:rsidP="00BF662D">
            <w:pPr>
              <w:pStyle w:val="naiskr"/>
              <w:tabs>
                <w:tab w:val="left" w:pos="2628"/>
              </w:tabs>
              <w:spacing w:before="0" w:beforeAutospacing="0" w:after="0" w:afterAutospacing="0"/>
              <w:contextualSpacing/>
              <w:jc w:val="both"/>
            </w:pPr>
            <w:r w:rsidRPr="00CA0D50">
              <w:t>Atbildīgā institūcija</w:t>
            </w:r>
          </w:p>
        </w:tc>
        <w:tc>
          <w:tcPr>
            <w:tcW w:w="6378" w:type="dxa"/>
          </w:tcPr>
          <w:p w14:paraId="5C2198F4" w14:textId="77777777" w:rsidR="00CC1A56" w:rsidRPr="00CA0D50" w:rsidRDefault="0055242A" w:rsidP="00BF662D">
            <w:pPr>
              <w:shd w:val="clear" w:color="auto" w:fill="FFFFFF"/>
              <w:spacing w:after="0" w:line="240" w:lineRule="auto"/>
              <w:contextualSpacing/>
              <w:jc w:val="both"/>
              <w:rPr>
                <w:rFonts w:ascii="Times New Roman" w:hAnsi="Times New Roman" w:cs="Times New Roman"/>
                <w:color w:val="000000"/>
                <w:sz w:val="24"/>
                <w:szCs w:val="24"/>
                <w:lang w:eastAsia="lv-LV"/>
              </w:rPr>
            </w:pPr>
            <w:r w:rsidRPr="00CA0D50">
              <w:rPr>
                <w:rFonts w:ascii="Times New Roman" w:hAnsi="Times New Roman" w:cs="Times New Roman"/>
                <w:sz w:val="24"/>
                <w:szCs w:val="24"/>
              </w:rPr>
              <w:t>Labklājības ministrija</w:t>
            </w:r>
          </w:p>
        </w:tc>
      </w:tr>
      <w:tr w:rsidR="00CC1A56" w:rsidRPr="00CA0D50" w14:paraId="67DD2255" w14:textId="77777777" w:rsidTr="00922362">
        <w:trPr>
          <w:jc w:val="center"/>
        </w:trPr>
        <w:tc>
          <w:tcPr>
            <w:tcW w:w="470" w:type="dxa"/>
          </w:tcPr>
          <w:p w14:paraId="61AB6936" w14:textId="77777777" w:rsidR="00CC1A56" w:rsidRPr="00CA0D50" w:rsidRDefault="00CC1A56" w:rsidP="00BF662D">
            <w:pPr>
              <w:pStyle w:val="naiskr"/>
              <w:tabs>
                <w:tab w:val="left" w:pos="2628"/>
              </w:tabs>
              <w:spacing w:before="0" w:beforeAutospacing="0" w:after="0" w:afterAutospacing="0"/>
              <w:contextualSpacing/>
              <w:jc w:val="both"/>
              <w:rPr>
                <w:iCs/>
              </w:rPr>
            </w:pPr>
            <w:r w:rsidRPr="00CA0D50">
              <w:rPr>
                <w:iCs/>
              </w:rPr>
              <w:t>3.</w:t>
            </w:r>
          </w:p>
        </w:tc>
        <w:tc>
          <w:tcPr>
            <w:tcW w:w="2786" w:type="dxa"/>
          </w:tcPr>
          <w:p w14:paraId="07F01CE7" w14:textId="77777777" w:rsidR="00CC1A56" w:rsidRPr="00CA0D50" w:rsidRDefault="00CC1A56" w:rsidP="00BF662D">
            <w:pPr>
              <w:pStyle w:val="naiskr"/>
              <w:tabs>
                <w:tab w:val="left" w:pos="2628"/>
              </w:tabs>
              <w:spacing w:before="0" w:beforeAutospacing="0" w:after="0" w:afterAutospacing="0"/>
              <w:contextualSpacing/>
              <w:jc w:val="both"/>
              <w:rPr>
                <w:iCs/>
              </w:rPr>
            </w:pPr>
            <w:r w:rsidRPr="00CA0D50">
              <w:t>Cita informācija</w:t>
            </w:r>
          </w:p>
        </w:tc>
        <w:tc>
          <w:tcPr>
            <w:tcW w:w="6378" w:type="dxa"/>
          </w:tcPr>
          <w:p w14:paraId="21918D0E" w14:textId="43A87D7C" w:rsidR="00CC1A56" w:rsidRPr="00CA0D50" w:rsidRDefault="00922362" w:rsidP="00BF662D">
            <w:pPr>
              <w:pStyle w:val="naiskr"/>
              <w:tabs>
                <w:tab w:val="left" w:pos="2628"/>
              </w:tabs>
              <w:spacing w:before="0" w:beforeAutospacing="0" w:after="0" w:afterAutospacing="0"/>
              <w:contextualSpacing/>
              <w:jc w:val="both"/>
              <w:rPr>
                <w:iCs/>
              </w:rPr>
            </w:pPr>
            <w:r>
              <w:rPr>
                <w:iCs/>
              </w:rPr>
              <w:t>Nav.</w:t>
            </w:r>
          </w:p>
        </w:tc>
      </w:tr>
    </w:tbl>
    <w:p w14:paraId="5AD7FE1D" w14:textId="77777777" w:rsidR="00CA0D50" w:rsidRPr="00CA0D50" w:rsidRDefault="00CA0D50" w:rsidP="00BF662D">
      <w:pPr>
        <w:spacing w:after="0" w:line="240" w:lineRule="auto"/>
        <w:contextualSpacing/>
        <w:rPr>
          <w:rFonts w:ascii="Times New Roman" w:hAnsi="Times New Roman" w:cs="Times New Roman"/>
          <w:sz w:val="24"/>
          <w:szCs w:val="24"/>
        </w:rPr>
      </w:pPr>
    </w:p>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1"/>
        <w:gridCol w:w="2835"/>
        <w:gridCol w:w="6415"/>
      </w:tblGrid>
      <w:tr w:rsidR="00CA0D50" w:rsidRPr="00CA0D50" w14:paraId="19766C35" w14:textId="77777777" w:rsidTr="00CA0D50">
        <w:trPr>
          <w:trHeight w:val="421"/>
          <w:jc w:val="center"/>
        </w:trPr>
        <w:tc>
          <w:tcPr>
            <w:tcW w:w="9671" w:type="dxa"/>
            <w:gridSpan w:val="3"/>
            <w:vAlign w:val="center"/>
          </w:tcPr>
          <w:p w14:paraId="6356F15D" w14:textId="77777777" w:rsidR="00CA0D50" w:rsidRPr="00CA0D50" w:rsidRDefault="00CA0D50" w:rsidP="00BF662D">
            <w:pPr>
              <w:pStyle w:val="naisnod"/>
              <w:spacing w:before="0" w:beforeAutospacing="0" w:after="0" w:afterAutospacing="0"/>
              <w:ind w:left="57" w:right="57"/>
              <w:contextualSpacing/>
              <w:jc w:val="center"/>
              <w:rPr>
                <w:rFonts w:eastAsiaTheme="minorHAnsi"/>
                <w:b/>
                <w:lang w:eastAsia="en-US"/>
              </w:rPr>
            </w:pPr>
            <w:r w:rsidRPr="00CA0D50">
              <w:rPr>
                <w:rFonts w:eastAsiaTheme="minorHAnsi"/>
                <w:b/>
                <w:lang w:eastAsia="en-US"/>
              </w:rPr>
              <w:t>VI. Sabiedrības līdzdalība un komunikācijas aktivitātes</w:t>
            </w:r>
          </w:p>
        </w:tc>
      </w:tr>
      <w:tr w:rsidR="00CA0D50" w:rsidRPr="00CA0D50" w14:paraId="1FC09178" w14:textId="77777777" w:rsidTr="00922362">
        <w:trPr>
          <w:trHeight w:val="553"/>
          <w:jc w:val="center"/>
        </w:trPr>
        <w:tc>
          <w:tcPr>
            <w:tcW w:w="421" w:type="dxa"/>
          </w:tcPr>
          <w:p w14:paraId="6F21E48C" w14:textId="77777777" w:rsidR="00CA0D50" w:rsidRPr="00CA0D50" w:rsidRDefault="00CA0D50" w:rsidP="00BF662D">
            <w:pPr>
              <w:spacing w:after="0" w:line="240" w:lineRule="auto"/>
              <w:ind w:left="57" w:right="57"/>
              <w:contextualSpacing/>
              <w:jc w:val="both"/>
              <w:rPr>
                <w:rFonts w:ascii="Times New Roman" w:hAnsi="Times New Roman" w:cs="Times New Roman"/>
                <w:sz w:val="24"/>
                <w:szCs w:val="24"/>
              </w:rPr>
            </w:pPr>
            <w:r w:rsidRPr="00CA0D50">
              <w:rPr>
                <w:rFonts w:ascii="Times New Roman" w:hAnsi="Times New Roman" w:cs="Times New Roman"/>
                <w:sz w:val="24"/>
                <w:szCs w:val="24"/>
              </w:rPr>
              <w:t>1.</w:t>
            </w:r>
          </w:p>
        </w:tc>
        <w:tc>
          <w:tcPr>
            <w:tcW w:w="2835" w:type="dxa"/>
          </w:tcPr>
          <w:p w14:paraId="0249D104" w14:textId="77777777" w:rsidR="00CA0D50" w:rsidRPr="00CA0D50" w:rsidRDefault="00CA0D50" w:rsidP="00BF662D">
            <w:pPr>
              <w:tabs>
                <w:tab w:val="left" w:pos="170"/>
              </w:tabs>
              <w:spacing w:after="0" w:line="240" w:lineRule="auto"/>
              <w:ind w:left="57" w:right="57"/>
              <w:contextualSpacing/>
              <w:rPr>
                <w:rFonts w:ascii="Times New Roman" w:hAnsi="Times New Roman" w:cs="Times New Roman"/>
                <w:sz w:val="24"/>
                <w:szCs w:val="24"/>
              </w:rPr>
            </w:pPr>
            <w:r w:rsidRPr="00CA0D50">
              <w:rPr>
                <w:rFonts w:ascii="Times New Roman" w:hAnsi="Times New Roman" w:cs="Times New Roman"/>
                <w:sz w:val="24"/>
                <w:szCs w:val="24"/>
              </w:rPr>
              <w:t>Plānotās sabiedrības līdzdalības un komunikācijas aktivitātes saistībā ar projektu</w:t>
            </w:r>
          </w:p>
        </w:tc>
        <w:tc>
          <w:tcPr>
            <w:tcW w:w="6415" w:type="dxa"/>
          </w:tcPr>
          <w:p w14:paraId="64E42732" w14:textId="77777777" w:rsidR="00CA0D50" w:rsidRPr="00CA0D50" w:rsidRDefault="00CA0D50" w:rsidP="00BF662D">
            <w:pPr>
              <w:shd w:val="clear" w:color="auto" w:fill="FFFFFF"/>
              <w:spacing w:after="0" w:line="240" w:lineRule="auto"/>
              <w:ind w:left="57" w:right="113"/>
              <w:contextualSpacing/>
              <w:jc w:val="both"/>
              <w:rPr>
                <w:rFonts w:ascii="Times New Roman" w:hAnsi="Times New Roman" w:cs="Times New Roman"/>
                <w:sz w:val="24"/>
                <w:szCs w:val="24"/>
              </w:rPr>
            </w:pPr>
            <w:bookmarkStart w:id="2" w:name="p61"/>
            <w:bookmarkEnd w:id="2"/>
            <w:r w:rsidRPr="00CA0D50">
              <w:rPr>
                <w:rFonts w:ascii="Times New Roman" w:hAnsi="Times New Roman" w:cs="Times New Roman"/>
                <w:sz w:val="24"/>
                <w:szCs w:val="24"/>
              </w:rPr>
              <w:t>MK noteikumu projekts šo jomu neskar.</w:t>
            </w:r>
          </w:p>
        </w:tc>
      </w:tr>
      <w:tr w:rsidR="00CA0D50" w:rsidRPr="00CA0D50" w14:paraId="28DCBD95" w14:textId="77777777" w:rsidTr="00922362">
        <w:trPr>
          <w:trHeight w:val="339"/>
          <w:jc w:val="center"/>
        </w:trPr>
        <w:tc>
          <w:tcPr>
            <w:tcW w:w="421" w:type="dxa"/>
          </w:tcPr>
          <w:p w14:paraId="39996D14" w14:textId="77777777" w:rsidR="00CA0D50" w:rsidRPr="00CA0D50" w:rsidRDefault="00CA0D50" w:rsidP="00BF662D">
            <w:pPr>
              <w:spacing w:after="0" w:line="240" w:lineRule="auto"/>
              <w:ind w:left="57" w:right="57"/>
              <w:contextualSpacing/>
              <w:jc w:val="both"/>
              <w:rPr>
                <w:rFonts w:ascii="Times New Roman" w:hAnsi="Times New Roman" w:cs="Times New Roman"/>
                <w:sz w:val="24"/>
                <w:szCs w:val="24"/>
              </w:rPr>
            </w:pPr>
            <w:r w:rsidRPr="00CA0D50">
              <w:rPr>
                <w:rFonts w:ascii="Times New Roman" w:hAnsi="Times New Roman" w:cs="Times New Roman"/>
                <w:sz w:val="24"/>
                <w:szCs w:val="24"/>
              </w:rPr>
              <w:t>2.</w:t>
            </w:r>
          </w:p>
        </w:tc>
        <w:tc>
          <w:tcPr>
            <w:tcW w:w="2835" w:type="dxa"/>
          </w:tcPr>
          <w:p w14:paraId="4DFA72DA" w14:textId="77777777" w:rsidR="00CA0D50" w:rsidRPr="00CA0D50" w:rsidRDefault="00CA0D50" w:rsidP="00BF662D">
            <w:pPr>
              <w:spacing w:after="0" w:line="240" w:lineRule="auto"/>
              <w:ind w:left="57" w:right="57"/>
              <w:contextualSpacing/>
              <w:rPr>
                <w:rFonts w:ascii="Times New Roman" w:hAnsi="Times New Roman" w:cs="Times New Roman"/>
                <w:sz w:val="24"/>
                <w:szCs w:val="24"/>
              </w:rPr>
            </w:pPr>
            <w:r w:rsidRPr="00CA0D50">
              <w:rPr>
                <w:rFonts w:ascii="Times New Roman" w:hAnsi="Times New Roman" w:cs="Times New Roman"/>
                <w:sz w:val="24"/>
                <w:szCs w:val="24"/>
              </w:rPr>
              <w:t>Sabiedrības līdzdalība projekta izstrādē</w:t>
            </w:r>
          </w:p>
        </w:tc>
        <w:tc>
          <w:tcPr>
            <w:tcW w:w="6415" w:type="dxa"/>
          </w:tcPr>
          <w:p w14:paraId="1C150631" w14:textId="77777777" w:rsidR="00CA0D50" w:rsidRPr="00CA0D50" w:rsidRDefault="00CA0D50" w:rsidP="00BF662D">
            <w:pPr>
              <w:shd w:val="clear" w:color="auto" w:fill="FFFFFF"/>
              <w:spacing w:after="0" w:line="240" w:lineRule="auto"/>
              <w:ind w:left="79" w:right="93"/>
              <w:contextualSpacing/>
              <w:jc w:val="both"/>
              <w:rPr>
                <w:rFonts w:ascii="Times New Roman" w:hAnsi="Times New Roman" w:cs="Times New Roman"/>
                <w:sz w:val="24"/>
                <w:szCs w:val="24"/>
              </w:rPr>
            </w:pPr>
            <w:bookmarkStart w:id="3" w:name="p62"/>
            <w:bookmarkEnd w:id="3"/>
            <w:r w:rsidRPr="00CA0D50">
              <w:rPr>
                <w:rFonts w:ascii="Times New Roman" w:hAnsi="Times New Roman" w:cs="Times New Roman"/>
                <w:sz w:val="24"/>
                <w:szCs w:val="24"/>
              </w:rPr>
              <w:t xml:space="preserve">Sabiedrība tika aicināta līdzdarboties MK noteikumu projekta izstrādē, ievietojot MK noteikumu projektu tīmekļa vietnē </w:t>
            </w:r>
            <w:hyperlink r:id="rId9" w:history="1">
              <w:r w:rsidRPr="00CA0D50">
                <w:rPr>
                  <w:rFonts w:ascii="Times New Roman" w:hAnsi="Times New Roman" w:cs="Times New Roman"/>
                  <w:sz w:val="24"/>
                  <w:szCs w:val="24"/>
                  <w:u w:val="single"/>
                </w:rPr>
                <w:t>www.lm.gov.lv</w:t>
              </w:r>
            </w:hyperlink>
            <w:r w:rsidRPr="00CA0D50">
              <w:rPr>
                <w:rFonts w:ascii="Times New Roman" w:hAnsi="Times New Roman" w:cs="Times New Roman"/>
                <w:sz w:val="24"/>
                <w:szCs w:val="24"/>
              </w:rPr>
              <w:t xml:space="preserve"> un aicinot no </w:t>
            </w:r>
            <w:proofErr w:type="gramStart"/>
            <w:r w:rsidRPr="00CA0D50">
              <w:rPr>
                <w:rFonts w:ascii="Times New Roman" w:hAnsi="Times New Roman" w:cs="Times New Roman"/>
                <w:sz w:val="24"/>
                <w:szCs w:val="24"/>
              </w:rPr>
              <w:t>2015.gada</w:t>
            </w:r>
            <w:proofErr w:type="gramEnd"/>
            <w:r w:rsidRPr="00CA0D50">
              <w:rPr>
                <w:rFonts w:ascii="Times New Roman" w:hAnsi="Times New Roman" w:cs="Times New Roman"/>
                <w:sz w:val="24"/>
                <w:szCs w:val="24"/>
              </w:rPr>
              <w:t xml:space="preserve"> 17.aprīļa līdz 2015.gada 28.aprīlim sabiedrības pārstāvjus: </w:t>
            </w:r>
          </w:p>
          <w:p w14:paraId="6D9B35FA" w14:textId="2F31F994" w:rsidR="00CA0D50" w:rsidRPr="00CA0D50" w:rsidRDefault="00CA0D50" w:rsidP="00BF662D">
            <w:pPr>
              <w:shd w:val="clear" w:color="auto" w:fill="FFFFFF"/>
              <w:spacing w:after="0" w:line="240" w:lineRule="auto"/>
              <w:ind w:left="79" w:right="93"/>
              <w:contextualSpacing/>
              <w:jc w:val="both"/>
              <w:rPr>
                <w:rFonts w:ascii="Times New Roman" w:hAnsi="Times New Roman" w:cs="Times New Roman"/>
                <w:sz w:val="24"/>
                <w:szCs w:val="24"/>
              </w:rPr>
            </w:pPr>
            <w:r w:rsidRPr="00CA0D50">
              <w:rPr>
                <w:rFonts w:ascii="Times New Roman" w:hAnsi="Times New Roman" w:cs="Times New Roman"/>
                <w:sz w:val="24"/>
                <w:szCs w:val="24"/>
              </w:rPr>
              <w:t xml:space="preserve">1) rakstiski sniegt viedokli par MK projektu tā izstrādes stadijā – nosūtot elektroniski uz e-pastu: </w:t>
            </w:r>
            <w:proofErr w:type="spellStart"/>
            <w:r w:rsidRPr="00CA0D50">
              <w:rPr>
                <w:rFonts w:ascii="Times New Roman" w:hAnsi="Times New Roman" w:cs="Times New Roman"/>
                <w:sz w:val="24"/>
                <w:szCs w:val="24"/>
                <w:u w:val="single"/>
              </w:rPr>
              <w:t>atbildiga.iestade@lm.gov.lv</w:t>
            </w:r>
            <w:proofErr w:type="spellEnd"/>
            <w:r w:rsidRPr="00CA0D50">
              <w:rPr>
                <w:rFonts w:ascii="Times New Roman" w:hAnsi="Times New Roman" w:cs="Times New Roman"/>
                <w:sz w:val="24"/>
                <w:szCs w:val="24"/>
              </w:rPr>
              <w:t xml:space="preserve">; </w:t>
            </w:r>
          </w:p>
          <w:p w14:paraId="7672B027" w14:textId="77777777" w:rsidR="00CA0D50" w:rsidRPr="00CA0D50" w:rsidRDefault="00CA0D50" w:rsidP="00BF662D">
            <w:pPr>
              <w:shd w:val="clear" w:color="auto" w:fill="FFFFFF"/>
              <w:spacing w:after="0" w:line="240" w:lineRule="auto"/>
              <w:ind w:left="79" w:right="93"/>
              <w:contextualSpacing/>
              <w:jc w:val="both"/>
              <w:rPr>
                <w:rFonts w:ascii="Times New Roman" w:hAnsi="Times New Roman" w:cs="Times New Roman"/>
                <w:sz w:val="24"/>
                <w:szCs w:val="24"/>
              </w:rPr>
            </w:pPr>
            <w:r w:rsidRPr="00CA0D50">
              <w:rPr>
                <w:rFonts w:ascii="Times New Roman" w:hAnsi="Times New Roman" w:cs="Times New Roman"/>
                <w:sz w:val="24"/>
                <w:szCs w:val="24"/>
              </w:rPr>
              <w:t>2) klātienē.</w:t>
            </w:r>
          </w:p>
        </w:tc>
      </w:tr>
      <w:tr w:rsidR="00CA0D50" w:rsidRPr="00CA0D50" w14:paraId="3D654853" w14:textId="77777777" w:rsidTr="00922362">
        <w:trPr>
          <w:trHeight w:val="476"/>
          <w:jc w:val="center"/>
        </w:trPr>
        <w:tc>
          <w:tcPr>
            <w:tcW w:w="421" w:type="dxa"/>
          </w:tcPr>
          <w:p w14:paraId="3761C8E2" w14:textId="77777777" w:rsidR="00CA0D50" w:rsidRPr="00CA0D50" w:rsidRDefault="00CA0D50" w:rsidP="00BF662D">
            <w:pPr>
              <w:spacing w:after="0" w:line="240" w:lineRule="auto"/>
              <w:ind w:left="57" w:right="57"/>
              <w:contextualSpacing/>
              <w:jc w:val="both"/>
              <w:rPr>
                <w:rFonts w:ascii="Times New Roman" w:hAnsi="Times New Roman" w:cs="Times New Roman"/>
                <w:sz w:val="24"/>
                <w:szCs w:val="24"/>
              </w:rPr>
            </w:pPr>
            <w:r w:rsidRPr="00CA0D50">
              <w:rPr>
                <w:rFonts w:ascii="Times New Roman" w:hAnsi="Times New Roman" w:cs="Times New Roman"/>
                <w:sz w:val="24"/>
                <w:szCs w:val="24"/>
              </w:rPr>
              <w:t>3.</w:t>
            </w:r>
          </w:p>
        </w:tc>
        <w:tc>
          <w:tcPr>
            <w:tcW w:w="2835" w:type="dxa"/>
          </w:tcPr>
          <w:p w14:paraId="3D645214" w14:textId="77777777" w:rsidR="00CA0D50" w:rsidRPr="00CA0D50" w:rsidRDefault="00CA0D50" w:rsidP="00BF662D">
            <w:pPr>
              <w:spacing w:after="0" w:line="240" w:lineRule="auto"/>
              <w:ind w:left="57" w:right="57"/>
              <w:contextualSpacing/>
              <w:rPr>
                <w:rFonts w:ascii="Times New Roman" w:hAnsi="Times New Roman" w:cs="Times New Roman"/>
                <w:sz w:val="24"/>
                <w:szCs w:val="24"/>
              </w:rPr>
            </w:pPr>
            <w:r w:rsidRPr="00CA0D50">
              <w:rPr>
                <w:rFonts w:ascii="Times New Roman" w:hAnsi="Times New Roman" w:cs="Times New Roman"/>
                <w:sz w:val="24"/>
                <w:szCs w:val="24"/>
              </w:rPr>
              <w:t>Sabiedrības līdzdalības rezultāti</w:t>
            </w:r>
          </w:p>
        </w:tc>
        <w:tc>
          <w:tcPr>
            <w:tcW w:w="6415" w:type="dxa"/>
          </w:tcPr>
          <w:p w14:paraId="4CADAA26" w14:textId="77777777" w:rsidR="00CA0D50" w:rsidRPr="00CA0D50" w:rsidRDefault="00CA0D50" w:rsidP="00BF662D">
            <w:pPr>
              <w:shd w:val="clear" w:color="auto" w:fill="FFFFFF"/>
              <w:spacing w:after="0" w:line="240" w:lineRule="auto"/>
              <w:ind w:left="57" w:right="113"/>
              <w:contextualSpacing/>
              <w:jc w:val="both"/>
              <w:rPr>
                <w:rFonts w:ascii="Times New Roman" w:hAnsi="Times New Roman" w:cs="Times New Roman"/>
                <w:sz w:val="24"/>
                <w:szCs w:val="24"/>
              </w:rPr>
            </w:pPr>
            <w:r w:rsidRPr="00CA0D50">
              <w:rPr>
                <w:rFonts w:ascii="Times New Roman" w:hAnsi="Times New Roman" w:cs="Times New Roman"/>
                <w:sz w:val="24"/>
                <w:szCs w:val="24"/>
              </w:rPr>
              <w:t>Nav.</w:t>
            </w:r>
          </w:p>
        </w:tc>
      </w:tr>
      <w:tr w:rsidR="00CA0D50" w:rsidRPr="00CA0D50" w14:paraId="2AD019F3" w14:textId="77777777" w:rsidTr="00922362">
        <w:trPr>
          <w:trHeight w:val="476"/>
          <w:jc w:val="center"/>
        </w:trPr>
        <w:tc>
          <w:tcPr>
            <w:tcW w:w="421" w:type="dxa"/>
          </w:tcPr>
          <w:p w14:paraId="71946DCB" w14:textId="77777777" w:rsidR="00CA0D50" w:rsidRPr="00CA0D50" w:rsidRDefault="00CA0D50" w:rsidP="00BF662D">
            <w:pPr>
              <w:spacing w:after="0" w:line="240" w:lineRule="auto"/>
              <w:ind w:left="57" w:right="57"/>
              <w:contextualSpacing/>
              <w:jc w:val="both"/>
              <w:rPr>
                <w:rFonts w:ascii="Times New Roman" w:hAnsi="Times New Roman" w:cs="Times New Roman"/>
                <w:sz w:val="24"/>
                <w:szCs w:val="24"/>
              </w:rPr>
            </w:pPr>
            <w:r w:rsidRPr="00CA0D50">
              <w:rPr>
                <w:rFonts w:ascii="Times New Roman" w:hAnsi="Times New Roman" w:cs="Times New Roman"/>
                <w:sz w:val="24"/>
                <w:szCs w:val="24"/>
              </w:rPr>
              <w:t>4.</w:t>
            </w:r>
          </w:p>
        </w:tc>
        <w:tc>
          <w:tcPr>
            <w:tcW w:w="2835" w:type="dxa"/>
          </w:tcPr>
          <w:p w14:paraId="6644F62F" w14:textId="77777777" w:rsidR="00CA0D50" w:rsidRPr="00CA0D50" w:rsidRDefault="00CA0D50" w:rsidP="00BF662D">
            <w:pPr>
              <w:spacing w:after="0" w:line="240" w:lineRule="auto"/>
              <w:ind w:left="57" w:right="57"/>
              <w:contextualSpacing/>
              <w:rPr>
                <w:rFonts w:ascii="Times New Roman" w:hAnsi="Times New Roman" w:cs="Times New Roman"/>
                <w:sz w:val="24"/>
                <w:szCs w:val="24"/>
              </w:rPr>
            </w:pPr>
            <w:r w:rsidRPr="00CA0D50">
              <w:rPr>
                <w:rFonts w:ascii="Times New Roman" w:hAnsi="Times New Roman" w:cs="Times New Roman"/>
                <w:sz w:val="24"/>
                <w:szCs w:val="24"/>
              </w:rPr>
              <w:t>Cita informācija</w:t>
            </w:r>
          </w:p>
        </w:tc>
        <w:tc>
          <w:tcPr>
            <w:tcW w:w="6415" w:type="dxa"/>
          </w:tcPr>
          <w:p w14:paraId="7EA56993" w14:textId="77777777" w:rsidR="00CA0D50" w:rsidRPr="00CA0D50" w:rsidRDefault="00CA0D50" w:rsidP="00BF662D">
            <w:pPr>
              <w:spacing w:after="0" w:line="240" w:lineRule="auto"/>
              <w:ind w:left="57" w:right="113"/>
              <w:contextualSpacing/>
              <w:jc w:val="both"/>
              <w:rPr>
                <w:rFonts w:ascii="Times New Roman" w:hAnsi="Times New Roman" w:cs="Times New Roman"/>
                <w:sz w:val="24"/>
                <w:szCs w:val="24"/>
              </w:rPr>
            </w:pPr>
            <w:r w:rsidRPr="00CA0D50">
              <w:rPr>
                <w:rFonts w:ascii="Times New Roman" w:hAnsi="Times New Roman" w:cs="Times New Roman"/>
                <w:sz w:val="24"/>
                <w:szCs w:val="24"/>
              </w:rPr>
              <w:t>Nav.</w:t>
            </w:r>
          </w:p>
        </w:tc>
      </w:tr>
    </w:tbl>
    <w:p w14:paraId="4C07D3D8" w14:textId="77777777" w:rsidR="00CA0D50" w:rsidRPr="00CA0D50" w:rsidRDefault="00CA0D50" w:rsidP="00BF662D">
      <w:pPr>
        <w:spacing w:after="0" w:line="240" w:lineRule="auto"/>
        <w:contextualSpacing/>
        <w:rPr>
          <w:rFonts w:ascii="Times New Roman" w:hAnsi="Times New Roman" w:cs="Times New Roman"/>
          <w:sz w:val="24"/>
          <w:szCs w:val="24"/>
        </w:rPr>
      </w:pPr>
    </w:p>
    <w:tbl>
      <w:tblPr>
        <w:tblW w:w="96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835"/>
        <w:gridCol w:w="6409"/>
      </w:tblGrid>
      <w:tr w:rsidR="00CC1A56" w:rsidRPr="00CA0D50" w14:paraId="621941AE" w14:textId="77777777" w:rsidTr="0089655E">
        <w:trPr>
          <w:trHeight w:val="381"/>
          <w:jc w:val="center"/>
        </w:trPr>
        <w:tc>
          <w:tcPr>
            <w:tcW w:w="9665" w:type="dxa"/>
            <w:gridSpan w:val="3"/>
            <w:vAlign w:val="center"/>
          </w:tcPr>
          <w:p w14:paraId="5898343F" w14:textId="049142DD" w:rsidR="00CC1A56" w:rsidRPr="00CA0D50" w:rsidRDefault="002F7324" w:rsidP="00BF662D">
            <w:pPr>
              <w:pStyle w:val="naisnod"/>
              <w:spacing w:before="0" w:beforeAutospacing="0" w:after="0" w:afterAutospacing="0"/>
              <w:ind w:left="57" w:right="57"/>
              <w:contextualSpacing/>
              <w:jc w:val="center"/>
            </w:pPr>
            <w:r w:rsidRPr="00CA0D50">
              <w:rPr>
                <w:b/>
              </w:rPr>
              <w:t>V</w:t>
            </w:r>
            <w:r w:rsidR="008D0993" w:rsidRPr="00CA0D50">
              <w:rPr>
                <w:b/>
              </w:rPr>
              <w:t>II</w:t>
            </w:r>
            <w:r w:rsidR="00CC1A56" w:rsidRPr="00CA0D50">
              <w:rPr>
                <w:b/>
              </w:rPr>
              <w:t>. Tiesību akta projekta izpildes nodrošināšana un tās ietekme uz institūcijām</w:t>
            </w:r>
          </w:p>
        </w:tc>
      </w:tr>
      <w:tr w:rsidR="00CC1A56" w:rsidRPr="00CA0D50" w14:paraId="09EAE2BA" w14:textId="77777777" w:rsidTr="00922362">
        <w:trPr>
          <w:trHeight w:val="427"/>
          <w:jc w:val="center"/>
        </w:trPr>
        <w:tc>
          <w:tcPr>
            <w:tcW w:w="421" w:type="dxa"/>
          </w:tcPr>
          <w:p w14:paraId="7DF9A685" w14:textId="77777777" w:rsidR="00CC1A56" w:rsidRPr="00CA0D50" w:rsidRDefault="00CC1A56" w:rsidP="00BF662D">
            <w:pPr>
              <w:pStyle w:val="naisnod"/>
              <w:spacing w:before="0" w:beforeAutospacing="0" w:after="0" w:afterAutospacing="0"/>
              <w:ind w:left="57" w:right="57"/>
              <w:contextualSpacing/>
              <w:jc w:val="both"/>
            </w:pPr>
            <w:r w:rsidRPr="00CA0D50">
              <w:t>1.</w:t>
            </w:r>
          </w:p>
        </w:tc>
        <w:tc>
          <w:tcPr>
            <w:tcW w:w="2835" w:type="dxa"/>
          </w:tcPr>
          <w:p w14:paraId="6D763540" w14:textId="77777777" w:rsidR="00CC1A56" w:rsidRPr="00CA0D50" w:rsidRDefault="00CC1A56" w:rsidP="00BF662D">
            <w:pPr>
              <w:pStyle w:val="naisf"/>
              <w:spacing w:before="0" w:beforeAutospacing="0" w:after="0" w:afterAutospacing="0"/>
              <w:ind w:left="57" w:right="57"/>
              <w:contextualSpacing/>
            </w:pPr>
            <w:r w:rsidRPr="00CA0D50">
              <w:t>Projekta izpildē iesaistītās institūcijas</w:t>
            </w:r>
          </w:p>
        </w:tc>
        <w:tc>
          <w:tcPr>
            <w:tcW w:w="6409" w:type="dxa"/>
          </w:tcPr>
          <w:p w14:paraId="6AE5B8AE" w14:textId="25685846" w:rsidR="00CC1A56" w:rsidRPr="00CA0D50" w:rsidRDefault="00674496" w:rsidP="00BF662D">
            <w:pPr>
              <w:shd w:val="clear" w:color="auto" w:fill="FFFFFF"/>
              <w:spacing w:after="0" w:line="240" w:lineRule="auto"/>
              <w:ind w:left="57" w:right="113"/>
              <w:contextualSpacing/>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sidRPr="00CA0D50">
              <w:rPr>
                <w:rFonts w:ascii="Times New Roman" w:hAnsi="Times New Roman" w:cs="Times New Roman"/>
                <w:sz w:val="24"/>
                <w:szCs w:val="24"/>
              </w:rPr>
              <w:t xml:space="preserve">Labklājības ministrija kā </w:t>
            </w:r>
            <w:r w:rsidR="00A578DC" w:rsidRPr="00CA0D50">
              <w:rPr>
                <w:rFonts w:ascii="Times New Roman" w:hAnsi="Times New Roman" w:cs="Times New Roman"/>
                <w:sz w:val="24"/>
                <w:szCs w:val="24"/>
              </w:rPr>
              <w:t>atbildīgā iestāde</w:t>
            </w:r>
            <w:r w:rsidR="00F21C20" w:rsidRPr="00CA0D50">
              <w:rPr>
                <w:rFonts w:ascii="Times New Roman" w:hAnsi="Times New Roman" w:cs="Times New Roman"/>
                <w:sz w:val="24"/>
                <w:szCs w:val="24"/>
              </w:rPr>
              <w:t xml:space="preserve">, </w:t>
            </w:r>
            <w:r w:rsidR="00475EDD" w:rsidRPr="00CA0D50">
              <w:rPr>
                <w:rFonts w:ascii="Times New Roman" w:hAnsi="Times New Roman" w:cs="Times New Roman"/>
                <w:sz w:val="24"/>
                <w:szCs w:val="24"/>
              </w:rPr>
              <w:t xml:space="preserve">Centrālā finanšu un līgumu aģentūra kā sadarbības iestāde un </w:t>
            </w:r>
            <w:r w:rsidR="0050490E" w:rsidRPr="00CA0D50">
              <w:rPr>
                <w:rFonts w:ascii="Times New Roman" w:hAnsi="Times New Roman" w:cs="Times New Roman"/>
                <w:sz w:val="24"/>
                <w:szCs w:val="24"/>
              </w:rPr>
              <w:t>NVA</w:t>
            </w:r>
            <w:r w:rsidR="00F21C20" w:rsidRPr="00CA0D50">
              <w:rPr>
                <w:rFonts w:ascii="Times New Roman" w:hAnsi="Times New Roman" w:cs="Times New Roman"/>
                <w:sz w:val="24"/>
                <w:szCs w:val="24"/>
              </w:rPr>
              <w:t xml:space="preserve"> kā </w:t>
            </w:r>
            <w:r w:rsidR="008829D4" w:rsidRPr="00CA0D50">
              <w:rPr>
                <w:rFonts w:ascii="Times New Roman" w:hAnsi="Times New Roman" w:cs="Times New Roman"/>
                <w:sz w:val="24"/>
                <w:szCs w:val="24"/>
              </w:rPr>
              <w:t>ES</w:t>
            </w:r>
            <w:r w:rsidR="00F21C20" w:rsidRPr="00CA0D50">
              <w:rPr>
                <w:rFonts w:ascii="Times New Roman" w:hAnsi="Times New Roman" w:cs="Times New Roman"/>
                <w:sz w:val="24"/>
                <w:szCs w:val="24"/>
              </w:rPr>
              <w:t xml:space="preserve"> fondu finansējuma saņēmējs.</w:t>
            </w:r>
          </w:p>
        </w:tc>
      </w:tr>
      <w:tr w:rsidR="00CC1A56" w:rsidRPr="00CA0D50" w14:paraId="3510445C" w14:textId="77777777" w:rsidTr="00922362">
        <w:trPr>
          <w:trHeight w:val="463"/>
          <w:jc w:val="center"/>
        </w:trPr>
        <w:tc>
          <w:tcPr>
            <w:tcW w:w="421" w:type="dxa"/>
          </w:tcPr>
          <w:p w14:paraId="1308A242" w14:textId="77777777" w:rsidR="00CC1A56" w:rsidRPr="00CA0D50" w:rsidRDefault="00CC1A56" w:rsidP="00BF662D">
            <w:pPr>
              <w:pStyle w:val="naisnod"/>
              <w:spacing w:before="0" w:beforeAutospacing="0" w:after="0" w:afterAutospacing="0"/>
              <w:ind w:left="57" w:right="57"/>
              <w:contextualSpacing/>
              <w:jc w:val="both"/>
            </w:pPr>
            <w:r w:rsidRPr="00CA0D50">
              <w:t>2.</w:t>
            </w:r>
          </w:p>
        </w:tc>
        <w:tc>
          <w:tcPr>
            <w:tcW w:w="2835" w:type="dxa"/>
          </w:tcPr>
          <w:p w14:paraId="4D4589A7" w14:textId="77777777" w:rsidR="00CC1A56" w:rsidRPr="00CA0D50" w:rsidRDefault="00CC1A56" w:rsidP="00BF662D">
            <w:pPr>
              <w:pStyle w:val="naisf"/>
              <w:spacing w:before="0" w:beforeAutospacing="0" w:after="0" w:afterAutospacing="0"/>
              <w:ind w:left="57" w:right="57"/>
              <w:contextualSpacing/>
            </w:pPr>
            <w:r w:rsidRPr="00CA0D50">
              <w:t>Projekta izpildes ietekme uz pār</w:t>
            </w:r>
            <w:r w:rsidRPr="00CA0D50">
              <w:softHyphen/>
              <w:t>valdes funkcijām un institucionālo struktūru.</w:t>
            </w:r>
          </w:p>
          <w:p w14:paraId="7FBEB709" w14:textId="77777777" w:rsidR="00CC1A56" w:rsidRPr="00CA0D50" w:rsidRDefault="00CC1A56" w:rsidP="00BF662D">
            <w:pPr>
              <w:pStyle w:val="naisf"/>
              <w:spacing w:before="0" w:beforeAutospacing="0" w:after="0" w:afterAutospacing="0"/>
              <w:ind w:left="57" w:right="57"/>
              <w:contextualSpacing/>
            </w:pPr>
            <w:r w:rsidRPr="00CA0D50">
              <w:t>Jaunu institūciju izveide, esošu institūciju likvidācija vai reorga</w:t>
            </w:r>
            <w:r w:rsidRPr="00CA0D50">
              <w:softHyphen/>
              <w:t>nizācija, to ietekme uz institūcijas cilvēkresursiem</w:t>
            </w:r>
          </w:p>
        </w:tc>
        <w:tc>
          <w:tcPr>
            <w:tcW w:w="6409" w:type="dxa"/>
          </w:tcPr>
          <w:p w14:paraId="5280DFA3" w14:textId="77777777" w:rsidR="00CC1A56" w:rsidRPr="00CA0D50" w:rsidRDefault="00232033" w:rsidP="00BF662D">
            <w:pPr>
              <w:shd w:val="clear" w:color="auto" w:fill="FFFFFF"/>
              <w:spacing w:after="0" w:line="240" w:lineRule="auto"/>
              <w:ind w:left="57" w:right="113"/>
              <w:contextualSpacing/>
              <w:jc w:val="both"/>
              <w:rPr>
                <w:rFonts w:ascii="Times New Roman" w:hAnsi="Times New Roman" w:cs="Times New Roman"/>
                <w:sz w:val="24"/>
                <w:szCs w:val="24"/>
                <w:lang w:eastAsia="lv-LV"/>
              </w:rPr>
            </w:pPr>
            <w:r w:rsidRPr="00CA0D50">
              <w:rPr>
                <w:rFonts w:ascii="Times New Roman" w:hAnsi="Times New Roman" w:cs="Times New Roman"/>
                <w:sz w:val="24"/>
                <w:szCs w:val="24"/>
              </w:rPr>
              <w:t xml:space="preserve">MK </w:t>
            </w:r>
            <w:r w:rsidR="00B10319" w:rsidRPr="00CA0D50">
              <w:rPr>
                <w:rFonts w:ascii="Times New Roman" w:hAnsi="Times New Roman" w:cs="Times New Roman"/>
                <w:sz w:val="24"/>
                <w:szCs w:val="24"/>
              </w:rPr>
              <w:t>noteikumu</w:t>
            </w:r>
            <w:r w:rsidRPr="00CA0D50">
              <w:rPr>
                <w:rFonts w:ascii="Times New Roman" w:hAnsi="Times New Roman" w:cs="Times New Roman"/>
                <w:sz w:val="24"/>
                <w:szCs w:val="24"/>
              </w:rPr>
              <w:t xml:space="preserve"> projekts šo jomu neskar.</w:t>
            </w:r>
          </w:p>
        </w:tc>
      </w:tr>
      <w:tr w:rsidR="00CC1A56" w:rsidRPr="00CA0D50" w14:paraId="216C7616" w14:textId="77777777" w:rsidTr="00922362">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4C1B5696" w14:textId="77777777" w:rsidR="00CC1A56" w:rsidRPr="00CA0D50" w:rsidRDefault="00CC1A56" w:rsidP="00BF662D">
            <w:pPr>
              <w:pStyle w:val="naisnod"/>
              <w:spacing w:before="0" w:beforeAutospacing="0" w:after="0" w:afterAutospacing="0"/>
              <w:ind w:left="57" w:right="57"/>
              <w:contextualSpacing/>
              <w:jc w:val="both"/>
            </w:pPr>
            <w:r w:rsidRPr="00CA0D50">
              <w:t>3.</w:t>
            </w:r>
          </w:p>
        </w:tc>
        <w:tc>
          <w:tcPr>
            <w:tcW w:w="2835" w:type="dxa"/>
            <w:tcBorders>
              <w:top w:val="single" w:sz="4" w:space="0" w:color="auto"/>
              <w:left w:val="single" w:sz="4" w:space="0" w:color="auto"/>
              <w:bottom w:val="single" w:sz="4" w:space="0" w:color="auto"/>
              <w:right w:val="single" w:sz="4" w:space="0" w:color="auto"/>
            </w:tcBorders>
          </w:tcPr>
          <w:p w14:paraId="4FD5982D" w14:textId="77777777" w:rsidR="00CC1A56" w:rsidRPr="00CA0D50" w:rsidRDefault="00CC1A56" w:rsidP="00BF662D">
            <w:pPr>
              <w:pStyle w:val="naisf"/>
              <w:spacing w:before="0" w:beforeAutospacing="0" w:after="0" w:afterAutospacing="0"/>
              <w:ind w:left="57" w:right="57"/>
              <w:contextualSpacing/>
            </w:pPr>
            <w:r w:rsidRPr="00CA0D50">
              <w:t>Cita informācija</w:t>
            </w:r>
          </w:p>
        </w:tc>
        <w:tc>
          <w:tcPr>
            <w:tcW w:w="6409" w:type="dxa"/>
            <w:tcBorders>
              <w:top w:val="single" w:sz="4" w:space="0" w:color="auto"/>
              <w:left w:val="single" w:sz="4" w:space="0" w:color="auto"/>
              <w:bottom w:val="single" w:sz="4" w:space="0" w:color="auto"/>
              <w:right w:val="single" w:sz="4" w:space="0" w:color="auto"/>
            </w:tcBorders>
          </w:tcPr>
          <w:p w14:paraId="503BCE76" w14:textId="77777777" w:rsidR="00CC1A56" w:rsidRPr="00CA0D50" w:rsidRDefault="00232033" w:rsidP="00BF662D">
            <w:pPr>
              <w:spacing w:after="0" w:line="240" w:lineRule="auto"/>
              <w:ind w:left="57" w:right="57"/>
              <w:contextualSpacing/>
              <w:jc w:val="both"/>
              <w:rPr>
                <w:rFonts w:ascii="Times New Roman" w:hAnsi="Times New Roman" w:cs="Times New Roman"/>
                <w:sz w:val="24"/>
                <w:szCs w:val="24"/>
                <w:lang w:eastAsia="lv-LV"/>
              </w:rPr>
            </w:pPr>
            <w:r w:rsidRPr="00CA0D50">
              <w:rPr>
                <w:rFonts w:ascii="Times New Roman" w:hAnsi="Times New Roman" w:cs="Times New Roman"/>
                <w:sz w:val="24"/>
                <w:szCs w:val="24"/>
              </w:rPr>
              <w:t>Nav.</w:t>
            </w:r>
          </w:p>
        </w:tc>
      </w:tr>
    </w:tbl>
    <w:p w14:paraId="1E3D533C" w14:textId="5EC4CB00" w:rsidR="00FD0C6A" w:rsidRPr="00505848" w:rsidRDefault="00CA0D50" w:rsidP="00BF662D">
      <w:pPr>
        <w:spacing w:after="0" w:line="240" w:lineRule="auto"/>
        <w:contextualSpacing/>
        <w:rPr>
          <w:rFonts w:ascii="Times New Roman" w:hAnsi="Times New Roman" w:cs="Times New Roman"/>
          <w:sz w:val="24"/>
          <w:szCs w:val="24"/>
        </w:rPr>
      </w:pPr>
      <w:r w:rsidRPr="00505848">
        <w:rPr>
          <w:rFonts w:ascii="Times New Roman" w:hAnsi="Times New Roman" w:cs="Times New Roman"/>
          <w:sz w:val="24"/>
          <w:szCs w:val="24"/>
        </w:rPr>
        <w:t>Anotācijas III.</w:t>
      </w:r>
      <w:r w:rsidR="00042448" w:rsidRPr="00505848">
        <w:rPr>
          <w:rFonts w:ascii="Times New Roman" w:hAnsi="Times New Roman" w:cs="Times New Roman"/>
          <w:sz w:val="24"/>
          <w:szCs w:val="24"/>
        </w:rPr>
        <w:t xml:space="preserve"> un </w:t>
      </w:r>
      <w:proofErr w:type="spellStart"/>
      <w:r w:rsidR="00042448" w:rsidRPr="00505848">
        <w:rPr>
          <w:rFonts w:ascii="Times New Roman" w:hAnsi="Times New Roman" w:cs="Times New Roman"/>
          <w:sz w:val="24"/>
          <w:szCs w:val="24"/>
        </w:rPr>
        <w:t>V.</w:t>
      </w:r>
      <w:r w:rsidR="00FD0C6A" w:rsidRPr="00505848">
        <w:rPr>
          <w:rFonts w:ascii="Times New Roman" w:hAnsi="Times New Roman" w:cs="Times New Roman"/>
          <w:sz w:val="24"/>
          <w:szCs w:val="24"/>
        </w:rPr>
        <w:t>sadaļa</w:t>
      </w:r>
      <w:proofErr w:type="spellEnd"/>
      <w:r w:rsidR="00FD0C6A" w:rsidRPr="00505848">
        <w:rPr>
          <w:rFonts w:ascii="Times New Roman" w:hAnsi="Times New Roman" w:cs="Times New Roman"/>
          <w:sz w:val="24"/>
          <w:szCs w:val="24"/>
        </w:rPr>
        <w:t xml:space="preserve"> – MK noteikumu projekts šo jomu neskar.</w:t>
      </w:r>
    </w:p>
    <w:p w14:paraId="69776857" w14:textId="77777777" w:rsidR="00BE474B" w:rsidRPr="00505848" w:rsidRDefault="00BE474B" w:rsidP="00BF662D">
      <w:pPr>
        <w:spacing w:after="0" w:line="240" w:lineRule="auto"/>
        <w:contextualSpacing/>
        <w:rPr>
          <w:rFonts w:ascii="Times New Roman" w:hAnsi="Times New Roman" w:cs="Times New Roman"/>
          <w:sz w:val="24"/>
          <w:szCs w:val="24"/>
        </w:rPr>
      </w:pPr>
    </w:p>
    <w:p w14:paraId="40454B17" w14:textId="79F35A57" w:rsidR="00A2311F" w:rsidRPr="00505848" w:rsidRDefault="00A2311F" w:rsidP="00BF662D">
      <w:pPr>
        <w:spacing w:after="0" w:line="240" w:lineRule="auto"/>
        <w:contextualSpacing/>
        <w:jc w:val="both"/>
        <w:rPr>
          <w:rFonts w:ascii="Times New Roman" w:eastAsia="Times New Roman" w:hAnsi="Times New Roman" w:cs="Times New Roman"/>
          <w:sz w:val="24"/>
          <w:szCs w:val="24"/>
          <w:lang w:eastAsia="lv-LV"/>
        </w:rPr>
      </w:pPr>
      <w:r w:rsidRPr="00505848">
        <w:rPr>
          <w:rFonts w:ascii="Times New Roman" w:eastAsia="Times New Roman" w:hAnsi="Times New Roman" w:cs="Times New Roman"/>
          <w:sz w:val="24"/>
          <w:szCs w:val="24"/>
          <w:lang w:eastAsia="lv-LV"/>
        </w:rPr>
        <w:t>Ministru prezidente</w:t>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0050490E" w:rsidRPr="00505848">
        <w:rPr>
          <w:rFonts w:ascii="Times New Roman" w:eastAsia="Times New Roman" w:hAnsi="Times New Roman" w:cs="Times New Roman"/>
          <w:sz w:val="24"/>
          <w:szCs w:val="24"/>
          <w:lang w:eastAsia="lv-LV"/>
        </w:rPr>
        <w:tab/>
      </w:r>
      <w:r w:rsidR="0050490E"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L.Straujuma</w:t>
      </w:r>
    </w:p>
    <w:p w14:paraId="68EC7897" w14:textId="77777777" w:rsidR="00752263" w:rsidRPr="00505848" w:rsidRDefault="00752263" w:rsidP="00BF662D">
      <w:pPr>
        <w:spacing w:after="0" w:line="240" w:lineRule="auto"/>
        <w:contextualSpacing/>
        <w:jc w:val="both"/>
        <w:rPr>
          <w:rFonts w:ascii="Times New Roman" w:eastAsia="Times New Roman" w:hAnsi="Times New Roman" w:cs="Times New Roman"/>
          <w:sz w:val="24"/>
          <w:szCs w:val="24"/>
          <w:lang w:eastAsia="lv-LV"/>
        </w:rPr>
      </w:pPr>
    </w:p>
    <w:p w14:paraId="768A8DE3" w14:textId="07DDAAE1" w:rsidR="00A2311F" w:rsidRPr="00505848" w:rsidRDefault="00A2311F" w:rsidP="00BF662D">
      <w:pPr>
        <w:spacing w:after="0" w:line="240" w:lineRule="auto"/>
        <w:contextualSpacing/>
        <w:jc w:val="both"/>
        <w:rPr>
          <w:rFonts w:ascii="Times New Roman" w:eastAsia="Times New Roman" w:hAnsi="Times New Roman" w:cs="Times New Roman"/>
          <w:sz w:val="24"/>
          <w:szCs w:val="24"/>
          <w:lang w:eastAsia="lv-LV"/>
        </w:rPr>
      </w:pPr>
      <w:r w:rsidRPr="00505848">
        <w:rPr>
          <w:rFonts w:ascii="Times New Roman" w:eastAsia="Times New Roman" w:hAnsi="Times New Roman" w:cs="Times New Roman"/>
          <w:sz w:val="24"/>
          <w:szCs w:val="24"/>
          <w:lang w:eastAsia="lv-LV"/>
        </w:rPr>
        <w:t>Labklājības ministrs</w:t>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ab/>
      </w:r>
      <w:r w:rsidR="0050490E" w:rsidRPr="00505848">
        <w:rPr>
          <w:rFonts w:ascii="Times New Roman" w:eastAsia="Times New Roman" w:hAnsi="Times New Roman" w:cs="Times New Roman"/>
          <w:sz w:val="24"/>
          <w:szCs w:val="24"/>
          <w:lang w:eastAsia="lv-LV"/>
        </w:rPr>
        <w:tab/>
      </w:r>
      <w:r w:rsidR="0050490E" w:rsidRPr="00505848">
        <w:rPr>
          <w:rFonts w:ascii="Times New Roman" w:eastAsia="Times New Roman" w:hAnsi="Times New Roman" w:cs="Times New Roman"/>
          <w:sz w:val="24"/>
          <w:szCs w:val="24"/>
          <w:lang w:eastAsia="lv-LV"/>
        </w:rPr>
        <w:tab/>
      </w:r>
      <w:r w:rsidRPr="00505848">
        <w:rPr>
          <w:rFonts w:ascii="Times New Roman" w:eastAsia="Times New Roman" w:hAnsi="Times New Roman" w:cs="Times New Roman"/>
          <w:sz w:val="24"/>
          <w:szCs w:val="24"/>
          <w:lang w:eastAsia="lv-LV"/>
        </w:rPr>
        <w:t>U.Augulis</w:t>
      </w:r>
    </w:p>
    <w:p w14:paraId="3990FA88" w14:textId="77777777" w:rsidR="00F21E42" w:rsidRPr="00FD0C6A" w:rsidRDefault="00F21E42" w:rsidP="00BF662D">
      <w:pPr>
        <w:spacing w:after="0" w:line="240" w:lineRule="auto"/>
        <w:contextualSpacing/>
        <w:rPr>
          <w:rFonts w:ascii="Times New Roman" w:hAnsi="Times New Roman" w:cs="Times New Roman"/>
          <w:sz w:val="20"/>
          <w:szCs w:val="20"/>
        </w:rPr>
      </w:pPr>
    </w:p>
    <w:p w14:paraId="5BA88D56" w14:textId="10CF7FAE" w:rsidR="00D473ED" w:rsidRPr="00FD0C6A" w:rsidRDefault="00063B5C" w:rsidP="00BF66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20</w:t>
      </w:r>
      <w:r w:rsidR="00042448">
        <w:rPr>
          <w:rFonts w:ascii="Times New Roman" w:hAnsi="Times New Roman" w:cs="Times New Roman"/>
          <w:sz w:val="20"/>
          <w:szCs w:val="20"/>
        </w:rPr>
        <w:t>.05</w:t>
      </w:r>
      <w:r w:rsidR="00EF6FD1">
        <w:rPr>
          <w:rFonts w:ascii="Times New Roman" w:hAnsi="Times New Roman" w:cs="Times New Roman"/>
          <w:sz w:val="20"/>
          <w:szCs w:val="20"/>
        </w:rPr>
        <w:t>.2015</w:t>
      </w:r>
      <w:r w:rsidR="00D473ED" w:rsidRPr="00FD0C6A">
        <w:rPr>
          <w:rFonts w:ascii="Times New Roman" w:hAnsi="Times New Roman" w:cs="Times New Roman"/>
          <w:sz w:val="20"/>
          <w:szCs w:val="20"/>
        </w:rPr>
        <w:t xml:space="preserve">. </w:t>
      </w:r>
      <w:r>
        <w:rPr>
          <w:rFonts w:ascii="Times New Roman" w:hAnsi="Times New Roman" w:cs="Times New Roman"/>
          <w:sz w:val="20"/>
          <w:szCs w:val="20"/>
        </w:rPr>
        <w:t>1</w:t>
      </w:r>
      <w:r w:rsidR="00844E84">
        <w:rPr>
          <w:rFonts w:ascii="Times New Roman" w:hAnsi="Times New Roman" w:cs="Times New Roman"/>
          <w:sz w:val="20"/>
          <w:szCs w:val="20"/>
        </w:rPr>
        <w:t>1</w:t>
      </w:r>
      <w:r w:rsidR="009905E8" w:rsidRPr="00FD0C6A">
        <w:rPr>
          <w:rFonts w:ascii="Times New Roman" w:hAnsi="Times New Roman" w:cs="Times New Roman"/>
          <w:sz w:val="20"/>
          <w:szCs w:val="20"/>
        </w:rPr>
        <w:t>:</w:t>
      </w:r>
      <w:r w:rsidR="00844E84">
        <w:rPr>
          <w:rFonts w:ascii="Times New Roman" w:hAnsi="Times New Roman" w:cs="Times New Roman"/>
          <w:sz w:val="20"/>
          <w:szCs w:val="20"/>
        </w:rPr>
        <w:t>05</w:t>
      </w:r>
      <w:bookmarkStart w:id="8" w:name="_GoBack"/>
      <w:bookmarkEnd w:id="8"/>
    </w:p>
    <w:p w14:paraId="6C42FD1F" w14:textId="12E6F658" w:rsidR="00D473ED" w:rsidRPr="00FD0C6A" w:rsidRDefault="00EF6FD1" w:rsidP="00BF662D">
      <w:pPr>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 xml:space="preserve">1 </w:t>
      </w:r>
      <w:r w:rsidR="00922362">
        <w:rPr>
          <w:rFonts w:ascii="Times New Roman" w:hAnsi="Times New Roman" w:cs="Times New Roman"/>
          <w:sz w:val="20"/>
          <w:szCs w:val="20"/>
        </w:rPr>
        <w:t>195</w:t>
      </w:r>
    </w:p>
    <w:p w14:paraId="60F58924" w14:textId="337D1565" w:rsidR="00D473ED" w:rsidRPr="00FD0C6A" w:rsidRDefault="008829D4" w:rsidP="00BF662D">
      <w:pPr>
        <w:spacing w:after="0" w:line="240" w:lineRule="auto"/>
        <w:contextualSpacing/>
        <w:rPr>
          <w:rFonts w:ascii="Times New Roman" w:hAnsi="Times New Roman" w:cs="Times New Roman"/>
          <w:sz w:val="20"/>
          <w:szCs w:val="20"/>
        </w:rPr>
      </w:pPr>
      <w:proofErr w:type="spellStart"/>
      <w:r w:rsidRPr="00FD0C6A">
        <w:rPr>
          <w:rFonts w:ascii="Times New Roman" w:hAnsi="Times New Roman" w:cs="Times New Roman"/>
          <w:sz w:val="20"/>
          <w:szCs w:val="20"/>
        </w:rPr>
        <w:t>A.Vībe</w:t>
      </w:r>
      <w:proofErr w:type="spellEnd"/>
      <w:r w:rsidR="00D473ED" w:rsidRPr="00FD0C6A">
        <w:rPr>
          <w:rFonts w:ascii="Times New Roman" w:hAnsi="Times New Roman" w:cs="Times New Roman"/>
          <w:sz w:val="20"/>
          <w:szCs w:val="20"/>
        </w:rPr>
        <w:t>, 670216</w:t>
      </w:r>
      <w:r w:rsidRPr="00FD0C6A">
        <w:rPr>
          <w:rFonts w:ascii="Times New Roman" w:hAnsi="Times New Roman" w:cs="Times New Roman"/>
          <w:sz w:val="20"/>
          <w:szCs w:val="20"/>
        </w:rPr>
        <w:t>48</w:t>
      </w:r>
    </w:p>
    <w:p w14:paraId="6F592EBF" w14:textId="502E2372" w:rsidR="00D473ED" w:rsidRPr="005E1FE1" w:rsidRDefault="00844E84" w:rsidP="00BF662D">
      <w:pPr>
        <w:spacing w:after="0" w:line="240" w:lineRule="auto"/>
        <w:contextualSpacing/>
        <w:rPr>
          <w:rFonts w:ascii="Times New Roman" w:hAnsi="Times New Roman" w:cs="Times New Roman"/>
        </w:rPr>
      </w:pPr>
      <w:hyperlink r:id="rId10" w:history="1">
        <w:r w:rsidR="008829D4" w:rsidRPr="00FD0C6A">
          <w:rPr>
            <w:rStyle w:val="Hyperlink"/>
            <w:rFonts w:ascii="Times New Roman" w:hAnsi="Times New Roman" w:cs="Times New Roman"/>
            <w:sz w:val="20"/>
            <w:szCs w:val="20"/>
          </w:rPr>
          <w:t>Anna.Vibe@lm.gov.lv</w:t>
        </w:r>
      </w:hyperlink>
      <w:r w:rsidR="008829D4" w:rsidRPr="00FD0C6A">
        <w:rPr>
          <w:rFonts w:ascii="Times New Roman" w:hAnsi="Times New Roman" w:cs="Times New Roman"/>
          <w:sz w:val="20"/>
          <w:szCs w:val="20"/>
        </w:rPr>
        <w:t xml:space="preserve"> </w:t>
      </w:r>
      <w:r w:rsidR="00B673D4" w:rsidRPr="005E1FE1">
        <w:rPr>
          <w:rFonts w:ascii="Times New Roman" w:hAnsi="Times New Roman" w:cs="Times New Roman"/>
        </w:rPr>
        <w:tab/>
      </w:r>
    </w:p>
    <w:sectPr w:rsidR="00D473ED" w:rsidRPr="005E1FE1" w:rsidSect="005E1FE1">
      <w:headerReference w:type="default" r:id="rId11"/>
      <w:footerReference w:type="default" r:id="rId12"/>
      <w:footerReference w:type="first" r:id="rId13"/>
      <w:pgSz w:w="11906" w:h="16838"/>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3DFAC" w14:textId="77777777" w:rsidR="002C45E5" w:rsidRDefault="002C45E5" w:rsidP="006D6C82">
      <w:pPr>
        <w:spacing w:after="0" w:line="240" w:lineRule="auto"/>
      </w:pPr>
      <w:r>
        <w:separator/>
      </w:r>
    </w:p>
  </w:endnote>
  <w:endnote w:type="continuationSeparator" w:id="0">
    <w:p w14:paraId="77B92B0E" w14:textId="77777777" w:rsidR="002C45E5" w:rsidRDefault="002C45E5"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06759" w14:textId="17026C25" w:rsidR="00A01B7A" w:rsidRPr="00EF6FD1" w:rsidRDefault="00042448" w:rsidP="00EF6FD1">
    <w:pPr>
      <w:pStyle w:val="Footer"/>
      <w:jc w:val="both"/>
    </w:pPr>
    <w:r>
      <w:rPr>
        <w:rFonts w:ascii="Times New Roman" w:eastAsia="Times New Roman" w:hAnsi="Times New Roman" w:cs="Times New Roman"/>
        <w:color w:val="000000" w:themeColor="text1"/>
        <w:sz w:val="20"/>
        <w:szCs w:val="20"/>
        <w:lang w:eastAsia="lv-LV"/>
      </w:rPr>
      <w:t>LMAnot_</w:t>
    </w:r>
    <w:r w:rsidR="00063B5C">
      <w:rPr>
        <w:rFonts w:ascii="Times New Roman" w:eastAsia="Times New Roman" w:hAnsi="Times New Roman" w:cs="Times New Roman"/>
        <w:color w:val="000000" w:themeColor="text1"/>
        <w:sz w:val="20"/>
        <w:szCs w:val="20"/>
        <w:lang w:eastAsia="lv-LV"/>
      </w:rPr>
      <w:t>20</w:t>
    </w:r>
    <w:r>
      <w:rPr>
        <w:rFonts w:ascii="Times New Roman" w:eastAsia="Times New Roman" w:hAnsi="Times New Roman" w:cs="Times New Roman"/>
        <w:color w:val="000000" w:themeColor="text1"/>
        <w:sz w:val="20"/>
        <w:szCs w:val="20"/>
        <w:lang w:eastAsia="lv-LV"/>
      </w:rPr>
      <w:t>05</w:t>
    </w:r>
    <w:r w:rsidR="00EF6FD1" w:rsidRPr="00EF6FD1">
      <w:rPr>
        <w:rFonts w:ascii="Times New Roman" w:eastAsia="Times New Roman" w:hAnsi="Times New Roman" w:cs="Times New Roman"/>
        <w:color w:val="000000" w:themeColor="text1"/>
        <w:sz w:val="20"/>
        <w:szCs w:val="20"/>
        <w:lang w:eastAsia="lv-LV"/>
      </w:rPr>
      <w:t>2015_SAM711groz; Ministru kabineta noteikumu “</w:t>
    </w:r>
    <w:r w:rsidR="00EF6FD1" w:rsidRPr="00EF6FD1">
      <w:rPr>
        <w:rFonts w:ascii="Times New Roman" w:eastAsia="Times New Roman" w:hAnsi="Times New Roman" w:cs="Times New Roman"/>
        <w:bCs/>
        <w:color w:val="000000" w:themeColor="text1"/>
        <w:sz w:val="20"/>
        <w:szCs w:val="20"/>
        <w:lang w:eastAsia="lv-LV"/>
      </w:rPr>
      <w:t xml:space="preserve">Grozījumi “Ministru kabineta </w:t>
    </w:r>
    <w:proofErr w:type="gramStart"/>
    <w:r w:rsidR="00EF6FD1" w:rsidRPr="00EF6FD1">
      <w:rPr>
        <w:rFonts w:ascii="Times New Roman" w:eastAsia="Times New Roman" w:hAnsi="Times New Roman" w:cs="Times New Roman"/>
        <w:bCs/>
        <w:color w:val="000000" w:themeColor="text1"/>
        <w:sz w:val="20"/>
        <w:szCs w:val="20"/>
        <w:lang w:eastAsia="lv-LV"/>
      </w:rPr>
      <w:t>2014.gada</w:t>
    </w:r>
    <w:proofErr w:type="gramEnd"/>
    <w:r w:rsidR="00EF6FD1" w:rsidRPr="00EF6FD1">
      <w:rPr>
        <w:rFonts w:ascii="Times New Roman" w:eastAsia="Times New Roman" w:hAnsi="Times New Roman" w:cs="Times New Roman"/>
        <w:bCs/>
        <w:color w:val="000000" w:themeColor="text1"/>
        <w:sz w:val="20"/>
        <w:szCs w:val="20"/>
        <w:lang w:eastAsia="lv-LV"/>
      </w:rPr>
      <w:t xml:space="preserve"> 23.decembra noteikumos Nr.836 “Darbības programmas “Izaugsme un nodarbinātība” 7.1.1. specifiskā atbalsta mērķa “Paaugstināt bezdarbnieku kvalifikāciju un prasmes atbilstoši darba tirgus pieprasījumam” īstenošanas noteikumi”” </w:t>
    </w:r>
    <w:r w:rsidR="00EF6FD1" w:rsidRPr="00EF6FD1">
      <w:rPr>
        <w:rFonts w:ascii="Times New Roman" w:eastAsia="Times New Roman" w:hAnsi="Times New Roman" w:cs="Times New Roman"/>
        <w:color w:val="000000" w:themeColor="text1"/>
        <w:sz w:val="20"/>
        <w:szCs w:val="20"/>
        <w:lang w:eastAsia="lv-LV"/>
      </w:rPr>
      <w:t>projekta</w:t>
    </w:r>
    <w:r w:rsidR="00EF6FD1" w:rsidRPr="00EF6FD1">
      <w:rPr>
        <w:rFonts w:ascii="Times New Roman" w:eastAsia="Times New Roman" w:hAnsi="Times New Roman" w:cs="Times New Roman"/>
        <w:bCs/>
        <w:color w:val="000000" w:themeColor="text1"/>
        <w:sz w:val="20"/>
        <w:szCs w:val="20"/>
        <w:lang w:eastAsia="lv-LV"/>
      </w:rPr>
      <w:t xml:space="preserve">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15C10E5F" w:rsidR="00D0364B" w:rsidRPr="000521D5" w:rsidRDefault="00A01B7A" w:rsidP="00EF6FD1">
    <w:pPr>
      <w:tabs>
        <w:tab w:val="center" w:pos="4153"/>
        <w:tab w:val="right" w:pos="8306"/>
      </w:tabs>
      <w:spacing w:after="0" w:line="240" w:lineRule="auto"/>
      <w:jc w:val="both"/>
    </w:pPr>
    <w:r w:rsidRPr="008829D4">
      <w:rPr>
        <w:rFonts w:ascii="Times New Roman" w:eastAsia="Times New Roman" w:hAnsi="Times New Roman" w:cs="Times New Roman"/>
        <w:sz w:val="20"/>
        <w:szCs w:val="20"/>
        <w:lang w:eastAsia="lv-LV"/>
      </w:rPr>
      <w:t>LMAnot_</w:t>
    </w:r>
    <w:r w:rsidR="00063B5C">
      <w:rPr>
        <w:rFonts w:ascii="Times New Roman" w:eastAsia="Times New Roman" w:hAnsi="Times New Roman" w:cs="Times New Roman"/>
        <w:sz w:val="20"/>
        <w:szCs w:val="20"/>
        <w:lang w:eastAsia="lv-LV"/>
      </w:rPr>
      <w:t>2</w:t>
    </w:r>
    <w:r w:rsidR="00042448">
      <w:rPr>
        <w:rFonts w:ascii="Times New Roman" w:eastAsia="Times New Roman" w:hAnsi="Times New Roman" w:cs="Times New Roman"/>
        <w:sz w:val="20"/>
        <w:szCs w:val="20"/>
        <w:lang w:eastAsia="lv-LV"/>
      </w:rPr>
      <w:t>05</w:t>
    </w:r>
    <w:r w:rsidR="00EF6FD1" w:rsidRPr="00EF6FD1">
      <w:rPr>
        <w:rFonts w:ascii="Times New Roman" w:eastAsia="Times New Roman" w:hAnsi="Times New Roman" w:cs="Times New Roman"/>
        <w:sz w:val="20"/>
        <w:szCs w:val="20"/>
        <w:lang w:eastAsia="lv-LV"/>
      </w:rPr>
      <w:t>2015</w:t>
    </w:r>
    <w:r w:rsidRPr="00EF6FD1">
      <w:rPr>
        <w:rFonts w:ascii="Times New Roman" w:eastAsia="Times New Roman" w:hAnsi="Times New Roman" w:cs="Times New Roman"/>
        <w:sz w:val="20"/>
        <w:szCs w:val="20"/>
        <w:lang w:eastAsia="lv-LV"/>
      </w:rPr>
      <w:t>_SAM71</w:t>
    </w:r>
    <w:r w:rsidR="008829D4" w:rsidRPr="00EF6FD1">
      <w:rPr>
        <w:rFonts w:ascii="Times New Roman" w:eastAsia="Times New Roman" w:hAnsi="Times New Roman" w:cs="Times New Roman"/>
        <w:sz w:val="20"/>
        <w:szCs w:val="20"/>
        <w:lang w:eastAsia="lv-LV"/>
      </w:rPr>
      <w:t>1</w:t>
    </w:r>
    <w:r w:rsidR="00EF6FD1" w:rsidRPr="00EF6FD1">
      <w:rPr>
        <w:rFonts w:ascii="Times New Roman" w:eastAsia="Times New Roman" w:hAnsi="Times New Roman" w:cs="Times New Roman"/>
        <w:sz w:val="20"/>
        <w:szCs w:val="20"/>
        <w:lang w:eastAsia="lv-LV"/>
      </w:rPr>
      <w:t>groz</w:t>
    </w:r>
    <w:r w:rsidR="000521D5" w:rsidRPr="00EF6FD1">
      <w:rPr>
        <w:rFonts w:ascii="Times New Roman" w:eastAsia="Times New Roman" w:hAnsi="Times New Roman" w:cs="Times New Roman"/>
        <w:sz w:val="20"/>
        <w:szCs w:val="20"/>
        <w:lang w:eastAsia="lv-LV"/>
      </w:rPr>
      <w:t xml:space="preserve">; </w:t>
    </w:r>
    <w:r w:rsidR="00EF6FD1" w:rsidRPr="00EF6FD1">
      <w:rPr>
        <w:rFonts w:ascii="Times New Roman" w:hAnsi="Times New Roman"/>
        <w:sz w:val="20"/>
        <w:szCs w:val="20"/>
      </w:rPr>
      <w:t>Ministru kabineta noteikumu “</w:t>
    </w:r>
    <w:r w:rsidR="00EF6FD1" w:rsidRPr="00EF6FD1">
      <w:rPr>
        <w:rFonts w:ascii="Times New Roman" w:hAnsi="Times New Roman"/>
        <w:bCs/>
        <w:sz w:val="20"/>
        <w:szCs w:val="20"/>
      </w:rPr>
      <w:t xml:space="preserve">Grozījumi “Ministru kabineta </w:t>
    </w:r>
    <w:proofErr w:type="gramStart"/>
    <w:r w:rsidR="00EF6FD1" w:rsidRPr="00EF6FD1">
      <w:rPr>
        <w:rFonts w:ascii="Times New Roman" w:hAnsi="Times New Roman"/>
        <w:bCs/>
        <w:sz w:val="20"/>
        <w:szCs w:val="20"/>
      </w:rPr>
      <w:t>2014.gada</w:t>
    </w:r>
    <w:proofErr w:type="gramEnd"/>
    <w:r w:rsidR="00EF6FD1" w:rsidRPr="00EF6FD1">
      <w:rPr>
        <w:rFonts w:ascii="Times New Roman" w:hAnsi="Times New Roman"/>
        <w:bCs/>
        <w:sz w:val="20"/>
        <w:szCs w:val="20"/>
      </w:rPr>
      <w:t xml:space="preserve"> 23.decembra noteikumos Nr.836 “Darbības programmas “Izaugsme un nodarbinātība” 7.1.1. specifiskā atbalsta mērķa “Paaugstināt bezdarbnieku kvalifikāciju un prasmes atbilstoši darba tirgus pieprasījumam” īstenošanas noteikumi”” </w:t>
    </w:r>
    <w:r w:rsidR="00EF6FD1" w:rsidRPr="00EF6FD1">
      <w:rPr>
        <w:rFonts w:ascii="Times New Roman" w:hAnsi="Times New Roman"/>
        <w:sz w:val="20"/>
        <w:szCs w:val="20"/>
      </w:rPr>
      <w:t>projekta</w:t>
    </w:r>
    <w:r w:rsidR="00EF6FD1" w:rsidRPr="00EF6FD1">
      <w:rPr>
        <w:rFonts w:ascii="Times New Roman" w:hAnsi="Times New Roman"/>
        <w:bCs/>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E8FDF" w14:textId="77777777" w:rsidR="002C45E5" w:rsidRDefault="002C45E5" w:rsidP="006D6C82">
      <w:pPr>
        <w:spacing w:after="0" w:line="240" w:lineRule="auto"/>
      </w:pPr>
      <w:r>
        <w:separator/>
      </w:r>
    </w:p>
  </w:footnote>
  <w:footnote w:type="continuationSeparator" w:id="0">
    <w:p w14:paraId="76480D04" w14:textId="77777777" w:rsidR="002C45E5" w:rsidRDefault="002C45E5"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532311"/>
      <w:docPartObj>
        <w:docPartGallery w:val="Page Numbers (Top of Page)"/>
        <w:docPartUnique/>
      </w:docPartObj>
    </w:sdtPr>
    <w:sdtEndPr>
      <w:rPr>
        <w:noProof/>
      </w:rPr>
    </w:sdtEndPr>
    <w:sdtContent>
      <w:p w14:paraId="798729B5" w14:textId="77777777" w:rsidR="00D0364B" w:rsidRDefault="00D0364B">
        <w:pPr>
          <w:pStyle w:val="Header"/>
          <w:jc w:val="center"/>
        </w:pPr>
        <w:r>
          <w:fldChar w:fldCharType="begin"/>
        </w:r>
        <w:r>
          <w:instrText xml:space="preserve"> PAGE   \* MERGEFORMAT </w:instrText>
        </w:r>
        <w:r>
          <w:fldChar w:fldCharType="separate"/>
        </w:r>
        <w:r w:rsidR="00844E84">
          <w:rPr>
            <w:noProof/>
          </w:rPr>
          <w:t>4</w:t>
        </w:r>
        <w:r>
          <w:rPr>
            <w:noProof/>
          </w:rPr>
          <w:fldChar w:fldCharType="end"/>
        </w:r>
      </w:p>
    </w:sdtContent>
  </w:sdt>
  <w:p w14:paraId="51580ABA" w14:textId="77777777" w:rsidR="00D0364B" w:rsidRDefault="00D036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58E56CE"/>
    <w:multiLevelType w:val="hybridMultilevel"/>
    <w:tmpl w:val="4A04D030"/>
    <w:lvl w:ilvl="0" w:tplc="CD26CCF4">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B2374EB"/>
    <w:multiLevelType w:val="hybridMultilevel"/>
    <w:tmpl w:val="9C04D4FA"/>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4"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7241FE"/>
    <w:multiLevelType w:val="hybridMultilevel"/>
    <w:tmpl w:val="3A52E8D8"/>
    <w:lvl w:ilvl="0" w:tplc="A2088674">
      <w:start w:val="1"/>
      <w:numFmt w:val="decimal"/>
      <w:lvlText w:val="%1."/>
      <w:lvlJc w:val="left"/>
      <w:pPr>
        <w:ind w:left="499" w:hanging="360"/>
      </w:pPr>
      <w:rPr>
        <w:rFonts w:hint="default"/>
      </w:rPr>
    </w:lvl>
    <w:lvl w:ilvl="1" w:tplc="04260019" w:tentative="1">
      <w:start w:val="1"/>
      <w:numFmt w:val="lowerLetter"/>
      <w:lvlText w:val="%2."/>
      <w:lvlJc w:val="left"/>
      <w:pPr>
        <w:ind w:left="1219" w:hanging="360"/>
      </w:pPr>
    </w:lvl>
    <w:lvl w:ilvl="2" w:tplc="0426001B" w:tentative="1">
      <w:start w:val="1"/>
      <w:numFmt w:val="lowerRoman"/>
      <w:lvlText w:val="%3."/>
      <w:lvlJc w:val="right"/>
      <w:pPr>
        <w:ind w:left="1939" w:hanging="180"/>
      </w:pPr>
    </w:lvl>
    <w:lvl w:ilvl="3" w:tplc="0426000F" w:tentative="1">
      <w:start w:val="1"/>
      <w:numFmt w:val="decimal"/>
      <w:lvlText w:val="%4."/>
      <w:lvlJc w:val="left"/>
      <w:pPr>
        <w:ind w:left="2659" w:hanging="360"/>
      </w:pPr>
    </w:lvl>
    <w:lvl w:ilvl="4" w:tplc="04260019" w:tentative="1">
      <w:start w:val="1"/>
      <w:numFmt w:val="lowerLetter"/>
      <w:lvlText w:val="%5."/>
      <w:lvlJc w:val="left"/>
      <w:pPr>
        <w:ind w:left="3379" w:hanging="360"/>
      </w:pPr>
    </w:lvl>
    <w:lvl w:ilvl="5" w:tplc="0426001B" w:tentative="1">
      <w:start w:val="1"/>
      <w:numFmt w:val="lowerRoman"/>
      <w:lvlText w:val="%6."/>
      <w:lvlJc w:val="right"/>
      <w:pPr>
        <w:ind w:left="4099" w:hanging="180"/>
      </w:pPr>
    </w:lvl>
    <w:lvl w:ilvl="6" w:tplc="0426000F" w:tentative="1">
      <w:start w:val="1"/>
      <w:numFmt w:val="decimal"/>
      <w:lvlText w:val="%7."/>
      <w:lvlJc w:val="left"/>
      <w:pPr>
        <w:ind w:left="4819" w:hanging="360"/>
      </w:pPr>
    </w:lvl>
    <w:lvl w:ilvl="7" w:tplc="04260019" w:tentative="1">
      <w:start w:val="1"/>
      <w:numFmt w:val="lowerLetter"/>
      <w:lvlText w:val="%8."/>
      <w:lvlJc w:val="left"/>
      <w:pPr>
        <w:ind w:left="5539" w:hanging="360"/>
      </w:pPr>
    </w:lvl>
    <w:lvl w:ilvl="8" w:tplc="0426001B" w:tentative="1">
      <w:start w:val="1"/>
      <w:numFmt w:val="lowerRoman"/>
      <w:lvlText w:val="%9."/>
      <w:lvlJc w:val="right"/>
      <w:pPr>
        <w:ind w:left="6259" w:hanging="180"/>
      </w:pPr>
    </w:lvl>
  </w:abstractNum>
  <w:abstractNum w:abstractNumId="8"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0"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1"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2" w15:restartNumberingAfterBreak="0">
    <w:nsid w:val="50243E0A"/>
    <w:multiLevelType w:val="hybridMultilevel"/>
    <w:tmpl w:val="A240E690"/>
    <w:lvl w:ilvl="0" w:tplc="E72C197A">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5B2F7293"/>
    <w:multiLevelType w:val="hybridMultilevel"/>
    <w:tmpl w:val="BC4C6A4C"/>
    <w:lvl w:ilvl="0" w:tplc="20C6976E">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4" w15:restartNumberingAfterBreak="0">
    <w:nsid w:val="5E27552B"/>
    <w:multiLevelType w:val="hybridMultilevel"/>
    <w:tmpl w:val="1F58C488"/>
    <w:lvl w:ilvl="0" w:tplc="12D4C18C">
      <w:start w:val="2014"/>
      <w:numFmt w:val="bullet"/>
      <w:lvlText w:val="-"/>
      <w:lvlJc w:val="left"/>
      <w:pPr>
        <w:tabs>
          <w:tab w:val="num" w:pos="720"/>
        </w:tabs>
        <w:ind w:left="720" w:hanging="360"/>
      </w:pPr>
      <w:rPr>
        <w:rFonts w:ascii="Times New Roman" w:eastAsia="Times New Roman" w:hAnsi="Times New Roman" w:cs="Times New Roman" w:hint="default"/>
      </w:rPr>
    </w:lvl>
    <w:lvl w:ilvl="1" w:tplc="DBEC79F4" w:tentative="1">
      <w:start w:val="1"/>
      <w:numFmt w:val="bullet"/>
      <w:lvlText w:val=""/>
      <w:lvlJc w:val="left"/>
      <w:pPr>
        <w:tabs>
          <w:tab w:val="num" w:pos="1440"/>
        </w:tabs>
        <w:ind w:left="1440" w:hanging="360"/>
      </w:pPr>
      <w:rPr>
        <w:rFonts w:ascii="Wingdings" w:hAnsi="Wingdings" w:hint="default"/>
      </w:rPr>
    </w:lvl>
    <w:lvl w:ilvl="2" w:tplc="F3F22C70" w:tentative="1">
      <w:start w:val="1"/>
      <w:numFmt w:val="bullet"/>
      <w:lvlText w:val=""/>
      <w:lvlJc w:val="left"/>
      <w:pPr>
        <w:tabs>
          <w:tab w:val="num" w:pos="2160"/>
        </w:tabs>
        <w:ind w:left="2160" w:hanging="360"/>
      </w:pPr>
      <w:rPr>
        <w:rFonts w:ascii="Wingdings" w:hAnsi="Wingdings" w:hint="default"/>
      </w:rPr>
    </w:lvl>
    <w:lvl w:ilvl="3" w:tplc="3EC209F2" w:tentative="1">
      <w:start w:val="1"/>
      <w:numFmt w:val="bullet"/>
      <w:lvlText w:val=""/>
      <w:lvlJc w:val="left"/>
      <w:pPr>
        <w:tabs>
          <w:tab w:val="num" w:pos="2880"/>
        </w:tabs>
        <w:ind w:left="2880" w:hanging="360"/>
      </w:pPr>
      <w:rPr>
        <w:rFonts w:ascii="Wingdings" w:hAnsi="Wingdings" w:hint="default"/>
      </w:rPr>
    </w:lvl>
    <w:lvl w:ilvl="4" w:tplc="C812EC5C" w:tentative="1">
      <w:start w:val="1"/>
      <w:numFmt w:val="bullet"/>
      <w:lvlText w:val=""/>
      <w:lvlJc w:val="left"/>
      <w:pPr>
        <w:tabs>
          <w:tab w:val="num" w:pos="3600"/>
        </w:tabs>
        <w:ind w:left="3600" w:hanging="360"/>
      </w:pPr>
      <w:rPr>
        <w:rFonts w:ascii="Wingdings" w:hAnsi="Wingdings" w:hint="default"/>
      </w:rPr>
    </w:lvl>
    <w:lvl w:ilvl="5" w:tplc="4B0EBA38" w:tentative="1">
      <w:start w:val="1"/>
      <w:numFmt w:val="bullet"/>
      <w:lvlText w:val=""/>
      <w:lvlJc w:val="left"/>
      <w:pPr>
        <w:tabs>
          <w:tab w:val="num" w:pos="4320"/>
        </w:tabs>
        <w:ind w:left="4320" w:hanging="360"/>
      </w:pPr>
      <w:rPr>
        <w:rFonts w:ascii="Wingdings" w:hAnsi="Wingdings" w:hint="default"/>
      </w:rPr>
    </w:lvl>
    <w:lvl w:ilvl="6" w:tplc="83A4A8EC" w:tentative="1">
      <w:start w:val="1"/>
      <w:numFmt w:val="bullet"/>
      <w:lvlText w:val=""/>
      <w:lvlJc w:val="left"/>
      <w:pPr>
        <w:tabs>
          <w:tab w:val="num" w:pos="5040"/>
        </w:tabs>
        <w:ind w:left="5040" w:hanging="360"/>
      </w:pPr>
      <w:rPr>
        <w:rFonts w:ascii="Wingdings" w:hAnsi="Wingdings" w:hint="default"/>
      </w:rPr>
    </w:lvl>
    <w:lvl w:ilvl="7" w:tplc="D7965114" w:tentative="1">
      <w:start w:val="1"/>
      <w:numFmt w:val="bullet"/>
      <w:lvlText w:val=""/>
      <w:lvlJc w:val="left"/>
      <w:pPr>
        <w:tabs>
          <w:tab w:val="num" w:pos="5760"/>
        </w:tabs>
        <w:ind w:left="5760" w:hanging="360"/>
      </w:pPr>
      <w:rPr>
        <w:rFonts w:ascii="Wingdings" w:hAnsi="Wingdings" w:hint="default"/>
      </w:rPr>
    </w:lvl>
    <w:lvl w:ilvl="8" w:tplc="CE4E442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9"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6"/>
  </w:num>
  <w:num w:numId="2">
    <w:abstractNumId w:val="5"/>
  </w:num>
  <w:num w:numId="3">
    <w:abstractNumId w:val="8"/>
  </w:num>
  <w:num w:numId="4">
    <w:abstractNumId w:val="18"/>
  </w:num>
  <w:num w:numId="5">
    <w:abstractNumId w:val="15"/>
  </w:num>
  <w:num w:numId="6">
    <w:abstractNumId w:val="2"/>
  </w:num>
  <w:num w:numId="7">
    <w:abstractNumId w:val="17"/>
  </w:num>
  <w:num w:numId="8">
    <w:abstractNumId w:val="10"/>
  </w:num>
  <w:num w:numId="9">
    <w:abstractNumId w:val="0"/>
  </w:num>
  <w:num w:numId="10">
    <w:abstractNumId w:val="9"/>
  </w:num>
  <w:num w:numId="11">
    <w:abstractNumId w:val="16"/>
  </w:num>
  <w:num w:numId="12">
    <w:abstractNumId w:val="11"/>
  </w:num>
  <w:num w:numId="13">
    <w:abstractNumId w:val="19"/>
  </w:num>
  <w:num w:numId="14">
    <w:abstractNumId w:val="7"/>
  </w:num>
  <w:num w:numId="15">
    <w:abstractNumId w:val="4"/>
  </w:num>
  <w:num w:numId="16">
    <w:abstractNumId w:val="3"/>
  </w:num>
  <w:num w:numId="17">
    <w:abstractNumId w:val="1"/>
  </w:num>
  <w:num w:numId="18">
    <w:abstractNumId w:val="13"/>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4B7"/>
    <w:rsid w:val="00003926"/>
    <w:rsid w:val="0000589D"/>
    <w:rsid w:val="0001267A"/>
    <w:rsid w:val="0001429C"/>
    <w:rsid w:val="00016F2F"/>
    <w:rsid w:val="000178DF"/>
    <w:rsid w:val="000238EE"/>
    <w:rsid w:val="00024E64"/>
    <w:rsid w:val="00025F5B"/>
    <w:rsid w:val="00026A31"/>
    <w:rsid w:val="000318A3"/>
    <w:rsid w:val="00036D4E"/>
    <w:rsid w:val="00037AF1"/>
    <w:rsid w:val="000405B2"/>
    <w:rsid w:val="00041B8A"/>
    <w:rsid w:val="00042448"/>
    <w:rsid w:val="00042BE7"/>
    <w:rsid w:val="00044F12"/>
    <w:rsid w:val="000459D0"/>
    <w:rsid w:val="00047AA5"/>
    <w:rsid w:val="000521D5"/>
    <w:rsid w:val="000541C9"/>
    <w:rsid w:val="000561FB"/>
    <w:rsid w:val="00056D49"/>
    <w:rsid w:val="00056D91"/>
    <w:rsid w:val="00063158"/>
    <w:rsid w:val="00063B5C"/>
    <w:rsid w:val="000652F8"/>
    <w:rsid w:val="00065E19"/>
    <w:rsid w:val="00066A54"/>
    <w:rsid w:val="00067364"/>
    <w:rsid w:val="000729E7"/>
    <w:rsid w:val="00073983"/>
    <w:rsid w:val="000853C0"/>
    <w:rsid w:val="00090609"/>
    <w:rsid w:val="00093BB9"/>
    <w:rsid w:val="00094F04"/>
    <w:rsid w:val="000A2A2F"/>
    <w:rsid w:val="000A48CD"/>
    <w:rsid w:val="000A50F4"/>
    <w:rsid w:val="000A556B"/>
    <w:rsid w:val="000A6213"/>
    <w:rsid w:val="000A69BD"/>
    <w:rsid w:val="000B3753"/>
    <w:rsid w:val="000B6BFA"/>
    <w:rsid w:val="000C042F"/>
    <w:rsid w:val="000C66C8"/>
    <w:rsid w:val="000C6DA7"/>
    <w:rsid w:val="000C77F5"/>
    <w:rsid w:val="000D655A"/>
    <w:rsid w:val="000D6A5D"/>
    <w:rsid w:val="000D7810"/>
    <w:rsid w:val="000E6940"/>
    <w:rsid w:val="000F2C5F"/>
    <w:rsid w:val="000F450E"/>
    <w:rsid w:val="000F734C"/>
    <w:rsid w:val="00101BA8"/>
    <w:rsid w:val="001029C3"/>
    <w:rsid w:val="00103161"/>
    <w:rsid w:val="001037D6"/>
    <w:rsid w:val="0010479A"/>
    <w:rsid w:val="00104D68"/>
    <w:rsid w:val="00107154"/>
    <w:rsid w:val="00110450"/>
    <w:rsid w:val="00114334"/>
    <w:rsid w:val="001144D9"/>
    <w:rsid w:val="0011756F"/>
    <w:rsid w:val="00120927"/>
    <w:rsid w:val="00121551"/>
    <w:rsid w:val="00122C32"/>
    <w:rsid w:val="00124F56"/>
    <w:rsid w:val="0013696A"/>
    <w:rsid w:val="00140CF3"/>
    <w:rsid w:val="00151074"/>
    <w:rsid w:val="00151B2A"/>
    <w:rsid w:val="00160A74"/>
    <w:rsid w:val="00161A38"/>
    <w:rsid w:val="00162400"/>
    <w:rsid w:val="00162A45"/>
    <w:rsid w:val="0016361D"/>
    <w:rsid w:val="00166E6E"/>
    <w:rsid w:val="00167190"/>
    <w:rsid w:val="001679C6"/>
    <w:rsid w:val="001727BC"/>
    <w:rsid w:val="00174E03"/>
    <w:rsid w:val="00176916"/>
    <w:rsid w:val="0018780A"/>
    <w:rsid w:val="00191247"/>
    <w:rsid w:val="00193FB1"/>
    <w:rsid w:val="001943F6"/>
    <w:rsid w:val="00195986"/>
    <w:rsid w:val="00197E17"/>
    <w:rsid w:val="001A7327"/>
    <w:rsid w:val="001B0E13"/>
    <w:rsid w:val="001B1214"/>
    <w:rsid w:val="001B3759"/>
    <w:rsid w:val="001B6876"/>
    <w:rsid w:val="001B7660"/>
    <w:rsid w:val="001C3597"/>
    <w:rsid w:val="001C366A"/>
    <w:rsid w:val="001C50E5"/>
    <w:rsid w:val="001C7D4E"/>
    <w:rsid w:val="001E04D8"/>
    <w:rsid w:val="001E2D9C"/>
    <w:rsid w:val="001E5DCA"/>
    <w:rsid w:val="001E6208"/>
    <w:rsid w:val="001E645F"/>
    <w:rsid w:val="001F21C4"/>
    <w:rsid w:val="001F41D8"/>
    <w:rsid w:val="001F5194"/>
    <w:rsid w:val="001F792A"/>
    <w:rsid w:val="00204981"/>
    <w:rsid w:val="00206171"/>
    <w:rsid w:val="00210AA3"/>
    <w:rsid w:val="0021153C"/>
    <w:rsid w:val="002123C9"/>
    <w:rsid w:val="002141C0"/>
    <w:rsid w:val="00216066"/>
    <w:rsid w:val="0021686B"/>
    <w:rsid w:val="002202EB"/>
    <w:rsid w:val="00220CB7"/>
    <w:rsid w:val="0022527B"/>
    <w:rsid w:val="00232033"/>
    <w:rsid w:val="00235486"/>
    <w:rsid w:val="00246498"/>
    <w:rsid w:val="00246978"/>
    <w:rsid w:val="0025245B"/>
    <w:rsid w:val="00254049"/>
    <w:rsid w:val="00254F1A"/>
    <w:rsid w:val="002551BF"/>
    <w:rsid w:val="00257C93"/>
    <w:rsid w:val="00260E17"/>
    <w:rsid w:val="00260F04"/>
    <w:rsid w:val="002665C2"/>
    <w:rsid w:val="0026710C"/>
    <w:rsid w:val="002675CE"/>
    <w:rsid w:val="00270EBE"/>
    <w:rsid w:val="00277744"/>
    <w:rsid w:val="0028094F"/>
    <w:rsid w:val="002874DE"/>
    <w:rsid w:val="0029098B"/>
    <w:rsid w:val="00291D87"/>
    <w:rsid w:val="002938C7"/>
    <w:rsid w:val="00297EC2"/>
    <w:rsid w:val="002A161A"/>
    <w:rsid w:val="002A2FE7"/>
    <w:rsid w:val="002A5126"/>
    <w:rsid w:val="002A55E4"/>
    <w:rsid w:val="002B0D05"/>
    <w:rsid w:val="002B1692"/>
    <w:rsid w:val="002B7E3A"/>
    <w:rsid w:val="002C1473"/>
    <w:rsid w:val="002C1581"/>
    <w:rsid w:val="002C1A63"/>
    <w:rsid w:val="002C45E5"/>
    <w:rsid w:val="002C6E24"/>
    <w:rsid w:val="002C722B"/>
    <w:rsid w:val="002D1F05"/>
    <w:rsid w:val="002D2016"/>
    <w:rsid w:val="002D5017"/>
    <w:rsid w:val="002E284F"/>
    <w:rsid w:val="002E6B41"/>
    <w:rsid w:val="002F2310"/>
    <w:rsid w:val="002F2D45"/>
    <w:rsid w:val="002F70D8"/>
    <w:rsid w:val="002F7324"/>
    <w:rsid w:val="00301B68"/>
    <w:rsid w:val="00301CB2"/>
    <w:rsid w:val="00303FFC"/>
    <w:rsid w:val="003060C0"/>
    <w:rsid w:val="00306DFF"/>
    <w:rsid w:val="00314E0B"/>
    <w:rsid w:val="00314F7C"/>
    <w:rsid w:val="00315AB8"/>
    <w:rsid w:val="00316A8E"/>
    <w:rsid w:val="00320A19"/>
    <w:rsid w:val="00321D39"/>
    <w:rsid w:val="003259BB"/>
    <w:rsid w:val="00326E13"/>
    <w:rsid w:val="00327D5C"/>
    <w:rsid w:val="003352F8"/>
    <w:rsid w:val="00336B3A"/>
    <w:rsid w:val="00345771"/>
    <w:rsid w:val="003460F3"/>
    <w:rsid w:val="00351DB7"/>
    <w:rsid w:val="00355126"/>
    <w:rsid w:val="0035641C"/>
    <w:rsid w:val="00360CC3"/>
    <w:rsid w:val="00364C7E"/>
    <w:rsid w:val="00364DA7"/>
    <w:rsid w:val="00365B8E"/>
    <w:rsid w:val="00374579"/>
    <w:rsid w:val="003775ED"/>
    <w:rsid w:val="0038217F"/>
    <w:rsid w:val="00382C79"/>
    <w:rsid w:val="00382F6F"/>
    <w:rsid w:val="00384481"/>
    <w:rsid w:val="00384B1F"/>
    <w:rsid w:val="003919EB"/>
    <w:rsid w:val="00392ABD"/>
    <w:rsid w:val="00393677"/>
    <w:rsid w:val="00396161"/>
    <w:rsid w:val="003A3A21"/>
    <w:rsid w:val="003A4860"/>
    <w:rsid w:val="003A5522"/>
    <w:rsid w:val="003A55C7"/>
    <w:rsid w:val="003A77B7"/>
    <w:rsid w:val="003B0FBE"/>
    <w:rsid w:val="003C0358"/>
    <w:rsid w:val="003C1407"/>
    <w:rsid w:val="003D58F4"/>
    <w:rsid w:val="003D7FCC"/>
    <w:rsid w:val="003E2523"/>
    <w:rsid w:val="003E2633"/>
    <w:rsid w:val="003E4EA9"/>
    <w:rsid w:val="003E5B4D"/>
    <w:rsid w:val="003F2EE7"/>
    <w:rsid w:val="003F700D"/>
    <w:rsid w:val="003F7723"/>
    <w:rsid w:val="004001DB"/>
    <w:rsid w:val="00403A2F"/>
    <w:rsid w:val="00404002"/>
    <w:rsid w:val="00406DE5"/>
    <w:rsid w:val="00407CC6"/>
    <w:rsid w:val="004118EF"/>
    <w:rsid w:val="00415B33"/>
    <w:rsid w:val="00416790"/>
    <w:rsid w:val="00417496"/>
    <w:rsid w:val="00421B9D"/>
    <w:rsid w:val="0042221E"/>
    <w:rsid w:val="00423467"/>
    <w:rsid w:val="00426289"/>
    <w:rsid w:val="00427093"/>
    <w:rsid w:val="00427EFE"/>
    <w:rsid w:val="00430112"/>
    <w:rsid w:val="0043187B"/>
    <w:rsid w:val="00431F46"/>
    <w:rsid w:val="00432D28"/>
    <w:rsid w:val="00444D42"/>
    <w:rsid w:val="00445A9C"/>
    <w:rsid w:val="00446630"/>
    <w:rsid w:val="0044755D"/>
    <w:rsid w:val="00450395"/>
    <w:rsid w:val="00451DE5"/>
    <w:rsid w:val="00454771"/>
    <w:rsid w:val="00462F04"/>
    <w:rsid w:val="00467554"/>
    <w:rsid w:val="00470125"/>
    <w:rsid w:val="00472A75"/>
    <w:rsid w:val="00473FE0"/>
    <w:rsid w:val="00475C8F"/>
    <w:rsid w:val="00475EDD"/>
    <w:rsid w:val="00481F9F"/>
    <w:rsid w:val="004863B9"/>
    <w:rsid w:val="00486A99"/>
    <w:rsid w:val="00486BA1"/>
    <w:rsid w:val="00487C61"/>
    <w:rsid w:val="004A0562"/>
    <w:rsid w:val="004A470F"/>
    <w:rsid w:val="004A51B4"/>
    <w:rsid w:val="004A79B6"/>
    <w:rsid w:val="004B287A"/>
    <w:rsid w:val="004B291A"/>
    <w:rsid w:val="004B4BC8"/>
    <w:rsid w:val="004C0127"/>
    <w:rsid w:val="004C0612"/>
    <w:rsid w:val="004C31E6"/>
    <w:rsid w:val="004C48A0"/>
    <w:rsid w:val="004C55C1"/>
    <w:rsid w:val="004C7840"/>
    <w:rsid w:val="004C7866"/>
    <w:rsid w:val="004C7EB0"/>
    <w:rsid w:val="004D24D9"/>
    <w:rsid w:val="004D2900"/>
    <w:rsid w:val="004D4173"/>
    <w:rsid w:val="004D4A4C"/>
    <w:rsid w:val="004D5618"/>
    <w:rsid w:val="004D5B45"/>
    <w:rsid w:val="004D654A"/>
    <w:rsid w:val="004E03A9"/>
    <w:rsid w:val="004E0703"/>
    <w:rsid w:val="004F135B"/>
    <w:rsid w:val="004F1BD2"/>
    <w:rsid w:val="005007A2"/>
    <w:rsid w:val="0050327A"/>
    <w:rsid w:val="00504183"/>
    <w:rsid w:val="0050490E"/>
    <w:rsid w:val="00505848"/>
    <w:rsid w:val="00507BF0"/>
    <w:rsid w:val="00507CBD"/>
    <w:rsid w:val="00512FFB"/>
    <w:rsid w:val="00514C71"/>
    <w:rsid w:val="00514C83"/>
    <w:rsid w:val="00514DDD"/>
    <w:rsid w:val="005253BC"/>
    <w:rsid w:val="005346EE"/>
    <w:rsid w:val="00536377"/>
    <w:rsid w:val="005378C9"/>
    <w:rsid w:val="005404CC"/>
    <w:rsid w:val="00542C3D"/>
    <w:rsid w:val="00543F32"/>
    <w:rsid w:val="00546E12"/>
    <w:rsid w:val="00546E8E"/>
    <w:rsid w:val="00551C08"/>
    <w:rsid w:val="0055242A"/>
    <w:rsid w:val="005550F6"/>
    <w:rsid w:val="005616C0"/>
    <w:rsid w:val="00562D3E"/>
    <w:rsid w:val="00570C5B"/>
    <w:rsid w:val="00571EAA"/>
    <w:rsid w:val="00571FAE"/>
    <w:rsid w:val="00575810"/>
    <w:rsid w:val="00575941"/>
    <w:rsid w:val="005759B6"/>
    <w:rsid w:val="00575CBB"/>
    <w:rsid w:val="00590E26"/>
    <w:rsid w:val="005913E4"/>
    <w:rsid w:val="005914D9"/>
    <w:rsid w:val="00591BA7"/>
    <w:rsid w:val="005935C2"/>
    <w:rsid w:val="005A0987"/>
    <w:rsid w:val="005A5C59"/>
    <w:rsid w:val="005A5D2D"/>
    <w:rsid w:val="005A646A"/>
    <w:rsid w:val="005A705B"/>
    <w:rsid w:val="005A7179"/>
    <w:rsid w:val="005B104F"/>
    <w:rsid w:val="005B1977"/>
    <w:rsid w:val="005B1A2E"/>
    <w:rsid w:val="005B5313"/>
    <w:rsid w:val="005C3BBF"/>
    <w:rsid w:val="005C5E5B"/>
    <w:rsid w:val="005C718F"/>
    <w:rsid w:val="005D1219"/>
    <w:rsid w:val="005D46AF"/>
    <w:rsid w:val="005D6EC7"/>
    <w:rsid w:val="005E044D"/>
    <w:rsid w:val="005E1FE1"/>
    <w:rsid w:val="005F05CE"/>
    <w:rsid w:val="005F05CF"/>
    <w:rsid w:val="005F0DF3"/>
    <w:rsid w:val="005F403C"/>
    <w:rsid w:val="005F4D8E"/>
    <w:rsid w:val="0060421D"/>
    <w:rsid w:val="00614CDA"/>
    <w:rsid w:val="00615406"/>
    <w:rsid w:val="00620A76"/>
    <w:rsid w:val="006210E5"/>
    <w:rsid w:val="006226FE"/>
    <w:rsid w:val="00622ABE"/>
    <w:rsid w:val="00623238"/>
    <w:rsid w:val="00630B64"/>
    <w:rsid w:val="006318CB"/>
    <w:rsid w:val="00637E1F"/>
    <w:rsid w:val="00644079"/>
    <w:rsid w:val="00645815"/>
    <w:rsid w:val="00653BCC"/>
    <w:rsid w:val="00654303"/>
    <w:rsid w:val="00657B8C"/>
    <w:rsid w:val="00660D3B"/>
    <w:rsid w:val="00662D55"/>
    <w:rsid w:val="0066392D"/>
    <w:rsid w:val="006673B6"/>
    <w:rsid w:val="0067184D"/>
    <w:rsid w:val="00674496"/>
    <w:rsid w:val="00677B45"/>
    <w:rsid w:val="00682E06"/>
    <w:rsid w:val="006831EC"/>
    <w:rsid w:val="006833BD"/>
    <w:rsid w:val="006838C8"/>
    <w:rsid w:val="006861B4"/>
    <w:rsid w:val="00692D5D"/>
    <w:rsid w:val="00693711"/>
    <w:rsid w:val="006952F4"/>
    <w:rsid w:val="006A0788"/>
    <w:rsid w:val="006A0A38"/>
    <w:rsid w:val="006A1F27"/>
    <w:rsid w:val="006A39CA"/>
    <w:rsid w:val="006A4ED1"/>
    <w:rsid w:val="006A7702"/>
    <w:rsid w:val="006B0758"/>
    <w:rsid w:val="006B14E5"/>
    <w:rsid w:val="006B1DFB"/>
    <w:rsid w:val="006B2CAA"/>
    <w:rsid w:val="006B3A87"/>
    <w:rsid w:val="006B602B"/>
    <w:rsid w:val="006B616F"/>
    <w:rsid w:val="006B695D"/>
    <w:rsid w:val="006B7133"/>
    <w:rsid w:val="006C5838"/>
    <w:rsid w:val="006D238F"/>
    <w:rsid w:val="006D4479"/>
    <w:rsid w:val="006D46D1"/>
    <w:rsid w:val="006D47E6"/>
    <w:rsid w:val="006D54BE"/>
    <w:rsid w:val="006D573E"/>
    <w:rsid w:val="006D6C82"/>
    <w:rsid w:val="006E0343"/>
    <w:rsid w:val="006E169E"/>
    <w:rsid w:val="006E2EBF"/>
    <w:rsid w:val="006E3024"/>
    <w:rsid w:val="006E3A88"/>
    <w:rsid w:val="006F5DBA"/>
    <w:rsid w:val="006F615E"/>
    <w:rsid w:val="006F6735"/>
    <w:rsid w:val="007005A5"/>
    <w:rsid w:val="007032FF"/>
    <w:rsid w:val="007040B5"/>
    <w:rsid w:val="00706A2D"/>
    <w:rsid w:val="00715808"/>
    <w:rsid w:val="00720177"/>
    <w:rsid w:val="00726959"/>
    <w:rsid w:val="00731A91"/>
    <w:rsid w:val="00734D79"/>
    <w:rsid w:val="00741507"/>
    <w:rsid w:val="0074158F"/>
    <w:rsid w:val="00741DC7"/>
    <w:rsid w:val="00746CCE"/>
    <w:rsid w:val="00751459"/>
    <w:rsid w:val="00751A10"/>
    <w:rsid w:val="00752263"/>
    <w:rsid w:val="0075333B"/>
    <w:rsid w:val="0075593F"/>
    <w:rsid w:val="00755D3A"/>
    <w:rsid w:val="00756B14"/>
    <w:rsid w:val="00757CF6"/>
    <w:rsid w:val="00764032"/>
    <w:rsid w:val="00764545"/>
    <w:rsid w:val="00767938"/>
    <w:rsid w:val="0077161A"/>
    <w:rsid w:val="00773E2E"/>
    <w:rsid w:val="0077492B"/>
    <w:rsid w:val="0077641F"/>
    <w:rsid w:val="00780601"/>
    <w:rsid w:val="007831DA"/>
    <w:rsid w:val="00786082"/>
    <w:rsid w:val="007860AA"/>
    <w:rsid w:val="007860F1"/>
    <w:rsid w:val="00791E4E"/>
    <w:rsid w:val="007958D8"/>
    <w:rsid w:val="00797BB6"/>
    <w:rsid w:val="00797F3E"/>
    <w:rsid w:val="007A012A"/>
    <w:rsid w:val="007A1818"/>
    <w:rsid w:val="007A2445"/>
    <w:rsid w:val="007A2906"/>
    <w:rsid w:val="007A2FDE"/>
    <w:rsid w:val="007B185C"/>
    <w:rsid w:val="007B1908"/>
    <w:rsid w:val="007B55C1"/>
    <w:rsid w:val="007C397D"/>
    <w:rsid w:val="007C5BDB"/>
    <w:rsid w:val="007D385B"/>
    <w:rsid w:val="007D41A0"/>
    <w:rsid w:val="007E25D2"/>
    <w:rsid w:val="007E29DA"/>
    <w:rsid w:val="007E49EA"/>
    <w:rsid w:val="007F44BF"/>
    <w:rsid w:val="007F57E5"/>
    <w:rsid w:val="007F5F34"/>
    <w:rsid w:val="00803552"/>
    <w:rsid w:val="00804516"/>
    <w:rsid w:val="008148D7"/>
    <w:rsid w:val="00816040"/>
    <w:rsid w:val="0081684E"/>
    <w:rsid w:val="00821757"/>
    <w:rsid w:val="00823F41"/>
    <w:rsid w:val="00824708"/>
    <w:rsid w:val="008260C4"/>
    <w:rsid w:val="00830594"/>
    <w:rsid w:val="00830D8F"/>
    <w:rsid w:val="00830DA8"/>
    <w:rsid w:val="00835248"/>
    <w:rsid w:val="00836EA6"/>
    <w:rsid w:val="0083730F"/>
    <w:rsid w:val="00840B67"/>
    <w:rsid w:val="00841251"/>
    <w:rsid w:val="00843389"/>
    <w:rsid w:val="00843C60"/>
    <w:rsid w:val="00844E84"/>
    <w:rsid w:val="008477DE"/>
    <w:rsid w:val="008535EB"/>
    <w:rsid w:val="008557C1"/>
    <w:rsid w:val="00857C5B"/>
    <w:rsid w:val="00860ADE"/>
    <w:rsid w:val="00863CD4"/>
    <w:rsid w:val="00864B01"/>
    <w:rsid w:val="0087007F"/>
    <w:rsid w:val="00870319"/>
    <w:rsid w:val="0087043A"/>
    <w:rsid w:val="00874136"/>
    <w:rsid w:val="008745E4"/>
    <w:rsid w:val="00874FAD"/>
    <w:rsid w:val="0087502F"/>
    <w:rsid w:val="008806F3"/>
    <w:rsid w:val="00882510"/>
    <w:rsid w:val="008829D4"/>
    <w:rsid w:val="00883BC7"/>
    <w:rsid w:val="00883FE0"/>
    <w:rsid w:val="00884628"/>
    <w:rsid w:val="00891D72"/>
    <w:rsid w:val="00893F92"/>
    <w:rsid w:val="00895B1F"/>
    <w:rsid w:val="00895B23"/>
    <w:rsid w:val="0089655E"/>
    <w:rsid w:val="00897E02"/>
    <w:rsid w:val="008A08C8"/>
    <w:rsid w:val="008A10C7"/>
    <w:rsid w:val="008A16D3"/>
    <w:rsid w:val="008A4CB4"/>
    <w:rsid w:val="008A660F"/>
    <w:rsid w:val="008A79E9"/>
    <w:rsid w:val="008B39BD"/>
    <w:rsid w:val="008B4290"/>
    <w:rsid w:val="008B6024"/>
    <w:rsid w:val="008C04F8"/>
    <w:rsid w:val="008C4D11"/>
    <w:rsid w:val="008C6D46"/>
    <w:rsid w:val="008C7B33"/>
    <w:rsid w:val="008D0993"/>
    <w:rsid w:val="008D2146"/>
    <w:rsid w:val="008D7EEB"/>
    <w:rsid w:val="008E47D7"/>
    <w:rsid w:val="008F39D3"/>
    <w:rsid w:val="008F6700"/>
    <w:rsid w:val="008F6D8E"/>
    <w:rsid w:val="008F742D"/>
    <w:rsid w:val="009019B3"/>
    <w:rsid w:val="00902AA6"/>
    <w:rsid w:val="00902D3F"/>
    <w:rsid w:val="009034AE"/>
    <w:rsid w:val="0090399E"/>
    <w:rsid w:val="009068BA"/>
    <w:rsid w:val="00907C4E"/>
    <w:rsid w:val="00914A21"/>
    <w:rsid w:val="00922362"/>
    <w:rsid w:val="00934634"/>
    <w:rsid w:val="00934686"/>
    <w:rsid w:val="0093520F"/>
    <w:rsid w:val="00935C43"/>
    <w:rsid w:val="00936DF8"/>
    <w:rsid w:val="0094080C"/>
    <w:rsid w:val="009414B3"/>
    <w:rsid w:val="00943D15"/>
    <w:rsid w:val="00944EC0"/>
    <w:rsid w:val="0094618F"/>
    <w:rsid w:val="00946C82"/>
    <w:rsid w:val="00947473"/>
    <w:rsid w:val="009527FB"/>
    <w:rsid w:val="00953C6C"/>
    <w:rsid w:val="00955A21"/>
    <w:rsid w:val="009604AD"/>
    <w:rsid w:val="00962BF1"/>
    <w:rsid w:val="0096465B"/>
    <w:rsid w:val="00965695"/>
    <w:rsid w:val="009661DC"/>
    <w:rsid w:val="009665F6"/>
    <w:rsid w:val="009666DB"/>
    <w:rsid w:val="00970AEC"/>
    <w:rsid w:val="009711A1"/>
    <w:rsid w:val="009716C7"/>
    <w:rsid w:val="009728D3"/>
    <w:rsid w:val="00973321"/>
    <w:rsid w:val="00974CF0"/>
    <w:rsid w:val="00975BC8"/>
    <w:rsid w:val="00981F38"/>
    <w:rsid w:val="00984E0C"/>
    <w:rsid w:val="009905E8"/>
    <w:rsid w:val="009945CD"/>
    <w:rsid w:val="00994FB5"/>
    <w:rsid w:val="00995B4E"/>
    <w:rsid w:val="009A0679"/>
    <w:rsid w:val="009A23DD"/>
    <w:rsid w:val="009A5F8B"/>
    <w:rsid w:val="009B252C"/>
    <w:rsid w:val="009B4385"/>
    <w:rsid w:val="009B5667"/>
    <w:rsid w:val="009B5EDB"/>
    <w:rsid w:val="009B7605"/>
    <w:rsid w:val="009C0B81"/>
    <w:rsid w:val="009C39B5"/>
    <w:rsid w:val="009C4313"/>
    <w:rsid w:val="009C4BBC"/>
    <w:rsid w:val="009C5386"/>
    <w:rsid w:val="009D7CD8"/>
    <w:rsid w:val="009E12A1"/>
    <w:rsid w:val="009E1B92"/>
    <w:rsid w:val="009E5995"/>
    <w:rsid w:val="009F029E"/>
    <w:rsid w:val="009F37C9"/>
    <w:rsid w:val="009F3C67"/>
    <w:rsid w:val="009F788A"/>
    <w:rsid w:val="00A01B7A"/>
    <w:rsid w:val="00A02169"/>
    <w:rsid w:val="00A03690"/>
    <w:rsid w:val="00A07A9E"/>
    <w:rsid w:val="00A1504C"/>
    <w:rsid w:val="00A22686"/>
    <w:rsid w:val="00A2311F"/>
    <w:rsid w:val="00A240CC"/>
    <w:rsid w:val="00A33379"/>
    <w:rsid w:val="00A347F0"/>
    <w:rsid w:val="00A35878"/>
    <w:rsid w:val="00A37357"/>
    <w:rsid w:val="00A41BAE"/>
    <w:rsid w:val="00A44A57"/>
    <w:rsid w:val="00A46FE2"/>
    <w:rsid w:val="00A472BA"/>
    <w:rsid w:val="00A578DC"/>
    <w:rsid w:val="00A60497"/>
    <w:rsid w:val="00A60D7E"/>
    <w:rsid w:val="00A65744"/>
    <w:rsid w:val="00A65B55"/>
    <w:rsid w:val="00A6792B"/>
    <w:rsid w:val="00A7043B"/>
    <w:rsid w:val="00A74718"/>
    <w:rsid w:val="00A76ADD"/>
    <w:rsid w:val="00A81161"/>
    <w:rsid w:val="00A856F0"/>
    <w:rsid w:val="00A90517"/>
    <w:rsid w:val="00A920FA"/>
    <w:rsid w:val="00A96537"/>
    <w:rsid w:val="00A971FA"/>
    <w:rsid w:val="00AA1E9D"/>
    <w:rsid w:val="00AA222B"/>
    <w:rsid w:val="00AA2AC4"/>
    <w:rsid w:val="00AA5D5A"/>
    <w:rsid w:val="00AB23D6"/>
    <w:rsid w:val="00AB321F"/>
    <w:rsid w:val="00AB657E"/>
    <w:rsid w:val="00AB7E4F"/>
    <w:rsid w:val="00AC0751"/>
    <w:rsid w:val="00AC0FA8"/>
    <w:rsid w:val="00AC74AE"/>
    <w:rsid w:val="00AD3A61"/>
    <w:rsid w:val="00AD4461"/>
    <w:rsid w:val="00AD4E5B"/>
    <w:rsid w:val="00AD5F44"/>
    <w:rsid w:val="00AE04EE"/>
    <w:rsid w:val="00AE1DC4"/>
    <w:rsid w:val="00AE560C"/>
    <w:rsid w:val="00AE79EF"/>
    <w:rsid w:val="00AF103C"/>
    <w:rsid w:val="00AF467E"/>
    <w:rsid w:val="00AF5F89"/>
    <w:rsid w:val="00AF7185"/>
    <w:rsid w:val="00B006DC"/>
    <w:rsid w:val="00B00F6C"/>
    <w:rsid w:val="00B01639"/>
    <w:rsid w:val="00B04CCD"/>
    <w:rsid w:val="00B10319"/>
    <w:rsid w:val="00B105FC"/>
    <w:rsid w:val="00B11B77"/>
    <w:rsid w:val="00B13677"/>
    <w:rsid w:val="00B14BC8"/>
    <w:rsid w:val="00B20194"/>
    <w:rsid w:val="00B22E4A"/>
    <w:rsid w:val="00B25DB8"/>
    <w:rsid w:val="00B30266"/>
    <w:rsid w:val="00B31B7A"/>
    <w:rsid w:val="00B321EE"/>
    <w:rsid w:val="00B34704"/>
    <w:rsid w:val="00B373B3"/>
    <w:rsid w:val="00B42506"/>
    <w:rsid w:val="00B44E41"/>
    <w:rsid w:val="00B46237"/>
    <w:rsid w:val="00B46D66"/>
    <w:rsid w:val="00B5688E"/>
    <w:rsid w:val="00B616E8"/>
    <w:rsid w:val="00B61ABA"/>
    <w:rsid w:val="00B622CB"/>
    <w:rsid w:val="00B6246B"/>
    <w:rsid w:val="00B6455D"/>
    <w:rsid w:val="00B64C54"/>
    <w:rsid w:val="00B6687A"/>
    <w:rsid w:val="00B673D4"/>
    <w:rsid w:val="00B67BB5"/>
    <w:rsid w:val="00B74763"/>
    <w:rsid w:val="00B76187"/>
    <w:rsid w:val="00B771AF"/>
    <w:rsid w:val="00B80868"/>
    <w:rsid w:val="00B81498"/>
    <w:rsid w:val="00B81A6C"/>
    <w:rsid w:val="00B8344A"/>
    <w:rsid w:val="00B8482D"/>
    <w:rsid w:val="00B8687D"/>
    <w:rsid w:val="00B90D82"/>
    <w:rsid w:val="00B919EA"/>
    <w:rsid w:val="00B93F3D"/>
    <w:rsid w:val="00B96AE8"/>
    <w:rsid w:val="00B97ACC"/>
    <w:rsid w:val="00BB2CCB"/>
    <w:rsid w:val="00BB357C"/>
    <w:rsid w:val="00BB35A6"/>
    <w:rsid w:val="00BB3EAD"/>
    <w:rsid w:val="00BB4876"/>
    <w:rsid w:val="00BB69B9"/>
    <w:rsid w:val="00BC1631"/>
    <w:rsid w:val="00BC1954"/>
    <w:rsid w:val="00BC1FD7"/>
    <w:rsid w:val="00BC6AD7"/>
    <w:rsid w:val="00BD12FD"/>
    <w:rsid w:val="00BD2109"/>
    <w:rsid w:val="00BD58B7"/>
    <w:rsid w:val="00BD5FC1"/>
    <w:rsid w:val="00BD76EA"/>
    <w:rsid w:val="00BE01BD"/>
    <w:rsid w:val="00BE2E77"/>
    <w:rsid w:val="00BE3615"/>
    <w:rsid w:val="00BE474B"/>
    <w:rsid w:val="00BE4D6D"/>
    <w:rsid w:val="00BE7FA7"/>
    <w:rsid w:val="00BF002F"/>
    <w:rsid w:val="00BF1C90"/>
    <w:rsid w:val="00BF1CAA"/>
    <w:rsid w:val="00BF37CF"/>
    <w:rsid w:val="00BF662D"/>
    <w:rsid w:val="00BF7058"/>
    <w:rsid w:val="00C072EC"/>
    <w:rsid w:val="00C07C88"/>
    <w:rsid w:val="00C14C5A"/>
    <w:rsid w:val="00C20F59"/>
    <w:rsid w:val="00C24A5B"/>
    <w:rsid w:val="00C24E8B"/>
    <w:rsid w:val="00C25B5B"/>
    <w:rsid w:val="00C26F4E"/>
    <w:rsid w:val="00C27268"/>
    <w:rsid w:val="00C302D7"/>
    <w:rsid w:val="00C43430"/>
    <w:rsid w:val="00C436D9"/>
    <w:rsid w:val="00C475F0"/>
    <w:rsid w:val="00C51095"/>
    <w:rsid w:val="00C521A6"/>
    <w:rsid w:val="00C52A42"/>
    <w:rsid w:val="00C53303"/>
    <w:rsid w:val="00C5332B"/>
    <w:rsid w:val="00C53C19"/>
    <w:rsid w:val="00C541BC"/>
    <w:rsid w:val="00C6238D"/>
    <w:rsid w:val="00C63017"/>
    <w:rsid w:val="00C63E56"/>
    <w:rsid w:val="00C64158"/>
    <w:rsid w:val="00C64A63"/>
    <w:rsid w:val="00C664CE"/>
    <w:rsid w:val="00C67A0E"/>
    <w:rsid w:val="00C67AF8"/>
    <w:rsid w:val="00C713D8"/>
    <w:rsid w:val="00C72760"/>
    <w:rsid w:val="00C7617A"/>
    <w:rsid w:val="00C771F7"/>
    <w:rsid w:val="00C80769"/>
    <w:rsid w:val="00C81D58"/>
    <w:rsid w:val="00C845E5"/>
    <w:rsid w:val="00C8589F"/>
    <w:rsid w:val="00C87E76"/>
    <w:rsid w:val="00C92466"/>
    <w:rsid w:val="00C96472"/>
    <w:rsid w:val="00CA0D50"/>
    <w:rsid w:val="00CA39D4"/>
    <w:rsid w:val="00CA3BE3"/>
    <w:rsid w:val="00CA668E"/>
    <w:rsid w:val="00CA6864"/>
    <w:rsid w:val="00CA74AB"/>
    <w:rsid w:val="00CA7833"/>
    <w:rsid w:val="00CB1CA0"/>
    <w:rsid w:val="00CB2095"/>
    <w:rsid w:val="00CB26A7"/>
    <w:rsid w:val="00CC1A56"/>
    <w:rsid w:val="00CC7BD9"/>
    <w:rsid w:val="00CD2E50"/>
    <w:rsid w:val="00CD3D07"/>
    <w:rsid w:val="00CD67CD"/>
    <w:rsid w:val="00CE197A"/>
    <w:rsid w:val="00CE1E89"/>
    <w:rsid w:val="00CE5F74"/>
    <w:rsid w:val="00CE6517"/>
    <w:rsid w:val="00CE71A7"/>
    <w:rsid w:val="00CF0350"/>
    <w:rsid w:val="00CF13D1"/>
    <w:rsid w:val="00CF1723"/>
    <w:rsid w:val="00CF4EE7"/>
    <w:rsid w:val="00D0364B"/>
    <w:rsid w:val="00D05580"/>
    <w:rsid w:val="00D06691"/>
    <w:rsid w:val="00D074D8"/>
    <w:rsid w:val="00D07EF9"/>
    <w:rsid w:val="00D21A8F"/>
    <w:rsid w:val="00D22B97"/>
    <w:rsid w:val="00D2367B"/>
    <w:rsid w:val="00D24B46"/>
    <w:rsid w:val="00D31445"/>
    <w:rsid w:val="00D31CB0"/>
    <w:rsid w:val="00D343A0"/>
    <w:rsid w:val="00D37528"/>
    <w:rsid w:val="00D404FE"/>
    <w:rsid w:val="00D40F2E"/>
    <w:rsid w:val="00D428C0"/>
    <w:rsid w:val="00D473ED"/>
    <w:rsid w:val="00D504D3"/>
    <w:rsid w:val="00D52C77"/>
    <w:rsid w:val="00D53088"/>
    <w:rsid w:val="00D530B1"/>
    <w:rsid w:val="00D53B1F"/>
    <w:rsid w:val="00D5496D"/>
    <w:rsid w:val="00D5750F"/>
    <w:rsid w:val="00D61C0C"/>
    <w:rsid w:val="00D61CB4"/>
    <w:rsid w:val="00D67874"/>
    <w:rsid w:val="00D741A3"/>
    <w:rsid w:val="00D74D00"/>
    <w:rsid w:val="00D74F83"/>
    <w:rsid w:val="00D77819"/>
    <w:rsid w:val="00D80A27"/>
    <w:rsid w:val="00D81398"/>
    <w:rsid w:val="00D8774F"/>
    <w:rsid w:val="00D90A3F"/>
    <w:rsid w:val="00D93F13"/>
    <w:rsid w:val="00D95EA5"/>
    <w:rsid w:val="00D95FDE"/>
    <w:rsid w:val="00DA3550"/>
    <w:rsid w:val="00DA5407"/>
    <w:rsid w:val="00DB474A"/>
    <w:rsid w:val="00DB4E8D"/>
    <w:rsid w:val="00DC43E1"/>
    <w:rsid w:val="00DC4BEE"/>
    <w:rsid w:val="00DD00CA"/>
    <w:rsid w:val="00DD1390"/>
    <w:rsid w:val="00DD1F36"/>
    <w:rsid w:val="00DD3888"/>
    <w:rsid w:val="00DD4A0D"/>
    <w:rsid w:val="00DD5A4C"/>
    <w:rsid w:val="00DD5E9C"/>
    <w:rsid w:val="00DD6BB2"/>
    <w:rsid w:val="00DD7A86"/>
    <w:rsid w:val="00DE0F62"/>
    <w:rsid w:val="00DE1693"/>
    <w:rsid w:val="00DE2FFA"/>
    <w:rsid w:val="00DE4A4A"/>
    <w:rsid w:val="00E022DC"/>
    <w:rsid w:val="00E04C89"/>
    <w:rsid w:val="00E055E0"/>
    <w:rsid w:val="00E06DE4"/>
    <w:rsid w:val="00E0751F"/>
    <w:rsid w:val="00E1297A"/>
    <w:rsid w:val="00E139C6"/>
    <w:rsid w:val="00E13C41"/>
    <w:rsid w:val="00E1563C"/>
    <w:rsid w:val="00E20737"/>
    <w:rsid w:val="00E21E83"/>
    <w:rsid w:val="00E23CBA"/>
    <w:rsid w:val="00E243BF"/>
    <w:rsid w:val="00E2764C"/>
    <w:rsid w:val="00E31FAF"/>
    <w:rsid w:val="00E3446E"/>
    <w:rsid w:val="00E35333"/>
    <w:rsid w:val="00E41B43"/>
    <w:rsid w:val="00E421E9"/>
    <w:rsid w:val="00E44861"/>
    <w:rsid w:val="00E46B62"/>
    <w:rsid w:val="00E479F2"/>
    <w:rsid w:val="00E55912"/>
    <w:rsid w:val="00E57D20"/>
    <w:rsid w:val="00E70FE8"/>
    <w:rsid w:val="00E74162"/>
    <w:rsid w:val="00E7560D"/>
    <w:rsid w:val="00E76D0C"/>
    <w:rsid w:val="00E77ED8"/>
    <w:rsid w:val="00E80958"/>
    <w:rsid w:val="00E813BA"/>
    <w:rsid w:val="00E83230"/>
    <w:rsid w:val="00E858D5"/>
    <w:rsid w:val="00E869D3"/>
    <w:rsid w:val="00E90E54"/>
    <w:rsid w:val="00E9206A"/>
    <w:rsid w:val="00EA1B7F"/>
    <w:rsid w:val="00EA55C8"/>
    <w:rsid w:val="00EA6120"/>
    <w:rsid w:val="00EA62E8"/>
    <w:rsid w:val="00EB3B4E"/>
    <w:rsid w:val="00EB4471"/>
    <w:rsid w:val="00EB63F5"/>
    <w:rsid w:val="00EC0484"/>
    <w:rsid w:val="00EC1C7E"/>
    <w:rsid w:val="00EC4331"/>
    <w:rsid w:val="00EC4A1C"/>
    <w:rsid w:val="00EC4B33"/>
    <w:rsid w:val="00ED194E"/>
    <w:rsid w:val="00ED4855"/>
    <w:rsid w:val="00ED56D4"/>
    <w:rsid w:val="00ED63AA"/>
    <w:rsid w:val="00EE0D9F"/>
    <w:rsid w:val="00EE5B3B"/>
    <w:rsid w:val="00EE6945"/>
    <w:rsid w:val="00EF1768"/>
    <w:rsid w:val="00EF6FD1"/>
    <w:rsid w:val="00EF6FED"/>
    <w:rsid w:val="00F00CD5"/>
    <w:rsid w:val="00F07BB7"/>
    <w:rsid w:val="00F11F5B"/>
    <w:rsid w:val="00F12401"/>
    <w:rsid w:val="00F15C0D"/>
    <w:rsid w:val="00F16D63"/>
    <w:rsid w:val="00F211E0"/>
    <w:rsid w:val="00F21C20"/>
    <w:rsid w:val="00F21E42"/>
    <w:rsid w:val="00F23F1D"/>
    <w:rsid w:val="00F32FAB"/>
    <w:rsid w:val="00F41771"/>
    <w:rsid w:val="00F473C3"/>
    <w:rsid w:val="00F50896"/>
    <w:rsid w:val="00F50DCB"/>
    <w:rsid w:val="00F51925"/>
    <w:rsid w:val="00F568C0"/>
    <w:rsid w:val="00F574AF"/>
    <w:rsid w:val="00F5790D"/>
    <w:rsid w:val="00F62DFD"/>
    <w:rsid w:val="00F666B4"/>
    <w:rsid w:val="00F73FA9"/>
    <w:rsid w:val="00F74740"/>
    <w:rsid w:val="00F8484C"/>
    <w:rsid w:val="00F85E6D"/>
    <w:rsid w:val="00F86C1C"/>
    <w:rsid w:val="00F9013A"/>
    <w:rsid w:val="00F91BD8"/>
    <w:rsid w:val="00F925CF"/>
    <w:rsid w:val="00F92702"/>
    <w:rsid w:val="00F93860"/>
    <w:rsid w:val="00F97AE4"/>
    <w:rsid w:val="00FA0151"/>
    <w:rsid w:val="00FA52A9"/>
    <w:rsid w:val="00FB1CB0"/>
    <w:rsid w:val="00FC3A40"/>
    <w:rsid w:val="00FC6320"/>
    <w:rsid w:val="00FC6CF7"/>
    <w:rsid w:val="00FC7E55"/>
    <w:rsid w:val="00FD0304"/>
    <w:rsid w:val="00FD0C6A"/>
    <w:rsid w:val="00FD1665"/>
    <w:rsid w:val="00FD3D15"/>
    <w:rsid w:val="00FD4006"/>
    <w:rsid w:val="00FE11AA"/>
    <w:rsid w:val="00FE23B4"/>
    <w:rsid w:val="00FE25D4"/>
    <w:rsid w:val="00FE27C9"/>
    <w:rsid w:val="00FE56B3"/>
    <w:rsid w:val="00FE75DC"/>
    <w:rsid w:val="00FE7DD2"/>
    <w:rsid w:val="00FF1DDA"/>
    <w:rsid w:val="00FF3242"/>
    <w:rsid w:val="00FF341E"/>
    <w:rsid w:val="00FF55E4"/>
    <w:rsid w:val="00FF650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625313D"/>
  <w15:docId w15:val="{2BE0672E-BB14-4DDC-9E35-1EA773AC2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nhideWhenUsed/>
    <w:rsid w:val="00065E19"/>
    <w:pPr>
      <w:spacing w:line="240" w:lineRule="auto"/>
    </w:pPr>
    <w:rPr>
      <w:sz w:val="20"/>
      <w:szCs w:val="20"/>
    </w:rPr>
  </w:style>
  <w:style w:type="character" w:customStyle="1" w:styleId="CommentTextChar">
    <w:name w:val="Comment Text Char"/>
    <w:basedOn w:val="DefaultParagraphFont"/>
    <w:link w:val="CommentText"/>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nhideWhenUsed/>
    <w:rsid w:val="00E04C89"/>
    <w:pPr>
      <w:spacing w:after="0" w:line="240" w:lineRule="auto"/>
    </w:pPr>
    <w:rPr>
      <w:rFonts w:ascii="Times New Roman" w:eastAsia="PMingLiU" w:hAnsi="Times New Roman"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link w:val="FootnoteText"/>
    <w:rsid w:val="00E04C89"/>
    <w:rPr>
      <w:rFonts w:ascii="Times New Roman" w:eastAsia="PMingLiU" w:hAnsi="Times New Roman" w:cs="Times New Roman"/>
      <w:sz w:val="20"/>
      <w:szCs w:val="20"/>
    </w:rPr>
  </w:style>
  <w:style w:type="character" w:customStyle="1" w:styleId="st">
    <w:name w:val="st"/>
    <w:rsid w:val="00E04C89"/>
  </w:style>
  <w:style w:type="paragraph" w:styleId="Revision">
    <w:name w:val="Revision"/>
    <w:hidden/>
    <w:uiPriority w:val="99"/>
    <w:semiHidden/>
    <w:rsid w:val="00475EDD"/>
    <w:pPr>
      <w:spacing w:after="0" w:line="240" w:lineRule="auto"/>
    </w:pPr>
  </w:style>
  <w:style w:type="character" w:styleId="FootnoteReference">
    <w:name w:val="footnote reference"/>
    <w:aliases w:val="Footnote Reference Number,SUPERS,Footnote symbol,Footnote Refernece,ftref,Footnote Reference Superscript,Vēres atsauce"/>
    <w:uiPriority w:val="99"/>
    <w:rsid w:val="00674496"/>
    <w:rPr>
      <w:rFonts w:ascii="Times New Roman" w:hAnsi="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72136">
      <w:bodyDiv w:val="1"/>
      <w:marLeft w:val="0"/>
      <w:marRight w:val="0"/>
      <w:marTop w:val="0"/>
      <w:marBottom w:val="0"/>
      <w:divBdr>
        <w:top w:val="none" w:sz="0" w:space="0" w:color="auto"/>
        <w:left w:val="none" w:sz="0" w:space="0" w:color="auto"/>
        <w:bottom w:val="none" w:sz="0" w:space="0" w:color="auto"/>
        <w:right w:val="none" w:sz="0" w:space="0" w:color="auto"/>
      </w:divBdr>
    </w:div>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820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a.Vibe@lm.gov.lv" TargetMode="External"/><Relationship Id="rId4" Type="http://schemas.openxmlformats.org/officeDocument/2006/relationships/settings" Target="settings.xml"/><Relationship Id="rId9" Type="http://schemas.openxmlformats.org/officeDocument/2006/relationships/hyperlink" Target="http://www.l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12477-8F99-4562-9CCC-F8C9C1E8F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6570</Words>
  <Characters>3746</Characters>
  <Application>Microsoft Office Word</Application>
  <DocSecurity>0</DocSecurity>
  <Lines>31</Lines>
  <Paragraphs>20</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2014.gada 23.decembra noteikumos Nr.836 “Darbības programmas “Izaugsme un nodarbinātība” 7.1.1. specifiskā atbalsta mērķa “Paaugstināt bezdarbnieku kvalifikāciju un prasmes atbilstoši darba tirgus </vt:lpstr>
    </vt:vector>
  </TitlesOfParts>
  <Company>Labklājības ministrija</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2014.gada 23.decembra noteikumos Nr.836 “Darbības programmas “Izaugsme un nodarbinātība” 7.1.1. specifiskā atbalsta mērķa “Paaugstināt bezdarbnieku kvalifikāciju un prasmes atbilstoši darba tirgus pieprasījumam” īstenošanas noteikumi”” projekta sākotnējās ietekmes novērtējuma ziņojums (anotācija)</dc:title>
  <dc:subject>Anotācija</dc:subject>
  <dc:creator>Anna Vībe</dc:creator>
  <dc:description>E-pasts: Anna.Vibe@lm.gov.lv_x000d_
Tālr.: 67021648</dc:description>
  <cp:lastModifiedBy>Anna Vibe</cp:lastModifiedBy>
  <cp:revision>14</cp:revision>
  <cp:lastPrinted>2014-12-12T10:30:00Z</cp:lastPrinted>
  <dcterms:created xsi:type="dcterms:W3CDTF">2014-12-18T14:07:00Z</dcterms:created>
  <dcterms:modified xsi:type="dcterms:W3CDTF">2015-05-20T08:05:00Z</dcterms:modified>
</cp:coreProperties>
</file>