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36" w:rsidRPr="00F921EE" w:rsidRDefault="005F6E36" w:rsidP="005F6E36">
      <w:pPr>
        <w:jc w:val="center"/>
        <w:rPr>
          <w:b/>
          <w:color w:val="000000"/>
          <w:sz w:val="28"/>
          <w:szCs w:val="28"/>
        </w:rPr>
      </w:pPr>
      <w:r w:rsidRPr="00F921EE">
        <w:rPr>
          <w:b/>
          <w:color w:val="000000"/>
          <w:sz w:val="28"/>
          <w:szCs w:val="28"/>
        </w:rPr>
        <w:t xml:space="preserve">Ministru kabineta noteikumu projekta </w:t>
      </w:r>
    </w:p>
    <w:p w:rsidR="005F6E36" w:rsidRPr="00F921EE" w:rsidRDefault="005F6E36" w:rsidP="005F6E36">
      <w:pPr>
        <w:jc w:val="center"/>
        <w:rPr>
          <w:b/>
          <w:color w:val="000000"/>
          <w:sz w:val="28"/>
          <w:szCs w:val="28"/>
        </w:rPr>
      </w:pPr>
      <w:r w:rsidRPr="00F921EE">
        <w:rPr>
          <w:b/>
          <w:color w:val="000000"/>
          <w:sz w:val="28"/>
          <w:szCs w:val="28"/>
        </w:rPr>
        <w:t>„Grozījumi M</w:t>
      </w:r>
      <w:r w:rsidR="00E1162E">
        <w:rPr>
          <w:b/>
          <w:color w:val="000000"/>
          <w:sz w:val="28"/>
          <w:szCs w:val="28"/>
        </w:rPr>
        <w:t>inistru kabineta 2011.gada 25.</w:t>
      </w:r>
      <w:r w:rsidRPr="00F921EE">
        <w:rPr>
          <w:b/>
          <w:color w:val="000000"/>
          <w:sz w:val="28"/>
          <w:szCs w:val="28"/>
        </w:rPr>
        <w:t xml:space="preserve">janvāra noteikumos </w:t>
      </w:r>
    </w:p>
    <w:p w:rsidR="005F6E36" w:rsidRPr="00F921EE" w:rsidRDefault="00E1162E" w:rsidP="005F6E36">
      <w:pPr>
        <w:jc w:val="center"/>
        <w:rPr>
          <w:b/>
          <w:color w:val="000000"/>
          <w:sz w:val="28"/>
          <w:szCs w:val="28"/>
        </w:rPr>
      </w:pPr>
      <w:r>
        <w:rPr>
          <w:b/>
          <w:color w:val="000000"/>
          <w:sz w:val="28"/>
          <w:szCs w:val="28"/>
        </w:rPr>
        <w:t>Nr.</w:t>
      </w:r>
      <w:r w:rsidR="005F6E36" w:rsidRPr="00F921EE">
        <w:rPr>
          <w:b/>
          <w:color w:val="000000"/>
          <w:sz w:val="28"/>
          <w:szCs w:val="28"/>
        </w:rPr>
        <w:t>75 „Noteikumi par aktīvo nodarbinātības pasākumu un preventīvo bezdarba samazināšanas pasākumu organizēšanas un finansēšanas kārtību un pasākumu īstenotāju izvēles principiem””</w:t>
      </w:r>
    </w:p>
    <w:p w:rsidR="00B445F0" w:rsidRDefault="00B76D85" w:rsidP="005F6E36">
      <w:pPr>
        <w:jc w:val="center"/>
        <w:rPr>
          <w:b/>
          <w:sz w:val="28"/>
          <w:szCs w:val="28"/>
        </w:rPr>
      </w:pPr>
      <w:r w:rsidRPr="00AC181D">
        <w:rPr>
          <w:b/>
          <w:sz w:val="28"/>
          <w:szCs w:val="28"/>
        </w:rPr>
        <w:t xml:space="preserve">sākotnējās ietekmes novērtējuma </w:t>
      </w:r>
      <w:smartTag w:uri="schemas-tilde-lv/tildestengine" w:element="veidnes">
        <w:smartTagPr>
          <w:attr w:name="text" w:val="ziņojums"/>
          <w:attr w:name="id" w:val="-1"/>
          <w:attr w:name="baseform" w:val="ziņojum|s"/>
        </w:smartTagPr>
        <w:r w:rsidRPr="00AC181D">
          <w:rPr>
            <w:b/>
            <w:sz w:val="28"/>
            <w:szCs w:val="28"/>
          </w:rPr>
          <w:t>ziņojums</w:t>
        </w:r>
      </w:smartTag>
      <w:r w:rsidRPr="00AC181D">
        <w:rPr>
          <w:b/>
          <w:sz w:val="28"/>
          <w:szCs w:val="28"/>
        </w:rPr>
        <w:t xml:space="preserve"> (anotācija)</w:t>
      </w:r>
    </w:p>
    <w:p w:rsidR="00B76D85" w:rsidRDefault="00B76D85"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94614" w:rsidRPr="00B76D85" w:rsidTr="006A7D0B">
        <w:tc>
          <w:tcPr>
            <w:tcW w:w="5000" w:type="pct"/>
            <w:gridSpan w:val="3"/>
            <w:shd w:val="clear" w:color="auto" w:fill="auto"/>
          </w:tcPr>
          <w:p w:rsidR="00194614" w:rsidRPr="006A7D0B" w:rsidRDefault="00C01716" w:rsidP="006A7D0B">
            <w:pPr>
              <w:jc w:val="center"/>
              <w:rPr>
                <w:b/>
              </w:rPr>
            </w:pPr>
            <w:r w:rsidRPr="006A7D0B">
              <w:rPr>
                <w:b/>
              </w:rPr>
              <w:t>I</w:t>
            </w:r>
            <w:r w:rsidR="00DC37D9" w:rsidRPr="006A7D0B">
              <w:rPr>
                <w:b/>
              </w:rPr>
              <w:t>.</w:t>
            </w:r>
            <w:r w:rsidRPr="006A7D0B">
              <w:rPr>
                <w:b/>
              </w:rPr>
              <w:t xml:space="preserve"> Tiesību </w:t>
            </w:r>
            <w:smartTag w:uri="schemas-tilde-lv/tildestengine" w:element="veidnes">
              <w:smartTagPr>
                <w:attr w:name="text" w:val="akta"/>
                <w:attr w:name="id" w:val="-1"/>
                <w:attr w:name="baseform" w:val="akt|s"/>
              </w:smartTagPr>
              <w:r w:rsidRPr="006A7D0B">
                <w:rPr>
                  <w:b/>
                </w:rPr>
                <w:t>akta</w:t>
              </w:r>
            </w:smartTag>
            <w:r w:rsidRPr="006A7D0B">
              <w:rPr>
                <w:b/>
              </w:rPr>
              <w:t xml:space="preserve"> projekta izstrādes nepieciešamība</w:t>
            </w:r>
          </w:p>
        </w:tc>
      </w:tr>
      <w:tr w:rsidR="00B76D85" w:rsidRPr="006A7D0B" w:rsidTr="006A7D0B">
        <w:tc>
          <w:tcPr>
            <w:tcW w:w="213" w:type="pct"/>
            <w:shd w:val="clear" w:color="auto" w:fill="auto"/>
          </w:tcPr>
          <w:p w:rsidR="00B76D85" w:rsidRPr="006A7D0B" w:rsidRDefault="00B76D85" w:rsidP="00B76D85">
            <w:pPr>
              <w:rPr>
                <w:sz w:val="22"/>
                <w:szCs w:val="22"/>
              </w:rPr>
            </w:pPr>
            <w:r w:rsidRPr="006A7D0B">
              <w:rPr>
                <w:sz w:val="22"/>
                <w:szCs w:val="22"/>
              </w:rPr>
              <w:t>1.</w:t>
            </w:r>
          </w:p>
        </w:tc>
        <w:tc>
          <w:tcPr>
            <w:tcW w:w="1654" w:type="pct"/>
            <w:shd w:val="clear" w:color="auto" w:fill="auto"/>
          </w:tcPr>
          <w:p w:rsidR="00B76D85" w:rsidRPr="006A7D0B" w:rsidRDefault="00B76D85" w:rsidP="00B76D85">
            <w:pPr>
              <w:rPr>
                <w:sz w:val="22"/>
                <w:szCs w:val="22"/>
              </w:rPr>
            </w:pPr>
            <w:r w:rsidRPr="006A7D0B">
              <w:rPr>
                <w:sz w:val="22"/>
                <w:szCs w:val="22"/>
              </w:rPr>
              <w:t>Pamatojums</w:t>
            </w:r>
          </w:p>
        </w:tc>
        <w:tc>
          <w:tcPr>
            <w:tcW w:w="3133" w:type="pct"/>
            <w:shd w:val="clear" w:color="auto" w:fill="auto"/>
          </w:tcPr>
          <w:p w:rsidR="00B76D85" w:rsidRPr="006A7D0B" w:rsidRDefault="003819E0" w:rsidP="003819E0">
            <w:pPr>
              <w:jc w:val="both"/>
              <w:rPr>
                <w:i/>
                <w:color w:val="FF0000"/>
                <w:sz w:val="22"/>
                <w:szCs w:val="22"/>
              </w:rPr>
            </w:pPr>
            <w:r w:rsidRPr="006A3716">
              <w:t xml:space="preserve">Ministru kabineta noteikumu projekts „Grozījumi Ministru kabineta 2011.gada 25.janvāra noteikumos Nr.75 „Noteikumi par aktīvo nodarbinātības pasākumu un preventīvo bezdarba samazināšanas pasākumu organizēšanas un finansēšanas kārtību un pasākumu īstenotāju izvēles principiem”” (turpmāk - Noteikumu projekts) </w:t>
            </w:r>
            <w:r w:rsidRPr="00952ED3">
              <w:t xml:space="preserve">ir izstrādāti pēc Labklājības ministrijas iniciatīvas, lai pilnveidotu </w:t>
            </w:r>
            <w:r>
              <w:t>aktīvās darba tirgus politikas pasākumu īstenošanas nosacījumus</w:t>
            </w:r>
            <w:r w:rsidR="00BE710B">
              <w:t>.</w:t>
            </w:r>
          </w:p>
        </w:tc>
      </w:tr>
      <w:tr w:rsidR="00B76D85" w:rsidRPr="006A7D0B" w:rsidTr="006A7D0B">
        <w:tc>
          <w:tcPr>
            <w:tcW w:w="213" w:type="pct"/>
            <w:shd w:val="clear" w:color="auto" w:fill="auto"/>
          </w:tcPr>
          <w:p w:rsidR="00B76D85" w:rsidRPr="006A7D0B" w:rsidRDefault="00B76D85" w:rsidP="00B76D85">
            <w:pPr>
              <w:rPr>
                <w:sz w:val="22"/>
                <w:szCs w:val="22"/>
              </w:rPr>
            </w:pPr>
            <w:r w:rsidRPr="006A7D0B">
              <w:rPr>
                <w:sz w:val="22"/>
                <w:szCs w:val="22"/>
              </w:rPr>
              <w:t xml:space="preserve">2. </w:t>
            </w:r>
          </w:p>
        </w:tc>
        <w:tc>
          <w:tcPr>
            <w:tcW w:w="1654" w:type="pct"/>
            <w:shd w:val="clear" w:color="auto" w:fill="auto"/>
          </w:tcPr>
          <w:p w:rsidR="00B76D85" w:rsidRPr="006A7D0B" w:rsidRDefault="004373E9" w:rsidP="00B76D85">
            <w:pPr>
              <w:rPr>
                <w:sz w:val="22"/>
                <w:szCs w:val="22"/>
              </w:rPr>
            </w:pPr>
            <w:r w:rsidRPr="00DD49B6">
              <w:t>Pašreizējā situācija un problēmas, kuru risināšanai tiesību akta projekts izstrādāts, tiesiskā regulējuma mērķis un būtība</w:t>
            </w:r>
          </w:p>
        </w:tc>
        <w:tc>
          <w:tcPr>
            <w:tcW w:w="3133" w:type="pct"/>
            <w:shd w:val="clear" w:color="auto" w:fill="auto"/>
          </w:tcPr>
          <w:p w:rsidR="003B306A" w:rsidRDefault="00FE60F5" w:rsidP="003B306A">
            <w:pPr>
              <w:numPr>
                <w:ilvl w:val="0"/>
                <w:numId w:val="2"/>
              </w:numPr>
              <w:ind w:left="0" w:firstLine="360"/>
              <w:jc w:val="both"/>
            </w:pPr>
            <w:r w:rsidRPr="00FE60F5">
              <w:t xml:space="preserve">Atbilstoši Publisko iepirkumu likumam un Ministru kabineta 2011.gada 25.janvāra noteikumiem Nr.75 „Noteikumi par aktīvo nodarbinātības pasākumu un preventīvo bezdarba samazināšanas pasākumu organizēšanas un finansēšanas kārtību un pasākumu īstenotāju izvēles principiem” (turpmāk – MK noteikumi Nr.75) bezdarbnieku profesionālās un neformālās apmācības īstenošanas nodrošināšanai Nodarbinātības valsts aģentūrai (turpmāk – NVA) jāizvēlas izglītības iestādes, piemērojot publiskā iepirkuma prasības (B daļas iepirkums). Iepriekš minētais rada būtisku administratīvo slogu NVA, jo klienti izvēlas izglītības iestādes arī ārpus NVA piedāvātā izglītības iestāžu saraksta, kas savukārt nozīmē iepirkuma organizēšanu katrā šādā gadījumā. Tāpat NVA saskaras ar iepirkumu procedūras organizācijas problēmām (rezultātu apstrīdējumi, grūtības noteikt līgumcenas, jo nav prognozējams klientu skaits konkrētās izglītības iestādes organizētajās programmās utt.), kā rezultātā iepirkumu organizēšana kavē savlaicīgu apmācību uzsākšanos un neatbilst kuponu sistēmas galvenajam pamatprincipam – nodrošināt elastīgu un savlaicīgu pakalpojuma saņemšanu. </w:t>
            </w:r>
          </w:p>
          <w:p w:rsidR="003B306A" w:rsidRDefault="003B306A" w:rsidP="003B306A">
            <w:pPr>
              <w:jc w:val="both"/>
            </w:pPr>
            <w:r>
              <w:t>Apmācību kuponu sistēmas efektivizācijas nolūkā nākamajā ESF plānošanas periodā 2014. – 2020.gadam jāveido tādi bezdarbnieku apmācības organizēšanas nosacījumi, kas pieļautu iespēju neorganizēt publiskā iepirkuma procedūru. Lai nodrošinātu iepriekš minēto, atbilstoši Iepirkumu uzraudzības biroja atzinumā norādītajam (2014.gada 21.janvāra atzinums Nr.1-3.2./224) nepieciešams veikt šādas darbības:</w:t>
            </w:r>
          </w:p>
          <w:p w:rsidR="00385EC9" w:rsidRDefault="003B306A" w:rsidP="00385EC9">
            <w:pPr>
              <w:numPr>
                <w:ilvl w:val="1"/>
                <w:numId w:val="10"/>
              </w:numPr>
              <w:jc w:val="both"/>
            </w:pPr>
            <w:r>
              <w:t xml:space="preserve">Nepieciešams pārskatīt līgumu slēgšanas kārtību un dalībniekus, t.i., atteikties no </w:t>
            </w:r>
            <w:r>
              <w:lastRenderedPageBreak/>
              <w:t>līgumus slēgšanas starp NVA un izglītības iestādi, visus nepieciešamos apmācību īstenošanas nosacījumus un pušu pienākumus atrunājot MK noteikumos Nr.75 (piemēram, jāiekļauj detalizētākas prasības, kurām izglītības iestādei ir jāatbilst, lai tiktu akceptēta izglītības iestāžu dalība apmācību kuponu sistēmā, jāietver detalizēti apmācību īstenošanas nosacījumi, NVA tiesības veikt apmācību kvalitātes kontroli, apmācību izdevumu samaksas kārtība, atlīdzības veikšana apmācības pārtraukšanas gadījumā u.c.). Tādējādi līgums tiktu slēgts starp bezdarbnieku un izglītības iestādi un NVA garantētu mācību apmaksu izglītības iestādei, ja tiks sasniegts rezultāts.</w:t>
            </w:r>
          </w:p>
          <w:p w:rsidR="003B306A" w:rsidRDefault="003B306A" w:rsidP="00385EC9">
            <w:pPr>
              <w:numPr>
                <w:ilvl w:val="1"/>
                <w:numId w:val="10"/>
              </w:numPr>
              <w:jc w:val="both"/>
            </w:pPr>
            <w:r>
              <w:t>Jānosaka konkrēta kuponu vērtība, jo šobrīd MK noteikumos</w:t>
            </w:r>
            <w:r w:rsidR="00CD74BA">
              <w:t xml:space="preserve"> Nr.75</w:t>
            </w:r>
            <w:r>
              <w:t xml:space="preserve"> noteiktais kuponu vērtības slieksnis (noteikta maksimālā kupona vērtība) pieļauj iespēju izglītības iestādēm iesniegt arī zemāku kupona vērtību, kas savukārt izraisa vērtēšanas nepieciešamību, kas arī ir viens no priekšnosacījumiem publiskā iepirkuma rīkošanai.</w:t>
            </w:r>
          </w:p>
          <w:p w:rsidR="00684571" w:rsidRDefault="00684571" w:rsidP="00684571">
            <w:pPr>
              <w:tabs>
                <w:tab w:val="left" w:pos="-720"/>
                <w:tab w:val="left" w:pos="0"/>
                <w:tab w:val="left" w:pos="720"/>
                <w:tab w:val="left" w:pos="1440"/>
                <w:tab w:val="left" w:pos="2160"/>
                <w:tab w:val="left" w:pos="2880"/>
                <w:tab w:val="left" w:pos="3600"/>
                <w:tab w:val="left" w:pos="4320"/>
              </w:tabs>
              <w:autoSpaceDE w:val="0"/>
              <w:autoSpaceDN w:val="0"/>
              <w:adjustRightInd w:val="0"/>
              <w:jc w:val="both"/>
            </w:pPr>
            <w:r>
              <w:t>Atbilstoši saņemtajam Iepirkumu uzraudzības biroja skaidrojumam un, ņemot vērā to, ka prasības, kurām izglītības iestādei ir jāatbilst, lai tiktu akceptēta izglītības iestāžu dalība apmācību kuponu sistēmā, detalizēti apmācību īstenošanas nosacījumi, izdevumu segšanas kārtība u.tml. tiek paredzēti noteikumu projektā, Iepirkumu uzraudzības biroja ieskatā nav secināms, ka tiktu slēgts publisks iepirkuma līgums starp NVA un izglītības iestādēm, jo izglītības iestāžu izvēle nav atkarīga no NVA izvirzītajām prasībām. Šajā gadījumā izglītības iestādes izvēlas paši bezdarbnieki, taču izglītības iestādēm ir jāatbilst noteikumu projektā izvirzītajām prasībām. Līdz ar to, atbilstoši paredzētajai jaunajai kārtībai, nav pamata piemērot publisko iepirkumu procedūru. Izmaiņas kuponu sistēmā neierobežo izglītības iestāžu tiesības pretendēt uz apmācību pakalpojumu sniegšanu, jo apmācību pakalpojums tiek piedāvāts brīvā tirgū, godīgas konkurences apstākļos. Jebkurai izglītības iestādei, kas atbilst noteiktajiem kritērijiem ir tiesības īstenot apmācības kuponu sistēmas ietvaros. Izglītības iestādes, vadoties pēc personīgiem apsvērumiem, izvēlēsies paši bezdarbnieki un darba meklētāji (vai darba devēji, ja apmācībās iesaista pēc darba devēja pieprasījuma).</w:t>
            </w:r>
          </w:p>
          <w:p w:rsidR="00D46A70" w:rsidRDefault="00C81D43" w:rsidP="00C81D43">
            <w:pPr>
              <w:jc w:val="both"/>
            </w:pPr>
            <w:r>
              <w:t xml:space="preserve">Tāpat, lai </w:t>
            </w:r>
            <w:r w:rsidRPr="00C81D43">
              <w:t xml:space="preserve">kuponu metode būtu </w:t>
            </w:r>
            <w:r>
              <w:t xml:space="preserve">vēl </w:t>
            </w:r>
            <w:r w:rsidRPr="00C81D43">
              <w:t xml:space="preserve">vairāk orientēta uz rezultātu un veicinātu izglītības iestāžu atbildību </w:t>
            </w:r>
            <w:r w:rsidRPr="00C81D43">
              <w:lastRenderedPageBreak/>
              <w:t>apmācību procesā,</w:t>
            </w:r>
            <w:r>
              <w:t xml:space="preserve"> nepieciešams pārskatīt apmācību kuponu apmaksas kārtību, paredzot, ka tikai daļa no apmācību izmaksām tiek iemaksāta avansa veidā un atlikuši daļa tikai pēc apmācību pabeigšanas un izglītību apliecinoša dokumenta saņemšanas. Gadījum</w:t>
            </w:r>
            <w:r w:rsidR="00FD40E3">
              <w:t xml:space="preserve">ā, </w:t>
            </w:r>
            <w:r>
              <w:t xml:space="preserve">ja </w:t>
            </w:r>
            <w:r w:rsidR="00865A0F">
              <w:t xml:space="preserve">apmācības tiks pārtrauktas bezdarbnieka vai darba meklētāja </w:t>
            </w:r>
            <w:r w:rsidR="00ED7ABB">
              <w:t xml:space="preserve">vainas </w:t>
            </w:r>
            <w:r w:rsidR="00865A0F">
              <w:t xml:space="preserve">dēļ, izglītības iestāde saņems apmācību izdevumu apmaksu atbilstoši bezdarbnieka vai darba meklētāja faktiskajam </w:t>
            </w:r>
            <w:r w:rsidR="00ED7ABB">
              <w:t xml:space="preserve">apmācību </w:t>
            </w:r>
            <w:r w:rsidR="00865A0F">
              <w:t>apmeklējumam.</w:t>
            </w:r>
          </w:p>
          <w:p w:rsidR="00A07DA0" w:rsidRPr="00587020" w:rsidRDefault="00A07DA0" w:rsidP="00C81D43">
            <w:pPr>
              <w:jc w:val="both"/>
            </w:pPr>
            <w:r w:rsidRPr="00587020">
              <w:t>Esošo Ministru kabineta noteikumu Nr.75 45.2.apakšpunkts paredz otrā kvalifikācijas līmeņa profesionālās tālākizglītības programmu ar maksimālu mācību ilgumu 640 mācību stundu apmērā. Šo normu nepieciešams grozīt un palielināt otrā kvalifikācijas līmeņa profesionālās tālākizglītības programmas apmācību ar mācību ilgumu līdz 960 mācību stundām. To paredz pieaugušās darba tirgus prasības atsevišķu profesiju kvalifikācijas iegūšanai un saskaņā ar to Labklājības ministrijas Apmācību komisijas 2014.gada 20.novembra sēdē (protokols Nr. 2/2014) tika nolemts - mainīt otrā kvalifikācijas līmeņa profesionālās tālākizglītības programmas „Elektromontieris” stundu skaitu no 640 mācību stundām līdz 960 mācību stundām, ko atbalstīja Enerģētikas Nozaru ekspertu pad</w:t>
            </w:r>
            <w:r w:rsidR="00634A1B">
              <w:t xml:space="preserve">ome, ņemot vērā to, </w:t>
            </w:r>
            <w:r w:rsidR="00634A1B" w:rsidRPr="00634A1B">
              <w:t xml:space="preserve">ka īsākā laikā ir </w:t>
            </w:r>
            <w:r w:rsidR="00634A1B">
              <w:t>sarežģīti</w:t>
            </w:r>
            <w:r w:rsidR="00634A1B" w:rsidRPr="00634A1B">
              <w:t xml:space="preserve"> nodrošināt nepieciešamās zināšanas </w:t>
            </w:r>
            <w:r w:rsidR="00634A1B">
              <w:t>konkrētās profesionālās kvalifikācijas iegūšanai</w:t>
            </w:r>
            <w:r w:rsidR="00634A1B" w:rsidRPr="00634A1B">
              <w:t xml:space="preserve"> cilvēkiem bez priekšzināšanām</w:t>
            </w:r>
            <w:r w:rsidR="00634A1B">
              <w:t>.</w:t>
            </w:r>
          </w:p>
          <w:p w:rsidR="009019EB" w:rsidRDefault="009019EB" w:rsidP="009019EB">
            <w:pPr>
              <w:jc w:val="both"/>
            </w:pPr>
            <w:r>
              <w:t>Vienlaikus ir plānots paplašināt mērķa grupu profesionālās tālākizglītības, profesionālās pilnveides un neformālās izglītības pasākumos, nosakot, ka tajos var piedalīties jaunieši vecumā no 15 līdz 29 gadiem (pašreiz apmācību pasākumos var piedalīties jaunieši vecumā no 15 līdz 24 gadiem). Saskaņā ar Nodarbinātības valsts aģentūras datiem, arī vecumā no 25 līdz 29 gadiem jauniešiem bieži vien ir iegūta tikai vispārējā vidējā izglītība, vai arī zemāks izglītības līmenis (54% gadījumu; vecumā grupā no 1</w:t>
            </w:r>
            <w:r w:rsidR="00D323E0">
              <w:t>5</w:t>
            </w:r>
            <w:r>
              <w:t xml:space="preserve"> līdz 24 gadiem – vidēji 60%).</w:t>
            </w:r>
          </w:p>
          <w:p w:rsidR="00E00B04" w:rsidRDefault="00E00B04" w:rsidP="009019EB">
            <w:pPr>
              <w:jc w:val="both"/>
            </w:pPr>
            <w:r>
              <w:t xml:space="preserve">Atbilstoši grozījumu projektā noteiktajam, </w:t>
            </w:r>
            <w:r w:rsidRPr="00E00B04">
              <w:t>50 % no apmācību kupona vērtības aģentūra pārskaita 30 dienu laikā pēc izglītības iestādes rēķina saņemšanas</w:t>
            </w:r>
            <w:r>
              <w:t xml:space="preserve">. Kaut arī līdz šim nav konstatēti gadījumi, kad būtu nepieciešams no izglītības iestādēm piedzīt saņemto avansa maksājumu līguma neizpildes vai nepienācīgas izpildes dēļ, gadījumos, kad avansa maksājums ir veikts, taču izglītības iestāde nepilda līgumu vai ir pārkāpusi kādu no līguma nosacījumiem, aģentūra nosūta izglītības iestādei brīdinājumu un rēķinu par avansa summas apmaksu. Ja izglītības iestāde </w:t>
            </w:r>
            <w:r w:rsidRPr="00E00B04">
              <w:t xml:space="preserve">saņemto </w:t>
            </w:r>
            <w:r>
              <w:t>avansa maksājumu</w:t>
            </w:r>
            <w:r w:rsidRPr="00E00B04">
              <w:t xml:space="preserve"> neatlīdzina labprātīgi, aģentūra attiecīgo summu piedzen Civilprocesa </w:t>
            </w:r>
            <w:r w:rsidRPr="00E00B04">
              <w:lastRenderedPageBreak/>
              <w:t>likumā noteiktajā kārtībā, iesniedzot prasību tiesā</w:t>
            </w:r>
            <w:r>
              <w:t>.</w:t>
            </w:r>
          </w:p>
          <w:p w:rsidR="00617341" w:rsidRDefault="00617341" w:rsidP="009019EB">
            <w:pPr>
              <w:jc w:val="both"/>
            </w:pPr>
          </w:p>
          <w:p w:rsidR="00AC2862" w:rsidRDefault="00617341" w:rsidP="00AC2862">
            <w:pPr>
              <w:pStyle w:val="ListParagraph"/>
              <w:widowControl w:val="0"/>
              <w:numPr>
                <w:ilvl w:val="0"/>
                <w:numId w:val="10"/>
              </w:numPr>
              <w:spacing w:after="0" w:line="240" w:lineRule="auto"/>
              <w:ind w:left="0" w:firstLine="0"/>
              <w:jc w:val="both"/>
              <w:rPr>
                <w:rFonts w:ascii="Times New Roman" w:hAnsi="Times New Roman"/>
                <w:sz w:val="24"/>
                <w:szCs w:val="24"/>
              </w:rPr>
            </w:pPr>
            <w:r w:rsidRPr="00AC2862">
              <w:rPr>
                <w:rFonts w:ascii="Times New Roman" w:hAnsi="Times New Roman"/>
                <w:sz w:val="24"/>
                <w:szCs w:val="24"/>
              </w:rPr>
              <w:t>Atbilstoši MK noteikumos Nr.75 noteiktajam</w:t>
            </w:r>
            <w:r w:rsidR="00AC2862">
              <w:rPr>
                <w:rFonts w:ascii="Times New Roman" w:hAnsi="Times New Roman"/>
                <w:sz w:val="24"/>
                <w:szCs w:val="24"/>
              </w:rPr>
              <w:t>,</w:t>
            </w:r>
            <w:r w:rsidRPr="00AC2862">
              <w:rPr>
                <w:rFonts w:ascii="Times New Roman" w:hAnsi="Times New Roman"/>
                <w:sz w:val="24"/>
                <w:szCs w:val="24"/>
              </w:rPr>
              <w:t xml:space="preserve"> pasākumu īstenošanai un pakalpojumu sniegšanai </w:t>
            </w:r>
            <w:r w:rsidR="00AC2862">
              <w:rPr>
                <w:rFonts w:ascii="Times New Roman" w:hAnsi="Times New Roman"/>
                <w:sz w:val="24"/>
                <w:szCs w:val="24"/>
              </w:rPr>
              <w:t xml:space="preserve">NVA </w:t>
            </w:r>
            <w:r w:rsidRPr="00AC2862">
              <w:rPr>
                <w:rFonts w:ascii="Times New Roman" w:hAnsi="Times New Roman"/>
                <w:sz w:val="24"/>
                <w:szCs w:val="24"/>
              </w:rPr>
              <w:t xml:space="preserve">izvēlas pasākumu īstenotājus, t.sk. surdotulkus, kurus NVA izvēlas atbilstoši prasībām, kas noteiktas normatīvajos aktos par publiskajiem iepirkumiem. </w:t>
            </w:r>
            <w:r w:rsidR="00AC2862">
              <w:rPr>
                <w:rFonts w:ascii="Times New Roman" w:hAnsi="Times New Roman"/>
                <w:sz w:val="24"/>
                <w:szCs w:val="24"/>
              </w:rPr>
              <w:t xml:space="preserve">Labklājības ministrija ir izstrādājusi surdotulku pakalpojuma grozu </w:t>
            </w:r>
            <w:r w:rsidR="00AC2862" w:rsidRPr="00AC2862">
              <w:rPr>
                <w:rFonts w:ascii="Times New Roman" w:hAnsi="Times New Roman"/>
                <w:sz w:val="24"/>
                <w:szCs w:val="24"/>
              </w:rPr>
              <w:t>atbilstoši Invalid</w:t>
            </w:r>
            <w:r w:rsidR="002B6ABC">
              <w:rPr>
                <w:rFonts w:ascii="Times New Roman" w:hAnsi="Times New Roman"/>
                <w:sz w:val="24"/>
                <w:szCs w:val="24"/>
              </w:rPr>
              <w:t>itātes likuma 13.panta 3. un 4.</w:t>
            </w:r>
            <w:r w:rsidR="00AC2862" w:rsidRPr="00AC2862">
              <w:rPr>
                <w:rFonts w:ascii="Times New Roman" w:hAnsi="Times New Roman"/>
                <w:sz w:val="24"/>
                <w:szCs w:val="24"/>
              </w:rPr>
              <w:t xml:space="preserve">daļā noteiktajam, Ministru kabineta 2009.gada 15.decembra noteikumos Nr.1472 „Kārtība, kādā Latvijas Neredzīgo biedrība un Latvijas Nedzirdīgo savienība sniedz sociālās rehabilitācijas pakalpojumus un nodrošina tehniskos palīglīdzekļus – tiflotehniku un surdotehniku” un Ministru kabineta 2003.gada 3.jūnija noteikumos Nr.291 „Prasības sociālo pakalpojumu sniedzējiem” noteiktajām prasībām. </w:t>
            </w:r>
          </w:p>
          <w:p w:rsidR="00AC2862" w:rsidRDefault="00AC2862" w:rsidP="00AC2862">
            <w:pPr>
              <w:jc w:val="both"/>
            </w:pPr>
            <w:r>
              <w:t>P</w:t>
            </w:r>
            <w:r w:rsidRPr="00145996">
              <w:t>akalpojuma izmaksas t</w:t>
            </w:r>
            <w:r>
              <w:t>iek rēķinātas uz 1 surdotulku stundā</w:t>
            </w:r>
            <w:r w:rsidRPr="00145996">
              <w:t>.</w:t>
            </w:r>
            <w:r>
              <w:t xml:space="preserve"> Viena surdotulka izmaksas stundā</w:t>
            </w:r>
            <w:r w:rsidRPr="0000053E">
              <w:t xml:space="preserve"> </w:t>
            </w:r>
            <w:r>
              <w:t xml:space="preserve">surdotulka pakalpojumam izglītības programmas apguvei </w:t>
            </w:r>
            <w:r w:rsidRPr="0000053E">
              <w:t>ir</w:t>
            </w:r>
            <w:r w:rsidRPr="00182E94">
              <w:t xml:space="preserve"> </w:t>
            </w:r>
            <w:r w:rsidR="003668DA">
              <w:t>9,</w:t>
            </w:r>
            <w:r w:rsidR="00167401" w:rsidRPr="00167401">
              <w:t>65</w:t>
            </w:r>
            <w:r w:rsidRPr="00167401">
              <w:t xml:space="preserve"> </w:t>
            </w:r>
            <w:r w:rsidRPr="00AC2862">
              <w:rPr>
                <w:i/>
              </w:rPr>
              <w:t>euro</w:t>
            </w:r>
            <w:r>
              <w:t xml:space="preserve"> un surdotulka pakalpojumam saskarsmes nodrošināšanai ir </w:t>
            </w:r>
            <w:r w:rsidR="00167401" w:rsidRPr="00167401">
              <w:t>10</w:t>
            </w:r>
            <w:r w:rsidR="003668DA">
              <w:t>,</w:t>
            </w:r>
            <w:r w:rsidR="00167401" w:rsidRPr="00167401">
              <w:t>50</w:t>
            </w:r>
            <w:r w:rsidRPr="00167401">
              <w:t xml:space="preserve"> </w:t>
            </w:r>
            <w:r w:rsidRPr="00AC2862">
              <w:rPr>
                <w:i/>
              </w:rPr>
              <w:t>euro</w:t>
            </w:r>
            <w:r>
              <w:rPr>
                <w:i/>
              </w:rPr>
              <w:t xml:space="preserve">. </w:t>
            </w:r>
          </w:p>
          <w:p w:rsidR="001E1307" w:rsidRDefault="00870749" w:rsidP="00870749">
            <w:pPr>
              <w:ind w:firstLine="501"/>
              <w:jc w:val="both"/>
            </w:pPr>
            <w:r>
              <w:t xml:space="preserve">2.1 </w:t>
            </w:r>
            <w:r w:rsidR="001E1307" w:rsidRPr="001E1307">
              <w:t>Surdotulka pakalpojuma saskarsmes nodrošināš</w:t>
            </w:r>
            <w:r w:rsidR="001E1307">
              <w:t>anai</w:t>
            </w:r>
            <w:r w:rsidR="001E1307" w:rsidRPr="001E1307">
              <w:t xml:space="preserve"> groza izmaksu aprēķins</w:t>
            </w:r>
            <w:r w:rsidR="001E1307">
              <w:t>:</w:t>
            </w:r>
          </w:p>
          <w:p w:rsidR="001E1307" w:rsidRDefault="0008362C" w:rsidP="00AC2862">
            <w:pPr>
              <w:jc w:val="both"/>
            </w:pPr>
            <w:r w:rsidRPr="0008362C">
              <w:t>Vidējo darba stu</w:t>
            </w:r>
            <w:r>
              <w:t xml:space="preserve">ndu skaitu mēnesī aprēķina pēc </w:t>
            </w:r>
            <w:r w:rsidRPr="0008362C">
              <w:t>formulas - darba laika kalendāra kopējo darba stundu skaitu gadā dalot ar 12 mēnešiem. Atbilstoši 2014.gadā ir 1987 darba stundas: 12 mēnešie</w:t>
            </w:r>
            <w:r>
              <w:t>m = 165,58/166 stundas mēnesī (</w:t>
            </w:r>
            <w:r w:rsidRPr="0008362C">
              <w:t>pie 40 stundu darba nedēļas).</w:t>
            </w:r>
          </w:p>
          <w:p w:rsidR="0008362C" w:rsidRDefault="0008362C" w:rsidP="00AC2862">
            <w:pPr>
              <w:jc w:val="both"/>
            </w:pPr>
            <w:r w:rsidRPr="0008362C">
              <w:t xml:space="preserve">Surdotulka alga mēnesī 994 </w:t>
            </w:r>
            <w:r w:rsidRPr="0008362C">
              <w:rPr>
                <w:i/>
              </w:rPr>
              <w:t>euro</w:t>
            </w:r>
            <w:r w:rsidR="003668DA">
              <w:t xml:space="preserve"> + 234,</w:t>
            </w:r>
            <w:r w:rsidRPr="0008362C">
              <w:t xml:space="preserve">48 </w:t>
            </w:r>
            <w:r w:rsidRPr="0008362C">
              <w:rPr>
                <w:i/>
              </w:rPr>
              <w:t xml:space="preserve">euro </w:t>
            </w:r>
            <w:r w:rsidR="003668DA">
              <w:t xml:space="preserve">(23,59% DD soc.nod.) </w:t>
            </w:r>
            <w:r w:rsidRPr="0008362C">
              <w:t>=</w:t>
            </w:r>
            <w:r w:rsidR="003668DA">
              <w:t xml:space="preserve"> 1228,</w:t>
            </w:r>
            <w:r w:rsidRPr="0008362C">
              <w:t xml:space="preserve">48 </w:t>
            </w:r>
            <w:r w:rsidRPr="0008362C">
              <w:rPr>
                <w:i/>
              </w:rPr>
              <w:t>euro</w:t>
            </w:r>
            <w:r w:rsidRPr="0008362C">
              <w:t xml:space="preserve"> (9 mēnešalgu grupa</w:t>
            </w:r>
            <w:r>
              <w:t>,</w:t>
            </w:r>
            <w:r w:rsidR="003668DA">
              <w:t xml:space="preserve"> 3 kategorija)/166 stundas = 7,</w:t>
            </w:r>
            <w:r w:rsidRPr="0008362C">
              <w:t xml:space="preserve">40 </w:t>
            </w:r>
            <w:r w:rsidRPr="0008362C">
              <w:rPr>
                <w:i/>
              </w:rPr>
              <w:t xml:space="preserve">euro </w:t>
            </w:r>
            <w:r w:rsidRPr="0008362C">
              <w:t>stundā.</w:t>
            </w:r>
          </w:p>
          <w:p w:rsidR="0041151B" w:rsidRDefault="0041151B" w:rsidP="00AC2862">
            <w:pPr>
              <w:jc w:val="both"/>
            </w:pPr>
            <w:r w:rsidRPr="0041151B">
              <w:t>Pakalpojumu grozā ar izmitināšanu šīs izmaks</w:t>
            </w:r>
            <w:r w:rsidR="003668DA">
              <w:t>as 1 klientam dienā sastāda 15,</w:t>
            </w:r>
            <w:r w:rsidRPr="0041151B">
              <w:t xml:space="preserve">34 </w:t>
            </w:r>
            <w:r w:rsidRPr="0041151B">
              <w:rPr>
                <w:i/>
              </w:rPr>
              <w:t>euro</w:t>
            </w:r>
            <w:r w:rsidR="002B6ABC">
              <w:t>. T</w:t>
            </w:r>
            <w:r w:rsidRPr="0041151B">
              <w:t>iek pieņemts, ka pakalpojumam bez izmitināšanas, kas tiek sniegts klientam tikai darba dienās darb</w:t>
            </w:r>
            <w:r w:rsidR="002B6ABC">
              <w:t>a laikā, t.i., 8 stundas dienā. Š</w:t>
            </w:r>
            <w:r w:rsidR="003668DA">
              <w:t>īs izmaksas sastāda 70% no 15,</w:t>
            </w:r>
            <w:r w:rsidRPr="0041151B">
              <w:t xml:space="preserve">34 </w:t>
            </w:r>
            <w:r w:rsidRPr="0041151B">
              <w:rPr>
                <w:i/>
              </w:rPr>
              <w:t>euro</w:t>
            </w:r>
            <w:r w:rsidR="003668DA">
              <w:t xml:space="preserve"> = 10,</w:t>
            </w:r>
            <w:r w:rsidRPr="0041151B">
              <w:t xml:space="preserve">74 </w:t>
            </w:r>
            <w:r w:rsidRPr="0041151B">
              <w:rPr>
                <w:i/>
              </w:rPr>
              <w:t>euro</w:t>
            </w:r>
            <w:r w:rsidR="003668DA">
              <w:t xml:space="preserve"> dienā (15,</w:t>
            </w:r>
            <w:r w:rsidRPr="0041151B">
              <w:t xml:space="preserve">34 </w:t>
            </w:r>
            <w:r w:rsidRPr="0041151B">
              <w:rPr>
                <w:i/>
              </w:rPr>
              <w:t>euro</w:t>
            </w:r>
            <w:r w:rsidR="003668DA">
              <w:t>/100*70)/</w:t>
            </w:r>
            <w:r w:rsidRPr="0041151B">
              <w:t>8 stun</w:t>
            </w:r>
            <w:r w:rsidR="003668DA">
              <w:t>das = 1,</w:t>
            </w:r>
            <w:r w:rsidRPr="0041151B">
              <w:t xml:space="preserve">34 </w:t>
            </w:r>
            <w:r w:rsidRPr="0041151B">
              <w:rPr>
                <w:i/>
              </w:rPr>
              <w:t>euro</w:t>
            </w:r>
            <w:r w:rsidRPr="0041151B">
              <w:t xml:space="preserve"> stundā</w:t>
            </w:r>
            <w:r>
              <w:t>. Savukārt administrēšanas izmaksas sastāda n</w:t>
            </w:r>
            <w:r w:rsidRPr="0041151B">
              <w:t>e vairāk kā 10% no pakalpojumam novirzītā finansējuma kopējās summas</w:t>
            </w:r>
            <w:r w:rsidR="003668DA">
              <w:t xml:space="preserve"> (8,</w:t>
            </w:r>
            <w:r w:rsidR="00D0203A">
              <w:t xml:space="preserve">74 </w:t>
            </w:r>
            <w:r w:rsidR="00D0203A" w:rsidRPr="00076D11">
              <w:rPr>
                <w:i/>
              </w:rPr>
              <w:t>euro</w:t>
            </w:r>
            <w:r w:rsidR="00D0203A">
              <w:t xml:space="preserve"> *10%</w:t>
            </w:r>
            <w:r w:rsidR="00524303">
              <w:t xml:space="preserve"> </w:t>
            </w:r>
            <w:r w:rsidR="00D0203A">
              <w:t>=</w:t>
            </w:r>
            <w:r w:rsidR="00524303">
              <w:t xml:space="preserve"> </w:t>
            </w:r>
            <w:r w:rsidR="003668DA">
              <w:t>0,</w:t>
            </w:r>
            <w:r w:rsidR="00D0203A">
              <w:t>87</w:t>
            </w:r>
            <w:r w:rsidR="00D0203A" w:rsidRPr="00D0203A">
              <w:t xml:space="preserve"> </w:t>
            </w:r>
            <w:r w:rsidR="00D0203A" w:rsidRPr="00D0203A">
              <w:rPr>
                <w:i/>
              </w:rPr>
              <w:t>euro</w:t>
            </w:r>
            <w:r w:rsidR="00D0203A" w:rsidRPr="00D0203A">
              <w:t xml:space="preserve"> stundā</w:t>
            </w:r>
            <w:r w:rsidR="00D0203A">
              <w:t>)</w:t>
            </w:r>
            <w:r>
              <w:t xml:space="preserve">. </w:t>
            </w:r>
          </w:p>
          <w:p w:rsidR="00946311" w:rsidRDefault="00870749" w:rsidP="00870749">
            <w:pPr>
              <w:ind w:firstLine="501"/>
              <w:jc w:val="both"/>
            </w:pPr>
            <w:r>
              <w:t xml:space="preserve">2.2 </w:t>
            </w:r>
            <w:r w:rsidR="00946311" w:rsidRPr="00946311">
              <w:t>Surdotulka pakalpojuma izglītības apguves nodrošināšanai groza izmaksu aprēķins</w:t>
            </w:r>
            <w:r w:rsidR="00946311">
              <w:t>:</w:t>
            </w:r>
          </w:p>
          <w:p w:rsidR="00946311" w:rsidRDefault="00946311" w:rsidP="00AC2862">
            <w:pPr>
              <w:jc w:val="both"/>
            </w:pPr>
            <w:r w:rsidRPr="00946311">
              <w:t xml:space="preserve">Surdotulka alga mēnesī 994 </w:t>
            </w:r>
            <w:r w:rsidRPr="00076D11">
              <w:rPr>
                <w:i/>
              </w:rPr>
              <w:t>euro</w:t>
            </w:r>
            <w:r w:rsidR="003668DA">
              <w:t xml:space="preserve"> + 234,</w:t>
            </w:r>
            <w:r w:rsidRPr="00946311">
              <w:t xml:space="preserve">48 </w:t>
            </w:r>
            <w:r w:rsidRPr="00076D11">
              <w:rPr>
                <w:i/>
              </w:rPr>
              <w:t>euro</w:t>
            </w:r>
            <w:r w:rsidR="003668DA">
              <w:t xml:space="preserve"> (23,</w:t>
            </w:r>
            <w:r w:rsidRPr="00946311">
              <w:t>59% DD soc.nod</w:t>
            </w:r>
            <w:r w:rsidR="00524303">
              <w:t>.</w:t>
            </w:r>
            <w:r w:rsidRPr="00946311">
              <w:t>)</w:t>
            </w:r>
            <w:r w:rsidR="00524303">
              <w:t xml:space="preserve"> </w:t>
            </w:r>
            <w:r w:rsidRPr="00946311">
              <w:t>=</w:t>
            </w:r>
            <w:r w:rsidR="00524303">
              <w:t xml:space="preserve"> </w:t>
            </w:r>
            <w:r w:rsidR="003668DA">
              <w:t>1228,</w:t>
            </w:r>
            <w:r w:rsidRPr="00946311">
              <w:t xml:space="preserve">48 </w:t>
            </w:r>
            <w:r w:rsidRPr="00076D11">
              <w:rPr>
                <w:i/>
              </w:rPr>
              <w:t>euro</w:t>
            </w:r>
            <w:r w:rsidRPr="00946311">
              <w:t xml:space="preserve"> (9 mēnešalgu grup</w:t>
            </w:r>
            <w:r w:rsidR="003668DA">
              <w:t>a 3 kategorija)/166 stundas = 7,</w:t>
            </w:r>
            <w:r w:rsidRPr="00946311">
              <w:t xml:space="preserve">40 </w:t>
            </w:r>
            <w:r w:rsidRPr="00076D11">
              <w:rPr>
                <w:i/>
              </w:rPr>
              <w:t>euro</w:t>
            </w:r>
            <w:r w:rsidRPr="00946311">
              <w:t xml:space="preserve"> stundā.</w:t>
            </w:r>
          </w:p>
          <w:p w:rsidR="00946311" w:rsidRDefault="00946311" w:rsidP="00AC2862">
            <w:pPr>
              <w:jc w:val="both"/>
            </w:pPr>
            <w:r w:rsidRPr="00946311">
              <w:t>Pakalpojumu grozā ar izmitināšanu šīs izmak</w:t>
            </w:r>
            <w:r w:rsidR="003668DA">
              <w:t>sas 1 klientam dienā sastāda 15,</w:t>
            </w:r>
            <w:r w:rsidRPr="00946311">
              <w:t xml:space="preserve">34 </w:t>
            </w:r>
            <w:r w:rsidRPr="00076D11">
              <w:rPr>
                <w:i/>
              </w:rPr>
              <w:t>euro</w:t>
            </w:r>
            <w:r w:rsidRPr="00946311">
              <w:t>, tiek pieņemts, ka pakalpojumam bez izmitināšanas, kas tiek sniegts klientam tikai darba dienās darb</w:t>
            </w:r>
            <w:r w:rsidR="002B6ABC">
              <w:t xml:space="preserve">a laikā, t.i., 8 stundas </w:t>
            </w:r>
            <w:r w:rsidR="002B6ABC">
              <w:lastRenderedPageBreak/>
              <w:t>dienā.</w:t>
            </w:r>
            <w:r>
              <w:t xml:space="preserve"> </w:t>
            </w:r>
            <w:r w:rsidR="002B6ABC">
              <w:t>Š</w:t>
            </w:r>
            <w:r w:rsidR="003668DA">
              <w:t>īs izmaksas sastāda 30% no 15,</w:t>
            </w:r>
            <w:r w:rsidRPr="00946311">
              <w:t xml:space="preserve">34 </w:t>
            </w:r>
            <w:r w:rsidRPr="00076D11">
              <w:rPr>
                <w:i/>
              </w:rPr>
              <w:t>euro</w:t>
            </w:r>
            <w:r w:rsidR="003668DA">
              <w:t xml:space="preserve"> = 4,</w:t>
            </w:r>
            <w:r w:rsidRPr="00946311">
              <w:t xml:space="preserve">60 </w:t>
            </w:r>
            <w:r w:rsidRPr="002B6ABC">
              <w:rPr>
                <w:i/>
              </w:rPr>
              <w:t>euro</w:t>
            </w:r>
            <w:r w:rsidR="003668DA">
              <w:t xml:space="preserve"> dienā (15,</w:t>
            </w:r>
            <w:r w:rsidRPr="00946311">
              <w:t xml:space="preserve">34 </w:t>
            </w:r>
            <w:r w:rsidRPr="00076D11">
              <w:rPr>
                <w:i/>
              </w:rPr>
              <w:t>euro</w:t>
            </w:r>
            <w:r w:rsidR="003668DA">
              <w:t>/100*25)/8 stundas = 0,</w:t>
            </w:r>
            <w:r w:rsidRPr="00946311">
              <w:t xml:space="preserve">57 </w:t>
            </w:r>
            <w:r w:rsidRPr="00076D11">
              <w:rPr>
                <w:i/>
              </w:rPr>
              <w:t>euro</w:t>
            </w:r>
            <w:r w:rsidRPr="00946311">
              <w:t xml:space="preserve"> stundā</w:t>
            </w:r>
            <w:r>
              <w:t>.</w:t>
            </w:r>
            <w:r w:rsidR="00167401">
              <w:t xml:space="preserve"> Savukārt administrēšanas izmaksas sastāda n</w:t>
            </w:r>
            <w:r w:rsidRPr="00946311">
              <w:t>e vairāk kā 10% no pakalpojumam novirzītā finansējuma kopējās summas</w:t>
            </w:r>
            <w:r w:rsidR="003668DA">
              <w:t xml:space="preserve"> (7,</w:t>
            </w:r>
            <w:r>
              <w:t xml:space="preserve">88 </w:t>
            </w:r>
            <w:r w:rsidRPr="00167401">
              <w:rPr>
                <w:i/>
              </w:rPr>
              <w:t>euro</w:t>
            </w:r>
            <w:r>
              <w:t xml:space="preserve"> *10%</w:t>
            </w:r>
            <w:r w:rsidR="003668DA">
              <w:t xml:space="preserve"> </w:t>
            </w:r>
            <w:r>
              <w:t>=</w:t>
            </w:r>
            <w:r w:rsidR="003668DA">
              <w:t xml:space="preserve"> 0,</w:t>
            </w:r>
            <w:r>
              <w:t xml:space="preserve">79 </w:t>
            </w:r>
            <w:r w:rsidRPr="00167401">
              <w:rPr>
                <w:i/>
              </w:rPr>
              <w:t>euro</w:t>
            </w:r>
            <w:r w:rsidRPr="00946311">
              <w:t xml:space="preserve"> stundā</w:t>
            </w:r>
            <w:r>
              <w:t xml:space="preserve">). </w:t>
            </w:r>
            <w:r w:rsidRPr="00946311">
              <w:t xml:space="preserve">Papildus tiek ņemtas vērā arī transporta izmaksas, kas mēnesī vidēji sastāda </w:t>
            </w:r>
            <w:r w:rsidR="003668DA">
              <w:t>0,</w:t>
            </w:r>
            <w:r>
              <w:t>43</w:t>
            </w:r>
            <w:r w:rsidR="006745B7">
              <w:t xml:space="preserve"> </w:t>
            </w:r>
            <w:r w:rsidR="006745B7" w:rsidRPr="006745B7">
              <w:rPr>
                <w:i/>
              </w:rPr>
              <w:t>euro</w:t>
            </w:r>
            <w:r w:rsidR="006745B7">
              <w:t>.</w:t>
            </w:r>
            <w:r w:rsidR="00167401">
              <w:t xml:space="preserve"> </w:t>
            </w:r>
          </w:p>
          <w:p w:rsidR="00827930" w:rsidRDefault="00167401" w:rsidP="00C81D43">
            <w:pPr>
              <w:jc w:val="both"/>
              <w:rPr>
                <w:color w:val="000000"/>
              </w:rPr>
            </w:pPr>
            <w:r w:rsidRPr="00167401">
              <w:rPr>
                <w:color w:val="000000"/>
              </w:rPr>
              <w:t xml:space="preserve">Saskaņā ar informāciju, ko sniedza organizācijas, kas nodarbojas ar rehabilitācijas pakalpojumu sniegšanu tika secināts, ka vidēji uz vienu klientu nepieciešams 7 </w:t>
            </w:r>
            <w:r w:rsidRPr="00167401">
              <w:rPr>
                <w:i/>
                <w:color w:val="000000"/>
              </w:rPr>
              <w:t>euro</w:t>
            </w:r>
            <w:r w:rsidRPr="00167401">
              <w:rPr>
                <w:color w:val="000000"/>
              </w:rPr>
              <w:t xml:space="preserve"> transporta izmaksas </w:t>
            </w:r>
            <w:r>
              <w:rPr>
                <w:color w:val="000000"/>
              </w:rPr>
              <w:t xml:space="preserve">dienā. </w:t>
            </w:r>
            <w:r w:rsidRPr="00167401">
              <w:rPr>
                <w:color w:val="000000"/>
              </w:rPr>
              <w:t>Minētā informācija iegūta 2014.gadā sagatavojot Ministru kabineta noteikumu Nr.790 "Sociālās rehabilitācijas pakalpojumu sniegšanas kārtība no vardarbības cietušām un vardarbību veikušām pil</w:t>
            </w:r>
            <w:r>
              <w:rPr>
                <w:color w:val="000000"/>
              </w:rPr>
              <w:t>n</w:t>
            </w:r>
            <w:r w:rsidRPr="00167401">
              <w:rPr>
                <w:color w:val="000000"/>
              </w:rPr>
              <w:t>gadīgām personām" finanšu aprēķinus</w:t>
            </w:r>
            <w:r w:rsidR="005727D7">
              <w:rPr>
                <w:color w:val="000000"/>
              </w:rPr>
              <w:t xml:space="preserve"> (stundā vidēji 0,</w:t>
            </w:r>
            <w:r>
              <w:rPr>
                <w:color w:val="000000"/>
              </w:rPr>
              <w:t xml:space="preserve">88 </w:t>
            </w:r>
            <w:r w:rsidRPr="00167401">
              <w:rPr>
                <w:i/>
                <w:color w:val="000000"/>
              </w:rPr>
              <w:t>euro</w:t>
            </w:r>
            <w:r>
              <w:rPr>
                <w:color w:val="000000"/>
              </w:rPr>
              <w:t>)</w:t>
            </w:r>
            <w:r w:rsidRPr="00167401">
              <w:rPr>
                <w:color w:val="000000"/>
              </w:rPr>
              <w:t xml:space="preserve">. </w:t>
            </w:r>
            <w:r>
              <w:rPr>
                <w:color w:val="000000"/>
              </w:rPr>
              <w:t>Ņemot vērā surdotulka pakalpojuma groza aprēķinus, MK noteikumos Nr.75 nepieciešams paredzēt maksimālās pakalpojuma izmaksas gan nodrošinot surdotulka pakalpojumu apmācību ietvaros, gan saskarsmē ar darba devēju un darba vadītāju (pasākumos, kas paredz darba līguma slēgšanu).</w:t>
            </w:r>
            <w:r w:rsidRPr="00167401">
              <w:rPr>
                <w:color w:val="000000"/>
              </w:rPr>
              <w:t xml:space="preserve">  </w:t>
            </w:r>
          </w:p>
          <w:p w:rsidR="00977757" w:rsidRDefault="00977757" w:rsidP="00C81D43">
            <w:pPr>
              <w:jc w:val="both"/>
            </w:pPr>
          </w:p>
          <w:p w:rsidR="002F2FD3" w:rsidRDefault="0041151B" w:rsidP="001D0AEA">
            <w:pPr>
              <w:shd w:val="clear" w:color="auto" w:fill="FFFFFF"/>
              <w:ind w:firstLine="360"/>
              <w:jc w:val="both"/>
            </w:pPr>
            <w:r>
              <w:t>3</w:t>
            </w:r>
            <w:r w:rsidR="00827930">
              <w:t>.</w:t>
            </w:r>
            <w:r w:rsidR="00331033" w:rsidRPr="00642993">
              <w:rPr>
                <w:bCs/>
                <w:iCs/>
                <w:spacing w:val="-4"/>
                <w:sz w:val="28"/>
                <w:szCs w:val="28"/>
              </w:rPr>
              <w:t xml:space="preserve"> </w:t>
            </w:r>
            <w:r w:rsidR="00EB7FDB">
              <w:rPr>
                <w:bCs/>
                <w:iCs/>
                <w:spacing w:val="-4"/>
              </w:rPr>
              <w:t>2014.gada 15.</w:t>
            </w:r>
            <w:r w:rsidR="00331033" w:rsidRPr="002F2FD3">
              <w:rPr>
                <w:bCs/>
                <w:iCs/>
                <w:spacing w:val="-4"/>
              </w:rPr>
              <w:t>decembrī</w:t>
            </w:r>
            <w:r w:rsidR="002F2FD3" w:rsidRPr="002F2FD3">
              <w:rPr>
                <w:bCs/>
                <w:iCs/>
                <w:spacing w:val="-4"/>
              </w:rPr>
              <w:t xml:space="preserve"> programmu apguvi </w:t>
            </w:r>
            <w:r w:rsidR="00977757">
              <w:rPr>
                <w:bCs/>
                <w:iCs/>
                <w:spacing w:val="-4"/>
              </w:rPr>
              <w:t>pabeidza</w:t>
            </w:r>
            <w:r w:rsidR="00331033" w:rsidRPr="002F2FD3">
              <w:rPr>
                <w:bCs/>
                <w:iCs/>
                <w:spacing w:val="-4"/>
              </w:rPr>
              <w:t xml:space="preserve"> pēdējā Izmēģinājumprojekta</w:t>
            </w:r>
            <w:r w:rsidR="002F2FD3" w:rsidRPr="002F2FD3">
              <w:rPr>
                <w:bCs/>
                <w:iCs/>
                <w:spacing w:val="-4"/>
              </w:rPr>
              <w:t xml:space="preserve"> </w:t>
            </w:r>
            <w:r w:rsidR="002F2FD3" w:rsidRPr="002F2FD3">
              <w:t>„Profesionālās tālākizglītības programmu īstenošana bezdarbniekiem valsts vai pašvaldību dibinātās izglītības iestādēs”</w:t>
            </w:r>
            <w:r w:rsidR="00331033" w:rsidRPr="002F2FD3">
              <w:rPr>
                <w:bCs/>
                <w:iCs/>
                <w:spacing w:val="-4"/>
              </w:rPr>
              <w:t xml:space="preserve"> bezdarbnieku grupa.</w:t>
            </w:r>
            <w:r w:rsidR="002F2FD3">
              <w:rPr>
                <w:bCs/>
                <w:iCs/>
                <w:spacing w:val="-4"/>
                <w:sz w:val="28"/>
                <w:szCs w:val="28"/>
              </w:rPr>
              <w:t xml:space="preserve"> </w:t>
            </w:r>
            <w:r w:rsidR="00E80D1B" w:rsidRPr="00E80D1B">
              <w:t>Izmēģinājumprojekts tika organizēts šādās izglītības iestādēs: Rīgas 3.arodskolā, Sociālās integrācijas valsts aģentūras (SIVA) Jūrmalas profesionālajā vidusskolā, Jelgavas Amatu vidusskolā, Profesionālās izglītības kompetences centrā (PIKC) „Kandavas Valsts lauksaimniecības tehnikums” un Saldus Profesionālajā vidusskolā.</w:t>
            </w:r>
            <w:r w:rsidR="00E80D1B">
              <w:t xml:space="preserve"> Atbilstoši pilotprojekta izvērtējumam, </w:t>
            </w:r>
            <w:r w:rsidR="00E80D1B" w:rsidRPr="009D7FE8">
              <w:t xml:space="preserve">2015.gada </w:t>
            </w:r>
            <w:r w:rsidR="00631C59" w:rsidRPr="009D7FE8">
              <w:t>2.ceturksnī</w:t>
            </w:r>
            <w:r w:rsidR="00E80D1B" w:rsidRPr="009D7FE8">
              <w:t xml:space="preserve"> </w:t>
            </w:r>
            <w:r w:rsidR="00E80D1B">
              <w:t>plānots uzsākt minētā pilotprojekta 2.kārtu, iesaistot 200 bezdarbniekus profesionālās izglītības kompetences centru (PIKC) organizētajās apmācībās</w:t>
            </w:r>
            <w:r w:rsidR="00977757">
              <w:t xml:space="preserve"> </w:t>
            </w:r>
            <w:r w:rsidR="00977757" w:rsidRPr="00977757">
              <w:t>un</w:t>
            </w:r>
            <w:r w:rsidR="00977757" w:rsidRPr="00977757">
              <w:rPr>
                <w:bCs/>
              </w:rPr>
              <w:t xml:space="preserve"> valsts un pašvaldību dibināt</w:t>
            </w:r>
            <w:r w:rsidR="00977757">
              <w:rPr>
                <w:bCs/>
              </w:rPr>
              <w:t>o</w:t>
            </w:r>
            <w:r w:rsidR="00977757" w:rsidRPr="00977757">
              <w:rPr>
                <w:bCs/>
              </w:rPr>
              <w:t xml:space="preserve"> profesionālās izglītības iestā</w:t>
            </w:r>
            <w:r w:rsidR="00977757">
              <w:rPr>
                <w:bCs/>
              </w:rPr>
              <w:t>žu</w:t>
            </w:r>
            <w:r w:rsidR="00977757" w:rsidRPr="00977757">
              <w:rPr>
                <w:bCs/>
              </w:rPr>
              <w:t>, kuru infrastruktūras uzlabošana ir veikta no Eiropas Reģionālā attīstības fonda (ERAF) līdzekļiem</w:t>
            </w:r>
            <w:r w:rsidR="00977757">
              <w:rPr>
                <w:bCs/>
              </w:rPr>
              <w:t xml:space="preserve"> apmācību programmās</w:t>
            </w:r>
            <w:r w:rsidR="00E80D1B">
              <w:t xml:space="preserve">. </w:t>
            </w:r>
            <w:r w:rsidR="00E80D1B" w:rsidRPr="00E80D1B">
              <w:t>Izmēģinājumprojekta 2.kārtā ir nepieciešams iesaistīt bezdarbniekus, kuri vairāk pakļauti kādam no sociālās atstumtības riskiem, piemēram, ilgstošos bezdarbniekus un bezdarbniekus vecumā virs 45 gadiem, kuriem darba tirgū būs jāuzturas vēl samērā ilgi, bet vienlaikus ir paaugstināts ilgstošā bezdarba risks. Grupu komplektāciju izņēmuma kārtā būtu nepieciešams veikt identiski izmēģinājumprojekta 1.kārtas pieejai.</w:t>
            </w:r>
          </w:p>
          <w:p w:rsidR="002500CB" w:rsidRDefault="00E80D1B" w:rsidP="00885D44">
            <w:pPr>
              <w:shd w:val="clear" w:color="auto" w:fill="FFFFFF"/>
              <w:jc w:val="both"/>
            </w:pPr>
            <w:r>
              <w:t>Līdz ar to</w:t>
            </w:r>
            <w:r w:rsidR="002500CB">
              <w:t>, lai nodrošinātu pilotprojekta 2.kārtas īsteno</w:t>
            </w:r>
            <w:r w:rsidR="00885D44">
              <w:t>šanu,</w:t>
            </w:r>
            <w:r>
              <w:t xml:space="preserve"> nepieciešams paredzēt, ka minētā </w:t>
            </w:r>
            <w:r>
              <w:lastRenderedPageBreak/>
              <w:t>pilotprojekta otrajā kārtā</w:t>
            </w:r>
            <w:r w:rsidR="002500CB">
              <w:t xml:space="preserve"> profesionālo tālāki</w:t>
            </w:r>
            <w:r w:rsidR="00885D44">
              <w:t xml:space="preserve">zglītības programmu īstenošanu, noslēdzot līgumu par pasākuma īstenošanu ar </w:t>
            </w:r>
            <w:r w:rsidR="00694DC1">
              <w:t>NVA</w:t>
            </w:r>
            <w:r w:rsidR="00885D44">
              <w:t>, īsteno profesionālās izglītības iestādes,</w:t>
            </w:r>
            <w:r w:rsidR="00885D44" w:rsidRPr="00885D44">
              <w:t xml:space="preserve"> </w:t>
            </w:r>
            <w:r w:rsidR="002500CB" w:rsidRPr="00885D44">
              <w:t>kurām piešķirts profesionālās izglītības kompetences centra statuss</w:t>
            </w:r>
            <w:r w:rsidR="00977757">
              <w:t xml:space="preserve"> </w:t>
            </w:r>
            <w:r w:rsidR="00977757" w:rsidRPr="00977757">
              <w:t>un</w:t>
            </w:r>
            <w:r w:rsidR="00977757" w:rsidRPr="00977757">
              <w:rPr>
                <w:bCs/>
                <w:color w:val="000000"/>
              </w:rPr>
              <w:t xml:space="preserve"> valsts un pašvaldību dibinātās profesionālās izglītības iestādēs, kuru infrastruktūras uzlabošana ir veikta no Eiropas Reģionālā attīstības fonda (ERAF) līdzekļiem</w:t>
            </w:r>
            <w:r w:rsidR="002500CB" w:rsidRPr="00885D44">
              <w:t>.</w:t>
            </w:r>
            <w:r w:rsidR="00885D44" w:rsidRPr="00885D44">
              <w:t xml:space="preserve"> Šajās tālākizglītības programmās iesaista bezdarbniekus, </w:t>
            </w:r>
            <w:r w:rsidR="002500CB" w:rsidRPr="00885D44">
              <w:t>kuri bijuši bez darba vismaz 12 mēnešus</w:t>
            </w:r>
            <w:r w:rsidR="00885D44" w:rsidRPr="00885D44">
              <w:t xml:space="preserve"> (ilgstošie bezdarbnieki)</w:t>
            </w:r>
            <w:r w:rsidR="002500CB" w:rsidRPr="00885D44">
              <w:t xml:space="preserve"> vai ir vecākai par 45 gadiem.</w:t>
            </w:r>
          </w:p>
          <w:p w:rsidR="000D0EC0" w:rsidRDefault="000D0EC0" w:rsidP="00885D44">
            <w:pPr>
              <w:shd w:val="clear" w:color="auto" w:fill="FFFFFF"/>
              <w:jc w:val="both"/>
            </w:pPr>
          </w:p>
          <w:p w:rsidR="000D0EC0" w:rsidRPr="000D0EC0" w:rsidRDefault="000D0EC0" w:rsidP="000D0EC0">
            <w:pPr>
              <w:shd w:val="clear" w:color="auto" w:fill="FFFFFF"/>
              <w:ind w:firstLine="360"/>
              <w:jc w:val="both"/>
            </w:pPr>
            <w:r>
              <w:t>4.</w:t>
            </w:r>
            <w:r w:rsidRPr="000D0EC0">
              <w:rPr>
                <w:rFonts w:eastAsiaTheme="minorHAnsi"/>
                <w:lang w:eastAsia="en-US"/>
              </w:rPr>
              <w:t xml:space="preserve"> </w:t>
            </w:r>
            <w:r w:rsidRPr="000D0EC0">
              <w:t xml:space="preserve">Lai </w:t>
            </w:r>
            <w:r w:rsidR="001149F8">
              <w:t xml:space="preserve">MK noteikumos Nr.75 </w:t>
            </w:r>
            <w:r w:rsidRPr="000D0EC0">
              <w:t xml:space="preserve">netiktu paredzēti tādi nodarbinātības pasākumi, kurus NVA neīsteno, ar grozījumu projektu paredzēts dzēst noteikumu 4.nodaļu </w:t>
            </w:r>
            <w:r w:rsidR="001149F8" w:rsidRPr="00D82864">
              <w:t>„</w:t>
            </w:r>
            <w:r w:rsidRPr="000D0EC0">
              <w:t>Komersantu nodarbināto personu un pašnodarbināto kvalifikācijas paaugstināšana, pārkvalifikācija un tālākizglītība”, jo NAV šo pasākumu neīsteno jau kopš 2014.gada vidus</w:t>
            </w:r>
            <w:r w:rsidR="001149F8">
              <w:t>, dalību šajā pasākumā pabeigušas visas iepriekš pasākumā iesaistītās personas</w:t>
            </w:r>
            <w:r w:rsidRPr="000D0EC0">
              <w:t xml:space="preserve"> un arī turpmāk nav plānots atsākt šī pasākuma īstenošanu. Tā vietā plānots atsākt īstenot pasākumu </w:t>
            </w:r>
            <w:r w:rsidR="001149F8" w:rsidRPr="00D82864">
              <w:t>„</w:t>
            </w:r>
            <w:r w:rsidRPr="000D0EC0">
              <w:t>Apmācība pie darba devēja” un</w:t>
            </w:r>
            <w:r w:rsidR="001149F8">
              <w:t xml:space="preserve"> uzsākt</w:t>
            </w:r>
            <w:r w:rsidRPr="000D0EC0">
              <w:t xml:space="preserve"> 1.2.2. SAM </w:t>
            </w:r>
            <w:r w:rsidR="001149F8" w:rsidRPr="00D82864">
              <w:t>„</w:t>
            </w:r>
            <w:r w:rsidRPr="000D0EC0">
              <w:t xml:space="preserve">Veicināt inovāciju ieviešanu komersantos” </w:t>
            </w:r>
            <w:r w:rsidRPr="000D0EC0">
              <w:rPr>
                <w:bCs/>
              </w:rPr>
              <w:t>1.2.2.1. pasākum</w:t>
            </w:r>
            <w:r w:rsidR="001149F8">
              <w:rPr>
                <w:bCs/>
              </w:rPr>
              <w:t>u</w:t>
            </w:r>
            <w:r w:rsidRPr="000D0EC0">
              <w:t xml:space="preserve"> “Atbalsts nodarbināto apmācībām”.</w:t>
            </w:r>
          </w:p>
          <w:p w:rsidR="0028162B" w:rsidRDefault="0028162B" w:rsidP="00885D44">
            <w:pPr>
              <w:shd w:val="clear" w:color="auto" w:fill="FFFFFF"/>
              <w:jc w:val="both"/>
            </w:pPr>
          </w:p>
          <w:p w:rsidR="00D82864" w:rsidRPr="00C53B4A" w:rsidRDefault="000D0EC0" w:rsidP="00977757">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5</w:t>
            </w:r>
            <w:r w:rsidR="0028162B" w:rsidRPr="00C53B4A">
              <w:rPr>
                <w:rFonts w:ascii="Times New Roman" w:hAnsi="Times New Roman"/>
                <w:sz w:val="24"/>
                <w:szCs w:val="24"/>
              </w:rPr>
              <w:t xml:space="preserve">. </w:t>
            </w:r>
            <w:r w:rsidR="002B4ECF" w:rsidRPr="00C53B4A">
              <w:rPr>
                <w:rFonts w:ascii="Times New Roman" w:hAnsi="Times New Roman"/>
                <w:sz w:val="24"/>
                <w:szCs w:val="24"/>
              </w:rPr>
              <w:t>Šobrīd MK noteikumi Nr.75 paredz, ka NVA sedz valsts sociālās apdrošināšanas obligātās iemaksas no algas dotācijas daļas, ko tā līdzfinansē pasākumos, kuri paredz darba</w:t>
            </w:r>
            <w:r w:rsidR="00825D03">
              <w:rPr>
                <w:rFonts w:ascii="Times New Roman" w:hAnsi="Times New Roman"/>
                <w:sz w:val="24"/>
                <w:szCs w:val="24"/>
              </w:rPr>
              <w:t xml:space="preserve"> līguma slēgšanu (t.sk. </w:t>
            </w:r>
            <w:r w:rsidR="00825D03" w:rsidRPr="00825D03">
              <w:rPr>
                <w:rFonts w:ascii="Times New Roman" w:hAnsi="Times New Roman"/>
                <w:sz w:val="24"/>
                <w:szCs w:val="24"/>
              </w:rPr>
              <w:t>„</w:t>
            </w:r>
            <w:r w:rsidR="00825D03">
              <w:rPr>
                <w:rFonts w:ascii="Times New Roman" w:hAnsi="Times New Roman"/>
                <w:sz w:val="24"/>
                <w:szCs w:val="24"/>
              </w:rPr>
              <w:t>Pasākumos</w:t>
            </w:r>
            <w:r w:rsidR="002B4ECF" w:rsidRPr="00C53B4A">
              <w:rPr>
                <w:rFonts w:ascii="Times New Roman" w:hAnsi="Times New Roman"/>
                <w:sz w:val="24"/>
                <w:szCs w:val="24"/>
              </w:rPr>
              <w:t xml:space="preserve"> noteiktām personu grupām</w:t>
            </w:r>
            <w:r w:rsidR="00825D03" w:rsidRPr="00825D03">
              <w:rPr>
                <w:rFonts w:ascii="Times New Roman" w:hAnsi="Times New Roman"/>
                <w:bCs/>
                <w:sz w:val="24"/>
                <w:szCs w:val="24"/>
              </w:rPr>
              <w:t>”</w:t>
            </w:r>
            <w:r w:rsidR="00825D03">
              <w:rPr>
                <w:rFonts w:ascii="Times New Roman" w:hAnsi="Times New Roman"/>
                <w:bCs/>
                <w:sz w:val="24"/>
                <w:szCs w:val="24"/>
              </w:rPr>
              <w:t xml:space="preserve"> un</w:t>
            </w:r>
            <w:r w:rsidR="002B4ECF" w:rsidRPr="00C53B4A">
              <w:rPr>
                <w:rFonts w:ascii="Times New Roman" w:hAnsi="Times New Roman"/>
                <w:sz w:val="24"/>
                <w:szCs w:val="24"/>
              </w:rPr>
              <w:t xml:space="preserve"> </w:t>
            </w:r>
            <w:r w:rsidR="002B4ECF" w:rsidRPr="00D82864">
              <w:rPr>
                <w:rFonts w:ascii="Times New Roman" w:eastAsia="Times New Roman" w:hAnsi="Times New Roman"/>
                <w:sz w:val="24"/>
                <w:szCs w:val="24"/>
                <w:lang w:eastAsia="lv-LV"/>
              </w:rPr>
              <w:t>„</w:t>
            </w:r>
            <w:r w:rsidR="002B4ECF" w:rsidRPr="00C53B4A">
              <w:rPr>
                <w:rFonts w:ascii="Times New Roman" w:hAnsi="Times New Roman"/>
                <w:sz w:val="24"/>
                <w:szCs w:val="24"/>
              </w:rPr>
              <w:t>Pirmā darba pieredze jaunietim</w:t>
            </w:r>
            <w:r w:rsidR="002B4ECF" w:rsidRPr="00D82864">
              <w:rPr>
                <w:rFonts w:ascii="Times New Roman" w:eastAsia="Times New Roman" w:hAnsi="Times New Roman"/>
                <w:bCs/>
                <w:sz w:val="24"/>
                <w:szCs w:val="24"/>
                <w:lang w:eastAsia="lv-LV"/>
              </w:rPr>
              <w:t>”)</w:t>
            </w:r>
            <w:r w:rsidR="00825D03">
              <w:rPr>
                <w:rFonts w:ascii="Times New Roman" w:eastAsia="Times New Roman" w:hAnsi="Times New Roman"/>
                <w:bCs/>
                <w:sz w:val="24"/>
                <w:szCs w:val="24"/>
                <w:lang w:eastAsia="lv-LV"/>
              </w:rPr>
              <w:t xml:space="preserve"> ar</w:t>
            </w:r>
            <w:r w:rsidR="002B4ECF" w:rsidRPr="00C53B4A">
              <w:rPr>
                <w:rFonts w:ascii="Times New Roman" w:hAnsi="Times New Roman"/>
                <w:sz w:val="24"/>
                <w:szCs w:val="24"/>
              </w:rPr>
              <w:t xml:space="preserve"> iesaistītajiem bezdarbniekiem, ja </w:t>
            </w:r>
            <w:r w:rsidR="00694DC1" w:rsidRPr="00C53B4A">
              <w:rPr>
                <w:rFonts w:ascii="Times New Roman" w:hAnsi="Times New Roman"/>
                <w:sz w:val="24"/>
                <w:szCs w:val="24"/>
              </w:rPr>
              <w:t>darba devējs, kas noslēdzis līgumu par pasākuma īstenošanu, ir biedrība vai nodibinājums, kura darbības mērķis ir atbalsta sniegšana personām ar invaliditāti un kurš nodarbina bezdarbniekus šādās profesijās – asistents vai pavadonis personām ar invaliditāti, surdotulks, latviešu nedzirdīgo zīmju valodas tulks, interešu pulciņa audzinātājs personām ar in</w:t>
            </w:r>
            <w:r w:rsidR="002B4ECF" w:rsidRPr="00C53B4A">
              <w:rPr>
                <w:rFonts w:ascii="Times New Roman" w:hAnsi="Times New Roman"/>
                <w:sz w:val="24"/>
                <w:szCs w:val="24"/>
              </w:rPr>
              <w:t xml:space="preserve">validitāti, speciālais pedagogs. </w:t>
            </w:r>
            <w:r w:rsidR="00D82864" w:rsidRPr="00C53B4A">
              <w:rPr>
                <w:rFonts w:ascii="Times New Roman" w:hAnsi="Times New Roman"/>
                <w:sz w:val="24"/>
                <w:szCs w:val="24"/>
              </w:rPr>
              <w:t>Atbilstoši minētajiem nosacījumiem, valsts sociālās apdrošināšanas obligātās iemaksas no algas dotācijas daļas biedrībām un nodibinājumiem, kuru darbības mērķis ir sniegt atbalstu personām ar invaliditāti tiek segtas tikai tad, ja bezdarbnieks tiek nodarbināts atsevišķās profesijās. Lai nodrošinātu papildus atbalstu tām</w:t>
            </w:r>
            <w:r w:rsidR="00D30EA3" w:rsidRPr="00C53B4A">
              <w:rPr>
                <w:rFonts w:ascii="Times New Roman" w:hAnsi="Times New Roman"/>
                <w:sz w:val="24"/>
                <w:szCs w:val="24"/>
              </w:rPr>
              <w:t xml:space="preserve"> biedrībām un nodibinājumiem, kuras sniedz atbalstu personām ar redzes invaliditāti, </w:t>
            </w:r>
            <w:r w:rsidR="00D82864" w:rsidRPr="00C53B4A">
              <w:rPr>
                <w:rFonts w:ascii="Times New Roman" w:hAnsi="Times New Roman"/>
                <w:sz w:val="24"/>
                <w:szCs w:val="24"/>
              </w:rPr>
              <w:t>ievērojot sevišķas invalidit</w:t>
            </w:r>
            <w:r w:rsidR="00D30EA3" w:rsidRPr="00C53B4A">
              <w:rPr>
                <w:rFonts w:ascii="Times New Roman" w:hAnsi="Times New Roman"/>
                <w:sz w:val="24"/>
                <w:szCs w:val="24"/>
              </w:rPr>
              <w:t xml:space="preserve">ātes formu, </w:t>
            </w:r>
            <w:r w:rsidR="00D82864" w:rsidRPr="00C53B4A">
              <w:rPr>
                <w:rFonts w:ascii="Times New Roman" w:hAnsi="Times New Roman"/>
                <w:sz w:val="24"/>
                <w:szCs w:val="24"/>
              </w:rPr>
              <w:t>būtisku funkcij</w:t>
            </w:r>
            <w:r w:rsidR="00D30EA3" w:rsidRPr="00C53B4A">
              <w:rPr>
                <w:rFonts w:ascii="Times New Roman" w:hAnsi="Times New Roman"/>
                <w:sz w:val="24"/>
                <w:szCs w:val="24"/>
              </w:rPr>
              <w:t>u zudumu un darbaspēju</w:t>
            </w:r>
            <w:r w:rsidR="00D82864" w:rsidRPr="00C53B4A">
              <w:rPr>
                <w:rFonts w:ascii="Times New Roman" w:hAnsi="Times New Roman"/>
                <w:sz w:val="24"/>
                <w:szCs w:val="24"/>
              </w:rPr>
              <w:t xml:space="preserve"> ierobežot</w:t>
            </w:r>
            <w:r w:rsidR="00D30EA3" w:rsidRPr="00C53B4A">
              <w:rPr>
                <w:rFonts w:ascii="Times New Roman" w:hAnsi="Times New Roman"/>
                <w:sz w:val="24"/>
                <w:szCs w:val="24"/>
              </w:rPr>
              <w:t xml:space="preserve">ību, nepieciešams paredzēt, ka </w:t>
            </w:r>
            <w:r w:rsidR="00D30EA3" w:rsidRPr="00D30EA3">
              <w:rPr>
                <w:rFonts w:ascii="Times New Roman" w:eastAsia="Times New Roman" w:hAnsi="Times New Roman"/>
                <w:sz w:val="24"/>
                <w:szCs w:val="24"/>
                <w:lang w:eastAsia="lv-LV"/>
              </w:rPr>
              <w:t xml:space="preserve">biedrībām un nodibinājumiem, </w:t>
            </w:r>
            <w:r w:rsidR="00D30EA3" w:rsidRPr="00D30EA3">
              <w:rPr>
                <w:rFonts w:ascii="Times New Roman" w:eastAsia="Times New Roman" w:hAnsi="Times New Roman"/>
                <w:bCs/>
                <w:sz w:val="24"/>
                <w:szCs w:val="24"/>
                <w:lang w:eastAsia="lv-LV"/>
              </w:rPr>
              <w:t xml:space="preserve">kuru statūti paredz atbalsta sniegšanu personām ar redzes </w:t>
            </w:r>
            <w:r w:rsidR="00D30EA3" w:rsidRPr="00D30EA3">
              <w:rPr>
                <w:rFonts w:ascii="Times New Roman" w:eastAsia="Times New Roman" w:hAnsi="Times New Roman"/>
                <w:bCs/>
                <w:sz w:val="24"/>
                <w:szCs w:val="24"/>
                <w:lang w:eastAsia="lv-LV"/>
              </w:rPr>
              <w:lastRenderedPageBreak/>
              <w:t>invaliditāti, NVA sedz valsts sociālās apdrošināšanas obligātās iemaksas no algas dotācijas daļas</w:t>
            </w:r>
            <w:r w:rsidR="00D30EA3">
              <w:rPr>
                <w:rFonts w:ascii="Times New Roman" w:eastAsia="Times New Roman" w:hAnsi="Times New Roman"/>
                <w:bCs/>
                <w:sz w:val="24"/>
                <w:szCs w:val="24"/>
                <w:lang w:eastAsia="lv-LV"/>
              </w:rPr>
              <w:t>, neatkarīgi no tā, kādā profesijā bezdarbnieks tiek nodarbināts</w:t>
            </w:r>
            <w:r w:rsidR="00D30EA3" w:rsidRPr="00D30EA3">
              <w:rPr>
                <w:rFonts w:ascii="Times New Roman" w:eastAsia="Times New Roman" w:hAnsi="Times New Roman"/>
                <w:bCs/>
                <w:sz w:val="24"/>
                <w:szCs w:val="24"/>
                <w:lang w:eastAsia="lv-LV"/>
              </w:rPr>
              <w:t>. Papildus nepieciešams paredzēt, ka kopējais šādās biedrībās un nodibinājumos nodarbināto bezdarbnieku skaits nepārsniedz 50 procentus no kopējā biedrībā vai nodibinājumā nodarbināto skaita</w:t>
            </w:r>
            <w:r w:rsidR="00D30EA3">
              <w:rPr>
                <w:rFonts w:ascii="Times New Roman" w:eastAsia="Times New Roman" w:hAnsi="Times New Roman"/>
                <w:bCs/>
                <w:sz w:val="24"/>
                <w:szCs w:val="24"/>
                <w:lang w:eastAsia="lv-LV"/>
              </w:rPr>
              <w:t>, lai subsidēto darbavietu skaits nepārsniegtu biedrībā vai nodibinājumā esošo kopējo darbavietu skaitu</w:t>
            </w:r>
            <w:r w:rsidR="00D30EA3" w:rsidRPr="00D30EA3">
              <w:rPr>
                <w:rFonts w:ascii="Times New Roman" w:eastAsia="Times New Roman" w:hAnsi="Times New Roman"/>
                <w:bCs/>
                <w:sz w:val="24"/>
                <w:szCs w:val="24"/>
                <w:lang w:eastAsia="lv-LV"/>
              </w:rPr>
              <w:t>.</w:t>
            </w:r>
          </w:p>
          <w:p w:rsidR="0028162B" w:rsidRDefault="0028162B" w:rsidP="00885D44">
            <w:pPr>
              <w:shd w:val="clear" w:color="auto" w:fill="FFFFFF"/>
              <w:jc w:val="both"/>
            </w:pPr>
          </w:p>
          <w:p w:rsidR="00762A81" w:rsidRPr="00912DC5" w:rsidRDefault="000D0EC0" w:rsidP="001D0AEA">
            <w:pPr>
              <w:shd w:val="clear" w:color="auto" w:fill="FFFFFF"/>
              <w:ind w:firstLine="360"/>
              <w:jc w:val="both"/>
            </w:pPr>
            <w:r>
              <w:t>6</w:t>
            </w:r>
            <w:r w:rsidR="00762A81" w:rsidRPr="00762A81">
              <w:t>.</w:t>
            </w:r>
            <w:r w:rsidR="005D6371">
              <w:t xml:space="preserve"> </w:t>
            </w:r>
            <w:r w:rsidR="005D6371" w:rsidRPr="00E80D1B">
              <w:t>„</w:t>
            </w:r>
            <w:r w:rsidR="005D6371">
              <w:t>Pasākumu noteiktām personu grupām</w:t>
            </w:r>
            <w:r w:rsidR="005D6371" w:rsidRPr="00E80D1B">
              <w:t>”</w:t>
            </w:r>
            <w:r w:rsidR="00762A81">
              <w:t xml:space="preserve"> mērķis </w:t>
            </w:r>
            <w:r w:rsidR="00762A81" w:rsidRPr="007E08EA">
              <w:t>ir palielināt nelabvēlīgākā situācijā esošu bezdarbnieku</w:t>
            </w:r>
            <w:r w:rsidR="00762A81">
              <w:t xml:space="preserve">, </w:t>
            </w:r>
            <w:r w:rsidR="00762A81" w:rsidRPr="002D1C06">
              <w:t>tostarp ilgstoš</w:t>
            </w:r>
            <w:r w:rsidR="00762A81">
              <w:t>o</w:t>
            </w:r>
            <w:r w:rsidR="00762A81" w:rsidRPr="002D1C06">
              <w:t xml:space="preserve"> bezdarbniek</w:t>
            </w:r>
            <w:r w:rsidR="00762A81">
              <w:t>u</w:t>
            </w:r>
            <w:r w:rsidR="00762A81" w:rsidRPr="002D1C06">
              <w:t xml:space="preserve"> </w:t>
            </w:r>
            <w:r w:rsidR="00762A81" w:rsidRPr="007E08EA">
              <w:t>iekļaušanos sabiedrībā un iekārtošanos pastāvīgā darbā.</w:t>
            </w:r>
          </w:p>
          <w:p w:rsidR="001D0AEA" w:rsidRPr="00C53B4A" w:rsidRDefault="00762A81" w:rsidP="001D0AEA">
            <w:pPr>
              <w:pStyle w:val="ListParagraph"/>
              <w:spacing w:line="240" w:lineRule="auto"/>
              <w:ind w:left="0" w:right="113"/>
              <w:jc w:val="both"/>
              <w:rPr>
                <w:rFonts w:ascii="Times New Roman" w:hAnsi="Times New Roman"/>
                <w:sz w:val="24"/>
                <w:szCs w:val="24"/>
              </w:rPr>
            </w:pPr>
            <w:r w:rsidRPr="00C53B4A">
              <w:rPr>
                <w:rFonts w:ascii="Times New Roman" w:hAnsi="Times New Roman"/>
                <w:sz w:val="24"/>
                <w:szCs w:val="24"/>
              </w:rPr>
              <w:t xml:space="preserve">Lai arī kopējā situācija darba tirgū pēdējos gados uzlabojas, joprojām vairākām nestrādājošo iedzīvotāju grupām ir grūtības integrēties darba tirgū. Saskaņā ar </w:t>
            </w:r>
            <w:r w:rsidR="005D6371" w:rsidRPr="00C53B4A">
              <w:rPr>
                <w:rFonts w:ascii="Times New Roman" w:hAnsi="Times New Roman"/>
                <w:sz w:val="24"/>
                <w:szCs w:val="24"/>
              </w:rPr>
              <w:t>NVA</w:t>
            </w:r>
            <w:r w:rsidRPr="00C53B4A">
              <w:rPr>
                <w:rFonts w:ascii="Times New Roman" w:hAnsi="Times New Roman"/>
                <w:sz w:val="24"/>
                <w:szCs w:val="24"/>
              </w:rPr>
              <w:t xml:space="preserve"> datiem, reģistrētā bezdarba līmenis valstī 2014.gada </w:t>
            </w:r>
            <w:r w:rsidR="00261F5F">
              <w:rPr>
                <w:rFonts w:ascii="Times New Roman" w:hAnsi="Times New Roman"/>
                <w:sz w:val="24"/>
                <w:szCs w:val="24"/>
              </w:rPr>
              <w:t>oktobra</w:t>
            </w:r>
            <w:r w:rsidRPr="00C53B4A">
              <w:rPr>
                <w:rFonts w:ascii="Times New Roman" w:hAnsi="Times New Roman"/>
                <w:sz w:val="24"/>
                <w:szCs w:val="24"/>
              </w:rPr>
              <w:t xml:space="preserve"> beigās bija </w:t>
            </w:r>
            <w:r w:rsidR="00261F5F">
              <w:rPr>
                <w:rFonts w:ascii="Times New Roman" w:hAnsi="Times New Roman"/>
                <w:sz w:val="24"/>
                <w:szCs w:val="24"/>
              </w:rPr>
              <w:t>8,2</w:t>
            </w:r>
            <w:r w:rsidRPr="00C53B4A">
              <w:rPr>
                <w:rFonts w:ascii="Times New Roman" w:hAnsi="Times New Roman"/>
                <w:sz w:val="24"/>
                <w:szCs w:val="24"/>
              </w:rPr>
              <w:t xml:space="preserve"> procenti (bezdarbnieku īpatsvars ekonomiski aktīvo iedzīvotāju kopskaitā).  Ilgstošo bezdarbnieku skaits 2014.gada </w:t>
            </w:r>
            <w:r w:rsidR="001869A8">
              <w:rPr>
                <w:rFonts w:ascii="Times New Roman" w:hAnsi="Times New Roman"/>
                <w:sz w:val="24"/>
                <w:szCs w:val="24"/>
              </w:rPr>
              <w:t>oktobra</w:t>
            </w:r>
            <w:r w:rsidRPr="00C53B4A">
              <w:rPr>
                <w:rFonts w:ascii="Times New Roman" w:hAnsi="Times New Roman"/>
                <w:sz w:val="24"/>
                <w:szCs w:val="24"/>
              </w:rPr>
              <w:t xml:space="preserve"> beigās sasniedza 3</w:t>
            </w:r>
            <w:r w:rsidR="001869A8">
              <w:rPr>
                <w:rFonts w:ascii="Times New Roman" w:hAnsi="Times New Roman"/>
                <w:sz w:val="24"/>
                <w:szCs w:val="24"/>
              </w:rPr>
              <w:t>4,5</w:t>
            </w:r>
            <w:r w:rsidRPr="00C53B4A">
              <w:rPr>
                <w:rFonts w:ascii="Times New Roman" w:hAnsi="Times New Roman"/>
                <w:sz w:val="24"/>
                <w:szCs w:val="24"/>
              </w:rPr>
              <w:t xml:space="preserve"> procentus no kopējā reģistrēto bezdarbnieku skaita, no kuriem kopskaitā  </w:t>
            </w:r>
            <w:r w:rsidR="001869A8">
              <w:rPr>
                <w:rFonts w:ascii="Times New Roman" w:hAnsi="Times New Roman"/>
                <w:sz w:val="24"/>
                <w:szCs w:val="24"/>
              </w:rPr>
              <w:t>36,8</w:t>
            </w:r>
            <w:r w:rsidRPr="00C53B4A">
              <w:rPr>
                <w:rFonts w:ascii="Times New Roman" w:hAnsi="Times New Roman"/>
                <w:sz w:val="24"/>
                <w:szCs w:val="24"/>
              </w:rPr>
              <w:t xml:space="preserve"> procenti bija be</w:t>
            </w:r>
            <w:r w:rsidR="001869A8">
              <w:rPr>
                <w:rFonts w:ascii="Times New Roman" w:hAnsi="Times New Roman"/>
                <w:sz w:val="24"/>
                <w:szCs w:val="24"/>
              </w:rPr>
              <w:t>zdarbnieki vecāki par 50 gadiem un</w:t>
            </w:r>
            <w:r w:rsidRPr="00C53B4A">
              <w:rPr>
                <w:rFonts w:ascii="Times New Roman" w:hAnsi="Times New Roman"/>
                <w:sz w:val="24"/>
                <w:szCs w:val="24"/>
              </w:rPr>
              <w:t xml:space="preserve"> </w:t>
            </w:r>
            <w:r w:rsidR="001869A8">
              <w:rPr>
                <w:rFonts w:ascii="Times New Roman" w:hAnsi="Times New Roman"/>
                <w:sz w:val="24"/>
                <w:szCs w:val="24"/>
              </w:rPr>
              <w:t>10,6 procenti</w:t>
            </w:r>
            <w:r w:rsidRPr="00C53B4A">
              <w:rPr>
                <w:rFonts w:ascii="Times New Roman" w:hAnsi="Times New Roman"/>
                <w:sz w:val="24"/>
                <w:szCs w:val="24"/>
              </w:rPr>
              <w:t xml:space="preserve"> bezdarbnieki ar invaliditāti. Ilgstošo bezdarbnieku viens no galvenajiem bezdarba cēloņiem ir nepietiekamā vai darba tirgus prasībām neatbilstošā izglītība un profesionālo prasmju trūkums. </w:t>
            </w:r>
            <w:r w:rsidRPr="00C53B4A">
              <w:rPr>
                <w:rFonts w:ascii="Times New Roman" w:hAnsi="Times New Roman"/>
                <w:sz w:val="24"/>
                <w:szCs w:val="24"/>
                <w:lang w:eastAsia="lv-LV"/>
              </w:rPr>
              <w:t>Balstoties uz Pasaules Bankas pētījumu „Latvija: kurš ir bezdarbnieks, ekonomiski neaktīvais vai trūcīgais”</w:t>
            </w:r>
            <w:r w:rsidRPr="00C53B4A">
              <w:rPr>
                <w:rStyle w:val="FootnoteReference"/>
                <w:sz w:val="24"/>
                <w:szCs w:val="24"/>
                <w:lang w:eastAsia="lv-LV"/>
              </w:rPr>
              <w:footnoteReference w:customMarkFollows="1" w:id="1"/>
              <w:t>*</w:t>
            </w:r>
            <w:r w:rsidRPr="00C53B4A">
              <w:rPr>
                <w:rFonts w:ascii="Times New Roman" w:hAnsi="Times New Roman"/>
                <w:sz w:val="24"/>
                <w:szCs w:val="24"/>
                <w:lang w:eastAsia="lv-LV"/>
              </w:rPr>
              <w:t xml:space="preserve">, cilvēkiem ar invaliditāti, gados vecākajiem iedzīvotājiem, kā arī iedzīvotājiem ar zemu izglītības līmeni ir grūtāk integrēties darba tirgū pašu spēkiem, līdz ar to šiem iedzīvotājiem būtu jāsniedz intensīvāks atbalsts bezdarba situācijā. </w:t>
            </w:r>
            <w:r w:rsidRPr="00C53B4A">
              <w:rPr>
                <w:rFonts w:ascii="Times New Roman" w:hAnsi="Times New Roman"/>
                <w:sz w:val="24"/>
                <w:szCs w:val="24"/>
              </w:rPr>
              <w:t>Lai samazinātu augsta bezdarba un ekonomiskās neaktivitātes iestāšanos riskus, kā arī strukturālā bezdarba riskus saistībā ar bezdarbnieku zināšanu, prasmju un kvalifikācijas neatbilstību darba tirgum, ir nepieciešams turpināt īstenot bezdarbnieku (tai skaitā nelabvēlīgākā situācija esošu bezdarbnieku) aktivizēšanas, prasmju un kvalifikācijas pilnveides pasākumus</w:t>
            </w:r>
            <w:r w:rsidR="00284191">
              <w:rPr>
                <w:rFonts w:ascii="Times New Roman" w:hAnsi="Times New Roman"/>
                <w:sz w:val="24"/>
                <w:szCs w:val="24"/>
              </w:rPr>
              <w:t xml:space="preserve">, sniedzot atbalstu </w:t>
            </w:r>
            <w:r w:rsidRPr="00C53B4A">
              <w:rPr>
                <w:rFonts w:ascii="Times New Roman" w:hAnsi="Times New Roman"/>
                <w:sz w:val="24"/>
                <w:szCs w:val="24"/>
              </w:rPr>
              <w:t>nelabvēlīgākā situācijā esošiem bezdarbniekiem, tost</w:t>
            </w:r>
            <w:r w:rsidR="00284191">
              <w:rPr>
                <w:rFonts w:ascii="Times New Roman" w:hAnsi="Times New Roman"/>
                <w:sz w:val="24"/>
                <w:szCs w:val="24"/>
              </w:rPr>
              <w:t>arp ilgstošajiem bezdarbniekiem.</w:t>
            </w:r>
          </w:p>
          <w:p w:rsidR="00C81D43" w:rsidRPr="00C53B4A" w:rsidRDefault="000D0EC0" w:rsidP="00977757">
            <w:pPr>
              <w:pStyle w:val="ListParagraph"/>
              <w:spacing w:after="0" w:line="240" w:lineRule="auto"/>
              <w:ind w:left="0" w:right="113" w:firstLine="360"/>
              <w:jc w:val="both"/>
              <w:rPr>
                <w:rFonts w:ascii="Times New Roman" w:hAnsi="Times New Roman"/>
                <w:sz w:val="24"/>
                <w:szCs w:val="24"/>
              </w:rPr>
            </w:pPr>
            <w:r>
              <w:rPr>
                <w:rFonts w:ascii="Times New Roman" w:hAnsi="Times New Roman"/>
                <w:sz w:val="24"/>
                <w:szCs w:val="24"/>
              </w:rPr>
              <w:t>6</w:t>
            </w:r>
            <w:r w:rsidR="001D0AEA" w:rsidRPr="00C53B4A">
              <w:rPr>
                <w:rFonts w:ascii="Times New Roman" w:hAnsi="Times New Roman"/>
                <w:sz w:val="24"/>
                <w:szCs w:val="24"/>
              </w:rPr>
              <w:t xml:space="preserve">.1. </w:t>
            </w:r>
            <w:r w:rsidR="00762A81" w:rsidRPr="00C53B4A">
              <w:rPr>
                <w:rFonts w:ascii="Times New Roman" w:hAnsi="Times New Roman"/>
                <w:sz w:val="24"/>
                <w:szCs w:val="24"/>
              </w:rPr>
              <w:t xml:space="preserve">Atbilstoši pasākuma mērķim un pastāvošajai situācijai darba tirgū ir </w:t>
            </w:r>
            <w:r w:rsidR="00AA63A5">
              <w:rPr>
                <w:rFonts w:ascii="Times New Roman" w:hAnsi="Times New Roman"/>
                <w:sz w:val="24"/>
                <w:szCs w:val="24"/>
              </w:rPr>
              <w:t>precizēta</w:t>
            </w:r>
            <w:r w:rsidR="00762A81" w:rsidRPr="00C53B4A">
              <w:rPr>
                <w:rFonts w:ascii="Times New Roman" w:hAnsi="Times New Roman"/>
                <w:sz w:val="24"/>
                <w:szCs w:val="24"/>
              </w:rPr>
              <w:t xml:space="preserve"> pasākuma mērķa grupa, kas ietver bezdarbniekus ar invaliditāti, ilgstošos bezdarbniekus (bijuši bez darba vismaz 12 mēnešus vai </w:t>
            </w:r>
            <w:r w:rsidR="00762A81" w:rsidRPr="00C53B4A">
              <w:rPr>
                <w:rFonts w:ascii="Times New Roman" w:hAnsi="Times New Roman"/>
                <w:sz w:val="24"/>
                <w:szCs w:val="24"/>
              </w:rPr>
              <w:lastRenderedPageBreak/>
              <w:t>vairāk), pieaug</w:t>
            </w:r>
            <w:r w:rsidR="00FD3DAB">
              <w:rPr>
                <w:rFonts w:ascii="Times New Roman" w:hAnsi="Times New Roman"/>
                <w:sz w:val="24"/>
                <w:szCs w:val="24"/>
              </w:rPr>
              <w:t>ušos ar vienu vai vairākiem apgā</w:t>
            </w:r>
            <w:r w:rsidR="00762A81" w:rsidRPr="00C53B4A">
              <w:rPr>
                <w:rFonts w:ascii="Times New Roman" w:hAnsi="Times New Roman"/>
                <w:sz w:val="24"/>
                <w:szCs w:val="24"/>
              </w:rPr>
              <w:t>dā</w:t>
            </w:r>
            <w:r w:rsidR="00FD3DAB">
              <w:rPr>
                <w:rFonts w:ascii="Times New Roman" w:hAnsi="Times New Roman"/>
                <w:sz w:val="24"/>
                <w:szCs w:val="24"/>
              </w:rPr>
              <w:t>jamiem</w:t>
            </w:r>
            <w:r w:rsidR="00762A81" w:rsidRPr="00C53B4A">
              <w:rPr>
                <w:rFonts w:ascii="Times New Roman" w:hAnsi="Times New Roman"/>
                <w:sz w:val="24"/>
                <w:szCs w:val="24"/>
              </w:rPr>
              <w:t>, kā arī personas</w:t>
            </w:r>
            <w:r w:rsidR="00102682">
              <w:rPr>
                <w:rFonts w:ascii="Times New Roman" w:hAnsi="Times New Roman"/>
                <w:sz w:val="24"/>
                <w:szCs w:val="24"/>
              </w:rPr>
              <w:t xml:space="preserve"> kas ir vecākas par 55</w:t>
            </w:r>
            <w:r w:rsidR="001D0AEA" w:rsidRPr="00C53B4A">
              <w:rPr>
                <w:rFonts w:ascii="Times New Roman" w:hAnsi="Times New Roman"/>
                <w:sz w:val="24"/>
                <w:szCs w:val="24"/>
              </w:rPr>
              <w:t xml:space="preserve"> gadiem. </w:t>
            </w:r>
            <w:r w:rsidR="00762A81" w:rsidRPr="00C53B4A">
              <w:rPr>
                <w:rFonts w:ascii="Times New Roman" w:hAnsi="Times New Roman"/>
                <w:sz w:val="24"/>
                <w:szCs w:val="24"/>
              </w:rPr>
              <w:t>Pasākuma mērķa sasniegšanai paredz</w:t>
            </w:r>
            <w:r w:rsidR="00F14670">
              <w:rPr>
                <w:rFonts w:ascii="Times New Roman" w:hAnsi="Times New Roman"/>
                <w:sz w:val="24"/>
                <w:szCs w:val="24"/>
              </w:rPr>
              <w:t>ēts</w:t>
            </w:r>
            <w:r w:rsidR="00762A81" w:rsidRPr="00C53B4A">
              <w:rPr>
                <w:rFonts w:ascii="Times New Roman" w:hAnsi="Times New Roman"/>
                <w:sz w:val="24"/>
                <w:szCs w:val="24"/>
              </w:rPr>
              <w:t xml:space="preserve"> īstenot vairākas atbalstāmas darbības, piemēram, nodrošināt projekta mērķa grupai subsidētās darbavietas, tai skaitā mērķa grupas nodarbināšanu pie darba devēja un darbam nepieciešamo pamatprasmju un iemaņu apguves nodrošināšanu, kā arī darbavietu pielāgošanu, (t.sk. iekārtu, aprīkojuma iegādi), personu ar invaliditāti nodarbināšanai nepieciešamo speciālistu (ergoterapeitu, surdotulku, atbalsta personu darbā personām ar garīga rakstura traucējumiem) piesaisti. </w:t>
            </w:r>
          </w:p>
          <w:p w:rsidR="007F1E46" w:rsidRDefault="000D0EC0" w:rsidP="00977757">
            <w:pPr>
              <w:ind w:firstLine="360"/>
              <w:jc w:val="both"/>
            </w:pPr>
            <w:r>
              <w:t>6</w:t>
            </w:r>
            <w:r w:rsidR="001D0AEA">
              <w:t xml:space="preserve">.2 </w:t>
            </w:r>
            <w:r w:rsidR="007F1E46">
              <w:t>NVA sniedz atbalstu bezdarba gadījumā arī personām ar invaliditāti, atbilstoši MK noteikumu Nr.75 nosacījumiem paredzot arī specifiskus pasākumu un pakalpojumu veidus, kā, piemēram, subsidētās nodarbinātības pasākums, kur valsts darba devējam izmaksā bezdarbnieka ar invaliditāti darba algas dotāciju, nepieciešamības g</w:t>
            </w:r>
            <w:r w:rsidR="00D94595">
              <w:t>adījumā nodrošina ergoterapeitu un</w:t>
            </w:r>
            <w:r w:rsidR="007F1E46">
              <w:t xml:space="preserve"> surdotulku pakalpojumu piesaisti, veic nepieciešamo pielāgojumu atmaksu u</w:t>
            </w:r>
            <w:r w:rsidR="009417C4">
              <w:t>.</w:t>
            </w:r>
            <w:r w:rsidR="007F1E46">
              <w:t xml:space="preserve">tml. Šobrīd pakalpojumu klāstā nav neviena pakalpojuma, kas nodrošinātu personu ar garīgās attīstības traucējumiem veiksmīgu integrācijas pāreju darba tirgū, jo šim invaliditātes veidam ir nepieciešama īpaša pieeja un atbalsts integrējoties citā vidē – tai skaitā darba vietā. Atbilstoši ieteikumiem, kas </w:t>
            </w:r>
            <w:r w:rsidR="00846301">
              <w:t>tika</w:t>
            </w:r>
            <w:r w:rsidR="007F1E46">
              <w:t xml:space="preserve"> izteikti no nevalstisko organizāciju pārstāvjiem, kuru ikdienas darbs ir saistīts ar personu ar garīga rakstura traucējumiem integrāciju sabiedrībā, tai skaitā arī darba tirgū, šādām personām veiksmīgai integrācijai darba tirgū ir nepieciešama atbalsta personas palīdzība.</w:t>
            </w:r>
          </w:p>
          <w:p w:rsidR="007F1E46" w:rsidRDefault="00AD4C91" w:rsidP="007F1E46">
            <w:pPr>
              <w:jc w:val="both"/>
            </w:pPr>
            <w:r w:rsidRPr="00AD4C91">
              <w:t>Atbalsta persona darbā personai ar garīga rakstura traucējumiem palīdz pasākuma noteiktām personu grupām ietvaros integrēties darba vietā (līdzdalība pārrunās ar darba devēju, atbalsta sniegšana darba vadītāja norādīto darba uzdevumu apguvē un izpildē, komunikācijas un saskarsmes veidošana ar darba devēju, darba vadītāju un darba kolēģiem, psiholoģiska un motivējoša atbalsta sniegšana) un ievērot darba kārtības noteikumus un darba pienākumus u.c.</w:t>
            </w:r>
          </w:p>
          <w:p w:rsidR="00DE4DDC" w:rsidRDefault="00DE4DDC" w:rsidP="007F1E46">
            <w:pPr>
              <w:jc w:val="both"/>
            </w:pPr>
            <w:r>
              <w:t>Lai integrācija būtu veiksmīgāka, šādam atbalst</w:t>
            </w:r>
            <w:r w:rsidR="00CA06E6">
              <w:t xml:space="preserve">am pakāpeniski ir jāsamazinās, </w:t>
            </w:r>
            <w:r>
              <w:t>radinot personu ar garīga rakstura traucējumiem patstāvīgi veikt darba pienākumus.</w:t>
            </w:r>
          </w:p>
          <w:p w:rsidR="00DE4DDC" w:rsidRDefault="00DE4DDC" w:rsidP="007F1E46">
            <w:pPr>
              <w:jc w:val="both"/>
            </w:pPr>
            <w:r>
              <w:t>Minētā iemesla dēļ aktīvajā nodarbinātības pasākumā „Pasākumi noteiktām personu grupām” nepieciešams iekļaut jauna speciālista pakalpojumu apmaksu – atbalsta persona darba personām ar garīga rakstura traucējumiem.</w:t>
            </w:r>
          </w:p>
          <w:p w:rsidR="00964074" w:rsidRDefault="00964074" w:rsidP="007F1E46">
            <w:pPr>
              <w:jc w:val="both"/>
            </w:pPr>
          </w:p>
          <w:p w:rsidR="00964074" w:rsidRPr="006B7AAD" w:rsidRDefault="00964074" w:rsidP="006B7AAD">
            <w:pPr>
              <w:pStyle w:val="tv213"/>
              <w:spacing w:before="0" w:beforeAutospacing="0" w:after="0" w:afterAutospacing="0"/>
              <w:jc w:val="both"/>
              <w:rPr>
                <w:bCs/>
              </w:rPr>
            </w:pPr>
            <w:r w:rsidRPr="00964074">
              <w:t>6.3</w:t>
            </w:r>
            <w:r w:rsidR="006B7AAD">
              <w:t>.</w:t>
            </w:r>
            <w:r w:rsidRPr="00964074">
              <w:t xml:space="preserve"> </w:t>
            </w:r>
            <w:r w:rsidR="006B7AAD">
              <w:t xml:space="preserve">Ar grozījumu projektu paredzēts, ka pasākuma </w:t>
            </w:r>
            <w:r w:rsidR="006B7AAD" w:rsidRPr="006B7AAD">
              <w:t>„</w:t>
            </w:r>
            <w:r w:rsidR="006B7AAD">
              <w:t>Pasākums noteiktām personu grupām” ietvaros d</w:t>
            </w:r>
            <w:r w:rsidRPr="00964074">
              <w:t xml:space="preserve">arba </w:t>
            </w:r>
            <w:r w:rsidRPr="00964074">
              <w:lastRenderedPageBreak/>
              <w:t>devējiem, kas nodarbina bezdarbniekus ar invaliditāti, aģentūra pasākumu īstenošanas laikā nodrošina</w:t>
            </w:r>
            <w:r w:rsidR="006B7AAD">
              <w:t xml:space="preserve"> </w:t>
            </w:r>
            <w:r w:rsidRPr="00964074">
              <w:rPr>
                <w:bCs/>
              </w:rPr>
              <w:t xml:space="preserve">ikmēneša darba algas dotāciju darbā pieņemtajiem bezdarbniekiem ar invaliditāti. </w:t>
            </w:r>
            <w:r w:rsidR="006B7AAD">
              <w:rPr>
                <w:bCs/>
              </w:rPr>
              <w:t>Dotācijas apmēram tiek noteikta minimālā un maksimālā robeža, proti, d</w:t>
            </w:r>
            <w:r w:rsidRPr="00964074">
              <w:rPr>
                <w:bCs/>
              </w:rPr>
              <w:t>otācija nav lielāka par valstī noteiktās pusotras minimālās mēneša darba algas apmēru vai valstī noteiktās minimālās mēneša darba algas apmērā, ja bezdarbnieku ar invaliditāti plānots nodarbināt mazkvalificētos darbos (vienkāršo profesiju darbi atbilstoši Profesiju klasi</w:t>
            </w:r>
            <w:r w:rsidR="006B7AAD">
              <w:rPr>
                <w:bCs/>
              </w:rPr>
              <w:t>fikatora devītajai pamatgrupai).</w:t>
            </w:r>
            <w:r w:rsidR="000E678C">
              <w:rPr>
                <w:bCs/>
              </w:rPr>
              <w:t xml:space="preserve"> Lai nodrošināti to, ka tiek paredzēti skaidri piešķiramās dotācijas apmēri robežās līdz pusotras minimālās darba algas apmērām, aģentūra, atbilstoši </w:t>
            </w:r>
            <w:r w:rsidR="006B7AAD">
              <w:rPr>
                <w:bCs/>
              </w:rPr>
              <w:t xml:space="preserve">Valsts pārvaldes iekārtas likuma </w:t>
            </w:r>
            <w:r w:rsidR="006B7AAD" w:rsidRPr="000E678C">
              <w:rPr>
                <w:bCs/>
              </w:rPr>
              <w:t>72.pan</w:t>
            </w:r>
            <w:r w:rsidR="000E678C" w:rsidRPr="000E678C">
              <w:rPr>
                <w:bCs/>
              </w:rPr>
              <w:t>tam izdod jaunu vai veic grozījumus esošajos iekšējos normatīvajos aktos</w:t>
            </w:r>
            <w:r w:rsidR="006B7AAD" w:rsidRPr="000E678C">
              <w:rPr>
                <w:bCs/>
              </w:rPr>
              <w:t>, paredzot dotācijas apmēru, atkarībā no pieejamā finansējuma un iesaistāmo personu skaita.</w:t>
            </w:r>
            <w:r w:rsidR="006B7AAD">
              <w:rPr>
                <w:b/>
                <w:bCs/>
              </w:rPr>
              <w:t xml:space="preserve"> </w:t>
            </w:r>
          </w:p>
          <w:p w:rsidR="001D0AEA" w:rsidRDefault="001D0AEA" w:rsidP="007F1E46">
            <w:pPr>
              <w:jc w:val="both"/>
            </w:pPr>
          </w:p>
          <w:p w:rsidR="00147E93" w:rsidRDefault="000D0EC0" w:rsidP="001D0AEA">
            <w:pPr>
              <w:ind w:firstLine="360"/>
              <w:jc w:val="both"/>
            </w:pPr>
            <w:r>
              <w:t>7</w:t>
            </w:r>
            <w:r w:rsidR="007F25C7">
              <w:t xml:space="preserve">. Atbilstoši Nodarbinātības pasākumu vasaras brīvlaikā personām, kuras iegūst izglītību vispārējās, speciālās vai profesionālās izglītības iestādēs iesaistes nosacījumiem, šajos pasākumos iesaista </w:t>
            </w:r>
            <w:bookmarkStart w:id="0" w:name="p103"/>
            <w:bookmarkStart w:id="1" w:name="p-516088"/>
            <w:bookmarkEnd w:id="0"/>
            <w:bookmarkEnd w:id="1"/>
            <w:r w:rsidR="007F25C7">
              <w:t xml:space="preserve">personas no 15 līdz 20 gadu (ieskaitot) vecumam, kuras iegūst izglītību vispārējās, speciālās vai profesionālās izglītības iestādēs. Minētais pasākums paredz izglītojamo īslaicīgu (līdz vienam mēnesim) nodarbinātību vasaras brīvlaikā valsts līdzfinansētās darba vietās, lai nodrošinātu viņiem iespēju iegūt darba pamatprasmes, iemaņas un darba pieredzi. </w:t>
            </w:r>
            <w:r w:rsidR="00A338F3">
              <w:t xml:space="preserve">Viens mēnesis ne vienmēr ir pietiekošs laiks, lai jaunietis apgūtu darba pamatprasmes un iemaņas, kā arī iegūtu pietiekamu darba pieredzi. Vairumā gadījumu jaunieši minētā pasākuma ietvaros tiek nodarbināti profesijās, kuras veicina jauniešu prasmju un spēju pilnveidi, kas ilgtermiņā veicina to konkurētspēju darba tirgū, līdz ar to, nepieciešams paredzēt, ka minētajā pasākumā jauniešus var iesaistīt līdz 2 mēnešiem. </w:t>
            </w:r>
          </w:p>
          <w:p w:rsidR="006D6455" w:rsidRPr="006D6455" w:rsidRDefault="006D6455" w:rsidP="007F25C7">
            <w:pPr>
              <w:jc w:val="both"/>
            </w:pPr>
          </w:p>
          <w:p w:rsidR="006D6455" w:rsidRPr="000C4D05" w:rsidRDefault="000D0EC0" w:rsidP="001D0AEA">
            <w:pPr>
              <w:ind w:firstLine="360"/>
              <w:jc w:val="both"/>
            </w:pPr>
            <w:r>
              <w:t>8</w:t>
            </w:r>
            <w:r w:rsidR="006D6455" w:rsidRPr="000C4D05">
              <w:t>. Šobrīd MK noteikumi Nr.75 nosaka,</w:t>
            </w:r>
            <w:r w:rsidR="006D6455" w:rsidRPr="000C4D05">
              <w:rPr>
                <w:color w:val="FF0000"/>
              </w:rPr>
              <w:t xml:space="preserve"> </w:t>
            </w:r>
            <w:r w:rsidR="006D6455" w:rsidRPr="000C4D05">
              <w:t>ka</w:t>
            </w:r>
            <w:r w:rsidR="008971DD">
              <w:t>, ja</w:t>
            </w:r>
            <w:r w:rsidR="006D6455" w:rsidRPr="000C4D05">
              <w:t xml:space="preserve"> konkurētspējas paaugstināšanas pasākumus īsteno Jauniešu garantijas programmas ietvaros, tajos iesaista jauniešus bezdarbniekus vecumā no 18 līdz 29 gadiem (ieskaitot). </w:t>
            </w:r>
            <w:r w:rsidR="000C4D05" w:rsidRPr="000C4D05">
              <w:t>Atbilstoši Informatīvajā ziņojumā</w:t>
            </w:r>
            <w:r w:rsidR="006D6455" w:rsidRPr="000C4D05">
              <w:t xml:space="preserve"> „Par Eiropas Savienības fondu darbības programmas „Izaugsme un nodarbinātība” 7.2.1.specifiskā atbalsta mērķa „Veicināt nodarbinātībā, izglītībā vai apmācībās neiesaistītu jauniešu nodarbinātību Jauniešu garantijas ietvaros” 1. un 2.kārtas īstenošanu”</w:t>
            </w:r>
            <w:r w:rsidR="000C4D05" w:rsidRPr="000C4D05">
              <w:t xml:space="preserve"> noteiktajam, konkurētspējas paaugstināšanas pasākumu mērķa grupa ir jaunieši bezdarbnieki vecumā no 15 līdz 29 gadiem. Attiecīgi MK noteikumos Nr.75 nepieciešams precizēt </w:t>
            </w:r>
            <w:r w:rsidR="000C4D05" w:rsidRPr="000C4D05">
              <w:lastRenderedPageBreak/>
              <w:t>konkurētspējas paaugstināšanas pasākuma iesaistes kritērijus.</w:t>
            </w:r>
          </w:p>
          <w:p w:rsidR="007F25C7" w:rsidRDefault="007F25C7" w:rsidP="007F1E46">
            <w:pPr>
              <w:jc w:val="both"/>
            </w:pPr>
          </w:p>
          <w:p w:rsidR="000F3932" w:rsidRDefault="000D0EC0" w:rsidP="001D0AEA">
            <w:pPr>
              <w:ind w:firstLine="360"/>
              <w:jc w:val="both"/>
              <w:rPr>
                <w:bCs/>
                <w:iCs/>
                <w:color w:val="000000"/>
              </w:rPr>
            </w:pPr>
            <w:r>
              <w:t>9</w:t>
            </w:r>
            <w:r w:rsidR="000F3932">
              <w:t>.</w:t>
            </w:r>
            <w:r w:rsidR="009159E6">
              <w:t xml:space="preserve"> </w:t>
            </w:r>
            <w:r w:rsidR="009159E6" w:rsidRPr="009159E6">
              <w:rPr>
                <w:rStyle w:val="IntenseEmphasis"/>
                <w:b w:val="0"/>
                <w:i w:val="0"/>
                <w:color w:val="auto"/>
              </w:rPr>
              <w:t xml:space="preserve">Pasākuma </w:t>
            </w:r>
            <w:r w:rsidR="009159E6" w:rsidRPr="009159E6">
              <w:rPr>
                <w:bCs/>
              </w:rPr>
              <w:t>„Darbnīcas jauniešiem</w:t>
            </w:r>
            <w:r w:rsidR="00147E93" w:rsidRPr="006E3120">
              <w:rPr>
                <w:bCs/>
                <w:color w:val="000000"/>
              </w:rPr>
              <w:t>”</w:t>
            </w:r>
            <w:r w:rsidR="009159E6" w:rsidRPr="009159E6">
              <w:rPr>
                <w:rStyle w:val="IntenseEmphasis"/>
                <w:b w:val="0"/>
                <w:i w:val="0"/>
                <w:color w:val="auto"/>
              </w:rPr>
              <w:t xml:space="preserve"> mērķa grupa ir jaunieši vecumā no 15 līdz 24 gadiem, kuri nav ieguvuši profesionālo izglītību vai kuri nav bijuši iepriekš nodarbināti. Līdz ar to jauniešiem, kuri nav ieguvuši profesionālo izglītību, bet līdz šim ir strādājuši tikai mazkvalificētus darbus, kas nesniedz darba tirgū pieprasītas zināšanas un prasmes, nav iespēja iesaistīties pasākumā, lai pieņemtu pārdomātu lēmumu par turpmāko izglītību un profesionālās darbības jomu.</w:t>
            </w:r>
            <w:r w:rsidR="009159E6">
              <w:rPr>
                <w:rStyle w:val="IntenseEmphasis"/>
                <w:b w:val="0"/>
                <w:i w:val="0"/>
                <w:color w:val="auto"/>
              </w:rPr>
              <w:t xml:space="preserve"> Lai nodrošinātu to, ka </w:t>
            </w:r>
            <w:r w:rsidR="006E3120">
              <w:rPr>
                <w:rStyle w:val="IntenseEmphasis"/>
                <w:b w:val="0"/>
                <w:i w:val="0"/>
                <w:color w:val="auto"/>
              </w:rPr>
              <w:t>minētajā pasākumā var iesaistīties arī tie, jaunieši, kas iepriekš strādājuši tikai mazkvalificētus darbus,</w:t>
            </w:r>
            <w:r w:rsidR="006E23BC">
              <w:rPr>
                <w:rStyle w:val="IntenseEmphasis"/>
                <w:b w:val="0"/>
                <w:i w:val="0"/>
                <w:color w:val="auto"/>
              </w:rPr>
              <w:t xml:space="preserve"> un</w:t>
            </w:r>
            <w:r w:rsidR="006E3120">
              <w:rPr>
                <w:rStyle w:val="IntenseEmphasis"/>
                <w:b w:val="0"/>
                <w:i w:val="0"/>
                <w:color w:val="auto"/>
              </w:rPr>
              <w:t xml:space="preserve"> lai veicinātu šo jauniešu konkurētspēju darba tirgū, nepieciešams paredzēt, ka pasākumā </w:t>
            </w:r>
            <w:r w:rsidR="006E3120" w:rsidRPr="009159E6">
              <w:rPr>
                <w:bCs/>
              </w:rPr>
              <w:t>„Darbnīcas jauniešiem</w:t>
            </w:r>
            <w:r w:rsidR="006E3120" w:rsidRPr="006E3120">
              <w:rPr>
                <w:bCs/>
                <w:color w:val="000000"/>
              </w:rPr>
              <w:t>”</w:t>
            </w:r>
            <w:r w:rsidR="006E3120">
              <w:rPr>
                <w:bCs/>
                <w:color w:val="000000"/>
              </w:rPr>
              <w:t xml:space="preserve"> iesaista jauniešus, </w:t>
            </w:r>
            <w:r w:rsidR="006E3120" w:rsidRPr="006E3120">
              <w:rPr>
                <w:bCs/>
                <w:color w:val="000000"/>
              </w:rPr>
              <w:t xml:space="preserve">kuri nav ieguvuši profesionālo izglītību vai nav bijuši iepriekš nodarbināti vai bijuši nodarbināti </w:t>
            </w:r>
            <w:r w:rsidR="006E3120" w:rsidRPr="006E3120">
              <w:rPr>
                <w:bCs/>
                <w:iCs/>
                <w:color w:val="000000"/>
              </w:rPr>
              <w:t>mazkvalificētās darbos (vienkāršo profesiju darbi atbilstoši Profesiju klasifikatora devītajai pamatgrupai).</w:t>
            </w:r>
          </w:p>
          <w:p w:rsidR="001121F2" w:rsidRDefault="001121F2" w:rsidP="007F1E46">
            <w:pPr>
              <w:jc w:val="both"/>
              <w:rPr>
                <w:bCs/>
                <w:iCs/>
                <w:color w:val="000000"/>
              </w:rPr>
            </w:pPr>
          </w:p>
          <w:p w:rsidR="001121F2" w:rsidRPr="001121F2" w:rsidRDefault="001121F2" w:rsidP="00EC0548">
            <w:pPr>
              <w:spacing w:afterLines="20" w:after="48"/>
              <w:jc w:val="both"/>
              <w:rPr>
                <w:rStyle w:val="IntenseEmphasis"/>
                <w:b w:val="0"/>
                <w:bCs w:val="0"/>
                <w:i w:val="0"/>
                <w:iCs w:val="0"/>
                <w:color w:val="auto"/>
              </w:rPr>
            </w:pPr>
            <w:r w:rsidRPr="001121F2">
              <w:t xml:space="preserve">Pasākuma </w:t>
            </w:r>
            <w:r w:rsidRPr="001121F2">
              <w:rPr>
                <w:bCs/>
              </w:rPr>
              <w:t>„Darbnīcas jauniešiem”</w:t>
            </w:r>
            <w:r w:rsidRPr="001121F2">
              <w:t xml:space="preserve"> iesaistes no</w:t>
            </w:r>
            <w:r w:rsidR="002F062E">
              <w:t>sacījumi</w:t>
            </w:r>
            <w:r w:rsidRPr="001121F2">
              <w:t xml:space="preserve"> paredz, ka jaunietim </w:t>
            </w:r>
            <w:r w:rsidRPr="001121F2">
              <w:rPr>
                <w:rStyle w:val="IntenseEmphasis"/>
                <w:b w:val="0"/>
                <w:i w:val="0"/>
                <w:color w:val="auto"/>
              </w:rPr>
              <w:t xml:space="preserve">ir jāizvēlas trīs profesionālās izglītības programmas vienā izglītības iestādē, bet ir jaunieši, kuri labprāt iesaistītos tikai vienā vai divās izglītības programmās vienā izglītības iestādē, bet atlikušās izglītības programmas iepazītu citā izglītības iestādē, īpaši ņemot vērā, ka atsevišķas izglītības iestādes kopumā piedāvā tikai 3 profesionālās izglītības jomas. Turklāt, analizējot jauniešu izvēlētās trīs profesionālās izglītības programmas, redzams, ka samērā bieži jaunieši izvēlas divas profesionālās izglītības programmas vienas jomas vai saistītu jomu ietvaros, kamēr trešā programma ir izvēlēta savstarpēji nesaistītā jomā. Šāda situācija var rasties ne vien tādēļ, ka jaunietim ir dažādas intereses, bet arī tādēļ, ka vienas izglītības iestādes ietvaros nav piemērotākas programmas vai vienkārši profesionālās izglītības programma tiek izvēlēta tikai tāpēc, ka to paredz pasākuma nosacījumi.  Līdz ar to nepieciešams paredzēt, ka </w:t>
            </w:r>
            <w:r w:rsidRPr="001121F2">
              <w:t xml:space="preserve">pasākuma ietvaros jaunieši bezdarbnieki vienā vai vairākās izglītības iestādēs iepazīstas kopskaitā ar </w:t>
            </w:r>
            <w:r w:rsidR="00977757">
              <w:t xml:space="preserve">līdz </w:t>
            </w:r>
            <w:r w:rsidRPr="001121F2">
              <w:t>trim profesionālās izglītības programmām.</w:t>
            </w:r>
          </w:p>
          <w:p w:rsidR="009159E6" w:rsidRDefault="009159E6" w:rsidP="007F1E46">
            <w:pPr>
              <w:jc w:val="both"/>
              <w:rPr>
                <w:rStyle w:val="IntenseEmphasis"/>
                <w:b w:val="0"/>
                <w:i w:val="0"/>
                <w:color w:val="auto"/>
              </w:rPr>
            </w:pPr>
          </w:p>
          <w:p w:rsidR="00622B16" w:rsidRDefault="009159E6" w:rsidP="00622B16">
            <w:pPr>
              <w:jc w:val="both"/>
              <w:rPr>
                <w:sz w:val="28"/>
                <w:szCs w:val="28"/>
              </w:rPr>
            </w:pPr>
            <w:r w:rsidRPr="009159E6">
              <w:t>Analizējot</w:t>
            </w:r>
            <w:r w:rsidR="00CE3E52">
              <w:t xml:space="preserve"> pasākumā </w:t>
            </w:r>
            <w:r w:rsidR="00C657FB" w:rsidRPr="009159E6">
              <w:rPr>
                <w:bCs/>
              </w:rPr>
              <w:t>„Darbnīcas jauniešiem</w:t>
            </w:r>
            <w:r w:rsidR="00C657FB" w:rsidRPr="006E3120">
              <w:rPr>
                <w:bCs/>
                <w:color w:val="000000"/>
              </w:rPr>
              <w:t>”</w:t>
            </w:r>
            <w:r w:rsidR="00C657FB">
              <w:rPr>
                <w:bCs/>
                <w:color w:val="000000"/>
              </w:rPr>
              <w:t xml:space="preserve"> </w:t>
            </w:r>
            <w:r w:rsidRPr="009159E6">
              <w:t xml:space="preserve">izvēlētās profesionālās izglītības programmas, </w:t>
            </w:r>
            <w:r w:rsidR="00C657FB">
              <w:t>secināts</w:t>
            </w:r>
            <w:r w:rsidRPr="009159E6">
              <w:t xml:space="preserve">, ka lielākoties tiek izvēlētas jauniešu vidū populāras profesijas, piemēram, datorzinātnes, vairumtirdzniecība un mazumtirdzniecība, viesnīcu un restorānu pakalpojumi, sekretariāta un biroja darbs vai </w:t>
            </w:r>
            <w:r w:rsidRPr="009159E6">
              <w:lastRenderedPageBreak/>
              <w:t xml:space="preserve">skaistumkopšanas pakalpojumi, kuras izvēlas apgūt arī bez papildus atbalsta pasākumiem, kā rezultātā atbalsts šo profesiju apguvei ir nepieciešams salīdzinoši mazāks. </w:t>
            </w:r>
            <w:r w:rsidR="00622B16">
              <w:t>Lai nodrošinātu, to ka pasākuma ietvaros jaunieši iepazītu tās profesionālās izglītības programmas, pēc kuru speciālistiem ir lielāks pieprasījums dar</w:t>
            </w:r>
            <w:r w:rsidR="008A1556">
              <w:t>b</w:t>
            </w:r>
            <w:r w:rsidR="00622B16">
              <w:t xml:space="preserve">a tirgū, nepieciešams paredzēt, ka </w:t>
            </w:r>
            <w:r w:rsidR="00622B16" w:rsidRPr="00622B16">
              <w:t>p</w:t>
            </w:r>
            <w:r w:rsidR="006870B0" w:rsidRPr="00622B16">
              <w:t>asākuma ietvaros jaunieši bezdarbnieki izglītības iestādēs iepazīst profesionālās izglītības programmas atbilstoši Labklājības ministrijas izstrādātajam apmācību jomu un profesiju sarakstam, kurās nepieciešams veikt bezdarbnieku apmācību, pārkvalifikāciju un kvalifikācijas paaugstināšanu.</w:t>
            </w:r>
            <w:r w:rsidR="006870B0" w:rsidRPr="00224D08">
              <w:rPr>
                <w:sz w:val="28"/>
                <w:szCs w:val="28"/>
              </w:rPr>
              <w:t xml:space="preserve">  </w:t>
            </w:r>
          </w:p>
          <w:p w:rsidR="001D1C3C" w:rsidRDefault="001D1C3C" w:rsidP="00622B16">
            <w:pPr>
              <w:jc w:val="both"/>
              <w:rPr>
                <w:sz w:val="28"/>
                <w:szCs w:val="28"/>
              </w:rPr>
            </w:pPr>
          </w:p>
          <w:p w:rsidR="000F3932" w:rsidRDefault="001D1C3C" w:rsidP="00622B16">
            <w:pPr>
              <w:jc w:val="both"/>
            </w:pPr>
            <w:r w:rsidRPr="00BD75C4">
              <w:t xml:space="preserve">NVA darbinieki, balstoties uz karjeras konsultantu pārrunām ar iesaistītajiem jauniešiem, norāda, ka trīs nedēļas vienai izglītības programmai ir pārāk ilgs laiks, lai sasniegtu izvirzīto mērķi </w:t>
            </w:r>
            <w:r w:rsidRPr="00BD75C4">
              <w:rPr>
                <w:rStyle w:val="IntenseEmphasis"/>
                <w:b w:val="0"/>
                <w:i w:val="0"/>
                <w:color w:val="auto"/>
              </w:rPr>
              <w:t>–</w:t>
            </w:r>
            <w:r w:rsidRPr="00BD75C4">
              <w:t xml:space="preserve"> iepazītos ar izglītības programmas specifiku un gūtu pirmo pieredzi, kas jaunietim ļautu izvēlēties izglītības un profesionālās darbības jomu, īpaši ņemot vērā, ka darbs ar jauniešiem notiek individuāli vai nelielās grupās, kas ļauj sasniegt labākus rezultātus. Līdz ar to nepieciešams paredzēt, ka k</w:t>
            </w:r>
            <w:r w:rsidR="006870B0" w:rsidRPr="00BD75C4">
              <w:t xml:space="preserve">atrā izglītības programmā jaunietis iesaistās </w:t>
            </w:r>
            <w:r w:rsidR="000902BF">
              <w:t>līdz divām</w:t>
            </w:r>
            <w:r w:rsidR="006870B0" w:rsidRPr="00BD75C4">
              <w:t xml:space="preserve"> nedēļām,</w:t>
            </w:r>
            <w:r w:rsidRPr="00BD75C4">
              <w:t xml:space="preserve"> atsevišķām izglītības programmās paredzot īsāku iesaistes termiņu, atbilstoši izvēlētās profesionālās izglītības programmas specifikai</w:t>
            </w:r>
            <w:r w:rsidR="00BD75C4" w:rsidRPr="00BD75C4">
              <w:t>.</w:t>
            </w:r>
          </w:p>
          <w:p w:rsidR="00BD75C4" w:rsidRDefault="00BD75C4" w:rsidP="00BD75C4">
            <w:pPr>
              <w:jc w:val="both"/>
            </w:pPr>
          </w:p>
          <w:p w:rsidR="00BD75C4" w:rsidRDefault="00BD75C4" w:rsidP="00BD75C4">
            <w:pPr>
              <w:jc w:val="both"/>
            </w:pPr>
            <w:r w:rsidRPr="00BD75C4">
              <w:t>Kā papildus aktivitāti pasākuma praktisko nodarbību ietvaros paredzēts noteikt iespēju iepazīties ar izvēlēto profesionālo darbības jomu pie darba devēja uzņēmumos, tādējādi pilnvērtīgāk aizpildot vienas profesionālās darbības jomas iepazīšanai atvēlēto laiku un nodrošinot vispusīgāku ieskatu izvēlētajā profesionālās darbības jomā. Profesionālās darbības jomas iepazīšana uzņēmumos nodrošinātu iespēju iepazīties ar reālu darbību, gan redzot kā izvēlētajā profesionālajā jomā darbojas profesionāļi, gan</w:t>
            </w:r>
            <w:r w:rsidR="00A32E82">
              <w:t>,</w:t>
            </w:r>
            <w:r w:rsidRPr="00BD75C4">
              <w:t xml:space="preserve"> atbilstoši darba drošības noteikumiem</w:t>
            </w:r>
            <w:r w:rsidR="00A32E82">
              <w:t>,</w:t>
            </w:r>
            <w:r w:rsidR="00EF418E">
              <w:t xml:space="preserve"> pašiem izmēģinot vienkāršākā</w:t>
            </w:r>
            <w:r w:rsidRPr="00BD75C4">
              <w:t>s darbības. Līdz ar to sadarbību ar darba devējiem praktisko nodarbību ietvaros nepieciešams iekļaut kā papildus nosacījumu, kas jānodrošina izglītības iestādēm pasākuma ietvaros. Izdevumu segšana darba devējiem nav paredzēta, ņemot vērā, ka darba devēju uzdevums ir tikai iepazīstināt ar konkrēto profesionālās darbības jomu.</w:t>
            </w:r>
          </w:p>
          <w:p w:rsidR="006D3874" w:rsidRDefault="006D3874" w:rsidP="003804C1">
            <w:pPr>
              <w:jc w:val="both"/>
            </w:pPr>
          </w:p>
          <w:p w:rsidR="006D3874" w:rsidRDefault="000D0EC0" w:rsidP="001D0AEA">
            <w:pPr>
              <w:ind w:firstLine="360"/>
              <w:jc w:val="both"/>
              <w:rPr>
                <w:i/>
              </w:rPr>
            </w:pPr>
            <w:r>
              <w:t>10</w:t>
            </w:r>
            <w:r w:rsidR="006D3874">
              <w:t xml:space="preserve">. </w:t>
            </w:r>
            <w:r w:rsidR="006D3874" w:rsidRPr="002E721A">
              <w:t xml:space="preserve">Šobrīd pasākuma </w:t>
            </w:r>
            <w:r w:rsidR="002E721A" w:rsidRPr="002E721A">
              <w:rPr>
                <w:bCs/>
              </w:rPr>
              <w:t>„</w:t>
            </w:r>
            <w:r w:rsidR="006D3874" w:rsidRPr="002E721A">
              <w:t>Komersantu nodarbināto personu reģionālās mobilitātes veicināšana</w:t>
            </w:r>
            <w:r w:rsidR="002E721A" w:rsidRPr="002E721A">
              <w:t>”</w:t>
            </w:r>
            <w:r w:rsidR="006D3874" w:rsidRPr="002E721A">
              <w:t xml:space="preserve"> ietvaros paredzētais finansiālais atbalsts tiek sniegts visās Latvijas Republikas administratīvajās teritorijās, izņemot Rīgu. Izņēmums attiecībā uz Rīgu netiek piemērots, ja darba </w:t>
            </w:r>
            <w:r w:rsidR="006D3874" w:rsidRPr="002E721A">
              <w:lastRenderedPageBreak/>
              <w:t>devējs piedāvā vienlaikus uzsākt darba tiesiskās attiecības ar vismaz 25 NVA reģistrētiem bezdarbniekiem.</w:t>
            </w:r>
            <w:r w:rsidR="002E721A">
              <w:t xml:space="preserve"> </w:t>
            </w:r>
            <w:r w:rsidR="006D3874" w:rsidRPr="002E721A">
              <w:rPr>
                <w:color w:val="000000"/>
              </w:rPr>
              <w:t>Lai nodrošinātu mērķētāku un operatīvāku palīdzību tiem, kas zaudējuši darbu īpašu apstākļu dēļ, piemēram, kolektīvās atlaišanas rezultātā, šīm personām nep</w:t>
            </w:r>
            <w:r w:rsidR="002E721A" w:rsidRPr="002E721A">
              <w:rPr>
                <w:color w:val="000000"/>
              </w:rPr>
              <w:t>ieciešams paredzēt elastīgākus p</w:t>
            </w:r>
            <w:r w:rsidR="006D3874" w:rsidRPr="002E721A">
              <w:rPr>
                <w:color w:val="000000"/>
              </w:rPr>
              <w:t xml:space="preserve">asākuma iesaistes nosacījumus, lai nodrošinātu </w:t>
            </w:r>
            <w:r w:rsidR="006D3874" w:rsidRPr="002E721A">
              <w:t xml:space="preserve">iespēju pieņemt darbu citos reģionos, t.sk. Rīgā, un pretendēt uz iesaisti </w:t>
            </w:r>
            <w:r w:rsidR="002E721A" w:rsidRPr="002E721A">
              <w:t>p</w:t>
            </w:r>
            <w:r w:rsidR="006D3874" w:rsidRPr="002E721A">
              <w:t xml:space="preserve">asākumā. Šī mērķa sasniegšanai nepieciešams paredzēt papildus izņēmuma gadījumus, kuriem iestājoties, persona var pretendēt uz Pasākumā paredzēto finansiālo atbalstu arī uzsākot darbu Rīgā. Paredzot elastīgākus iesaistes nosacījumus attiecībā uz vienlaikus aizpildāmo darba vietu skaitu, darba devējiem tiktu atvieglota iespēja piesaistīt darbiniekus no citiem reģioniem. </w:t>
            </w:r>
            <w:r w:rsidR="002E721A" w:rsidRPr="002E721A">
              <w:t>Līdz ar to nepieciešams paredzēt, ka i</w:t>
            </w:r>
            <w:r w:rsidR="006D3874" w:rsidRPr="002E721A">
              <w:t>zņēmums attiecībā uz Rīgu netiek piemērots, ja darba devējs piedāvā vienlaikus uzsākt darba tiesiskās attiecības ar vismaz 10 aģentūrā reģistrētiem bezdarbniekiem vai gadījumos, kad bezdarbnieka statusa piešķiršana ir saistīta ar darba tiesisko attiecību izbeigšanu saistībā ar saimniecisku, organizatorisku, tehnoloģisku vai līdzīga rakstura pasākumu veikšanu un tas būtiski ietekmējis vai varēja ietekmēt nodarbinātības situāciju attiecīgajā administratīvajā teritorijā.</w:t>
            </w:r>
            <w:r w:rsidR="006D3874" w:rsidRPr="002E721A">
              <w:rPr>
                <w:i/>
              </w:rPr>
              <w:t xml:space="preserve"> </w:t>
            </w:r>
          </w:p>
          <w:p w:rsidR="002E721A" w:rsidRDefault="002E721A" w:rsidP="002E721A">
            <w:pPr>
              <w:jc w:val="both"/>
            </w:pPr>
          </w:p>
          <w:p w:rsidR="002E721A" w:rsidRDefault="002E721A" w:rsidP="002E721A">
            <w:pPr>
              <w:jc w:val="both"/>
            </w:pPr>
            <w:r w:rsidRPr="002E721A">
              <w:rPr>
                <w:color w:val="000000"/>
              </w:rPr>
              <w:t xml:space="preserve">Lai netiktu ierobežotas </w:t>
            </w:r>
            <w:r>
              <w:rPr>
                <w:color w:val="000000"/>
              </w:rPr>
              <w:t>personas iespējas iesaistīties p</w:t>
            </w:r>
            <w:r w:rsidRPr="002E721A">
              <w:rPr>
                <w:color w:val="000000"/>
              </w:rPr>
              <w:t>asākumā un lai novērstu pārpratumus, kas rodas gadījumos, kad</w:t>
            </w:r>
            <w:r w:rsidRPr="002E721A">
              <w:t xml:space="preserve"> </w:t>
            </w:r>
            <w:r>
              <w:t>p</w:t>
            </w:r>
            <w:r w:rsidRPr="002E721A">
              <w:t>asākuma pretendents pirms pieteikuma iesniegšanas pēdējā gada laikā mainījis deklarēto dzīvesvietu vienas administratīvās teritorijas ietvaros, MK noteikumu</w:t>
            </w:r>
            <w:r>
              <w:t>s</w:t>
            </w:r>
            <w:r w:rsidRPr="002E721A">
              <w:t xml:space="preserve"> Nr.75. nepieciešams papildināt ar nosacījumu, kas paredz, ka darbinieku iesaista </w:t>
            </w:r>
            <w:r>
              <w:t>p</w:t>
            </w:r>
            <w:r w:rsidRPr="002E721A">
              <w:t xml:space="preserve">asākumā arī tad, ja darbinieks gada laikā mainījis deklarēto dzīvesvietu un gan jaunā, gan iepriekšējā dzīvesvieta atrodas vienā administratīvajā teritorijā. </w:t>
            </w:r>
            <w:r w:rsidRPr="002E721A">
              <w:rPr>
                <w:color w:val="000000"/>
              </w:rPr>
              <w:t>Turklāt, lai nodrošinātu elastīgākus</w:t>
            </w:r>
            <w:r>
              <w:rPr>
                <w:color w:val="000000"/>
              </w:rPr>
              <w:t xml:space="preserve"> p</w:t>
            </w:r>
            <w:r w:rsidRPr="002E721A">
              <w:rPr>
                <w:color w:val="000000"/>
              </w:rPr>
              <w:t xml:space="preserve">asākuma iesaistes nosacījumus, nepieciešams paredzēt, ka </w:t>
            </w:r>
            <w:r>
              <w:t>p</w:t>
            </w:r>
            <w:r w:rsidRPr="002E721A">
              <w:t xml:space="preserve">asākumā iesaista </w:t>
            </w:r>
            <w:r>
              <w:t>n</w:t>
            </w:r>
            <w:r w:rsidRPr="002E721A">
              <w:t>odarbināto, kurš norādītajā dzīvesvietā ir deklarēts vismaz 6 mēnešus, aizstājot iepriekšējo viena gada termiņu.</w:t>
            </w:r>
          </w:p>
          <w:p w:rsidR="00F95E08" w:rsidRDefault="00F95E08" w:rsidP="002E721A">
            <w:pPr>
              <w:jc w:val="both"/>
            </w:pPr>
          </w:p>
          <w:p w:rsidR="00F95E08" w:rsidRPr="00F95E08" w:rsidRDefault="00F95E08" w:rsidP="00F95E08">
            <w:pPr>
              <w:jc w:val="both"/>
              <w:rPr>
                <w:color w:val="FF0000"/>
              </w:rPr>
            </w:pPr>
            <w:r w:rsidRPr="00F95E08">
              <w:rPr>
                <w:color w:val="000000"/>
              </w:rPr>
              <w:t xml:space="preserve">Lai veicinātu NVA darba efektivitāti un optimizētu pasākuma finansējuma izmaksas kārtību, nepieciešams paredzēt, ka ikmēneša finanšu atlīdzību par otro un nākamajiem diviem darba tiesisko attiecību mēnešiem izmaksā katra mēneša 10. </w:t>
            </w:r>
            <w:r w:rsidR="000902BF">
              <w:rPr>
                <w:color w:val="000000"/>
              </w:rPr>
              <w:t>vai</w:t>
            </w:r>
            <w:r w:rsidRPr="00F95E08">
              <w:rPr>
                <w:color w:val="000000"/>
              </w:rPr>
              <w:t xml:space="preserve"> 20.datumā, pēc transporta un īres izdevumus apliecinošo dokumentu saņemšanas. Finanšu atlīdzība izmaksājama vienu reizi mēnesī, atkarībā no datuma, kurā tika iesniegti </w:t>
            </w:r>
            <w:r w:rsidRPr="00F95E08">
              <w:t>transporta un īres izdevumus apliecinošie dokumenti</w:t>
            </w:r>
            <w:r w:rsidRPr="00F95E08">
              <w:rPr>
                <w:color w:val="000000"/>
              </w:rPr>
              <w:t xml:space="preserve"> </w:t>
            </w:r>
            <w:r w:rsidRPr="00F95E08">
              <w:t>par otro darba tiesisko attiecību mēnesi.</w:t>
            </w:r>
            <w:r w:rsidRPr="00F95E08">
              <w:rPr>
                <w:color w:val="FF0000"/>
              </w:rPr>
              <w:t xml:space="preserve"> </w:t>
            </w:r>
          </w:p>
          <w:p w:rsidR="00F95E08" w:rsidRDefault="00F95E08" w:rsidP="002E721A">
            <w:pPr>
              <w:jc w:val="both"/>
            </w:pPr>
          </w:p>
          <w:p w:rsidR="000F3932" w:rsidRDefault="000F2C0D" w:rsidP="007F1E46">
            <w:pPr>
              <w:jc w:val="both"/>
            </w:pPr>
            <w:r w:rsidRPr="00E64801">
              <w:t>Atbilstoši pasākuma „Atbalsts jauniešu reģionālajai mobilitātei Jauniešu garantijas programmas ietvaros” iesaistes kritērijiem, atbalsts vērsts uz specifisku personu grupu - jauniešiem, kuri iesaistās konkrētos NVA organizētajos nodarbinātības pasākumos - „Pirmā darba pieredze jaunietim”, „Atbalsts subsidēto darbavietu izvei</w:t>
            </w:r>
            <w:r w:rsidR="004F42E2">
              <w:t xml:space="preserve">dei jauniešiem bezdarbniekiem”, </w:t>
            </w:r>
            <w:r w:rsidR="004F42E2" w:rsidRPr="004F42E2">
              <w:t>„</w:t>
            </w:r>
            <w:r w:rsidRPr="00E64801">
              <w:t>Pasākumi noteiktām personu grupām</w:t>
            </w:r>
            <w:r w:rsidR="004F42E2" w:rsidRPr="00E64801">
              <w:t>”</w:t>
            </w:r>
            <w:r w:rsidRPr="00E64801">
              <w:t>,</w:t>
            </w:r>
            <w:r w:rsidR="00E64801" w:rsidRPr="00E64801">
              <w:t xml:space="preserve"> „Darbnīcas jauniešiem”, Profesionālā apmācība, pārkvalifikācija, kvalifikācijas paaugstināšana un neformālās izglītības ieguve. Līdz ar to</w:t>
            </w:r>
            <w:r w:rsidRPr="00E64801">
              <w:t xml:space="preserve"> iesaiste pasākumā atkarīga nevis no fakta, ka persona atradusies bezdarbnieka statusā un uzsākusi darba tiesiskās attiecības attālāk no pastāvīgās dzīvesvietas, bet gan iesaistes konkrētos jauniešiem paredzētos NVA organizētajos pasākumos.</w:t>
            </w:r>
            <w:r w:rsidR="00E64801" w:rsidRPr="00E64801">
              <w:t xml:space="preserve"> </w:t>
            </w:r>
            <w:r w:rsidRPr="00E64801">
              <w:t>Lai nodrošinātu vienlīdzīgas iespējas pretendēt uz dalību reģionālās mobilitātes veicināšanas pasākumā</w:t>
            </w:r>
            <w:r w:rsidR="00E64801" w:rsidRPr="00E64801">
              <w:t xml:space="preserve"> piedaloties atsevišķos aktīvajos nodarbinātības pasākumos</w:t>
            </w:r>
            <w:r w:rsidRPr="00E64801">
              <w:t xml:space="preserve"> gan pieaugušajiem, gan jauniešiem, </w:t>
            </w:r>
            <w:r w:rsidR="00E64801" w:rsidRPr="00E64801">
              <w:t xml:space="preserve">nepieciešams paredzēt, </w:t>
            </w:r>
            <w:r w:rsidRPr="00E64801">
              <w:t xml:space="preserve">ka atbalstu reģionālajai mobilitātei var saņemt arī pieaugušie, kuri iesaistās pasākumos „Pasākumi noteiktām personu grupām” (subsidētā nodarbinātība) un Profesionālajā apmācībā, pārkvalifikācijā, kvalifikācijas paaugstināšanā un neformālās izglītības programmās. </w:t>
            </w:r>
          </w:p>
          <w:p w:rsidR="007F1E46" w:rsidRDefault="007F1E46" w:rsidP="007F1E46">
            <w:pPr>
              <w:jc w:val="both"/>
            </w:pPr>
          </w:p>
          <w:p w:rsidR="00E47AD9" w:rsidRPr="006826A6" w:rsidRDefault="00E47AD9" w:rsidP="004C4FE3">
            <w:pPr>
              <w:jc w:val="both"/>
              <w:rPr>
                <w:b/>
                <w:color w:val="000000"/>
                <w:kern w:val="18"/>
              </w:rPr>
            </w:pPr>
            <w:r w:rsidRPr="006826A6">
              <w:rPr>
                <w:b/>
                <w:color w:val="000000"/>
                <w:kern w:val="18"/>
              </w:rPr>
              <w:t>Lai novērtu iepriekš minētās problēmas Noteikumu projekts paredz šādas izmaiņas:</w:t>
            </w:r>
          </w:p>
          <w:p w:rsidR="0069030A" w:rsidRDefault="00EA2D19" w:rsidP="0069030A">
            <w:pPr>
              <w:numPr>
                <w:ilvl w:val="0"/>
                <w:numId w:val="4"/>
              </w:numPr>
              <w:jc w:val="both"/>
              <w:rPr>
                <w:kern w:val="18"/>
              </w:rPr>
            </w:pPr>
            <w:r>
              <w:rPr>
                <w:kern w:val="18"/>
              </w:rPr>
              <w:t>Bezdarbnieku un darba meklētāju apmācībā tiek noteikts, ka vairs netiks rīkots publiskais iepirkums – attiekšanās no NVA un izglītības iestāžu līgumu slēgšanas un pienākumu pārnešana un MK noteikumiem Nr.75 un konkrētu apmā</w:t>
            </w:r>
            <w:r w:rsidR="00F242A2">
              <w:rPr>
                <w:kern w:val="18"/>
              </w:rPr>
              <w:t xml:space="preserve">cību kuponu vērtību noteikšana </w:t>
            </w:r>
            <w:r w:rsidR="00147E93">
              <w:rPr>
                <w:kern w:val="18"/>
              </w:rPr>
              <w:t>(</w:t>
            </w:r>
            <w:r w:rsidR="0062529F" w:rsidRPr="00D338F6">
              <w:rPr>
                <w:kern w:val="18"/>
              </w:rPr>
              <w:t>Noteikumu projekta</w:t>
            </w:r>
            <w:r w:rsidR="00FD3531">
              <w:rPr>
                <w:kern w:val="18"/>
              </w:rPr>
              <w:t xml:space="preserve"> 9., 10., 15., 18.,19. 33.</w:t>
            </w:r>
            <w:r w:rsidR="00FD3531" w:rsidRPr="00FD3531">
              <w:rPr>
                <w:kern w:val="18"/>
                <w:vertAlign w:val="superscript"/>
              </w:rPr>
              <w:t>1</w:t>
            </w:r>
            <w:r w:rsidR="00FD3531">
              <w:rPr>
                <w:kern w:val="18"/>
              </w:rPr>
              <w:t xml:space="preserve"> 33.</w:t>
            </w:r>
            <w:r w:rsidR="00FD3531" w:rsidRPr="00FD3531">
              <w:rPr>
                <w:kern w:val="18"/>
                <w:vertAlign w:val="superscript"/>
              </w:rPr>
              <w:t>2</w:t>
            </w:r>
            <w:r w:rsidR="00936AC0">
              <w:rPr>
                <w:kern w:val="18"/>
              </w:rPr>
              <w:t>, 34., 34.</w:t>
            </w:r>
            <w:r w:rsidR="00936AC0" w:rsidRPr="00936AC0">
              <w:rPr>
                <w:kern w:val="18"/>
                <w:vertAlign w:val="superscript"/>
              </w:rPr>
              <w:t>1</w:t>
            </w:r>
            <w:r w:rsidR="00CD33C7">
              <w:rPr>
                <w:kern w:val="18"/>
              </w:rPr>
              <w:t>, 34.</w:t>
            </w:r>
            <w:r w:rsidR="00CD33C7">
              <w:rPr>
                <w:kern w:val="18"/>
                <w:vertAlign w:val="superscript"/>
              </w:rPr>
              <w:t>2</w:t>
            </w:r>
            <w:r w:rsidR="00CD33C7">
              <w:rPr>
                <w:kern w:val="18"/>
              </w:rPr>
              <w:t>, 34.</w:t>
            </w:r>
            <w:r w:rsidR="00CD33C7">
              <w:rPr>
                <w:kern w:val="18"/>
                <w:vertAlign w:val="superscript"/>
              </w:rPr>
              <w:t>3</w:t>
            </w:r>
            <w:r w:rsidR="00CD33C7">
              <w:rPr>
                <w:kern w:val="18"/>
              </w:rPr>
              <w:t>, 34.</w:t>
            </w:r>
            <w:r w:rsidR="00CD33C7">
              <w:rPr>
                <w:kern w:val="18"/>
                <w:vertAlign w:val="superscript"/>
              </w:rPr>
              <w:t>4</w:t>
            </w:r>
            <w:r w:rsidR="00CD33C7">
              <w:rPr>
                <w:kern w:val="18"/>
              </w:rPr>
              <w:t>, 34.</w:t>
            </w:r>
            <w:r w:rsidR="00CD33C7">
              <w:rPr>
                <w:kern w:val="18"/>
                <w:vertAlign w:val="superscript"/>
              </w:rPr>
              <w:t>5</w:t>
            </w:r>
            <w:r w:rsidR="00CD33C7">
              <w:rPr>
                <w:kern w:val="18"/>
              </w:rPr>
              <w:t>, 34.</w:t>
            </w:r>
            <w:r w:rsidR="00CD33C7">
              <w:rPr>
                <w:kern w:val="18"/>
                <w:vertAlign w:val="superscript"/>
              </w:rPr>
              <w:t>6</w:t>
            </w:r>
            <w:r w:rsidR="00CD33C7">
              <w:rPr>
                <w:kern w:val="18"/>
              </w:rPr>
              <w:t>, 34.</w:t>
            </w:r>
            <w:r w:rsidR="00CD33C7">
              <w:rPr>
                <w:kern w:val="18"/>
                <w:vertAlign w:val="superscript"/>
              </w:rPr>
              <w:t>7</w:t>
            </w:r>
            <w:r w:rsidR="00CD33C7">
              <w:rPr>
                <w:kern w:val="18"/>
              </w:rPr>
              <w:t>,</w:t>
            </w:r>
            <w:r w:rsidR="00D4440C">
              <w:rPr>
                <w:kern w:val="18"/>
              </w:rPr>
              <w:t xml:space="preserve"> </w:t>
            </w:r>
            <w:r w:rsidR="00CD33C7">
              <w:rPr>
                <w:kern w:val="18"/>
              </w:rPr>
              <w:t xml:space="preserve">36., 38., 40., 43.7., 45., 46. punkts). </w:t>
            </w:r>
          </w:p>
          <w:p w:rsidR="00F242A2" w:rsidRPr="00F242A2" w:rsidRDefault="00F242A2" w:rsidP="00F242A2">
            <w:pPr>
              <w:numPr>
                <w:ilvl w:val="0"/>
                <w:numId w:val="4"/>
              </w:numPr>
              <w:jc w:val="both"/>
              <w:rPr>
                <w:kern w:val="18"/>
              </w:rPr>
            </w:pPr>
            <w:r>
              <w:t>Noteikts, ka pilotprojekta</w:t>
            </w:r>
            <w:r w:rsidR="0003124C">
              <w:t xml:space="preserve"> </w:t>
            </w:r>
            <w:r w:rsidR="0003124C" w:rsidRPr="0003124C">
              <w:t>„Profesionālās tālākizglītības programmu īstenošana bezdarbniekiem valsts vai pašvaldību dibinātās izglītības iestādēs”</w:t>
            </w:r>
            <w:r>
              <w:t xml:space="preserve"> otrajā kārtā profesionālo tālākizglītības programmu īstenošanu, noslēdzot līgumu par pasākuma īstenošanu ar NVA, īsteno profesionālās izglītības iestādes,</w:t>
            </w:r>
            <w:r w:rsidRPr="00885D44">
              <w:t xml:space="preserve"> kurām piešķirts profesionālās izglītības kompetences centra statuss</w:t>
            </w:r>
            <w:r w:rsidR="00D4440C">
              <w:t xml:space="preserve"> </w:t>
            </w:r>
            <w:r w:rsidR="00D4440C" w:rsidRPr="00D4440C">
              <w:t>un</w:t>
            </w:r>
            <w:r w:rsidR="00D4440C" w:rsidRPr="00D4440C">
              <w:rPr>
                <w:bCs/>
                <w:color w:val="000000"/>
              </w:rPr>
              <w:t xml:space="preserve"> valsts un pašvaldību dibinātās profesionālās izglītības iestādēs, kuru infrastruktūras uzlabošana ir veikta no Eiropas Reģionālā attīstības fonda (ERAF) līdzekļiem</w:t>
            </w:r>
            <w:r w:rsidRPr="00885D44">
              <w:t xml:space="preserve">. Šajās tālākizglītības programmās iesaista bezdarbniekus, kuri bijuši </w:t>
            </w:r>
            <w:r w:rsidRPr="00885D44">
              <w:lastRenderedPageBreak/>
              <w:t>bez darba vismaz 12 mēnešus (ilgstošie bezdarbnieki) vai ir vecākai par 45 gadiem</w:t>
            </w:r>
            <w:r w:rsidR="0003124C">
              <w:t xml:space="preserve"> (Noteikumu</w:t>
            </w:r>
            <w:r w:rsidR="00C5638B">
              <w:t xml:space="preserve"> projekta</w:t>
            </w:r>
            <w:r w:rsidR="0003124C">
              <w:t xml:space="preserve"> 10.</w:t>
            </w:r>
            <w:r w:rsidR="0003124C" w:rsidRPr="0003124C">
              <w:rPr>
                <w:vertAlign w:val="superscript"/>
              </w:rPr>
              <w:t>2</w:t>
            </w:r>
            <w:r w:rsidR="0003124C">
              <w:t xml:space="preserve"> un 10.</w:t>
            </w:r>
            <w:r w:rsidR="0003124C" w:rsidRPr="0003124C">
              <w:rPr>
                <w:vertAlign w:val="superscript"/>
              </w:rPr>
              <w:t>4</w:t>
            </w:r>
            <w:r w:rsidR="0003124C">
              <w:t xml:space="preserve"> punkts)</w:t>
            </w:r>
            <w:r w:rsidRPr="00885D44">
              <w:t>.</w:t>
            </w:r>
          </w:p>
          <w:p w:rsidR="00F242A2" w:rsidRPr="00D338F6" w:rsidRDefault="00621B75" w:rsidP="0069030A">
            <w:pPr>
              <w:numPr>
                <w:ilvl w:val="0"/>
                <w:numId w:val="4"/>
              </w:numPr>
              <w:jc w:val="both"/>
              <w:rPr>
                <w:kern w:val="18"/>
              </w:rPr>
            </w:pPr>
            <w:r>
              <w:rPr>
                <w:kern w:val="18"/>
              </w:rPr>
              <w:t>Noteikts, ka tām biedrīb</w:t>
            </w:r>
            <w:r w:rsidR="00174A87">
              <w:rPr>
                <w:kern w:val="18"/>
              </w:rPr>
              <w:t>ām un nodibin</w:t>
            </w:r>
            <w:r>
              <w:rPr>
                <w:kern w:val="18"/>
              </w:rPr>
              <w:t xml:space="preserve">ājumiem, </w:t>
            </w:r>
            <w:r w:rsidR="00174A87">
              <w:rPr>
                <w:kern w:val="18"/>
              </w:rPr>
              <w:t xml:space="preserve">kuru statūti paredz atbalsta sniegšanu personām ar redzes invaliditāti, NVA sedz valsts sociālās apdrošināšanas iemaksas no algas dotācijas daļas, neatkarīgi no profesijas, kādā bezdarbnieks tiek nodarbināt (Noteikumu </w:t>
            </w:r>
            <w:r w:rsidR="00C5638B">
              <w:rPr>
                <w:kern w:val="18"/>
              </w:rPr>
              <w:t xml:space="preserve">projekta </w:t>
            </w:r>
            <w:r w:rsidR="00174A87">
              <w:rPr>
                <w:kern w:val="18"/>
              </w:rPr>
              <w:t>71.punkts)</w:t>
            </w:r>
            <w:r w:rsidR="002747BA">
              <w:rPr>
                <w:kern w:val="18"/>
              </w:rPr>
              <w:t>.</w:t>
            </w:r>
          </w:p>
          <w:p w:rsidR="00C858EC" w:rsidRDefault="00C858EC" w:rsidP="00C858EC">
            <w:pPr>
              <w:numPr>
                <w:ilvl w:val="0"/>
                <w:numId w:val="4"/>
              </w:numPr>
              <w:jc w:val="both"/>
              <w:rPr>
                <w:kern w:val="18"/>
              </w:rPr>
            </w:pPr>
            <w:r>
              <w:rPr>
                <w:kern w:val="18"/>
              </w:rPr>
              <w:t>Aktīvajā nodarbinātības pasākumā „Pasākumi noteiktām personu grupām” tiek ieviests jauns pakalpojumu veids personām ar garīga rakstura traucējumiem – atbalsta persona darbā, kas palīdzēs integrēties darba vietā</w:t>
            </w:r>
            <w:r w:rsidR="00174A87">
              <w:rPr>
                <w:kern w:val="18"/>
              </w:rPr>
              <w:t xml:space="preserve">, kā arī </w:t>
            </w:r>
            <w:r w:rsidR="00AF4AB2">
              <w:rPr>
                <w:kern w:val="18"/>
              </w:rPr>
              <w:t xml:space="preserve">definētas konkrētas pasākuma </w:t>
            </w:r>
            <w:r w:rsidR="00174A87">
              <w:rPr>
                <w:kern w:val="18"/>
              </w:rPr>
              <w:t>mērķa grupas</w:t>
            </w:r>
            <w:r w:rsidR="002747BA">
              <w:rPr>
                <w:kern w:val="18"/>
              </w:rPr>
              <w:t xml:space="preserve"> </w:t>
            </w:r>
            <w:r w:rsidR="00147E93">
              <w:rPr>
                <w:kern w:val="18"/>
              </w:rPr>
              <w:t>(</w:t>
            </w:r>
            <w:r w:rsidRPr="00D338F6">
              <w:rPr>
                <w:kern w:val="18"/>
              </w:rPr>
              <w:t xml:space="preserve">Noteikumu projekta </w:t>
            </w:r>
            <w:r w:rsidR="002747BA">
              <w:rPr>
                <w:kern w:val="18"/>
              </w:rPr>
              <w:t>3.4.2.nodaļa</w:t>
            </w:r>
            <w:r w:rsidRPr="00D338F6">
              <w:rPr>
                <w:kern w:val="18"/>
              </w:rPr>
              <w:t>).</w:t>
            </w:r>
          </w:p>
          <w:p w:rsidR="002F062E" w:rsidRDefault="00C5638B" w:rsidP="00C858EC">
            <w:pPr>
              <w:numPr>
                <w:ilvl w:val="0"/>
                <w:numId w:val="4"/>
              </w:numPr>
              <w:jc w:val="both"/>
              <w:rPr>
                <w:kern w:val="18"/>
              </w:rPr>
            </w:pPr>
            <w:r>
              <w:rPr>
                <w:kern w:val="18"/>
              </w:rPr>
              <w:t>Pasākumā</w:t>
            </w:r>
            <w:r w:rsidR="002F062E" w:rsidRPr="002F062E">
              <w:rPr>
                <w:kern w:val="18"/>
              </w:rPr>
              <w:t xml:space="preserve"> </w:t>
            </w:r>
            <w:r w:rsidR="002F062E" w:rsidRPr="002F062E">
              <w:rPr>
                <w:bCs/>
                <w:kern w:val="18"/>
              </w:rPr>
              <w:t>„Darbnīcas jauniešiem”</w:t>
            </w:r>
            <w:r>
              <w:rPr>
                <w:bCs/>
                <w:kern w:val="18"/>
              </w:rPr>
              <w:t xml:space="preserve"> paredzēti papildus iesaistes un īstenošanas nosacījumi, kas paredz mērķa grupas paplašināšanu un elastīgākus iesaistes laika nosacījumus piedāvātajās tālākizglītības programmās. </w:t>
            </w:r>
            <w:r w:rsidR="00B726DA">
              <w:rPr>
                <w:kern w:val="18"/>
              </w:rPr>
              <w:t>(Noteikumu</w:t>
            </w:r>
            <w:r>
              <w:rPr>
                <w:kern w:val="18"/>
              </w:rPr>
              <w:t xml:space="preserve"> projekta</w:t>
            </w:r>
            <w:r w:rsidR="00B726DA">
              <w:rPr>
                <w:kern w:val="18"/>
              </w:rPr>
              <w:t xml:space="preserve"> 131.1., 132.5., 137.punkts). </w:t>
            </w:r>
          </w:p>
          <w:p w:rsidR="002F062E" w:rsidRDefault="00AF4AB2" w:rsidP="00C858EC">
            <w:pPr>
              <w:numPr>
                <w:ilvl w:val="0"/>
                <w:numId w:val="4"/>
              </w:numPr>
              <w:jc w:val="both"/>
              <w:rPr>
                <w:kern w:val="18"/>
              </w:rPr>
            </w:pPr>
            <w:r>
              <w:rPr>
                <w:kern w:val="18"/>
              </w:rPr>
              <w:t>Pasākumā</w:t>
            </w:r>
            <w:r w:rsidR="002F062E" w:rsidRPr="002F062E">
              <w:rPr>
                <w:kern w:val="18"/>
              </w:rPr>
              <w:t xml:space="preserve"> </w:t>
            </w:r>
            <w:r w:rsidR="002F062E" w:rsidRPr="002F062E">
              <w:rPr>
                <w:bCs/>
                <w:kern w:val="18"/>
              </w:rPr>
              <w:t>„</w:t>
            </w:r>
            <w:r w:rsidR="002F062E" w:rsidRPr="002F062E">
              <w:rPr>
                <w:kern w:val="18"/>
              </w:rPr>
              <w:t>Komersantu nodarbināto personu reģionālās mobilitātes veicināšana”</w:t>
            </w:r>
            <w:r>
              <w:rPr>
                <w:kern w:val="18"/>
              </w:rPr>
              <w:t xml:space="preserve"> paredzēti </w:t>
            </w:r>
            <w:r w:rsidR="00805592">
              <w:rPr>
                <w:kern w:val="18"/>
              </w:rPr>
              <w:t>atviegloti iesaistes kritēriji, nosakot, ka izņēmums attiecībā uz Rīgu netiek piemērots, ja darba devējs piedāvā uzsākt darba tiesiskās attiecības ar 10 NVA reģistrētiem bezdarbniekiem un personu var iesaistīt pasākumā, ja persona norādītajā dzīvesvietā ir deklarēta vismaz 6 mēnešu. (Noteikumu projekta 164., 166.4., 174. punkts).</w:t>
            </w:r>
          </w:p>
          <w:p w:rsidR="00A24503" w:rsidRPr="00805592" w:rsidRDefault="00FD3531" w:rsidP="0057037E">
            <w:pPr>
              <w:numPr>
                <w:ilvl w:val="0"/>
                <w:numId w:val="4"/>
              </w:numPr>
              <w:jc w:val="both"/>
              <w:rPr>
                <w:kern w:val="18"/>
              </w:rPr>
            </w:pPr>
            <w:r>
              <w:t>P</w:t>
            </w:r>
            <w:r w:rsidR="002F062E" w:rsidRPr="00E64801">
              <w:t>aredzēt</w:t>
            </w:r>
            <w:r>
              <w:t>s</w:t>
            </w:r>
            <w:r w:rsidR="002F062E" w:rsidRPr="00E64801">
              <w:t>, ka atbalstu reģionālajai mobilitātei var saņemt arī pieaugušie, kuri iesaistās pasākumos „Pasākumi noteiktām personu grupām” (subsidētā nodarbinātība) un Profesionālajā apmācībā, pārkvalifikācijā, kvalifikācijas paaugstināšanā un neformālās izglītības programmās</w:t>
            </w:r>
            <w:r w:rsidR="0057037E">
              <w:t xml:space="preserve"> (Noteikumu</w:t>
            </w:r>
            <w:r w:rsidR="00805592">
              <w:t xml:space="preserve"> projekta</w:t>
            </w:r>
            <w:r w:rsidR="0057037E">
              <w:t xml:space="preserve"> 5.</w:t>
            </w:r>
            <w:r w:rsidR="0057037E" w:rsidRPr="0057037E">
              <w:rPr>
                <w:vertAlign w:val="superscript"/>
              </w:rPr>
              <w:t>1</w:t>
            </w:r>
            <w:r w:rsidR="0057037E">
              <w:t xml:space="preserve"> nodaļa)</w:t>
            </w:r>
            <w:r w:rsidR="002F062E" w:rsidRPr="00E64801">
              <w:t xml:space="preserve">. </w:t>
            </w:r>
          </w:p>
        </w:tc>
      </w:tr>
      <w:tr w:rsidR="00B76D85" w:rsidRPr="006A7D0B" w:rsidTr="006A7D0B">
        <w:tc>
          <w:tcPr>
            <w:tcW w:w="213" w:type="pct"/>
            <w:shd w:val="clear" w:color="auto" w:fill="auto"/>
          </w:tcPr>
          <w:p w:rsidR="00B76D85" w:rsidRPr="006A7D0B" w:rsidRDefault="004373E9" w:rsidP="00B76D85">
            <w:pPr>
              <w:rPr>
                <w:sz w:val="22"/>
                <w:szCs w:val="22"/>
              </w:rPr>
            </w:pPr>
            <w:r w:rsidRPr="006A7D0B">
              <w:rPr>
                <w:sz w:val="22"/>
                <w:szCs w:val="22"/>
              </w:rPr>
              <w:lastRenderedPageBreak/>
              <w:t>3</w:t>
            </w:r>
            <w:r w:rsidR="00B76D85" w:rsidRPr="006A7D0B">
              <w:rPr>
                <w:sz w:val="22"/>
                <w:szCs w:val="22"/>
              </w:rPr>
              <w:t>.</w:t>
            </w:r>
          </w:p>
        </w:tc>
        <w:tc>
          <w:tcPr>
            <w:tcW w:w="1654" w:type="pct"/>
            <w:shd w:val="clear" w:color="auto" w:fill="auto"/>
          </w:tcPr>
          <w:p w:rsidR="00B76D85" w:rsidRPr="006A7D0B" w:rsidRDefault="00B76D85" w:rsidP="00B76D85">
            <w:pPr>
              <w:rPr>
                <w:sz w:val="22"/>
                <w:szCs w:val="22"/>
              </w:rPr>
            </w:pPr>
            <w:r w:rsidRPr="006A7D0B">
              <w:rPr>
                <w:sz w:val="22"/>
                <w:szCs w:val="22"/>
              </w:rPr>
              <w:t>Projekta izstrādē iesaistītās institūcijas</w:t>
            </w:r>
          </w:p>
        </w:tc>
        <w:tc>
          <w:tcPr>
            <w:tcW w:w="3133" w:type="pct"/>
            <w:shd w:val="clear" w:color="auto" w:fill="auto"/>
          </w:tcPr>
          <w:p w:rsidR="00B76D85" w:rsidRPr="00167021" w:rsidRDefault="00AD7547" w:rsidP="00D4440C">
            <w:pPr>
              <w:jc w:val="both"/>
              <w:rPr>
                <w:color w:val="000000"/>
              </w:rPr>
            </w:pPr>
            <w:r w:rsidRPr="00F921EE">
              <w:rPr>
                <w:iCs/>
                <w:color w:val="000000"/>
              </w:rPr>
              <w:t xml:space="preserve">Noteikumu projekta izstrādē attiecībā </w:t>
            </w:r>
            <w:r w:rsidR="00C17EFB">
              <w:rPr>
                <w:iCs/>
                <w:color w:val="000000"/>
              </w:rPr>
              <w:t>par</w:t>
            </w:r>
            <w:r w:rsidRPr="00F921EE">
              <w:rPr>
                <w:iCs/>
                <w:color w:val="000000"/>
              </w:rPr>
              <w:t xml:space="preserve"> </w:t>
            </w:r>
            <w:r w:rsidR="0001203B">
              <w:rPr>
                <w:iCs/>
                <w:color w:val="000000"/>
              </w:rPr>
              <w:t>atbalsta personu darbā personām ar garīga rakstura traucējumiem piedalījās biedrība „Rīgas pil</w:t>
            </w:r>
            <w:r w:rsidR="001C509E">
              <w:rPr>
                <w:iCs/>
                <w:color w:val="000000"/>
              </w:rPr>
              <w:t>sētas „Rūpju bērns”</w:t>
            </w:r>
            <w:r w:rsidR="0057037E">
              <w:rPr>
                <w:iCs/>
                <w:color w:val="000000"/>
              </w:rPr>
              <w:t>”</w:t>
            </w:r>
            <w:r w:rsidR="0001203B">
              <w:rPr>
                <w:iCs/>
                <w:color w:val="000000"/>
              </w:rPr>
              <w:t xml:space="preserve">. </w:t>
            </w:r>
            <w:r w:rsidRPr="00167021">
              <w:rPr>
                <w:iCs/>
                <w:color w:val="000000"/>
              </w:rPr>
              <w:t xml:space="preserve">Tāpat oficiālajā saskaņošanas procesā </w:t>
            </w:r>
            <w:r w:rsidR="00D11F1B" w:rsidRPr="00167021">
              <w:rPr>
                <w:iCs/>
                <w:color w:val="000000"/>
              </w:rPr>
              <w:t xml:space="preserve">atzinumus </w:t>
            </w:r>
            <w:r w:rsidR="0001203B">
              <w:rPr>
                <w:iCs/>
                <w:color w:val="000000"/>
              </w:rPr>
              <w:t>snie</w:t>
            </w:r>
            <w:r w:rsidR="00D4440C">
              <w:rPr>
                <w:iCs/>
                <w:color w:val="000000"/>
              </w:rPr>
              <w:t>dza</w:t>
            </w:r>
            <w:r w:rsidR="00D11F1B" w:rsidRPr="00167021">
              <w:rPr>
                <w:iCs/>
                <w:color w:val="000000"/>
              </w:rPr>
              <w:t xml:space="preserve"> arī Latvijas Darba devēju konfederācija, </w:t>
            </w:r>
            <w:r w:rsidRPr="00167021">
              <w:rPr>
                <w:iCs/>
                <w:color w:val="000000"/>
              </w:rPr>
              <w:t>Latvij</w:t>
            </w:r>
            <w:r w:rsidR="0001203B">
              <w:rPr>
                <w:iCs/>
                <w:color w:val="000000"/>
              </w:rPr>
              <w:t>as Brīvo arodbiedrību savienība</w:t>
            </w:r>
            <w:r w:rsidRPr="00167021">
              <w:rPr>
                <w:iCs/>
                <w:color w:val="000000"/>
              </w:rPr>
              <w:t xml:space="preserve"> </w:t>
            </w:r>
            <w:r w:rsidR="00D11F1B" w:rsidRPr="00167021">
              <w:rPr>
                <w:iCs/>
                <w:color w:val="000000"/>
              </w:rPr>
              <w:t>un Latvijas Pašvaldību savienība</w:t>
            </w:r>
            <w:r w:rsidRPr="00167021">
              <w:rPr>
                <w:iCs/>
                <w:color w:val="000000"/>
              </w:rPr>
              <w:t>.</w:t>
            </w:r>
          </w:p>
        </w:tc>
      </w:tr>
      <w:tr w:rsidR="00B76D85" w:rsidRPr="006A7D0B" w:rsidTr="006A7D0B">
        <w:tc>
          <w:tcPr>
            <w:tcW w:w="213" w:type="pct"/>
            <w:shd w:val="clear" w:color="auto" w:fill="auto"/>
          </w:tcPr>
          <w:p w:rsidR="00B76D85" w:rsidRPr="006A7D0B" w:rsidRDefault="004373E9" w:rsidP="004373E9">
            <w:pPr>
              <w:rPr>
                <w:sz w:val="22"/>
                <w:szCs w:val="22"/>
              </w:rPr>
            </w:pPr>
            <w:r w:rsidRPr="006A7D0B">
              <w:rPr>
                <w:sz w:val="22"/>
                <w:szCs w:val="22"/>
              </w:rPr>
              <w:t>4</w:t>
            </w:r>
            <w:r w:rsidR="00B76D85" w:rsidRPr="006A7D0B">
              <w:rPr>
                <w:sz w:val="22"/>
                <w:szCs w:val="22"/>
              </w:rPr>
              <w:t xml:space="preserve">. </w:t>
            </w:r>
          </w:p>
        </w:tc>
        <w:tc>
          <w:tcPr>
            <w:tcW w:w="1654" w:type="pct"/>
            <w:shd w:val="clear" w:color="auto" w:fill="auto"/>
          </w:tcPr>
          <w:p w:rsidR="00B76D85" w:rsidRPr="006A7D0B" w:rsidRDefault="00B76D85" w:rsidP="00B76D85">
            <w:pPr>
              <w:rPr>
                <w:sz w:val="22"/>
                <w:szCs w:val="22"/>
              </w:rPr>
            </w:pPr>
            <w:r w:rsidRPr="006A7D0B">
              <w:rPr>
                <w:sz w:val="22"/>
                <w:szCs w:val="22"/>
              </w:rPr>
              <w:t>Cita informācija</w:t>
            </w:r>
          </w:p>
        </w:tc>
        <w:tc>
          <w:tcPr>
            <w:tcW w:w="3133" w:type="pct"/>
            <w:shd w:val="clear" w:color="auto" w:fill="auto"/>
          </w:tcPr>
          <w:p w:rsidR="00B76D85" w:rsidRPr="00F921EE" w:rsidRDefault="00FC797D" w:rsidP="006A7D0B">
            <w:pPr>
              <w:jc w:val="both"/>
              <w:rPr>
                <w:color w:val="000000"/>
                <w:sz w:val="22"/>
                <w:szCs w:val="22"/>
              </w:rPr>
            </w:pPr>
            <w:r w:rsidRPr="00F921EE">
              <w:rPr>
                <w:color w:val="000000"/>
                <w:sz w:val="22"/>
                <w:szCs w:val="22"/>
              </w:rPr>
              <w:t>Nav</w:t>
            </w:r>
            <w:r w:rsidR="00372BBA" w:rsidRPr="00F921EE">
              <w:rPr>
                <w:color w:val="000000"/>
                <w:sz w:val="22"/>
                <w:szCs w:val="22"/>
              </w:rPr>
              <w:t>.</w:t>
            </w:r>
          </w:p>
        </w:tc>
      </w:tr>
    </w:tbl>
    <w:p w:rsidR="00B76D85"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C01716" w:rsidRPr="00B76D85" w:rsidTr="006A7D0B">
        <w:tc>
          <w:tcPr>
            <w:tcW w:w="9287" w:type="dxa"/>
            <w:gridSpan w:val="3"/>
            <w:shd w:val="clear" w:color="auto" w:fill="auto"/>
          </w:tcPr>
          <w:p w:rsidR="00230730" w:rsidRPr="006A7D0B" w:rsidRDefault="00C01716" w:rsidP="006A7D0B">
            <w:pPr>
              <w:pStyle w:val="naisnod"/>
              <w:spacing w:before="0" w:after="0"/>
              <w:ind w:left="57" w:right="57"/>
              <w:rPr>
                <w:b w:val="0"/>
              </w:rPr>
            </w:pPr>
            <w:r w:rsidRPr="00230730">
              <w:t>II</w:t>
            </w:r>
            <w:r w:rsidR="00DC37D9">
              <w:t>.</w:t>
            </w:r>
            <w:r w:rsidRPr="006A7D0B">
              <w:rPr>
                <w:b w:val="0"/>
              </w:rPr>
              <w:t xml:space="preserve"> </w:t>
            </w:r>
            <w:r w:rsidR="00230730" w:rsidRPr="00DD49B6">
              <w:t>Tiesību akta projekta ietekme uz sabiedrību, tautsaimniecības attīstību</w:t>
            </w:r>
          </w:p>
          <w:p w:rsidR="00C01716" w:rsidRPr="006A7D0B" w:rsidRDefault="00230730" w:rsidP="006A7D0B">
            <w:pPr>
              <w:jc w:val="center"/>
              <w:rPr>
                <w:b/>
              </w:rPr>
            </w:pPr>
            <w:r w:rsidRPr="006A7D0B">
              <w:rPr>
                <w:b/>
              </w:rPr>
              <w:t>un administratīvo slogu</w:t>
            </w:r>
          </w:p>
        </w:tc>
      </w:tr>
      <w:tr w:rsidR="00B76D85" w:rsidRPr="006A7D0B" w:rsidTr="006A7D0B">
        <w:tc>
          <w:tcPr>
            <w:tcW w:w="396" w:type="dxa"/>
            <w:shd w:val="clear" w:color="auto" w:fill="auto"/>
          </w:tcPr>
          <w:p w:rsidR="00B76D85" w:rsidRPr="006A7D0B" w:rsidRDefault="00B76D85" w:rsidP="00242D7D">
            <w:pPr>
              <w:rPr>
                <w:sz w:val="22"/>
                <w:szCs w:val="22"/>
              </w:rPr>
            </w:pPr>
            <w:r w:rsidRPr="006A7D0B">
              <w:rPr>
                <w:sz w:val="22"/>
                <w:szCs w:val="22"/>
              </w:rPr>
              <w:t>1.</w:t>
            </w:r>
          </w:p>
        </w:tc>
        <w:tc>
          <w:tcPr>
            <w:tcW w:w="3072" w:type="dxa"/>
            <w:shd w:val="clear" w:color="auto" w:fill="auto"/>
          </w:tcPr>
          <w:p w:rsidR="00B76D85" w:rsidRPr="006A7D0B" w:rsidRDefault="00230730" w:rsidP="00242D7D">
            <w:pPr>
              <w:rPr>
                <w:sz w:val="22"/>
                <w:szCs w:val="22"/>
              </w:rPr>
            </w:pPr>
            <w:r w:rsidRPr="00DD49B6">
              <w:t xml:space="preserve">Sabiedrības mērķgrupas, kuras tiesiskais regulējums </w:t>
            </w:r>
            <w:r w:rsidRPr="00DD49B6">
              <w:lastRenderedPageBreak/>
              <w:t>ietekmē vai varētu ietekmēt</w:t>
            </w:r>
          </w:p>
        </w:tc>
        <w:tc>
          <w:tcPr>
            <w:tcW w:w="5819" w:type="dxa"/>
            <w:shd w:val="clear" w:color="auto" w:fill="auto"/>
          </w:tcPr>
          <w:p w:rsidR="00275E90" w:rsidRDefault="00530882" w:rsidP="00425DFD">
            <w:pPr>
              <w:jc w:val="both"/>
              <w:rPr>
                <w:iCs/>
                <w:color w:val="000000"/>
              </w:rPr>
            </w:pPr>
            <w:r w:rsidRPr="00ED7E0C">
              <w:rPr>
                <w:iCs/>
                <w:color w:val="000000"/>
              </w:rPr>
              <w:lastRenderedPageBreak/>
              <w:t xml:space="preserve">Noteikumu projekts attiecas uz </w:t>
            </w:r>
            <w:r w:rsidR="00AD31D2">
              <w:rPr>
                <w:iCs/>
                <w:color w:val="000000"/>
              </w:rPr>
              <w:t>A</w:t>
            </w:r>
            <w:r w:rsidRPr="00ED7E0C">
              <w:rPr>
                <w:iCs/>
                <w:color w:val="000000"/>
              </w:rPr>
              <w:t>ģentūrā reģistrētajiem bezdarbnieki</w:t>
            </w:r>
            <w:r w:rsidR="006A0595" w:rsidRPr="00ED7E0C">
              <w:rPr>
                <w:iCs/>
                <w:color w:val="000000"/>
              </w:rPr>
              <w:t>em</w:t>
            </w:r>
            <w:r w:rsidR="009417C4">
              <w:rPr>
                <w:iCs/>
                <w:color w:val="000000"/>
              </w:rPr>
              <w:t xml:space="preserve"> un darba meklētājiem</w:t>
            </w:r>
            <w:r w:rsidR="00D161E1">
              <w:rPr>
                <w:iCs/>
                <w:color w:val="000000"/>
              </w:rPr>
              <w:t xml:space="preserve">, kā arī </w:t>
            </w:r>
            <w:r w:rsidR="00734A90" w:rsidRPr="00734A90">
              <w:rPr>
                <w:iCs/>
                <w:color w:val="000000"/>
              </w:rPr>
              <w:t xml:space="preserve">Latvijas </w:t>
            </w:r>
            <w:r w:rsidR="00734A90" w:rsidRPr="00734A90">
              <w:rPr>
                <w:iCs/>
                <w:color w:val="000000"/>
              </w:rPr>
              <w:lastRenderedPageBreak/>
              <w:t>Republikā reģistrētām un akreditētām izglītības iestādēm</w:t>
            </w:r>
            <w:r w:rsidR="00D161E1">
              <w:rPr>
                <w:iCs/>
                <w:color w:val="000000"/>
              </w:rPr>
              <w:t>.</w:t>
            </w:r>
            <w:r w:rsidR="009417C4">
              <w:rPr>
                <w:iCs/>
                <w:color w:val="000000"/>
              </w:rPr>
              <w:t xml:space="preserve"> </w:t>
            </w:r>
            <w:r w:rsidR="00D161E1">
              <w:rPr>
                <w:iCs/>
                <w:color w:val="000000"/>
              </w:rPr>
              <w:t>A</w:t>
            </w:r>
            <w:r w:rsidR="003E5101" w:rsidRPr="00167021">
              <w:rPr>
                <w:iCs/>
                <w:color w:val="000000"/>
              </w:rPr>
              <w:t xml:space="preserve">tbilstoši </w:t>
            </w:r>
            <w:r w:rsidR="00AD31D2" w:rsidRPr="00167021">
              <w:rPr>
                <w:iCs/>
                <w:color w:val="000000"/>
              </w:rPr>
              <w:t>A</w:t>
            </w:r>
            <w:r w:rsidR="00F8389D" w:rsidRPr="00167021">
              <w:rPr>
                <w:iCs/>
                <w:color w:val="000000"/>
              </w:rPr>
              <w:t xml:space="preserve">ģentūras statistiskajai informācijai </w:t>
            </w:r>
            <w:r w:rsidR="006F4B62">
              <w:rPr>
                <w:iCs/>
                <w:color w:val="000000"/>
              </w:rPr>
              <w:t>2015</w:t>
            </w:r>
            <w:r w:rsidR="00F8389D" w:rsidRPr="006D7ACC">
              <w:rPr>
                <w:iCs/>
                <w:color w:val="000000"/>
              </w:rPr>
              <w:t xml:space="preserve">.gada </w:t>
            </w:r>
            <w:r w:rsidR="009F5B90">
              <w:rPr>
                <w:iCs/>
                <w:color w:val="000000"/>
              </w:rPr>
              <w:t>3</w:t>
            </w:r>
            <w:r w:rsidR="00A46FD8">
              <w:rPr>
                <w:iCs/>
                <w:color w:val="000000"/>
              </w:rPr>
              <w:t>1</w:t>
            </w:r>
            <w:r w:rsidR="009F5B90">
              <w:rPr>
                <w:iCs/>
                <w:color w:val="000000"/>
              </w:rPr>
              <w:t>.</w:t>
            </w:r>
            <w:r w:rsidR="006F4B62">
              <w:rPr>
                <w:iCs/>
                <w:color w:val="000000"/>
              </w:rPr>
              <w:t>martā</w:t>
            </w:r>
            <w:r w:rsidR="009F5B90">
              <w:rPr>
                <w:iCs/>
                <w:color w:val="000000"/>
              </w:rPr>
              <w:t xml:space="preserve"> </w:t>
            </w:r>
            <w:r w:rsidR="00F8389D" w:rsidRPr="006D7ACC">
              <w:rPr>
                <w:iCs/>
                <w:color w:val="000000"/>
              </w:rPr>
              <w:t xml:space="preserve">bezdarbnieka statusā atradās </w:t>
            </w:r>
            <w:r w:rsidR="006F4B62">
              <w:rPr>
                <w:iCs/>
                <w:color w:val="000000"/>
              </w:rPr>
              <w:t xml:space="preserve">86 604 </w:t>
            </w:r>
            <w:r w:rsidR="00F8389D" w:rsidRPr="006D7ACC">
              <w:rPr>
                <w:iCs/>
                <w:color w:val="000000"/>
              </w:rPr>
              <w:t xml:space="preserve"> personas</w:t>
            </w:r>
            <w:r w:rsidR="009F5B90">
              <w:rPr>
                <w:iCs/>
                <w:color w:val="000000"/>
              </w:rPr>
              <w:t xml:space="preserve">, savukārt </w:t>
            </w:r>
            <w:r w:rsidR="006F4B62">
              <w:rPr>
                <w:iCs/>
              </w:rPr>
              <w:t>206</w:t>
            </w:r>
            <w:r w:rsidR="009F5B90">
              <w:rPr>
                <w:iCs/>
                <w:color w:val="000000"/>
              </w:rPr>
              <w:t xml:space="preserve"> personas atradās darba meklētāja statusā.</w:t>
            </w:r>
          </w:p>
          <w:p w:rsidR="00275E90" w:rsidRPr="00275E90" w:rsidRDefault="00275E90" w:rsidP="00425DFD">
            <w:pPr>
              <w:jc w:val="both"/>
              <w:rPr>
                <w:bCs/>
                <w:iCs/>
                <w:color w:val="000000"/>
              </w:rPr>
            </w:pPr>
            <w:r w:rsidRPr="00275E90">
              <w:rPr>
                <w:iCs/>
                <w:color w:val="000000"/>
              </w:rPr>
              <w:t xml:space="preserve">2015.gada </w:t>
            </w:r>
            <w:r w:rsidR="006F4B62">
              <w:rPr>
                <w:iCs/>
                <w:color w:val="000000"/>
              </w:rPr>
              <w:t>31</w:t>
            </w:r>
            <w:r w:rsidRPr="00275E90">
              <w:rPr>
                <w:iCs/>
                <w:color w:val="000000"/>
              </w:rPr>
              <w:t>.</w:t>
            </w:r>
            <w:r w:rsidR="006F4B62">
              <w:rPr>
                <w:iCs/>
                <w:color w:val="000000"/>
              </w:rPr>
              <w:t>martā</w:t>
            </w:r>
            <w:r w:rsidRPr="00275E90">
              <w:rPr>
                <w:iCs/>
                <w:color w:val="000000"/>
              </w:rPr>
              <w:t xml:space="preserve"> Aģentūrā bija reģistrēti </w:t>
            </w:r>
            <w:r w:rsidR="006F4B62">
              <w:rPr>
                <w:iCs/>
                <w:color w:val="000000"/>
              </w:rPr>
              <w:t>7880</w:t>
            </w:r>
            <w:r w:rsidRPr="00275E90">
              <w:rPr>
                <w:iCs/>
                <w:color w:val="000000"/>
              </w:rPr>
              <w:t xml:space="preserve"> jaunieši bezdarbnieki vecumā no 15 - 24 gadiem, savukārt </w:t>
            </w:r>
            <w:r w:rsidR="006F4B62">
              <w:rPr>
                <w:iCs/>
                <w:color w:val="000000"/>
              </w:rPr>
              <w:t>9954</w:t>
            </w:r>
            <w:r w:rsidRPr="00275E90">
              <w:rPr>
                <w:iCs/>
                <w:color w:val="000000"/>
              </w:rPr>
              <w:t xml:space="preserve"> bezdarbnieki bija vecumā no 25 - 29 gadiem. </w:t>
            </w:r>
            <w:r w:rsidRPr="00275E90">
              <w:rPr>
                <w:iCs/>
                <w:color w:val="000000"/>
              </w:rPr>
              <w:br/>
              <w:t>Bezdarbnieki ar invaliditāti - 8</w:t>
            </w:r>
            <w:r w:rsidR="006F4B62">
              <w:rPr>
                <w:iCs/>
                <w:color w:val="000000"/>
              </w:rPr>
              <w:t>831</w:t>
            </w:r>
            <w:r w:rsidRPr="00275E90">
              <w:rPr>
                <w:iCs/>
                <w:color w:val="000000"/>
              </w:rPr>
              <w:t xml:space="preserve">, no tiem </w:t>
            </w:r>
            <w:r w:rsidR="006F4B62">
              <w:rPr>
                <w:iCs/>
                <w:color w:val="000000"/>
              </w:rPr>
              <w:t>284</w:t>
            </w:r>
            <w:r w:rsidRPr="00275E90">
              <w:rPr>
                <w:iCs/>
                <w:color w:val="000000"/>
              </w:rPr>
              <w:t xml:space="preserve"> bezdarbnieki ar redzes invaliditāti.</w:t>
            </w:r>
            <w:r w:rsidRPr="00275E90">
              <w:rPr>
                <w:iCs/>
                <w:color w:val="000000"/>
              </w:rPr>
              <w:br/>
              <w:t xml:space="preserve">Ilgstošo bezdarbnieku skaits (bezdarbnieka statusā vismaz 12 mēnešus) </w:t>
            </w:r>
            <w:r w:rsidR="00B97923">
              <w:rPr>
                <w:iCs/>
                <w:color w:val="000000"/>
              </w:rPr>
              <w:t>–</w:t>
            </w:r>
            <w:r w:rsidRPr="00275E90">
              <w:rPr>
                <w:iCs/>
                <w:color w:val="000000"/>
              </w:rPr>
              <w:t xml:space="preserve"> </w:t>
            </w:r>
            <w:r w:rsidR="006F4B62">
              <w:rPr>
                <w:iCs/>
                <w:color w:val="000000"/>
              </w:rPr>
              <w:t>26913</w:t>
            </w:r>
            <w:r w:rsidR="00B97923">
              <w:rPr>
                <w:iCs/>
                <w:color w:val="000000"/>
              </w:rPr>
              <w:t>,</w:t>
            </w:r>
            <w:r w:rsidR="00B97923">
              <w:rPr>
                <w:iCs/>
                <w:color w:val="000000"/>
              </w:rPr>
              <w:br/>
              <w:t>b</w:t>
            </w:r>
            <w:r w:rsidRPr="00275E90">
              <w:rPr>
                <w:iCs/>
                <w:color w:val="000000"/>
              </w:rPr>
              <w:t>ezdarbnieki vecāki par 50 gadiem -</w:t>
            </w:r>
            <w:r>
              <w:rPr>
                <w:iCs/>
                <w:color w:val="000000"/>
              </w:rPr>
              <w:t xml:space="preserve"> </w:t>
            </w:r>
            <w:r w:rsidRPr="00275E90">
              <w:rPr>
                <w:iCs/>
                <w:color w:val="000000"/>
              </w:rPr>
              <w:t>31</w:t>
            </w:r>
            <w:r w:rsidR="006F4B62">
              <w:rPr>
                <w:iCs/>
                <w:color w:val="000000"/>
              </w:rPr>
              <w:t>881</w:t>
            </w:r>
            <w:r w:rsidRPr="00275E90">
              <w:rPr>
                <w:iCs/>
                <w:color w:val="000000"/>
              </w:rPr>
              <w:t>.</w:t>
            </w:r>
          </w:p>
          <w:p w:rsidR="00425DFD" w:rsidRDefault="00425DFD" w:rsidP="00425DFD">
            <w:pPr>
              <w:jc w:val="both"/>
              <w:rPr>
                <w:iCs/>
                <w:color w:val="000000"/>
              </w:rPr>
            </w:pPr>
            <w:r w:rsidRPr="00425DFD">
              <w:rPr>
                <w:iCs/>
                <w:color w:val="000000"/>
              </w:rPr>
              <w:t xml:space="preserve">Atbilstoši </w:t>
            </w:r>
            <w:r w:rsidRPr="00425DFD">
              <w:rPr>
                <w:bCs/>
                <w:iCs/>
                <w:color w:val="000000"/>
              </w:rPr>
              <w:t>Slimību profilakses centra rīcībā esošajiem datiem, 2013.gadā Latvijā reģistrētas 74 024 p</w:t>
            </w:r>
            <w:r>
              <w:rPr>
                <w:bCs/>
                <w:iCs/>
                <w:color w:val="000000"/>
              </w:rPr>
              <w:t>acienti</w:t>
            </w:r>
            <w:r w:rsidRPr="00425DFD">
              <w:rPr>
                <w:bCs/>
                <w:iCs/>
                <w:color w:val="000000"/>
              </w:rPr>
              <w:t xml:space="preserve"> darbspējas vecumā </w:t>
            </w:r>
            <w:r>
              <w:rPr>
                <w:bCs/>
                <w:iCs/>
                <w:color w:val="000000"/>
              </w:rPr>
              <w:t>(</w:t>
            </w:r>
            <w:r w:rsidRPr="00425DFD">
              <w:rPr>
                <w:bCs/>
                <w:iCs/>
                <w:color w:val="000000"/>
              </w:rPr>
              <w:t>15 līdz 18 gadiem un vecāki</w:t>
            </w:r>
            <w:r>
              <w:rPr>
                <w:bCs/>
                <w:iCs/>
                <w:color w:val="000000"/>
              </w:rPr>
              <w:t xml:space="preserve">) </w:t>
            </w:r>
            <w:r w:rsidRPr="00425DFD">
              <w:rPr>
                <w:bCs/>
                <w:iCs/>
                <w:color w:val="000000"/>
              </w:rPr>
              <w:t>ar psihiskiem un uzvedības traucējumiem (</w:t>
            </w:r>
            <w:r w:rsidRPr="00425DFD">
              <w:rPr>
                <w:iCs/>
                <w:color w:val="000000"/>
              </w:rPr>
              <w:t>gan psihiskās saslimšanas, gan garīgā atpalicība)</w:t>
            </w:r>
            <w:r>
              <w:rPr>
                <w:iCs/>
                <w:color w:val="000000"/>
              </w:rPr>
              <w:t>.</w:t>
            </w:r>
          </w:p>
          <w:p w:rsidR="00B76D85" w:rsidRPr="006A7D0B" w:rsidRDefault="00B76D85" w:rsidP="00275E90">
            <w:pPr>
              <w:jc w:val="both"/>
              <w:rPr>
                <w:i/>
                <w:color w:val="FF0000"/>
                <w:sz w:val="22"/>
                <w:szCs w:val="22"/>
              </w:rPr>
            </w:pPr>
          </w:p>
        </w:tc>
      </w:tr>
      <w:tr w:rsidR="00230730" w:rsidRPr="006A7D0B" w:rsidTr="006A7D0B">
        <w:tc>
          <w:tcPr>
            <w:tcW w:w="396" w:type="dxa"/>
            <w:shd w:val="clear" w:color="auto" w:fill="auto"/>
          </w:tcPr>
          <w:p w:rsidR="00230730" w:rsidRPr="006A7D0B" w:rsidRDefault="00230730" w:rsidP="00242D7D">
            <w:pPr>
              <w:rPr>
                <w:sz w:val="22"/>
                <w:szCs w:val="22"/>
              </w:rPr>
            </w:pPr>
            <w:r w:rsidRPr="006A7D0B">
              <w:rPr>
                <w:sz w:val="22"/>
                <w:szCs w:val="22"/>
              </w:rPr>
              <w:lastRenderedPageBreak/>
              <w:t xml:space="preserve">2. </w:t>
            </w:r>
          </w:p>
        </w:tc>
        <w:tc>
          <w:tcPr>
            <w:tcW w:w="3072" w:type="dxa"/>
            <w:shd w:val="clear" w:color="auto" w:fill="auto"/>
          </w:tcPr>
          <w:p w:rsidR="00230730" w:rsidRPr="006A7D0B" w:rsidRDefault="00230730" w:rsidP="00242D7D">
            <w:pPr>
              <w:rPr>
                <w:sz w:val="22"/>
                <w:szCs w:val="22"/>
              </w:rPr>
            </w:pPr>
            <w:r w:rsidRPr="00DD49B6">
              <w:t>Tiesiskā regulējuma ietekme uz tautsaimniecību un administratīvo slogu</w:t>
            </w:r>
          </w:p>
        </w:tc>
        <w:tc>
          <w:tcPr>
            <w:tcW w:w="5819" w:type="dxa"/>
            <w:shd w:val="clear" w:color="auto" w:fill="auto"/>
          </w:tcPr>
          <w:p w:rsidR="00230730" w:rsidRPr="008649C0" w:rsidRDefault="005F23F9" w:rsidP="006A7D0B">
            <w:pPr>
              <w:jc w:val="both"/>
              <w:rPr>
                <w:color w:val="000000"/>
                <w:sz w:val="22"/>
                <w:szCs w:val="22"/>
              </w:rPr>
            </w:pPr>
            <w:r w:rsidRPr="008649C0">
              <w:rPr>
                <w:iCs/>
                <w:color w:val="000000"/>
                <w:sz w:val="22"/>
                <w:szCs w:val="22"/>
              </w:rPr>
              <w:t>Noteikumu projekts šo jomu neskar.</w:t>
            </w:r>
          </w:p>
        </w:tc>
      </w:tr>
      <w:tr w:rsidR="00230730" w:rsidRPr="006A7D0B" w:rsidTr="006A7D0B">
        <w:tc>
          <w:tcPr>
            <w:tcW w:w="396" w:type="dxa"/>
            <w:shd w:val="clear" w:color="auto" w:fill="auto"/>
          </w:tcPr>
          <w:p w:rsidR="00230730" w:rsidRPr="006A7D0B" w:rsidRDefault="00230730" w:rsidP="00230730">
            <w:pPr>
              <w:rPr>
                <w:sz w:val="22"/>
                <w:szCs w:val="22"/>
              </w:rPr>
            </w:pPr>
            <w:r w:rsidRPr="006A7D0B">
              <w:rPr>
                <w:sz w:val="22"/>
                <w:szCs w:val="22"/>
              </w:rPr>
              <w:t>3.</w:t>
            </w:r>
          </w:p>
        </w:tc>
        <w:tc>
          <w:tcPr>
            <w:tcW w:w="3072" w:type="dxa"/>
            <w:shd w:val="clear" w:color="auto" w:fill="auto"/>
          </w:tcPr>
          <w:p w:rsidR="00230730" w:rsidRPr="006A7D0B" w:rsidRDefault="00230730" w:rsidP="00242D7D">
            <w:pPr>
              <w:rPr>
                <w:sz w:val="22"/>
                <w:szCs w:val="22"/>
              </w:rPr>
            </w:pPr>
            <w:r w:rsidRPr="006A7D0B">
              <w:rPr>
                <w:sz w:val="22"/>
                <w:szCs w:val="22"/>
              </w:rPr>
              <w:t>Administratīvo izmaksu monetārs novērtējums</w:t>
            </w:r>
          </w:p>
        </w:tc>
        <w:tc>
          <w:tcPr>
            <w:tcW w:w="5819" w:type="dxa"/>
            <w:shd w:val="clear" w:color="auto" w:fill="auto"/>
          </w:tcPr>
          <w:p w:rsidR="00230730" w:rsidRPr="008649C0" w:rsidRDefault="005F23F9" w:rsidP="006A7D0B">
            <w:pPr>
              <w:jc w:val="both"/>
              <w:rPr>
                <w:i/>
                <w:color w:val="000000"/>
                <w:sz w:val="22"/>
                <w:szCs w:val="22"/>
              </w:rPr>
            </w:pPr>
            <w:r w:rsidRPr="008649C0">
              <w:rPr>
                <w:iCs/>
                <w:color w:val="000000"/>
                <w:sz w:val="22"/>
                <w:szCs w:val="22"/>
              </w:rPr>
              <w:t>Noteikumu projekts šo jomu neskar.</w:t>
            </w:r>
          </w:p>
        </w:tc>
      </w:tr>
      <w:tr w:rsidR="00230730" w:rsidRPr="006A7D0B" w:rsidTr="006A7D0B">
        <w:tc>
          <w:tcPr>
            <w:tcW w:w="396" w:type="dxa"/>
            <w:shd w:val="clear" w:color="auto" w:fill="auto"/>
          </w:tcPr>
          <w:p w:rsidR="00230730" w:rsidRPr="006A7D0B" w:rsidRDefault="00230730" w:rsidP="00242D7D">
            <w:pPr>
              <w:rPr>
                <w:sz w:val="22"/>
                <w:szCs w:val="22"/>
              </w:rPr>
            </w:pPr>
            <w:r w:rsidRPr="006A7D0B">
              <w:rPr>
                <w:sz w:val="22"/>
                <w:szCs w:val="22"/>
              </w:rPr>
              <w:t xml:space="preserve">4. </w:t>
            </w:r>
          </w:p>
        </w:tc>
        <w:tc>
          <w:tcPr>
            <w:tcW w:w="3072" w:type="dxa"/>
            <w:shd w:val="clear" w:color="auto" w:fill="auto"/>
          </w:tcPr>
          <w:p w:rsidR="00230730" w:rsidRPr="006A7D0B" w:rsidRDefault="00230730" w:rsidP="00242D7D">
            <w:pPr>
              <w:rPr>
                <w:sz w:val="22"/>
                <w:szCs w:val="22"/>
              </w:rPr>
            </w:pPr>
            <w:r w:rsidRPr="006A7D0B">
              <w:rPr>
                <w:sz w:val="22"/>
                <w:szCs w:val="22"/>
              </w:rPr>
              <w:t>Cita informācija</w:t>
            </w:r>
          </w:p>
        </w:tc>
        <w:tc>
          <w:tcPr>
            <w:tcW w:w="5819" w:type="dxa"/>
            <w:shd w:val="clear" w:color="auto" w:fill="auto"/>
          </w:tcPr>
          <w:p w:rsidR="00230730" w:rsidRPr="008649C0" w:rsidRDefault="00230730" w:rsidP="006A7D0B">
            <w:pPr>
              <w:jc w:val="both"/>
              <w:rPr>
                <w:iCs/>
                <w:color w:val="000000"/>
                <w:sz w:val="22"/>
                <w:szCs w:val="22"/>
              </w:rPr>
            </w:pPr>
            <w:r w:rsidRPr="008649C0">
              <w:rPr>
                <w:iCs/>
                <w:color w:val="000000"/>
                <w:sz w:val="22"/>
                <w:szCs w:val="22"/>
              </w:rPr>
              <w:t>Nav</w:t>
            </w:r>
            <w:r w:rsidR="005F23F9" w:rsidRPr="008649C0">
              <w:rPr>
                <w:iCs/>
                <w:color w:val="000000"/>
                <w:sz w:val="22"/>
                <w:szCs w:val="22"/>
              </w:rPr>
              <w:t>.</w:t>
            </w:r>
          </w:p>
        </w:tc>
      </w:tr>
    </w:tbl>
    <w:p w:rsidR="00DB4594" w:rsidRDefault="00DB4594"/>
    <w:p w:rsidR="007F777B" w:rsidRDefault="007F777B"/>
    <w:p w:rsidR="007F777B" w:rsidRDefault="007F777B"/>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727"/>
        <w:gridCol w:w="1709"/>
        <w:gridCol w:w="1231"/>
        <w:gridCol w:w="1231"/>
        <w:gridCol w:w="1231"/>
      </w:tblGrid>
      <w:tr w:rsidR="00273F99" w:rsidTr="001401BD">
        <w:tc>
          <w:tcPr>
            <w:tcW w:w="9287" w:type="dxa"/>
            <w:gridSpan w:val="6"/>
            <w:shd w:val="clear" w:color="auto" w:fill="auto"/>
          </w:tcPr>
          <w:p w:rsidR="00273F99" w:rsidRDefault="00DB4594" w:rsidP="006A7D0B">
            <w:pPr>
              <w:jc w:val="center"/>
            </w:pPr>
            <w:r>
              <w:br w:type="page"/>
            </w:r>
            <w:r w:rsidR="00273F99" w:rsidRPr="006A7D0B">
              <w:rPr>
                <w:b/>
              </w:rPr>
              <w:t>III</w:t>
            </w:r>
            <w:r w:rsidR="00DC37D9" w:rsidRPr="006A7D0B">
              <w:rPr>
                <w:b/>
              </w:rPr>
              <w:t>.</w:t>
            </w:r>
            <w:r w:rsidR="00273F99">
              <w:t xml:space="preserve"> </w:t>
            </w:r>
            <w:r w:rsidR="00273F99" w:rsidRPr="006A7D0B">
              <w:rPr>
                <w:b/>
                <w:bCs/>
              </w:rPr>
              <w:t xml:space="preserve">Tiesību </w:t>
            </w:r>
            <w:smartTag w:uri="schemas-tilde-lv/tildestengine" w:element="veidnes">
              <w:smartTagPr>
                <w:attr w:name="text" w:val="akta"/>
                <w:attr w:name="id" w:val="-1"/>
                <w:attr w:name="baseform" w:val="akt|s"/>
              </w:smartTagPr>
              <w:r w:rsidR="00273F99" w:rsidRPr="006A7D0B">
                <w:rPr>
                  <w:b/>
                  <w:bCs/>
                </w:rPr>
                <w:t>akta</w:t>
              </w:r>
            </w:smartTag>
            <w:r w:rsidR="00273F99" w:rsidRPr="006A7D0B">
              <w:rPr>
                <w:b/>
                <w:bCs/>
              </w:rPr>
              <w:t xml:space="preserve"> projekta ietekme uz valsts budžetu un pašvaldību budžetiem</w:t>
            </w:r>
          </w:p>
        </w:tc>
      </w:tr>
      <w:tr w:rsidR="00273F99" w:rsidTr="001401BD">
        <w:tc>
          <w:tcPr>
            <w:tcW w:w="2193" w:type="dxa"/>
            <w:vMerge w:val="restart"/>
            <w:shd w:val="clear" w:color="auto" w:fill="auto"/>
            <w:vAlign w:val="center"/>
          </w:tcPr>
          <w:p w:rsidR="00273F99" w:rsidRDefault="00273F99" w:rsidP="006A7D0B">
            <w:pPr>
              <w:jc w:val="center"/>
            </w:pPr>
            <w:r w:rsidRPr="006A7D0B">
              <w:rPr>
                <w:b/>
                <w:sz w:val="22"/>
                <w:szCs w:val="22"/>
              </w:rPr>
              <w:t>Rādītāji</w:t>
            </w:r>
          </w:p>
        </w:tc>
        <w:tc>
          <w:tcPr>
            <w:tcW w:w="3374" w:type="dxa"/>
            <w:gridSpan w:val="2"/>
            <w:vMerge w:val="restart"/>
            <w:shd w:val="clear" w:color="auto" w:fill="auto"/>
            <w:vAlign w:val="center"/>
          </w:tcPr>
          <w:p w:rsidR="00273F99" w:rsidRDefault="00273F99" w:rsidP="006A7D0B">
            <w:pPr>
              <w:jc w:val="center"/>
            </w:pPr>
            <w:r w:rsidRPr="006A7D0B">
              <w:rPr>
                <w:b/>
                <w:sz w:val="22"/>
                <w:szCs w:val="22"/>
              </w:rPr>
              <w:t>201</w:t>
            </w:r>
            <w:r w:rsidR="00B86F9E">
              <w:rPr>
                <w:b/>
                <w:sz w:val="22"/>
                <w:szCs w:val="22"/>
              </w:rPr>
              <w:t>5</w:t>
            </w:r>
          </w:p>
        </w:tc>
        <w:tc>
          <w:tcPr>
            <w:tcW w:w="3720" w:type="dxa"/>
            <w:gridSpan w:val="3"/>
            <w:shd w:val="clear" w:color="auto" w:fill="auto"/>
            <w:vAlign w:val="center"/>
          </w:tcPr>
          <w:p w:rsidR="00273F99" w:rsidRDefault="00273F99" w:rsidP="006A7D0B">
            <w:pPr>
              <w:jc w:val="center"/>
            </w:pPr>
            <w:r w:rsidRPr="006A7D0B">
              <w:rPr>
                <w:sz w:val="22"/>
                <w:szCs w:val="22"/>
              </w:rPr>
              <w:t>Turpmākie trīs gadi</w:t>
            </w:r>
            <w:r w:rsidR="00230730" w:rsidRPr="006A7D0B">
              <w:rPr>
                <w:sz w:val="22"/>
                <w:szCs w:val="22"/>
              </w:rPr>
              <w:t xml:space="preserve"> (</w:t>
            </w:r>
            <w:r w:rsidR="00230730" w:rsidRPr="006A7D0B">
              <w:rPr>
                <w:i/>
                <w:sz w:val="22"/>
                <w:szCs w:val="22"/>
              </w:rPr>
              <w:t>euro</w:t>
            </w:r>
            <w:r w:rsidR="00230730" w:rsidRPr="006A7D0B">
              <w:rPr>
                <w:sz w:val="22"/>
                <w:szCs w:val="22"/>
              </w:rPr>
              <w:t>)</w:t>
            </w:r>
          </w:p>
        </w:tc>
      </w:tr>
      <w:tr w:rsidR="00273F99" w:rsidTr="001401BD">
        <w:tc>
          <w:tcPr>
            <w:tcW w:w="2193" w:type="dxa"/>
            <w:vMerge/>
            <w:shd w:val="clear" w:color="auto" w:fill="auto"/>
          </w:tcPr>
          <w:p w:rsidR="00273F99" w:rsidRDefault="00273F99" w:rsidP="006A7D0B">
            <w:pPr>
              <w:jc w:val="center"/>
            </w:pPr>
          </w:p>
        </w:tc>
        <w:tc>
          <w:tcPr>
            <w:tcW w:w="3374" w:type="dxa"/>
            <w:gridSpan w:val="2"/>
            <w:vMerge/>
            <w:shd w:val="clear" w:color="auto" w:fill="auto"/>
          </w:tcPr>
          <w:p w:rsidR="00273F99" w:rsidRPr="006A7D0B" w:rsidRDefault="00273F99" w:rsidP="006A7D0B">
            <w:pPr>
              <w:jc w:val="center"/>
              <w:rPr>
                <w:b/>
                <w:sz w:val="22"/>
                <w:szCs w:val="22"/>
              </w:rPr>
            </w:pPr>
          </w:p>
        </w:tc>
        <w:tc>
          <w:tcPr>
            <w:tcW w:w="1240" w:type="dxa"/>
            <w:shd w:val="clear" w:color="auto" w:fill="auto"/>
            <w:vAlign w:val="bottom"/>
          </w:tcPr>
          <w:p w:rsidR="00273F99" w:rsidRPr="006A7D0B" w:rsidRDefault="00273F99" w:rsidP="006A7D0B">
            <w:pPr>
              <w:pStyle w:val="naisf"/>
              <w:spacing w:before="0" w:after="0"/>
              <w:ind w:firstLine="0"/>
              <w:jc w:val="center"/>
              <w:rPr>
                <w:b/>
                <w:i/>
                <w:sz w:val="22"/>
                <w:szCs w:val="22"/>
              </w:rPr>
            </w:pPr>
            <w:r w:rsidRPr="006A7D0B">
              <w:rPr>
                <w:b/>
                <w:bCs/>
                <w:sz w:val="22"/>
                <w:szCs w:val="22"/>
              </w:rPr>
              <w:t>201</w:t>
            </w:r>
            <w:r w:rsidR="00B86F9E">
              <w:rPr>
                <w:b/>
                <w:bCs/>
                <w:sz w:val="22"/>
                <w:szCs w:val="22"/>
              </w:rPr>
              <w:t>6</w:t>
            </w:r>
          </w:p>
        </w:tc>
        <w:tc>
          <w:tcPr>
            <w:tcW w:w="1240" w:type="dxa"/>
            <w:shd w:val="clear" w:color="auto" w:fill="auto"/>
            <w:vAlign w:val="bottom"/>
          </w:tcPr>
          <w:p w:rsidR="00273F99" w:rsidRPr="006A7D0B" w:rsidRDefault="00273F99" w:rsidP="006A7D0B">
            <w:pPr>
              <w:pStyle w:val="naisf"/>
              <w:spacing w:before="0" w:after="0"/>
              <w:ind w:firstLine="0"/>
              <w:jc w:val="center"/>
              <w:rPr>
                <w:b/>
                <w:i/>
                <w:sz w:val="22"/>
                <w:szCs w:val="22"/>
              </w:rPr>
            </w:pPr>
            <w:r w:rsidRPr="006A7D0B">
              <w:rPr>
                <w:b/>
                <w:bCs/>
                <w:sz w:val="22"/>
                <w:szCs w:val="22"/>
              </w:rPr>
              <w:t>201</w:t>
            </w:r>
            <w:r w:rsidR="00B86F9E">
              <w:rPr>
                <w:b/>
                <w:bCs/>
                <w:sz w:val="22"/>
                <w:szCs w:val="22"/>
              </w:rPr>
              <w:t>7</w:t>
            </w:r>
          </w:p>
        </w:tc>
        <w:tc>
          <w:tcPr>
            <w:tcW w:w="1240" w:type="dxa"/>
            <w:shd w:val="clear" w:color="auto" w:fill="auto"/>
            <w:vAlign w:val="bottom"/>
          </w:tcPr>
          <w:p w:rsidR="00273F99" w:rsidRPr="006A7D0B" w:rsidRDefault="00273F99" w:rsidP="006A7D0B">
            <w:pPr>
              <w:pStyle w:val="naisf"/>
              <w:spacing w:before="0" w:after="0"/>
              <w:ind w:firstLine="0"/>
              <w:jc w:val="center"/>
              <w:rPr>
                <w:b/>
                <w:i/>
                <w:sz w:val="22"/>
                <w:szCs w:val="22"/>
              </w:rPr>
            </w:pPr>
            <w:r w:rsidRPr="006A7D0B">
              <w:rPr>
                <w:b/>
                <w:bCs/>
                <w:sz w:val="22"/>
                <w:szCs w:val="22"/>
              </w:rPr>
              <w:t>201</w:t>
            </w:r>
            <w:r w:rsidR="00B86F9E">
              <w:rPr>
                <w:b/>
                <w:bCs/>
                <w:sz w:val="22"/>
                <w:szCs w:val="22"/>
              </w:rPr>
              <w:t>8</w:t>
            </w:r>
          </w:p>
        </w:tc>
      </w:tr>
      <w:tr w:rsidR="00273F99" w:rsidRPr="006A7D0B" w:rsidTr="001401BD">
        <w:tc>
          <w:tcPr>
            <w:tcW w:w="2193" w:type="dxa"/>
            <w:vMerge/>
            <w:shd w:val="clear" w:color="auto" w:fill="auto"/>
            <w:vAlign w:val="bottom"/>
          </w:tcPr>
          <w:p w:rsidR="00273F99" w:rsidRPr="006A7D0B" w:rsidRDefault="00273F99" w:rsidP="006A7D0B">
            <w:pPr>
              <w:jc w:val="center"/>
              <w:rPr>
                <w:sz w:val="22"/>
                <w:szCs w:val="22"/>
              </w:rPr>
            </w:pPr>
          </w:p>
        </w:tc>
        <w:tc>
          <w:tcPr>
            <w:tcW w:w="1628" w:type="dxa"/>
            <w:shd w:val="clear" w:color="auto" w:fill="auto"/>
          </w:tcPr>
          <w:p w:rsidR="00273F99" w:rsidRPr="006A7D0B" w:rsidRDefault="00230730" w:rsidP="006A7D0B">
            <w:pPr>
              <w:jc w:val="center"/>
              <w:rPr>
                <w:sz w:val="22"/>
                <w:szCs w:val="22"/>
              </w:rPr>
            </w:pPr>
            <w:r w:rsidRPr="006A7D0B">
              <w:rPr>
                <w:sz w:val="22"/>
                <w:szCs w:val="22"/>
              </w:rPr>
              <w:t>s</w:t>
            </w:r>
            <w:r w:rsidR="00273F99" w:rsidRPr="006A7D0B">
              <w:rPr>
                <w:sz w:val="22"/>
                <w:szCs w:val="22"/>
              </w:rPr>
              <w:t>askaņā ar valsts budžetu kārtējam gadam</w:t>
            </w:r>
          </w:p>
        </w:tc>
        <w:tc>
          <w:tcPr>
            <w:tcW w:w="1746" w:type="dxa"/>
            <w:shd w:val="clear" w:color="auto" w:fill="auto"/>
          </w:tcPr>
          <w:p w:rsidR="00273F99" w:rsidRPr="006A7D0B" w:rsidRDefault="00230730" w:rsidP="006A7D0B">
            <w:pPr>
              <w:jc w:val="center"/>
              <w:rPr>
                <w:sz w:val="22"/>
                <w:szCs w:val="22"/>
              </w:rPr>
            </w:pPr>
            <w:r w:rsidRPr="006A7D0B">
              <w:rPr>
                <w:sz w:val="22"/>
                <w:szCs w:val="22"/>
              </w:rPr>
              <w:t>i</w:t>
            </w:r>
            <w:r w:rsidR="00273F99" w:rsidRPr="006A7D0B">
              <w:rPr>
                <w:sz w:val="22"/>
                <w:szCs w:val="22"/>
              </w:rPr>
              <w:t xml:space="preserve">zmaiņas kārtējā gadā salīdzinot ar </w:t>
            </w:r>
            <w:r w:rsidRPr="006A7D0B">
              <w:rPr>
                <w:sz w:val="22"/>
                <w:szCs w:val="22"/>
              </w:rPr>
              <w:t xml:space="preserve">valsts </w:t>
            </w:r>
            <w:r w:rsidR="00273F99" w:rsidRPr="006A7D0B">
              <w:rPr>
                <w:sz w:val="22"/>
                <w:szCs w:val="22"/>
              </w:rPr>
              <w:t>budžetu kārtējam gadam</w:t>
            </w:r>
          </w:p>
        </w:tc>
        <w:tc>
          <w:tcPr>
            <w:tcW w:w="1240" w:type="dxa"/>
            <w:shd w:val="clear" w:color="auto" w:fill="auto"/>
          </w:tcPr>
          <w:p w:rsidR="00273F99" w:rsidRPr="006A7D0B" w:rsidRDefault="00230730" w:rsidP="006A7D0B">
            <w:pPr>
              <w:jc w:val="center"/>
              <w:rPr>
                <w:sz w:val="22"/>
                <w:szCs w:val="22"/>
              </w:rPr>
            </w:pPr>
            <w:r w:rsidRPr="006A7D0B">
              <w:rPr>
                <w:sz w:val="22"/>
                <w:szCs w:val="22"/>
              </w:rPr>
              <w:t>i</w:t>
            </w:r>
            <w:r w:rsidR="00273F99" w:rsidRPr="006A7D0B">
              <w:rPr>
                <w:sz w:val="22"/>
                <w:szCs w:val="22"/>
              </w:rPr>
              <w:t>zmaiņas salīdzinot ar kārtējo gadu</w:t>
            </w:r>
          </w:p>
        </w:tc>
        <w:tc>
          <w:tcPr>
            <w:tcW w:w="1240" w:type="dxa"/>
            <w:shd w:val="clear" w:color="auto" w:fill="auto"/>
          </w:tcPr>
          <w:p w:rsidR="00273F99" w:rsidRPr="006A7D0B" w:rsidRDefault="00230730" w:rsidP="006A7D0B">
            <w:pPr>
              <w:jc w:val="center"/>
              <w:rPr>
                <w:sz w:val="22"/>
                <w:szCs w:val="22"/>
              </w:rPr>
            </w:pPr>
            <w:r w:rsidRPr="006A7D0B">
              <w:rPr>
                <w:sz w:val="22"/>
                <w:szCs w:val="22"/>
              </w:rPr>
              <w:t>i</w:t>
            </w:r>
            <w:r w:rsidR="00273F99" w:rsidRPr="006A7D0B">
              <w:rPr>
                <w:sz w:val="22"/>
                <w:szCs w:val="22"/>
              </w:rPr>
              <w:t>zmaiņas salīdzinot ar kārtējo gadu</w:t>
            </w:r>
          </w:p>
        </w:tc>
        <w:tc>
          <w:tcPr>
            <w:tcW w:w="1240" w:type="dxa"/>
            <w:shd w:val="clear" w:color="auto" w:fill="auto"/>
          </w:tcPr>
          <w:p w:rsidR="00273F99" w:rsidRPr="006A7D0B" w:rsidRDefault="00230730" w:rsidP="006A7D0B">
            <w:pPr>
              <w:jc w:val="center"/>
              <w:rPr>
                <w:sz w:val="22"/>
                <w:szCs w:val="22"/>
              </w:rPr>
            </w:pPr>
            <w:r w:rsidRPr="006A7D0B">
              <w:rPr>
                <w:sz w:val="22"/>
                <w:szCs w:val="22"/>
              </w:rPr>
              <w:t>i</w:t>
            </w:r>
            <w:r w:rsidR="00273F99" w:rsidRPr="006A7D0B">
              <w:rPr>
                <w:sz w:val="22"/>
                <w:szCs w:val="22"/>
              </w:rPr>
              <w:t>zmaiņas salīdzinot ar kārtējo gadu</w:t>
            </w:r>
          </w:p>
        </w:tc>
      </w:tr>
      <w:tr w:rsidR="003B629D" w:rsidTr="001401BD">
        <w:tc>
          <w:tcPr>
            <w:tcW w:w="2193" w:type="dxa"/>
            <w:shd w:val="clear" w:color="auto" w:fill="auto"/>
          </w:tcPr>
          <w:p w:rsidR="003B629D" w:rsidRPr="006A7D0B" w:rsidRDefault="003B629D" w:rsidP="006A7D0B">
            <w:pPr>
              <w:pStyle w:val="naisf"/>
              <w:spacing w:before="0" w:after="0"/>
              <w:ind w:firstLine="0"/>
              <w:jc w:val="center"/>
              <w:rPr>
                <w:b/>
                <w:sz w:val="22"/>
                <w:szCs w:val="22"/>
              </w:rPr>
            </w:pPr>
            <w:r w:rsidRPr="006A7D0B">
              <w:rPr>
                <w:b/>
                <w:sz w:val="22"/>
                <w:szCs w:val="22"/>
              </w:rPr>
              <w:t>1</w:t>
            </w:r>
          </w:p>
        </w:tc>
        <w:tc>
          <w:tcPr>
            <w:tcW w:w="1628" w:type="dxa"/>
            <w:shd w:val="clear" w:color="auto" w:fill="auto"/>
          </w:tcPr>
          <w:p w:rsidR="003B629D" w:rsidRPr="006A7D0B" w:rsidRDefault="003B629D" w:rsidP="006A7D0B">
            <w:pPr>
              <w:pStyle w:val="naisf"/>
              <w:spacing w:before="0" w:after="0"/>
              <w:ind w:firstLine="0"/>
              <w:jc w:val="center"/>
              <w:rPr>
                <w:b/>
                <w:sz w:val="22"/>
                <w:szCs w:val="22"/>
              </w:rPr>
            </w:pPr>
            <w:r w:rsidRPr="006A7D0B">
              <w:rPr>
                <w:b/>
                <w:sz w:val="22"/>
                <w:szCs w:val="22"/>
              </w:rPr>
              <w:t>2</w:t>
            </w:r>
          </w:p>
        </w:tc>
        <w:tc>
          <w:tcPr>
            <w:tcW w:w="1746" w:type="dxa"/>
            <w:shd w:val="clear" w:color="auto" w:fill="auto"/>
          </w:tcPr>
          <w:p w:rsidR="003B629D" w:rsidRPr="006A7D0B" w:rsidRDefault="003B629D" w:rsidP="006A7D0B">
            <w:pPr>
              <w:pStyle w:val="naisf"/>
              <w:spacing w:before="0" w:after="0"/>
              <w:ind w:firstLine="0"/>
              <w:jc w:val="center"/>
              <w:rPr>
                <w:b/>
                <w:sz w:val="22"/>
                <w:szCs w:val="22"/>
              </w:rPr>
            </w:pPr>
            <w:r w:rsidRPr="006A7D0B">
              <w:rPr>
                <w:b/>
                <w:sz w:val="22"/>
                <w:szCs w:val="22"/>
              </w:rPr>
              <w:t>3</w:t>
            </w:r>
          </w:p>
        </w:tc>
        <w:tc>
          <w:tcPr>
            <w:tcW w:w="1240" w:type="dxa"/>
            <w:shd w:val="clear" w:color="auto" w:fill="auto"/>
          </w:tcPr>
          <w:p w:rsidR="003B629D" w:rsidRPr="006A7D0B" w:rsidRDefault="003B629D" w:rsidP="006A7D0B">
            <w:pPr>
              <w:pStyle w:val="naisf"/>
              <w:spacing w:before="0" w:after="0"/>
              <w:ind w:firstLine="0"/>
              <w:jc w:val="center"/>
              <w:rPr>
                <w:b/>
                <w:sz w:val="22"/>
                <w:szCs w:val="22"/>
              </w:rPr>
            </w:pPr>
            <w:r w:rsidRPr="006A7D0B">
              <w:rPr>
                <w:b/>
                <w:sz w:val="22"/>
                <w:szCs w:val="22"/>
              </w:rPr>
              <w:t>4</w:t>
            </w:r>
          </w:p>
        </w:tc>
        <w:tc>
          <w:tcPr>
            <w:tcW w:w="1240" w:type="dxa"/>
            <w:shd w:val="clear" w:color="auto" w:fill="auto"/>
          </w:tcPr>
          <w:p w:rsidR="003B629D" w:rsidRPr="006A7D0B" w:rsidRDefault="003B629D" w:rsidP="006A7D0B">
            <w:pPr>
              <w:pStyle w:val="naisf"/>
              <w:spacing w:before="0" w:after="0"/>
              <w:ind w:firstLine="0"/>
              <w:jc w:val="center"/>
              <w:rPr>
                <w:b/>
                <w:sz w:val="22"/>
                <w:szCs w:val="22"/>
              </w:rPr>
            </w:pPr>
            <w:r w:rsidRPr="006A7D0B">
              <w:rPr>
                <w:b/>
                <w:sz w:val="22"/>
                <w:szCs w:val="22"/>
              </w:rPr>
              <w:t>5</w:t>
            </w:r>
          </w:p>
        </w:tc>
        <w:tc>
          <w:tcPr>
            <w:tcW w:w="1240" w:type="dxa"/>
            <w:shd w:val="clear" w:color="auto" w:fill="auto"/>
          </w:tcPr>
          <w:p w:rsidR="003B629D" w:rsidRPr="006A7D0B" w:rsidRDefault="003B629D" w:rsidP="006A7D0B">
            <w:pPr>
              <w:pStyle w:val="naisf"/>
              <w:spacing w:before="0" w:after="0"/>
              <w:ind w:firstLine="0"/>
              <w:jc w:val="center"/>
              <w:rPr>
                <w:b/>
                <w:sz w:val="22"/>
                <w:szCs w:val="22"/>
              </w:rPr>
            </w:pPr>
            <w:r w:rsidRPr="006A7D0B">
              <w:rPr>
                <w:b/>
                <w:sz w:val="22"/>
                <w:szCs w:val="22"/>
              </w:rPr>
              <w:t>6</w:t>
            </w:r>
          </w:p>
        </w:tc>
      </w:tr>
      <w:tr w:rsidR="00330E6E" w:rsidTr="001401BD">
        <w:tc>
          <w:tcPr>
            <w:tcW w:w="2193" w:type="dxa"/>
            <w:shd w:val="clear" w:color="auto" w:fill="auto"/>
          </w:tcPr>
          <w:p w:rsidR="00330E6E" w:rsidRDefault="00330E6E" w:rsidP="003F27FC">
            <w:r w:rsidRPr="006A7D0B">
              <w:rPr>
                <w:sz w:val="22"/>
                <w:szCs w:val="22"/>
              </w:rPr>
              <w:t>1. Budžeta ieņēmumi:</w:t>
            </w:r>
          </w:p>
        </w:tc>
        <w:tc>
          <w:tcPr>
            <w:tcW w:w="1628" w:type="dxa"/>
            <w:shd w:val="clear" w:color="auto" w:fill="auto"/>
            <w:vAlign w:val="center"/>
          </w:tcPr>
          <w:p w:rsidR="00330E6E" w:rsidRPr="008E69EF" w:rsidRDefault="007F777B" w:rsidP="008011D6">
            <w:pPr>
              <w:jc w:val="center"/>
              <w:rPr>
                <w:sz w:val="20"/>
                <w:szCs w:val="20"/>
              </w:rPr>
            </w:pPr>
            <w:r w:rsidRPr="007F777B">
              <w:rPr>
                <w:color w:val="000000"/>
                <w:sz w:val="20"/>
                <w:szCs w:val="20"/>
                <w:lang w:eastAsia="ar-SA"/>
              </w:rPr>
              <w:t>23 475 535</w:t>
            </w:r>
          </w:p>
        </w:tc>
        <w:tc>
          <w:tcPr>
            <w:tcW w:w="1746" w:type="dxa"/>
            <w:shd w:val="clear" w:color="auto" w:fill="auto"/>
            <w:vAlign w:val="center"/>
          </w:tcPr>
          <w:p w:rsidR="00330E6E" w:rsidRPr="008011D6" w:rsidRDefault="006539B1" w:rsidP="008011D6">
            <w:pPr>
              <w:jc w:val="center"/>
              <w:rPr>
                <w:sz w:val="20"/>
                <w:szCs w:val="20"/>
              </w:rPr>
            </w:pPr>
            <w:r>
              <w:rPr>
                <w:sz w:val="20"/>
                <w:szCs w:val="20"/>
              </w:rPr>
              <w:t>0</w:t>
            </w:r>
          </w:p>
        </w:tc>
        <w:tc>
          <w:tcPr>
            <w:tcW w:w="1240" w:type="dxa"/>
            <w:shd w:val="clear" w:color="auto" w:fill="auto"/>
            <w:vAlign w:val="center"/>
          </w:tcPr>
          <w:p w:rsidR="00330E6E" w:rsidRPr="008011D6" w:rsidRDefault="00BD0940" w:rsidP="008011D6">
            <w:pPr>
              <w:jc w:val="center"/>
              <w:rPr>
                <w:sz w:val="20"/>
                <w:szCs w:val="20"/>
              </w:rPr>
            </w:pPr>
            <w:r>
              <w:rPr>
                <w:sz w:val="20"/>
                <w:szCs w:val="20"/>
              </w:rPr>
              <w:t>0</w:t>
            </w:r>
          </w:p>
        </w:tc>
        <w:tc>
          <w:tcPr>
            <w:tcW w:w="1240" w:type="dxa"/>
            <w:shd w:val="clear" w:color="auto" w:fill="auto"/>
            <w:vAlign w:val="center"/>
          </w:tcPr>
          <w:p w:rsidR="00330E6E" w:rsidRPr="008011D6" w:rsidRDefault="00BD0940" w:rsidP="008011D6">
            <w:pPr>
              <w:jc w:val="center"/>
              <w:rPr>
                <w:sz w:val="20"/>
                <w:szCs w:val="20"/>
              </w:rPr>
            </w:pPr>
            <w:r>
              <w:rPr>
                <w:sz w:val="20"/>
                <w:szCs w:val="20"/>
              </w:rPr>
              <w:t>0</w:t>
            </w:r>
          </w:p>
        </w:tc>
        <w:tc>
          <w:tcPr>
            <w:tcW w:w="1240" w:type="dxa"/>
            <w:shd w:val="clear" w:color="auto" w:fill="auto"/>
            <w:vAlign w:val="center"/>
          </w:tcPr>
          <w:p w:rsidR="00330E6E" w:rsidRPr="008011D6" w:rsidRDefault="00BD0940" w:rsidP="008011D6">
            <w:pPr>
              <w:jc w:val="center"/>
              <w:rPr>
                <w:sz w:val="20"/>
                <w:szCs w:val="20"/>
              </w:rPr>
            </w:pPr>
            <w:r>
              <w:rPr>
                <w:sz w:val="20"/>
                <w:szCs w:val="20"/>
              </w:rPr>
              <w:t>0</w:t>
            </w:r>
          </w:p>
        </w:tc>
      </w:tr>
      <w:tr w:rsidR="007F777B" w:rsidTr="001401BD">
        <w:tc>
          <w:tcPr>
            <w:tcW w:w="2193" w:type="dxa"/>
            <w:shd w:val="clear" w:color="auto" w:fill="auto"/>
          </w:tcPr>
          <w:p w:rsidR="007F777B" w:rsidRPr="006A7D0B" w:rsidRDefault="007F777B" w:rsidP="003F27FC">
            <w:pPr>
              <w:rPr>
                <w:sz w:val="22"/>
                <w:szCs w:val="22"/>
              </w:rPr>
            </w:pPr>
            <w:r>
              <w:rPr>
                <w:sz w:val="22"/>
                <w:szCs w:val="22"/>
              </w:rPr>
              <w:t>1.1. V</w:t>
            </w:r>
            <w:r w:rsidRPr="007F777B">
              <w:rPr>
                <w:sz w:val="22"/>
                <w:szCs w:val="22"/>
              </w:rPr>
              <w:t>alsts pamatbudžets</w:t>
            </w:r>
          </w:p>
        </w:tc>
        <w:tc>
          <w:tcPr>
            <w:tcW w:w="1628" w:type="dxa"/>
            <w:shd w:val="clear" w:color="auto" w:fill="auto"/>
            <w:vAlign w:val="center"/>
          </w:tcPr>
          <w:p w:rsidR="007F777B" w:rsidRPr="007F777B" w:rsidRDefault="007F777B" w:rsidP="008011D6">
            <w:pPr>
              <w:jc w:val="center"/>
              <w:rPr>
                <w:color w:val="000000"/>
                <w:sz w:val="20"/>
                <w:szCs w:val="20"/>
                <w:lang w:eastAsia="ar-SA"/>
              </w:rPr>
            </w:pPr>
            <w:r w:rsidRPr="007F777B">
              <w:rPr>
                <w:color w:val="000000"/>
                <w:sz w:val="20"/>
                <w:szCs w:val="20"/>
                <w:lang w:eastAsia="ar-SA"/>
              </w:rPr>
              <w:t>Valsts pamatbudžeta apakšprogrammā 63.07.00 “Eiropas Sociālā fonda (ESF) īstenotie projekti labklājības nozarē (2014-2020)” 14 853 295</w:t>
            </w:r>
          </w:p>
        </w:tc>
        <w:tc>
          <w:tcPr>
            <w:tcW w:w="1746" w:type="dxa"/>
            <w:shd w:val="clear" w:color="auto" w:fill="auto"/>
            <w:vAlign w:val="center"/>
          </w:tcPr>
          <w:p w:rsidR="007F777B" w:rsidRDefault="007F777B" w:rsidP="008011D6">
            <w:pPr>
              <w:jc w:val="center"/>
              <w:rPr>
                <w:sz w:val="20"/>
                <w:szCs w:val="20"/>
              </w:rPr>
            </w:pPr>
          </w:p>
        </w:tc>
        <w:tc>
          <w:tcPr>
            <w:tcW w:w="1240" w:type="dxa"/>
            <w:shd w:val="clear" w:color="auto" w:fill="auto"/>
            <w:vAlign w:val="center"/>
          </w:tcPr>
          <w:p w:rsidR="007F777B" w:rsidRDefault="007F777B" w:rsidP="008011D6">
            <w:pPr>
              <w:jc w:val="center"/>
              <w:rPr>
                <w:sz w:val="20"/>
                <w:szCs w:val="20"/>
              </w:rPr>
            </w:pPr>
          </w:p>
        </w:tc>
        <w:tc>
          <w:tcPr>
            <w:tcW w:w="1240" w:type="dxa"/>
            <w:shd w:val="clear" w:color="auto" w:fill="auto"/>
            <w:vAlign w:val="center"/>
          </w:tcPr>
          <w:p w:rsidR="007F777B" w:rsidRDefault="007F777B" w:rsidP="008011D6">
            <w:pPr>
              <w:jc w:val="center"/>
              <w:rPr>
                <w:sz w:val="20"/>
                <w:szCs w:val="20"/>
              </w:rPr>
            </w:pPr>
          </w:p>
        </w:tc>
        <w:tc>
          <w:tcPr>
            <w:tcW w:w="1240" w:type="dxa"/>
            <w:shd w:val="clear" w:color="auto" w:fill="auto"/>
            <w:vAlign w:val="center"/>
          </w:tcPr>
          <w:p w:rsidR="007F777B" w:rsidRDefault="007F777B" w:rsidP="008011D6">
            <w:pPr>
              <w:jc w:val="center"/>
              <w:rPr>
                <w:sz w:val="20"/>
                <w:szCs w:val="20"/>
              </w:rPr>
            </w:pPr>
          </w:p>
        </w:tc>
      </w:tr>
      <w:tr w:rsidR="007F777B" w:rsidTr="001401BD">
        <w:tc>
          <w:tcPr>
            <w:tcW w:w="2193" w:type="dxa"/>
            <w:shd w:val="clear" w:color="auto" w:fill="auto"/>
          </w:tcPr>
          <w:p w:rsidR="007F777B" w:rsidRDefault="007F777B" w:rsidP="003F27FC">
            <w:pPr>
              <w:rPr>
                <w:sz w:val="22"/>
                <w:szCs w:val="22"/>
              </w:rPr>
            </w:pPr>
            <w:r>
              <w:rPr>
                <w:sz w:val="22"/>
                <w:szCs w:val="22"/>
              </w:rPr>
              <w:t>1.2. V</w:t>
            </w:r>
            <w:r w:rsidRPr="007F777B">
              <w:rPr>
                <w:sz w:val="22"/>
                <w:szCs w:val="22"/>
              </w:rPr>
              <w:t>alsts speciālais budžets</w:t>
            </w:r>
          </w:p>
        </w:tc>
        <w:tc>
          <w:tcPr>
            <w:tcW w:w="1628" w:type="dxa"/>
            <w:shd w:val="clear" w:color="auto" w:fill="auto"/>
            <w:vAlign w:val="center"/>
          </w:tcPr>
          <w:p w:rsidR="007F777B" w:rsidRPr="007F777B" w:rsidRDefault="007F777B" w:rsidP="008011D6">
            <w:pPr>
              <w:jc w:val="center"/>
              <w:rPr>
                <w:color w:val="000000"/>
                <w:sz w:val="20"/>
                <w:szCs w:val="20"/>
                <w:lang w:eastAsia="ar-SA"/>
              </w:rPr>
            </w:pPr>
            <w:r w:rsidRPr="007F777B">
              <w:rPr>
                <w:color w:val="000000"/>
                <w:sz w:val="20"/>
                <w:szCs w:val="20"/>
                <w:lang w:eastAsia="ar-SA"/>
              </w:rPr>
              <w:t xml:space="preserve">Apakšprogrammas 04.02.00 Nodarbinātības speciālais budžets plānotie ieņēmumi nodarbinātības pasākumu īstenošanai </w:t>
            </w:r>
            <w:r w:rsidRPr="007F777B">
              <w:rPr>
                <w:color w:val="000000"/>
                <w:sz w:val="20"/>
                <w:szCs w:val="20"/>
                <w:lang w:eastAsia="ar-SA"/>
              </w:rPr>
              <w:lastRenderedPageBreak/>
              <w:t>8 622 240</w:t>
            </w:r>
          </w:p>
        </w:tc>
        <w:tc>
          <w:tcPr>
            <w:tcW w:w="1746" w:type="dxa"/>
            <w:shd w:val="clear" w:color="auto" w:fill="auto"/>
            <w:vAlign w:val="center"/>
          </w:tcPr>
          <w:p w:rsidR="007F777B" w:rsidRDefault="007F777B" w:rsidP="008011D6">
            <w:pPr>
              <w:jc w:val="center"/>
              <w:rPr>
                <w:sz w:val="20"/>
                <w:szCs w:val="20"/>
              </w:rPr>
            </w:pPr>
          </w:p>
        </w:tc>
        <w:tc>
          <w:tcPr>
            <w:tcW w:w="1240" w:type="dxa"/>
            <w:shd w:val="clear" w:color="auto" w:fill="auto"/>
            <w:vAlign w:val="center"/>
          </w:tcPr>
          <w:p w:rsidR="007F777B" w:rsidRDefault="007F777B" w:rsidP="008011D6">
            <w:pPr>
              <w:jc w:val="center"/>
              <w:rPr>
                <w:sz w:val="20"/>
                <w:szCs w:val="20"/>
              </w:rPr>
            </w:pPr>
          </w:p>
        </w:tc>
        <w:tc>
          <w:tcPr>
            <w:tcW w:w="1240" w:type="dxa"/>
            <w:shd w:val="clear" w:color="auto" w:fill="auto"/>
            <w:vAlign w:val="center"/>
          </w:tcPr>
          <w:p w:rsidR="007F777B" w:rsidRDefault="007F777B" w:rsidP="008011D6">
            <w:pPr>
              <w:jc w:val="center"/>
              <w:rPr>
                <w:sz w:val="20"/>
                <w:szCs w:val="20"/>
              </w:rPr>
            </w:pPr>
          </w:p>
        </w:tc>
        <w:tc>
          <w:tcPr>
            <w:tcW w:w="1240" w:type="dxa"/>
            <w:shd w:val="clear" w:color="auto" w:fill="auto"/>
            <w:vAlign w:val="center"/>
          </w:tcPr>
          <w:p w:rsidR="007F777B" w:rsidRDefault="007F777B" w:rsidP="008011D6">
            <w:pPr>
              <w:jc w:val="center"/>
              <w:rPr>
                <w:sz w:val="20"/>
                <w:szCs w:val="20"/>
              </w:rPr>
            </w:pPr>
          </w:p>
        </w:tc>
      </w:tr>
      <w:tr w:rsidR="006539B1" w:rsidTr="001401BD">
        <w:tc>
          <w:tcPr>
            <w:tcW w:w="2193" w:type="dxa"/>
            <w:shd w:val="clear" w:color="auto" w:fill="auto"/>
          </w:tcPr>
          <w:p w:rsidR="006539B1" w:rsidRDefault="006539B1" w:rsidP="003F27FC">
            <w:r w:rsidRPr="006A7D0B">
              <w:rPr>
                <w:sz w:val="22"/>
                <w:szCs w:val="22"/>
              </w:rPr>
              <w:lastRenderedPageBreak/>
              <w:t>2. Budžeta izdevumi:</w:t>
            </w:r>
          </w:p>
        </w:tc>
        <w:tc>
          <w:tcPr>
            <w:tcW w:w="1628" w:type="dxa"/>
            <w:shd w:val="clear" w:color="auto" w:fill="auto"/>
          </w:tcPr>
          <w:p w:rsidR="006539B1" w:rsidRPr="008E69EF" w:rsidRDefault="001A354E" w:rsidP="006539B1">
            <w:pPr>
              <w:jc w:val="center"/>
            </w:pPr>
            <w:r w:rsidRPr="001A354E">
              <w:rPr>
                <w:color w:val="000000"/>
                <w:sz w:val="20"/>
                <w:szCs w:val="20"/>
                <w:lang w:eastAsia="ar-SA"/>
              </w:rPr>
              <w:t>25 031 626</w:t>
            </w:r>
          </w:p>
        </w:tc>
        <w:tc>
          <w:tcPr>
            <w:tcW w:w="1746" w:type="dxa"/>
            <w:shd w:val="clear" w:color="auto" w:fill="auto"/>
          </w:tcPr>
          <w:p w:rsidR="006539B1" w:rsidRDefault="006539B1" w:rsidP="006539B1">
            <w:pPr>
              <w:jc w:val="center"/>
            </w:pPr>
            <w:r w:rsidRPr="004A437F">
              <w:rPr>
                <w:sz w:val="20"/>
                <w:szCs w:val="20"/>
              </w:rPr>
              <w:t>0</w:t>
            </w:r>
          </w:p>
        </w:tc>
        <w:tc>
          <w:tcPr>
            <w:tcW w:w="1240" w:type="dxa"/>
            <w:shd w:val="clear" w:color="auto" w:fill="auto"/>
            <w:vAlign w:val="center"/>
          </w:tcPr>
          <w:p w:rsidR="006539B1" w:rsidRPr="00F852BD" w:rsidRDefault="00BD0940" w:rsidP="007821D3">
            <w:pPr>
              <w:jc w:val="center"/>
              <w:rPr>
                <w:sz w:val="20"/>
                <w:szCs w:val="20"/>
              </w:rPr>
            </w:pPr>
            <w:r>
              <w:rPr>
                <w:sz w:val="20"/>
                <w:szCs w:val="20"/>
              </w:rPr>
              <w:t>0</w:t>
            </w:r>
          </w:p>
        </w:tc>
        <w:tc>
          <w:tcPr>
            <w:tcW w:w="1240" w:type="dxa"/>
            <w:shd w:val="clear" w:color="auto" w:fill="auto"/>
            <w:vAlign w:val="center"/>
          </w:tcPr>
          <w:p w:rsidR="006539B1" w:rsidRPr="00F852BD" w:rsidRDefault="00BD0940" w:rsidP="007821D3">
            <w:pPr>
              <w:jc w:val="center"/>
              <w:rPr>
                <w:sz w:val="20"/>
                <w:szCs w:val="20"/>
              </w:rPr>
            </w:pPr>
            <w:r>
              <w:rPr>
                <w:sz w:val="20"/>
                <w:szCs w:val="20"/>
              </w:rPr>
              <w:t>0</w:t>
            </w:r>
          </w:p>
        </w:tc>
        <w:tc>
          <w:tcPr>
            <w:tcW w:w="1240" w:type="dxa"/>
            <w:shd w:val="clear" w:color="auto" w:fill="auto"/>
            <w:vAlign w:val="center"/>
          </w:tcPr>
          <w:p w:rsidR="006539B1" w:rsidRPr="00F852BD" w:rsidRDefault="00BD0940" w:rsidP="007821D3">
            <w:pPr>
              <w:jc w:val="center"/>
              <w:rPr>
                <w:sz w:val="20"/>
                <w:szCs w:val="20"/>
              </w:rPr>
            </w:pPr>
            <w:r>
              <w:rPr>
                <w:sz w:val="20"/>
                <w:szCs w:val="20"/>
              </w:rPr>
              <w:t>0</w:t>
            </w:r>
          </w:p>
        </w:tc>
      </w:tr>
      <w:tr w:rsidR="001A354E" w:rsidTr="001401BD">
        <w:tc>
          <w:tcPr>
            <w:tcW w:w="2193" w:type="dxa"/>
            <w:shd w:val="clear" w:color="auto" w:fill="auto"/>
          </w:tcPr>
          <w:p w:rsidR="001A354E" w:rsidRPr="006A7D0B" w:rsidRDefault="001A354E" w:rsidP="003F27FC">
            <w:pPr>
              <w:rPr>
                <w:sz w:val="22"/>
                <w:szCs w:val="22"/>
              </w:rPr>
            </w:pPr>
            <w:r w:rsidRPr="001A354E">
              <w:rPr>
                <w:sz w:val="22"/>
                <w:szCs w:val="22"/>
              </w:rPr>
              <w:t>2</w:t>
            </w:r>
            <w:r>
              <w:rPr>
                <w:sz w:val="22"/>
                <w:szCs w:val="22"/>
              </w:rPr>
              <w:t>.1. V</w:t>
            </w:r>
            <w:r w:rsidRPr="001A354E">
              <w:rPr>
                <w:sz w:val="22"/>
                <w:szCs w:val="22"/>
              </w:rPr>
              <w:t>alsts pamatbudžets</w:t>
            </w:r>
          </w:p>
        </w:tc>
        <w:tc>
          <w:tcPr>
            <w:tcW w:w="1628" w:type="dxa"/>
            <w:shd w:val="clear" w:color="auto" w:fill="auto"/>
          </w:tcPr>
          <w:p w:rsidR="001A354E" w:rsidRPr="001A354E" w:rsidRDefault="001A354E" w:rsidP="006539B1">
            <w:pPr>
              <w:jc w:val="center"/>
              <w:rPr>
                <w:color w:val="000000"/>
                <w:sz w:val="20"/>
                <w:szCs w:val="20"/>
                <w:lang w:eastAsia="ar-SA"/>
              </w:rPr>
            </w:pPr>
            <w:r w:rsidRPr="001A354E">
              <w:rPr>
                <w:color w:val="000000"/>
                <w:sz w:val="20"/>
                <w:szCs w:val="20"/>
                <w:lang w:eastAsia="ar-SA"/>
              </w:rPr>
              <w:t>Valsts pamatbudžeta apakšprogrammā 63.07.00 “Eiropas Sociālā fonda (ESF) īstenotie projekti labklājības nozarē (2014-2020)” 16 409 386</w:t>
            </w:r>
          </w:p>
        </w:tc>
        <w:tc>
          <w:tcPr>
            <w:tcW w:w="1746" w:type="dxa"/>
            <w:shd w:val="clear" w:color="auto" w:fill="auto"/>
          </w:tcPr>
          <w:p w:rsidR="001A354E" w:rsidRPr="004A437F" w:rsidRDefault="001A354E" w:rsidP="006539B1">
            <w:pPr>
              <w:jc w:val="center"/>
              <w:rPr>
                <w:sz w:val="20"/>
                <w:szCs w:val="20"/>
              </w:rPr>
            </w:pPr>
          </w:p>
        </w:tc>
        <w:tc>
          <w:tcPr>
            <w:tcW w:w="1240" w:type="dxa"/>
            <w:shd w:val="clear" w:color="auto" w:fill="auto"/>
            <w:vAlign w:val="center"/>
          </w:tcPr>
          <w:p w:rsidR="001A354E" w:rsidRDefault="001A354E" w:rsidP="007821D3">
            <w:pPr>
              <w:jc w:val="center"/>
              <w:rPr>
                <w:sz w:val="20"/>
                <w:szCs w:val="20"/>
              </w:rPr>
            </w:pPr>
          </w:p>
        </w:tc>
        <w:tc>
          <w:tcPr>
            <w:tcW w:w="1240" w:type="dxa"/>
            <w:shd w:val="clear" w:color="auto" w:fill="auto"/>
            <w:vAlign w:val="center"/>
          </w:tcPr>
          <w:p w:rsidR="001A354E" w:rsidRDefault="001A354E" w:rsidP="007821D3">
            <w:pPr>
              <w:jc w:val="center"/>
              <w:rPr>
                <w:sz w:val="20"/>
                <w:szCs w:val="20"/>
              </w:rPr>
            </w:pPr>
          </w:p>
        </w:tc>
        <w:tc>
          <w:tcPr>
            <w:tcW w:w="1240" w:type="dxa"/>
            <w:shd w:val="clear" w:color="auto" w:fill="auto"/>
            <w:vAlign w:val="center"/>
          </w:tcPr>
          <w:p w:rsidR="001A354E" w:rsidRDefault="001A354E" w:rsidP="007821D3">
            <w:pPr>
              <w:jc w:val="center"/>
              <w:rPr>
                <w:sz w:val="20"/>
                <w:szCs w:val="20"/>
              </w:rPr>
            </w:pPr>
          </w:p>
        </w:tc>
      </w:tr>
      <w:tr w:rsidR="001A354E" w:rsidTr="001401BD">
        <w:tc>
          <w:tcPr>
            <w:tcW w:w="2193" w:type="dxa"/>
            <w:shd w:val="clear" w:color="auto" w:fill="auto"/>
          </w:tcPr>
          <w:p w:rsidR="001A354E" w:rsidRPr="006A7D0B" w:rsidRDefault="001A354E" w:rsidP="003F27FC">
            <w:pPr>
              <w:rPr>
                <w:sz w:val="22"/>
                <w:szCs w:val="22"/>
              </w:rPr>
            </w:pPr>
            <w:r w:rsidRPr="001A354E">
              <w:rPr>
                <w:sz w:val="22"/>
                <w:szCs w:val="22"/>
              </w:rPr>
              <w:t>2</w:t>
            </w:r>
            <w:r>
              <w:rPr>
                <w:sz w:val="22"/>
                <w:szCs w:val="22"/>
              </w:rPr>
              <w:t>.2. V</w:t>
            </w:r>
            <w:r w:rsidRPr="001A354E">
              <w:rPr>
                <w:sz w:val="22"/>
                <w:szCs w:val="22"/>
              </w:rPr>
              <w:t>alsts speciālais budžets</w:t>
            </w:r>
          </w:p>
        </w:tc>
        <w:tc>
          <w:tcPr>
            <w:tcW w:w="1628" w:type="dxa"/>
            <w:shd w:val="clear" w:color="auto" w:fill="auto"/>
          </w:tcPr>
          <w:p w:rsidR="001A354E" w:rsidRPr="001A354E" w:rsidRDefault="001A354E" w:rsidP="006539B1">
            <w:pPr>
              <w:jc w:val="center"/>
              <w:rPr>
                <w:color w:val="000000"/>
                <w:sz w:val="20"/>
                <w:szCs w:val="20"/>
                <w:lang w:eastAsia="ar-SA"/>
              </w:rPr>
            </w:pPr>
            <w:r w:rsidRPr="001A354E">
              <w:rPr>
                <w:color w:val="000000"/>
                <w:sz w:val="20"/>
                <w:szCs w:val="20"/>
                <w:lang w:eastAsia="ar-SA"/>
              </w:rPr>
              <w:t>Apakšprogrammas 04.02.00 Nodarbinātības speciālais budžets plānotie ieņēmumi nodarbinātības pasākumu īstenošanai 8 622 240</w:t>
            </w:r>
          </w:p>
        </w:tc>
        <w:tc>
          <w:tcPr>
            <w:tcW w:w="1746" w:type="dxa"/>
            <w:shd w:val="clear" w:color="auto" w:fill="auto"/>
          </w:tcPr>
          <w:p w:rsidR="001A354E" w:rsidRPr="004A437F" w:rsidRDefault="001A354E" w:rsidP="006539B1">
            <w:pPr>
              <w:jc w:val="center"/>
              <w:rPr>
                <w:sz w:val="20"/>
                <w:szCs w:val="20"/>
              </w:rPr>
            </w:pPr>
          </w:p>
        </w:tc>
        <w:tc>
          <w:tcPr>
            <w:tcW w:w="1240" w:type="dxa"/>
            <w:shd w:val="clear" w:color="auto" w:fill="auto"/>
            <w:vAlign w:val="center"/>
          </w:tcPr>
          <w:p w:rsidR="001A354E" w:rsidRDefault="001A354E" w:rsidP="007821D3">
            <w:pPr>
              <w:jc w:val="center"/>
              <w:rPr>
                <w:sz w:val="20"/>
                <w:szCs w:val="20"/>
              </w:rPr>
            </w:pPr>
          </w:p>
        </w:tc>
        <w:tc>
          <w:tcPr>
            <w:tcW w:w="1240" w:type="dxa"/>
            <w:shd w:val="clear" w:color="auto" w:fill="auto"/>
            <w:vAlign w:val="center"/>
          </w:tcPr>
          <w:p w:rsidR="001A354E" w:rsidRDefault="001A354E" w:rsidP="007821D3">
            <w:pPr>
              <w:jc w:val="center"/>
              <w:rPr>
                <w:sz w:val="20"/>
                <w:szCs w:val="20"/>
              </w:rPr>
            </w:pPr>
          </w:p>
        </w:tc>
        <w:tc>
          <w:tcPr>
            <w:tcW w:w="1240" w:type="dxa"/>
            <w:shd w:val="clear" w:color="auto" w:fill="auto"/>
            <w:vAlign w:val="center"/>
          </w:tcPr>
          <w:p w:rsidR="001A354E" w:rsidRDefault="001A354E" w:rsidP="007821D3">
            <w:pPr>
              <w:jc w:val="center"/>
              <w:rPr>
                <w:sz w:val="20"/>
                <w:szCs w:val="20"/>
              </w:rPr>
            </w:pPr>
          </w:p>
        </w:tc>
      </w:tr>
      <w:tr w:rsidR="00AC36BF" w:rsidTr="001401BD">
        <w:tc>
          <w:tcPr>
            <w:tcW w:w="2193" w:type="dxa"/>
            <w:shd w:val="clear" w:color="auto" w:fill="auto"/>
          </w:tcPr>
          <w:p w:rsidR="00AC36BF" w:rsidRDefault="00AC36BF" w:rsidP="003F27FC">
            <w:r w:rsidRPr="006A7D0B">
              <w:rPr>
                <w:sz w:val="22"/>
                <w:szCs w:val="22"/>
              </w:rPr>
              <w:t>3. Finansiālā ietekme</w:t>
            </w:r>
            <w:r w:rsidR="00CD6908">
              <w:rPr>
                <w:sz w:val="22"/>
                <w:szCs w:val="22"/>
              </w:rPr>
              <w:t xml:space="preserve"> (valsts pamatbudžets)</w:t>
            </w:r>
            <w:r w:rsidRPr="006A7D0B">
              <w:rPr>
                <w:sz w:val="22"/>
                <w:szCs w:val="22"/>
              </w:rPr>
              <w:t>:</w:t>
            </w:r>
          </w:p>
        </w:tc>
        <w:tc>
          <w:tcPr>
            <w:tcW w:w="1628" w:type="dxa"/>
            <w:shd w:val="clear" w:color="auto" w:fill="auto"/>
            <w:vAlign w:val="center"/>
          </w:tcPr>
          <w:p w:rsidR="00AC36BF" w:rsidRDefault="009A5ECB" w:rsidP="006539B1">
            <w:pPr>
              <w:jc w:val="center"/>
            </w:pPr>
            <w:r w:rsidRPr="009A5ECB">
              <w:rPr>
                <w:sz w:val="20"/>
                <w:szCs w:val="20"/>
              </w:rPr>
              <w:t>1 556 091</w:t>
            </w:r>
          </w:p>
        </w:tc>
        <w:tc>
          <w:tcPr>
            <w:tcW w:w="1746" w:type="dxa"/>
            <w:shd w:val="clear" w:color="auto" w:fill="auto"/>
          </w:tcPr>
          <w:p w:rsidR="001D3BDF" w:rsidRDefault="001D3BDF" w:rsidP="006539B1">
            <w:pPr>
              <w:jc w:val="center"/>
              <w:rPr>
                <w:sz w:val="20"/>
                <w:szCs w:val="20"/>
              </w:rPr>
            </w:pPr>
          </w:p>
          <w:p w:rsidR="00AC36BF" w:rsidRPr="00695209" w:rsidRDefault="00AC36BF" w:rsidP="006539B1">
            <w:pPr>
              <w:jc w:val="center"/>
            </w:pPr>
            <w:r w:rsidRPr="00695209">
              <w:rPr>
                <w:sz w:val="20"/>
                <w:szCs w:val="20"/>
              </w:rPr>
              <w:t>0</w:t>
            </w:r>
          </w:p>
        </w:tc>
        <w:tc>
          <w:tcPr>
            <w:tcW w:w="1240" w:type="dxa"/>
            <w:shd w:val="clear" w:color="auto" w:fill="auto"/>
            <w:vAlign w:val="center"/>
          </w:tcPr>
          <w:p w:rsidR="00AC36BF" w:rsidRPr="0063621D" w:rsidRDefault="00BD0940" w:rsidP="0063621D">
            <w:pPr>
              <w:jc w:val="center"/>
              <w:rPr>
                <w:sz w:val="20"/>
                <w:szCs w:val="20"/>
              </w:rPr>
            </w:pPr>
            <w:r>
              <w:rPr>
                <w:sz w:val="20"/>
                <w:szCs w:val="20"/>
              </w:rPr>
              <w:t>0</w:t>
            </w:r>
          </w:p>
        </w:tc>
        <w:tc>
          <w:tcPr>
            <w:tcW w:w="1240" w:type="dxa"/>
            <w:shd w:val="clear" w:color="auto" w:fill="auto"/>
            <w:vAlign w:val="center"/>
          </w:tcPr>
          <w:p w:rsidR="00AC36BF" w:rsidRPr="0063621D" w:rsidRDefault="00BD0940" w:rsidP="0063621D">
            <w:pPr>
              <w:jc w:val="center"/>
              <w:rPr>
                <w:sz w:val="20"/>
                <w:szCs w:val="20"/>
              </w:rPr>
            </w:pPr>
            <w:r>
              <w:rPr>
                <w:sz w:val="20"/>
                <w:szCs w:val="20"/>
              </w:rPr>
              <w:t>0</w:t>
            </w:r>
          </w:p>
        </w:tc>
        <w:tc>
          <w:tcPr>
            <w:tcW w:w="1240" w:type="dxa"/>
            <w:shd w:val="clear" w:color="auto" w:fill="auto"/>
            <w:vAlign w:val="center"/>
          </w:tcPr>
          <w:p w:rsidR="00AC36BF" w:rsidRPr="0063621D" w:rsidRDefault="00BD0940" w:rsidP="0063621D">
            <w:pPr>
              <w:jc w:val="center"/>
              <w:rPr>
                <w:sz w:val="20"/>
                <w:szCs w:val="20"/>
              </w:rPr>
            </w:pPr>
            <w:r>
              <w:rPr>
                <w:sz w:val="20"/>
                <w:szCs w:val="20"/>
              </w:rPr>
              <w:t>0</w:t>
            </w:r>
          </w:p>
        </w:tc>
      </w:tr>
      <w:tr w:rsidR="00AC36BF" w:rsidTr="001401BD">
        <w:tc>
          <w:tcPr>
            <w:tcW w:w="2193" w:type="dxa"/>
            <w:shd w:val="clear" w:color="auto" w:fill="auto"/>
          </w:tcPr>
          <w:p w:rsidR="00AC36BF" w:rsidRDefault="00AC36BF" w:rsidP="00273F99">
            <w:r w:rsidRPr="006A7D0B">
              <w:rPr>
                <w:sz w:val="22"/>
                <w:szCs w:val="22"/>
              </w:rPr>
              <w:t>4. Finanšu līdzekļi papildu izdevumu finansēšanai (kompensējošu izdevumu samazinājumu norāda ar "+" zīmi)</w:t>
            </w:r>
          </w:p>
        </w:tc>
        <w:tc>
          <w:tcPr>
            <w:tcW w:w="1628" w:type="dxa"/>
            <w:shd w:val="clear" w:color="auto" w:fill="auto"/>
            <w:vAlign w:val="center"/>
          </w:tcPr>
          <w:p w:rsidR="00AC36BF" w:rsidRPr="00FD34AB" w:rsidRDefault="00AC36BF" w:rsidP="006A7D0B">
            <w:pPr>
              <w:jc w:val="center"/>
              <w:rPr>
                <w:b/>
                <w:sz w:val="20"/>
                <w:szCs w:val="20"/>
              </w:rPr>
            </w:pPr>
            <w:r w:rsidRPr="00FD34AB">
              <w:rPr>
                <w:b/>
                <w:sz w:val="20"/>
                <w:szCs w:val="20"/>
              </w:rPr>
              <w:t>x</w:t>
            </w:r>
          </w:p>
        </w:tc>
        <w:tc>
          <w:tcPr>
            <w:tcW w:w="1746" w:type="dxa"/>
            <w:shd w:val="clear" w:color="auto" w:fill="auto"/>
          </w:tcPr>
          <w:p w:rsidR="00AC36BF" w:rsidRDefault="00AC36BF" w:rsidP="006539B1">
            <w:pPr>
              <w:jc w:val="center"/>
              <w:rPr>
                <w:sz w:val="20"/>
                <w:szCs w:val="20"/>
              </w:rPr>
            </w:pPr>
          </w:p>
          <w:p w:rsidR="00AC36BF" w:rsidRDefault="00AC36BF" w:rsidP="006539B1">
            <w:pPr>
              <w:jc w:val="center"/>
              <w:rPr>
                <w:sz w:val="20"/>
                <w:szCs w:val="20"/>
              </w:rPr>
            </w:pPr>
          </w:p>
          <w:p w:rsidR="00AC36BF" w:rsidRDefault="00AC36BF" w:rsidP="006539B1">
            <w:pPr>
              <w:jc w:val="center"/>
              <w:rPr>
                <w:sz w:val="20"/>
                <w:szCs w:val="20"/>
              </w:rPr>
            </w:pPr>
          </w:p>
          <w:p w:rsidR="00AC36BF" w:rsidRDefault="00AC36BF" w:rsidP="006539B1">
            <w:pPr>
              <w:ind w:left="710"/>
            </w:pPr>
            <w:r w:rsidRPr="004A437F">
              <w:rPr>
                <w:sz w:val="20"/>
                <w:szCs w:val="20"/>
              </w:rPr>
              <w:t>0</w:t>
            </w:r>
          </w:p>
        </w:tc>
        <w:tc>
          <w:tcPr>
            <w:tcW w:w="1240" w:type="dxa"/>
            <w:shd w:val="clear" w:color="auto" w:fill="auto"/>
            <w:vAlign w:val="center"/>
          </w:tcPr>
          <w:p w:rsidR="00AC36BF" w:rsidRDefault="00AC36BF" w:rsidP="006539B1">
            <w:pPr>
              <w:jc w:val="center"/>
            </w:pPr>
            <w:r w:rsidRPr="007C42F8">
              <w:rPr>
                <w:sz w:val="20"/>
                <w:szCs w:val="20"/>
              </w:rPr>
              <w:t>0</w:t>
            </w:r>
          </w:p>
        </w:tc>
        <w:tc>
          <w:tcPr>
            <w:tcW w:w="1240" w:type="dxa"/>
            <w:shd w:val="clear" w:color="auto" w:fill="auto"/>
            <w:vAlign w:val="center"/>
          </w:tcPr>
          <w:p w:rsidR="00AC36BF" w:rsidRDefault="00AC36BF" w:rsidP="006539B1">
            <w:pPr>
              <w:jc w:val="center"/>
            </w:pPr>
            <w:r w:rsidRPr="007C42F8">
              <w:rPr>
                <w:sz w:val="20"/>
                <w:szCs w:val="20"/>
              </w:rPr>
              <w:t>0</w:t>
            </w:r>
          </w:p>
        </w:tc>
        <w:tc>
          <w:tcPr>
            <w:tcW w:w="1240" w:type="dxa"/>
            <w:shd w:val="clear" w:color="auto" w:fill="auto"/>
            <w:vAlign w:val="center"/>
          </w:tcPr>
          <w:p w:rsidR="00AC36BF" w:rsidRDefault="00AC36BF" w:rsidP="006539B1">
            <w:pPr>
              <w:jc w:val="center"/>
            </w:pPr>
            <w:r w:rsidRPr="007C42F8">
              <w:rPr>
                <w:sz w:val="20"/>
                <w:szCs w:val="20"/>
              </w:rPr>
              <w:t>0</w:t>
            </w:r>
          </w:p>
        </w:tc>
      </w:tr>
      <w:tr w:rsidR="00AC36BF" w:rsidTr="001401BD">
        <w:tc>
          <w:tcPr>
            <w:tcW w:w="2193" w:type="dxa"/>
            <w:shd w:val="clear" w:color="auto" w:fill="auto"/>
          </w:tcPr>
          <w:p w:rsidR="00AC36BF" w:rsidRDefault="00AC36BF" w:rsidP="00273F99">
            <w:pPr>
              <w:rPr>
                <w:sz w:val="22"/>
                <w:szCs w:val="22"/>
              </w:rPr>
            </w:pPr>
          </w:p>
          <w:p w:rsidR="00AC36BF" w:rsidRDefault="00AC36BF" w:rsidP="00273F99">
            <w:pPr>
              <w:rPr>
                <w:sz w:val="22"/>
                <w:szCs w:val="22"/>
              </w:rPr>
            </w:pPr>
          </w:p>
          <w:p w:rsidR="00AC36BF" w:rsidRDefault="00AC36BF" w:rsidP="00273F99">
            <w:r w:rsidRPr="006A7D0B">
              <w:rPr>
                <w:sz w:val="22"/>
                <w:szCs w:val="22"/>
              </w:rPr>
              <w:t>5. Precizēta finansiālā ietekme:</w:t>
            </w:r>
          </w:p>
        </w:tc>
        <w:tc>
          <w:tcPr>
            <w:tcW w:w="1628" w:type="dxa"/>
            <w:shd w:val="clear" w:color="auto" w:fill="auto"/>
            <w:vAlign w:val="center"/>
          </w:tcPr>
          <w:p w:rsidR="00AC36BF" w:rsidRDefault="00AC36BF" w:rsidP="006A7D0B">
            <w:pPr>
              <w:jc w:val="center"/>
              <w:rPr>
                <w:b/>
                <w:sz w:val="20"/>
                <w:szCs w:val="20"/>
              </w:rPr>
            </w:pPr>
          </w:p>
          <w:p w:rsidR="00AC36BF" w:rsidRPr="00FD34AB" w:rsidRDefault="00AC36BF" w:rsidP="006A7D0B">
            <w:pPr>
              <w:jc w:val="center"/>
              <w:rPr>
                <w:sz w:val="20"/>
                <w:szCs w:val="20"/>
              </w:rPr>
            </w:pPr>
            <w:r w:rsidRPr="00FD34AB">
              <w:rPr>
                <w:b/>
                <w:sz w:val="20"/>
                <w:szCs w:val="20"/>
              </w:rPr>
              <w:t>x</w:t>
            </w:r>
          </w:p>
        </w:tc>
        <w:tc>
          <w:tcPr>
            <w:tcW w:w="1746" w:type="dxa"/>
            <w:shd w:val="clear" w:color="auto" w:fill="auto"/>
            <w:vAlign w:val="center"/>
          </w:tcPr>
          <w:p w:rsidR="00AC36BF" w:rsidRDefault="00AC36BF" w:rsidP="006539B1">
            <w:pPr>
              <w:jc w:val="center"/>
              <w:rPr>
                <w:sz w:val="20"/>
                <w:szCs w:val="20"/>
              </w:rPr>
            </w:pPr>
          </w:p>
          <w:p w:rsidR="00AC36BF" w:rsidRDefault="00AC36BF" w:rsidP="006539B1">
            <w:pPr>
              <w:jc w:val="center"/>
            </w:pPr>
            <w:r w:rsidRPr="0043656C">
              <w:rPr>
                <w:sz w:val="20"/>
                <w:szCs w:val="20"/>
              </w:rPr>
              <w:t>0</w:t>
            </w:r>
          </w:p>
        </w:tc>
        <w:tc>
          <w:tcPr>
            <w:tcW w:w="1240" w:type="dxa"/>
            <w:shd w:val="clear" w:color="auto" w:fill="auto"/>
            <w:vAlign w:val="center"/>
          </w:tcPr>
          <w:p w:rsidR="00AC36BF" w:rsidRDefault="00AC36BF" w:rsidP="006539B1">
            <w:pPr>
              <w:jc w:val="center"/>
              <w:rPr>
                <w:sz w:val="20"/>
                <w:szCs w:val="20"/>
              </w:rPr>
            </w:pPr>
          </w:p>
          <w:p w:rsidR="00AC36BF" w:rsidRDefault="00AC36BF" w:rsidP="006539B1">
            <w:pPr>
              <w:jc w:val="center"/>
            </w:pPr>
            <w:r w:rsidRPr="0043656C">
              <w:rPr>
                <w:sz w:val="20"/>
                <w:szCs w:val="20"/>
              </w:rPr>
              <w:t>0</w:t>
            </w:r>
          </w:p>
        </w:tc>
        <w:tc>
          <w:tcPr>
            <w:tcW w:w="1240" w:type="dxa"/>
            <w:shd w:val="clear" w:color="auto" w:fill="auto"/>
            <w:vAlign w:val="center"/>
          </w:tcPr>
          <w:p w:rsidR="00AC36BF" w:rsidRDefault="00AC36BF" w:rsidP="006539B1">
            <w:pPr>
              <w:jc w:val="center"/>
              <w:rPr>
                <w:sz w:val="20"/>
                <w:szCs w:val="20"/>
              </w:rPr>
            </w:pPr>
          </w:p>
          <w:p w:rsidR="00AC36BF" w:rsidRDefault="00AC36BF" w:rsidP="006539B1">
            <w:pPr>
              <w:jc w:val="center"/>
            </w:pPr>
            <w:r w:rsidRPr="0043656C">
              <w:rPr>
                <w:sz w:val="20"/>
                <w:szCs w:val="20"/>
              </w:rPr>
              <w:t>0</w:t>
            </w:r>
          </w:p>
        </w:tc>
        <w:tc>
          <w:tcPr>
            <w:tcW w:w="1240" w:type="dxa"/>
            <w:shd w:val="clear" w:color="auto" w:fill="auto"/>
            <w:vAlign w:val="center"/>
          </w:tcPr>
          <w:p w:rsidR="00AC36BF" w:rsidRDefault="00AC36BF" w:rsidP="006539B1">
            <w:pPr>
              <w:jc w:val="center"/>
              <w:rPr>
                <w:sz w:val="20"/>
                <w:szCs w:val="20"/>
              </w:rPr>
            </w:pPr>
          </w:p>
          <w:p w:rsidR="00AC36BF" w:rsidRDefault="00AC36BF" w:rsidP="006539B1">
            <w:pPr>
              <w:jc w:val="center"/>
            </w:pPr>
            <w:r w:rsidRPr="0043656C">
              <w:rPr>
                <w:sz w:val="20"/>
                <w:szCs w:val="20"/>
              </w:rPr>
              <w:t>0</w:t>
            </w:r>
          </w:p>
        </w:tc>
      </w:tr>
      <w:tr w:rsidR="00AC36BF" w:rsidTr="001401BD">
        <w:tc>
          <w:tcPr>
            <w:tcW w:w="9287" w:type="dxa"/>
            <w:gridSpan w:val="6"/>
            <w:shd w:val="clear" w:color="auto" w:fill="auto"/>
          </w:tcPr>
          <w:p w:rsidR="00AC36BF" w:rsidRDefault="00AC36BF" w:rsidP="003F27FC">
            <w:r w:rsidRPr="006A7D0B">
              <w:rPr>
                <w:sz w:val="22"/>
                <w:szCs w:val="22"/>
              </w:rPr>
              <w:t>6. Detalizēts ieņēmumu un izdevumu aprēķins (ja nepieciešams, detalizētu ieņēmumu un izdevumu aprēķinu var pievienot anotācijas pielikumā):</w:t>
            </w:r>
          </w:p>
        </w:tc>
      </w:tr>
      <w:tr w:rsidR="00AC36BF" w:rsidTr="001401BD">
        <w:tc>
          <w:tcPr>
            <w:tcW w:w="2193" w:type="dxa"/>
            <w:shd w:val="clear" w:color="auto" w:fill="auto"/>
          </w:tcPr>
          <w:p w:rsidR="00AC36BF" w:rsidRPr="006A7D0B" w:rsidRDefault="00AC36BF" w:rsidP="00273F99">
            <w:pPr>
              <w:rPr>
                <w:sz w:val="22"/>
                <w:szCs w:val="22"/>
              </w:rPr>
            </w:pPr>
            <w:r w:rsidRPr="006A7D0B">
              <w:rPr>
                <w:sz w:val="22"/>
                <w:szCs w:val="22"/>
              </w:rPr>
              <w:t>6.1. Detalizēts ieņēmumu aprēķins</w:t>
            </w:r>
          </w:p>
        </w:tc>
        <w:tc>
          <w:tcPr>
            <w:tcW w:w="7094" w:type="dxa"/>
            <w:gridSpan w:val="5"/>
            <w:vMerge w:val="restart"/>
            <w:shd w:val="clear" w:color="auto" w:fill="auto"/>
            <w:vAlign w:val="center"/>
          </w:tcPr>
          <w:p w:rsidR="007F777B" w:rsidRPr="007F777B" w:rsidRDefault="007F777B" w:rsidP="007F777B">
            <w:pPr>
              <w:jc w:val="both"/>
            </w:pPr>
            <w:r w:rsidRPr="007F777B">
              <w:t>Aktīvās darba tirgus politikas pasākumu īstenošana 2015.gadā tiks nodrošināta atbilstoši likumā „Par valsts budžetu 2015.gadam” noteiktajam, piesaistot valsts budžeta apakšprogrammas 63.07.00. „Eiropas Sociālā fonda (ESF) īstenotie projekti labklājības nozarē (2014 – 2020)” un apakšprogrammas 04.02.00 „Nodarbinātības speciālais budžets” finanšu līdzekļus. Finansējums turpmākajiem 2016. -2018. gadiem apakšprogrammā 63.07.00. “Eiropas Sociālā fonda (ESF) īstenotie projekti labklājības nozarē (2014 – 2020)” projekt</w:t>
            </w:r>
            <w:r w:rsidR="008B5F72">
              <w:t>am</w:t>
            </w:r>
            <w:r w:rsidRPr="007F777B">
              <w:t xml:space="preserve"> </w:t>
            </w:r>
            <w:r w:rsidR="00AA393B">
              <w:t>„Jauniešu garantija</w:t>
            </w:r>
            <w:r w:rsidRPr="007F777B">
              <w:t>” ir iestrādāts valsts pamatbudžeta bāzē 2016.gadam – 6 614 101 EUR un 2017.gadam - 6 614 101 EUR apmērā. Pārējiem aktīvās nodarbinātības projektiem finansējum</w:t>
            </w:r>
            <w:r w:rsidR="008B5F72">
              <w:t>s</w:t>
            </w:r>
            <w:r w:rsidRPr="007F777B">
              <w:t xml:space="preserve"> tiks iest</w:t>
            </w:r>
            <w:r w:rsidR="008B5F72">
              <w:t>rādāts</w:t>
            </w:r>
            <w:r w:rsidRPr="007F777B">
              <w:t xml:space="preserve"> atbilstoši SAM noteikumos apstiprin</w:t>
            </w:r>
            <w:r w:rsidR="00466487">
              <w:t>ātajam, saskaņā ar likumprojektā</w:t>
            </w:r>
            <w:r w:rsidRPr="007F777B">
              <w:t xml:space="preserve"> „Par vidējā termiņa budžeta ietvaru 2016., 2017. un 2018.gadam” noteikto.</w:t>
            </w:r>
          </w:p>
          <w:p w:rsidR="007F777B" w:rsidRPr="007F777B" w:rsidRDefault="007F777B" w:rsidP="007F777B">
            <w:pPr>
              <w:jc w:val="both"/>
            </w:pPr>
            <w:r w:rsidRPr="007F777B">
              <w:t>Provizoriski tiek plānots, ka finansējuma apmērs pa pasākumiem 2016. - 2018.gadiem būs tāds pats, kā 2015.gadā.</w:t>
            </w:r>
          </w:p>
          <w:p w:rsidR="007F777B" w:rsidRPr="007F777B" w:rsidRDefault="007F777B" w:rsidP="007F777B">
            <w:pPr>
              <w:jc w:val="both"/>
            </w:pPr>
            <w:r w:rsidRPr="007F777B">
              <w:t>Zemāk ir sniegts detalizētāks atsevišķu aktīvās darba tirgus politikas pasākumu izdevumu aprēķins.</w:t>
            </w:r>
          </w:p>
          <w:p w:rsidR="005C12AD" w:rsidRDefault="005C12AD" w:rsidP="00890003">
            <w:pPr>
              <w:jc w:val="center"/>
              <w:rPr>
                <w:b/>
                <w:i/>
                <w:u w:val="single"/>
              </w:rPr>
            </w:pPr>
          </w:p>
          <w:p w:rsidR="00AC36BF" w:rsidRPr="003948D6" w:rsidRDefault="00AC36BF" w:rsidP="00890003">
            <w:pPr>
              <w:jc w:val="center"/>
              <w:rPr>
                <w:b/>
                <w:i/>
                <w:u w:val="single"/>
              </w:rPr>
            </w:pPr>
            <w:r>
              <w:rPr>
                <w:b/>
                <w:i/>
                <w:u w:val="single"/>
              </w:rPr>
              <w:lastRenderedPageBreak/>
              <w:t xml:space="preserve">1. </w:t>
            </w:r>
            <w:r w:rsidRPr="003948D6">
              <w:rPr>
                <w:b/>
                <w:i/>
                <w:u w:val="single"/>
              </w:rPr>
              <w:t>Aktīvais nodarbinātības pasākums „Pasākumi noteiktām personu grupām”</w:t>
            </w:r>
          </w:p>
          <w:p w:rsidR="00AC36BF" w:rsidRPr="00E85415" w:rsidRDefault="00AC36BF" w:rsidP="00905103">
            <w:pPr>
              <w:ind w:right="113"/>
              <w:jc w:val="both"/>
              <w:rPr>
                <w:b/>
                <w:highlight w:val="yellow"/>
                <w:u w:val="single"/>
              </w:rPr>
            </w:pPr>
          </w:p>
          <w:p w:rsidR="00AC36BF" w:rsidRPr="00BD392F" w:rsidRDefault="00AC36BF" w:rsidP="00126C64">
            <w:pPr>
              <w:ind w:left="57" w:right="113"/>
              <w:jc w:val="both"/>
            </w:pPr>
            <w:r w:rsidRPr="00BD392F">
              <w:t>Pasākumus noteiktām personu grupām ir plānots īstenot, piesaistot Eiropas Sociālā fonda finansējumu (</w:t>
            </w:r>
            <w:r w:rsidR="0023232C">
              <w:t>apakš</w:t>
            </w:r>
            <w:r w:rsidRPr="00BD392F">
              <w:t xml:space="preserve">programma </w:t>
            </w:r>
            <w:r w:rsidRPr="00BA512F">
              <w:t>63.07.00. “Eiropas Sociālā fonda (ESF) īstenotie projekti labklājības nozarē (2014 – 2020)”</w:t>
            </w:r>
            <w:r w:rsidRPr="00BD392F">
              <w:t xml:space="preserve">). 2014.-2020.gadā Eiropas Savienības fondu darbības programmas “Izaugsme un nodarbinātība” 9.1.1. specifiskā atbalsta mērķa “Palielināt nelabvēlīgākā situācijā esošu bezdarbnieku iekļaušanos darba tirgū” pasākuma “Subsidētās darbavietas nelabvēlīgākā situācijā esošiem bezdarbniekiem” plānotais kopējais finansējums (kopējās attiecināmās izmaksas) veido EUR 29 205 260, tai skaitā, Eiropas Sociālā fonda (turpmāk – ESF) finansējums EUR 24 824 471, valsts budžeta finansējums EUR 2 625 393 un privātais līdzfinansējums EUR 1 755 396. </w:t>
            </w:r>
          </w:p>
          <w:p w:rsidR="00AC36BF" w:rsidRDefault="00AC36BF" w:rsidP="006A1718">
            <w:pPr>
              <w:jc w:val="both"/>
              <w:rPr>
                <w:highlight w:val="yellow"/>
              </w:rPr>
            </w:pPr>
          </w:p>
          <w:p w:rsidR="00AC36BF" w:rsidRPr="006B05E5" w:rsidRDefault="00AC36BF" w:rsidP="00F87231">
            <w:pPr>
              <w:keepNext/>
              <w:jc w:val="both"/>
              <w:outlineLvl w:val="2"/>
              <w:rPr>
                <w:rFonts w:cs="Arial"/>
                <w:b/>
                <w:bCs/>
                <w:sz w:val="28"/>
                <w:szCs w:val="26"/>
              </w:rPr>
            </w:pPr>
            <w:r w:rsidRPr="006B05E5">
              <w:t xml:space="preserve">Valsts budžeta apakšprogramma 04.02.00 „Nodarbinātības speciālais budžets” pasākums </w:t>
            </w:r>
            <w:r w:rsidRPr="00A46FD8">
              <w:t>„</w:t>
            </w:r>
            <w:r w:rsidRPr="006B05E5">
              <w:rPr>
                <w:b/>
              </w:rPr>
              <w:t xml:space="preserve">Pasākumi noteiktām personu grupām” </w:t>
            </w:r>
            <w:r w:rsidRPr="006B05E5">
              <w:t>vidējās izmaksas sastāda: 4 313 EUR un tās veido:</w:t>
            </w:r>
          </w:p>
          <w:p w:rsidR="00AC36BF" w:rsidRPr="00DC0D21" w:rsidRDefault="00AC36BF" w:rsidP="00F87231">
            <w:pPr>
              <w:pStyle w:val="ListParagraph"/>
              <w:keepNext/>
              <w:numPr>
                <w:ilvl w:val="0"/>
                <w:numId w:val="14"/>
              </w:numPr>
              <w:spacing w:after="0"/>
              <w:ind w:left="37" w:firstLine="0"/>
              <w:jc w:val="both"/>
              <w:outlineLvl w:val="2"/>
              <w:rPr>
                <w:rFonts w:ascii="Times New Roman" w:hAnsi="Times New Roman"/>
                <w:b/>
                <w:bCs/>
                <w:sz w:val="24"/>
                <w:szCs w:val="24"/>
              </w:rPr>
            </w:pPr>
            <w:r w:rsidRPr="00DC0D21">
              <w:rPr>
                <w:rFonts w:ascii="Times New Roman" w:hAnsi="Times New Roman"/>
                <w:sz w:val="24"/>
                <w:szCs w:val="24"/>
              </w:rPr>
              <w:t xml:space="preserve">reģionālās mobilitātes atbalsts personām, kas piedalās pasākumā. </w:t>
            </w:r>
            <w:r w:rsidRPr="00DC0D21">
              <w:rPr>
                <w:rFonts w:ascii="Times New Roman" w:hAnsi="Times New Roman"/>
                <w:bCs/>
                <w:sz w:val="24"/>
                <w:szCs w:val="24"/>
              </w:rPr>
              <w:t>Kopējais maksimālās izmaksas uz vienu dalībnieku sastāda 400 EUR</w:t>
            </w:r>
            <w:r>
              <w:rPr>
                <w:rFonts w:ascii="Times New Roman" w:hAnsi="Times New Roman"/>
                <w:bCs/>
                <w:i/>
                <w:sz w:val="24"/>
                <w:szCs w:val="24"/>
              </w:rPr>
              <w:t xml:space="preserve"> </w:t>
            </w:r>
            <w:r w:rsidRPr="00DC0D21">
              <w:rPr>
                <w:rFonts w:ascii="Times New Roman" w:hAnsi="Times New Roman"/>
                <w:bCs/>
                <w:sz w:val="24"/>
                <w:szCs w:val="24"/>
              </w:rPr>
              <w:t>(</w:t>
            </w:r>
            <w:r w:rsidRPr="00DC0D21">
              <w:rPr>
                <w:rFonts w:ascii="Times New Roman" w:hAnsi="Times New Roman"/>
                <w:sz w:val="24"/>
                <w:szCs w:val="24"/>
              </w:rPr>
              <w:t xml:space="preserve">tiek plānots, ka reģionālās mobilitātes atbalstam varētu pieteikties vidēji 5% no visiem pasākumu dalībniekiem); </w:t>
            </w:r>
          </w:p>
          <w:p w:rsidR="00AC36BF" w:rsidRPr="00DC0D21" w:rsidRDefault="00AC36BF" w:rsidP="00F87231">
            <w:pPr>
              <w:pStyle w:val="ListParagraph"/>
              <w:keepNext/>
              <w:numPr>
                <w:ilvl w:val="0"/>
                <w:numId w:val="14"/>
              </w:numPr>
              <w:spacing w:after="0" w:line="240" w:lineRule="auto"/>
              <w:ind w:left="40" w:firstLine="0"/>
              <w:jc w:val="both"/>
              <w:outlineLvl w:val="2"/>
              <w:rPr>
                <w:rFonts w:ascii="Times New Roman" w:hAnsi="Times New Roman"/>
                <w:b/>
                <w:bCs/>
                <w:sz w:val="24"/>
                <w:szCs w:val="24"/>
              </w:rPr>
            </w:pPr>
            <w:r w:rsidRPr="00DC0D21">
              <w:rPr>
                <w:rFonts w:ascii="Times New Roman" w:hAnsi="Times New Roman"/>
                <w:sz w:val="24"/>
                <w:szCs w:val="24"/>
              </w:rPr>
              <w:t>dotācija bezdarbniekiem ar invaliditāti piedāvātajai darba vietas pielāgošanai atbilstoši</w:t>
            </w:r>
            <w:r>
              <w:rPr>
                <w:rFonts w:ascii="Times New Roman" w:hAnsi="Times New Roman"/>
                <w:sz w:val="24"/>
                <w:szCs w:val="24"/>
              </w:rPr>
              <w:t xml:space="preserve"> speciālajām vajadzībām – 711 </w:t>
            </w:r>
            <w:r w:rsidRPr="00DC0D21">
              <w:rPr>
                <w:rFonts w:ascii="Times New Roman" w:hAnsi="Times New Roman"/>
                <w:sz w:val="24"/>
                <w:szCs w:val="24"/>
              </w:rPr>
              <w:t xml:space="preserve">EUR (tiek plānots, ka dotācija būs nepieciešama 70% no visiem pasākumu dalībniekiem). Vidējās izmaksas </w:t>
            </w:r>
            <w:r>
              <w:rPr>
                <w:rFonts w:ascii="Times New Roman" w:hAnsi="Times New Roman"/>
                <w:sz w:val="24"/>
                <w:szCs w:val="24"/>
              </w:rPr>
              <w:t xml:space="preserve">- </w:t>
            </w:r>
            <w:r w:rsidRPr="00DC0D21">
              <w:rPr>
                <w:rFonts w:ascii="Times New Roman" w:hAnsi="Times New Roman"/>
                <w:sz w:val="24"/>
                <w:szCs w:val="24"/>
              </w:rPr>
              <w:t>364 EUR;</w:t>
            </w:r>
          </w:p>
          <w:p w:rsidR="00AC36BF" w:rsidRPr="00DC0D21" w:rsidRDefault="00AC36BF" w:rsidP="00F87231">
            <w:pPr>
              <w:pStyle w:val="ListParagraph"/>
              <w:keepNext/>
              <w:numPr>
                <w:ilvl w:val="0"/>
                <w:numId w:val="14"/>
              </w:numPr>
              <w:spacing w:after="0" w:line="240" w:lineRule="auto"/>
              <w:ind w:left="40" w:firstLine="0"/>
              <w:jc w:val="both"/>
              <w:outlineLvl w:val="2"/>
              <w:rPr>
                <w:rFonts w:ascii="Times New Roman" w:hAnsi="Times New Roman"/>
                <w:b/>
                <w:bCs/>
                <w:sz w:val="24"/>
                <w:szCs w:val="24"/>
              </w:rPr>
            </w:pPr>
            <w:r w:rsidRPr="00DC0D21">
              <w:rPr>
                <w:rFonts w:ascii="Times New Roman" w:hAnsi="Times New Roman"/>
                <w:sz w:val="24"/>
                <w:szCs w:val="24"/>
              </w:rPr>
              <w:t>dotācija kvalificēta darba vadītāja piesaistei - 50 % no minimālās</w:t>
            </w:r>
            <w:r>
              <w:rPr>
                <w:rFonts w:ascii="Times New Roman" w:hAnsi="Times New Roman"/>
                <w:sz w:val="24"/>
                <w:szCs w:val="24"/>
              </w:rPr>
              <w:t xml:space="preserve"> mēneš</w:t>
            </w:r>
            <w:r w:rsidRPr="00DC0D21">
              <w:rPr>
                <w:rFonts w:ascii="Times New Roman" w:hAnsi="Times New Roman"/>
                <w:sz w:val="24"/>
                <w:szCs w:val="24"/>
              </w:rPr>
              <w:t xml:space="preserve">algas jeb 160 EUR mēnesī. Vidējais iesaistes ilgums – </w:t>
            </w:r>
            <w:r>
              <w:rPr>
                <w:rFonts w:ascii="Times New Roman" w:hAnsi="Times New Roman"/>
                <w:sz w:val="24"/>
                <w:szCs w:val="24"/>
              </w:rPr>
              <w:t>1.5</w:t>
            </w:r>
            <w:r w:rsidRPr="00DC0D21">
              <w:rPr>
                <w:rFonts w:ascii="Times New Roman" w:hAnsi="Times New Roman"/>
                <w:sz w:val="24"/>
                <w:szCs w:val="24"/>
              </w:rPr>
              <w:t xml:space="preserve"> mēn</w:t>
            </w:r>
            <w:r>
              <w:rPr>
                <w:rFonts w:ascii="Times New Roman" w:hAnsi="Times New Roman"/>
                <w:sz w:val="24"/>
                <w:szCs w:val="24"/>
              </w:rPr>
              <w:t>eši</w:t>
            </w:r>
            <w:r w:rsidRPr="00DC0D21">
              <w:rPr>
                <w:rFonts w:ascii="Times New Roman" w:hAnsi="Times New Roman"/>
                <w:sz w:val="24"/>
                <w:szCs w:val="24"/>
              </w:rPr>
              <w:t>;</w:t>
            </w:r>
          </w:p>
          <w:p w:rsidR="00AC36BF" w:rsidRPr="00DC0D21" w:rsidRDefault="00AC36BF" w:rsidP="00F87231">
            <w:pPr>
              <w:pStyle w:val="ListParagraph"/>
              <w:keepNext/>
              <w:numPr>
                <w:ilvl w:val="0"/>
                <w:numId w:val="14"/>
              </w:numPr>
              <w:spacing w:after="0" w:line="240" w:lineRule="auto"/>
              <w:ind w:left="40" w:firstLine="0"/>
              <w:jc w:val="both"/>
              <w:outlineLvl w:val="2"/>
              <w:rPr>
                <w:rFonts w:ascii="Times New Roman" w:hAnsi="Times New Roman"/>
                <w:b/>
                <w:bCs/>
                <w:sz w:val="24"/>
                <w:szCs w:val="24"/>
              </w:rPr>
            </w:pPr>
            <w:r w:rsidRPr="00DC0D21">
              <w:rPr>
                <w:rFonts w:ascii="Times New Roman" w:hAnsi="Times New Roman"/>
                <w:sz w:val="24"/>
                <w:szCs w:val="24"/>
              </w:rPr>
              <w:t>dotācija darba algai – 50% no kopējām algu izmaksām, bet ne lielāka par minimālo</w:t>
            </w:r>
            <w:r>
              <w:rPr>
                <w:rFonts w:ascii="Times New Roman" w:hAnsi="Times New Roman"/>
                <w:sz w:val="24"/>
                <w:szCs w:val="24"/>
              </w:rPr>
              <w:t xml:space="preserve"> mēneš</w:t>
            </w:r>
            <w:r w:rsidRPr="00DC0D21">
              <w:rPr>
                <w:rFonts w:ascii="Times New Roman" w:hAnsi="Times New Roman"/>
                <w:sz w:val="24"/>
                <w:szCs w:val="24"/>
              </w:rPr>
              <w:t>algu (</w:t>
            </w:r>
            <w:r w:rsidR="001F40FF">
              <w:rPr>
                <w:rFonts w:ascii="Times New Roman" w:hAnsi="Times New Roman"/>
                <w:sz w:val="24"/>
                <w:szCs w:val="24"/>
              </w:rPr>
              <w:t>360</w:t>
            </w:r>
            <w:r w:rsidRPr="00DC0D21">
              <w:rPr>
                <w:rFonts w:ascii="Times New Roman" w:hAnsi="Times New Roman"/>
                <w:sz w:val="24"/>
                <w:szCs w:val="24"/>
              </w:rPr>
              <w:t xml:space="preserve"> EUR). Cilvēkiem ar invalidi</w:t>
            </w:r>
            <w:r>
              <w:rPr>
                <w:rFonts w:ascii="Times New Roman" w:hAnsi="Times New Roman"/>
                <w:sz w:val="24"/>
                <w:szCs w:val="24"/>
              </w:rPr>
              <w:t>tāti dotācija var veidot pusotras minimālās mēnešalgas apmēru</w:t>
            </w:r>
            <w:r w:rsidRPr="00DC0D21">
              <w:rPr>
                <w:rFonts w:ascii="Times New Roman" w:hAnsi="Times New Roman"/>
                <w:sz w:val="24"/>
                <w:szCs w:val="24"/>
              </w:rPr>
              <w:t xml:space="preserve">, atkarībā no profesijas, kurā tiek nodarbināts. Pusei no iesaistāmo skaita </w:t>
            </w:r>
            <w:r>
              <w:rPr>
                <w:rFonts w:ascii="Times New Roman" w:hAnsi="Times New Roman"/>
                <w:sz w:val="24"/>
                <w:szCs w:val="24"/>
              </w:rPr>
              <w:t xml:space="preserve">dotācija </w:t>
            </w:r>
            <w:r w:rsidRPr="00DC0D21">
              <w:rPr>
                <w:rFonts w:ascii="Times New Roman" w:hAnsi="Times New Roman"/>
                <w:sz w:val="24"/>
                <w:szCs w:val="24"/>
              </w:rPr>
              <w:t>plānota minimālā</w:t>
            </w:r>
            <w:r>
              <w:rPr>
                <w:rFonts w:ascii="Times New Roman" w:hAnsi="Times New Roman"/>
                <w:sz w:val="24"/>
                <w:szCs w:val="24"/>
              </w:rPr>
              <w:t>s</w:t>
            </w:r>
            <w:r w:rsidRPr="00DC0D21">
              <w:rPr>
                <w:rFonts w:ascii="Times New Roman" w:hAnsi="Times New Roman"/>
                <w:sz w:val="24"/>
                <w:szCs w:val="24"/>
              </w:rPr>
              <w:t xml:space="preserve"> alga</w:t>
            </w:r>
            <w:r>
              <w:rPr>
                <w:rFonts w:ascii="Times New Roman" w:hAnsi="Times New Roman"/>
                <w:sz w:val="24"/>
                <w:szCs w:val="24"/>
              </w:rPr>
              <w:t>s apmērā</w:t>
            </w:r>
            <w:r w:rsidRPr="00DC0D21">
              <w:rPr>
                <w:rFonts w:ascii="Times New Roman" w:hAnsi="Times New Roman"/>
                <w:sz w:val="24"/>
                <w:szCs w:val="24"/>
              </w:rPr>
              <w:t>;</w:t>
            </w:r>
          </w:p>
          <w:p w:rsidR="00AC36BF" w:rsidRPr="00DC0D21" w:rsidRDefault="00AC36BF" w:rsidP="00F87231">
            <w:pPr>
              <w:pStyle w:val="ListParagraph"/>
              <w:keepNext/>
              <w:numPr>
                <w:ilvl w:val="0"/>
                <w:numId w:val="14"/>
              </w:numPr>
              <w:spacing w:after="0" w:line="240" w:lineRule="auto"/>
              <w:ind w:left="40" w:firstLine="0"/>
              <w:jc w:val="both"/>
              <w:outlineLvl w:val="2"/>
              <w:rPr>
                <w:rFonts w:ascii="Times New Roman" w:hAnsi="Times New Roman"/>
                <w:b/>
                <w:bCs/>
                <w:sz w:val="24"/>
                <w:szCs w:val="24"/>
              </w:rPr>
            </w:pPr>
            <w:r w:rsidRPr="00DC0D21">
              <w:rPr>
                <w:rFonts w:ascii="Times New Roman" w:hAnsi="Times New Roman"/>
                <w:sz w:val="24"/>
                <w:szCs w:val="24"/>
              </w:rPr>
              <w:t>dotācija bezdarbniekiem ar invaliditāti nepieciešamajiem surdotulku pakalpojumiem (izmaksas surdotulkiem nepārsniedz 15 EUR</w:t>
            </w:r>
            <w:r>
              <w:rPr>
                <w:rFonts w:ascii="Times New Roman" w:hAnsi="Times New Roman"/>
                <w:i/>
                <w:sz w:val="24"/>
                <w:szCs w:val="24"/>
              </w:rPr>
              <w:t xml:space="preserve"> </w:t>
            </w:r>
            <w:r w:rsidRPr="00DC0D21">
              <w:rPr>
                <w:rFonts w:ascii="Times New Roman" w:hAnsi="Times New Roman"/>
                <w:sz w:val="24"/>
                <w:szCs w:val="24"/>
              </w:rPr>
              <w:t>par pakalpojuma sniegšanas stundu) – tiek plānots, ka šāda veida atbalsts būs nepieciešams 0.22% no visiem pasākumu dalībniekiem (t.i. 1 iesaistāmais);</w:t>
            </w:r>
          </w:p>
          <w:p w:rsidR="00AC36BF" w:rsidRPr="00DC0D21" w:rsidRDefault="00AC36BF" w:rsidP="00F87231">
            <w:pPr>
              <w:pStyle w:val="ListParagraph"/>
              <w:keepNext/>
              <w:numPr>
                <w:ilvl w:val="0"/>
                <w:numId w:val="14"/>
              </w:numPr>
              <w:spacing w:after="0" w:line="240" w:lineRule="auto"/>
              <w:ind w:left="40" w:firstLine="0"/>
              <w:jc w:val="both"/>
              <w:outlineLvl w:val="2"/>
              <w:rPr>
                <w:rFonts w:ascii="Times New Roman" w:hAnsi="Times New Roman"/>
                <w:b/>
                <w:bCs/>
                <w:sz w:val="24"/>
                <w:szCs w:val="24"/>
              </w:rPr>
            </w:pPr>
            <w:r w:rsidRPr="00DC0D21">
              <w:rPr>
                <w:rFonts w:ascii="Times New Roman" w:hAnsi="Times New Roman"/>
                <w:sz w:val="24"/>
                <w:szCs w:val="24"/>
              </w:rPr>
              <w:t xml:space="preserve">dotācija par bezdarbniekiem ar invaliditāti nepieciešamajiem ergoterapeitu pakalpojumiem – tiek plānots, ka šāda veida atbalsts būs nepieciešams 100% no visiem pasākumu dalībniekiem. </w:t>
            </w:r>
            <w:r>
              <w:rPr>
                <w:rFonts w:ascii="Times New Roman" w:hAnsi="Times New Roman"/>
                <w:sz w:val="24"/>
                <w:szCs w:val="24"/>
              </w:rPr>
              <w:t xml:space="preserve">Pakalpojuma </w:t>
            </w:r>
            <w:r w:rsidRPr="00DC0D21">
              <w:rPr>
                <w:rFonts w:ascii="Times New Roman" w:hAnsi="Times New Roman"/>
                <w:sz w:val="24"/>
                <w:szCs w:val="24"/>
              </w:rPr>
              <w:t>izmaksas vidēji</w:t>
            </w:r>
            <w:r>
              <w:rPr>
                <w:rFonts w:ascii="Times New Roman" w:hAnsi="Times New Roman"/>
                <w:sz w:val="24"/>
                <w:szCs w:val="24"/>
              </w:rPr>
              <w:t xml:space="preserve"> sasniedz</w:t>
            </w:r>
            <w:r w:rsidRPr="00DC0D21">
              <w:rPr>
                <w:rFonts w:ascii="Times New Roman" w:hAnsi="Times New Roman"/>
                <w:sz w:val="24"/>
                <w:szCs w:val="24"/>
              </w:rPr>
              <w:t xml:space="preserve"> 66,20 EUR;</w:t>
            </w:r>
          </w:p>
          <w:p w:rsidR="00AC36BF" w:rsidRPr="00DC0D21" w:rsidRDefault="00AC36BF" w:rsidP="00F87231">
            <w:pPr>
              <w:pStyle w:val="ListParagraph"/>
              <w:keepNext/>
              <w:numPr>
                <w:ilvl w:val="0"/>
                <w:numId w:val="14"/>
              </w:numPr>
              <w:spacing w:after="0" w:line="240" w:lineRule="auto"/>
              <w:ind w:left="40" w:firstLine="0"/>
              <w:jc w:val="both"/>
              <w:outlineLvl w:val="2"/>
              <w:rPr>
                <w:rFonts w:ascii="Times New Roman" w:hAnsi="Times New Roman"/>
                <w:b/>
                <w:bCs/>
                <w:sz w:val="24"/>
                <w:szCs w:val="24"/>
              </w:rPr>
            </w:pPr>
            <w:r w:rsidRPr="00DC0D21">
              <w:rPr>
                <w:rFonts w:ascii="Times New Roman" w:hAnsi="Times New Roman"/>
                <w:sz w:val="24"/>
                <w:szCs w:val="24"/>
              </w:rPr>
              <w:t>d</w:t>
            </w:r>
            <w:r>
              <w:rPr>
                <w:rFonts w:ascii="Times New Roman" w:hAnsi="Times New Roman"/>
                <w:sz w:val="24"/>
                <w:szCs w:val="24"/>
              </w:rPr>
              <w:t>otācija atbalsta personu darba vietā</w:t>
            </w:r>
            <w:r w:rsidRPr="00DC0D21">
              <w:rPr>
                <w:rFonts w:ascii="Times New Roman" w:hAnsi="Times New Roman"/>
                <w:sz w:val="24"/>
                <w:szCs w:val="24"/>
              </w:rPr>
              <w:t xml:space="preserve"> personām ar garīga rakstura traucējumiem piesaistei - ne vairāk kā 4,50 </w:t>
            </w:r>
            <w:r>
              <w:rPr>
                <w:rFonts w:ascii="Times New Roman" w:hAnsi="Times New Roman"/>
                <w:sz w:val="24"/>
                <w:szCs w:val="24"/>
              </w:rPr>
              <w:t>EUR</w:t>
            </w:r>
            <w:r w:rsidRPr="00DC0D21">
              <w:rPr>
                <w:rFonts w:ascii="Times New Roman" w:hAnsi="Times New Roman"/>
                <w:sz w:val="24"/>
                <w:szCs w:val="24"/>
              </w:rPr>
              <w:t xml:space="preserve"> stundā (plānots, ka šāda veida atbalsts būs nepieciešams 4% no visiem pasākumu dalībniekiem);</w:t>
            </w:r>
          </w:p>
          <w:p w:rsidR="00AC36BF" w:rsidRPr="00DC0D21" w:rsidRDefault="00AC36BF" w:rsidP="00F87231">
            <w:pPr>
              <w:pStyle w:val="ListParagraph"/>
              <w:keepNext/>
              <w:numPr>
                <w:ilvl w:val="0"/>
                <w:numId w:val="14"/>
              </w:numPr>
              <w:spacing w:after="0" w:line="240" w:lineRule="auto"/>
              <w:ind w:left="40" w:firstLine="0"/>
              <w:jc w:val="both"/>
              <w:outlineLvl w:val="2"/>
              <w:rPr>
                <w:rFonts w:ascii="Times New Roman" w:hAnsi="Times New Roman"/>
                <w:b/>
                <w:bCs/>
                <w:sz w:val="24"/>
                <w:szCs w:val="24"/>
              </w:rPr>
            </w:pPr>
            <w:r w:rsidRPr="00DC0D21">
              <w:rPr>
                <w:rFonts w:ascii="Times New Roman" w:hAnsi="Times New Roman"/>
                <w:sz w:val="24"/>
                <w:szCs w:val="24"/>
              </w:rPr>
              <w:t xml:space="preserve">dotācija izdevumu segšanai par veselības pārbaužu veikšanu bezdarbniekiem ar invaliditāti, ja tās paredzētas normatīvajos aktos par </w:t>
            </w:r>
            <w:r w:rsidRPr="00DC0D21">
              <w:rPr>
                <w:rFonts w:ascii="Times New Roman" w:hAnsi="Times New Roman"/>
                <w:sz w:val="24"/>
                <w:szCs w:val="24"/>
              </w:rPr>
              <w:lastRenderedPageBreak/>
              <w:t xml:space="preserve">obligātajām veselības pārbaudēm - 28,46 </w:t>
            </w:r>
            <w:r w:rsidRPr="00DC0D21">
              <w:rPr>
                <w:rFonts w:ascii="Times New Roman" w:hAnsi="Times New Roman"/>
                <w:iCs/>
                <w:sz w:val="24"/>
                <w:szCs w:val="24"/>
              </w:rPr>
              <w:t>EUR</w:t>
            </w:r>
            <w:r w:rsidRPr="00DC0D21">
              <w:rPr>
                <w:rFonts w:ascii="Times New Roman" w:hAnsi="Times New Roman"/>
                <w:i/>
                <w:iCs/>
                <w:sz w:val="24"/>
                <w:szCs w:val="24"/>
              </w:rPr>
              <w:t xml:space="preserve"> </w:t>
            </w:r>
            <w:r w:rsidRPr="00DC0D21">
              <w:rPr>
                <w:rFonts w:ascii="Times New Roman" w:hAnsi="Times New Roman"/>
                <w:sz w:val="24"/>
                <w:szCs w:val="24"/>
              </w:rPr>
              <w:t>(plānots, ka šāda veida atbalsts būs nepieciešams 2.5% n</w:t>
            </w:r>
            <w:r>
              <w:rPr>
                <w:rFonts w:ascii="Times New Roman" w:hAnsi="Times New Roman"/>
                <w:sz w:val="24"/>
                <w:szCs w:val="24"/>
              </w:rPr>
              <w:t>o visiem pasākumu dalībniekiem). V</w:t>
            </w:r>
            <w:r w:rsidRPr="00DC0D21">
              <w:rPr>
                <w:rFonts w:ascii="Times New Roman" w:hAnsi="Times New Roman"/>
                <w:sz w:val="24"/>
                <w:szCs w:val="24"/>
              </w:rPr>
              <w:t>idējās</w:t>
            </w:r>
            <w:r>
              <w:rPr>
                <w:rFonts w:ascii="Times New Roman" w:hAnsi="Times New Roman"/>
                <w:sz w:val="24"/>
                <w:szCs w:val="24"/>
              </w:rPr>
              <w:t xml:space="preserve"> pakalpojuma</w:t>
            </w:r>
            <w:r w:rsidRPr="00DC0D21">
              <w:rPr>
                <w:rFonts w:ascii="Times New Roman" w:hAnsi="Times New Roman"/>
                <w:sz w:val="24"/>
                <w:szCs w:val="24"/>
              </w:rPr>
              <w:t xml:space="preserve"> izmaksas ir 22,73 EUR.</w:t>
            </w:r>
          </w:p>
          <w:p w:rsidR="00AC36BF" w:rsidRPr="006B05E5" w:rsidRDefault="00AC36BF" w:rsidP="00F87231">
            <w:pPr>
              <w:ind w:left="720"/>
              <w:jc w:val="both"/>
            </w:pPr>
          </w:p>
          <w:p w:rsidR="00AC36BF" w:rsidRPr="000003CB" w:rsidRDefault="00AC36BF" w:rsidP="000003CB">
            <w:pPr>
              <w:jc w:val="both"/>
            </w:pPr>
            <w:r w:rsidRPr="000003CB">
              <w:t xml:space="preserve">Atbalsta pasākuma </w:t>
            </w:r>
            <w:r w:rsidRPr="008277D6">
              <w:rPr>
                <w:i/>
              </w:rPr>
              <w:t>„</w:t>
            </w:r>
            <w:r w:rsidRPr="00BD392F">
              <w:rPr>
                <w:i/>
              </w:rPr>
              <w:t>Subsidētās darba vietas jauniešiem bezdarbniekiem (pasākumi noteiktām personu grupām)”</w:t>
            </w:r>
            <w:r w:rsidRPr="000003CB">
              <w:t xml:space="preserve"> plānotais kopējais finansējums (kopējās attiecināmās izmaksas) veido EUR 7 937 772, tai skaitā, Eiropas Sociālā fonda (turpmāk – ESF) finansējums EUR 3 623 806, valsts budžeta finansējums EUR 347 088, cits publiskais finansējums EUR 3 623 806 un privātais līdzfinansējums EUR 343 072. </w:t>
            </w:r>
          </w:p>
          <w:p w:rsidR="00AC36BF" w:rsidRPr="006B05E5" w:rsidRDefault="00AC36BF" w:rsidP="00BF1A20">
            <w:pPr>
              <w:jc w:val="both"/>
            </w:pPr>
          </w:p>
          <w:p w:rsidR="00AC36BF" w:rsidRPr="006B05E5" w:rsidRDefault="00AC36BF" w:rsidP="00BF1A20">
            <w:pPr>
              <w:jc w:val="both"/>
            </w:pPr>
            <w:r w:rsidRPr="006B05E5">
              <w:t xml:space="preserve">Atbalsta pasākuma </w:t>
            </w:r>
            <w:r w:rsidRPr="008277D6">
              <w:rPr>
                <w:i/>
              </w:rPr>
              <w:t>„</w:t>
            </w:r>
            <w:r w:rsidRPr="00BD392F">
              <w:rPr>
                <w:i/>
              </w:rPr>
              <w:t>Subsidētās darba vietas jauniešiem bezdarbniekiem (pasākumi noteiktām personu grupām)”</w:t>
            </w:r>
            <w:r w:rsidRPr="006B05E5">
              <w:t xml:space="preserve"> vidējās iz</w:t>
            </w:r>
            <w:r>
              <w:t>maksas sastāda 5160.51 EUR un tā</w:t>
            </w:r>
            <w:r w:rsidRPr="006B05E5">
              <w:t>s veido:</w:t>
            </w:r>
          </w:p>
          <w:p w:rsidR="00AC36BF" w:rsidRPr="006B05E5" w:rsidRDefault="00AC36BF" w:rsidP="000003CB">
            <w:pPr>
              <w:ind w:right="113"/>
              <w:jc w:val="both"/>
            </w:pPr>
          </w:p>
          <w:p w:rsidR="00AC36BF" w:rsidRPr="006B05E5" w:rsidRDefault="00AC36BF" w:rsidP="00AE22C5">
            <w:pPr>
              <w:numPr>
                <w:ilvl w:val="0"/>
                <w:numId w:val="14"/>
              </w:numPr>
              <w:ind w:left="37" w:firstLine="0"/>
              <w:jc w:val="both"/>
            </w:pPr>
            <w:r>
              <w:t>r</w:t>
            </w:r>
            <w:r w:rsidRPr="006B05E5">
              <w:t xml:space="preserve">eģionālās mobilitātes atbalsts personām, kas piedalās pasākumā – avanss 145 </w:t>
            </w:r>
            <w:r w:rsidRPr="000003CB">
              <w:rPr>
                <w:iCs/>
              </w:rPr>
              <w:t>EUR</w:t>
            </w:r>
            <w:r w:rsidRPr="006B05E5">
              <w:rPr>
                <w:i/>
                <w:iCs/>
              </w:rPr>
              <w:t xml:space="preserve"> </w:t>
            </w:r>
            <w:r w:rsidRPr="006B05E5">
              <w:rPr>
                <w:bCs/>
              </w:rPr>
              <w:t xml:space="preserve">par pirmo darba mēnesi un nākamajiem trim darba tiesisko attiecību mēnešiem - līdz 85 </w:t>
            </w:r>
            <w:r w:rsidRPr="000003CB">
              <w:rPr>
                <w:bCs/>
              </w:rPr>
              <w:t>EUR</w:t>
            </w:r>
            <w:r>
              <w:rPr>
                <w:bCs/>
                <w:i/>
              </w:rPr>
              <w:t xml:space="preserve"> </w:t>
            </w:r>
            <w:r w:rsidRPr="006B05E5">
              <w:rPr>
                <w:bCs/>
              </w:rPr>
              <w:t xml:space="preserve">mēnesī. Kopējais maksimālās izmaksas uz vienu dalībnieku sastāda 400 </w:t>
            </w:r>
            <w:r w:rsidRPr="000003CB">
              <w:rPr>
                <w:bCs/>
              </w:rPr>
              <w:t xml:space="preserve">EUR </w:t>
            </w:r>
            <w:r w:rsidRPr="006B05E5">
              <w:rPr>
                <w:bCs/>
              </w:rPr>
              <w:t>(</w:t>
            </w:r>
            <w:r w:rsidRPr="006B05E5">
              <w:t xml:space="preserve">tiek plānots, ka reģionālās mobilitātes atbalstam varētu pieteikties vidēji </w:t>
            </w:r>
            <w:r w:rsidRPr="00AE22C5">
              <w:t xml:space="preserve">62% </w:t>
            </w:r>
            <w:r w:rsidRPr="006B05E5">
              <w:t>no visiem pasākumu dalībniekiem (atbalstu saņemot četrus mēnešus –</w:t>
            </w:r>
            <w:r>
              <w:t xml:space="preserve"> </w:t>
            </w:r>
            <w:r w:rsidRPr="006B05E5">
              <w:t>vid</w:t>
            </w:r>
            <w:r>
              <w:t>ējās izmaksas varētu veidot 280,</w:t>
            </w:r>
            <w:r w:rsidRPr="006B05E5">
              <w:t>00 EUR)</w:t>
            </w:r>
            <w:r>
              <w:t>)</w:t>
            </w:r>
            <w:r w:rsidRPr="006B05E5">
              <w:t>;</w:t>
            </w:r>
          </w:p>
          <w:p w:rsidR="00AC36BF" w:rsidRPr="006B05E5" w:rsidRDefault="00AC36BF" w:rsidP="00AE22C5">
            <w:pPr>
              <w:numPr>
                <w:ilvl w:val="0"/>
                <w:numId w:val="14"/>
              </w:numPr>
              <w:ind w:left="37" w:firstLine="0"/>
              <w:jc w:val="both"/>
            </w:pPr>
            <w:r>
              <w:t>d</w:t>
            </w:r>
            <w:r w:rsidRPr="006B05E5">
              <w:t xml:space="preserve">otācija bezdarbniekiem ar invaliditāti piedāvātajai darba vietas pielāgošanai atbilstoši speciālajām vajadzībām – 711 </w:t>
            </w:r>
            <w:r>
              <w:t xml:space="preserve">EUR </w:t>
            </w:r>
            <w:r w:rsidRPr="006B05E5">
              <w:t>(tiek plānots, ka dotācija būs nepieciešama 13% no visiem pasākumu dalībniekiem);</w:t>
            </w:r>
          </w:p>
          <w:p w:rsidR="00AC36BF" w:rsidRPr="006B05E5" w:rsidRDefault="00AC36BF" w:rsidP="00AE22C5">
            <w:pPr>
              <w:numPr>
                <w:ilvl w:val="0"/>
                <w:numId w:val="14"/>
              </w:numPr>
              <w:ind w:left="37" w:firstLine="0"/>
              <w:jc w:val="both"/>
            </w:pPr>
            <w:r>
              <w:t>d</w:t>
            </w:r>
            <w:r w:rsidRPr="006B05E5">
              <w:t xml:space="preserve">otācija kvalificēta darba vadītāja piesaistei - 50 % no minimālās </w:t>
            </w:r>
            <w:r>
              <w:t>mēneš</w:t>
            </w:r>
            <w:r w:rsidRPr="006B05E5">
              <w:t>algas jeb 160 EUR mēnesī (dotācija tiek maksāta atkarībā no bezdarbnieka darba pieredzes, iegūtās izglītības un piederības noteiktajai mērķa grupai, tomēr atbalsta sniegšanas laiks nepārsniedz 2 mēnešus);</w:t>
            </w:r>
          </w:p>
          <w:p w:rsidR="00AC36BF" w:rsidRPr="006B05E5" w:rsidRDefault="00AC36BF" w:rsidP="00AE22C5">
            <w:pPr>
              <w:numPr>
                <w:ilvl w:val="0"/>
                <w:numId w:val="14"/>
              </w:numPr>
              <w:ind w:left="37" w:firstLine="0"/>
              <w:jc w:val="both"/>
            </w:pPr>
            <w:r>
              <w:t>d</w:t>
            </w:r>
            <w:r w:rsidRPr="007A6A56">
              <w:t xml:space="preserve">otācija darba algai – 50% no kopējām algu izmaksām, bet ne lielāka par minimālo </w:t>
            </w:r>
            <w:r>
              <w:t>mēneš</w:t>
            </w:r>
            <w:r w:rsidRPr="007A6A56">
              <w:t>algu (</w:t>
            </w:r>
            <w:r w:rsidR="001F40FF">
              <w:t>360</w:t>
            </w:r>
            <w:r w:rsidRPr="007A6A56">
              <w:t xml:space="preserve"> EUR). Cilvēkiem ar invalidi</w:t>
            </w:r>
            <w:r>
              <w:t>tāti dotācija var veidot pusotras minimālās mēnešalgas apmēru</w:t>
            </w:r>
            <w:r w:rsidRPr="007A6A56">
              <w:t>, atkarībā no</w:t>
            </w:r>
            <w:r>
              <w:t xml:space="preserve"> profesijas, kurā </w:t>
            </w:r>
            <w:r w:rsidRPr="007A6A56">
              <w:t>tiek nodarbināts;</w:t>
            </w:r>
          </w:p>
          <w:p w:rsidR="00AC36BF" w:rsidRPr="006B05E5" w:rsidRDefault="00AC36BF" w:rsidP="00AE22C5">
            <w:pPr>
              <w:numPr>
                <w:ilvl w:val="0"/>
                <w:numId w:val="14"/>
              </w:numPr>
              <w:ind w:left="37" w:firstLine="0"/>
              <w:jc w:val="both"/>
            </w:pPr>
            <w:r>
              <w:t>d</w:t>
            </w:r>
            <w:r w:rsidRPr="007A6A56">
              <w:t xml:space="preserve">otācija par bezdarbniekiem ar invaliditāti nepieciešamajiem surdotulku un ergoterapeitu pakalpojumiem (izmaksas surdotulkiem nepārsniedz 15 </w:t>
            </w:r>
            <w:r>
              <w:t>EUR</w:t>
            </w:r>
            <w:r w:rsidRPr="007A6A56">
              <w:t xml:space="preserve"> par pakalpojuma sniegšanas stundu) – tiek plānots, ka šāda veida atbalsts būs nepieciešams 22% no visiem pasākumu dalībniekiem;</w:t>
            </w:r>
          </w:p>
          <w:p w:rsidR="00AC36BF" w:rsidRPr="006B05E5" w:rsidRDefault="00AC36BF" w:rsidP="00AE22C5">
            <w:pPr>
              <w:numPr>
                <w:ilvl w:val="0"/>
                <w:numId w:val="14"/>
              </w:numPr>
              <w:ind w:left="37" w:firstLine="0"/>
              <w:jc w:val="both"/>
            </w:pPr>
            <w:r>
              <w:t>d</w:t>
            </w:r>
            <w:r w:rsidRPr="007A6A56">
              <w:t xml:space="preserve">otācija atbalsta personu darbā personām ar garīga rakstura traucējumiem </w:t>
            </w:r>
            <w:r>
              <w:t>piesaistei - ne vairāk kā 4,50 EUR</w:t>
            </w:r>
            <w:r w:rsidRPr="007A6A56">
              <w:t xml:space="preserve"> stundā</w:t>
            </w:r>
            <w:r>
              <w:t>;</w:t>
            </w:r>
          </w:p>
          <w:p w:rsidR="00AC36BF" w:rsidRPr="006B05E5" w:rsidRDefault="00AC36BF" w:rsidP="00AE22C5">
            <w:pPr>
              <w:numPr>
                <w:ilvl w:val="0"/>
                <w:numId w:val="14"/>
              </w:numPr>
              <w:ind w:left="37" w:firstLine="0"/>
              <w:jc w:val="both"/>
            </w:pPr>
            <w:r>
              <w:t>d</w:t>
            </w:r>
            <w:r w:rsidRPr="007A6A56">
              <w:t xml:space="preserve">otācija izdevumu segšanai par veselības pārbaužu veikšanu bezdarbniekiem ar invaliditāti, ja tās paredzētas normatīvajos aktos par obligātajām veselības pārbaudēm - 28,46 </w:t>
            </w:r>
            <w:r>
              <w:rPr>
                <w:iCs/>
              </w:rPr>
              <w:t>EUR</w:t>
            </w:r>
            <w:r w:rsidRPr="007A6A56">
              <w:rPr>
                <w:i/>
                <w:iCs/>
              </w:rPr>
              <w:t xml:space="preserve"> </w:t>
            </w:r>
            <w:r w:rsidRPr="007A6A56">
              <w:t>(plānots, ka šāda veida atbalsts būs nepieciešams 10% no visiem pasākumu dalībniekiem).</w:t>
            </w:r>
          </w:p>
          <w:p w:rsidR="00AC36BF" w:rsidRPr="006B05E5" w:rsidRDefault="00AC36BF" w:rsidP="00BF1A20">
            <w:pPr>
              <w:ind w:left="720"/>
              <w:jc w:val="both"/>
            </w:pPr>
          </w:p>
          <w:p w:rsidR="00AC36BF" w:rsidRPr="003948D6" w:rsidRDefault="00AC36BF" w:rsidP="00905103">
            <w:pPr>
              <w:spacing w:before="120" w:after="120"/>
              <w:jc w:val="center"/>
              <w:rPr>
                <w:b/>
                <w:i/>
                <w:u w:val="single"/>
              </w:rPr>
            </w:pPr>
            <w:r>
              <w:rPr>
                <w:b/>
                <w:i/>
                <w:u w:val="single"/>
              </w:rPr>
              <w:t xml:space="preserve">2. </w:t>
            </w:r>
            <w:r w:rsidRPr="003948D6">
              <w:rPr>
                <w:b/>
                <w:i/>
                <w:u w:val="single"/>
              </w:rPr>
              <w:t xml:space="preserve">Aktīvais nodarbinātības pasākums „Paaugstināt bezdarbnieku </w:t>
            </w:r>
            <w:r w:rsidRPr="003948D6">
              <w:rPr>
                <w:b/>
                <w:i/>
                <w:u w:val="single"/>
              </w:rPr>
              <w:lastRenderedPageBreak/>
              <w:t>kvalifikāciju un prasmes atbilst</w:t>
            </w:r>
            <w:r>
              <w:rPr>
                <w:b/>
                <w:i/>
                <w:u w:val="single"/>
              </w:rPr>
              <w:t>oši darba tirgus pieprasījumam”</w:t>
            </w:r>
          </w:p>
          <w:p w:rsidR="00AC36BF" w:rsidRPr="00905103" w:rsidRDefault="00AC36BF" w:rsidP="00E85415">
            <w:pPr>
              <w:spacing w:before="120" w:after="120"/>
              <w:jc w:val="both"/>
            </w:pPr>
            <w:r w:rsidRPr="00BD392F">
              <w:t>Apmācību pasākumus plānots īstenot, piesaistot Eiropas Sociālā fonda finansējumu un valsts nodarbinātības speciālā budžeta finansējumu (</w:t>
            </w:r>
            <w:r w:rsidR="0023232C">
              <w:t>apakš</w:t>
            </w:r>
            <w:r w:rsidRPr="00BD392F">
              <w:t xml:space="preserve">programma </w:t>
            </w:r>
            <w:r w:rsidRPr="00BA512F">
              <w:t>63.07.00. “Eiropas Sociālā fonda (ESF) īstenotie projekti labklājības nozarē (2014 – 2020)”</w:t>
            </w:r>
            <w:r w:rsidRPr="00BD392F">
              <w:t xml:space="preserve"> un valsts budžeta apakšprogramma 04.02.00 „Nodarbinātības speciālais budžets”). 2014.-2020.gadā Eiropas Savienības fondu darbības programmas “Izaugsme un nodarbinātība” 7.1.1. specifiskā atbalsta mērķa „„Paaugstināt bezdarbnieku kvalifikāciju un prasmes atbilstoši darba tirgus pieprasījumam” plānotais kopējais finansējums (kopējās attiecināmās izmaksas) veido EUR 96 428 049, tai skaitā ESF finansējums – EUR 81 963 841, valsts budžeta finansējums – EUR 12 185 719 un privātais līdzfinansējums - EUR 2 278 489. </w:t>
            </w:r>
          </w:p>
          <w:p w:rsidR="00AC36BF" w:rsidRPr="00BD392F" w:rsidRDefault="0023232C" w:rsidP="00420520">
            <w:pPr>
              <w:jc w:val="both"/>
            </w:pPr>
            <w:r>
              <w:t>Apakšp</w:t>
            </w:r>
            <w:r w:rsidR="00AC36BF" w:rsidRPr="00BD392F">
              <w:t xml:space="preserve">rogrammas </w:t>
            </w:r>
            <w:r w:rsidR="00AC36BF" w:rsidRPr="00BA512F">
              <w:t>63.07.00. “Eiropas Sociālā fonda (ESF) īstenotie projekti labklājības nozarē (2014 – 2020)”</w:t>
            </w:r>
            <w:r w:rsidR="00AC36BF" w:rsidRPr="00BD392F">
              <w:t xml:space="preserve"> (BDMAL) apmācību pasākumu vidējās izmaksas sastāda </w:t>
            </w:r>
            <w:r w:rsidR="00AC36BF" w:rsidRPr="00BD392F">
              <w:rPr>
                <w:b/>
              </w:rPr>
              <w:t xml:space="preserve">1 134 </w:t>
            </w:r>
            <w:r w:rsidR="00AC36BF">
              <w:rPr>
                <w:b/>
              </w:rPr>
              <w:t>EUR</w:t>
            </w:r>
            <w:r w:rsidR="00AC36BF" w:rsidRPr="00BD392F">
              <w:t xml:space="preserve"> un tos veido:</w:t>
            </w:r>
          </w:p>
          <w:p w:rsidR="00AC36BF" w:rsidRPr="00BD392F" w:rsidRDefault="00AC36BF" w:rsidP="00FB5A0F">
            <w:pPr>
              <w:ind w:left="359"/>
              <w:rPr>
                <w:b/>
                <w:i/>
              </w:rPr>
            </w:pPr>
            <w:r w:rsidRPr="00BD392F">
              <w:t>kuponu vērtības:</w:t>
            </w:r>
          </w:p>
          <w:p w:rsidR="00AC36BF" w:rsidRPr="00BD392F" w:rsidRDefault="00AC36BF" w:rsidP="00FB5A0F">
            <w:pPr>
              <w:numPr>
                <w:ilvl w:val="0"/>
                <w:numId w:val="14"/>
              </w:numPr>
              <w:ind w:left="359"/>
              <w:jc w:val="both"/>
            </w:pPr>
            <w:r w:rsidRPr="00BD392F">
              <w:t xml:space="preserve">pirmā kvalifikācijas līmeņa profesionālās tālākizglītības programmām ar mācību ilgumu 480 mācību stundas – 540 </w:t>
            </w:r>
            <w:r w:rsidRPr="00E100EE">
              <w:t>EUR</w:t>
            </w:r>
            <w:r w:rsidRPr="00BD392F">
              <w:t>;</w:t>
            </w:r>
          </w:p>
          <w:p w:rsidR="00AC36BF" w:rsidRPr="00BD392F" w:rsidRDefault="00AC36BF" w:rsidP="00FB5A0F">
            <w:pPr>
              <w:numPr>
                <w:ilvl w:val="0"/>
                <w:numId w:val="14"/>
              </w:numPr>
              <w:ind w:left="359"/>
              <w:jc w:val="both"/>
            </w:pPr>
            <w:r w:rsidRPr="00BD392F">
              <w:t xml:space="preserve">otrā kvalifikācijas līmeņa profesionālās tālākizglītības programmām ar mācību ilgumu 480 mācību stundas – 540 </w:t>
            </w:r>
            <w:r>
              <w:t>EUR</w:t>
            </w:r>
            <w:r w:rsidRPr="00BD392F">
              <w:t xml:space="preserve"> vai ar mācību ilgumu 640 mācību stundas – 720 </w:t>
            </w:r>
            <w:r>
              <w:t>EUR</w:t>
            </w:r>
            <w:r w:rsidRPr="00BD392F">
              <w:t>;</w:t>
            </w:r>
          </w:p>
          <w:p w:rsidR="00AC36BF" w:rsidRPr="00BD392F" w:rsidRDefault="00AC36BF" w:rsidP="00FB5A0F">
            <w:pPr>
              <w:numPr>
                <w:ilvl w:val="0"/>
                <w:numId w:val="14"/>
              </w:numPr>
              <w:ind w:left="359"/>
              <w:jc w:val="both"/>
            </w:pPr>
            <w:r w:rsidRPr="00BD392F">
              <w:t xml:space="preserve">trešā kvalifikācijas līmeņa profesionālās tālākizglītības programmām ar mācību ilgumu no 960 līdz 1280 mācību stundām – 1100 </w:t>
            </w:r>
            <w:r>
              <w:t>EUR</w:t>
            </w:r>
            <w:r w:rsidRPr="00BD392F">
              <w:t>;</w:t>
            </w:r>
          </w:p>
          <w:p w:rsidR="00AC36BF" w:rsidRPr="00BD392F" w:rsidRDefault="00AC36BF" w:rsidP="00FB5A0F">
            <w:pPr>
              <w:numPr>
                <w:ilvl w:val="0"/>
                <w:numId w:val="14"/>
              </w:numPr>
              <w:ind w:left="359"/>
              <w:jc w:val="both"/>
            </w:pPr>
            <w:r w:rsidRPr="00BD392F">
              <w:t xml:space="preserve">profesionālās pilnveides izglītības programmām ar mācību ilgumu no 160 līdz 320 mācību stundām – 360 </w:t>
            </w:r>
            <w:r>
              <w:t>EUR</w:t>
            </w:r>
            <w:r w:rsidRPr="00BD392F">
              <w:t>.</w:t>
            </w:r>
          </w:p>
          <w:p w:rsidR="00AC36BF" w:rsidRPr="00BD392F" w:rsidRDefault="00AC36BF" w:rsidP="00FB5A0F">
            <w:pPr>
              <w:numPr>
                <w:ilvl w:val="0"/>
                <w:numId w:val="14"/>
              </w:numPr>
              <w:ind w:left="359"/>
              <w:jc w:val="both"/>
            </w:pPr>
            <w:r w:rsidRPr="00BD392F">
              <w:t xml:space="preserve">neformālās izglītības programmām, kuru mācību ilgums ir no 60 līdz 159 mācību stundām, apmācību kupona vērtības noteikšanai viena bezdarbnieka apmācībai izmanto likmi 4,50 </w:t>
            </w:r>
            <w:r>
              <w:t>EUR</w:t>
            </w:r>
            <w:r w:rsidRPr="00BD392F">
              <w:t xml:space="preserve"> par mācību stundu, kopā nepārsniedzot 360 </w:t>
            </w:r>
            <w:r>
              <w:t>EUR</w:t>
            </w:r>
            <w:r w:rsidRPr="00BD392F">
              <w:t>;</w:t>
            </w:r>
          </w:p>
          <w:p w:rsidR="00AC36BF" w:rsidRPr="00BD392F" w:rsidRDefault="00AC36BF" w:rsidP="00FB5A0F">
            <w:pPr>
              <w:numPr>
                <w:ilvl w:val="0"/>
                <w:numId w:val="14"/>
              </w:numPr>
              <w:ind w:left="359"/>
              <w:jc w:val="both"/>
            </w:pPr>
            <w:r w:rsidRPr="00BD392F">
              <w:t xml:space="preserve">transportlīdzekļu vadītāju apmācībai piemēro likmi 8,60 </w:t>
            </w:r>
            <w:r>
              <w:t>EUR</w:t>
            </w:r>
            <w:r w:rsidRPr="00BD392F">
              <w:t xml:space="preserve"> par mācību stundu, kopā nepārsniedzot 670</w:t>
            </w:r>
            <w:r w:rsidRPr="00BD392F">
              <w:rPr>
                <w:i/>
              </w:rPr>
              <w:t xml:space="preserve"> </w:t>
            </w:r>
            <w:r>
              <w:t>EUR</w:t>
            </w:r>
            <w:r w:rsidRPr="00BD392F">
              <w:t>;</w:t>
            </w:r>
          </w:p>
          <w:p w:rsidR="00AC36BF" w:rsidRPr="00BD392F" w:rsidRDefault="00AC36BF" w:rsidP="00FB5A0F">
            <w:pPr>
              <w:numPr>
                <w:ilvl w:val="0"/>
                <w:numId w:val="14"/>
              </w:numPr>
              <w:ind w:left="359"/>
              <w:jc w:val="both"/>
            </w:pPr>
            <w:r w:rsidRPr="00BD392F">
              <w:t xml:space="preserve">A un B kategorijas traktortehnikas vadītāju apmācību, kupona vērtības noteikšanai viena bezdarbnieka apmācībai izmanto likmi 5,70 </w:t>
            </w:r>
            <w:r>
              <w:t>EUR</w:t>
            </w:r>
            <w:r w:rsidRPr="00BD392F">
              <w:rPr>
                <w:i/>
              </w:rPr>
              <w:t xml:space="preserve"> </w:t>
            </w:r>
            <w:r w:rsidRPr="00BD392F">
              <w:t xml:space="preserve">par mācību stundu, kopā nepārsniedzot 640 </w:t>
            </w:r>
            <w:r>
              <w:t>EUR</w:t>
            </w:r>
            <w:r w:rsidRPr="00BD392F">
              <w:t>;</w:t>
            </w:r>
          </w:p>
          <w:p w:rsidR="00AC36BF" w:rsidRDefault="00AC36BF" w:rsidP="00FB5A0F">
            <w:pPr>
              <w:numPr>
                <w:ilvl w:val="0"/>
                <w:numId w:val="14"/>
              </w:numPr>
              <w:ind w:left="359"/>
              <w:jc w:val="both"/>
            </w:pPr>
            <w:r w:rsidRPr="00BD392F">
              <w:t xml:space="preserve">C, E, F un G kategorijas traktortehnikas vadītāju apmācību, kupona vērtības noteikšanai viena bezdarbnieka apmācībai izmanto likmi 5,70 </w:t>
            </w:r>
            <w:r>
              <w:t>EUR</w:t>
            </w:r>
            <w:r w:rsidRPr="00BD392F">
              <w:t xml:space="preserve"> par mācību stundu, kopā nepārsniedzot 1070 </w:t>
            </w:r>
            <w:r>
              <w:t>EUR.</w:t>
            </w:r>
          </w:p>
          <w:p w:rsidR="00AC36BF" w:rsidRPr="00BD392F" w:rsidRDefault="00AC36BF" w:rsidP="00FB5A0F">
            <w:pPr>
              <w:ind w:left="359"/>
              <w:jc w:val="both"/>
            </w:pPr>
          </w:p>
          <w:p w:rsidR="00AC36BF" w:rsidRPr="00BD392F" w:rsidRDefault="00AC36BF" w:rsidP="00E100EE">
            <w:pPr>
              <w:ind w:left="-1"/>
              <w:jc w:val="both"/>
            </w:pPr>
            <w:r w:rsidRPr="00BD392F">
              <w:t>Apmācība pie darba devēja:</w:t>
            </w:r>
          </w:p>
          <w:p w:rsidR="00AC36BF" w:rsidRPr="00BD392F" w:rsidRDefault="00AC36BF" w:rsidP="00E100EE">
            <w:pPr>
              <w:numPr>
                <w:ilvl w:val="0"/>
                <w:numId w:val="14"/>
              </w:numPr>
              <w:ind w:left="359"/>
              <w:jc w:val="both"/>
            </w:pPr>
            <w:r w:rsidRPr="00BD392F">
              <w:t>dotācija darba devējam praktiskajā apmācībā iesaistīto bezdarbnieku ikmēneša darba algai šādā apmērā:</w:t>
            </w:r>
          </w:p>
          <w:p w:rsidR="00AC36BF" w:rsidRPr="00BD392F" w:rsidRDefault="00AC36BF" w:rsidP="00E100EE">
            <w:pPr>
              <w:ind w:left="359"/>
              <w:jc w:val="both"/>
              <w:rPr>
                <w:bCs/>
              </w:rPr>
            </w:pPr>
            <w:r w:rsidRPr="00BD392F">
              <w:rPr>
                <w:bCs/>
              </w:rPr>
              <w:tab/>
              <w:t xml:space="preserve">par pirmajiem diviem apmācību mēnešiem – 160 </w:t>
            </w:r>
            <w:r>
              <w:t>EUR</w:t>
            </w:r>
            <w:r w:rsidRPr="00BD392F">
              <w:rPr>
                <w:bCs/>
              </w:rPr>
              <w:t>;</w:t>
            </w:r>
          </w:p>
          <w:p w:rsidR="00AC36BF" w:rsidRPr="00BD392F" w:rsidRDefault="00AC36BF" w:rsidP="00E100EE">
            <w:pPr>
              <w:ind w:left="359"/>
              <w:jc w:val="both"/>
              <w:rPr>
                <w:bCs/>
              </w:rPr>
            </w:pPr>
            <w:r w:rsidRPr="00BD392F">
              <w:rPr>
                <w:bCs/>
              </w:rPr>
              <w:tab/>
              <w:t xml:space="preserve">par nākamajiem diviem apmācību mēnešiem – 120 </w:t>
            </w:r>
            <w:r>
              <w:t>EUR</w:t>
            </w:r>
            <w:r w:rsidRPr="00BD392F">
              <w:rPr>
                <w:bCs/>
              </w:rPr>
              <w:t>;</w:t>
            </w:r>
          </w:p>
          <w:p w:rsidR="00AC36BF" w:rsidRPr="00BD392F" w:rsidRDefault="00AC36BF" w:rsidP="00E100EE">
            <w:pPr>
              <w:ind w:left="359"/>
              <w:jc w:val="both"/>
              <w:rPr>
                <w:bCs/>
              </w:rPr>
            </w:pPr>
            <w:r w:rsidRPr="00BD392F">
              <w:rPr>
                <w:bCs/>
              </w:rPr>
              <w:tab/>
              <w:t xml:space="preserve">par pēdējiem diviem apmācību mēnešiem – 90 </w:t>
            </w:r>
            <w:r>
              <w:t>EUR</w:t>
            </w:r>
            <w:r>
              <w:rPr>
                <w:bCs/>
              </w:rPr>
              <w:t>;</w:t>
            </w:r>
          </w:p>
          <w:p w:rsidR="00AC36BF" w:rsidRPr="00BD392F" w:rsidRDefault="00AC36BF" w:rsidP="00E100EE">
            <w:pPr>
              <w:numPr>
                <w:ilvl w:val="0"/>
                <w:numId w:val="14"/>
              </w:numPr>
              <w:ind w:left="359"/>
              <w:jc w:val="both"/>
              <w:rPr>
                <w:bCs/>
              </w:rPr>
            </w:pPr>
            <w:r w:rsidRPr="00BD392F">
              <w:rPr>
                <w:bCs/>
              </w:rPr>
              <w:t>izdevumu segšana par individuālajiem aizsardzības līd</w:t>
            </w:r>
            <w:r>
              <w:rPr>
                <w:bCs/>
              </w:rPr>
              <w:t xml:space="preserve">zekļiem uzsākot darbu – līdz 50 </w:t>
            </w:r>
            <w:r>
              <w:t>EUR</w:t>
            </w:r>
          </w:p>
          <w:p w:rsidR="00AC36BF" w:rsidRPr="00BD392F" w:rsidRDefault="00AC36BF" w:rsidP="00E100EE">
            <w:pPr>
              <w:numPr>
                <w:ilvl w:val="0"/>
                <w:numId w:val="14"/>
              </w:numPr>
              <w:ind w:left="359"/>
              <w:jc w:val="both"/>
              <w:rPr>
                <w:bCs/>
              </w:rPr>
            </w:pPr>
            <w:r w:rsidRPr="00BD392F">
              <w:t xml:space="preserve">dotācija darba devējam pasākumos iesaistīto bezdarbnieku darba </w:t>
            </w:r>
            <w:r w:rsidRPr="00BD392F">
              <w:lastRenderedPageBreak/>
              <w:t>vadītāja ikmēneša darba algai 50 % apmērā no valstī noteiktās minimālās mēneša darba algas apmēra (160 EUR);</w:t>
            </w:r>
          </w:p>
          <w:p w:rsidR="00AC36BF" w:rsidRPr="00BD392F" w:rsidRDefault="00AC36BF" w:rsidP="00E100EE">
            <w:pPr>
              <w:numPr>
                <w:ilvl w:val="0"/>
                <w:numId w:val="14"/>
              </w:numPr>
              <w:ind w:left="359"/>
              <w:jc w:val="both"/>
            </w:pPr>
            <w:r w:rsidRPr="00BD392F">
              <w:t xml:space="preserve">lai pielāgotu praktiskās apmācības vietu bezdarbniekiem ar invaliditāti atbilstoši ergoterapeita atzinumam - ne vairāk kā 711 </w:t>
            </w:r>
            <w:r>
              <w:t>EUR</w:t>
            </w:r>
            <w:r w:rsidRPr="00BD392F">
              <w:t xml:space="preserve"> vienai vietai;</w:t>
            </w:r>
          </w:p>
          <w:p w:rsidR="00AC36BF" w:rsidRPr="00BD392F" w:rsidRDefault="00AC36BF" w:rsidP="00E100EE">
            <w:pPr>
              <w:numPr>
                <w:ilvl w:val="0"/>
                <w:numId w:val="14"/>
              </w:numPr>
              <w:ind w:left="359"/>
              <w:jc w:val="both"/>
            </w:pPr>
            <w:r w:rsidRPr="00BD392F">
              <w:t xml:space="preserve">dotācija izdevumu segšanai par veselības pārbaužu veikšanu bezdarbniekiem ar invaliditāti, ja tās paredzētas normatīvajos aktos par obligātajām veselības pārbaudēm - 28,46 </w:t>
            </w:r>
            <w:r>
              <w:t>EUR</w:t>
            </w:r>
            <w:r w:rsidRPr="00BD392F">
              <w:t>.</w:t>
            </w:r>
          </w:p>
          <w:p w:rsidR="00AC36BF" w:rsidRPr="00BD392F" w:rsidRDefault="00AC36BF" w:rsidP="00461B31"/>
          <w:p w:rsidR="00AC36BF" w:rsidRPr="00BD392F" w:rsidRDefault="00AC36BF" w:rsidP="00E85415">
            <w:pPr>
              <w:jc w:val="both"/>
            </w:pPr>
            <w:r w:rsidRPr="00BD392F">
              <w:t>Reģionālās mobilitātes atbalsts personām, kas piedalās apmācību pasākumos</w:t>
            </w:r>
            <w:r>
              <w:t xml:space="preserve"> </w:t>
            </w:r>
            <w:r w:rsidRPr="00BD392F">
              <w:t xml:space="preserve">– avanss 100 </w:t>
            </w:r>
            <w:r>
              <w:t>EUR</w:t>
            </w:r>
            <w:r w:rsidRPr="00BD392F">
              <w:rPr>
                <w:i/>
                <w:iCs/>
              </w:rPr>
              <w:t xml:space="preserve"> </w:t>
            </w:r>
            <w:r w:rsidRPr="00BD392F">
              <w:rPr>
                <w:bCs/>
              </w:rPr>
              <w:t>par pirmo apmācību mēnesi</w:t>
            </w:r>
            <w:r>
              <w:rPr>
                <w:bCs/>
              </w:rPr>
              <w:t>, par</w:t>
            </w:r>
            <w:r w:rsidRPr="00BD392F">
              <w:rPr>
                <w:bCs/>
              </w:rPr>
              <w:t xml:space="preserve"> nākamajiem apmācību mēnešiem līdz 100 </w:t>
            </w:r>
            <w:r>
              <w:t>EUR</w:t>
            </w:r>
            <w:r w:rsidRPr="00BD392F">
              <w:rPr>
                <w:bCs/>
                <w:i/>
              </w:rPr>
              <w:t xml:space="preserve"> </w:t>
            </w:r>
            <w:r w:rsidRPr="00BD392F">
              <w:rPr>
                <w:bCs/>
              </w:rPr>
              <w:t xml:space="preserve">mēnesī atkarībā no izmaksām, kas radušās pirmajā mēnesī. </w:t>
            </w:r>
            <w:r w:rsidRPr="00BD392F">
              <w:t>Tiek plānots, ka reģionālās mobilitātes atbalstam varētu pieteikties vidēji 2% no visiem pasākumu dalībniekiem.</w:t>
            </w:r>
          </w:p>
          <w:p w:rsidR="00AC36BF" w:rsidRDefault="00AC36BF" w:rsidP="009B7085">
            <w:pPr>
              <w:jc w:val="both"/>
            </w:pPr>
          </w:p>
          <w:p w:rsidR="00AC36BF" w:rsidRPr="003948D6" w:rsidRDefault="00AC36BF" w:rsidP="00EC70F1">
            <w:pPr>
              <w:jc w:val="center"/>
              <w:rPr>
                <w:b/>
                <w:i/>
                <w:u w:val="single"/>
              </w:rPr>
            </w:pPr>
            <w:r>
              <w:rPr>
                <w:b/>
                <w:i/>
                <w:u w:val="single"/>
              </w:rPr>
              <w:t xml:space="preserve">3. </w:t>
            </w:r>
            <w:r w:rsidRPr="003948D6">
              <w:rPr>
                <w:b/>
                <w:i/>
                <w:u w:val="single"/>
              </w:rPr>
              <w:t xml:space="preserve">Profesionālā apmācība, pārkvalifikācija, kvalifikācijas paaugstināšana un neformālās izglītības ieguve, kas tiek finansēta no </w:t>
            </w:r>
            <w:r>
              <w:rPr>
                <w:b/>
                <w:i/>
                <w:u w:val="single"/>
              </w:rPr>
              <w:t>nodarbinātības speciālā budžeta</w:t>
            </w:r>
          </w:p>
          <w:p w:rsidR="00AC36BF" w:rsidRDefault="00AC36BF" w:rsidP="009B7085">
            <w:pPr>
              <w:jc w:val="both"/>
            </w:pPr>
          </w:p>
          <w:p w:rsidR="00AC36BF" w:rsidRPr="000003CB" w:rsidRDefault="00AC36BF" w:rsidP="000003CB">
            <w:pPr>
              <w:jc w:val="both"/>
            </w:pPr>
            <w:r w:rsidRPr="000003CB">
              <w:t>Valsts budžeta apakšprogramma 04.02.00 „Nod</w:t>
            </w:r>
            <w:r>
              <w:t>arbinātības speciālais budžets” p</w:t>
            </w:r>
            <w:r w:rsidRPr="000003CB">
              <w:t>lānotās izmaksas 2015.gadā:</w:t>
            </w:r>
          </w:p>
          <w:p w:rsidR="00AC36BF" w:rsidRPr="000003CB" w:rsidRDefault="00AC36BF" w:rsidP="000003CB">
            <w:pPr>
              <w:jc w:val="both"/>
            </w:pPr>
            <w:r w:rsidRPr="000003CB">
              <w:t>1) Profesionālā apmācība, pārkvalifikācija un kvalifikācijas paaugstināšana:</w:t>
            </w:r>
          </w:p>
          <w:p w:rsidR="00AC36BF" w:rsidRPr="000003CB" w:rsidRDefault="005C12AD" w:rsidP="000003CB">
            <w:pPr>
              <w:jc w:val="both"/>
            </w:pPr>
            <w:r>
              <w:t>- k</w:t>
            </w:r>
            <w:r w:rsidR="00AC36BF">
              <w:t>upona</w:t>
            </w:r>
            <w:r w:rsidR="00AC36BF" w:rsidRPr="000003CB">
              <w:t xml:space="preserve"> un stipendija</w:t>
            </w:r>
            <w:r w:rsidR="00AC36BF">
              <w:t>s izmaksas</w:t>
            </w:r>
            <w:r>
              <w:t>: 980 EUR;</w:t>
            </w:r>
          </w:p>
          <w:p w:rsidR="00AC36BF" w:rsidRPr="000003CB" w:rsidRDefault="005C12AD" w:rsidP="000003CB">
            <w:pPr>
              <w:jc w:val="both"/>
            </w:pPr>
            <w:r>
              <w:t>- a</w:t>
            </w:r>
            <w:r w:rsidR="00AC36BF">
              <w:t>tbalsts reģionālajai mobilitātei</w:t>
            </w:r>
            <w:r>
              <w:t>: 300 EUR;</w:t>
            </w:r>
          </w:p>
          <w:p w:rsidR="005C12AD" w:rsidRPr="000003CB" w:rsidRDefault="005C12AD" w:rsidP="000003CB">
            <w:pPr>
              <w:jc w:val="both"/>
            </w:pPr>
          </w:p>
          <w:p w:rsidR="00AC36BF" w:rsidRPr="000003CB" w:rsidRDefault="00AC36BF" w:rsidP="000003CB">
            <w:pPr>
              <w:jc w:val="both"/>
            </w:pPr>
            <w:r w:rsidRPr="000003CB">
              <w:t>2) Neformālā izglītības ieguve:</w:t>
            </w:r>
          </w:p>
          <w:p w:rsidR="00AC36BF" w:rsidRPr="000003CB" w:rsidRDefault="005C12AD" w:rsidP="000003CB">
            <w:pPr>
              <w:jc w:val="both"/>
            </w:pPr>
            <w:r>
              <w:t>- k</w:t>
            </w:r>
            <w:r w:rsidR="00AC36BF">
              <w:t>upona</w:t>
            </w:r>
            <w:r w:rsidR="00AC36BF" w:rsidRPr="000003CB">
              <w:t xml:space="preserve"> un stipendija</w:t>
            </w:r>
            <w:r w:rsidR="00AC36BF">
              <w:t>s izmaksas</w:t>
            </w:r>
            <w:r>
              <w:t>: 500 EUR;</w:t>
            </w:r>
          </w:p>
          <w:p w:rsidR="00AC36BF" w:rsidRPr="000003CB" w:rsidRDefault="005C12AD" w:rsidP="000003CB">
            <w:pPr>
              <w:jc w:val="both"/>
            </w:pPr>
            <w:r>
              <w:t>- a</w:t>
            </w:r>
            <w:r w:rsidR="00AC36BF">
              <w:t>tbalsts reģionālajai mobilitātei</w:t>
            </w:r>
            <w:r w:rsidR="007500F0">
              <w:t>: 130 EUR.</w:t>
            </w:r>
          </w:p>
          <w:p w:rsidR="005C12AD" w:rsidRDefault="005C12AD" w:rsidP="000003CB">
            <w:pPr>
              <w:jc w:val="both"/>
            </w:pPr>
          </w:p>
          <w:p w:rsidR="00AC36BF" w:rsidRPr="000003CB" w:rsidRDefault="00AC36BF" w:rsidP="000003CB">
            <w:pPr>
              <w:jc w:val="both"/>
            </w:pPr>
            <w:r w:rsidRPr="000003CB">
              <w:t>3) Valsts valodas apguve:</w:t>
            </w:r>
          </w:p>
          <w:p w:rsidR="00AC36BF" w:rsidRPr="000003CB" w:rsidRDefault="005C12AD" w:rsidP="000003CB">
            <w:pPr>
              <w:jc w:val="both"/>
            </w:pPr>
            <w:r>
              <w:t>- k</w:t>
            </w:r>
            <w:r w:rsidR="00AC36BF">
              <w:t>upona</w:t>
            </w:r>
            <w:r w:rsidR="00AC36BF" w:rsidRPr="000003CB">
              <w:t>, stipendija</w:t>
            </w:r>
            <w:r w:rsidR="00AC36BF">
              <w:t>s un eksāmena kārtošanas izmaksas</w:t>
            </w:r>
            <w:r>
              <w:t>: 536 EUR;</w:t>
            </w:r>
          </w:p>
          <w:p w:rsidR="00AC36BF" w:rsidRPr="000003CB" w:rsidRDefault="005C12AD" w:rsidP="000003CB">
            <w:pPr>
              <w:jc w:val="both"/>
            </w:pPr>
            <w:r>
              <w:t>- a</w:t>
            </w:r>
            <w:r w:rsidR="00AC36BF">
              <w:t>tbalsts reģionālajai mobilitātei</w:t>
            </w:r>
            <w:r w:rsidR="007500F0">
              <w:t>: 150 EUR.</w:t>
            </w:r>
          </w:p>
          <w:p w:rsidR="00AC36BF" w:rsidRDefault="00AC36BF" w:rsidP="003948D6">
            <w:pPr>
              <w:jc w:val="both"/>
            </w:pPr>
          </w:p>
          <w:p w:rsidR="00AC36BF" w:rsidRPr="003948D6" w:rsidRDefault="00AC36BF" w:rsidP="003948D6">
            <w:pPr>
              <w:ind w:left="57" w:right="113"/>
              <w:jc w:val="center"/>
              <w:rPr>
                <w:i/>
                <w:u w:val="single"/>
              </w:rPr>
            </w:pPr>
            <w:r>
              <w:rPr>
                <w:b/>
                <w:i/>
                <w:u w:val="single"/>
              </w:rPr>
              <w:t xml:space="preserve">4. </w:t>
            </w:r>
            <w:r w:rsidRPr="003948D6">
              <w:rPr>
                <w:b/>
                <w:i/>
                <w:u w:val="single"/>
              </w:rPr>
              <w:t>Profesionālā apmācība, pārkvalifikācija, kvalifikācijas paaugstināšana un neformālās izglītības ieguve Jauniešu garantijas ietvaros</w:t>
            </w:r>
          </w:p>
          <w:p w:rsidR="00AC36BF" w:rsidRDefault="00AC36BF" w:rsidP="0084516D">
            <w:pPr>
              <w:ind w:left="57" w:right="113"/>
              <w:jc w:val="both"/>
            </w:pPr>
          </w:p>
          <w:p w:rsidR="00AC36BF" w:rsidRPr="0088548E" w:rsidRDefault="00AC36BF" w:rsidP="0084516D">
            <w:pPr>
              <w:ind w:left="57" w:right="113"/>
              <w:jc w:val="both"/>
            </w:pPr>
            <w:r w:rsidRPr="0088548E">
              <w:t>63.07.00 apakšprogrammas (Jauniešu garantijas pasākumi) apmācību pasākumu (Profesionālās tālākizglītības un profesionālās pilnveides programmu īstenošana un Neformālās izglītības programmu īstenošana) plānotais kopējais finansējums (kopējās attiecināmās izmaksas) veido EUR 7 566 484, tai skaitā, Eiropas Sociālā fonda (turpmāk – ESF) finansējums EUR 3 609 970, valsts budžeta finansējums EUR 346 544, cits publiskais finansējums EUR 3 609 970.</w:t>
            </w:r>
          </w:p>
          <w:p w:rsidR="00AC36BF" w:rsidRPr="0088548E" w:rsidRDefault="00AC36BF" w:rsidP="0084516D">
            <w:pPr>
              <w:spacing w:before="120" w:after="120"/>
              <w:jc w:val="both"/>
            </w:pPr>
            <w:r w:rsidRPr="0088548E">
              <w:t xml:space="preserve"> Apmācību pasākumu vidējās izmaksas sastāda </w:t>
            </w:r>
            <w:r w:rsidRPr="0088548E">
              <w:rPr>
                <w:b/>
              </w:rPr>
              <w:t>936 EUR</w:t>
            </w:r>
            <w:r>
              <w:t xml:space="preserve"> un tā</w:t>
            </w:r>
            <w:r w:rsidRPr="0088548E">
              <w:t>s veido:</w:t>
            </w:r>
          </w:p>
          <w:p w:rsidR="00AC36BF" w:rsidRPr="0088548E" w:rsidRDefault="00AC36BF" w:rsidP="003D0A12">
            <w:pPr>
              <w:numPr>
                <w:ilvl w:val="0"/>
                <w:numId w:val="14"/>
              </w:numPr>
              <w:ind w:left="0" w:firstLine="37"/>
              <w:jc w:val="both"/>
            </w:pPr>
            <w:r w:rsidRPr="0088548E">
              <w:t xml:space="preserve">pirmā kvalifikācijas līmeņa profesionālās tālākizglītības </w:t>
            </w:r>
            <w:r w:rsidRPr="0088548E">
              <w:lastRenderedPageBreak/>
              <w:t xml:space="preserve">programmām ar mācību ilgumu 480 mācību stundas – 540 </w:t>
            </w:r>
            <w:r w:rsidRPr="003D0A12">
              <w:t>EUR</w:t>
            </w:r>
            <w:r w:rsidRPr="0088548E">
              <w:t>;</w:t>
            </w:r>
          </w:p>
          <w:p w:rsidR="00AC36BF" w:rsidRPr="0088548E" w:rsidRDefault="00AC36BF" w:rsidP="003D0A12">
            <w:pPr>
              <w:numPr>
                <w:ilvl w:val="0"/>
                <w:numId w:val="14"/>
              </w:numPr>
              <w:ind w:left="0" w:firstLine="37"/>
              <w:jc w:val="both"/>
            </w:pPr>
            <w:r w:rsidRPr="0088548E">
              <w:t xml:space="preserve">otrā kvalifikācijas līmeņa profesionālās tālākizglītības programmām ar mācību ilgumu 480 mācību stundas – 540 </w:t>
            </w:r>
            <w:r w:rsidRPr="003D0A12">
              <w:t>EUR</w:t>
            </w:r>
            <w:r>
              <w:rPr>
                <w:i/>
              </w:rPr>
              <w:t xml:space="preserve"> </w:t>
            </w:r>
            <w:r w:rsidRPr="0088548E">
              <w:t xml:space="preserve">vai ar mācību ilgumu 640 mācību stundas – 720 </w:t>
            </w:r>
            <w:r w:rsidRPr="003D0A12">
              <w:t>EUR</w:t>
            </w:r>
            <w:r w:rsidRPr="0088548E">
              <w:t>;</w:t>
            </w:r>
          </w:p>
          <w:p w:rsidR="00AC36BF" w:rsidRPr="0088548E" w:rsidRDefault="00AC36BF" w:rsidP="003D0A12">
            <w:pPr>
              <w:numPr>
                <w:ilvl w:val="0"/>
                <w:numId w:val="14"/>
              </w:numPr>
              <w:ind w:left="0" w:firstLine="37"/>
              <w:jc w:val="both"/>
            </w:pPr>
            <w:r w:rsidRPr="0088548E">
              <w:t xml:space="preserve">trešā kvalifikācijas līmeņa profesionālās tālākizglītības programmām ar mācību ilgumu no 960 līdz 1280 mācību stundām – 1100 </w:t>
            </w:r>
            <w:r w:rsidRPr="003D0A12">
              <w:t>EUR</w:t>
            </w:r>
            <w:r w:rsidRPr="0088548E">
              <w:t>;</w:t>
            </w:r>
          </w:p>
          <w:p w:rsidR="00AC36BF" w:rsidRPr="0088548E" w:rsidRDefault="00AC36BF" w:rsidP="003D0A12">
            <w:pPr>
              <w:numPr>
                <w:ilvl w:val="0"/>
                <w:numId w:val="14"/>
              </w:numPr>
              <w:ind w:left="0" w:firstLine="37"/>
              <w:jc w:val="both"/>
            </w:pPr>
            <w:r w:rsidRPr="0088548E">
              <w:t xml:space="preserve">profesionālās pilnveides izglītības programmām ar mācību ilgumu no 160 līdz 320 mācību stundām – 360 </w:t>
            </w:r>
            <w:r w:rsidRPr="003D0A12">
              <w:t>EUR</w:t>
            </w:r>
            <w:r>
              <w:t>;</w:t>
            </w:r>
          </w:p>
          <w:p w:rsidR="00AC36BF" w:rsidRPr="0088548E" w:rsidRDefault="00AC36BF" w:rsidP="003D0A12">
            <w:pPr>
              <w:numPr>
                <w:ilvl w:val="0"/>
                <w:numId w:val="14"/>
              </w:numPr>
              <w:ind w:left="0" w:firstLine="37"/>
              <w:jc w:val="both"/>
            </w:pPr>
            <w:r w:rsidRPr="0088548E">
              <w:t xml:space="preserve">neformālās izglītības programmām, kuru mācību ilgums ir no 60 līdz 159 mācību stundām, apmācību kupona vērtības noteikšanai viena bezdarbnieka apmācībai izmanto likmi 4,50 </w:t>
            </w:r>
            <w:r w:rsidRPr="003D0A12">
              <w:t>EUR</w:t>
            </w:r>
            <w:r>
              <w:rPr>
                <w:i/>
              </w:rPr>
              <w:t xml:space="preserve"> </w:t>
            </w:r>
            <w:r w:rsidRPr="0088548E">
              <w:t xml:space="preserve">par mācību stundu, kopā nepārsniedzot 360 </w:t>
            </w:r>
            <w:r w:rsidRPr="003D0A12">
              <w:t>EUR</w:t>
            </w:r>
            <w:r w:rsidRPr="0088548E">
              <w:t>;</w:t>
            </w:r>
          </w:p>
          <w:p w:rsidR="00AC36BF" w:rsidRPr="0088548E" w:rsidRDefault="00AC36BF" w:rsidP="003D0A12">
            <w:pPr>
              <w:numPr>
                <w:ilvl w:val="0"/>
                <w:numId w:val="14"/>
              </w:numPr>
              <w:ind w:left="0" w:firstLine="37"/>
              <w:jc w:val="both"/>
            </w:pPr>
            <w:r w:rsidRPr="0088548E">
              <w:t xml:space="preserve">transportlīdzekļu vadītāju apmācībai piemēro likmi 8,60 </w:t>
            </w:r>
            <w:r w:rsidRPr="003D0A12">
              <w:t xml:space="preserve">EUR </w:t>
            </w:r>
            <w:r w:rsidRPr="0088548E">
              <w:t>par mācību stundu, kopā nepārsniedzot 670</w:t>
            </w:r>
            <w:r w:rsidRPr="0088548E">
              <w:rPr>
                <w:i/>
              </w:rPr>
              <w:t xml:space="preserve"> </w:t>
            </w:r>
            <w:r w:rsidRPr="003D0A12">
              <w:t>EUR</w:t>
            </w:r>
            <w:r w:rsidRPr="0088548E">
              <w:t>;</w:t>
            </w:r>
          </w:p>
          <w:p w:rsidR="00AC36BF" w:rsidRPr="0088548E" w:rsidRDefault="00AC36BF" w:rsidP="003D0A12">
            <w:pPr>
              <w:numPr>
                <w:ilvl w:val="0"/>
                <w:numId w:val="14"/>
              </w:numPr>
              <w:ind w:left="0" w:firstLine="37"/>
              <w:jc w:val="both"/>
            </w:pPr>
            <w:r w:rsidRPr="0088548E">
              <w:t xml:space="preserve">A un B kategorijas traktortehnikas vadītāju apmācību, kupona vērtības noteikšanai viena bezdarbnieka apmācībai izmanto likmi 5,70 </w:t>
            </w:r>
            <w:r>
              <w:rPr>
                <w:i/>
              </w:rPr>
              <w:t>EUR</w:t>
            </w:r>
            <w:r w:rsidRPr="0088548E">
              <w:rPr>
                <w:i/>
              </w:rPr>
              <w:t xml:space="preserve"> </w:t>
            </w:r>
            <w:r w:rsidRPr="0088548E">
              <w:t xml:space="preserve">par mācību stundu, kopā nepārsniedzot 640 </w:t>
            </w:r>
            <w:r w:rsidRPr="003D0A12">
              <w:t>EUR</w:t>
            </w:r>
            <w:r w:rsidRPr="0088548E">
              <w:t>;</w:t>
            </w:r>
          </w:p>
          <w:p w:rsidR="00AC36BF" w:rsidRPr="0088548E" w:rsidRDefault="00AC36BF" w:rsidP="003D0A12">
            <w:pPr>
              <w:numPr>
                <w:ilvl w:val="0"/>
                <w:numId w:val="14"/>
              </w:numPr>
              <w:ind w:left="0" w:firstLine="37"/>
              <w:jc w:val="both"/>
            </w:pPr>
            <w:r w:rsidRPr="0088548E">
              <w:t xml:space="preserve">C, E, F un G kategorijas traktortehnikas vadītāju apmācību, kupona vērtības noteikšanai viena bezdarbnieka apmācībai izmanto likmi 5,70 </w:t>
            </w:r>
            <w:r w:rsidRPr="003D0A12">
              <w:t xml:space="preserve">EUR </w:t>
            </w:r>
            <w:r w:rsidRPr="0088548E">
              <w:t xml:space="preserve">par mācību stundu, kopā nepārsniedzot 1070 </w:t>
            </w:r>
            <w:r w:rsidRPr="003D0A12">
              <w:t>EUR</w:t>
            </w:r>
            <w:r w:rsidRPr="0088548E">
              <w:t>;</w:t>
            </w:r>
          </w:p>
          <w:p w:rsidR="00AC36BF" w:rsidRPr="0088548E" w:rsidRDefault="00AC36BF" w:rsidP="003D0A12">
            <w:pPr>
              <w:numPr>
                <w:ilvl w:val="0"/>
                <w:numId w:val="14"/>
              </w:numPr>
              <w:ind w:left="0" w:firstLine="37"/>
              <w:rPr>
                <w:bCs/>
              </w:rPr>
            </w:pPr>
            <w:r w:rsidRPr="0088548E">
              <w:rPr>
                <w:bCs/>
              </w:rPr>
              <w:t xml:space="preserve">izdevumu segšana par individuālajiem aizsardzības līdzekļiem uzsākot darbu – līdz 50 </w:t>
            </w:r>
            <w:r w:rsidRPr="003D0A12">
              <w:rPr>
                <w:bCs/>
              </w:rPr>
              <w:t>EUR</w:t>
            </w:r>
            <w:r>
              <w:rPr>
                <w:bCs/>
              </w:rPr>
              <w:t>;</w:t>
            </w:r>
          </w:p>
          <w:p w:rsidR="00AC36BF" w:rsidRPr="0088548E" w:rsidRDefault="00AC36BF" w:rsidP="003D0A12">
            <w:pPr>
              <w:numPr>
                <w:ilvl w:val="0"/>
                <w:numId w:val="14"/>
              </w:numPr>
              <w:ind w:left="0" w:firstLine="37"/>
              <w:jc w:val="both"/>
              <w:rPr>
                <w:bCs/>
              </w:rPr>
            </w:pPr>
            <w:r w:rsidRPr="0088548E">
              <w:t>dotācija darba devējam pasākumos iesaistīto bezdarbnieku darba vadītāja ikmēneša darba algai 50 % apmērā no valstī noteiktās minimālās mēneša darba algas apmēra (160 EUR);</w:t>
            </w:r>
          </w:p>
          <w:p w:rsidR="00AC36BF" w:rsidRPr="0088548E" w:rsidRDefault="00AC36BF" w:rsidP="003D0A12">
            <w:pPr>
              <w:numPr>
                <w:ilvl w:val="0"/>
                <w:numId w:val="14"/>
              </w:numPr>
              <w:ind w:left="0" w:firstLine="37"/>
              <w:jc w:val="both"/>
            </w:pPr>
            <w:r w:rsidRPr="0088548E">
              <w:t xml:space="preserve">lai pielāgotu praktiskās apmācības vietu bezdarbniekiem ar invaliditāti atbilstoši ergoterapeita atzinumam - ne vairāk kā 711 </w:t>
            </w:r>
            <w:r w:rsidRPr="003D0A12">
              <w:rPr>
                <w:iCs/>
              </w:rPr>
              <w:t>EUR</w:t>
            </w:r>
            <w:r>
              <w:rPr>
                <w:i/>
                <w:iCs/>
              </w:rPr>
              <w:t xml:space="preserve"> </w:t>
            </w:r>
            <w:r w:rsidRPr="0088548E">
              <w:t xml:space="preserve">vienai </w:t>
            </w:r>
            <w:r>
              <w:t>darba</w:t>
            </w:r>
            <w:r w:rsidRPr="0088548E">
              <w:t>vietai (plānots, ka šāda veida atbalsts būs nepieciešams 1% no visiem pasākumu dalībniekiem);</w:t>
            </w:r>
          </w:p>
          <w:p w:rsidR="00AC36BF" w:rsidRPr="0088548E" w:rsidRDefault="00AC36BF" w:rsidP="003D0A12">
            <w:pPr>
              <w:numPr>
                <w:ilvl w:val="0"/>
                <w:numId w:val="14"/>
              </w:numPr>
              <w:ind w:left="0" w:firstLine="37"/>
              <w:jc w:val="both"/>
            </w:pPr>
            <w:r w:rsidRPr="0088548E">
              <w:t xml:space="preserve">dotācija izdevumu segšanai par veselības pārbaužu veikšanu bezdarbniekiem ar invaliditāti, ja tās paredzētas normatīvajos aktos par obligātajām veselības pārbaudēm - 28,46 </w:t>
            </w:r>
            <w:r w:rsidRPr="003D0A12">
              <w:rPr>
                <w:iCs/>
              </w:rPr>
              <w:t>EUR</w:t>
            </w:r>
            <w:r>
              <w:t>;</w:t>
            </w:r>
          </w:p>
          <w:p w:rsidR="00AC36BF" w:rsidRPr="0088548E" w:rsidRDefault="00AC36BF" w:rsidP="0084516D"/>
          <w:p w:rsidR="00AC36BF" w:rsidRPr="0088548E" w:rsidRDefault="00AC36BF" w:rsidP="0084516D">
            <w:pPr>
              <w:jc w:val="both"/>
            </w:pPr>
            <w:r w:rsidRPr="0088548E">
              <w:t xml:space="preserve">Reģionālās mobilitātes atbalsts personām, kas piedalās apmācību pasākumos pasākumā – avanss 100 </w:t>
            </w:r>
            <w:r w:rsidRPr="003D0A12">
              <w:rPr>
                <w:iCs/>
              </w:rPr>
              <w:t>EUR</w:t>
            </w:r>
            <w:r w:rsidRPr="0088548E">
              <w:rPr>
                <w:i/>
                <w:iCs/>
              </w:rPr>
              <w:t xml:space="preserve"> </w:t>
            </w:r>
            <w:r w:rsidRPr="0088548E">
              <w:rPr>
                <w:bCs/>
              </w:rPr>
              <w:t xml:space="preserve">par pirmo apmācību mēnesi nākamajiem apmācību mēnešiem līdz 100 </w:t>
            </w:r>
            <w:r w:rsidRPr="003D0A12">
              <w:rPr>
                <w:bCs/>
              </w:rPr>
              <w:t>EUR</w:t>
            </w:r>
            <w:r w:rsidRPr="0088548E">
              <w:rPr>
                <w:bCs/>
                <w:i/>
              </w:rPr>
              <w:t xml:space="preserve"> </w:t>
            </w:r>
            <w:r w:rsidRPr="0088548E">
              <w:rPr>
                <w:bCs/>
              </w:rPr>
              <w:t xml:space="preserve">mēnesī atkarībā no izmaksām, kas radušās pirmajā mēnesī. </w:t>
            </w:r>
            <w:r w:rsidRPr="0088548E">
              <w:t>Tiek plānots, ka reģionālās mobilitātes atbalstam varētu pieteikties vidēji 60% no visiem pasākumu dalībniekiem, vidējās izmaksas uz vienu jaunieti bezdarbnieku</w:t>
            </w:r>
            <w:r>
              <w:t xml:space="preserve"> -</w:t>
            </w:r>
            <w:r w:rsidRPr="0088548E">
              <w:t xml:space="preserve"> 420 EUR.</w:t>
            </w:r>
          </w:p>
          <w:p w:rsidR="00AC36BF" w:rsidRPr="003D0A12" w:rsidRDefault="00AC36BF" w:rsidP="003670FB">
            <w:pPr>
              <w:jc w:val="both"/>
            </w:pPr>
          </w:p>
        </w:tc>
      </w:tr>
      <w:tr w:rsidR="00AC36BF" w:rsidTr="001401BD">
        <w:tc>
          <w:tcPr>
            <w:tcW w:w="2193" w:type="dxa"/>
            <w:shd w:val="clear" w:color="auto" w:fill="auto"/>
          </w:tcPr>
          <w:p w:rsidR="00AC36BF" w:rsidRPr="006A7D0B" w:rsidRDefault="00AC36BF" w:rsidP="00DB4594">
            <w:pPr>
              <w:rPr>
                <w:sz w:val="22"/>
                <w:szCs w:val="22"/>
              </w:rPr>
            </w:pPr>
            <w:r w:rsidRPr="006A7D0B">
              <w:rPr>
                <w:sz w:val="22"/>
                <w:szCs w:val="22"/>
              </w:rPr>
              <w:t>6.2. Detalizēts izdevumu aprēķins</w:t>
            </w:r>
          </w:p>
        </w:tc>
        <w:tc>
          <w:tcPr>
            <w:tcW w:w="7094" w:type="dxa"/>
            <w:gridSpan w:val="5"/>
            <w:vMerge/>
            <w:shd w:val="clear" w:color="auto" w:fill="auto"/>
          </w:tcPr>
          <w:p w:rsidR="00AC36BF" w:rsidRDefault="00AC36BF" w:rsidP="006A7D0B">
            <w:pPr>
              <w:jc w:val="both"/>
            </w:pPr>
          </w:p>
        </w:tc>
      </w:tr>
      <w:tr w:rsidR="00AC36BF" w:rsidTr="001401BD">
        <w:tc>
          <w:tcPr>
            <w:tcW w:w="2193" w:type="dxa"/>
            <w:shd w:val="clear" w:color="auto" w:fill="auto"/>
          </w:tcPr>
          <w:p w:rsidR="00AC36BF" w:rsidRPr="006A7D0B" w:rsidRDefault="00AC36BF" w:rsidP="006A7D0B">
            <w:pPr>
              <w:jc w:val="both"/>
              <w:rPr>
                <w:sz w:val="22"/>
                <w:szCs w:val="22"/>
              </w:rPr>
            </w:pPr>
            <w:r w:rsidRPr="006A7D0B">
              <w:rPr>
                <w:sz w:val="22"/>
                <w:szCs w:val="22"/>
              </w:rPr>
              <w:lastRenderedPageBreak/>
              <w:t>7. Cita informācija</w:t>
            </w:r>
          </w:p>
        </w:tc>
        <w:tc>
          <w:tcPr>
            <w:tcW w:w="7094" w:type="dxa"/>
            <w:gridSpan w:val="5"/>
            <w:shd w:val="clear" w:color="auto" w:fill="auto"/>
          </w:tcPr>
          <w:p w:rsidR="00AC36BF" w:rsidRPr="00D338F6" w:rsidRDefault="00AC36BF" w:rsidP="002640D9">
            <w:pPr>
              <w:pStyle w:val="naiskr"/>
              <w:spacing w:before="0" w:after="0"/>
              <w:jc w:val="both"/>
            </w:pPr>
            <w:r>
              <w:t>Nav.</w:t>
            </w:r>
          </w:p>
          <w:p w:rsidR="00AC36BF" w:rsidRPr="002640D9" w:rsidRDefault="00AC36BF" w:rsidP="002640D9">
            <w:pPr>
              <w:pStyle w:val="naiskr"/>
              <w:spacing w:before="0" w:after="0"/>
              <w:jc w:val="both"/>
              <w:rPr>
                <w:i/>
                <w:color w:val="FF0000"/>
              </w:rPr>
            </w:pPr>
          </w:p>
        </w:tc>
      </w:tr>
    </w:tbl>
    <w:p w:rsidR="001401BD" w:rsidRDefault="001401BD"/>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1969"/>
      </w:tblGrid>
      <w:tr w:rsidR="001401BD" w:rsidRPr="001401BD" w:rsidTr="001401BD">
        <w:trPr>
          <w:trHeight w:val="421"/>
          <w:jc w:val="center"/>
        </w:trPr>
        <w:tc>
          <w:tcPr>
            <w:tcW w:w="9315" w:type="dxa"/>
            <w:gridSpan w:val="8"/>
            <w:tcBorders>
              <w:top w:val="single" w:sz="4" w:space="0" w:color="auto"/>
              <w:left w:val="single" w:sz="4" w:space="0" w:color="auto"/>
              <w:bottom w:val="single" w:sz="4" w:space="0" w:color="auto"/>
              <w:right w:val="single" w:sz="4" w:space="0" w:color="auto"/>
            </w:tcBorders>
            <w:vAlign w:val="center"/>
          </w:tcPr>
          <w:p w:rsidR="001401BD" w:rsidRPr="001401BD" w:rsidRDefault="001401BD" w:rsidP="001401BD">
            <w:pPr>
              <w:rPr>
                <w:rFonts w:eastAsia="Calibri"/>
                <w:b/>
                <w:lang w:eastAsia="en-US"/>
              </w:rPr>
            </w:pPr>
            <w:r w:rsidRPr="001401BD">
              <w:rPr>
                <w:rFonts w:eastAsia="Calibri"/>
                <w:b/>
                <w:lang w:eastAsia="en-US"/>
              </w:rPr>
              <w:t>V. Tiesību akta projekta atbilstība Latvijas Republikas starptautiskajām saistībām</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1.</w:t>
            </w:r>
          </w:p>
        </w:tc>
        <w:tc>
          <w:tcPr>
            <w:tcW w:w="2686"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Saistības pret Eiropas Savienību</w:t>
            </w:r>
          </w:p>
        </w:tc>
        <w:tc>
          <w:tcPr>
            <w:tcW w:w="6116" w:type="dxa"/>
            <w:gridSpan w:val="4"/>
            <w:tcBorders>
              <w:top w:val="outset" w:sz="6" w:space="0" w:color="auto"/>
              <w:left w:val="outset" w:sz="6" w:space="0" w:color="auto"/>
              <w:bottom w:val="outset" w:sz="6" w:space="0" w:color="auto"/>
              <w:right w:val="outset" w:sz="6" w:space="0" w:color="auto"/>
            </w:tcBorders>
          </w:tcPr>
          <w:p w:rsidR="001401BD" w:rsidRPr="001401BD" w:rsidRDefault="001401BD" w:rsidP="001401BD">
            <w:pPr>
              <w:ind w:left="57" w:right="113"/>
              <w:jc w:val="both"/>
              <w:rPr>
                <w:rFonts w:eastAsia="Calibri"/>
                <w:lang w:eastAsia="en-US"/>
              </w:rPr>
            </w:pPr>
            <w:r w:rsidRPr="001401BD">
              <w:rPr>
                <w:rFonts w:eastAsia="Calibri"/>
                <w:lang w:eastAsia="en-US"/>
              </w:rPr>
              <w:t xml:space="preserve">Noteikumu projekts paredz, ka finanšu atbalsts finansējuma saņēmējam tiek sniegts saskaņā ar: </w:t>
            </w:r>
          </w:p>
          <w:p w:rsidR="001401BD" w:rsidRPr="001401BD" w:rsidRDefault="001401BD" w:rsidP="001401BD">
            <w:pPr>
              <w:ind w:left="57" w:right="113"/>
              <w:jc w:val="both"/>
              <w:rPr>
                <w:rFonts w:eastAsia="Calibri"/>
                <w:lang w:eastAsia="en-US"/>
              </w:rPr>
            </w:pPr>
            <w:r w:rsidRPr="001401BD">
              <w:rPr>
                <w:rFonts w:eastAsia="Calibri"/>
                <w:lang w:eastAsia="en-US"/>
              </w:rPr>
              <w:t xml:space="preserve">1) Komisijas 2013. gada 18. decembra Regulu (ES) Nr. </w:t>
            </w:r>
            <w:r w:rsidRPr="001401BD">
              <w:rPr>
                <w:rFonts w:eastAsia="Calibri"/>
                <w:lang w:eastAsia="en-US"/>
              </w:rPr>
              <w:lastRenderedPageBreak/>
              <w:t xml:space="preserve">1407/2013 par Līguma par Eiropas Savienības darbību 107. un 108. panta piemērošanu </w:t>
            </w:r>
            <w:r w:rsidRPr="001401BD">
              <w:rPr>
                <w:rFonts w:eastAsia="Calibri"/>
                <w:i/>
                <w:lang w:eastAsia="en-US"/>
              </w:rPr>
              <w:t>de minimis</w:t>
            </w:r>
            <w:r w:rsidRPr="001401BD">
              <w:rPr>
                <w:rFonts w:eastAsia="Calibri"/>
                <w:lang w:eastAsia="en-US"/>
              </w:rPr>
              <w:t xml:space="preserve"> atbalstam (Eiropas Savienības Oficiālais Vēstnesis, 2013. gada 24. decembris, Nr. L 352/1) (turpmāk – Komisijas regula Nr. 1407/2013);</w:t>
            </w:r>
          </w:p>
          <w:p w:rsidR="001401BD" w:rsidRPr="001401BD" w:rsidRDefault="001401BD" w:rsidP="001401BD">
            <w:pPr>
              <w:ind w:left="57" w:right="113"/>
              <w:jc w:val="both"/>
              <w:rPr>
                <w:rFonts w:eastAsia="Calibri"/>
                <w:lang w:eastAsia="en-US"/>
              </w:rPr>
            </w:pPr>
            <w:r w:rsidRPr="001401BD">
              <w:rPr>
                <w:rFonts w:eastAsia="Calibri"/>
                <w:lang w:eastAsia="en-US"/>
              </w:rPr>
              <w:t xml:space="preserve">2) Komisijas 2014. gada 27. jūnija Regulu (EK) Nr. 717/2014 par Līguma par Eiropas Savienības darbību 107. un 108. panta piemērošanu </w:t>
            </w:r>
            <w:r w:rsidRPr="001401BD">
              <w:rPr>
                <w:rFonts w:eastAsia="Calibri"/>
                <w:i/>
                <w:lang w:eastAsia="en-US"/>
              </w:rPr>
              <w:t>de minimis</w:t>
            </w:r>
            <w:r w:rsidRPr="001401BD">
              <w:rPr>
                <w:rFonts w:eastAsia="Calibri"/>
                <w:lang w:eastAsia="en-US"/>
              </w:rPr>
              <w:t xml:space="preserve"> atbalstam zvejniecības un akvakultūras nozarē (Eiropas Savienības Oficiālais Vēstnesis, 2014. gada 28. jūnijs, Nr. L 190/45) (turpmāk – Komisijas regula Nr. 717/2014) attiecībā uz zivsaimniecības uzņēmumiem, kas darbojas saskaņā ar Eiropas Parlamenta un Padomes 2013. gada 11. decembra Regulu (ES) Nr. 1379/2013 par zvejas un akvakultūras produktu tirgu kopīgo organizāciju;</w:t>
            </w:r>
          </w:p>
          <w:p w:rsidR="001401BD" w:rsidRPr="001401BD" w:rsidRDefault="001401BD" w:rsidP="001401BD">
            <w:pPr>
              <w:ind w:left="57" w:right="113"/>
              <w:jc w:val="both"/>
              <w:rPr>
                <w:rFonts w:eastAsia="Calibri"/>
                <w:lang w:eastAsia="en-US"/>
              </w:rPr>
            </w:pPr>
            <w:r w:rsidRPr="001401BD">
              <w:rPr>
                <w:rFonts w:eastAsia="Calibri"/>
                <w:lang w:eastAsia="en-US"/>
              </w:rPr>
              <w:t xml:space="preserve">3) Komisijas 2013. gada 18. decembra Regulu (ES) Nr. 1408/2013 par Līguma par Eiropas Savienības darbību 107. un 108. panta piemērošanu </w:t>
            </w:r>
            <w:r w:rsidRPr="001401BD">
              <w:rPr>
                <w:rFonts w:eastAsia="Calibri"/>
                <w:i/>
                <w:lang w:eastAsia="en-US"/>
              </w:rPr>
              <w:t>de minimis</w:t>
            </w:r>
            <w:r w:rsidRPr="001401BD">
              <w:rPr>
                <w:rFonts w:eastAsia="Calibri"/>
                <w:lang w:eastAsia="en-US"/>
              </w:rPr>
              <w:t xml:space="preserve"> atbalstam lauksaimniecības nozarē (Eiropas Savienības Oficiālais Vēstnesis, 2013. gada 24. decembris, Nr. L 352/9) (turpmāk – Komisijas regula Nr. 1408/2013).</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lastRenderedPageBreak/>
              <w:t>2.</w:t>
            </w:r>
          </w:p>
        </w:tc>
        <w:tc>
          <w:tcPr>
            <w:tcW w:w="2686"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Citas starptautiskās saistības</w:t>
            </w:r>
          </w:p>
        </w:tc>
        <w:tc>
          <w:tcPr>
            <w:tcW w:w="6116" w:type="dxa"/>
            <w:gridSpan w:val="4"/>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Noteikumu projekts šo jomu neskar.</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3.</w:t>
            </w:r>
          </w:p>
        </w:tc>
        <w:tc>
          <w:tcPr>
            <w:tcW w:w="2686"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Cita informācija</w:t>
            </w:r>
          </w:p>
        </w:tc>
        <w:tc>
          <w:tcPr>
            <w:tcW w:w="6116" w:type="dxa"/>
            <w:gridSpan w:val="4"/>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Nav.</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315" w:type="dxa"/>
            <w:gridSpan w:val="8"/>
            <w:tcBorders>
              <w:top w:val="outset" w:sz="6" w:space="0" w:color="auto"/>
              <w:left w:val="outset" w:sz="6" w:space="0" w:color="auto"/>
              <w:bottom w:val="outset" w:sz="6" w:space="0" w:color="auto"/>
              <w:right w:val="outset" w:sz="6" w:space="0" w:color="auto"/>
            </w:tcBorders>
            <w:vAlign w:val="center"/>
          </w:tcPr>
          <w:p w:rsidR="001401BD" w:rsidRPr="001401BD" w:rsidRDefault="001401BD" w:rsidP="001401BD">
            <w:pPr>
              <w:rPr>
                <w:rFonts w:eastAsia="Calibri"/>
                <w:b/>
                <w:lang w:eastAsia="en-US"/>
              </w:rPr>
            </w:pPr>
            <w:r w:rsidRPr="001401BD">
              <w:rPr>
                <w:rFonts w:eastAsia="Calibri"/>
                <w:b/>
                <w:lang w:eastAsia="en-US"/>
              </w:rPr>
              <w:t>1.tabula</w:t>
            </w:r>
          </w:p>
          <w:p w:rsidR="001401BD" w:rsidRPr="001401BD" w:rsidRDefault="001401BD" w:rsidP="001401BD">
            <w:pPr>
              <w:rPr>
                <w:rFonts w:eastAsia="Calibri"/>
                <w:lang w:eastAsia="en-US"/>
              </w:rPr>
            </w:pPr>
            <w:r w:rsidRPr="001401BD">
              <w:rPr>
                <w:rFonts w:eastAsia="Calibri"/>
                <w:b/>
                <w:lang w:eastAsia="en-US"/>
              </w:rPr>
              <w:t>Tiesību akta projekta atbilstība ES tiesību aktiem</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Attiecīgā ES tiesību akta datums, numurs un nosaukums</w:t>
            </w:r>
          </w:p>
        </w:tc>
        <w:tc>
          <w:tcPr>
            <w:tcW w:w="7117" w:type="dxa"/>
            <w:gridSpan w:val="6"/>
            <w:tcBorders>
              <w:top w:val="outset" w:sz="6" w:space="0" w:color="auto"/>
              <w:left w:val="outset" w:sz="6" w:space="0" w:color="auto"/>
              <w:bottom w:val="outset" w:sz="6" w:space="0" w:color="auto"/>
              <w:right w:val="outset" w:sz="6" w:space="0" w:color="auto"/>
            </w:tcBorders>
          </w:tcPr>
          <w:p w:rsidR="001401BD" w:rsidRPr="001401BD" w:rsidRDefault="001401BD" w:rsidP="001401BD">
            <w:pPr>
              <w:ind w:left="57" w:right="113"/>
              <w:rPr>
                <w:rFonts w:eastAsia="Calibri"/>
                <w:lang w:eastAsia="en-US"/>
              </w:rPr>
            </w:pPr>
            <w:r w:rsidRPr="001401BD">
              <w:rPr>
                <w:rFonts w:eastAsia="Calibri"/>
                <w:lang w:eastAsia="en-US"/>
              </w:rPr>
              <w:t>Komisijas regula Nr.1407/2013;</w:t>
            </w:r>
          </w:p>
          <w:p w:rsidR="001401BD" w:rsidRPr="001401BD" w:rsidRDefault="001401BD" w:rsidP="001401BD">
            <w:pPr>
              <w:ind w:left="57" w:right="113"/>
              <w:rPr>
                <w:rFonts w:eastAsia="Calibri"/>
                <w:lang w:eastAsia="en-US"/>
              </w:rPr>
            </w:pPr>
            <w:r w:rsidRPr="001401BD">
              <w:rPr>
                <w:rFonts w:eastAsia="Calibri"/>
                <w:lang w:eastAsia="en-US"/>
              </w:rPr>
              <w:t>Komisijas regula Nr.717/2014;</w:t>
            </w:r>
          </w:p>
          <w:p w:rsidR="001401BD" w:rsidRPr="00943EA9" w:rsidRDefault="001401BD" w:rsidP="00943EA9">
            <w:pPr>
              <w:ind w:left="57" w:right="113"/>
              <w:rPr>
                <w:rFonts w:ascii="Calibri" w:eastAsia="Calibri" w:hAnsi="Calibri"/>
                <w:sz w:val="22"/>
                <w:szCs w:val="22"/>
                <w:lang w:eastAsia="en-US"/>
              </w:rPr>
            </w:pPr>
            <w:r w:rsidRPr="001401BD">
              <w:rPr>
                <w:rFonts w:eastAsia="Calibri"/>
                <w:lang w:eastAsia="en-US"/>
              </w:rPr>
              <w:t>Komisijas regula Nr.1408/2013;</w:t>
            </w:r>
            <w:r w:rsidRPr="001401BD">
              <w:rPr>
                <w:rFonts w:ascii="Calibri" w:eastAsia="Calibri" w:hAnsi="Calibri"/>
                <w:sz w:val="22"/>
                <w:szCs w:val="22"/>
                <w:lang w:eastAsia="en-US"/>
              </w:rPr>
              <w:t xml:space="preserve"> </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rsidR="001401BD" w:rsidRPr="001401BD" w:rsidRDefault="001401BD" w:rsidP="001401BD">
            <w:pPr>
              <w:rPr>
                <w:rFonts w:eastAsia="Calibri"/>
                <w:lang w:eastAsia="en-US"/>
              </w:rPr>
            </w:pPr>
            <w:r w:rsidRPr="001401BD">
              <w:rPr>
                <w:rFonts w:eastAsia="Calibri"/>
                <w:lang w:eastAsia="en-US"/>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rsidR="001401BD" w:rsidRPr="001401BD" w:rsidRDefault="001401BD" w:rsidP="001401BD">
            <w:pPr>
              <w:rPr>
                <w:rFonts w:eastAsia="Calibri"/>
                <w:lang w:eastAsia="en-US"/>
              </w:rPr>
            </w:pPr>
            <w:r w:rsidRPr="001401BD">
              <w:rPr>
                <w:rFonts w:eastAsia="Calibri"/>
                <w:lang w:eastAsia="en-US"/>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rsidR="001401BD" w:rsidRPr="001401BD" w:rsidRDefault="001401BD" w:rsidP="001401BD">
            <w:pPr>
              <w:rPr>
                <w:rFonts w:eastAsia="Calibri"/>
                <w:lang w:eastAsia="en-US"/>
              </w:rPr>
            </w:pPr>
            <w:r w:rsidRPr="001401BD">
              <w:rPr>
                <w:rFonts w:eastAsia="Calibri"/>
                <w:lang w:eastAsia="en-US"/>
              </w:rPr>
              <w:t>C</w:t>
            </w:r>
          </w:p>
        </w:tc>
        <w:tc>
          <w:tcPr>
            <w:tcW w:w="1969" w:type="dxa"/>
            <w:tcBorders>
              <w:top w:val="outset" w:sz="6" w:space="0" w:color="auto"/>
              <w:left w:val="outset" w:sz="6" w:space="0" w:color="auto"/>
              <w:bottom w:val="outset" w:sz="6" w:space="0" w:color="auto"/>
              <w:right w:val="outset" w:sz="6" w:space="0" w:color="auto"/>
            </w:tcBorders>
            <w:vAlign w:val="center"/>
          </w:tcPr>
          <w:p w:rsidR="001401BD" w:rsidRPr="001401BD" w:rsidRDefault="001401BD" w:rsidP="001401BD">
            <w:pPr>
              <w:rPr>
                <w:rFonts w:eastAsia="Calibri"/>
                <w:lang w:eastAsia="en-US"/>
              </w:rPr>
            </w:pPr>
            <w:r w:rsidRPr="001401BD">
              <w:rPr>
                <w:rFonts w:eastAsia="Calibri"/>
                <w:lang w:eastAsia="en-US"/>
              </w:rPr>
              <w:t>D</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Informācija par to, vai šīs tabulas A ailē minētās ES tiesību akta vienības tiek pārņemtas vai ieviestas pilnībā vai daļēji.</w:t>
            </w:r>
          </w:p>
          <w:p w:rsidR="001401BD" w:rsidRPr="001401BD" w:rsidRDefault="001401BD" w:rsidP="001401BD">
            <w:pPr>
              <w:rPr>
                <w:rFonts w:eastAsia="Calibri"/>
                <w:lang w:eastAsia="en-US"/>
              </w:rPr>
            </w:pPr>
            <w:r w:rsidRPr="001401BD">
              <w:rPr>
                <w:rFonts w:eastAsia="Calibri"/>
                <w:lang w:eastAsia="en-US"/>
              </w:rPr>
              <w:t>Ja attiecīgā ES tiesību akta vienība tiek pārņemta vai ieviesta daļēji, sniedz attiecīgu skaidrojumu, kā arī precīzi norāda, kad un kādā veidā ES tiesību akta vienība tiks pārņemta vai ieviesta pilnībā.</w:t>
            </w:r>
          </w:p>
          <w:p w:rsidR="001401BD" w:rsidRPr="001401BD" w:rsidRDefault="001401BD" w:rsidP="001401BD">
            <w:pPr>
              <w:rPr>
                <w:rFonts w:eastAsia="Calibri"/>
                <w:lang w:eastAsia="en-US"/>
              </w:rPr>
            </w:pPr>
            <w:r w:rsidRPr="001401BD">
              <w:rPr>
                <w:rFonts w:eastAsia="Calibri"/>
                <w:lang w:eastAsia="en-US"/>
              </w:rPr>
              <w:t>Norāda institūciju, kas ir atbildīga par šo saistību izpildi pilnībā</w:t>
            </w:r>
          </w:p>
        </w:tc>
        <w:tc>
          <w:tcPr>
            <w:tcW w:w="1969" w:type="dxa"/>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Informācija par to, vai šīs tabulas B ailē minētās projekta vienības paredz stingrākas prasības nekā šīs tabulas A ailē minētās ES tiesību akta vienības.</w:t>
            </w:r>
          </w:p>
          <w:p w:rsidR="001401BD" w:rsidRPr="001401BD" w:rsidRDefault="001401BD" w:rsidP="001401BD">
            <w:pPr>
              <w:rPr>
                <w:rFonts w:eastAsia="Calibri"/>
                <w:lang w:eastAsia="en-US"/>
              </w:rPr>
            </w:pPr>
            <w:r w:rsidRPr="001401BD">
              <w:rPr>
                <w:rFonts w:eastAsia="Calibri"/>
                <w:lang w:eastAsia="en-US"/>
              </w:rPr>
              <w:t>Ja projekts satur stingrā</w:t>
            </w:r>
            <w:r w:rsidRPr="001401BD">
              <w:rPr>
                <w:rFonts w:eastAsia="Calibri"/>
                <w:lang w:eastAsia="en-US"/>
              </w:rPr>
              <w:softHyphen/>
              <w:t>kas prasības nekā attie</w:t>
            </w:r>
            <w:r w:rsidRPr="001401BD">
              <w:rPr>
                <w:rFonts w:eastAsia="Calibri"/>
                <w:lang w:eastAsia="en-US"/>
              </w:rPr>
              <w:softHyphen/>
              <w:t>cīgais ES tiesību akts, norāda pamatojumu un samērīgumu.</w:t>
            </w:r>
          </w:p>
          <w:p w:rsidR="001401BD" w:rsidRPr="001401BD" w:rsidRDefault="001401BD" w:rsidP="001401BD">
            <w:pPr>
              <w:rPr>
                <w:rFonts w:eastAsia="Calibri"/>
                <w:lang w:eastAsia="en-US"/>
              </w:rPr>
            </w:pPr>
            <w:r w:rsidRPr="001401BD">
              <w:rPr>
                <w:rFonts w:eastAsia="Calibri"/>
                <w:lang w:eastAsia="en-US"/>
              </w:rPr>
              <w:t xml:space="preserve">Norāda iespējamās alternatīvas (t.sk. alternatīvas, kas neparedz tiesiskā </w:t>
            </w:r>
            <w:r w:rsidRPr="001401BD">
              <w:rPr>
                <w:rFonts w:eastAsia="Calibri"/>
                <w:lang w:eastAsia="en-US"/>
              </w:rPr>
              <w:lastRenderedPageBreak/>
              <w:t>regulējuma izstrādi) – kādos gadījumos būtu iespējams izvairīties no stingrāku prasību noteikšanas, nekā paredzēts attiecīgajos ES tiesību aktos</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lastRenderedPageBreak/>
              <w:t>Komisijas regulas Nr.1407/2013 1.panta 1.punkts.</w:t>
            </w:r>
          </w:p>
        </w:tc>
        <w:tc>
          <w:tcPr>
            <w:tcW w:w="2455"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832AD8">
            <w:pPr>
              <w:rPr>
                <w:rFonts w:eastAsia="Calibri"/>
                <w:lang w:eastAsia="en-US"/>
              </w:rPr>
            </w:pPr>
            <w:r w:rsidRPr="001401BD">
              <w:rPr>
                <w:rFonts w:eastAsia="Calibri"/>
                <w:lang w:eastAsia="en-US"/>
              </w:rPr>
              <w:t xml:space="preserve">Noteikumu projekta </w:t>
            </w:r>
            <w:r w:rsidR="00832AD8" w:rsidRPr="00832AD8">
              <w:rPr>
                <w:rFonts w:eastAsia="Calibri"/>
                <w:bCs/>
                <w:lang w:eastAsia="en-US"/>
              </w:rPr>
              <w:t>192.</w:t>
            </w:r>
            <w:r w:rsidR="00832AD8" w:rsidRPr="00832AD8">
              <w:rPr>
                <w:rFonts w:eastAsia="Calibri"/>
                <w:bCs/>
                <w:vertAlign w:val="superscript"/>
                <w:lang w:eastAsia="en-US"/>
              </w:rPr>
              <w:t xml:space="preserve">8 </w:t>
            </w:r>
            <w:r w:rsidRPr="001401BD">
              <w:rPr>
                <w:rFonts w:eastAsia="Calibri"/>
                <w:lang w:eastAsia="en-US"/>
              </w:rPr>
              <w:t>punkts</w:t>
            </w:r>
          </w:p>
        </w:tc>
        <w:tc>
          <w:tcPr>
            <w:tcW w:w="2693"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Vienība tiek ieviesta pilnībā.</w:t>
            </w:r>
          </w:p>
          <w:p w:rsidR="001401BD" w:rsidRPr="001401BD" w:rsidRDefault="001401BD" w:rsidP="001401BD">
            <w:pPr>
              <w:rPr>
                <w:rFonts w:eastAsia="Calibri"/>
                <w:lang w:eastAsia="en-US"/>
              </w:rPr>
            </w:pPr>
          </w:p>
        </w:tc>
        <w:tc>
          <w:tcPr>
            <w:tcW w:w="1969" w:type="dxa"/>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Netiek paredzētas stingrākas prasības.</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Komisijas regulas Nr.717/2014 1.panta 1.punkts.</w:t>
            </w:r>
          </w:p>
        </w:tc>
        <w:tc>
          <w:tcPr>
            <w:tcW w:w="2455"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832AD8">
            <w:pPr>
              <w:rPr>
                <w:rFonts w:eastAsia="Calibri"/>
                <w:lang w:eastAsia="en-US"/>
              </w:rPr>
            </w:pPr>
            <w:r w:rsidRPr="001401BD">
              <w:rPr>
                <w:rFonts w:eastAsia="Calibri"/>
                <w:lang w:eastAsia="en-US"/>
              </w:rPr>
              <w:t xml:space="preserve">Noteikumu projekta </w:t>
            </w:r>
            <w:r w:rsidR="00832AD8" w:rsidRPr="00832AD8">
              <w:rPr>
                <w:rFonts w:eastAsia="Calibri"/>
                <w:bCs/>
                <w:lang w:eastAsia="en-US"/>
              </w:rPr>
              <w:t>192.</w:t>
            </w:r>
            <w:r w:rsidR="00832AD8" w:rsidRPr="00832AD8">
              <w:rPr>
                <w:rFonts w:eastAsia="Calibri"/>
                <w:bCs/>
                <w:vertAlign w:val="superscript"/>
                <w:lang w:eastAsia="en-US"/>
              </w:rPr>
              <w:t xml:space="preserve">8 </w:t>
            </w:r>
            <w:r w:rsidRPr="001401BD">
              <w:rPr>
                <w:rFonts w:eastAsia="Calibri"/>
                <w:lang w:eastAsia="en-US"/>
              </w:rPr>
              <w:t>punkts</w:t>
            </w:r>
          </w:p>
        </w:tc>
        <w:tc>
          <w:tcPr>
            <w:tcW w:w="2693"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Vienība tiek ieviesta pilnībā.</w:t>
            </w:r>
          </w:p>
        </w:tc>
        <w:tc>
          <w:tcPr>
            <w:tcW w:w="1969" w:type="dxa"/>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Netiek paredzētas stingrākas prasības.</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Komisijas regulas Nr.1408/2013 1.panta 1.punkts.</w:t>
            </w:r>
          </w:p>
        </w:tc>
        <w:tc>
          <w:tcPr>
            <w:tcW w:w="2455"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832AD8">
            <w:pPr>
              <w:rPr>
                <w:rFonts w:eastAsia="Calibri"/>
                <w:lang w:eastAsia="en-US"/>
              </w:rPr>
            </w:pPr>
            <w:r w:rsidRPr="001401BD">
              <w:rPr>
                <w:rFonts w:eastAsia="Calibri"/>
                <w:lang w:eastAsia="en-US"/>
              </w:rPr>
              <w:t xml:space="preserve">Noteikumu projekta </w:t>
            </w:r>
            <w:r w:rsidR="00832AD8" w:rsidRPr="00832AD8">
              <w:rPr>
                <w:rFonts w:eastAsia="Calibri"/>
                <w:bCs/>
                <w:lang w:eastAsia="en-US"/>
              </w:rPr>
              <w:t>192.</w:t>
            </w:r>
            <w:r w:rsidR="00832AD8" w:rsidRPr="00832AD8">
              <w:rPr>
                <w:rFonts w:eastAsia="Calibri"/>
                <w:bCs/>
                <w:vertAlign w:val="superscript"/>
                <w:lang w:eastAsia="en-US"/>
              </w:rPr>
              <w:t xml:space="preserve">8 </w:t>
            </w:r>
            <w:r w:rsidRPr="001401BD">
              <w:rPr>
                <w:rFonts w:eastAsia="Calibri"/>
                <w:lang w:eastAsia="en-US"/>
              </w:rPr>
              <w:t>punkts</w:t>
            </w:r>
          </w:p>
        </w:tc>
        <w:tc>
          <w:tcPr>
            <w:tcW w:w="2693"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Vienība tiek ieviesta pilnībā.</w:t>
            </w:r>
          </w:p>
        </w:tc>
        <w:tc>
          <w:tcPr>
            <w:tcW w:w="1969" w:type="dxa"/>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Netiek paredzētas stingrākas prasības.</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Komisijas regulas Nr.1407/2013 2.panta 2.punkts; 3.panta 2.punkts.</w:t>
            </w:r>
          </w:p>
        </w:tc>
        <w:tc>
          <w:tcPr>
            <w:tcW w:w="2455"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672129">
            <w:pPr>
              <w:rPr>
                <w:rFonts w:eastAsia="Calibri"/>
                <w:lang w:eastAsia="en-US"/>
              </w:rPr>
            </w:pPr>
            <w:r w:rsidRPr="001401BD">
              <w:rPr>
                <w:rFonts w:eastAsia="Calibri"/>
                <w:lang w:eastAsia="en-US"/>
              </w:rPr>
              <w:t xml:space="preserve">Noteikumu projekta </w:t>
            </w:r>
            <w:r w:rsidR="00672129" w:rsidRPr="00672129">
              <w:rPr>
                <w:rFonts w:eastAsia="Calibri"/>
                <w:bCs/>
                <w:lang w:eastAsia="en-US"/>
              </w:rPr>
              <w:t>192.</w:t>
            </w:r>
            <w:r w:rsidR="00672129" w:rsidRPr="00672129">
              <w:rPr>
                <w:rFonts w:eastAsia="Calibri"/>
                <w:bCs/>
                <w:vertAlign w:val="superscript"/>
                <w:lang w:eastAsia="en-US"/>
              </w:rPr>
              <w:t xml:space="preserve">7 </w:t>
            </w:r>
            <w:r w:rsidRPr="001401BD">
              <w:rPr>
                <w:rFonts w:eastAsia="Calibri"/>
                <w:lang w:eastAsia="en-US"/>
              </w:rPr>
              <w:t>punkts</w:t>
            </w:r>
          </w:p>
        </w:tc>
        <w:tc>
          <w:tcPr>
            <w:tcW w:w="2693"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Vienība tiek ieviesta pilnībā.</w:t>
            </w:r>
          </w:p>
        </w:tc>
        <w:tc>
          <w:tcPr>
            <w:tcW w:w="1969" w:type="dxa"/>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Netiek paredzētas stingrākas prasības.</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 xml:space="preserve">Komisijas regulas Nr.717/2007 </w:t>
            </w:r>
          </w:p>
          <w:p w:rsidR="001401BD" w:rsidRPr="001401BD" w:rsidRDefault="001401BD" w:rsidP="001401BD">
            <w:pPr>
              <w:rPr>
                <w:rFonts w:eastAsia="Calibri"/>
                <w:lang w:eastAsia="en-US"/>
              </w:rPr>
            </w:pPr>
            <w:r w:rsidRPr="001401BD">
              <w:rPr>
                <w:rFonts w:eastAsia="Calibri"/>
                <w:lang w:eastAsia="en-US"/>
              </w:rPr>
              <w:t>2.panta 2.punkts; 3.panta 2.punkts.</w:t>
            </w:r>
          </w:p>
        </w:tc>
        <w:tc>
          <w:tcPr>
            <w:tcW w:w="2455"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F31547">
            <w:pPr>
              <w:rPr>
                <w:rFonts w:eastAsia="Calibri"/>
                <w:lang w:eastAsia="en-US"/>
              </w:rPr>
            </w:pPr>
            <w:r w:rsidRPr="001401BD">
              <w:rPr>
                <w:rFonts w:eastAsia="Calibri"/>
                <w:lang w:eastAsia="en-US"/>
              </w:rPr>
              <w:t xml:space="preserve">Noteikumu projekta </w:t>
            </w:r>
            <w:r w:rsidR="00F31547" w:rsidRPr="00F31547">
              <w:rPr>
                <w:rFonts w:eastAsia="Calibri"/>
                <w:bCs/>
                <w:lang w:eastAsia="en-US"/>
              </w:rPr>
              <w:t>192.</w:t>
            </w:r>
            <w:r w:rsidR="00F31547" w:rsidRPr="00F31547">
              <w:rPr>
                <w:rFonts w:eastAsia="Calibri"/>
                <w:bCs/>
                <w:vertAlign w:val="superscript"/>
                <w:lang w:eastAsia="en-US"/>
              </w:rPr>
              <w:t xml:space="preserve">7 </w:t>
            </w:r>
            <w:r w:rsidRPr="001401BD">
              <w:rPr>
                <w:rFonts w:eastAsia="Calibri"/>
                <w:lang w:eastAsia="en-US"/>
              </w:rPr>
              <w:t>punkts</w:t>
            </w:r>
          </w:p>
        </w:tc>
        <w:tc>
          <w:tcPr>
            <w:tcW w:w="2693"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Vienība tiek ieviesta pilnībā.</w:t>
            </w:r>
          </w:p>
        </w:tc>
        <w:tc>
          <w:tcPr>
            <w:tcW w:w="1969" w:type="dxa"/>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Netiek paredzētas stingrākas prasības.</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Komisijas regulas Nr.1408/2013 2.panta 2.punkts, 3.panta 2.punkts.</w:t>
            </w:r>
          </w:p>
        </w:tc>
        <w:tc>
          <w:tcPr>
            <w:tcW w:w="2455"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4E24B8">
            <w:pPr>
              <w:rPr>
                <w:rFonts w:eastAsia="Calibri"/>
                <w:lang w:eastAsia="en-US"/>
              </w:rPr>
            </w:pPr>
            <w:r w:rsidRPr="001401BD">
              <w:rPr>
                <w:rFonts w:eastAsia="Calibri"/>
                <w:lang w:eastAsia="en-US"/>
              </w:rPr>
              <w:t xml:space="preserve">Noteikumu projekta </w:t>
            </w:r>
            <w:r w:rsidR="004E24B8" w:rsidRPr="004E24B8">
              <w:rPr>
                <w:rFonts w:eastAsia="Calibri"/>
                <w:bCs/>
                <w:lang w:eastAsia="en-US"/>
              </w:rPr>
              <w:t>192.</w:t>
            </w:r>
            <w:r w:rsidR="004E24B8" w:rsidRPr="004E24B8">
              <w:rPr>
                <w:rFonts w:eastAsia="Calibri"/>
                <w:bCs/>
                <w:vertAlign w:val="superscript"/>
                <w:lang w:eastAsia="en-US"/>
              </w:rPr>
              <w:t xml:space="preserve">7 </w:t>
            </w:r>
            <w:r w:rsidRPr="001401BD">
              <w:rPr>
                <w:rFonts w:eastAsia="Calibri"/>
                <w:lang w:eastAsia="en-US"/>
              </w:rPr>
              <w:t>punkts</w:t>
            </w:r>
          </w:p>
        </w:tc>
        <w:tc>
          <w:tcPr>
            <w:tcW w:w="2693"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Vienība tiek ieviesta pilnībā.</w:t>
            </w:r>
          </w:p>
        </w:tc>
        <w:tc>
          <w:tcPr>
            <w:tcW w:w="1969" w:type="dxa"/>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Netiek paredzētas stingrākas prasības.</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Komisijas regulas Nr.1407/2013 3.panta 2.punkts; 5.panta 1. un 2.punkts.</w:t>
            </w:r>
          </w:p>
        </w:tc>
        <w:tc>
          <w:tcPr>
            <w:tcW w:w="2455"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B12838">
            <w:pPr>
              <w:rPr>
                <w:rFonts w:eastAsia="Calibri"/>
                <w:lang w:eastAsia="en-US"/>
              </w:rPr>
            </w:pPr>
            <w:r w:rsidRPr="001401BD">
              <w:rPr>
                <w:rFonts w:eastAsia="Calibri"/>
                <w:lang w:eastAsia="en-US"/>
              </w:rPr>
              <w:t xml:space="preserve">Noteikumu projekta </w:t>
            </w:r>
            <w:r w:rsidR="00B12838" w:rsidRPr="00B12838">
              <w:rPr>
                <w:rFonts w:eastAsia="Calibri"/>
                <w:bCs/>
                <w:lang w:eastAsia="en-US"/>
              </w:rPr>
              <w:t>192.</w:t>
            </w:r>
            <w:r w:rsidR="00B12838" w:rsidRPr="00B12838">
              <w:rPr>
                <w:rFonts w:eastAsia="Calibri"/>
                <w:bCs/>
                <w:vertAlign w:val="superscript"/>
                <w:lang w:eastAsia="en-US"/>
              </w:rPr>
              <w:t xml:space="preserve">9 </w:t>
            </w:r>
            <w:r w:rsidRPr="001401BD">
              <w:rPr>
                <w:rFonts w:eastAsia="Calibri"/>
                <w:lang w:eastAsia="en-US"/>
              </w:rPr>
              <w:t xml:space="preserve">punkts </w:t>
            </w:r>
          </w:p>
        </w:tc>
        <w:tc>
          <w:tcPr>
            <w:tcW w:w="2693"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Vienība tiek ieviesta pilnībā.</w:t>
            </w:r>
          </w:p>
          <w:p w:rsidR="001401BD" w:rsidRPr="001401BD" w:rsidRDefault="001401BD" w:rsidP="001401BD">
            <w:pPr>
              <w:rPr>
                <w:rFonts w:eastAsia="Calibri"/>
                <w:lang w:eastAsia="en-US"/>
              </w:rPr>
            </w:pPr>
          </w:p>
        </w:tc>
        <w:tc>
          <w:tcPr>
            <w:tcW w:w="1969" w:type="dxa"/>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Netiek paredzētas stingrākas prasības.</w:t>
            </w:r>
          </w:p>
        </w:tc>
      </w:tr>
      <w:tr w:rsidR="006E3312"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E3312" w:rsidRPr="001401BD" w:rsidRDefault="006E3312" w:rsidP="001401BD">
            <w:pPr>
              <w:rPr>
                <w:rFonts w:eastAsia="Calibri"/>
                <w:lang w:eastAsia="en-US"/>
              </w:rPr>
            </w:pPr>
            <w:r w:rsidRPr="006E3312">
              <w:rPr>
                <w:rFonts w:eastAsia="Calibri"/>
                <w:lang w:eastAsia="en-US"/>
              </w:rPr>
              <w:t>Komisijas regulas Nr.717/2014 3.panta 2.punkts; 5.panta 1., 2. un 3.punkts.</w:t>
            </w:r>
          </w:p>
        </w:tc>
        <w:tc>
          <w:tcPr>
            <w:tcW w:w="2455" w:type="dxa"/>
            <w:gridSpan w:val="3"/>
            <w:tcBorders>
              <w:top w:val="outset" w:sz="6" w:space="0" w:color="auto"/>
              <w:left w:val="outset" w:sz="6" w:space="0" w:color="auto"/>
              <w:bottom w:val="outset" w:sz="6" w:space="0" w:color="auto"/>
              <w:right w:val="outset" w:sz="6" w:space="0" w:color="auto"/>
            </w:tcBorders>
          </w:tcPr>
          <w:p w:rsidR="006E3312" w:rsidRPr="001401BD" w:rsidRDefault="006E3312" w:rsidP="00B12838">
            <w:pPr>
              <w:rPr>
                <w:rFonts w:eastAsia="Calibri"/>
                <w:lang w:eastAsia="en-US"/>
              </w:rPr>
            </w:pPr>
            <w:r w:rsidRPr="006E3312">
              <w:rPr>
                <w:rFonts w:eastAsia="Calibri"/>
                <w:lang w:eastAsia="en-US"/>
              </w:rPr>
              <w:t xml:space="preserve">Noteikumu projekta </w:t>
            </w:r>
            <w:r w:rsidRPr="006E3312">
              <w:rPr>
                <w:rFonts w:eastAsia="Calibri"/>
                <w:bCs/>
                <w:lang w:eastAsia="en-US"/>
              </w:rPr>
              <w:t>192.</w:t>
            </w:r>
            <w:r w:rsidRPr="006E3312">
              <w:rPr>
                <w:rFonts w:eastAsia="Calibri"/>
                <w:bCs/>
                <w:vertAlign w:val="superscript"/>
                <w:lang w:eastAsia="en-US"/>
              </w:rPr>
              <w:t xml:space="preserve">9 </w:t>
            </w:r>
            <w:r w:rsidRPr="006E3312">
              <w:rPr>
                <w:rFonts w:eastAsia="Calibri"/>
                <w:lang w:eastAsia="en-US"/>
              </w:rPr>
              <w:t>punkts</w:t>
            </w:r>
          </w:p>
        </w:tc>
        <w:tc>
          <w:tcPr>
            <w:tcW w:w="2693" w:type="dxa"/>
            <w:gridSpan w:val="2"/>
            <w:tcBorders>
              <w:top w:val="outset" w:sz="6" w:space="0" w:color="auto"/>
              <w:left w:val="outset" w:sz="6" w:space="0" w:color="auto"/>
              <w:bottom w:val="outset" w:sz="6" w:space="0" w:color="auto"/>
              <w:right w:val="outset" w:sz="6" w:space="0" w:color="auto"/>
            </w:tcBorders>
          </w:tcPr>
          <w:p w:rsidR="006E3312" w:rsidRPr="006E3312" w:rsidRDefault="006E3312" w:rsidP="006E3312">
            <w:pPr>
              <w:rPr>
                <w:rFonts w:eastAsia="Calibri"/>
                <w:lang w:eastAsia="en-US"/>
              </w:rPr>
            </w:pPr>
            <w:r w:rsidRPr="006E3312">
              <w:rPr>
                <w:rFonts w:eastAsia="Calibri"/>
                <w:lang w:eastAsia="en-US"/>
              </w:rPr>
              <w:t>Vienība tiek ieviesta pilnībā.</w:t>
            </w:r>
          </w:p>
          <w:p w:rsidR="006E3312" w:rsidRPr="001401BD" w:rsidRDefault="006E3312" w:rsidP="001401BD">
            <w:pPr>
              <w:rPr>
                <w:rFonts w:eastAsia="Calibri"/>
                <w:lang w:eastAsia="en-US"/>
              </w:rPr>
            </w:pPr>
          </w:p>
        </w:tc>
        <w:tc>
          <w:tcPr>
            <w:tcW w:w="1969" w:type="dxa"/>
            <w:tcBorders>
              <w:top w:val="outset" w:sz="6" w:space="0" w:color="auto"/>
              <w:left w:val="outset" w:sz="6" w:space="0" w:color="auto"/>
              <w:bottom w:val="outset" w:sz="6" w:space="0" w:color="auto"/>
              <w:right w:val="outset" w:sz="6" w:space="0" w:color="auto"/>
            </w:tcBorders>
          </w:tcPr>
          <w:p w:rsidR="006E3312" w:rsidRPr="001401BD" w:rsidRDefault="006E3312" w:rsidP="001401BD">
            <w:pPr>
              <w:rPr>
                <w:rFonts w:eastAsia="Calibri"/>
                <w:lang w:eastAsia="en-US"/>
              </w:rPr>
            </w:pPr>
            <w:r w:rsidRPr="006E3312">
              <w:rPr>
                <w:rFonts w:eastAsia="Calibri"/>
                <w:lang w:eastAsia="en-US"/>
              </w:rPr>
              <w:t>Netiek paredzētas stingrākas prasības.</w:t>
            </w:r>
          </w:p>
        </w:tc>
      </w:tr>
      <w:tr w:rsidR="006E3312"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E3312" w:rsidRPr="001401BD" w:rsidRDefault="006E3312" w:rsidP="001401BD">
            <w:pPr>
              <w:rPr>
                <w:rFonts w:eastAsia="Calibri"/>
                <w:lang w:eastAsia="en-US"/>
              </w:rPr>
            </w:pPr>
            <w:r w:rsidRPr="006E3312">
              <w:rPr>
                <w:rFonts w:eastAsia="Calibri"/>
                <w:lang w:eastAsia="en-US"/>
              </w:rPr>
              <w:t>Komisijas regulas Nr.1408/2013 3.panta 2.punkts; 5.panta 1., 2. un 3.punkts.</w:t>
            </w:r>
          </w:p>
        </w:tc>
        <w:tc>
          <w:tcPr>
            <w:tcW w:w="2455" w:type="dxa"/>
            <w:gridSpan w:val="3"/>
            <w:tcBorders>
              <w:top w:val="outset" w:sz="6" w:space="0" w:color="auto"/>
              <w:left w:val="outset" w:sz="6" w:space="0" w:color="auto"/>
              <w:bottom w:val="outset" w:sz="6" w:space="0" w:color="auto"/>
              <w:right w:val="outset" w:sz="6" w:space="0" w:color="auto"/>
            </w:tcBorders>
          </w:tcPr>
          <w:p w:rsidR="006E3312" w:rsidRPr="001401BD" w:rsidRDefault="006E3312" w:rsidP="00B12838">
            <w:pPr>
              <w:rPr>
                <w:rFonts w:eastAsia="Calibri"/>
                <w:lang w:eastAsia="en-US"/>
              </w:rPr>
            </w:pPr>
            <w:r w:rsidRPr="006E3312">
              <w:rPr>
                <w:rFonts w:eastAsia="Calibri"/>
                <w:lang w:eastAsia="en-US"/>
              </w:rPr>
              <w:t xml:space="preserve">Noteikumu projekta </w:t>
            </w:r>
            <w:r w:rsidRPr="006E3312">
              <w:rPr>
                <w:rFonts w:eastAsia="Calibri"/>
                <w:bCs/>
                <w:lang w:eastAsia="en-US"/>
              </w:rPr>
              <w:t>192.</w:t>
            </w:r>
            <w:r w:rsidRPr="006E3312">
              <w:rPr>
                <w:rFonts w:eastAsia="Calibri"/>
                <w:bCs/>
                <w:vertAlign w:val="superscript"/>
                <w:lang w:eastAsia="en-US"/>
              </w:rPr>
              <w:t xml:space="preserve">9 </w:t>
            </w:r>
            <w:r w:rsidRPr="006E3312">
              <w:rPr>
                <w:rFonts w:eastAsia="Calibri"/>
                <w:lang w:eastAsia="en-US"/>
              </w:rPr>
              <w:t>punkts</w:t>
            </w:r>
          </w:p>
        </w:tc>
        <w:tc>
          <w:tcPr>
            <w:tcW w:w="2693" w:type="dxa"/>
            <w:gridSpan w:val="2"/>
            <w:tcBorders>
              <w:top w:val="outset" w:sz="6" w:space="0" w:color="auto"/>
              <w:left w:val="outset" w:sz="6" w:space="0" w:color="auto"/>
              <w:bottom w:val="outset" w:sz="6" w:space="0" w:color="auto"/>
              <w:right w:val="outset" w:sz="6" w:space="0" w:color="auto"/>
            </w:tcBorders>
          </w:tcPr>
          <w:p w:rsidR="006E3312" w:rsidRPr="006E3312" w:rsidRDefault="006E3312" w:rsidP="006E3312">
            <w:pPr>
              <w:rPr>
                <w:rFonts w:eastAsia="Calibri"/>
                <w:lang w:eastAsia="en-US"/>
              </w:rPr>
            </w:pPr>
            <w:r w:rsidRPr="006E3312">
              <w:rPr>
                <w:rFonts w:eastAsia="Calibri"/>
                <w:lang w:eastAsia="en-US"/>
              </w:rPr>
              <w:t>Vienība tiek ieviesta pilnībā.</w:t>
            </w:r>
          </w:p>
          <w:p w:rsidR="006E3312" w:rsidRPr="001401BD" w:rsidRDefault="006E3312" w:rsidP="001401BD">
            <w:pPr>
              <w:rPr>
                <w:rFonts w:eastAsia="Calibri"/>
                <w:lang w:eastAsia="en-US"/>
              </w:rPr>
            </w:pPr>
          </w:p>
        </w:tc>
        <w:tc>
          <w:tcPr>
            <w:tcW w:w="1969" w:type="dxa"/>
            <w:tcBorders>
              <w:top w:val="outset" w:sz="6" w:space="0" w:color="auto"/>
              <w:left w:val="outset" w:sz="6" w:space="0" w:color="auto"/>
              <w:bottom w:val="outset" w:sz="6" w:space="0" w:color="auto"/>
              <w:right w:val="outset" w:sz="6" w:space="0" w:color="auto"/>
            </w:tcBorders>
          </w:tcPr>
          <w:p w:rsidR="006E3312" w:rsidRPr="001401BD" w:rsidRDefault="006E3312" w:rsidP="001401BD">
            <w:pPr>
              <w:rPr>
                <w:rFonts w:eastAsia="Calibri"/>
                <w:lang w:eastAsia="en-US"/>
              </w:rPr>
            </w:pPr>
            <w:r w:rsidRPr="006E3312">
              <w:rPr>
                <w:rFonts w:eastAsia="Calibri"/>
                <w:lang w:eastAsia="en-US"/>
              </w:rPr>
              <w:t>Netiek paredzētas stingrākas prasības.</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Kā ir izmantota ES tiesību aktā paredzētā rīcības brīvība dalīb</w:t>
            </w:r>
            <w:r w:rsidRPr="001401BD">
              <w:rPr>
                <w:rFonts w:eastAsia="Calibri"/>
                <w:lang w:eastAsia="en-US"/>
              </w:rPr>
              <w:softHyphen/>
              <w:t xml:space="preserve">valstij pārņemt vai </w:t>
            </w:r>
            <w:r w:rsidRPr="001401BD">
              <w:rPr>
                <w:rFonts w:eastAsia="Calibri"/>
                <w:lang w:eastAsia="en-US"/>
              </w:rPr>
              <w:lastRenderedPageBreak/>
              <w:t>ieviest noteiktas ES tiesību akta normas?</w:t>
            </w:r>
          </w:p>
          <w:p w:rsidR="001401BD" w:rsidRPr="001401BD" w:rsidRDefault="001401BD" w:rsidP="001401BD">
            <w:pPr>
              <w:rPr>
                <w:rFonts w:eastAsia="Calibri"/>
                <w:lang w:eastAsia="en-US"/>
              </w:rPr>
            </w:pPr>
            <w:r w:rsidRPr="001401BD">
              <w:rPr>
                <w:rFonts w:eastAsia="Calibri"/>
                <w:lang w:eastAsia="en-US"/>
              </w:rPr>
              <w:t>Kādēļ?</w:t>
            </w:r>
          </w:p>
        </w:tc>
        <w:tc>
          <w:tcPr>
            <w:tcW w:w="7117" w:type="dxa"/>
            <w:gridSpan w:val="6"/>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lastRenderedPageBreak/>
              <w:t>Noteikumu projekts šo jomu neskar.</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lastRenderedPageBreak/>
              <w:t>Saistības sniegt paziņojumu ES insti</w:t>
            </w:r>
            <w:r w:rsidRPr="001401BD">
              <w:rPr>
                <w:rFonts w:eastAsia="Calibri"/>
                <w:lang w:eastAsia="en-US"/>
              </w:rPr>
              <w:softHyphen/>
              <w:t>tūcijām un ES dalīb</w:t>
            </w:r>
            <w:r w:rsidRPr="001401BD">
              <w:rPr>
                <w:rFonts w:eastAsia="Calibri"/>
                <w:lang w:eastAsia="en-US"/>
              </w:rPr>
              <w:softHyphen/>
              <w:t>valstīm atbilstoši normatīvajiem aktiem, kas regulē informācijas sniegšanu par tehnisko noteikumu, valsts atbalsta piešķir</w:t>
            </w:r>
            <w:r w:rsidRPr="001401BD">
              <w:rPr>
                <w:rFonts w:eastAsia="Calibri"/>
                <w:lang w:eastAsia="en-US"/>
              </w:rPr>
              <w:softHyphen/>
              <w:t>šanas un finanšu noteikumu (attiecībā uz monetāro politiku) projektiem</w:t>
            </w:r>
          </w:p>
        </w:tc>
        <w:tc>
          <w:tcPr>
            <w:tcW w:w="7117" w:type="dxa"/>
            <w:gridSpan w:val="6"/>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Noteikumu projekts šo jomu neskar.</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Cita informācija</w:t>
            </w:r>
          </w:p>
        </w:tc>
        <w:tc>
          <w:tcPr>
            <w:tcW w:w="7117" w:type="dxa"/>
            <w:gridSpan w:val="6"/>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Nav.</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315" w:type="dxa"/>
            <w:gridSpan w:val="8"/>
            <w:tcBorders>
              <w:top w:val="outset" w:sz="6" w:space="0" w:color="auto"/>
              <w:left w:val="outset" w:sz="6" w:space="0" w:color="auto"/>
              <w:bottom w:val="outset" w:sz="6" w:space="0" w:color="auto"/>
              <w:right w:val="outset" w:sz="6" w:space="0" w:color="auto"/>
            </w:tcBorders>
            <w:vAlign w:val="center"/>
          </w:tcPr>
          <w:p w:rsidR="001401BD" w:rsidRPr="001401BD" w:rsidRDefault="001401BD" w:rsidP="001401BD">
            <w:pPr>
              <w:rPr>
                <w:rFonts w:eastAsia="Calibri"/>
                <w:b/>
                <w:lang w:eastAsia="en-US"/>
              </w:rPr>
            </w:pPr>
            <w:r w:rsidRPr="001401BD">
              <w:rPr>
                <w:rFonts w:eastAsia="Calibri"/>
                <w:b/>
                <w:lang w:eastAsia="en-US"/>
              </w:rPr>
              <w:t>2.tabula</w:t>
            </w:r>
          </w:p>
          <w:p w:rsidR="001401BD" w:rsidRPr="001401BD" w:rsidRDefault="001401BD" w:rsidP="001401BD">
            <w:pPr>
              <w:rPr>
                <w:rFonts w:eastAsia="Calibri"/>
                <w:b/>
                <w:lang w:eastAsia="en-US"/>
              </w:rPr>
            </w:pPr>
            <w:r w:rsidRPr="001401BD">
              <w:rPr>
                <w:rFonts w:eastAsia="Calibri"/>
                <w:b/>
                <w:lang w:eastAsia="en-US"/>
              </w:rPr>
              <w:t>Ar tiesību akta projektu izpildītās vai uzņemtās saistības, kas izriet no starptautiskajiem tiesību aktiem vai starptautiskas institūcijas vai organizācijas dokumentiem.</w:t>
            </w:r>
          </w:p>
          <w:p w:rsidR="001401BD" w:rsidRPr="001401BD" w:rsidRDefault="001401BD" w:rsidP="001401BD">
            <w:pPr>
              <w:rPr>
                <w:rFonts w:eastAsia="Calibri"/>
                <w:b/>
                <w:lang w:eastAsia="en-US"/>
              </w:rPr>
            </w:pPr>
            <w:r w:rsidRPr="001401BD">
              <w:rPr>
                <w:rFonts w:eastAsia="Calibri"/>
                <w:b/>
                <w:lang w:eastAsia="en-US"/>
              </w:rPr>
              <w:t>Pasākumi šo saistību izpildei</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rsidR="001401BD" w:rsidRPr="001401BD" w:rsidRDefault="001401BD" w:rsidP="001401BD">
            <w:pPr>
              <w:rPr>
                <w:rFonts w:eastAsia="Calibri"/>
                <w:lang w:eastAsia="en-US"/>
              </w:rPr>
            </w:pPr>
            <w:r w:rsidRPr="001401BD">
              <w:rPr>
                <w:rFonts w:eastAsia="Calibri"/>
                <w:lang w:eastAsia="en-US"/>
              </w:rPr>
              <w:t>Attiecīgā starptautiskā tiesību akta vai starptautiskas institūcijas vai organizācijas dokumenta (turpmāk – starptautiskais dokuments) datums, numurs un nosaukums</w:t>
            </w:r>
          </w:p>
        </w:tc>
        <w:tc>
          <w:tcPr>
            <w:tcW w:w="6852" w:type="dxa"/>
            <w:gridSpan w:val="5"/>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Noteikumu projekts šo jomu neskar.</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rsidR="001401BD" w:rsidRPr="001401BD" w:rsidRDefault="001401BD" w:rsidP="001401BD">
            <w:pPr>
              <w:rPr>
                <w:rFonts w:eastAsia="Calibri"/>
                <w:lang w:eastAsia="en-US"/>
              </w:rPr>
            </w:pPr>
            <w:r w:rsidRPr="001401BD">
              <w:rPr>
                <w:rFonts w:eastAsia="Calibri"/>
                <w:lang w:eastAsia="en-US"/>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rsidR="001401BD" w:rsidRPr="001401BD" w:rsidRDefault="001401BD" w:rsidP="001401BD">
            <w:pPr>
              <w:rPr>
                <w:rFonts w:eastAsia="Calibri"/>
                <w:lang w:eastAsia="en-US"/>
              </w:rPr>
            </w:pPr>
            <w:r w:rsidRPr="001401BD">
              <w:rPr>
                <w:rFonts w:eastAsia="Calibri"/>
                <w:lang w:eastAsia="en-US"/>
              </w:rPr>
              <w:t>B</w:t>
            </w:r>
          </w:p>
        </w:tc>
        <w:tc>
          <w:tcPr>
            <w:tcW w:w="3528" w:type="dxa"/>
            <w:gridSpan w:val="2"/>
            <w:tcBorders>
              <w:top w:val="outset" w:sz="6" w:space="0" w:color="auto"/>
              <w:left w:val="outset" w:sz="6" w:space="0" w:color="auto"/>
              <w:bottom w:val="outset" w:sz="6" w:space="0" w:color="auto"/>
              <w:right w:val="outset" w:sz="6" w:space="0" w:color="auto"/>
            </w:tcBorders>
            <w:vAlign w:val="center"/>
          </w:tcPr>
          <w:p w:rsidR="001401BD" w:rsidRPr="001401BD" w:rsidRDefault="001401BD" w:rsidP="001401BD">
            <w:pPr>
              <w:rPr>
                <w:rFonts w:eastAsia="Calibri"/>
                <w:lang w:eastAsia="en-US"/>
              </w:rPr>
            </w:pPr>
            <w:r w:rsidRPr="001401BD">
              <w:rPr>
                <w:rFonts w:eastAsia="Calibri"/>
                <w:lang w:eastAsia="en-US"/>
              </w:rPr>
              <w:t>C</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Starptautiskās saistības (pēc būtības), kas izriet no norādītā starptautiskā dokumenta.</w:t>
            </w:r>
          </w:p>
          <w:p w:rsidR="001401BD" w:rsidRPr="001401BD" w:rsidRDefault="001401BD" w:rsidP="001401BD">
            <w:pPr>
              <w:rPr>
                <w:rFonts w:eastAsia="Calibri"/>
                <w:lang w:eastAsia="en-US"/>
              </w:rPr>
            </w:pPr>
            <w:r w:rsidRPr="001401BD">
              <w:rPr>
                <w:rFonts w:eastAsia="Calibri"/>
                <w:lang w:eastAsia="en-US"/>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528"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Informācija par to, vai starptautiskās saistības, kas minētas šīs tabulas A ailē, tiek izpildītas pilnībā vai daļēji.</w:t>
            </w:r>
          </w:p>
          <w:p w:rsidR="001401BD" w:rsidRPr="001401BD" w:rsidRDefault="001401BD" w:rsidP="001401BD">
            <w:pPr>
              <w:rPr>
                <w:rFonts w:eastAsia="Calibri"/>
                <w:lang w:eastAsia="en-US"/>
              </w:rPr>
            </w:pPr>
            <w:r w:rsidRPr="001401BD">
              <w:rPr>
                <w:rFonts w:eastAsia="Calibri"/>
                <w:lang w:eastAsia="en-US"/>
              </w:rPr>
              <w:t>Ja attiecīgās starptautiskās saistības tiek izpildītas daļēji, sniedz skaidrojumu, kā arī precīzi norāda, kad un kādā veidā starptautiskās saistības tiks izpildītas pilnībā.</w:t>
            </w:r>
          </w:p>
          <w:p w:rsidR="001401BD" w:rsidRPr="001401BD" w:rsidRDefault="001401BD" w:rsidP="001401BD">
            <w:pPr>
              <w:rPr>
                <w:rFonts w:eastAsia="Calibri"/>
                <w:lang w:eastAsia="en-US"/>
              </w:rPr>
            </w:pPr>
            <w:r w:rsidRPr="001401BD">
              <w:rPr>
                <w:rFonts w:eastAsia="Calibri"/>
                <w:lang w:eastAsia="en-US"/>
              </w:rPr>
              <w:t>Norāda institūciju, kas ir atbildīga par šo saistību izpildi pilnībā</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Noteikumu projekts šo jomu neskar.</w:t>
            </w:r>
          </w:p>
        </w:tc>
        <w:tc>
          <w:tcPr>
            <w:tcW w:w="3528" w:type="dxa"/>
            <w:gridSpan w:val="2"/>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Noteikumu projekts šo jomu neskar.</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 xml:space="preserve">Vai starptautiskajā dokumentā paredzētās saistības nav pretrunā ar jau esošajām Latvijas </w:t>
            </w:r>
            <w:r w:rsidRPr="001401BD">
              <w:rPr>
                <w:rFonts w:eastAsia="Calibri"/>
                <w:lang w:eastAsia="en-US"/>
              </w:rPr>
              <w:lastRenderedPageBreak/>
              <w:t>Republikas starptautis</w:t>
            </w:r>
            <w:r w:rsidRPr="001401BD">
              <w:rPr>
                <w:rFonts w:eastAsia="Calibri"/>
                <w:lang w:eastAsia="en-US"/>
              </w:rPr>
              <w:softHyphen/>
              <w:t>kajām saistībām</w:t>
            </w:r>
          </w:p>
        </w:tc>
        <w:tc>
          <w:tcPr>
            <w:tcW w:w="6852" w:type="dxa"/>
            <w:gridSpan w:val="5"/>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lastRenderedPageBreak/>
              <w:t>Noteikumu projekts šo jomu neskar.</w:t>
            </w:r>
          </w:p>
        </w:tc>
      </w:tr>
      <w:tr w:rsidR="001401BD" w:rsidRPr="001401BD" w:rsidTr="001401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lastRenderedPageBreak/>
              <w:t>Cita informācija</w:t>
            </w:r>
          </w:p>
        </w:tc>
        <w:tc>
          <w:tcPr>
            <w:tcW w:w="6852" w:type="dxa"/>
            <w:gridSpan w:val="5"/>
            <w:tcBorders>
              <w:top w:val="outset" w:sz="6" w:space="0" w:color="auto"/>
              <w:left w:val="outset" w:sz="6" w:space="0" w:color="auto"/>
              <w:bottom w:val="outset" w:sz="6" w:space="0" w:color="auto"/>
              <w:right w:val="outset" w:sz="6" w:space="0" w:color="auto"/>
            </w:tcBorders>
          </w:tcPr>
          <w:p w:rsidR="001401BD" w:rsidRPr="001401BD" w:rsidRDefault="001401BD" w:rsidP="001401BD">
            <w:pPr>
              <w:rPr>
                <w:rFonts w:eastAsia="Calibri"/>
                <w:lang w:eastAsia="en-US"/>
              </w:rPr>
            </w:pPr>
            <w:r w:rsidRPr="001401BD">
              <w:rPr>
                <w:rFonts w:eastAsia="Calibri"/>
                <w:lang w:eastAsia="en-US"/>
              </w:rPr>
              <w:t>Nav.</w:t>
            </w:r>
          </w:p>
        </w:tc>
      </w:tr>
    </w:tbl>
    <w:p w:rsidR="00FF50CB" w:rsidRDefault="00FF50CB" w:rsidP="00A96D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B76D85" w:rsidRPr="006A7D0B" w:rsidTr="006A7D0B">
        <w:tc>
          <w:tcPr>
            <w:tcW w:w="9287" w:type="dxa"/>
            <w:gridSpan w:val="3"/>
            <w:shd w:val="clear" w:color="auto" w:fill="auto"/>
          </w:tcPr>
          <w:p w:rsidR="00B76D85" w:rsidRPr="006A7D0B" w:rsidRDefault="00043389" w:rsidP="006A7D0B">
            <w:pPr>
              <w:jc w:val="center"/>
              <w:rPr>
                <w:b/>
              </w:rPr>
            </w:pPr>
            <w:r w:rsidRPr="006A7D0B">
              <w:rPr>
                <w:b/>
              </w:rPr>
              <w:t>VI</w:t>
            </w:r>
            <w:r w:rsidR="00DC37D9" w:rsidRPr="006A7D0B">
              <w:rPr>
                <w:b/>
              </w:rPr>
              <w:t>.</w:t>
            </w:r>
            <w:r w:rsidRPr="006A7D0B">
              <w:rPr>
                <w:b/>
              </w:rPr>
              <w:t xml:space="preserve"> Sabiedrības līdzdalība un </w:t>
            </w:r>
            <w:r w:rsidR="00BB50B2" w:rsidRPr="006A7D0B">
              <w:rPr>
                <w:b/>
              </w:rPr>
              <w:t>komunikācijas aktivitātes</w:t>
            </w:r>
          </w:p>
        </w:tc>
      </w:tr>
      <w:tr w:rsidR="00BC4041" w:rsidRPr="00B76D85" w:rsidTr="006A7D0B">
        <w:tc>
          <w:tcPr>
            <w:tcW w:w="396" w:type="dxa"/>
            <w:shd w:val="clear" w:color="auto" w:fill="auto"/>
          </w:tcPr>
          <w:p w:rsidR="00BC4041" w:rsidRPr="00B76D85" w:rsidRDefault="00BC4041" w:rsidP="00A36979">
            <w:r>
              <w:t xml:space="preserve">1. </w:t>
            </w:r>
          </w:p>
        </w:tc>
        <w:tc>
          <w:tcPr>
            <w:tcW w:w="3072" w:type="dxa"/>
            <w:shd w:val="clear" w:color="auto" w:fill="auto"/>
          </w:tcPr>
          <w:p w:rsidR="00BC4041" w:rsidRPr="006A7D0B" w:rsidRDefault="00BB50B2" w:rsidP="006A7D0B">
            <w:pPr>
              <w:pStyle w:val="naiskr"/>
              <w:spacing w:before="0" w:after="0"/>
              <w:ind w:left="57" w:right="57"/>
              <w:rPr>
                <w:sz w:val="22"/>
                <w:szCs w:val="22"/>
              </w:rPr>
            </w:pPr>
            <w:r w:rsidRPr="00DD49B6">
              <w:t>Plānotās sabiedrības līdzdalības un komunikācijas aktivitātes saistībā ar projektu</w:t>
            </w:r>
          </w:p>
        </w:tc>
        <w:tc>
          <w:tcPr>
            <w:tcW w:w="5819" w:type="dxa"/>
            <w:shd w:val="clear" w:color="auto" w:fill="auto"/>
          </w:tcPr>
          <w:p w:rsidR="00EE0272" w:rsidRPr="006A7D0B" w:rsidRDefault="00EE0272" w:rsidP="00556139">
            <w:pPr>
              <w:jc w:val="both"/>
              <w:rPr>
                <w:i/>
                <w:color w:val="FF0000"/>
              </w:rPr>
            </w:pPr>
            <w:r>
              <w:rPr>
                <w:iCs/>
              </w:rPr>
              <w:t xml:space="preserve">Noteikumu projekts 2014.gada </w:t>
            </w:r>
            <w:r w:rsidR="00556139">
              <w:rPr>
                <w:iCs/>
                <w:color w:val="000000"/>
              </w:rPr>
              <w:t xml:space="preserve">novembrī </w:t>
            </w:r>
            <w:r>
              <w:rPr>
                <w:iCs/>
              </w:rPr>
              <w:t>sabiedrības līdzdarbības nolūkos tika ievietots LM mājas lapā.</w:t>
            </w:r>
          </w:p>
        </w:tc>
      </w:tr>
      <w:tr w:rsidR="00BC4041" w:rsidRPr="00B76D85" w:rsidTr="006A7D0B">
        <w:tc>
          <w:tcPr>
            <w:tcW w:w="396" w:type="dxa"/>
            <w:shd w:val="clear" w:color="auto" w:fill="auto"/>
          </w:tcPr>
          <w:p w:rsidR="00BC4041" w:rsidRPr="00B76D85" w:rsidRDefault="00BC4041" w:rsidP="00A36979">
            <w:r>
              <w:t xml:space="preserve">2. </w:t>
            </w:r>
          </w:p>
        </w:tc>
        <w:tc>
          <w:tcPr>
            <w:tcW w:w="3072" w:type="dxa"/>
            <w:shd w:val="clear" w:color="auto" w:fill="auto"/>
          </w:tcPr>
          <w:p w:rsidR="00BC4041" w:rsidRPr="006A7D0B" w:rsidRDefault="00BC4041" w:rsidP="006A7D0B">
            <w:pPr>
              <w:pStyle w:val="naiskr"/>
              <w:spacing w:before="0" w:after="0"/>
              <w:ind w:left="57" w:right="57"/>
              <w:rPr>
                <w:sz w:val="22"/>
                <w:szCs w:val="22"/>
              </w:rPr>
            </w:pPr>
            <w:r w:rsidRPr="006A7D0B">
              <w:rPr>
                <w:sz w:val="22"/>
                <w:szCs w:val="22"/>
              </w:rPr>
              <w:t xml:space="preserve">Sabiedrības līdzdalība projekta izstrādē </w:t>
            </w:r>
          </w:p>
        </w:tc>
        <w:tc>
          <w:tcPr>
            <w:tcW w:w="5819" w:type="dxa"/>
            <w:shd w:val="clear" w:color="auto" w:fill="auto"/>
          </w:tcPr>
          <w:p w:rsidR="00EE0272" w:rsidRPr="00AD31D2" w:rsidRDefault="00EE0272" w:rsidP="0041662A">
            <w:pPr>
              <w:jc w:val="both"/>
              <w:rPr>
                <w:i/>
                <w:iCs/>
                <w:color w:val="FF0000"/>
              </w:rPr>
            </w:pPr>
            <w:r w:rsidRPr="00AD31D2">
              <w:rPr>
                <w:iCs/>
              </w:rPr>
              <w:t xml:space="preserve">Noteikumu projekts </w:t>
            </w:r>
            <w:r w:rsidR="0041662A" w:rsidRPr="00AD31D2">
              <w:rPr>
                <w:iCs/>
              </w:rPr>
              <w:t xml:space="preserve">2014.gada </w:t>
            </w:r>
            <w:r w:rsidR="00556139">
              <w:rPr>
                <w:iCs/>
                <w:color w:val="000000"/>
              </w:rPr>
              <w:t>novembrī</w:t>
            </w:r>
            <w:r w:rsidR="0041662A" w:rsidRPr="00AD31D2">
              <w:rPr>
                <w:iCs/>
              </w:rPr>
              <w:t xml:space="preserve"> </w:t>
            </w:r>
            <w:r w:rsidRPr="00AD31D2">
              <w:rPr>
                <w:iCs/>
              </w:rPr>
              <w:t>sabiedrības līdzdarbības nolūkos tika ievietots LM mājas lapā.</w:t>
            </w:r>
          </w:p>
          <w:p w:rsidR="00BC4041" w:rsidRPr="00FC4A8F" w:rsidRDefault="00E908AD" w:rsidP="00AD31D2">
            <w:pPr>
              <w:jc w:val="both"/>
              <w:rPr>
                <w:sz w:val="20"/>
                <w:szCs w:val="20"/>
              </w:rPr>
            </w:pPr>
            <w:r w:rsidRPr="00F921EE">
              <w:rPr>
                <w:iCs/>
                <w:color w:val="000000"/>
              </w:rPr>
              <w:t xml:space="preserve">Noteikumu projekta izstrādē attiecībā </w:t>
            </w:r>
            <w:r>
              <w:rPr>
                <w:iCs/>
                <w:color w:val="000000"/>
              </w:rPr>
              <w:t>par</w:t>
            </w:r>
            <w:r w:rsidRPr="00F921EE">
              <w:rPr>
                <w:iCs/>
                <w:color w:val="000000"/>
              </w:rPr>
              <w:t xml:space="preserve"> </w:t>
            </w:r>
            <w:r>
              <w:rPr>
                <w:iCs/>
                <w:color w:val="000000"/>
              </w:rPr>
              <w:t>atbalsta personu darbā personām ar garīga rakstura traucējumiem piedalījās biedrība</w:t>
            </w:r>
            <w:r w:rsidR="001D0AEA">
              <w:rPr>
                <w:iCs/>
                <w:color w:val="000000"/>
              </w:rPr>
              <w:t xml:space="preserve"> „Rīgas pilsētas „Rūpju bērns””</w:t>
            </w:r>
            <w:r>
              <w:rPr>
                <w:iCs/>
                <w:color w:val="000000"/>
              </w:rPr>
              <w:t>.</w:t>
            </w:r>
          </w:p>
        </w:tc>
      </w:tr>
      <w:tr w:rsidR="00BC4041" w:rsidRPr="00B76D85" w:rsidTr="006A7D0B">
        <w:tc>
          <w:tcPr>
            <w:tcW w:w="396" w:type="dxa"/>
            <w:shd w:val="clear" w:color="auto" w:fill="auto"/>
          </w:tcPr>
          <w:p w:rsidR="00BC4041" w:rsidRPr="00B76D85" w:rsidRDefault="00BC4041" w:rsidP="00A36979">
            <w:r>
              <w:t>3.</w:t>
            </w:r>
          </w:p>
        </w:tc>
        <w:tc>
          <w:tcPr>
            <w:tcW w:w="3072" w:type="dxa"/>
            <w:shd w:val="clear" w:color="auto" w:fill="auto"/>
          </w:tcPr>
          <w:p w:rsidR="00BC4041" w:rsidRPr="006A7D0B" w:rsidRDefault="00BC4041" w:rsidP="006A7D0B">
            <w:pPr>
              <w:pStyle w:val="naiskr"/>
              <w:spacing w:before="0" w:after="0"/>
              <w:ind w:left="57" w:right="57"/>
              <w:rPr>
                <w:sz w:val="22"/>
                <w:szCs w:val="22"/>
              </w:rPr>
            </w:pPr>
            <w:r w:rsidRPr="006A7D0B">
              <w:rPr>
                <w:sz w:val="22"/>
                <w:szCs w:val="22"/>
              </w:rPr>
              <w:t xml:space="preserve">Sabiedrības līdzdalības rezultāti </w:t>
            </w:r>
          </w:p>
        </w:tc>
        <w:tc>
          <w:tcPr>
            <w:tcW w:w="5819" w:type="dxa"/>
            <w:shd w:val="clear" w:color="auto" w:fill="auto"/>
          </w:tcPr>
          <w:p w:rsidR="00C17418" w:rsidRPr="00C17418" w:rsidRDefault="00C17418" w:rsidP="00C17418">
            <w:pPr>
              <w:suppressAutoHyphens/>
              <w:ind w:right="57"/>
              <w:jc w:val="both"/>
              <w:rPr>
                <w:iCs/>
                <w:lang w:eastAsia="ar-SA"/>
              </w:rPr>
            </w:pPr>
            <w:r w:rsidRPr="00C17418">
              <w:rPr>
                <w:iCs/>
                <w:lang w:eastAsia="ar-SA"/>
              </w:rPr>
              <w:t>Individuālie sabiedrības</w:t>
            </w:r>
            <w:r w:rsidRPr="00C17418">
              <w:rPr>
                <w:b/>
                <w:iCs/>
                <w:lang w:eastAsia="ar-SA"/>
              </w:rPr>
              <w:t xml:space="preserve"> </w:t>
            </w:r>
            <w:r w:rsidRPr="00C17418">
              <w:rPr>
                <w:iCs/>
                <w:lang w:eastAsia="ar-SA"/>
              </w:rPr>
              <w:t xml:space="preserve">locekļu vērtējumi par Noteikumu projektu </w:t>
            </w:r>
            <w:r w:rsidR="00700EAF">
              <w:rPr>
                <w:iCs/>
                <w:lang w:eastAsia="ar-SA"/>
              </w:rPr>
              <w:t>nav</w:t>
            </w:r>
            <w:r w:rsidRPr="00C17418">
              <w:rPr>
                <w:iCs/>
                <w:lang w:eastAsia="ar-SA"/>
              </w:rPr>
              <w:t xml:space="preserve"> saņemti.</w:t>
            </w:r>
          </w:p>
          <w:p w:rsidR="00C17418" w:rsidRPr="00AC2DE8" w:rsidRDefault="00C17418" w:rsidP="00BC7920">
            <w:pPr>
              <w:suppressAutoHyphens/>
              <w:ind w:right="57"/>
              <w:jc w:val="both"/>
              <w:rPr>
                <w:iCs/>
                <w:lang w:eastAsia="ar-SA"/>
              </w:rPr>
            </w:pPr>
            <w:r w:rsidRPr="00C17418">
              <w:rPr>
                <w:iCs/>
                <w:lang w:eastAsia="ar-SA"/>
              </w:rPr>
              <w:t xml:space="preserve">Noteikumu projekts </w:t>
            </w:r>
            <w:r>
              <w:rPr>
                <w:iCs/>
                <w:lang w:eastAsia="ar-SA"/>
              </w:rPr>
              <w:t xml:space="preserve">oficiālās saskaņošanas ietvaros </w:t>
            </w:r>
            <w:r w:rsidR="00E908AD">
              <w:rPr>
                <w:iCs/>
                <w:lang w:eastAsia="ar-SA"/>
              </w:rPr>
              <w:t>ti</w:t>
            </w:r>
            <w:r w:rsidR="00D4440C">
              <w:rPr>
                <w:iCs/>
                <w:lang w:eastAsia="ar-SA"/>
              </w:rPr>
              <w:t>ka</w:t>
            </w:r>
            <w:r w:rsidR="00E908AD">
              <w:rPr>
                <w:iCs/>
                <w:lang w:eastAsia="ar-SA"/>
              </w:rPr>
              <w:t xml:space="preserve"> </w:t>
            </w:r>
            <w:r w:rsidRPr="00167021">
              <w:rPr>
                <w:iCs/>
                <w:lang w:eastAsia="ar-SA"/>
              </w:rPr>
              <w:t>saskaņots ar Latvijas Darba devēju konfederāciju, Latvijas Brīvo arodbiedrību savienību</w:t>
            </w:r>
            <w:r w:rsidR="00B007D7" w:rsidRPr="00167021">
              <w:rPr>
                <w:iCs/>
                <w:lang w:eastAsia="ar-SA"/>
              </w:rPr>
              <w:t xml:space="preserve"> un</w:t>
            </w:r>
            <w:r w:rsidR="002B264A">
              <w:rPr>
                <w:iCs/>
                <w:lang w:eastAsia="ar-SA"/>
              </w:rPr>
              <w:t xml:space="preserve"> </w:t>
            </w:r>
            <w:r w:rsidRPr="00167021">
              <w:rPr>
                <w:iCs/>
                <w:lang w:eastAsia="ar-SA"/>
              </w:rPr>
              <w:t>Latvijas Pašvaldību savienību</w:t>
            </w:r>
            <w:r w:rsidR="00B007D7" w:rsidRPr="00167021">
              <w:rPr>
                <w:iCs/>
                <w:lang w:eastAsia="ar-SA"/>
              </w:rPr>
              <w:t xml:space="preserve">. </w:t>
            </w:r>
          </w:p>
        </w:tc>
      </w:tr>
      <w:tr w:rsidR="00BC4041" w:rsidRPr="00B76D85" w:rsidTr="006A7D0B">
        <w:tc>
          <w:tcPr>
            <w:tcW w:w="396" w:type="dxa"/>
            <w:shd w:val="clear" w:color="auto" w:fill="auto"/>
          </w:tcPr>
          <w:p w:rsidR="00BC4041" w:rsidRPr="00B76D85" w:rsidRDefault="004A1651" w:rsidP="004A1651">
            <w:r>
              <w:t>4</w:t>
            </w:r>
            <w:r w:rsidR="00BC4041">
              <w:t>.</w:t>
            </w:r>
          </w:p>
        </w:tc>
        <w:tc>
          <w:tcPr>
            <w:tcW w:w="3072" w:type="dxa"/>
            <w:shd w:val="clear" w:color="auto" w:fill="auto"/>
          </w:tcPr>
          <w:p w:rsidR="00BC4041" w:rsidRPr="006A7D0B" w:rsidRDefault="00BC4041" w:rsidP="006A7D0B">
            <w:pPr>
              <w:pStyle w:val="naiskr"/>
              <w:spacing w:before="0" w:after="0"/>
              <w:ind w:left="57" w:right="57"/>
              <w:rPr>
                <w:sz w:val="22"/>
                <w:szCs w:val="22"/>
              </w:rPr>
            </w:pPr>
            <w:r w:rsidRPr="006A7D0B">
              <w:rPr>
                <w:sz w:val="22"/>
                <w:szCs w:val="22"/>
              </w:rPr>
              <w:t>Cita informācija</w:t>
            </w:r>
          </w:p>
          <w:p w:rsidR="00BC4041" w:rsidRPr="006A7D0B" w:rsidRDefault="00BC4041" w:rsidP="006A7D0B">
            <w:pPr>
              <w:pStyle w:val="naiskr"/>
              <w:spacing w:before="0" w:after="0"/>
              <w:ind w:left="57" w:right="57"/>
              <w:rPr>
                <w:sz w:val="22"/>
                <w:szCs w:val="22"/>
              </w:rPr>
            </w:pPr>
          </w:p>
        </w:tc>
        <w:tc>
          <w:tcPr>
            <w:tcW w:w="5819" w:type="dxa"/>
            <w:shd w:val="clear" w:color="auto" w:fill="auto"/>
          </w:tcPr>
          <w:p w:rsidR="00BC4041" w:rsidRPr="00EE7953" w:rsidRDefault="00BC4041" w:rsidP="006A7D0B">
            <w:pPr>
              <w:jc w:val="both"/>
              <w:rPr>
                <w:color w:val="000000"/>
              </w:rPr>
            </w:pPr>
            <w:r w:rsidRPr="00EE7953">
              <w:rPr>
                <w:color w:val="000000"/>
                <w:sz w:val="22"/>
                <w:szCs w:val="22"/>
              </w:rPr>
              <w:t>Nav</w:t>
            </w:r>
            <w:r w:rsidR="00D95119" w:rsidRPr="00EE7953">
              <w:rPr>
                <w:color w:val="000000"/>
                <w:sz w:val="22"/>
                <w:szCs w:val="22"/>
              </w:rPr>
              <w:t>.</w:t>
            </w:r>
          </w:p>
        </w:tc>
      </w:tr>
    </w:tbl>
    <w:p w:rsidR="00B76D85"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94614" w:rsidRPr="006A7D0B" w:rsidTr="006A7D0B">
        <w:tc>
          <w:tcPr>
            <w:tcW w:w="9287" w:type="dxa"/>
            <w:gridSpan w:val="3"/>
            <w:shd w:val="clear" w:color="auto" w:fill="auto"/>
          </w:tcPr>
          <w:p w:rsidR="00194614" w:rsidRPr="006A7D0B" w:rsidRDefault="00194614" w:rsidP="006A7D0B">
            <w:pPr>
              <w:jc w:val="center"/>
              <w:rPr>
                <w:b/>
              </w:rPr>
            </w:pPr>
            <w:r w:rsidRPr="006A7D0B">
              <w:rPr>
                <w:b/>
              </w:rPr>
              <w:t>VII</w:t>
            </w:r>
            <w:r w:rsidR="00DC37D9" w:rsidRPr="006A7D0B">
              <w:rPr>
                <w:b/>
              </w:rPr>
              <w:t>.</w:t>
            </w:r>
            <w:r w:rsidRPr="006A7D0B">
              <w:rPr>
                <w:b/>
              </w:rPr>
              <w:t xml:space="preserve"> Tiesību akta projekta izpildes nodrošināšana un tās ietekme uz institūcijām</w:t>
            </w:r>
          </w:p>
        </w:tc>
      </w:tr>
      <w:tr w:rsidR="00B76D85" w:rsidRPr="00B76D85" w:rsidTr="006A7D0B">
        <w:tc>
          <w:tcPr>
            <w:tcW w:w="396" w:type="dxa"/>
            <w:shd w:val="clear" w:color="auto" w:fill="auto"/>
          </w:tcPr>
          <w:p w:rsidR="00B76D85" w:rsidRPr="00B76D85" w:rsidRDefault="00194614" w:rsidP="00242D7D">
            <w:r>
              <w:t>1</w:t>
            </w:r>
            <w:r w:rsidR="00B76D85">
              <w:t xml:space="preserve">. </w:t>
            </w:r>
          </w:p>
        </w:tc>
        <w:tc>
          <w:tcPr>
            <w:tcW w:w="3072" w:type="dxa"/>
            <w:shd w:val="clear" w:color="auto" w:fill="auto"/>
          </w:tcPr>
          <w:p w:rsidR="00B76D85" w:rsidRPr="006A7D0B" w:rsidRDefault="00194614" w:rsidP="00242D7D">
            <w:pPr>
              <w:rPr>
                <w:sz w:val="22"/>
                <w:szCs w:val="22"/>
              </w:rPr>
            </w:pPr>
            <w:r w:rsidRPr="006A7D0B">
              <w:rPr>
                <w:sz w:val="22"/>
                <w:szCs w:val="22"/>
              </w:rPr>
              <w:t>Projekta izpildē iesaistītās institūcijas</w:t>
            </w:r>
          </w:p>
        </w:tc>
        <w:tc>
          <w:tcPr>
            <w:tcW w:w="5819" w:type="dxa"/>
            <w:shd w:val="clear" w:color="auto" w:fill="auto"/>
          </w:tcPr>
          <w:p w:rsidR="00B76D85" w:rsidRPr="002A2700" w:rsidRDefault="009C51EA" w:rsidP="00E908AD">
            <w:pPr>
              <w:jc w:val="both"/>
              <w:rPr>
                <w:color w:val="000000"/>
              </w:rPr>
            </w:pPr>
            <w:r w:rsidRPr="002A2700">
              <w:rPr>
                <w:iCs/>
                <w:color w:val="000000"/>
              </w:rPr>
              <w:t xml:space="preserve">Noteikuma projekta izpildi nodrošinās </w:t>
            </w:r>
            <w:r w:rsidR="00E908AD">
              <w:rPr>
                <w:iCs/>
                <w:color w:val="000000"/>
              </w:rPr>
              <w:t>NVA</w:t>
            </w:r>
            <w:r w:rsidRPr="002A2700">
              <w:rPr>
                <w:iCs/>
                <w:color w:val="000000"/>
              </w:rPr>
              <w:t>.</w:t>
            </w:r>
          </w:p>
        </w:tc>
      </w:tr>
      <w:tr w:rsidR="006A694C" w:rsidRPr="00B76D85" w:rsidTr="006A7D0B">
        <w:tc>
          <w:tcPr>
            <w:tcW w:w="396" w:type="dxa"/>
            <w:shd w:val="clear" w:color="auto" w:fill="auto"/>
          </w:tcPr>
          <w:p w:rsidR="006A694C" w:rsidRPr="00B76D85" w:rsidRDefault="006A694C" w:rsidP="00046760">
            <w:r>
              <w:t xml:space="preserve">2. </w:t>
            </w:r>
          </w:p>
        </w:tc>
        <w:tc>
          <w:tcPr>
            <w:tcW w:w="3072" w:type="dxa"/>
            <w:shd w:val="clear" w:color="auto" w:fill="auto"/>
          </w:tcPr>
          <w:p w:rsidR="006A694C" w:rsidRPr="006A7D0B" w:rsidRDefault="006A694C" w:rsidP="00046760">
            <w:pPr>
              <w:rPr>
                <w:sz w:val="22"/>
                <w:szCs w:val="22"/>
              </w:rPr>
            </w:pPr>
            <w:r w:rsidRPr="006A7D0B">
              <w:rPr>
                <w:sz w:val="22"/>
                <w:szCs w:val="22"/>
              </w:rPr>
              <w:t>Projekta izpildes ietekme uz pār</w:t>
            </w:r>
            <w:r w:rsidRPr="006A7D0B">
              <w:rPr>
                <w:sz w:val="22"/>
                <w:szCs w:val="22"/>
              </w:rPr>
              <w:softHyphen/>
              <w:t>valdes funkcijām un institucionālo struktūru.</w:t>
            </w:r>
          </w:p>
          <w:p w:rsidR="006A694C" w:rsidRPr="006A7D0B" w:rsidRDefault="006A694C" w:rsidP="00046760">
            <w:pPr>
              <w:rPr>
                <w:sz w:val="22"/>
                <w:szCs w:val="22"/>
              </w:rPr>
            </w:pPr>
            <w:r w:rsidRPr="006A7D0B">
              <w:rPr>
                <w:sz w:val="22"/>
                <w:szCs w:val="22"/>
              </w:rPr>
              <w:t>Jaunu institūciju izveide, esošu institūciju likvidācija vai reorga</w:t>
            </w:r>
            <w:r w:rsidRPr="006A7D0B">
              <w:rPr>
                <w:sz w:val="22"/>
                <w:szCs w:val="22"/>
              </w:rPr>
              <w:softHyphen/>
              <w:t>nizācija, to ietekme uz institūcijas cilvēkresursiem</w:t>
            </w:r>
          </w:p>
        </w:tc>
        <w:tc>
          <w:tcPr>
            <w:tcW w:w="5819" w:type="dxa"/>
            <w:shd w:val="clear" w:color="auto" w:fill="auto"/>
          </w:tcPr>
          <w:p w:rsidR="006A694C" w:rsidRPr="002A2700" w:rsidRDefault="006A694C" w:rsidP="00E908AD">
            <w:pPr>
              <w:jc w:val="both"/>
              <w:rPr>
                <w:color w:val="000000"/>
              </w:rPr>
            </w:pPr>
            <w:r w:rsidRPr="002A2700">
              <w:rPr>
                <w:color w:val="000000"/>
              </w:rPr>
              <w:t xml:space="preserve">Noteikumu projekts neparedz </w:t>
            </w:r>
            <w:r w:rsidR="00E908AD">
              <w:rPr>
                <w:color w:val="000000"/>
              </w:rPr>
              <w:t>NVA</w:t>
            </w:r>
            <w:r w:rsidRPr="002A2700">
              <w:rPr>
                <w:color w:val="000000"/>
              </w:rPr>
              <w:t xml:space="preserve"> funkciju paplašināšanu vai sašaur</w:t>
            </w:r>
            <w:r w:rsidR="00A75348">
              <w:rPr>
                <w:color w:val="000000"/>
              </w:rPr>
              <w:t xml:space="preserve">ināšanu, kā arī neietekmē pieejamos cilvēkresursus. </w:t>
            </w:r>
          </w:p>
        </w:tc>
      </w:tr>
      <w:tr w:rsidR="006A694C" w:rsidRPr="00B76D85" w:rsidTr="006A7D0B">
        <w:tc>
          <w:tcPr>
            <w:tcW w:w="396" w:type="dxa"/>
            <w:shd w:val="clear" w:color="auto" w:fill="auto"/>
          </w:tcPr>
          <w:p w:rsidR="006A694C" w:rsidRDefault="006A694C" w:rsidP="00046760">
            <w:r>
              <w:t xml:space="preserve">3. </w:t>
            </w:r>
          </w:p>
        </w:tc>
        <w:tc>
          <w:tcPr>
            <w:tcW w:w="3072" w:type="dxa"/>
            <w:shd w:val="clear" w:color="auto" w:fill="auto"/>
          </w:tcPr>
          <w:p w:rsidR="006A694C" w:rsidRPr="006A7D0B" w:rsidRDefault="006A694C" w:rsidP="00046760">
            <w:pPr>
              <w:rPr>
                <w:sz w:val="22"/>
                <w:szCs w:val="22"/>
              </w:rPr>
            </w:pPr>
            <w:r w:rsidRPr="006A7D0B">
              <w:rPr>
                <w:sz w:val="22"/>
                <w:szCs w:val="22"/>
              </w:rPr>
              <w:t>Cita informācija</w:t>
            </w:r>
          </w:p>
        </w:tc>
        <w:tc>
          <w:tcPr>
            <w:tcW w:w="5819" w:type="dxa"/>
            <w:shd w:val="clear" w:color="auto" w:fill="auto"/>
          </w:tcPr>
          <w:p w:rsidR="006A694C" w:rsidRPr="002A2700" w:rsidRDefault="006A694C" w:rsidP="00046760">
            <w:pPr>
              <w:jc w:val="both"/>
              <w:rPr>
                <w:color w:val="000000"/>
              </w:rPr>
            </w:pPr>
            <w:r w:rsidRPr="002A2700">
              <w:rPr>
                <w:color w:val="000000"/>
              </w:rPr>
              <w:t>Nav.</w:t>
            </w:r>
          </w:p>
        </w:tc>
      </w:tr>
    </w:tbl>
    <w:p w:rsidR="004B2F3F" w:rsidRDefault="004B2F3F" w:rsidP="006A694C"/>
    <w:p w:rsidR="00B76D85" w:rsidRPr="004B2F3F" w:rsidRDefault="004B2F3F" w:rsidP="002B264A">
      <w:pPr>
        <w:jc w:val="center"/>
        <w:rPr>
          <w:i/>
        </w:rPr>
      </w:pPr>
      <w:r w:rsidRPr="004B2F3F">
        <w:rPr>
          <w:i/>
        </w:rPr>
        <w:t xml:space="preserve">Noteikumu projekts </w:t>
      </w:r>
      <w:r w:rsidRPr="002B264A">
        <w:rPr>
          <w:i/>
        </w:rPr>
        <w:t>anotācijas</w:t>
      </w:r>
      <w:r w:rsidR="00A96D6E">
        <w:rPr>
          <w:i/>
        </w:rPr>
        <w:t xml:space="preserve"> </w:t>
      </w:r>
      <w:r w:rsidR="00A96D6E" w:rsidRPr="00A96D6E">
        <w:rPr>
          <w:i/>
        </w:rPr>
        <w:t>IV sadaļu neskar.</w:t>
      </w:r>
    </w:p>
    <w:p w:rsidR="00FE5D00" w:rsidRDefault="00FE5D00" w:rsidP="00B76D85">
      <w:pPr>
        <w:jc w:val="center"/>
      </w:pPr>
    </w:p>
    <w:p w:rsidR="007B614D" w:rsidRDefault="007B614D" w:rsidP="00B76D85">
      <w:pPr>
        <w:jc w:val="center"/>
      </w:pPr>
    </w:p>
    <w:p w:rsidR="006D7ACC" w:rsidRDefault="00194614" w:rsidP="006D7ACC">
      <w:pPr>
        <w:ind w:firstLine="720"/>
      </w:pPr>
      <w:r w:rsidRPr="008B0AD5">
        <w:t>Labklājības ministr</w:t>
      </w:r>
      <w:r w:rsidR="00250408" w:rsidRPr="008B0AD5">
        <w:t>s</w:t>
      </w:r>
      <w:r w:rsidR="00250408" w:rsidRPr="008B0AD5">
        <w:tab/>
      </w:r>
      <w:r w:rsidR="00250408" w:rsidRPr="008B0AD5">
        <w:tab/>
      </w:r>
      <w:r w:rsidR="00250408" w:rsidRPr="008B0AD5">
        <w:tab/>
      </w:r>
      <w:r w:rsidR="00250408" w:rsidRPr="008B0AD5">
        <w:tab/>
      </w:r>
      <w:r w:rsidR="00250408" w:rsidRPr="008B0AD5">
        <w:tab/>
      </w:r>
      <w:r w:rsidR="00250408" w:rsidRPr="008B0AD5">
        <w:tab/>
        <w:t>U.Augulis</w:t>
      </w:r>
      <w:r w:rsidRPr="008B0AD5">
        <w:tab/>
      </w:r>
      <w:r w:rsidRPr="008B0AD5">
        <w:tab/>
      </w:r>
    </w:p>
    <w:p w:rsidR="006D7ACC" w:rsidRDefault="006D7ACC" w:rsidP="006D7ACC">
      <w:pPr>
        <w:ind w:firstLine="720"/>
      </w:pPr>
    </w:p>
    <w:p w:rsidR="007B614D" w:rsidRDefault="007B614D" w:rsidP="006D7ACC">
      <w:pPr>
        <w:ind w:firstLine="720"/>
      </w:pPr>
    </w:p>
    <w:p w:rsidR="007B614D" w:rsidRDefault="007B614D" w:rsidP="006D7ACC">
      <w:pPr>
        <w:ind w:firstLine="720"/>
      </w:pPr>
    </w:p>
    <w:p w:rsidR="007B614D" w:rsidRDefault="007B614D" w:rsidP="006D7ACC">
      <w:pPr>
        <w:ind w:firstLine="720"/>
      </w:pPr>
    </w:p>
    <w:p w:rsidR="00330E6E" w:rsidRDefault="00194614" w:rsidP="00FF573B">
      <w:r w:rsidRPr="008B0AD5">
        <w:tab/>
      </w:r>
      <w:r w:rsidRPr="008B0AD5">
        <w:tab/>
      </w:r>
      <w:r w:rsidRPr="008B0AD5">
        <w:tab/>
      </w:r>
      <w:r w:rsidRPr="008B0AD5">
        <w:tab/>
        <w:t xml:space="preserve">          </w:t>
      </w:r>
      <w:r w:rsidR="00330E6E" w:rsidRPr="008B0AD5">
        <w:t xml:space="preserve">        </w:t>
      </w:r>
    </w:p>
    <w:p w:rsidR="00250408" w:rsidRPr="008B41C2" w:rsidRDefault="00FF573B" w:rsidP="00250408">
      <w:pPr>
        <w:tabs>
          <w:tab w:val="center" w:pos="4535"/>
        </w:tabs>
        <w:suppressAutoHyphens/>
        <w:rPr>
          <w:sz w:val="20"/>
          <w:szCs w:val="20"/>
          <w:lang w:eastAsia="ar-SA"/>
        </w:rPr>
      </w:pPr>
      <w:r>
        <w:rPr>
          <w:sz w:val="20"/>
          <w:szCs w:val="20"/>
          <w:lang w:eastAsia="ar-SA"/>
        </w:rPr>
        <w:t>21</w:t>
      </w:r>
      <w:r w:rsidR="006814CC" w:rsidRPr="008B41C2">
        <w:rPr>
          <w:sz w:val="20"/>
          <w:szCs w:val="20"/>
          <w:lang w:eastAsia="ar-SA"/>
        </w:rPr>
        <w:t>.</w:t>
      </w:r>
      <w:r w:rsidR="00E532BA">
        <w:rPr>
          <w:sz w:val="20"/>
          <w:szCs w:val="20"/>
          <w:lang w:eastAsia="ar-SA"/>
        </w:rPr>
        <w:t>05</w:t>
      </w:r>
      <w:r w:rsidR="006E3369" w:rsidRPr="008B41C2">
        <w:rPr>
          <w:sz w:val="20"/>
          <w:szCs w:val="20"/>
          <w:lang w:eastAsia="ar-SA"/>
        </w:rPr>
        <w:t>.2015</w:t>
      </w:r>
      <w:r w:rsidR="00250408" w:rsidRPr="008B41C2">
        <w:rPr>
          <w:sz w:val="20"/>
          <w:szCs w:val="20"/>
          <w:lang w:eastAsia="ar-SA"/>
        </w:rPr>
        <w:t xml:space="preserve">. </w:t>
      </w:r>
      <w:r w:rsidR="009E2C0B">
        <w:rPr>
          <w:sz w:val="20"/>
          <w:szCs w:val="20"/>
          <w:lang w:eastAsia="ar-SA"/>
        </w:rPr>
        <w:t>08:55</w:t>
      </w:r>
      <w:r w:rsidR="00250408" w:rsidRPr="008B41C2">
        <w:rPr>
          <w:sz w:val="20"/>
          <w:szCs w:val="20"/>
          <w:lang w:eastAsia="ar-SA"/>
        </w:rPr>
        <w:tab/>
      </w:r>
      <w:bookmarkStart w:id="2" w:name="_GoBack"/>
      <w:bookmarkEnd w:id="2"/>
    </w:p>
    <w:p w:rsidR="00250408" w:rsidRPr="00250408" w:rsidRDefault="00E532BA" w:rsidP="00250408">
      <w:pPr>
        <w:suppressAutoHyphens/>
        <w:textAlignment w:val="baseline"/>
        <w:rPr>
          <w:rFonts w:eastAsia="Arial"/>
          <w:kern w:val="1"/>
          <w:sz w:val="20"/>
          <w:szCs w:val="20"/>
          <w:lang w:eastAsia="ar-SA"/>
        </w:rPr>
      </w:pPr>
      <w:r>
        <w:rPr>
          <w:rFonts w:eastAsia="Arial"/>
          <w:kern w:val="1"/>
          <w:sz w:val="20"/>
          <w:szCs w:val="20"/>
          <w:lang w:eastAsia="ar-SA"/>
        </w:rPr>
        <w:t>7</w:t>
      </w:r>
      <w:r w:rsidR="00C322DC">
        <w:rPr>
          <w:rFonts w:eastAsia="Arial"/>
          <w:kern w:val="1"/>
          <w:sz w:val="20"/>
          <w:szCs w:val="20"/>
          <w:lang w:eastAsia="ar-SA"/>
        </w:rPr>
        <w:t>294</w:t>
      </w:r>
    </w:p>
    <w:p w:rsidR="00250408" w:rsidRPr="00250408" w:rsidRDefault="00DF2A52" w:rsidP="00250408">
      <w:pPr>
        <w:suppressAutoHyphens/>
        <w:textAlignment w:val="baseline"/>
        <w:rPr>
          <w:rFonts w:eastAsia="Arial"/>
          <w:kern w:val="1"/>
          <w:sz w:val="20"/>
          <w:szCs w:val="20"/>
          <w:lang w:eastAsia="ar-SA"/>
        </w:rPr>
      </w:pPr>
      <w:r>
        <w:rPr>
          <w:rFonts w:eastAsia="Arial"/>
          <w:kern w:val="1"/>
          <w:sz w:val="20"/>
          <w:szCs w:val="20"/>
          <w:lang w:eastAsia="ar-SA"/>
        </w:rPr>
        <w:t>K.Ziediņš</w:t>
      </w:r>
    </w:p>
    <w:p w:rsidR="00250408" w:rsidRPr="00250408" w:rsidRDefault="00250408" w:rsidP="00250408">
      <w:pPr>
        <w:suppressAutoHyphens/>
        <w:autoSpaceDE w:val="0"/>
        <w:textAlignment w:val="baseline"/>
        <w:rPr>
          <w:rFonts w:eastAsia="Arial"/>
          <w:kern w:val="1"/>
          <w:sz w:val="20"/>
          <w:szCs w:val="20"/>
          <w:lang w:eastAsia="ar-SA"/>
        </w:rPr>
      </w:pPr>
      <w:r>
        <w:rPr>
          <w:rFonts w:eastAsia="Arial"/>
          <w:kern w:val="1"/>
          <w:sz w:val="20"/>
          <w:szCs w:val="20"/>
          <w:lang w:eastAsia="ar-SA"/>
        </w:rPr>
        <w:t>Tālrunis</w:t>
      </w:r>
      <w:r w:rsidRPr="00250408">
        <w:rPr>
          <w:rFonts w:eastAsia="Arial"/>
          <w:kern w:val="1"/>
          <w:sz w:val="20"/>
          <w:szCs w:val="20"/>
          <w:lang w:eastAsia="ar-SA"/>
        </w:rPr>
        <w:t>: 67021503</w:t>
      </w:r>
    </w:p>
    <w:p w:rsidR="00250408" w:rsidRPr="00250408" w:rsidRDefault="00250408" w:rsidP="00250408">
      <w:pPr>
        <w:suppressAutoHyphens/>
        <w:autoSpaceDE w:val="0"/>
        <w:textAlignment w:val="baseline"/>
        <w:rPr>
          <w:rFonts w:eastAsia="Arial"/>
          <w:kern w:val="1"/>
          <w:sz w:val="20"/>
          <w:szCs w:val="20"/>
          <w:lang w:eastAsia="ar-SA"/>
        </w:rPr>
      </w:pPr>
      <w:r w:rsidRPr="00250408">
        <w:rPr>
          <w:rFonts w:eastAsia="Arial"/>
          <w:kern w:val="1"/>
          <w:sz w:val="20"/>
          <w:szCs w:val="20"/>
          <w:lang w:eastAsia="ar-SA"/>
        </w:rPr>
        <w:t>Fakss: 67021505</w:t>
      </w:r>
    </w:p>
    <w:p w:rsidR="000C29B0" w:rsidRPr="00E85C09" w:rsidRDefault="00250408" w:rsidP="00E85C09">
      <w:pPr>
        <w:suppressAutoHyphens/>
        <w:rPr>
          <w:sz w:val="20"/>
          <w:szCs w:val="20"/>
          <w:lang w:eastAsia="ar-SA"/>
        </w:rPr>
      </w:pPr>
      <w:r>
        <w:rPr>
          <w:sz w:val="20"/>
          <w:szCs w:val="20"/>
          <w:lang w:eastAsia="ar-SA"/>
        </w:rPr>
        <w:t xml:space="preserve">e-pasts: </w:t>
      </w:r>
      <w:hyperlink r:id="rId8" w:history="1">
        <w:r w:rsidR="001D0AEA">
          <w:rPr>
            <w:color w:val="0000FF"/>
            <w:sz w:val="20"/>
            <w:szCs w:val="20"/>
            <w:u w:val="single"/>
            <w:lang w:eastAsia="ar-SA"/>
          </w:rPr>
          <w:t>Kristaps.Ziedins</w:t>
        </w:r>
        <w:r w:rsidRPr="00250408">
          <w:rPr>
            <w:color w:val="0000FF"/>
            <w:sz w:val="20"/>
            <w:szCs w:val="20"/>
            <w:u w:val="single"/>
            <w:lang w:eastAsia="ar-SA"/>
          </w:rPr>
          <w:t>@lm.gov.lv</w:t>
        </w:r>
      </w:hyperlink>
    </w:p>
    <w:sectPr w:rsidR="000C29B0" w:rsidRPr="00E85C09" w:rsidSect="00ED5D34">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24" w:rsidRDefault="006A7824">
      <w:r>
        <w:separator/>
      </w:r>
    </w:p>
  </w:endnote>
  <w:endnote w:type="continuationSeparator" w:id="0">
    <w:p w:rsidR="006A7824" w:rsidRDefault="006A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E5" w:rsidRPr="00C0201F" w:rsidRDefault="006B05E5" w:rsidP="00F2273E">
    <w:pPr>
      <w:pStyle w:val="NormalWeb"/>
      <w:spacing w:before="0" w:after="0"/>
      <w:jc w:val="both"/>
      <w:rPr>
        <w:sz w:val="20"/>
        <w:szCs w:val="20"/>
      </w:rPr>
    </w:pPr>
    <w:r>
      <w:rPr>
        <w:sz w:val="20"/>
        <w:szCs w:val="20"/>
      </w:rPr>
      <w:t>L</w:t>
    </w:r>
    <w:r w:rsidR="00E335C8">
      <w:rPr>
        <w:sz w:val="20"/>
        <w:szCs w:val="20"/>
      </w:rPr>
      <w:t>MA</w:t>
    </w:r>
    <w:r>
      <w:rPr>
        <w:sz w:val="20"/>
        <w:szCs w:val="20"/>
      </w:rPr>
      <w:t>not_</w:t>
    </w:r>
    <w:r w:rsidR="000B67FC">
      <w:rPr>
        <w:sz w:val="20"/>
        <w:szCs w:val="20"/>
      </w:rPr>
      <w:t>21</w:t>
    </w:r>
    <w:r w:rsidR="001A51E6">
      <w:rPr>
        <w:sz w:val="20"/>
        <w:szCs w:val="20"/>
      </w:rPr>
      <w:t>05</w:t>
    </w:r>
    <w:r w:rsidR="00587020">
      <w:rPr>
        <w:sz w:val="20"/>
        <w:szCs w:val="20"/>
      </w:rPr>
      <w:t>15</w:t>
    </w:r>
    <w:r>
      <w:rPr>
        <w:sz w:val="20"/>
        <w:szCs w:val="20"/>
      </w:rPr>
      <w:t>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rsidR="006B05E5" w:rsidRPr="00F2273E" w:rsidRDefault="006B05E5" w:rsidP="00B8295E">
    <w:pPr>
      <w:pStyle w:val="Footer"/>
      <w:tabs>
        <w:tab w:val="clear" w:pos="4153"/>
        <w:tab w:val="clear" w:pos="8306"/>
        <w:tab w:val="left" w:pos="263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E5" w:rsidRPr="00C0201F" w:rsidRDefault="006B05E5" w:rsidP="00F2273E">
    <w:pPr>
      <w:pStyle w:val="NormalWeb"/>
      <w:spacing w:before="0" w:after="0"/>
      <w:jc w:val="both"/>
      <w:rPr>
        <w:sz w:val="20"/>
        <w:szCs w:val="20"/>
      </w:rPr>
    </w:pPr>
    <w:r>
      <w:rPr>
        <w:sz w:val="20"/>
        <w:szCs w:val="20"/>
      </w:rPr>
      <w:t>L</w:t>
    </w:r>
    <w:r w:rsidR="00E335C8">
      <w:rPr>
        <w:sz w:val="20"/>
        <w:szCs w:val="20"/>
      </w:rPr>
      <w:t>MA</w:t>
    </w:r>
    <w:r w:rsidR="00F71B4A">
      <w:rPr>
        <w:sz w:val="20"/>
        <w:szCs w:val="20"/>
      </w:rPr>
      <w:t>not_</w:t>
    </w:r>
    <w:r w:rsidR="000B67FC">
      <w:rPr>
        <w:sz w:val="20"/>
        <w:szCs w:val="20"/>
      </w:rPr>
      <w:t>21</w:t>
    </w:r>
    <w:r w:rsidR="00F81547">
      <w:rPr>
        <w:sz w:val="20"/>
        <w:szCs w:val="20"/>
      </w:rPr>
      <w:t>05</w:t>
    </w:r>
    <w:r>
      <w:rPr>
        <w:sz w:val="20"/>
        <w:szCs w:val="20"/>
      </w:rPr>
      <w:t>1</w:t>
    </w:r>
    <w:r w:rsidR="00587020">
      <w:rPr>
        <w:sz w:val="20"/>
        <w:szCs w:val="20"/>
      </w:rPr>
      <w:t>5</w:t>
    </w:r>
    <w:r>
      <w:rPr>
        <w:sz w:val="20"/>
        <w:szCs w:val="20"/>
      </w:rPr>
      <w:t>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rsidR="006B05E5" w:rsidRPr="00F2273E" w:rsidRDefault="006B05E5" w:rsidP="00F22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24" w:rsidRDefault="006A7824">
      <w:r>
        <w:separator/>
      </w:r>
    </w:p>
  </w:footnote>
  <w:footnote w:type="continuationSeparator" w:id="0">
    <w:p w:rsidR="006A7824" w:rsidRDefault="006A7824">
      <w:r>
        <w:continuationSeparator/>
      </w:r>
    </w:p>
  </w:footnote>
  <w:footnote w:id="1">
    <w:p w:rsidR="006B05E5" w:rsidRPr="00D87631" w:rsidRDefault="006B05E5" w:rsidP="00762A81">
      <w:pPr>
        <w:pStyle w:val="FootnoteText"/>
      </w:pPr>
      <w:r w:rsidRPr="00D87631">
        <w:rPr>
          <w:rStyle w:val="FootnoteReference"/>
        </w:rPr>
        <w:t>*</w:t>
      </w:r>
      <w:r w:rsidRPr="00D87631">
        <w:t xml:space="preserve"> </w:t>
      </w:r>
      <w:hyperlink r:id="rId1" w:history="1">
        <w:r w:rsidRPr="00D87631">
          <w:t>http://www.lm.gov.lv/text/2562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E5" w:rsidRDefault="00F40F2D" w:rsidP="00242D7D">
    <w:pPr>
      <w:pStyle w:val="Header"/>
      <w:framePr w:wrap="around" w:vAnchor="text" w:hAnchor="margin" w:xAlign="center" w:y="1"/>
      <w:rPr>
        <w:rStyle w:val="PageNumber"/>
      </w:rPr>
    </w:pPr>
    <w:r>
      <w:rPr>
        <w:rStyle w:val="PageNumber"/>
      </w:rPr>
      <w:fldChar w:fldCharType="begin"/>
    </w:r>
    <w:r w:rsidR="006B05E5">
      <w:rPr>
        <w:rStyle w:val="PageNumber"/>
      </w:rPr>
      <w:instrText xml:space="preserve">PAGE  </w:instrText>
    </w:r>
    <w:r>
      <w:rPr>
        <w:rStyle w:val="PageNumber"/>
      </w:rPr>
      <w:fldChar w:fldCharType="end"/>
    </w:r>
  </w:p>
  <w:p w:rsidR="006B05E5" w:rsidRDefault="006B0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E5" w:rsidRDefault="00F40F2D" w:rsidP="00242D7D">
    <w:pPr>
      <w:pStyle w:val="Header"/>
      <w:framePr w:wrap="around" w:vAnchor="text" w:hAnchor="margin" w:xAlign="center" w:y="1"/>
      <w:rPr>
        <w:rStyle w:val="PageNumber"/>
      </w:rPr>
    </w:pPr>
    <w:r>
      <w:rPr>
        <w:rStyle w:val="PageNumber"/>
      </w:rPr>
      <w:fldChar w:fldCharType="begin"/>
    </w:r>
    <w:r w:rsidR="006B05E5">
      <w:rPr>
        <w:rStyle w:val="PageNumber"/>
      </w:rPr>
      <w:instrText xml:space="preserve">PAGE  </w:instrText>
    </w:r>
    <w:r>
      <w:rPr>
        <w:rStyle w:val="PageNumber"/>
      </w:rPr>
      <w:fldChar w:fldCharType="separate"/>
    </w:r>
    <w:r w:rsidR="009E2C0B">
      <w:rPr>
        <w:rStyle w:val="PageNumber"/>
        <w:noProof/>
      </w:rPr>
      <w:t>25</w:t>
    </w:r>
    <w:r>
      <w:rPr>
        <w:rStyle w:val="PageNumber"/>
      </w:rPr>
      <w:fldChar w:fldCharType="end"/>
    </w:r>
  </w:p>
  <w:p w:rsidR="006B05E5" w:rsidRDefault="006B0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4" w15:restartNumberingAfterBreak="0">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24043A"/>
    <w:multiLevelType w:val="multilevel"/>
    <w:tmpl w:val="0F94FB3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0" w15:restartNumberingAfterBreak="0">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1" w15:restartNumberingAfterBreak="0">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3" w15:restartNumberingAfterBreak="0">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9"/>
  </w:num>
  <w:num w:numId="5">
    <w:abstractNumId w:val="7"/>
  </w:num>
  <w:num w:numId="6">
    <w:abstractNumId w:val="2"/>
  </w:num>
  <w:num w:numId="7">
    <w:abstractNumId w:val="11"/>
  </w:num>
  <w:num w:numId="8">
    <w:abstractNumId w:val="3"/>
  </w:num>
  <w:num w:numId="9">
    <w:abstractNumId w:val="14"/>
  </w:num>
  <w:num w:numId="10">
    <w:abstractNumId w:val="10"/>
  </w:num>
  <w:num w:numId="11">
    <w:abstractNumId w:val="13"/>
  </w:num>
  <w:num w:numId="12">
    <w:abstractNumId w:val="1"/>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03CB"/>
    <w:rsid w:val="000010EF"/>
    <w:rsid w:val="000049FD"/>
    <w:rsid w:val="00004BE3"/>
    <w:rsid w:val="00010C24"/>
    <w:rsid w:val="0001203B"/>
    <w:rsid w:val="00012BCF"/>
    <w:rsid w:val="00014889"/>
    <w:rsid w:val="000162FD"/>
    <w:rsid w:val="00017E5D"/>
    <w:rsid w:val="00020B4F"/>
    <w:rsid w:val="000232EB"/>
    <w:rsid w:val="000251D9"/>
    <w:rsid w:val="000260C1"/>
    <w:rsid w:val="00027414"/>
    <w:rsid w:val="0003124C"/>
    <w:rsid w:val="00032FCA"/>
    <w:rsid w:val="000344C0"/>
    <w:rsid w:val="00034970"/>
    <w:rsid w:val="00036245"/>
    <w:rsid w:val="00036804"/>
    <w:rsid w:val="00037BB3"/>
    <w:rsid w:val="00043389"/>
    <w:rsid w:val="000450B6"/>
    <w:rsid w:val="00046760"/>
    <w:rsid w:val="000476FC"/>
    <w:rsid w:val="000509A8"/>
    <w:rsid w:val="00056345"/>
    <w:rsid w:val="00057176"/>
    <w:rsid w:val="0006002A"/>
    <w:rsid w:val="0006076A"/>
    <w:rsid w:val="00060968"/>
    <w:rsid w:val="00061004"/>
    <w:rsid w:val="00065FDF"/>
    <w:rsid w:val="00067067"/>
    <w:rsid w:val="0007050B"/>
    <w:rsid w:val="000713E1"/>
    <w:rsid w:val="000736E1"/>
    <w:rsid w:val="00076D11"/>
    <w:rsid w:val="00080296"/>
    <w:rsid w:val="000829C1"/>
    <w:rsid w:val="0008362C"/>
    <w:rsid w:val="00084CB0"/>
    <w:rsid w:val="000902BF"/>
    <w:rsid w:val="00093744"/>
    <w:rsid w:val="0009450F"/>
    <w:rsid w:val="00095D94"/>
    <w:rsid w:val="0009784B"/>
    <w:rsid w:val="000A1D01"/>
    <w:rsid w:val="000A35D2"/>
    <w:rsid w:val="000A5509"/>
    <w:rsid w:val="000A7827"/>
    <w:rsid w:val="000B67FC"/>
    <w:rsid w:val="000B6A7F"/>
    <w:rsid w:val="000B78EC"/>
    <w:rsid w:val="000C1D63"/>
    <w:rsid w:val="000C23D3"/>
    <w:rsid w:val="000C29B0"/>
    <w:rsid w:val="000C4D05"/>
    <w:rsid w:val="000D0DA0"/>
    <w:rsid w:val="000D0EC0"/>
    <w:rsid w:val="000D1449"/>
    <w:rsid w:val="000D740B"/>
    <w:rsid w:val="000D7C1A"/>
    <w:rsid w:val="000E0C7D"/>
    <w:rsid w:val="000E1F9F"/>
    <w:rsid w:val="000E384F"/>
    <w:rsid w:val="000E421B"/>
    <w:rsid w:val="000E678C"/>
    <w:rsid w:val="000F2C0D"/>
    <w:rsid w:val="000F305C"/>
    <w:rsid w:val="000F3932"/>
    <w:rsid w:val="000F40BD"/>
    <w:rsid w:val="000F5F6B"/>
    <w:rsid w:val="00102682"/>
    <w:rsid w:val="0010720E"/>
    <w:rsid w:val="00111137"/>
    <w:rsid w:val="001121F2"/>
    <w:rsid w:val="001141FC"/>
    <w:rsid w:val="001149F8"/>
    <w:rsid w:val="00115437"/>
    <w:rsid w:val="00116098"/>
    <w:rsid w:val="0012151E"/>
    <w:rsid w:val="00122F3D"/>
    <w:rsid w:val="00124853"/>
    <w:rsid w:val="00125B86"/>
    <w:rsid w:val="00126C64"/>
    <w:rsid w:val="001272CE"/>
    <w:rsid w:val="00130C31"/>
    <w:rsid w:val="00131478"/>
    <w:rsid w:val="0013206C"/>
    <w:rsid w:val="00133BF5"/>
    <w:rsid w:val="00134B34"/>
    <w:rsid w:val="001350F4"/>
    <w:rsid w:val="001401BD"/>
    <w:rsid w:val="00143584"/>
    <w:rsid w:val="001435A8"/>
    <w:rsid w:val="001443DF"/>
    <w:rsid w:val="00144C2C"/>
    <w:rsid w:val="00147461"/>
    <w:rsid w:val="00147E93"/>
    <w:rsid w:val="00152425"/>
    <w:rsid w:val="00152E95"/>
    <w:rsid w:val="00167021"/>
    <w:rsid w:val="00167401"/>
    <w:rsid w:val="00170E63"/>
    <w:rsid w:val="00174A87"/>
    <w:rsid w:val="0018200B"/>
    <w:rsid w:val="00184B14"/>
    <w:rsid w:val="00185E65"/>
    <w:rsid w:val="001869A8"/>
    <w:rsid w:val="00191899"/>
    <w:rsid w:val="00191E0E"/>
    <w:rsid w:val="00194614"/>
    <w:rsid w:val="00196EF2"/>
    <w:rsid w:val="001A354E"/>
    <w:rsid w:val="001A360B"/>
    <w:rsid w:val="001A51E6"/>
    <w:rsid w:val="001B7328"/>
    <w:rsid w:val="001C0089"/>
    <w:rsid w:val="001C0D90"/>
    <w:rsid w:val="001C509E"/>
    <w:rsid w:val="001C67A6"/>
    <w:rsid w:val="001D0050"/>
    <w:rsid w:val="001D0AEA"/>
    <w:rsid w:val="001D1950"/>
    <w:rsid w:val="001D1C3C"/>
    <w:rsid w:val="001D3BDF"/>
    <w:rsid w:val="001D42CD"/>
    <w:rsid w:val="001D76B1"/>
    <w:rsid w:val="001D7806"/>
    <w:rsid w:val="001D7AD1"/>
    <w:rsid w:val="001E1307"/>
    <w:rsid w:val="001E184A"/>
    <w:rsid w:val="001E19A9"/>
    <w:rsid w:val="001E5C57"/>
    <w:rsid w:val="001F3077"/>
    <w:rsid w:val="001F40FF"/>
    <w:rsid w:val="001F5D7D"/>
    <w:rsid w:val="00201973"/>
    <w:rsid w:val="00205A93"/>
    <w:rsid w:val="00206FB6"/>
    <w:rsid w:val="002142DC"/>
    <w:rsid w:val="002157A8"/>
    <w:rsid w:val="00215A6B"/>
    <w:rsid w:val="00216591"/>
    <w:rsid w:val="002175D9"/>
    <w:rsid w:val="0021789A"/>
    <w:rsid w:val="00224061"/>
    <w:rsid w:val="002242CB"/>
    <w:rsid w:val="0022698A"/>
    <w:rsid w:val="00226F75"/>
    <w:rsid w:val="00230730"/>
    <w:rsid w:val="0023232C"/>
    <w:rsid w:val="00232C33"/>
    <w:rsid w:val="00232C58"/>
    <w:rsid w:val="0023478C"/>
    <w:rsid w:val="00234C48"/>
    <w:rsid w:val="002354DF"/>
    <w:rsid w:val="00237649"/>
    <w:rsid w:val="00242D7D"/>
    <w:rsid w:val="002432E7"/>
    <w:rsid w:val="002500CB"/>
    <w:rsid w:val="00250408"/>
    <w:rsid w:val="00252213"/>
    <w:rsid w:val="00257250"/>
    <w:rsid w:val="00257DD4"/>
    <w:rsid w:val="002607A6"/>
    <w:rsid w:val="00261071"/>
    <w:rsid w:val="00261F5F"/>
    <w:rsid w:val="00262EBA"/>
    <w:rsid w:val="002640D9"/>
    <w:rsid w:val="002654CD"/>
    <w:rsid w:val="002662E3"/>
    <w:rsid w:val="002700EF"/>
    <w:rsid w:val="00270E4A"/>
    <w:rsid w:val="00271F7F"/>
    <w:rsid w:val="00273F99"/>
    <w:rsid w:val="002747BA"/>
    <w:rsid w:val="00275E90"/>
    <w:rsid w:val="00276E78"/>
    <w:rsid w:val="00277E18"/>
    <w:rsid w:val="0028162B"/>
    <w:rsid w:val="00284191"/>
    <w:rsid w:val="00294074"/>
    <w:rsid w:val="00294E7C"/>
    <w:rsid w:val="00296A90"/>
    <w:rsid w:val="002A1B5B"/>
    <w:rsid w:val="002A2700"/>
    <w:rsid w:val="002B264A"/>
    <w:rsid w:val="002B4ECF"/>
    <w:rsid w:val="002B6A76"/>
    <w:rsid w:val="002B6ABC"/>
    <w:rsid w:val="002C234A"/>
    <w:rsid w:val="002C6ABF"/>
    <w:rsid w:val="002C7C67"/>
    <w:rsid w:val="002D175B"/>
    <w:rsid w:val="002D35DB"/>
    <w:rsid w:val="002D37AB"/>
    <w:rsid w:val="002D529C"/>
    <w:rsid w:val="002D5363"/>
    <w:rsid w:val="002E11C5"/>
    <w:rsid w:val="002E224D"/>
    <w:rsid w:val="002E3B40"/>
    <w:rsid w:val="002E5400"/>
    <w:rsid w:val="002E721A"/>
    <w:rsid w:val="002F062E"/>
    <w:rsid w:val="002F2FD3"/>
    <w:rsid w:val="002F42A2"/>
    <w:rsid w:val="00302138"/>
    <w:rsid w:val="003023A0"/>
    <w:rsid w:val="003027C8"/>
    <w:rsid w:val="00302CB3"/>
    <w:rsid w:val="003042AF"/>
    <w:rsid w:val="003053F0"/>
    <w:rsid w:val="00307F36"/>
    <w:rsid w:val="003125A1"/>
    <w:rsid w:val="00316BC4"/>
    <w:rsid w:val="003251E6"/>
    <w:rsid w:val="00327684"/>
    <w:rsid w:val="00330A50"/>
    <w:rsid w:val="00330B59"/>
    <w:rsid w:val="00330E6E"/>
    <w:rsid w:val="00331033"/>
    <w:rsid w:val="0033776D"/>
    <w:rsid w:val="00337E07"/>
    <w:rsid w:val="003408CE"/>
    <w:rsid w:val="00346A87"/>
    <w:rsid w:val="003539EE"/>
    <w:rsid w:val="00354249"/>
    <w:rsid w:val="00354D6D"/>
    <w:rsid w:val="00357C5A"/>
    <w:rsid w:val="003626E2"/>
    <w:rsid w:val="00363857"/>
    <w:rsid w:val="0036402F"/>
    <w:rsid w:val="00364388"/>
    <w:rsid w:val="003668DA"/>
    <w:rsid w:val="003670FB"/>
    <w:rsid w:val="003675BC"/>
    <w:rsid w:val="003679AE"/>
    <w:rsid w:val="00372BBA"/>
    <w:rsid w:val="003804C1"/>
    <w:rsid w:val="00380F5C"/>
    <w:rsid w:val="003819E0"/>
    <w:rsid w:val="003857EF"/>
    <w:rsid w:val="00385EC9"/>
    <w:rsid w:val="0038652B"/>
    <w:rsid w:val="00386C06"/>
    <w:rsid w:val="00386CC2"/>
    <w:rsid w:val="00391C74"/>
    <w:rsid w:val="003948D6"/>
    <w:rsid w:val="003962C4"/>
    <w:rsid w:val="003A6E33"/>
    <w:rsid w:val="003A774C"/>
    <w:rsid w:val="003A7CD2"/>
    <w:rsid w:val="003B212C"/>
    <w:rsid w:val="003B306A"/>
    <w:rsid w:val="003B4106"/>
    <w:rsid w:val="003B5452"/>
    <w:rsid w:val="003B59A0"/>
    <w:rsid w:val="003B5ADB"/>
    <w:rsid w:val="003B5D70"/>
    <w:rsid w:val="003B629D"/>
    <w:rsid w:val="003C4869"/>
    <w:rsid w:val="003C650F"/>
    <w:rsid w:val="003C66CE"/>
    <w:rsid w:val="003C6948"/>
    <w:rsid w:val="003D0A12"/>
    <w:rsid w:val="003D164C"/>
    <w:rsid w:val="003D2E74"/>
    <w:rsid w:val="003D5E86"/>
    <w:rsid w:val="003D6AB9"/>
    <w:rsid w:val="003E07C8"/>
    <w:rsid w:val="003E412C"/>
    <w:rsid w:val="003E5101"/>
    <w:rsid w:val="003E619B"/>
    <w:rsid w:val="003E6618"/>
    <w:rsid w:val="003F27FC"/>
    <w:rsid w:val="003F2D05"/>
    <w:rsid w:val="003F31D2"/>
    <w:rsid w:val="003F489F"/>
    <w:rsid w:val="003F4BB4"/>
    <w:rsid w:val="003F7EB1"/>
    <w:rsid w:val="00400423"/>
    <w:rsid w:val="004041F2"/>
    <w:rsid w:val="00404BBC"/>
    <w:rsid w:val="0040663A"/>
    <w:rsid w:val="004111DD"/>
    <w:rsid w:val="0041151B"/>
    <w:rsid w:val="00413919"/>
    <w:rsid w:val="0041662A"/>
    <w:rsid w:val="00420520"/>
    <w:rsid w:val="00421529"/>
    <w:rsid w:val="00422841"/>
    <w:rsid w:val="00425DFD"/>
    <w:rsid w:val="004302F9"/>
    <w:rsid w:val="00433352"/>
    <w:rsid w:val="004373E9"/>
    <w:rsid w:val="00440A1F"/>
    <w:rsid w:val="00441361"/>
    <w:rsid w:val="00443853"/>
    <w:rsid w:val="00443E52"/>
    <w:rsid w:val="00447FA7"/>
    <w:rsid w:val="004551D6"/>
    <w:rsid w:val="0045648D"/>
    <w:rsid w:val="004570AE"/>
    <w:rsid w:val="00461B31"/>
    <w:rsid w:val="004638EB"/>
    <w:rsid w:val="00466487"/>
    <w:rsid w:val="00466776"/>
    <w:rsid w:val="00467E20"/>
    <w:rsid w:val="0048071D"/>
    <w:rsid w:val="004811B1"/>
    <w:rsid w:val="00484F8D"/>
    <w:rsid w:val="0048663C"/>
    <w:rsid w:val="00491216"/>
    <w:rsid w:val="00491392"/>
    <w:rsid w:val="00492E35"/>
    <w:rsid w:val="00494652"/>
    <w:rsid w:val="004A0240"/>
    <w:rsid w:val="004A1651"/>
    <w:rsid w:val="004B0C0C"/>
    <w:rsid w:val="004B1AE5"/>
    <w:rsid w:val="004B2C33"/>
    <w:rsid w:val="004B2F3F"/>
    <w:rsid w:val="004B6518"/>
    <w:rsid w:val="004C129A"/>
    <w:rsid w:val="004C289C"/>
    <w:rsid w:val="004C4FE3"/>
    <w:rsid w:val="004D2D92"/>
    <w:rsid w:val="004D4815"/>
    <w:rsid w:val="004D6A07"/>
    <w:rsid w:val="004E0FE8"/>
    <w:rsid w:val="004E1C7C"/>
    <w:rsid w:val="004E24B8"/>
    <w:rsid w:val="004E3377"/>
    <w:rsid w:val="004E3D80"/>
    <w:rsid w:val="004E3EF8"/>
    <w:rsid w:val="004F42E2"/>
    <w:rsid w:val="004F4524"/>
    <w:rsid w:val="004F4F50"/>
    <w:rsid w:val="00500860"/>
    <w:rsid w:val="00502F62"/>
    <w:rsid w:val="00510F83"/>
    <w:rsid w:val="0051235A"/>
    <w:rsid w:val="005131D9"/>
    <w:rsid w:val="0052064B"/>
    <w:rsid w:val="00524303"/>
    <w:rsid w:val="00524443"/>
    <w:rsid w:val="005269A3"/>
    <w:rsid w:val="00526DD0"/>
    <w:rsid w:val="00530882"/>
    <w:rsid w:val="0053295A"/>
    <w:rsid w:val="0053299C"/>
    <w:rsid w:val="00537432"/>
    <w:rsid w:val="00542C64"/>
    <w:rsid w:val="005438FE"/>
    <w:rsid w:val="005439E6"/>
    <w:rsid w:val="00546425"/>
    <w:rsid w:val="0054664E"/>
    <w:rsid w:val="00551014"/>
    <w:rsid w:val="00552B24"/>
    <w:rsid w:val="00555E7F"/>
    <w:rsid w:val="00555F29"/>
    <w:rsid w:val="00556139"/>
    <w:rsid w:val="0056713F"/>
    <w:rsid w:val="0057031B"/>
    <w:rsid w:val="0057037E"/>
    <w:rsid w:val="00572343"/>
    <w:rsid w:val="005727D7"/>
    <w:rsid w:val="00572F13"/>
    <w:rsid w:val="005805BC"/>
    <w:rsid w:val="005816D7"/>
    <w:rsid w:val="00582B65"/>
    <w:rsid w:val="00587020"/>
    <w:rsid w:val="005919CE"/>
    <w:rsid w:val="00596450"/>
    <w:rsid w:val="0059781B"/>
    <w:rsid w:val="005A193A"/>
    <w:rsid w:val="005A2892"/>
    <w:rsid w:val="005A4C43"/>
    <w:rsid w:val="005A5741"/>
    <w:rsid w:val="005A7D98"/>
    <w:rsid w:val="005B3D35"/>
    <w:rsid w:val="005B7E07"/>
    <w:rsid w:val="005C01A9"/>
    <w:rsid w:val="005C12AD"/>
    <w:rsid w:val="005C20E5"/>
    <w:rsid w:val="005C3A67"/>
    <w:rsid w:val="005C56C0"/>
    <w:rsid w:val="005C7D74"/>
    <w:rsid w:val="005D1A6A"/>
    <w:rsid w:val="005D6371"/>
    <w:rsid w:val="005D721F"/>
    <w:rsid w:val="005F23F9"/>
    <w:rsid w:val="005F2445"/>
    <w:rsid w:val="005F3ABB"/>
    <w:rsid w:val="005F6E36"/>
    <w:rsid w:val="005F703D"/>
    <w:rsid w:val="00605089"/>
    <w:rsid w:val="00606F3D"/>
    <w:rsid w:val="00610790"/>
    <w:rsid w:val="00611B34"/>
    <w:rsid w:val="0061393B"/>
    <w:rsid w:val="0061475F"/>
    <w:rsid w:val="00614AAD"/>
    <w:rsid w:val="00614F38"/>
    <w:rsid w:val="00617341"/>
    <w:rsid w:val="00621B75"/>
    <w:rsid w:val="00622B16"/>
    <w:rsid w:val="0062529F"/>
    <w:rsid w:val="00626053"/>
    <w:rsid w:val="00626D1A"/>
    <w:rsid w:val="0062749E"/>
    <w:rsid w:val="00627593"/>
    <w:rsid w:val="00630B60"/>
    <w:rsid w:val="00631C59"/>
    <w:rsid w:val="00634A1B"/>
    <w:rsid w:val="00634DB9"/>
    <w:rsid w:val="0063566C"/>
    <w:rsid w:val="0063621D"/>
    <w:rsid w:val="00641621"/>
    <w:rsid w:val="006437E9"/>
    <w:rsid w:val="00646EEF"/>
    <w:rsid w:val="00652EBD"/>
    <w:rsid w:val="006539B1"/>
    <w:rsid w:val="00653B3B"/>
    <w:rsid w:val="00655A75"/>
    <w:rsid w:val="006577ED"/>
    <w:rsid w:val="00665040"/>
    <w:rsid w:val="00665429"/>
    <w:rsid w:val="00665E6D"/>
    <w:rsid w:val="00672129"/>
    <w:rsid w:val="0067300A"/>
    <w:rsid w:val="006745B7"/>
    <w:rsid w:val="006814CC"/>
    <w:rsid w:val="006826A6"/>
    <w:rsid w:val="006843B4"/>
    <w:rsid w:val="00684571"/>
    <w:rsid w:val="0068598D"/>
    <w:rsid w:val="0068651F"/>
    <w:rsid w:val="006870B0"/>
    <w:rsid w:val="0069030A"/>
    <w:rsid w:val="00694DC1"/>
    <w:rsid w:val="00695209"/>
    <w:rsid w:val="00695242"/>
    <w:rsid w:val="006978FC"/>
    <w:rsid w:val="006A0299"/>
    <w:rsid w:val="006A0595"/>
    <w:rsid w:val="006A0C6E"/>
    <w:rsid w:val="006A1718"/>
    <w:rsid w:val="006A261A"/>
    <w:rsid w:val="006A4903"/>
    <w:rsid w:val="006A694C"/>
    <w:rsid w:val="006A6AD8"/>
    <w:rsid w:val="006A7824"/>
    <w:rsid w:val="006A7D0B"/>
    <w:rsid w:val="006B05E5"/>
    <w:rsid w:val="006B1EA1"/>
    <w:rsid w:val="006B5C11"/>
    <w:rsid w:val="006B6496"/>
    <w:rsid w:val="006B73F1"/>
    <w:rsid w:val="006B7AAD"/>
    <w:rsid w:val="006C0CCD"/>
    <w:rsid w:val="006C1DF6"/>
    <w:rsid w:val="006C215F"/>
    <w:rsid w:val="006D1046"/>
    <w:rsid w:val="006D3874"/>
    <w:rsid w:val="006D6455"/>
    <w:rsid w:val="006D7ACC"/>
    <w:rsid w:val="006E23BC"/>
    <w:rsid w:val="006E258A"/>
    <w:rsid w:val="006E3120"/>
    <w:rsid w:val="006E3312"/>
    <w:rsid w:val="006E3369"/>
    <w:rsid w:val="006E4BC8"/>
    <w:rsid w:val="006F40D5"/>
    <w:rsid w:val="006F4B62"/>
    <w:rsid w:val="006F76E1"/>
    <w:rsid w:val="00700EAF"/>
    <w:rsid w:val="00703FD6"/>
    <w:rsid w:val="00704C57"/>
    <w:rsid w:val="0071113B"/>
    <w:rsid w:val="0071151B"/>
    <w:rsid w:val="00711C5D"/>
    <w:rsid w:val="00716DE7"/>
    <w:rsid w:val="0072078B"/>
    <w:rsid w:val="0072181A"/>
    <w:rsid w:val="007218D4"/>
    <w:rsid w:val="00722AE8"/>
    <w:rsid w:val="00724239"/>
    <w:rsid w:val="00724BC7"/>
    <w:rsid w:val="007259D5"/>
    <w:rsid w:val="00730409"/>
    <w:rsid w:val="007337A1"/>
    <w:rsid w:val="00734A90"/>
    <w:rsid w:val="00735B9C"/>
    <w:rsid w:val="0073684E"/>
    <w:rsid w:val="00737143"/>
    <w:rsid w:val="0074072C"/>
    <w:rsid w:val="00741AC9"/>
    <w:rsid w:val="00742310"/>
    <w:rsid w:val="0074308C"/>
    <w:rsid w:val="00743C4D"/>
    <w:rsid w:val="007450F9"/>
    <w:rsid w:val="007500F0"/>
    <w:rsid w:val="00750273"/>
    <w:rsid w:val="007513BD"/>
    <w:rsid w:val="007522E3"/>
    <w:rsid w:val="007529BA"/>
    <w:rsid w:val="00755242"/>
    <w:rsid w:val="0076105D"/>
    <w:rsid w:val="00762A81"/>
    <w:rsid w:val="007676EF"/>
    <w:rsid w:val="00775436"/>
    <w:rsid w:val="0077652F"/>
    <w:rsid w:val="00780539"/>
    <w:rsid w:val="00781BA3"/>
    <w:rsid w:val="007821D3"/>
    <w:rsid w:val="007827C4"/>
    <w:rsid w:val="00783E57"/>
    <w:rsid w:val="00784868"/>
    <w:rsid w:val="00790C04"/>
    <w:rsid w:val="00792B1A"/>
    <w:rsid w:val="007974A9"/>
    <w:rsid w:val="007A2C82"/>
    <w:rsid w:val="007A6706"/>
    <w:rsid w:val="007A6A56"/>
    <w:rsid w:val="007A6F6F"/>
    <w:rsid w:val="007A7792"/>
    <w:rsid w:val="007B0E2A"/>
    <w:rsid w:val="007B37AB"/>
    <w:rsid w:val="007B614D"/>
    <w:rsid w:val="007B76F6"/>
    <w:rsid w:val="007C02BE"/>
    <w:rsid w:val="007C0E0C"/>
    <w:rsid w:val="007C3D03"/>
    <w:rsid w:val="007C4B9C"/>
    <w:rsid w:val="007C6887"/>
    <w:rsid w:val="007C6CD2"/>
    <w:rsid w:val="007C74B4"/>
    <w:rsid w:val="007D3181"/>
    <w:rsid w:val="007D59CD"/>
    <w:rsid w:val="007D5CD5"/>
    <w:rsid w:val="007D69C2"/>
    <w:rsid w:val="007E7678"/>
    <w:rsid w:val="007E7854"/>
    <w:rsid w:val="007F09E1"/>
    <w:rsid w:val="007F1969"/>
    <w:rsid w:val="007F1E46"/>
    <w:rsid w:val="007F2251"/>
    <w:rsid w:val="007F2580"/>
    <w:rsid w:val="007F25C7"/>
    <w:rsid w:val="007F5EE5"/>
    <w:rsid w:val="007F777B"/>
    <w:rsid w:val="007F7AD1"/>
    <w:rsid w:val="00800BD6"/>
    <w:rsid w:val="00800F76"/>
    <w:rsid w:val="008011D6"/>
    <w:rsid w:val="008013C7"/>
    <w:rsid w:val="008028B0"/>
    <w:rsid w:val="00804BFE"/>
    <w:rsid w:val="00805592"/>
    <w:rsid w:val="00807340"/>
    <w:rsid w:val="00811C7B"/>
    <w:rsid w:val="008163BB"/>
    <w:rsid w:val="00820049"/>
    <w:rsid w:val="00821AAF"/>
    <w:rsid w:val="008237F8"/>
    <w:rsid w:val="00825D03"/>
    <w:rsid w:val="008277D6"/>
    <w:rsid w:val="00827930"/>
    <w:rsid w:val="00832AD8"/>
    <w:rsid w:val="00840698"/>
    <w:rsid w:val="00845145"/>
    <w:rsid w:val="0084516D"/>
    <w:rsid w:val="00846301"/>
    <w:rsid w:val="0084656D"/>
    <w:rsid w:val="00852F2B"/>
    <w:rsid w:val="008548A1"/>
    <w:rsid w:val="008548FC"/>
    <w:rsid w:val="00855004"/>
    <w:rsid w:val="0086295C"/>
    <w:rsid w:val="008649C0"/>
    <w:rsid w:val="00864B05"/>
    <w:rsid w:val="00865A0F"/>
    <w:rsid w:val="008660C5"/>
    <w:rsid w:val="008667F9"/>
    <w:rsid w:val="00866E80"/>
    <w:rsid w:val="00866EEB"/>
    <w:rsid w:val="00866F51"/>
    <w:rsid w:val="00870749"/>
    <w:rsid w:val="00870C13"/>
    <w:rsid w:val="008710FF"/>
    <w:rsid w:val="00873BDD"/>
    <w:rsid w:val="00874B41"/>
    <w:rsid w:val="00881E55"/>
    <w:rsid w:val="00883A3C"/>
    <w:rsid w:val="0088548E"/>
    <w:rsid w:val="00885D44"/>
    <w:rsid w:val="008877FE"/>
    <w:rsid w:val="00887BC2"/>
    <w:rsid w:val="00890003"/>
    <w:rsid w:val="00895B62"/>
    <w:rsid w:val="008971DD"/>
    <w:rsid w:val="00897327"/>
    <w:rsid w:val="00897AEF"/>
    <w:rsid w:val="008A1531"/>
    <w:rsid w:val="008A1556"/>
    <w:rsid w:val="008A1E2A"/>
    <w:rsid w:val="008A2BD9"/>
    <w:rsid w:val="008A33AD"/>
    <w:rsid w:val="008A59D2"/>
    <w:rsid w:val="008A60B5"/>
    <w:rsid w:val="008A6A60"/>
    <w:rsid w:val="008B0AD5"/>
    <w:rsid w:val="008B13D8"/>
    <w:rsid w:val="008B41C2"/>
    <w:rsid w:val="008B5F72"/>
    <w:rsid w:val="008B7535"/>
    <w:rsid w:val="008B79E4"/>
    <w:rsid w:val="008C2922"/>
    <w:rsid w:val="008C38F1"/>
    <w:rsid w:val="008C7291"/>
    <w:rsid w:val="008D3A8A"/>
    <w:rsid w:val="008E1C68"/>
    <w:rsid w:val="008E4C40"/>
    <w:rsid w:val="008E69EF"/>
    <w:rsid w:val="008E6F07"/>
    <w:rsid w:val="008F1097"/>
    <w:rsid w:val="008F10A1"/>
    <w:rsid w:val="008F1CB6"/>
    <w:rsid w:val="008F594F"/>
    <w:rsid w:val="009019EB"/>
    <w:rsid w:val="0090292B"/>
    <w:rsid w:val="00905103"/>
    <w:rsid w:val="00906323"/>
    <w:rsid w:val="00912FC6"/>
    <w:rsid w:val="0091403B"/>
    <w:rsid w:val="009159E6"/>
    <w:rsid w:val="00917B30"/>
    <w:rsid w:val="009212A0"/>
    <w:rsid w:val="00923C70"/>
    <w:rsid w:val="009250EC"/>
    <w:rsid w:val="00932D58"/>
    <w:rsid w:val="009333B3"/>
    <w:rsid w:val="00935337"/>
    <w:rsid w:val="009367D8"/>
    <w:rsid w:val="009368EA"/>
    <w:rsid w:val="00936AC0"/>
    <w:rsid w:val="009417C4"/>
    <w:rsid w:val="009431A2"/>
    <w:rsid w:val="00943896"/>
    <w:rsid w:val="00943EA9"/>
    <w:rsid w:val="00944630"/>
    <w:rsid w:val="00945D81"/>
    <w:rsid w:val="00945FFA"/>
    <w:rsid w:val="00946311"/>
    <w:rsid w:val="00946A86"/>
    <w:rsid w:val="00951E0F"/>
    <w:rsid w:val="00952814"/>
    <w:rsid w:val="00952E2D"/>
    <w:rsid w:val="00953C07"/>
    <w:rsid w:val="0095728B"/>
    <w:rsid w:val="00961F2C"/>
    <w:rsid w:val="00964074"/>
    <w:rsid w:val="00966185"/>
    <w:rsid w:val="00967917"/>
    <w:rsid w:val="00970B8C"/>
    <w:rsid w:val="00972F05"/>
    <w:rsid w:val="00977757"/>
    <w:rsid w:val="0098113F"/>
    <w:rsid w:val="009816D9"/>
    <w:rsid w:val="009823A4"/>
    <w:rsid w:val="00990CE7"/>
    <w:rsid w:val="009919DC"/>
    <w:rsid w:val="009A186A"/>
    <w:rsid w:val="009A3081"/>
    <w:rsid w:val="009A5ECB"/>
    <w:rsid w:val="009A65F3"/>
    <w:rsid w:val="009A69D2"/>
    <w:rsid w:val="009B01C4"/>
    <w:rsid w:val="009B20CD"/>
    <w:rsid w:val="009B64D4"/>
    <w:rsid w:val="009B7085"/>
    <w:rsid w:val="009B76F8"/>
    <w:rsid w:val="009C51EA"/>
    <w:rsid w:val="009C5DA7"/>
    <w:rsid w:val="009D0B26"/>
    <w:rsid w:val="009D4901"/>
    <w:rsid w:val="009D6253"/>
    <w:rsid w:val="009D691A"/>
    <w:rsid w:val="009D72F8"/>
    <w:rsid w:val="009D7FE8"/>
    <w:rsid w:val="009E2A09"/>
    <w:rsid w:val="009E2B68"/>
    <w:rsid w:val="009E2C0B"/>
    <w:rsid w:val="009E514D"/>
    <w:rsid w:val="009F5B90"/>
    <w:rsid w:val="009F5F90"/>
    <w:rsid w:val="00A01E6F"/>
    <w:rsid w:val="00A05C39"/>
    <w:rsid w:val="00A07DA0"/>
    <w:rsid w:val="00A11FE2"/>
    <w:rsid w:val="00A148CC"/>
    <w:rsid w:val="00A14F15"/>
    <w:rsid w:val="00A17115"/>
    <w:rsid w:val="00A20925"/>
    <w:rsid w:val="00A24503"/>
    <w:rsid w:val="00A24845"/>
    <w:rsid w:val="00A26D8B"/>
    <w:rsid w:val="00A32E82"/>
    <w:rsid w:val="00A338F3"/>
    <w:rsid w:val="00A36882"/>
    <w:rsid w:val="00A36979"/>
    <w:rsid w:val="00A37061"/>
    <w:rsid w:val="00A40632"/>
    <w:rsid w:val="00A426BD"/>
    <w:rsid w:val="00A4307F"/>
    <w:rsid w:val="00A4498A"/>
    <w:rsid w:val="00A453A9"/>
    <w:rsid w:val="00A46FD8"/>
    <w:rsid w:val="00A4726E"/>
    <w:rsid w:val="00A5283D"/>
    <w:rsid w:val="00A550C3"/>
    <w:rsid w:val="00A55A48"/>
    <w:rsid w:val="00A63D50"/>
    <w:rsid w:val="00A74ABE"/>
    <w:rsid w:val="00A75348"/>
    <w:rsid w:val="00A75A87"/>
    <w:rsid w:val="00A80097"/>
    <w:rsid w:val="00A81499"/>
    <w:rsid w:val="00A84460"/>
    <w:rsid w:val="00A84932"/>
    <w:rsid w:val="00A8517D"/>
    <w:rsid w:val="00A85778"/>
    <w:rsid w:val="00A862E3"/>
    <w:rsid w:val="00A86740"/>
    <w:rsid w:val="00A86889"/>
    <w:rsid w:val="00A8697F"/>
    <w:rsid w:val="00A96D6E"/>
    <w:rsid w:val="00AA1C53"/>
    <w:rsid w:val="00AA393B"/>
    <w:rsid w:val="00AA63A5"/>
    <w:rsid w:val="00AA6B1E"/>
    <w:rsid w:val="00AB1E26"/>
    <w:rsid w:val="00AB2740"/>
    <w:rsid w:val="00AB4F5B"/>
    <w:rsid w:val="00AB7A33"/>
    <w:rsid w:val="00AB7A8F"/>
    <w:rsid w:val="00AC2862"/>
    <w:rsid w:val="00AC2DE8"/>
    <w:rsid w:val="00AC31ED"/>
    <w:rsid w:val="00AC36BF"/>
    <w:rsid w:val="00AC404C"/>
    <w:rsid w:val="00AC61C3"/>
    <w:rsid w:val="00AD19EC"/>
    <w:rsid w:val="00AD31D2"/>
    <w:rsid w:val="00AD49BA"/>
    <w:rsid w:val="00AD4C91"/>
    <w:rsid w:val="00AD7547"/>
    <w:rsid w:val="00AE22C5"/>
    <w:rsid w:val="00AE768A"/>
    <w:rsid w:val="00AF2AA3"/>
    <w:rsid w:val="00AF4AB2"/>
    <w:rsid w:val="00AF4E96"/>
    <w:rsid w:val="00B007D7"/>
    <w:rsid w:val="00B00D42"/>
    <w:rsid w:val="00B00EB5"/>
    <w:rsid w:val="00B037D5"/>
    <w:rsid w:val="00B06472"/>
    <w:rsid w:val="00B100D6"/>
    <w:rsid w:val="00B10115"/>
    <w:rsid w:val="00B11963"/>
    <w:rsid w:val="00B12065"/>
    <w:rsid w:val="00B12838"/>
    <w:rsid w:val="00B1518D"/>
    <w:rsid w:val="00B21287"/>
    <w:rsid w:val="00B23557"/>
    <w:rsid w:val="00B26604"/>
    <w:rsid w:val="00B268A9"/>
    <w:rsid w:val="00B303BD"/>
    <w:rsid w:val="00B35796"/>
    <w:rsid w:val="00B445F0"/>
    <w:rsid w:val="00B502EE"/>
    <w:rsid w:val="00B53295"/>
    <w:rsid w:val="00B53D7D"/>
    <w:rsid w:val="00B5405A"/>
    <w:rsid w:val="00B54170"/>
    <w:rsid w:val="00B54D14"/>
    <w:rsid w:val="00B61470"/>
    <w:rsid w:val="00B61D11"/>
    <w:rsid w:val="00B6462C"/>
    <w:rsid w:val="00B67995"/>
    <w:rsid w:val="00B702A6"/>
    <w:rsid w:val="00B70D19"/>
    <w:rsid w:val="00B726DA"/>
    <w:rsid w:val="00B75B3B"/>
    <w:rsid w:val="00B76D85"/>
    <w:rsid w:val="00B81B48"/>
    <w:rsid w:val="00B8295E"/>
    <w:rsid w:val="00B86491"/>
    <w:rsid w:val="00B86F9E"/>
    <w:rsid w:val="00B9114A"/>
    <w:rsid w:val="00B96328"/>
    <w:rsid w:val="00B97923"/>
    <w:rsid w:val="00B97C72"/>
    <w:rsid w:val="00BA772B"/>
    <w:rsid w:val="00BA7BC8"/>
    <w:rsid w:val="00BB0E5B"/>
    <w:rsid w:val="00BB0FDF"/>
    <w:rsid w:val="00BB50B2"/>
    <w:rsid w:val="00BC34DF"/>
    <w:rsid w:val="00BC4041"/>
    <w:rsid w:val="00BC6902"/>
    <w:rsid w:val="00BC7920"/>
    <w:rsid w:val="00BD0940"/>
    <w:rsid w:val="00BD2E0D"/>
    <w:rsid w:val="00BD2EB6"/>
    <w:rsid w:val="00BD392F"/>
    <w:rsid w:val="00BD75C4"/>
    <w:rsid w:val="00BE52B1"/>
    <w:rsid w:val="00BE56AC"/>
    <w:rsid w:val="00BE710B"/>
    <w:rsid w:val="00BE7750"/>
    <w:rsid w:val="00BF0154"/>
    <w:rsid w:val="00BF1A20"/>
    <w:rsid w:val="00BF22D0"/>
    <w:rsid w:val="00BF43E1"/>
    <w:rsid w:val="00C01716"/>
    <w:rsid w:val="00C07711"/>
    <w:rsid w:val="00C11CD2"/>
    <w:rsid w:val="00C17418"/>
    <w:rsid w:val="00C17EFB"/>
    <w:rsid w:val="00C219E4"/>
    <w:rsid w:val="00C322DC"/>
    <w:rsid w:val="00C324C0"/>
    <w:rsid w:val="00C40B5B"/>
    <w:rsid w:val="00C46D1C"/>
    <w:rsid w:val="00C50FE2"/>
    <w:rsid w:val="00C51021"/>
    <w:rsid w:val="00C52552"/>
    <w:rsid w:val="00C52A6E"/>
    <w:rsid w:val="00C53B4A"/>
    <w:rsid w:val="00C5638B"/>
    <w:rsid w:val="00C60642"/>
    <w:rsid w:val="00C608F8"/>
    <w:rsid w:val="00C61919"/>
    <w:rsid w:val="00C657FB"/>
    <w:rsid w:val="00C66BD4"/>
    <w:rsid w:val="00C71966"/>
    <w:rsid w:val="00C7462C"/>
    <w:rsid w:val="00C75B7E"/>
    <w:rsid w:val="00C76E86"/>
    <w:rsid w:val="00C775F1"/>
    <w:rsid w:val="00C81D43"/>
    <w:rsid w:val="00C858EC"/>
    <w:rsid w:val="00C90E96"/>
    <w:rsid w:val="00C91328"/>
    <w:rsid w:val="00C97816"/>
    <w:rsid w:val="00CA06E6"/>
    <w:rsid w:val="00CA2DD6"/>
    <w:rsid w:val="00CA3A4A"/>
    <w:rsid w:val="00CA5031"/>
    <w:rsid w:val="00CB70EB"/>
    <w:rsid w:val="00CB7609"/>
    <w:rsid w:val="00CC006B"/>
    <w:rsid w:val="00CC225C"/>
    <w:rsid w:val="00CC5EA2"/>
    <w:rsid w:val="00CC7253"/>
    <w:rsid w:val="00CD0DEC"/>
    <w:rsid w:val="00CD1DE4"/>
    <w:rsid w:val="00CD33C7"/>
    <w:rsid w:val="00CD4CD8"/>
    <w:rsid w:val="00CD5210"/>
    <w:rsid w:val="00CD6908"/>
    <w:rsid w:val="00CD74BA"/>
    <w:rsid w:val="00CE3E52"/>
    <w:rsid w:val="00CE48D0"/>
    <w:rsid w:val="00CF4EB2"/>
    <w:rsid w:val="00CF4F20"/>
    <w:rsid w:val="00CF5FB7"/>
    <w:rsid w:val="00D0203A"/>
    <w:rsid w:val="00D03785"/>
    <w:rsid w:val="00D057C9"/>
    <w:rsid w:val="00D06247"/>
    <w:rsid w:val="00D0665B"/>
    <w:rsid w:val="00D0766C"/>
    <w:rsid w:val="00D077A1"/>
    <w:rsid w:val="00D10773"/>
    <w:rsid w:val="00D11F1B"/>
    <w:rsid w:val="00D12C2E"/>
    <w:rsid w:val="00D161E1"/>
    <w:rsid w:val="00D174AE"/>
    <w:rsid w:val="00D2119B"/>
    <w:rsid w:val="00D22CD3"/>
    <w:rsid w:val="00D24B0F"/>
    <w:rsid w:val="00D25CD8"/>
    <w:rsid w:val="00D25D1F"/>
    <w:rsid w:val="00D266F6"/>
    <w:rsid w:val="00D26856"/>
    <w:rsid w:val="00D30B48"/>
    <w:rsid w:val="00D30EA3"/>
    <w:rsid w:val="00D323E0"/>
    <w:rsid w:val="00D335CE"/>
    <w:rsid w:val="00D338F6"/>
    <w:rsid w:val="00D42001"/>
    <w:rsid w:val="00D422CD"/>
    <w:rsid w:val="00D43B25"/>
    <w:rsid w:val="00D4440C"/>
    <w:rsid w:val="00D46A70"/>
    <w:rsid w:val="00D508CB"/>
    <w:rsid w:val="00D51C49"/>
    <w:rsid w:val="00D5358F"/>
    <w:rsid w:val="00D5430A"/>
    <w:rsid w:val="00D54B5C"/>
    <w:rsid w:val="00D55C5F"/>
    <w:rsid w:val="00D56ADF"/>
    <w:rsid w:val="00D6613B"/>
    <w:rsid w:val="00D67089"/>
    <w:rsid w:val="00D80CFB"/>
    <w:rsid w:val="00D82864"/>
    <w:rsid w:val="00D832C0"/>
    <w:rsid w:val="00D87023"/>
    <w:rsid w:val="00D92A9E"/>
    <w:rsid w:val="00D94595"/>
    <w:rsid w:val="00D94C88"/>
    <w:rsid w:val="00D95119"/>
    <w:rsid w:val="00DA33F7"/>
    <w:rsid w:val="00DB10A6"/>
    <w:rsid w:val="00DB3435"/>
    <w:rsid w:val="00DB4594"/>
    <w:rsid w:val="00DB4DD4"/>
    <w:rsid w:val="00DB59AB"/>
    <w:rsid w:val="00DB67EF"/>
    <w:rsid w:val="00DC0D21"/>
    <w:rsid w:val="00DC17E4"/>
    <w:rsid w:val="00DC1D36"/>
    <w:rsid w:val="00DC2FF4"/>
    <w:rsid w:val="00DC37D9"/>
    <w:rsid w:val="00DC40B0"/>
    <w:rsid w:val="00DC4660"/>
    <w:rsid w:val="00DD0B19"/>
    <w:rsid w:val="00DD37F8"/>
    <w:rsid w:val="00DE1E7E"/>
    <w:rsid w:val="00DE3BE9"/>
    <w:rsid w:val="00DE42E3"/>
    <w:rsid w:val="00DE4DDC"/>
    <w:rsid w:val="00DE50BB"/>
    <w:rsid w:val="00DE59D6"/>
    <w:rsid w:val="00DE7C61"/>
    <w:rsid w:val="00DF08EC"/>
    <w:rsid w:val="00DF13EE"/>
    <w:rsid w:val="00DF2A52"/>
    <w:rsid w:val="00DF4D5C"/>
    <w:rsid w:val="00DF6A0A"/>
    <w:rsid w:val="00DF6BE2"/>
    <w:rsid w:val="00E00B04"/>
    <w:rsid w:val="00E0677F"/>
    <w:rsid w:val="00E100EE"/>
    <w:rsid w:val="00E1013D"/>
    <w:rsid w:val="00E1162E"/>
    <w:rsid w:val="00E13C97"/>
    <w:rsid w:val="00E16155"/>
    <w:rsid w:val="00E16E8F"/>
    <w:rsid w:val="00E17963"/>
    <w:rsid w:val="00E21DFF"/>
    <w:rsid w:val="00E223C9"/>
    <w:rsid w:val="00E2415E"/>
    <w:rsid w:val="00E24720"/>
    <w:rsid w:val="00E2524F"/>
    <w:rsid w:val="00E30A6D"/>
    <w:rsid w:val="00E335C8"/>
    <w:rsid w:val="00E33A04"/>
    <w:rsid w:val="00E41DC1"/>
    <w:rsid w:val="00E4509D"/>
    <w:rsid w:val="00E47AD9"/>
    <w:rsid w:val="00E52083"/>
    <w:rsid w:val="00E532BA"/>
    <w:rsid w:val="00E54341"/>
    <w:rsid w:val="00E560F4"/>
    <w:rsid w:val="00E57173"/>
    <w:rsid w:val="00E57C15"/>
    <w:rsid w:val="00E63231"/>
    <w:rsid w:val="00E64801"/>
    <w:rsid w:val="00E65863"/>
    <w:rsid w:val="00E72FAB"/>
    <w:rsid w:val="00E80579"/>
    <w:rsid w:val="00E80D1B"/>
    <w:rsid w:val="00E8291C"/>
    <w:rsid w:val="00E8315F"/>
    <w:rsid w:val="00E83C51"/>
    <w:rsid w:val="00E83E73"/>
    <w:rsid w:val="00E842A4"/>
    <w:rsid w:val="00E842AB"/>
    <w:rsid w:val="00E85268"/>
    <w:rsid w:val="00E85415"/>
    <w:rsid w:val="00E85C09"/>
    <w:rsid w:val="00E85E02"/>
    <w:rsid w:val="00E8666B"/>
    <w:rsid w:val="00E908AD"/>
    <w:rsid w:val="00E91398"/>
    <w:rsid w:val="00E9447B"/>
    <w:rsid w:val="00EA2BDC"/>
    <w:rsid w:val="00EA2D19"/>
    <w:rsid w:val="00EA316B"/>
    <w:rsid w:val="00EB11D4"/>
    <w:rsid w:val="00EB17CB"/>
    <w:rsid w:val="00EB2C5D"/>
    <w:rsid w:val="00EB2C79"/>
    <w:rsid w:val="00EB3DD2"/>
    <w:rsid w:val="00EB7FDB"/>
    <w:rsid w:val="00EC01E4"/>
    <w:rsid w:val="00EC0548"/>
    <w:rsid w:val="00EC3FF5"/>
    <w:rsid w:val="00EC6491"/>
    <w:rsid w:val="00EC70F1"/>
    <w:rsid w:val="00ED5D34"/>
    <w:rsid w:val="00ED7ABB"/>
    <w:rsid w:val="00ED7E0C"/>
    <w:rsid w:val="00EE0272"/>
    <w:rsid w:val="00EE1E2D"/>
    <w:rsid w:val="00EE51C2"/>
    <w:rsid w:val="00EE592D"/>
    <w:rsid w:val="00EE64A9"/>
    <w:rsid w:val="00EE67FE"/>
    <w:rsid w:val="00EE6861"/>
    <w:rsid w:val="00EE6B1B"/>
    <w:rsid w:val="00EE6F8F"/>
    <w:rsid w:val="00EE7953"/>
    <w:rsid w:val="00EF1873"/>
    <w:rsid w:val="00EF418E"/>
    <w:rsid w:val="00EF4771"/>
    <w:rsid w:val="00EF5285"/>
    <w:rsid w:val="00EF5D9D"/>
    <w:rsid w:val="00EF68D0"/>
    <w:rsid w:val="00F0025D"/>
    <w:rsid w:val="00F03087"/>
    <w:rsid w:val="00F03772"/>
    <w:rsid w:val="00F04BE4"/>
    <w:rsid w:val="00F075AD"/>
    <w:rsid w:val="00F07D2A"/>
    <w:rsid w:val="00F111F3"/>
    <w:rsid w:val="00F13195"/>
    <w:rsid w:val="00F14670"/>
    <w:rsid w:val="00F169FA"/>
    <w:rsid w:val="00F2143F"/>
    <w:rsid w:val="00F2273E"/>
    <w:rsid w:val="00F23E23"/>
    <w:rsid w:val="00F242A2"/>
    <w:rsid w:val="00F27C1E"/>
    <w:rsid w:val="00F31547"/>
    <w:rsid w:val="00F31A97"/>
    <w:rsid w:val="00F33D16"/>
    <w:rsid w:val="00F33D35"/>
    <w:rsid w:val="00F34B0F"/>
    <w:rsid w:val="00F3556B"/>
    <w:rsid w:val="00F370CB"/>
    <w:rsid w:val="00F37220"/>
    <w:rsid w:val="00F3743E"/>
    <w:rsid w:val="00F37904"/>
    <w:rsid w:val="00F40F2D"/>
    <w:rsid w:val="00F41AAE"/>
    <w:rsid w:val="00F44E64"/>
    <w:rsid w:val="00F45647"/>
    <w:rsid w:val="00F47DD9"/>
    <w:rsid w:val="00F501C1"/>
    <w:rsid w:val="00F5672D"/>
    <w:rsid w:val="00F60E13"/>
    <w:rsid w:val="00F62DAB"/>
    <w:rsid w:val="00F642E4"/>
    <w:rsid w:val="00F6628F"/>
    <w:rsid w:val="00F6713B"/>
    <w:rsid w:val="00F71B4A"/>
    <w:rsid w:val="00F76110"/>
    <w:rsid w:val="00F808F1"/>
    <w:rsid w:val="00F80AB4"/>
    <w:rsid w:val="00F81547"/>
    <w:rsid w:val="00F8389D"/>
    <w:rsid w:val="00F852BD"/>
    <w:rsid w:val="00F85304"/>
    <w:rsid w:val="00F87231"/>
    <w:rsid w:val="00F921EE"/>
    <w:rsid w:val="00F95E08"/>
    <w:rsid w:val="00F96154"/>
    <w:rsid w:val="00FA0679"/>
    <w:rsid w:val="00FA589C"/>
    <w:rsid w:val="00FB112E"/>
    <w:rsid w:val="00FB14BA"/>
    <w:rsid w:val="00FB2419"/>
    <w:rsid w:val="00FB27BF"/>
    <w:rsid w:val="00FB39D9"/>
    <w:rsid w:val="00FB3CE8"/>
    <w:rsid w:val="00FB5A0F"/>
    <w:rsid w:val="00FB62D5"/>
    <w:rsid w:val="00FC26F6"/>
    <w:rsid w:val="00FC4119"/>
    <w:rsid w:val="00FC4A8F"/>
    <w:rsid w:val="00FC797D"/>
    <w:rsid w:val="00FD2204"/>
    <w:rsid w:val="00FD34AB"/>
    <w:rsid w:val="00FD3531"/>
    <w:rsid w:val="00FD3B25"/>
    <w:rsid w:val="00FD3DAB"/>
    <w:rsid w:val="00FD40E3"/>
    <w:rsid w:val="00FD4626"/>
    <w:rsid w:val="00FE1CB8"/>
    <w:rsid w:val="00FE4096"/>
    <w:rsid w:val="00FE5D00"/>
    <w:rsid w:val="00FE60F5"/>
    <w:rsid w:val="00FE6F51"/>
    <w:rsid w:val="00FF1422"/>
    <w:rsid w:val="00FF50CB"/>
    <w:rsid w:val="00FF573B"/>
    <w:rsid w:val="00FF72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8E0412DE-500F-4EB1-A60E-6BE894DA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A2"/>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Emule-Konon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text/2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0B524-FB7E-4552-948B-C9AE8943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25</Pages>
  <Words>37467</Words>
  <Characters>21357</Characters>
  <Application>Microsoft Office Word</Application>
  <DocSecurity>0</DocSecurity>
  <Lines>177</Lines>
  <Paragraphs>117</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58707</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keywords>Anotācija</cp:keywords>
  <dc:description>e-pasts: Kristaps.Ziedins@lm.gov.lv, tālr: 67021503, fakss: 67021505</dc:description>
  <cp:lastModifiedBy>Kristaps Ziedins</cp:lastModifiedBy>
  <cp:revision>353</cp:revision>
  <cp:lastPrinted>2015-05-06T06:12:00Z</cp:lastPrinted>
  <dcterms:created xsi:type="dcterms:W3CDTF">2015-03-10T09:58:00Z</dcterms:created>
  <dcterms:modified xsi:type="dcterms:W3CDTF">2015-05-21T05:54:00Z</dcterms:modified>
</cp:coreProperties>
</file>