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F5" w:rsidRPr="00B87C41" w:rsidRDefault="008A6072" w:rsidP="008F642E">
      <w:pPr>
        <w:jc w:val="center"/>
        <w:rPr>
          <w:b/>
          <w:bCs/>
          <w:sz w:val="28"/>
          <w:szCs w:val="28"/>
          <w:lang w:eastAsia="en-US"/>
        </w:rPr>
      </w:pPr>
      <w:r w:rsidRPr="00B87C41">
        <w:rPr>
          <w:b/>
          <w:bCs/>
          <w:sz w:val="28"/>
          <w:szCs w:val="28"/>
          <w:lang w:eastAsia="en-US"/>
        </w:rPr>
        <w:t>Ministru kabineta noteikumu projekta</w:t>
      </w:r>
      <w:r w:rsidR="001A66CA" w:rsidRPr="00B87C41">
        <w:rPr>
          <w:b/>
          <w:bCs/>
          <w:sz w:val="28"/>
          <w:szCs w:val="28"/>
          <w:lang w:eastAsia="en-US"/>
        </w:rPr>
        <w:t xml:space="preserve"> </w:t>
      </w:r>
    </w:p>
    <w:p w:rsidR="008A6072" w:rsidRPr="00B87C41" w:rsidRDefault="00F76D0E" w:rsidP="008F642E">
      <w:pPr>
        <w:jc w:val="center"/>
        <w:rPr>
          <w:b/>
          <w:bCs/>
          <w:lang w:eastAsia="en-US"/>
        </w:rPr>
      </w:pPr>
      <w:r w:rsidRPr="00B87C41">
        <w:rPr>
          <w:b/>
          <w:bCs/>
          <w:sz w:val="28"/>
          <w:szCs w:val="28"/>
          <w:lang w:eastAsia="en-US"/>
        </w:rPr>
        <w:t>„</w:t>
      </w:r>
      <w:r w:rsidR="00A1724F" w:rsidRPr="00B87C41">
        <w:rPr>
          <w:b/>
          <w:sz w:val="28"/>
          <w:szCs w:val="28"/>
        </w:rPr>
        <w:t>Kārtība, kādā pašvaldībām 2015.gadā piešķir valsts budžeta dotāciju Valsts un pašvaldību vienoto klientu apkalpošanas centru izveidei reģionu un novadu nozīmes attīstības centros</w:t>
      </w:r>
      <w:r w:rsidR="008A6072" w:rsidRPr="00B87C41">
        <w:rPr>
          <w:b/>
          <w:bCs/>
          <w:sz w:val="28"/>
          <w:szCs w:val="28"/>
        </w:rPr>
        <w:t>”</w:t>
      </w:r>
      <w:r w:rsidR="008A6072" w:rsidRPr="00B87C41">
        <w:rPr>
          <w:b/>
          <w:sz w:val="28"/>
          <w:szCs w:val="28"/>
        </w:rPr>
        <w:t xml:space="preserve"> </w:t>
      </w:r>
      <w:r w:rsidR="008A6072" w:rsidRPr="00B87C41">
        <w:rPr>
          <w:b/>
          <w:bCs/>
          <w:sz w:val="28"/>
          <w:szCs w:val="28"/>
          <w:lang w:eastAsia="en-US"/>
        </w:rPr>
        <w:t>sākotnējās ietekmes novērtējuma ziņojums (anotācija</w:t>
      </w:r>
      <w:r w:rsidR="008A6072" w:rsidRPr="00B87C41">
        <w:rPr>
          <w:b/>
          <w:bCs/>
          <w:lang w:eastAsia="en-US"/>
        </w:rPr>
        <w:t>)</w:t>
      </w:r>
    </w:p>
    <w:p w:rsidR="00C00837" w:rsidRPr="00B87C41" w:rsidRDefault="00C00837" w:rsidP="008F642E">
      <w:pPr>
        <w:spacing w:before="60" w:after="60"/>
        <w:ind w:firstLine="374"/>
        <w:jc w:val="both"/>
        <w:outlineLvl w:val="3"/>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68"/>
      </w:tblGrid>
      <w:tr w:rsidR="00B87C41" w:rsidRPr="00B87C41" w:rsidTr="005E550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Pr="00B87C41" w:rsidRDefault="005E550D" w:rsidP="008F642E">
            <w:pPr>
              <w:pStyle w:val="tvhtml"/>
              <w:jc w:val="center"/>
              <w:rPr>
                <w:b/>
                <w:bCs/>
                <w:lang w:val="lv-LV"/>
              </w:rPr>
            </w:pPr>
            <w:r w:rsidRPr="00B87C41">
              <w:rPr>
                <w:b/>
                <w:bCs/>
                <w:lang w:val="lv-LV"/>
              </w:rPr>
              <w:t>I. Tiesību akta projekta izstrādes nepieciešamība</w:t>
            </w:r>
          </w:p>
        </w:tc>
      </w:tr>
      <w:tr w:rsidR="00B87C41" w:rsidRPr="00B87C41" w:rsidTr="005E550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pStyle w:val="tvhtml"/>
              <w:jc w:val="both"/>
              <w:rPr>
                <w:lang w:val="lv-LV"/>
              </w:rPr>
            </w:pPr>
            <w:r w:rsidRPr="00B87C41">
              <w:rPr>
                <w:lang w:val="lv-LV"/>
              </w:rPr>
              <w:t>1.</w:t>
            </w:r>
          </w:p>
        </w:tc>
        <w:tc>
          <w:tcPr>
            <w:tcW w:w="153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Pamatojums</w:t>
            </w:r>
          </w:p>
        </w:tc>
        <w:tc>
          <w:tcPr>
            <w:tcW w:w="3158" w:type="pct"/>
            <w:tcBorders>
              <w:top w:val="outset" w:sz="6" w:space="0" w:color="auto"/>
              <w:left w:val="outset" w:sz="6" w:space="0" w:color="auto"/>
              <w:bottom w:val="outset" w:sz="6" w:space="0" w:color="auto"/>
              <w:right w:val="outset" w:sz="6" w:space="0" w:color="auto"/>
            </w:tcBorders>
            <w:hideMark/>
          </w:tcPr>
          <w:p w:rsidR="005E550D" w:rsidRPr="00B87C41" w:rsidRDefault="000E0A11" w:rsidP="008F642E">
            <w:pPr>
              <w:pStyle w:val="naiskr"/>
              <w:spacing w:before="0" w:after="0"/>
              <w:ind w:left="247" w:right="180"/>
              <w:jc w:val="both"/>
            </w:pPr>
            <w:r w:rsidRPr="00B87C41">
              <w:t>Likums Par v</w:t>
            </w:r>
            <w:r w:rsidR="008A6EC7" w:rsidRPr="00B87C41">
              <w:t>alsts budžetu 2015.</w:t>
            </w:r>
            <w:r w:rsidR="00DC00F5" w:rsidRPr="00B87C41">
              <w:t xml:space="preserve"> </w:t>
            </w:r>
            <w:r w:rsidR="008A6EC7" w:rsidRPr="00B87C41">
              <w:t>gadam 56.</w:t>
            </w:r>
            <w:r w:rsidR="00DC00F5" w:rsidRPr="00B87C41">
              <w:t xml:space="preserve"> </w:t>
            </w:r>
            <w:r w:rsidR="008A6EC7" w:rsidRPr="00B87C41">
              <w:t>pants</w:t>
            </w:r>
          </w:p>
        </w:tc>
      </w:tr>
      <w:tr w:rsidR="00B87C41" w:rsidRPr="00B87C41"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43F3" w:rsidRPr="00B87C41" w:rsidRDefault="005E550D" w:rsidP="008F642E">
            <w:pPr>
              <w:pStyle w:val="tvhtml"/>
              <w:jc w:val="both"/>
              <w:rPr>
                <w:lang w:val="lv-LV"/>
              </w:rPr>
            </w:pPr>
            <w:r w:rsidRPr="00B87C41">
              <w:rPr>
                <w:lang w:val="lv-LV"/>
              </w:rPr>
              <w:t>2.</w:t>
            </w: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6843F3" w:rsidRPr="00B87C41" w:rsidRDefault="006843F3" w:rsidP="008F642E">
            <w:pPr>
              <w:jc w:val="both"/>
              <w:rPr>
                <w:lang w:eastAsia="en-US"/>
              </w:rPr>
            </w:pPr>
          </w:p>
          <w:p w:rsidR="005E550D" w:rsidRPr="00B87C41" w:rsidRDefault="005E550D" w:rsidP="008F642E">
            <w:pPr>
              <w:jc w:val="both"/>
              <w:rPr>
                <w:lang w:eastAsia="en-US"/>
              </w:rPr>
            </w:pPr>
          </w:p>
        </w:tc>
        <w:tc>
          <w:tcPr>
            <w:tcW w:w="153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B808A2" w:rsidRPr="00B87C41" w:rsidRDefault="00B808A2" w:rsidP="008F642E">
            <w:pPr>
              <w:ind w:left="210"/>
              <w:jc w:val="both"/>
            </w:pPr>
            <w:r w:rsidRPr="00B87C41">
              <w:t xml:space="preserve">Publisko pakalpojumu nodrošināšana sabiedrībai ir viens no valsts galvenajiem uzdevumiem. Publisko pakalpojumu sniegšanas pilnveidošana ir būtiska valsts pārvaldes modernizācijas un valsts pārvaldes strukturālo reformu sastāvdaļa un ir viena no valdības prioritātēm. </w:t>
            </w:r>
          </w:p>
          <w:p w:rsidR="008F642E" w:rsidRPr="00B87C41" w:rsidRDefault="008F642E" w:rsidP="008F642E">
            <w:pPr>
              <w:ind w:left="210"/>
              <w:jc w:val="both"/>
            </w:pPr>
          </w:p>
          <w:p w:rsidR="00B808A2" w:rsidRPr="00B87C41" w:rsidRDefault="00B808A2" w:rsidP="008F642E">
            <w:pPr>
              <w:ind w:left="210"/>
              <w:jc w:val="both"/>
            </w:pPr>
            <w:r w:rsidRPr="00B87C41">
              <w:t>Šobrīd pamatā institūcijas nodrošina pakalpojumu sniegšanu daudzos kabinetos klātienē, kas ir dārgākā pakalpojumu sniegšanas forma. Klientu vairākkārtēja nosūtīšana no viena speciālista pie otra un nelietderīga speciālistu darba laika izmantošana, kas neliecina par modernu un inovatīvu valsti, kurā kvalitāte, efektivitāte un ātrums spēlē centrālo lomu. Nav racionāli katrai iestādei uzturēt pēc atšķirīgiem principiem veidotus klientu apkalpošanas centrus, jo dažādu nozaru klientu apkalpošanas centru apvienošanas un optimizēšanas rezultātā ir iespējams samazināt ar pakalpojumu sniegšanu saistītās izmaksas vairākās pozīcijās: personu apkalpošanas nodrošināšanā, nekustamā īpašuma uzturēšanā, cilvēkresursu izmaksās, pakalpojumu pārvaldības nodrošināšanā, informācijas tehnoloģiju sistēmu un pakalpojumu sniegšanas infrastruktūras izveidē un uzturēšanā.</w:t>
            </w:r>
          </w:p>
          <w:p w:rsidR="008F642E" w:rsidRPr="00B87C41" w:rsidRDefault="008F642E" w:rsidP="008F642E">
            <w:pPr>
              <w:ind w:left="210"/>
              <w:jc w:val="both"/>
            </w:pPr>
          </w:p>
          <w:p w:rsidR="00980F96" w:rsidRPr="00B87C41" w:rsidRDefault="00980F96" w:rsidP="00980F96">
            <w:pPr>
              <w:ind w:left="208"/>
              <w:jc w:val="both"/>
            </w:pPr>
            <w:r w:rsidRPr="00B87C41">
              <w:t>Hierarhiski augstākajā ilgtermiņa attīstības plānošanas dokumentā „Latvijas ilgtspējīgas attīstības stratēģija līdz 2030. gadam” noteiktā telpiskās attīstības stratēģa iezīmē 21 reģionālas nozīmes attīstības centru – Kuldīga, Talsi, Tukums, Saldus, Dobele, Bauska, Ogre, Aizkraukle, Sigulda, Cēsis, Limbaži, Smiltene, Alūksne, Gulbene, Balvi, Preiļi, Līvāni, Ludza, Krāslava, Madona un Valka. Savukārt novadu nozīmes attīstības centrus nosaka reģionālā un vietējā līmeņa teritorijas at</w:t>
            </w:r>
            <w:r w:rsidR="006C5FA0" w:rsidRPr="00B87C41">
              <w:t>tīstības plānošanas dokumentos”.</w:t>
            </w:r>
          </w:p>
          <w:p w:rsidR="00980F96" w:rsidRPr="00B87C41" w:rsidRDefault="00980F96" w:rsidP="008F642E">
            <w:pPr>
              <w:ind w:left="210"/>
              <w:jc w:val="both"/>
            </w:pPr>
          </w:p>
          <w:p w:rsidR="00B7394E" w:rsidRPr="00B87C41" w:rsidRDefault="00B7394E" w:rsidP="0016594D">
            <w:pPr>
              <w:ind w:left="208"/>
              <w:jc w:val="both"/>
            </w:pPr>
            <w:r w:rsidRPr="00B87C41">
              <w:t xml:space="preserve">Noteikumi nosaka kārtību, kādā Vides aizsardzības un reģionālās attīstības ministrija (turpmāk – VARAM) budžeta programmas 30.00.00 „Pašvaldību attīstības nacionālie atbalsta instrumenti” ietvaros paredzētās apropriācijas 919 739 </w:t>
            </w:r>
            <w:r w:rsidRPr="00B87C41">
              <w:rPr>
                <w:i/>
              </w:rPr>
              <w:t>euro</w:t>
            </w:r>
            <w:r w:rsidRPr="00B87C41">
              <w:t xml:space="preserve"> apmērā piešķir dotāciju Valsts un pašvaldību vienoto klientu apkalpošanas centru (turpmāk – VPVKAC) tīkla izveidei </w:t>
            </w:r>
            <w:r w:rsidRPr="00B87C41">
              <w:rPr>
                <w:b/>
              </w:rPr>
              <w:t>novadu un reģionālās attīstības centros</w:t>
            </w:r>
            <w:r w:rsidR="003B37ED" w:rsidRPr="00B87C41">
              <w:rPr>
                <w:b/>
              </w:rPr>
              <w:t xml:space="preserve"> </w:t>
            </w:r>
            <w:r w:rsidR="003B37ED" w:rsidRPr="00B87C41">
              <w:t>valsts pakalpojumu sniegšanai.</w:t>
            </w:r>
            <w:r w:rsidR="00C67369" w:rsidRPr="00B87C41">
              <w:t xml:space="preserve"> VPVKAC tīkla izveide pašvaldībās nodrošinās pakalpojumu saņemšanu iedzīvotājiem un uzņēmējiem vienuviet.</w:t>
            </w:r>
            <w:r w:rsidR="002A3D18" w:rsidRPr="00B87C41">
              <w:t xml:space="preserve"> </w:t>
            </w:r>
          </w:p>
          <w:p w:rsidR="00B7394E" w:rsidRPr="00B87C41" w:rsidRDefault="00B7394E" w:rsidP="0016594D">
            <w:pPr>
              <w:ind w:left="208"/>
              <w:jc w:val="both"/>
            </w:pPr>
          </w:p>
          <w:p w:rsidR="008B6C37" w:rsidRPr="00B87C41" w:rsidRDefault="0016594D" w:rsidP="008B6C37">
            <w:pPr>
              <w:ind w:left="208"/>
              <w:jc w:val="both"/>
            </w:pPr>
            <w:r w:rsidRPr="00B87C41">
              <w:rPr>
                <w:bCs/>
                <w:shd w:val="clear" w:color="auto" w:fill="FFFFFF"/>
              </w:rPr>
              <w:t xml:space="preserve">VARAM </w:t>
            </w:r>
            <w:r w:rsidR="00FC6BF5" w:rsidRPr="00B87C41">
              <w:t>jauno</w:t>
            </w:r>
            <w:r w:rsidRPr="00B87C41">
              <w:t xml:space="preserve"> politikas iniciatīvu ietvaros pamatojoties uz likumu par </w:t>
            </w:r>
            <w:r w:rsidR="003B37ED" w:rsidRPr="00B87C41">
              <w:t>„</w:t>
            </w:r>
            <w:r w:rsidRPr="00B87C41">
              <w:rPr>
                <w:bCs/>
                <w:shd w:val="clear" w:color="auto" w:fill="FFFFFF"/>
              </w:rPr>
              <w:t>Par vidēja termiņa budžeta ietvaru 2015., 2016. un 2017.</w:t>
            </w:r>
            <w:r w:rsidR="008B6C37" w:rsidRPr="00B87C41">
              <w:rPr>
                <w:bCs/>
                <w:shd w:val="clear" w:color="auto" w:fill="FFFFFF"/>
              </w:rPr>
              <w:t> </w:t>
            </w:r>
            <w:r w:rsidRPr="00B87C41">
              <w:rPr>
                <w:bCs/>
                <w:shd w:val="clear" w:color="auto" w:fill="FFFFFF"/>
              </w:rPr>
              <w:t xml:space="preserve">gadam” tika piešķirts finansējums budžeta </w:t>
            </w:r>
            <w:r w:rsidRPr="00B87C41">
              <w:t xml:space="preserve">programmai 30.00.00 „Pašvaldību attīstības nacionālie atbalsta instrumenti”, tajā skaitā </w:t>
            </w:r>
            <w:r w:rsidR="003B37ED" w:rsidRPr="00B87C41">
              <w:t>pasākumam „</w:t>
            </w:r>
            <w:r w:rsidRPr="00B87C41">
              <w:t xml:space="preserve">Publisko pakalpojumu pieejamības nodrošināšana saskaņā ar vienas pieturas aģentūras </w:t>
            </w:r>
            <w:r w:rsidR="00FC6BF5" w:rsidRPr="00B87C41">
              <w:t>principu”</w:t>
            </w:r>
            <w:r w:rsidRPr="00B87C41">
              <w:t xml:space="preserve">. </w:t>
            </w:r>
            <w:r w:rsidR="008B6C37" w:rsidRPr="00B87C41">
              <w:t xml:space="preserve">Paredzētais finansējums 2015. gadā ir 919 739 </w:t>
            </w:r>
            <w:r w:rsidR="008B6C37" w:rsidRPr="00B87C41">
              <w:rPr>
                <w:i/>
              </w:rPr>
              <w:t>euro</w:t>
            </w:r>
            <w:r w:rsidR="008B6C37" w:rsidRPr="00B87C41">
              <w:t xml:space="preserve">, 2016. gadā – 937 611 </w:t>
            </w:r>
            <w:r w:rsidR="008B6C37" w:rsidRPr="00B87C41">
              <w:rPr>
                <w:i/>
              </w:rPr>
              <w:t>euro</w:t>
            </w:r>
            <w:r w:rsidR="008B6C37" w:rsidRPr="00B87C41">
              <w:t xml:space="preserve"> un 2017. gadā 940 394 </w:t>
            </w:r>
            <w:r w:rsidR="008B6C37" w:rsidRPr="00B87C41">
              <w:rPr>
                <w:i/>
              </w:rPr>
              <w:t>euro</w:t>
            </w:r>
            <w:r w:rsidR="008B6C37" w:rsidRPr="00B87C41">
              <w:t>.</w:t>
            </w:r>
          </w:p>
          <w:p w:rsidR="00B7394E" w:rsidRPr="00B87C41" w:rsidRDefault="00B7394E" w:rsidP="008B6C37">
            <w:pPr>
              <w:ind w:left="208"/>
              <w:jc w:val="both"/>
            </w:pPr>
          </w:p>
          <w:p w:rsidR="00B7394E" w:rsidRPr="00B87C41" w:rsidRDefault="00B7394E" w:rsidP="00B7394E">
            <w:pPr>
              <w:ind w:left="208"/>
              <w:jc w:val="both"/>
            </w:pPr>
            <w:r w:rsidRPr="00B87C41">
              <w:t>Pamatojoties uz piešķirto valsts budžeta dotācijas apmēru, projekta realizācija 2015. </w:t>
            </w:r>
            <w:r w:rsidR="003B37ED" w:rsidRPr="00B87C41">
              <w:t>g</w:t>
            </w:r>
            <w:r w:rsidRPr="00B87C41">
              <w:t>adā</w:t>
            </w:r>
            <w:r w:rsidR="003B37ED" w:rsidRPr="00B87C41">
              <w:t xml:space="preserve">, ieviešot VPVKAC 89 novadu un 21 reģionu attīstības centros, </w:t>
            </w:r>
            <w:r w:rsidRPr="00B87C41">
              <w:t>nav iespējama pilnā apmērā</w:t>
            </w:r>
            <w:r w:rsidR="003B37ED" w:rsidRPr="00B87C41">
              <w:t>.</w:t>
            </w:r>
            <w:r w:rsidRPr="00B87C41">
              <w:t xml:space="preserve"> VPVKAC tiks ieviesti saskaņā ar koncepcijā noteikto termiņu un ikgadējo piešķirtā valsts budžeta apmēru.</w:t>
            </w:r>
          </w:p>
          <w:p w:rsidR="00B7394E" w:rsidRPr="00B87C41" w:rsidRDefault="00B7394E" w:rsidP="008B6C37">
            <w:pPr>
              <w:ind w:left="208"/>
              <w:jc w:val="both"/>
            </w:pPr>
          </w:p>
          <w:p w:rsidR="0016594D" w:rsidRPr="00B87C41" w:rsidRDefault="0016594D" w:rsidP="008B6C37">
            <w:pPr>
              <w:ind w:left="208"/>
              <w:jc w:val="both"/>
            </w:pPr>
            <w:r w:rsidRPr="00B87C41">
              <w:t>Savukārt jautājums par papildus valsts budžeta līdzekļu piešķiršanu koncepcijas “Koncepcija par publisko pakalpojumu sistēmas pilnveidi” paredzēto pasākumu „VPVKAC tīkla attīstība nacionālas un reģionālās nozīmes centros” un „VPVKAC tīkla att</w:t>
            </w:r>
            <w:r w:rsidR="00FC6BF5" w:rsidRPr="00B87C41">
              <w:t>īstība” īstenošanai skatāms 2017</w:t>
            </w:r>
            <w:r w:rsidRPr="00B87C41">
              <w:t>.</w:t>
            </w:r>
            <w:r w:rsidR="008B6C37" w:rsidRPr="00B87C41">
              <w:t> </w:t>
            </w:r>
            <w:r w:rsidRPr="00B87C41">
              <w:t>gada valsts budžet</w:t>
            </w:r>
            <w:r w:rsidR="00FC6BF5" w:rsidRPr="00B87C41">
              <w:t>a likumprojekta un 2017</w:t>
            </w:r>
            <w:r w:rsidRPr="00B87C41">
              <w:t>.</w:t>
            </w:r>
            <w:r w:rsidR="008B6C37" w:rsidRPr="00B87C41">
              <w:t> </w:t>
            </w:r>
            <w:r w:rsidRPr="00B87C41">
              <w:t>-</w:t>
            </w:r>
            <w:r w:rsidR="008B6C37" w:rsidRPr="00B87C41">
              <w:t> </w:t>
            </w:r>
            <w:r w:rsidR="00FC6BF5" w:rsidRPr="00B87C41">
              <w:t>2019</w:t>
            </w:r>
            <w:r w:rsidRPr="00B87C41">
              <w:t>.</w:t>
            </w:r>
            <w:r w:rsidR="008B6C37" w:rsidRPr="00B87C41">
              <w:t> </w:t>
            </w:r>
            <w:r w:rsidRPr="00B87C41">
              <w:t>gada vidēja termiņa budžeta ietvara likumprojekta sagatavošanas procesā kopā ar visu ministriju un citu centrālo valsts iestāžu jauno politikas iniciatīvu pieteikumiem, ievērojot valsts budžeta finansiālās iespējas.</w:t>
            </w:r>
          </w:p>
          <w:p w:rsidR="00A82FD8" w:rsidRPr="00B87C41" w:rsidRDefault="00A82FD8" w:rsidP="00F16AB7">
            <w:pPr>
              <w:jc w:val="both"/>
            </w:pPr>
          </w:p>
          <w:p w:rsidR="003B37ED" w:rsidRPr="00B87C41" w:rsidRDefault="0078594F" w:rsidP="003B37ED">
            <w:pPr>
              <w:ind w:left="210"/>
              <w:jc w:val="both"/>
            </w:pPr>
            <w:r w:rsidRPr="00B87C41">
              <w:t>N</w:t>
            </w:r>
            <w:r w:rsidRPr="00B87C41">
              <w:rPr>
                <w:bCs/>
              </w:rPr>
              <w:t>oteikumi paredz pieteikumu iesniegšanas kārtību valsts budžeta dotācijas saņemšanai, valsts budžeta dotācijas piešķiršanas kārtību un valsts budžeta dotācijas izlietošanas uzraudzības kārtību.</w:t>
            </w:r>
            <w:r w:rsidR="009F370C" w:rsidRPr="00B87C41">
              <w:rPr>
                <w:bCs/>
              </w:rPr>
              <w:t xml:space="preserve"> </w:t>
            </w:r>
            <w:r w:rsidR="009F370C" w:rsidRPr="00B87C41">
              <w:t>Lai izvērtētu pašvaldības pieteikumus valsts budžeta dotācijas piešķiršanai, V</w:t>
            </w:r>
            <w:r w:rsidR="003B37ED" w:rsidRPr="00B87C41">
              <w:t>ARAM</w:t>
            </w:r>
            <w:r w:rsidR="009F370C" w:rsidRPr="00B87C41">
              <w:t xml:space="preserve"> izveido komisiju un apstiprina tās nolikumu. Komisijā iekļauj V</w:t>
            </w:r>
            <w:r w:rsidR="003B37ED" w:rsidRPr="00B87C41">
              <w:t>ARAM</w:t>
            </w:r>
            <w:r w:rsidR="009F370C" w:rsidRPr="00B87C41">
              <w:t xml:space="preserve">, Latvijas Pašvaldību savienības un nevalstisko </w:t>
            </w:r>
            <w:r w:rsidR="004A101A" w:rsidRPr="00B87C41">
              <w:t>organizāciju</w:t>
            </w:r>
            <w:r w:rsidR="009F370C" w:rsidRPr="00B87C41">
              <w:t xml:space="preserve"> pārstāvjus.</w:t>
            </w:r>
          </w:p>
          <w:p w:rsidR="003B37ED" w:rsidRPr="00B87C41" w:rsidRDefault="003B37ED" w:rsidP="003B37ED">
            <w:pPr>
              <w:ind w:left="210"/>
              <w:jc w:val="both"/>
            </w:pPr>
          </w:p>
          <w:p w:rsidR="0016481C" w:rsidRPr="00B87C41" w:rsidRDefault="003B37ED" w:rsidP="008F642E">
            <w:pPr>
              <w:ind w:left="210"/>
              <w:jc w:val="both"/>
            </w:pPr>
            <w:r w:rsidRPr="00B87C41">
              <w:t>Paš</w:t>
            </w:r>
            <w:r w:rsidR="008C238A" w:rsidRPr="00B87C41">
              <w:t>valdību pieteikumu a</w:t>
            </w:r>
            <w:r w:rsidR="00654312" w:rsidRPr="00B87C41">
              <w:t>tlases kritēriji norādīti Ministru kabineta noteikumos</w:t>
            </w:r>
            <w:r w:rsidR="006267DF" w:rsidRPr="00B87C41">
              <w:t xml:space="preserve">, kā svarīgāko minot VPVKAC attālumu no tuvākā </w:t>
            </w:r>
            <w:r w:rsidR="00FB7AF7" w:rsidRPr="00B87C41">
              <w:t xml:space="preserve">nacionālā vai </w:t>
            </w:r>
            <w:r w:rsidR="006267DF" w:rsidRPr="00B87C41">
              <w:t>reģionālās nozīmes attīstības centra.</w:t>
            </w:r>
            <w:r w:rsidR="008C238A" w:rsidRPr="00B87C41">
              <w:t xml:space="preserve"> </w:t>
            </w:r>
            <w:r w:rsidR="006C7DBA" w:rsidRPr="00B87C41">
              <w:t>P</w:t>
            </w:r>
            <w:r w:rsidR="0016481C" w:rsidRPr="00B87C41">
              <w:t>ieteikuma atlases soļi:</w:t>
            </w:r>
          </w:p>
          <w:p w:rsidR="0016481C" w:rsidRPr="00B87C41" w:rsidRDefault="008C238A" w:rsidP="008C238A">
            <w:pPr>
              <w:ind w:left="210" w:firstLine="282"/>
              <w:jc w:val="both"/>
            </w:pPr>
            <w:r w:rsidRPr="00B87C41">
              <w:t xml:space="preserve">1. pieteikums </w:t>
            </w:r>
            <w:r w:rsidR="0016481C" w:rsidRPr="00B87C41">
              <w:t>iesniegts laikā;</w:t>
            </w:r>
          </w:p>
          <w:p w:rsidR="0016481C" w:rsidRPr="00B87C41" w:rsidRDefault="008C238A" w:rsidP="008C238A">
            <w:pPr>
              <w:ind w:left="210" w:firstLine="282"/>
              <w:jc w:val="both"/>
            </w:pPr>
            <w:r w:rsidRPr="00B87C41">
              <w:t>2. </w:t>
            </w:r>
            <w:r w:rsidR="005F2A2E" w:rsidRPr="00B87C41">
              <w:t>noformēts atbilstoši noteikumu pirmajam pielikumam</w:t>
            </w:r>
            <w:r w:rsidR="0016481C" w:rsidRPr="00B87C41">
              <w:t>;</w:t>
            </w:r>
          </w:p>
          <w:p w:rsidR="0016481C" w:rsidRPr="00B87C41" w:rsidRDefault="008C238A" w:rsidP="008C238A">
            <w:pPr>
              <w:ind w:left="210" w:firstLine="282"/>
              <w:jc w:val="both"/>
            </w:pPr>
            <w:r w:rsidRPr="00B87C41">
              <w:t>3. </w:t>
            </w:r>
            <w:r w:rsidR="0016481C" w:rsidRPr="00B87C41">
              <w:t>pašvaldības līdzfinans</w:t>
            </w:r>
            <w:r w:rsidR="005F2A2E" w:rsidRPr="00B87C41">
              <w:t>ējuma apjoms ir ne</w:t>
            </w:r>
            <w:r w:rsidR="0016481C" w:rsidRPr="00B87C41">
              <w:t xml:space="preserve"> maz</w:t>
            </w:r>
            <w:r w:rsidR="005F2A2E" w:rsidRPr="00B87C41">
              <w:t>āk</w:t>
            </w:r>
            <w:r w:rsidR="0016481C" w:rsidRPr="00B87C41">
              <w:t>s kā 30 %</w:t>
            </w:r>
            <w:r w:rsidR="005F2A2E" w:rsidRPr="00B87C41">
              <w:t xml:space="preserve"> </w:t>
            </w:r>
            <w:r w:rsidR="0016481C" w:rsidRPr="00B87C41">
              <w:t>vienreiz</w:t>
            </w:r>
            <w:r w:rsidR="005F2A2E" w:rsidRPr="00B87C41">
              <w:t>ējiem izdevumiem, un</w:t>
            </w:r>
            <w:r w:rsidR="0016481C" w:rsidRPr="00B87C41">
              <w:t xml:space="preserve"> ne maz</w:t>
            </w:r>
            <w:r w:rsidR="005F2A2E" w:rsidRPr="00B87C41">
              <w:t>āks</w:t>
            </w:r>
            <w:r w:rsidR="0016481C" w:rsidRPr="00B87C41">
              <w:t xml:space="preserve"> kā 50 % uzturēšanas izdevumiem</w:t>
            </w:r>
            <w:r w:rsidR="009B4ACE" w:rsidRPr="00B87C41">
              <w:t>. Procentuālā attiecība VARAM – pašvaldība ir noteikta 70% apmērā, atlikušais maksājums 30% apmērā veicams pašvaldībai. Savukārt, 50% uzturēšanas izmaksu segšana no VARAM puses noteikt</w:t>
            </w:r>
            <w:r w:rsidR="00C62617" w:rsidRPr="00B87C41">
              <w:t>o</w:t>
            </w:r>
            <w:r w:rsidR="009B4ACE" w:rsidRPr="00B87C41">
              <w:t xml:space="preserve"> ievērojot labas pārvaldības un sadarbības principus, kopīgā valsts un pašvaldību pakalpojumu sniegšanā iedzīvotājiem;</w:t>
            </w:r>
          </w:p>
          <w:p w:rsidR="0016481C" w:rsidRPr="00B87C41" w:rsidRDefault="008C238A" w:rsidP="008C238A">
            <w:pPr>
              <w:ind w:left="210" w:firstLine="282"/>
              <w:jc w:val="both"/>
            </w:pPr>
            <w:r w:rsidRPr="00B87C41">
              <w:t>4. </w:t>
            </w:r>
            <w:r w:rsidR="005F2A2E" w:rsidRPr="00B87C41">
              <w:t>gadījumā ja pieprasītais valsts budžeta</w:t>
            </w:r>
            <w:r w:rsidR="004A101A" w:rsidRPr="00B87C41">
              <w:t xml:space="preserve"> finansējums</w:t>
            </w:r>
            <w:r w:rsidR="005F2A2E" w:rsidRPr="00B87C41">
              <w:t xml:space="preserve"> pārsniedz pieejamo, tiek ņemts vērā kritērijs par VPVKAC attālumu no tuvākā centra</w:t>
            </w:r>
            <w:r w:rsidR="004A101A" w:rsidRPr="00B87C41">
              <w:t>.</w:t>
            </w:r>
          </w:p>
          <w:p w:rsidR="002A3D18" w:rsidRPr="00B87C41" w:rsidRDefault="002A3D18" w:rsidP="008C238A">
            <w:pPr>
              <w:ind w:left="210"/>
              <w:jc w:val="both"/>
              <w:rPr>
                <w:shd w:val="clear" w:color="auto" w:fill="FFFFFF"/>
              </w:rPr>
            </w:pPr>
          </w:p>
          <w:p w:rsidR="005F2A2E" w:rsidRPr="00B87C41" w:rsidRDefault="002A3D18" w:rsidP="008C238A">
            <w:pPr>
              <w:ind w:left="210"/>
              <w:jc w:val="both"/>
            </w:pPr>
            <w:r w:rsidRPr="00B87C41">
              <w:rPr>
                <w:shd w:val="clear" w:color="auto" w:fill="FFFFFF"/>
              </w:rPr>
              <w:t xml:space="preserve">Izvērtējot potenciālās izmaksas klātienes klientu apkalpošanas pilnveidei valsts mērogā, prioritāri ir izvirzāma Valsts un pašvaldību vienoto klientu apkalpošanas centru izveide novadu nozīmes attīstības centros. </w:t>
            </w:r>
            <w:r w:rsidR="005F2A2E" w:rsidRPr="00B87C41">
              <w:t xml:space="preserve">Izvērsts izvērtēšanas un lēmums pieņemšanas process būs pieejams komisijas nolikumā, </w:t>
            </w:r>
            <w:r w:rsidR="008C238A" w:rsidRPr="00B87C41">
              <w:t>kas</w:t>
            </w:r>
            <w:r w:rsidR="005F2A2E" w:rsidRPr="00B87C41">
              <w:t xml:space="preserve"> būs publiski pieejams V</w:t>
            </w:r>
            <w:r w:rsidR="008C238A" w:rsidRPr="00B87C41">
              <w:t>ARAM</w:t>
            </w:r>
            <w:r w:rsidR="005F2A2E" w:rsidRPr="00B87C41">
              <w:t>.</w:t>
            </w:r>
          </w:p>
          <w:p w:rsidR="008C238A" w:rsidRPr="00B87C41" w:rsidRDefault="008C238A" w:rsidP="008F642E">
            <w:pPr>
              <w:ind w:left="210"/>
              <w:jc w:val="both"/>
            </w:pPr>
          </w:p>
          <w:p w:rsidR="00FC353F" w:rsidRPr="00B87C41" w:rsidRDefault="00FC353F" w:rsidP="008F642E">
            <w:pPr>
              <w:ind w:left="210"/>
              <w:jc w:val="both"/>
            </w:pPr>
            <w:r w:rsidRPr="00B87C41">
              <w:t>V</w:t>
            </w:r>
            <w:r w:rsidR="008C238A" w:rsidRPr="00B87C41">
              <w:t xml:space="preserve">ARAM </w:t>
            </w:r>
            <w:r w:rsidRPr="00B87C41">
              <w:t>centralizēti nodrošina V</w:t>
            </w:r>
            <w:r w:rsidR="008C238A" w:rsidRPr="00B87C41">
              <w:t xml:space="preserve">PVKAC </w:t>
            </w:r>
            <w:r w:rsidRPr="00B87C41">
              <w:t>tīkla vienoto vizuālo identitāti</w:t>
            </w:r>
            <w:r w:rsidR="00280242" w:rsidRPr="00B87C41">
              <w:t xml:space="preserve"> (</w:t>
            </w:r>
            <w:r w:rsidR="009D51B7" w:rsidRPr="00B87C41">
              <w:t xml:space="preserve">VPVKAC darbiniekiem lakatiņi, ēkas atpazīstamībai </w:t>
            </w:r>
            <w:r w:rsidR="009B4ACE" w:rsidRPr="00B87C41">
              <w:t>–</w:t>
            </w:r>
            <w:r w:rsidR="009D51B7" w:rsidRPr="00B87C41">
              <w:t xml:space="preserve"> </w:t>
            </w:r>
            <w:r w:rsidR="009B4ACE" w:rsidRPr="00B87C41">
              <w:t xml:space="preserve">sienas </w:t>
            </w:r>
            <w:r w:rsidR="009D51B7" w:rsidRPr="00B87C41">
              <w:t>plāksnes</w:t>
            </w:r>
            <w:r w:rsidR="00280242" w:rsidRPr="00B87C41">
              <w:t>)</w:t>
            </w:r>
            <w:r w:rsidRPr="00B87C41">
              <w:t>, šim mērķim paredzot ne vairāk kā 2 %</w:t>
            </w:r>
            <w:r w:rsidR="00280242" w:rsidRPr="00B87C41">
              <w:t xml:space="preserve"> </w:t>
            </w:r>
            <w:r w:rsidRPr="00B87C41">
              <w:t>finansējumu no budžeta programmas 30.00.00 „Pašvaldību attīstības nacionālie atbalsta instrumenti” ietvaros piešķirtās valsts budžeta dotācijas apmēra.</w:t>
            </w:r>
          </w:p>
          <w:p w:rsidR="008C238A" w:rsidRPr="00B87C41" w:rsidRDefault="008C238A" w:rsidP="008F642E">
            <w:pPr>
              <w:ind w:left="210"/>
              <w:jc w:val="both"/>
            </w:pPr>
          </w:p>
          <w:p w:rsidR="008C238A" w:rsidRPr="00B87C41" w:rsidRDefault="005A6265" w:rsidP="008F642E">
            <w:pPr>
              <w:ind w:left="210"/>
              <w:jc w:val="both"/>
            </w:pPr>
            <w:r w:rsidRPr="00B87C41">
              <w:t>Saskaņā ar Ministru kabineta 2015. gada 10. janvāra rīkojumu Nr.</w:t>
            </w:r>
            <w:r w:rsidR="008C238A" w:rsidRPr="00B87C41">
              <w:t> </w:t>
            </w:r>
            <w:r w:rsidRPr="00B87C41">
              <w:t>14 „Grozījumi Koncepcijā par publisko pakalpojumu sistēmas pilnveidi” (t</w:t>
            </w:r>
            <w:r w:rsidR="008C238A" w:rsidRPr="00B87C41">
              <w:t>urpmāk - koncepcija) un likuma „</w:t>
            </w:r>
            <w:r w:rsidRPr="00B87C41">
              <w:t>Par valsts budžetu 2015.</w:t>
            </w:r>
            <w:r w:rsidR="008C238A" w:rsidRPr="00B87C41">
              <w:t> </w:t>
            </w:r>
            <w:r w:rsidRPr="00B87C41">
              <w:t>gadam” 56.</w:t>
            </w:r>
            <w:r w:rsidR="008C238A" w:rsidRPr="00B87C41">
              <w:t> </w:t>
            </w:r>
            <w:r w:rsidRPr="00B87C41">
              <w:t xml:space="preserve">pantā noteikto, </w:t>
            </w:r>
            <w:r w:rsidR="008C238A" w:rsidRPr="00B87C41">
              <w:t xml:space="preserve">plānots </w:t>
            </w:r>
            <w:r w:rsidRPr="00B87C41">
              <w:t>kopskaitā izveidot VPVKAC tīklu 89 novadu un 21 reģionālās attīstības centros. Piecdesmit VPVKAC</w:t>
            </w:r>
            <w:r w:rsidR="00FB0212" w:rsidRPr="00B87C41">
              <w:t xml:space="preserve"> paredzēts</w:t>
            </w:r>
            <w:r w:rsidRPr="00B87C41">
              <w:t xml:space="preserve"> ieviest 2015</w:t>
            </w:r>
            <w:r w:rsidR="008C238A" w:rsidRPr="00B87C41">
              <w:t>. </w:t>
            </w:r>
            <w:r w:rsidRPr="00B87C41">
              <w:t>gadā</w:t>
            </w:r>
            <w:r w:rsidR="00B55770" w:rsidRPr="00B87C41">
              <w:t>, piešķirot valsts budžeta dotāciju 48 novadu un 2 reģionālās nozīmes attīstības centru izveidei un uzturēšanai.</w:t>
            </w:r>
            <w:r w:rsidR="004E4480" w:rsidRPr="00B87C41">
              <w:t xml:space="preserve"> Koncepcija nosaka, </w:t>
            </w:r>
            <w:r w:rsidR="008C238A" w:rsidRPr="00B87C41">
              <w:t xml:space="preserve">ka </w:t>
            </w:r>
            <w:r w:rsidR="004E4480" w:rsidRPr="00B87C41">
              <w:t xml:space="preserve">par reģionālo attīstības centru izveidi lemj Ministru kabinets, </w:t>
            </w:r>
            <w:r w:rsidR="00280242" w:rsidRPr="00B87C41">
              <w:t>izskatot</w:t>
            </w:r>
            <w:r w:rsidR="004E4480" w:rsidRPr="00B87C41">
              <w:t xml:space="preserve"> </w:t>
            </w:r>
            <w:r w:rsidR="008C238A" w:rsidRPr="00B87C41">
              <w:t>VARAM</w:t>
            </w:r>
            <w:r w:rsidR="004E4480" w:rsidRPr="00B87C41">
              <w:t xml:space="preserve"> iesniegto informatīvo ziņojumu.</w:t>
            </w:r>
            <w:r w:rsidR="009C508B" w:rsidRPr="00B87C41">
              <w:t xml:space="preserve"> </w:t>
            </w:r>
            <w:r w:rsidR="00822724" w:rsidRPr="00B87C41">
              <w:t>Pašvaldības līdzfinansējuma daļa VPVKAC izveidē ir noteikta līdz 30% no kopējām izmaksām.</w:t>
            </w:r>
            <w:r w:rsidR="009F370C" w:rsidRPr="00B87C41">
              <w:t xml:space="preserve"> </w:t>
            </w:r>
          </w:p>
          <w:p w:rsidR="008C238A" w:rsidRPr="00B87C41" w:rsidRDefault="008C238A" w:rsidP="008F642E">
            <w:pPr>
              <w:ind w:left="210"/>
              <w:jc w:val="both"/>
            </w:pPr>
          </w:p>
          <w:p w:rsidR="008C238A" w:rsidRPr="00B87C41" w:rsidRDefault="009F370C" w:rsidP="008F642E">
            <w:pPr>
              <w:ind w:left="210"/>
              <w:jc w:val="both"/>
            </w:pPr>
            <w:r w:rsidRPr="00B87C41">
              <w:t>Likums par budžetu 2015. gadam nosaka deleģējumu tikai vienam gadam – 2015. gadam. Līdz ar to noteikumu projektā nav ietverama prasība par turpmākajos gados nepieciešamo valsts budžeta finansējumu centru izveidei.</w:t>
            </w:r>
          </w:p>
          <w:p w:rsidR="008C238A" w:rsidRPr="00B87C41" w:rsidRDefault="009F370C" w:rsidP="008F642E">
            <w:pPr>
              <w:ind w:left="210"/>
              <w:jc w:val="both"/>
            </w:pPr>
            <w:r w:rsidRPr="00B87C41">
              <w:t>Saskaņā ar M</w:t>
            </w:r>
            <w:r w:rsidR="008C238A" w:rsidRPr="00B87C41">
              <w:t>inistru kabineta</w:t>
            </w:r>
            <w:r w:rsidRPr="00B87C41">
              <w:t xml:space="preserve"> 10.01.2015. rīkojuma Nr. 14 „Grozījumi Koncepcijā par publisko pakalpojumu sistēmas piln</w:t>
            </w:r>
            <w:r w:rsidR="00927502" w:rsidRPr="00B87C41">
              <w:t>veidi” 1.1. apakšpunktā noteikto</w:t>
            </w:r>
            <w:r w:rsidRPr="00B87C41">
              <w:t>, ja nepieciešamā finansējuma apjoms šajā termiņā nav pieejams, tiek pārskatīti VPVKAC īs</w:t>
            </w:r>
            <w:r w:rsidR="008C238A" w:rsidRPr="00B87C41">
              <w:t>tenošanas termiņi un rezultāti.</w:t>
            </w:r>
          </w:p>
          <w:p w:rsidR="008C238A" w:rsidRPr="00B87C41" w:rsidRDefault="008C238A" w:rsidP="008F642E">
            <w:pPr>
              <w:ind w:left="210"/>
              <w:jc w:val="both"/>
            </w:pPr>
          </w:p>
          <w:p w:rsidR="005D46F6" w:rsidRPr="00B87C41" w:rsidRDefault="00987F9B" w:rsidP="00C67369">
            <w:pPr>
              <w:ind w:left="185"/>
              <w:jc w:val="both"/>
            </w:pPr>
            <w:r w:rsidRPr="00B87C41">
              <w:t>VPVKAC ieviešami pašvaldību īpašumā eso</w:t>
            </w:r>
            <w:r w:rsidR="006B0511" w:rsidRPr="00B87C41">
              <w:t>šā</w:t>
            </w:r>
            <w:r w:rsidRPr="00B87C41">
              <w:t xml:space="preserve"> infrastrukt</w:t>
            </w:r>
            <w:r w:rsidR="006B0511" w:rsidRPr="00B87C41">
              <w:t>ūras objektā</w:t>
            </w:r>
            <w:r w:rsidR="00C67369" w:rsidRPr="00B87C41">
              <w:t xml:space="preserve">, to uzturēšanai valsts budžeta dotācijas apmērs nevar pārsniegt 300 </w:t>
            </w:r>
            <w:r w:rsidR="00C67369" w:rsidRPr="00B87C41">
              <w:rPr>
                <w:i/>
              </w:rPr>
              <w:t>euro</w:t>
            </w:r>
            <w:r w:rsidR="00C67369" w:rsidRPr="00B87C41">
              <w:t xml:space="preserve"> mēnesī. </w:t>
            </w:r>
            <w:r w:rsidR="004D0EC4" w:rsidRPr="00B87C41">
              <w:t>Valsts un pašvaldības vienotā klientu apkalpošanas centra nodarbināto atlīdzības fonda nodrošināšanai valsts budžeta dotācija piešķirama šādā apmērā:</w:t>
            </w:r>
          </w:p>
          <w:p w:rsidR="005D46F6" w:rsidRPr="00B87C41" w:rsidRDefault="008C238A" w:rsidP="00C67369">
            <w:pPr>
              <w:pStyle w:val="tv213"/>
              <w:tabs>
                <w:tab w:val="left" w:pos="1134"/>
              </w:tabs>
              <w:spacing w:before="0" w:beforeAutospacing="0" w:after="0" w:afterAutospacing="0"/>
              <w:ind w:left="185" w:firstLine="165"/>
              <w:jc w:val="both"/>
            </w:pPr>
            <w:r w:rsidRPr="00B87C41">
              <w:t>1. </w:t>
            </w:r>
            <w:r w:rsidR="005D46F6" w:rsidRPr="00B87C41">
              <w:t xml:space="preserve">pašvaldībām virs 20 001 iedzīvotāju – 1 000 </w:t>
            </w:r>
            <w:r w:rsidR="005D46F6" w:rsidRPr="00B87C41">
              <w:rPr>
                <w:i/>
              </w:rPr>
              <w:t>euro</w:t>
            </w:r>
            <w:r w:rsidR="005D46F6" w:rsidRPr="00B87C41">
              <w:t xml:space="preserve"> mēnesī;</w:t>
            </w:r>
          </w:p>
          <w:p w:rsidR="005D46F6" w:rsidRPr="00B87C41" w:rsidRDefault="00C67369" w:rsidP="00C67369">
            <w:pPr>
              <w:pStyle w:val="tv213"/>
              <w:tabs>
                <w:tab w:val="left" w:pos="1134"/>
              </w:tabs>
              <w:spacing w:before="0" w:beforeAutospacing="0" w:after="0" w:afterAutospacing="0"/>
              <w:ind w:left="185" w:firstLine="165"/>
              <w:jc w:val="both"/>
            </w:pPr>
            <w:r w:rsidRPr="00B87C41">
              <w:t>2. </w:t>
            </w:r>
            <w:r w:rsidR="005D46F6" w:rsidRPr="00B87C41">
              <w:t xml:space="preserve">pašvaldībām no 10 001 līdz 20000 iedzīvotājiem – 700 </w:t>
            </w:r>
            <w:r w:rsidR="005D46F6" w:rsidRPr="00B87C41">
              <w:rPr>
                <w:i/>
              </w:rPr>
              <w:t>euro</w:t>
            </w:r>
            <w:r w:rsidR="005D46F6" w:rsidRPr="00B87C41">
              <w:t xml:space="preserve"> mēnesī;</w:t>
            </w:r>
          </w:p>
          <w:p w:rsidR="00EC1B6C" w:rsidRPr="00B87C41" w:rsidRDefault="00C67369" w:rsidP="00C67369">
            <w:pPr>
              <w:ind w:left="185" w:firstLine="165"/>
              <w:jc w:val="both"/>
            </w:pPr>
            <w:r w:rsidRPr="00B87C41">
              <w:t>3. </w:t>
            </w:r>
            <w:r w:rsidR="005D46F6" w:rsidRPr="00B87C41">
              <w:t xml:space="preserve">pašvaldībām līdz 10 000 iedzīvotāju – 500 </w:t>
            </w:r>
            <w:r w:rsidR="005D46F6" w:rsidRPr="00B87C41">
              <w:rPr>
                <w:i/>
              </w:rPr>
              <w:t>euro</w:t>
            </w:r>
            <w:r w:rsidR="005D46F6" w:rsidRPr="00B87C41">
              <w:t xml:space="preserve"> mēnesī.</w:t>
            </w:r>
            <w:r w:rsidR="00EC1B6C" w:rsidRPr="00B87C41">
              <w:t xml:space="preserve"> </w:t>
            </w:r>
          </w:p>
          <w:p w:rsidR="005B28FE" w:rsidRPr="00B87C41" w:rsidRDefault="00127C29" w:rsidP="008F642E">
            <w:pPr>
              <w:ind w:left="185"/>
              <w:jc w:val="both"/>
            </w:pPr>
            <w:r w:rsidRPr="00B87C41">
              <w:t>Atlīdzība piešķirama maksimālā tās apmērā</w:t>
            </w:r>
            <w:r w:rsidR="00CD45AB" w:rsidRPr="00B87C41">
              <w:t>, neatkarīgi no</w:t>
            </w:r>
            <w:r w:rsidR="00EC1B6C" w:rsidRPr="00B87C41">
              <w:t xml:space="preserve"> </w:t>
            </w:r>
            <w:r w:rsidR="00CD45AB" w:rsidRPr="00B87C41">
              <w:t>iesaistīto darbinieku skaita.</w:t>
            </w:r>
            <w:r w:rsidR="00C67369" w:rsidRPr="00B87C41">
              <w:t xml:space="preserve"> </w:t>
            </w:r>
            <w:r w:rsidR="005B28FE" w:rsidRPr="00B87C41">
              <w:t xml:space="preserve">Ja kopējais finansējuma apmērs pašvaldību projektu pieteikumos tiek pārsniegts, </w:t>
            </w:r>
            <w:r w:rsidR="00C67369" w:rsidRPr="00B87C41">
              <w:t>VARAM</w:t>
            </w:r>
            <w:r w:rsidR="005B28FE" w:rsidRPr="00B87C41">
              <w:t xml:space="preserve"> veic finansējuma pārdali pieejamā </w:t>
            </w:r>
            <w:r w:rsidR="00C62617" w:rsidRPr="00B87C41">
              <w:t xml:space="preserve">valsts </w:t>
            </w:r>
            <w:r w:rsidR="005B28FE" w:rsidRPr="00B87C41">
              <w:t>budžeta līdzekļu apmērā.</w:t>
            </w:r>
          </w:p>
          <w:p w:rsidR="00C67369" w:rsidRPr="00B87C41" w:rsidRDefault="00C67369" w:rsidP="008F642E">
            <w:pPr>
              <w:ind w:left="185"/>
              <w:jc w:val="both"/>
            </w:pPr>
          </w:p>
          <w:p w:rsidR="003F68CD" w:rsidRPr="00B87C41" w:rsidRDefault="00740DFE" w:rsidP="008F642E">
            <w:pPr>
              <w:ind w:left="210"/>
              <w:jc w:val="both"/>
            </w:pPr>
            <w:r w:rsidRPr="00B87C41">
              <w:t xml:space="preserve">Sadarbības līgumi starp </w:t>
            </w:r>
            <w:r w:rsidR="00C67369" w:rsidRPr="00B87C41">
              <w:t>VARAM</w:t>
            </w:r>
            <w:r w:rsidRPr="00B87C41">
              <w:t xml:space="preserve"> par pakalpojumu sniegšanu</w:t>
            </w:r>
            <w:r w:rsidR="00B55AF0" w:rsidRPr="00B87C41">
              <w:t xml:space="preserve"> </w:t>
            </w:r>
            <w:r w:rsidR="00C67369" w:rsidRPr="00B87C41">
              <w:t>VPVKAC</w:t>
            </w:r>
            <w:r w:rsidRPr="00B87C41">
              <w:t xml:space="preserve"> telpās tiks slēgti ar Lauku atbalsta dienestu, Nodarbinātības valsts aģentūru, Pilsonības un migrācijas lietu pārvaldi, Uzņēmumu reģistru, Valsts ieņēmumu dienestu, Valsts sociālās apdrošināšanas aģentūru un Valsts zemes dienestu, kā noteikts Koncepcijā par publisko pakalpojumu sistēmas pilnveidi. </w:t>
            </w:r>
            <w:r w:rsidR="00B808A2" w:rsidRPr="00B87C41">
              <w:t>Nebūs jāvēršas vairākās institūcijās un pakalpojumu centros, kā arī pašvaldību un valsts iestādēm tas sniegs iespēju efektīvāk un ekonomiskāk nodrošināt pakalpojuma saņemšanu iedzīvotā</w:t>
            </w:r>
            <w:r w:rsidR="00C67369" w:rsidRPr="00B87C41">
              <w:t>jiem.</w:t>
            </w:r>
          </w:p>
          <w:p w:rsidR="00C67369" w:rsidRPr="00B87C41" w:rsidRDefault="00C67369" w:rsidP="008F642E">
            <w:pPr>
              <w:ind w:left="210"/>
              <w:jc w:val="both"/>
            </w:pPr>
          </w:p>
          <w:p w:rsidR="003F68CD" w:rsidRPr="00B87C41" w:rsidRDefault="003F68CD" w:rsidP="008F642E">
            <w:pPr>
              <w:ind w:left="210"/>
              <w:jc w:val="both"/>
            </w:pPr>
            <w:r w:rsidRPr="00B87C41">
              <w:t xml:space="preserve">Ekonomiskos ieguvumus veido administratīvā sloga samazinājums VPVKAC iestāžu klientiem. Administratīvā sloga samazinājums 89 novadu centros ir pamatots ar klientu laika ietaupījumu, nebraucot uz tuvāko reģionālo centru - vidēji 1,24 st. 21 un 9 nacionālās un reģionālās nozīmes attīstības centros administratīvais slogs arī samazināsies sinerģijas efekta dēļ: </w:t>
            </w:r>
          </w:p>
          <w:p w:rsidR="003F68CD" w:rsidRPr="00B87C41" w:rsidRDefault="003F68CD" w:rsidP="00C67369">
            <w:pPr>
              <w:ind w:left="210" w:firstLine="140"/>
              <w:jc w:val="both"/>
            </w:pPr>
            <w:r w:rsidRPr="00B87C41">
              <w:t>1.</w:t>
            </w:r>
            <w:r w:rsidR="00C67369" w:rsidRPr="00B87C41">
              <w:t> </w:t>
            </w:r>
            <w:r w:rsidRPr="00B87C41">
              <w:t xml:space="preserve">bieži vien klienta vajadzība nosaka vairāku iestāžu saistīto pakalpojumu pieteikšanu; </w:t>
            </w:r>
          </w:p>
          <w:p w:rsidR="003F68CD" w:rsidRPr="00B87C41" w:rsidRDefault="003F68CD" w:rsidP="00C67369">
            <w:pPr>
              <w:ind w:left="210" w:firstLine="140"/>
              <w:jc w:val="both"/>
            </w:pPr>
            <w:r w:rsidRPr="00B87C41">
              <w:t>2.</w:t>
            </w:r>
            <w:r w:rsidR="00C67369" w:rsidRPr="00B87C41">
              <w:t> </w:t>
            </w:r>
            <w:r w:rsidRPr="00B87C41">
              <w:t>VPVKAC apmeklētājs vienlaikus var būt dažādu iestāžu klients (piemēram, uzņēmējs, bērna aizbildnis, nekustamā īpašuma īpašnieks). Vēršoties VPVKAC vienas situācijas dēļ, klients var vienuviet atrisināt arī citas dzīves situācijas.</w:t>
            </w:r>
          </w:p>
          <w:p w:rsidR="00C67369" w:rsidRPr="00B87C41" w:rsidRDefault="00C67369" w:rsidP="00C67369">
            <w:pPr>
              <w:pStyle w:val="NormalWeb"/>
              <w:spacing w:before="0" w:beforeAutospacing="0" w:after="0" w:afterAutospacing="0"/>
              <w:ind w:left="210"/>
              <w:jc w:val="both"/>
            </w:pPr>
          </w:p>
          <w:p w:rsidR="005E550D" w:rsidRPr="00B87C41" w:rsidRDefault="00C67369" w:rsidP="00C67369">
            <w:pPr>
              <w:pStyle w:val="NormalWeb"/>
              <w:spacing w:before="0" w:beforeAutospacing="0" w:after="0" w:afterAutospacing="0"/>
              <w:ind w:left="210"/>
              <w:jc w:val="both"/>
            </w:pPr>
            <w:r w:rsidRPr="00B87C41">
              <w:t>Konservatīvi pieņemot, ka 5</w:t>
            </w:r>
            <w:r w:rsidR="003F68CD" w:rsidRPr="00B87C41">
              <w:t>% gadījumos klients apvienos VPVKAC apmeklējumu divu pakalpojumu pieteikšanai, gadā tiek ietaupīti 8,2 milj. EUR.</w:t>
            </w:r>
            <w:r w:rsidRPr="00B87C41">
              <w:t xml:space="preserve"> </w:t>
            </w:r>
            <w:r w:rsidR="003F68CD" w:rsidRPr="00B87C41">
              <w:t>No IKP viedokļa k</w:t>
            </w:r>
            <w:r w:rsidRPr="00B87C41">
              <w:t>atrs nodarbinātais iedzīvotājs „</w:t>
            </w:r>
            <w:r w:rsidR="003F68CD" w:rsidRPr="00B87C41">
              <w:t>ražo</w:t>
            </w:r>
            <w:r w:rsidRPr="00B87C41">
              <w:t>”</w:t>
            </w:r>
            <w:r w:rsidR="003F68CD" w:rsidRPr="00B87C41">
              <w:t xml:space="preserve"> valstij nepilnus 10 EUR stundā. Ņemot vērā administratīvā sloga samazinājumu VPVKAC iestāžu klientiem, periodā no 2015. līdz 2020. gadam valsts IKP var pieaugt par 43,3 milj. EUR.</w:t>
            </w:r>
          </w:p>
        </w:tc>
      </w:tr>
      <w:tr w:rsidR="00B87C41" w:rsidRPr="00B87C41"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pStyle w:val="tvhtml"/>
              <w:jc w:val="both"/>
              <w:rPr>
                <w:lang w:val="lv-LV"/>
              </w:rPr>
            </w:pPr>
            <w:r w:rsidRPr="00B87C41">
              <w:rPr>
                <w:lang w:val="lv-LV"/>
              </w:rPr>
              <w:t>3.</w:t>
            </w:r>
          </w:p>
        </w:tc>
        <w:tc>
          <w:tcPr>
            <w:tcW w:w="153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5E550D" w:rsidRPr="00B87C41" w:rsidRDefault="00F76D0E" w:rsidP="008F642E">
            <w:pPr>
              <w:ind w:left="208" w:right="138"/>
              <w:jc w:val="both"/>
            </w:pPr>
            <w:r w:rsidRPr="00B87C41">
              <w:t>Latvijas Pašvaldību savienība</w:t>
            </w:r>
          </w:p>
        </w:tc>
      </w:tr>
      <w:tr w:rsidR="00B87C41" w:rsidRPr="00B87C41" w:rsidTr="005E55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pStyle w:val="tvhtml"/>
              <w:jc w:val="both"/>
              <w:rPr>
                <w:lang w:val="lv-LV"/>
              </w:rPr>
            </w:pPr>
            <w:r w:rsidRPr="00B87C41">
              <w:rPr>
                <w:lang w:val="lv-LV"/>
              </w:rPr>
              <w:t>4.</w:t>
            </w:r>
          </w:p>
        </w:tc>
        <w:tc>
          <w:tcPr>
            <w:tcW w:w="153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Cita informācija</w:t>
            </w:r>
          </w:p>
        </w:tc>
        <w:tc>
          <w:tcPr>
            <w:tcW w:w="3158" w:type="pct"/>
            <w:tcBorders>
              <w:top w:val="outset" w:sz="6" w:space="0" w:color="auto"/>
              <w:left w:val="outset" w:sz="6" w:space="0" w:color="auto"/>
              <w:bottom w:val="outset" w:sz="6" w:space="0" w:color="auto"/>
              <w:right w:val="outset" w:sz="6" w:space="0" w:color="auto"/>
            </w:tcBorders>
            <w:hideMark/>
          </w:tcPr>
          <w:p w:rsidR="005E550D" w:rsidRPr="00B87C41" w:rsidRDefault="00FA5B30" w:rsidP="008F642E">
            <w:pPr>
              <w:pStyle w:val="tvhtml"/>
              <w:ind w:left="208" w:right="138"/>
              <w:jc w:val="both"/>
              <w:rPr>
                <w:lang w:val="lv-LV"/>
              </w:rPr>
            </w:pPr>
            <w:r w:rsidRPr="00B87C41">
              <w:rPr>
                <w:lang w:val="lv-LV"/>
              </w:rPr>
              <w:t>Nav</w:t>
            </w:r>
          </w:p>
        </w:tc>
      </w:tr>
    </w:tbl>
    <w:p w:rsidR="005E550D" w:rsidRPr="00B87C41" w:rsidRDefault="005E550D" w:rsidP="008F642E">
      <w:pPr>
        <w:pStyle w:val="tvhtml"/>
        <w:spacing w:before="0" w:beforeAutospacing="0" w:after="0" w:afterAutospacing="0"/>
        <w:jc w:val="both"/>
        <w:rPr>
          <w:lang w:val="lv-LV"/>
        </w:rPr>
      </w:pPr>
      <w:r w:rsidRPr="00B87C41">
        <w:rPr>
          <w:lang w:val="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68"/>
      </w:tblGrid>
      <w:tr w:rsidR="00B87C41" w:rsidRPr="00B87C41" w:rsidTr="005E550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Pr="00B87C41" w:rsidRDefault="005E550D" w:rsidP="00DC00F5">
            <w:pPr>
              <w:pStyle w:val="tvhtml"/>
              <w:jc w:val="center"/>
              <w:rPr>
                <w:b/>
                <w:bCs/>
                <w:lang w:val="lv-LV"/>
              </w:rPr>
            </w:pPr>
            <w:r w:rsidRPr="00B87C41">
              <w:rPr>
                <w:b/>
                <w:bCs/>
                <w:lang w:val="lv-LV"/>
              </w:rPr>
              <w:t>II. Tiesību akta projekta ietekme uz sabiedrību, tautsaimniecības attīstību un administratīvo slogu</w:t>
            </w:r>
          </w:p>
        </w:tc>
      </w:tr>
      <w:tr w:rsidR="00B87C41" w:rsidRPr="00B87C41" w:rsidTr="005E550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1.</w:t>
            </w:r>
          </w:p>
        </w:tc>
        <w:tc>
          <w:tcPr>
            <w:tcW w:w="15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5E550D" w:rsidRPr="00B87C41" w:rsidRDefault="0078594F" w:rsidP="008F642E">
            <w:pPr>
              <w:pStyle w:val="Default"/>
              <w:ind w:left="208" w:right="138"/>
              <w:jc w:val="both"/>
              <w:rPr>
                <w:color w:val="auto"/>
                <w:lang w:val="lv-LV" w:eastAsia="lv-LV"/>
              </w:rPr>
            </w:pPr>
            <w:r w:rsidRPr="00B87C41">
              <w:rPr>
                <w:color w:val="auto"/>
                <w:lang w:val="lv-LV"/>
              </w:rPr>
              <w:t xml:space="preserve">Mērķgrupa, ko skar šis noteikumu projekts, aptver pilnīgi visus Latvijas iedzīvotājus, pašvaldības un tajās nodarbinātos. </w:t>
            </w:r>
          </w:p>
        </w:tc>
      </w:tr>
      <w:tr w:rsidR="00B87C41" w:rsidRPr="00B87C41"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2.</w:t>
            </w:r>
          </w:p>
        </w:tc>
        <w:tc>
          <w:tcPr>
            <w:tcW w:w="15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8594F" w:rsidRPr="00B87C41" w:rsidRDefault="005E550D" w:rsidP="008F642E">
            <w:pPr>
              <w:pStyle w:val="naiskr"/>
              <w:spacing w:before="0" w:after="0"/>
              <w:ind w:left="208" w:right="138"/>
              <w:jc w:val="both"/>
              <w:rPr>
                <w:iCs/>
              </w:rPr>
            </w:pPr>
            <w:r w:rsidRPr="00B87C41">
              <w:rPr>
                <w:iCs/>
              </w:rPr>
              <w:t xml:space="preserve">Pašvaldību iedzīvotājiem </w:t>
            </w:r>
            <w:r w:rsidR="00F76D0E" w:rsidRPr="00B87C41">
              <w:rPr>
                <w:iCs/>
              </w:rPr>
              <w:t xml:space="preserve">pašvaldību administratīvajā teritorijā </w:t>
            </w:r>
            <w:r w:rsidRPr="00B87C41">
              <w:rPr>
                <w:iCs/>
              </w:rPr>
              <w:t xml:space="preserve">tiks nodrošināta </w:t>
            </w:r>
            <w:r w:rsidR="00CC56B5" w:rsidRPr="00B87C41">
              <w:rPr>
                <w:iCs/>
              </w:rPr>
              <w:t>valsts un pašvaldību pakalpojum</w:t>
            </w:r>
            <w:r w:rsidR="00F76D0E" w:rsidRPr="00B87C41">
              <w:rPr>
                <w:iCs/>
              </w:rPr>
              <w:t>u saņemšana klātienē</w:t>
            </w:r>
            <w:r w:rsidR="00CC56B5" w:rsidRPr="00B87C41">
              <w:rPr>
                <w:iCs/>
              </w:rPr>
              <w:t>.</w:t>
            </w:r>
          </w:p>
        </w:tc>
      </w:tr>
      <w:tr w:rsidR="00B87C41" w:rsidRPr="00B87C41"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3.</w:t>
            </w:r>
          </w:p>
        </w:tc>
        <w:tc>
          <w:tcPr>
            <w:tcW w:w="15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D010B" w:rsidRPr="00B87C41" w:rsidRDefault="004666FC" w:rsidP="008F642E">
            <w:pPr>
              <w:ind w:left="208" w:right="138"/>
              <w:jc w:val="both"/>
            </w:pPr>
            <w:r w:rsidRPr="00B87C41">
              <w:rPr>
                <w:bCs/>
              </w:rPr>
              <w:t xml:space="preserve">Informācijas sniegšanas pienākumi </w:t>
            </w:r>
            <w:r w:rsidR="009B22AA" w:rsidRPr="00B87C41">
              <w:rPr>
                <w:bCs/>
              </w:rPr>
              <w:t>VARAM</w:t>
            </w:r>
            <w:r w:rsidRPr="00B87C41">
              <w:rPr>
                <w:bCs/>
              </w:rPr>
              <w:t xml:space="preserve"> (noteikumu projekta 1</w:t>
            </w:r>
            <w:r w:rsidR="00F16AB7">
              <w:rPr>
                <w:bCs/>
              </w:rPr>
              <w:t xml:space="preserve">0., 12., </w:t>
            </w:r>
            <w:bookmarkStart w:id="0" w:name="_GoBack"/>
            <w:bookmarkEnd w:id="0"/>
            <w:r w:rsidR="00F6257B" w:rsidRPr="00B87C41">
              <w:rPr>
                <w:bCs/>
              </w:rPr>
              <w:t>17. un 24</w:t>
            </w:r>
            <w:r w:rsidRPr="00B87C41">
              <w:rPr>
                <w:bCs/>
              </w:rPr>
              <w:t>.</w:t>
            </w:r>
            <w:r w:rsidR="00C67369" w:rsidRPr="00B87C41">
              <w:rPr>
                <w:bCs/>
              </w:rPr>
              <w:t> </w:t>
            </w:r>
            <w:r w:rsidRPr="00B87C41">
              <w:rPr>
                <w:bCs/>
              </w:rPr>
              <w:t xml:space="preserve">punkts) administratīvās izmaksas ir </w:t>
            </w:r>
            <w:r w:rsidR="009B22AA" w:rsidRPr="00B87C41">
              <w:t xml:space="preserve">2262,5 </w:t>
            </w:r>
            <w:r w:rsidR="00C67369" w:rsidRPr="00B87C41">
              <w:rPr>
                <w:bCs/>
                <w:i/>
              </w:rPr>
              <w:t>eu</w:t>
            </w:r>
            <w:r w:rsidRPr="00B87C41">
              <w:rPr>
                <w:bCs/>
                <w:i/>
              </w:rPr>
              <w:t>ro</w:t>
            </w:r>
            <w:r w:rsidRPr="00B87C41">
              <w:rPr>
                <w:bCs/>
              </w:rPr>
              <w:t xml:space="preserve"> apmērā (</w:t>
            </w:r>
            <w:r w:rsidR="00C67369" w:rsidRPr="00B87C41">
              <w:rPr>
                <w:bCs/>
              </w:rPr>
              <w:t>p</w:t>
            </w:r>
            <w:r w:rsidRPr="00B87C41">
              <w:rPr>
                <w:bCs/>
              </w:rPr>
              <w:t>ēc formulas, (izmaksas</w:t>
            </w:r>
            <w:r w:rsidR="00C67369" w:rsidRPr="00B87C41">
              <w:rPr>
                <w:bCs/>
              </w:rPr>
              <w:t> </w:t>
            </w:r>
            <w:r w:rsidRPr="00B87C41">
              <w:rPr>
                <w:bCs/>
              </w:rPr>
              <w:t>x</w:t>
            </w:r>
            <w:r w:rsidR="00C67369" w:rsidRPr="00B87C41">
              <w:rPr>
                <w:bCs/>
              </w:rPr>
              <w:t> </w:t>
            </w:r>
            <w:r w:rsidRPr="00B87C41">
              <w:rPr>
                <w:bCs/>
              </w:rPr>
              <w:t>laika patēriņš)</w:t>
            </w:r>
            <w:r w:rsidR="00C67369" w:rsidRPr="00B87C41">
              <w:rPr>
                <w:bCs/>
              </w:rPr>
              <w:t> </w:t>
            </w:r>
            <w:r w:rsidRPr="00B87C41">
              <w:rPr>
                <w:bCs/>
              </w:rPr>
              <w:t>x</w:t>
            </w:r>
            <w:r w:rsidR="00C67369" w:rsidRPr="00B87C41">
              <w:rPr>
                <w:bCs/>
              </w:rPr>
              <w:t> (iesaistī</w:t>
            </w:r>
            <w:r w:rsidRPr="00B87C41">
              <w:rPr>
                <w:bCs/>
              </w:rPr>
              <w:t>to cilvēku skaits</w:t>
            </w:r>
            <w:r w:rsidR="00C67369" w:rsidRPr="00B87C41">
              <w:rPr>
                <w:bCs/>
              </w:rPr>
              <w:t> </w:t>
            </w:r>
            <w:r w:rsidRPr="00B87C41">
              <w:rPr>
                <w:bCs/>
              </w:rPr>
              <w:t>x</w:t>
            </w:r>
            <w:r w:rsidR="00C67369" w:rsidRPr="00B87C41">
              <w:rPr>
                <w:bCs/>
              </w:rPr>
              <w:t> </w:t>
            </w:r>
            <w:r w:rsidRPr="00B87C41">
              <w:rPr>
                <w:bCs/>
              </w:rPr>
              <w:t>cik bieži tas jādara).</w:t>
            </w:r>
          </w:p>
          <w:p w:rsidR="005E550D" w:rsidRPr="00B87C41" w:rsidRDefault="009D25C2" w:rsidP="008F642E">
            <w:pPr>
              <w:ind w:left="208" w:right="138"/>
              <w:jc w:val="both"/>
            </w:pPr>
            <w:r w:rsidRPr="00B87C41">
              <w:t>Aprēķins: C</w:t>
            </w:r>
            <w:r w:rsidR="00DC00F5" w:rsidRPr="00B87C41">
              <w:t xml:space="preserve"> </w:t>
            </w:r>
            <w:r w:rsidRPr="00B87C41">
              <w:t>=</w:t>
            </w:r>
            <w:r w:rsidR="00DC00F5" w:rsidRPr="00B87C41">
              <w:t xml:space="preserve"> </w:t>
            </w:r>
            <w:r w:rsidR="00FB57CC" w:rsidRPr="00B87C41">
              <w:t>(f x l) x (n x b), kur:</w:t>
            </w:r>
          </w:p>
          <w:p w:rsidR="00FB57CC" w:rsidRPr="00B87C41" w:rsidRDefault="00DC075D" w:rsidP="008F642E">
            <w:pPr>
              <w:ind w:left="208" w:right="138"/>
              <w:jc w:val="both"/>
            </w:pPr>
            <w:r w:rsidRPr="00B87C41">
              <w:t>F</w:t>
            </w:r>
            <w:r w:rsidR="00FB57CC" w:rsidRPr="00B87C41">
              <w:t>- ir informācijas sniegšanas pienākumu izpildes izmaksas</w:t>
            </w:r>
            <w:r w:rsidRPr="00B87C41">
              <w:t xml:space="preserve"> -</w:t>
            </w:r>
            <w:r w:rsidR="009B22AA" w:rsidRPr="00B87C41">
              <w:t xml:space="preserve"> </w:t>
            </w:r>
            <w:r w:rsidRPr="00B87C41">
              <w:t>1*</w:t>
            </w:r>
            <w:r w:rsidR="009B22AA" w:rsidRPr="00B87C41">
              <w:t>50</w:t>
            </w:r>
            <w:r w:rsidR="00FB57CC" w:rsidRPr="00B87C41">
              <w:t>:</w:t>
            </w:r>
          </w:p>
          <w:p w:rsidR="00FB57CC" w:rsidRPr="00B87C41" w:rsidRDefault="00FB57CC" w:rsidP="008F642E">
            <w:pPr>
              <w:pStyle w:val="ListParagraph"/>
              <w:ind w:hanging="360"/>
              <w:jc w:val="both"/>
              <w:rPr>
                <w:rFonts w:ascii="Times New Roman" w:hAnsi="Times New Roman"/>
                <w:sz w:val="24"/>
                <w:szCs w:val="24"/>
              </w:rPr>
            </w:pPr>
            <w:r w:rsidRPr="00B87C41">
              <w:rPr>
                <w:rFonts w:ascii="Times New Roman" w:hAnsi="Times New Roman"/>
                <w:sz w:val="24"/>
                <w:szCs w:val="24"/>
              </w:rPr>
              <w:t>1. Komisij</w:t>
            </w:r>
            <w:r w:rsidR="00F6257B" w:rsidRPr="00B87C41">
              <w:rPr>
                <w:rFonts w:ascii="Times New Roman" w:hAnsi="Times New Roman"/>
                <w:sz w:val="24"/>
                <w:szCs w:val="24"/>
              </w:rPr>
              <w:t>a saņem/ apkopo pieteikumus; (10</w:t>
            </w:r>
            <w:r w:rsidRPr="00B87C41">
              <w:rPr>
                <w:rFonts w:ascii="Times New Roman" w:hAnsi="Times New Roman"/>
                <w:sz w:val="24"/>
                <w:szCs w:val="24"/>
              </w:rPr>
              <w:t>)</w:t>
            </w:r>
          </w:p>
          <w:p w:rsidR="00FB57CC" w:rsidRPr="00B87C41" w:rsidRDefault="00FB57CC" w:rsidP="008F642E">
            <w:pPr>
              <w:pStyle w:val="ListParagraph"/>
              <w:ind w:hanging="360"/>
              <w:jc w:val="both"/>
              <w:rPr>
                <w:rFonts w:ascii="Times New Roman" w:hAnsi="Times New Roman"/>
                <w:sz w:val="24"/>
                <w:szCs w:val="24"/>
              </w:rPr>
            </w:pPr>
            <w:r w:rsidRPr="00B87C41">
              <w:rPr>
                <w:rFonts w:ascii="Times New Roman" w:hAnsi="Times New Roman"/>
                <w:sz w:val="24"/>
                <w:szCs w:val="24"/>
              </w:rPr>
              <w:t>2. Komisija pieprasa papildus info</w:t>
            </w:r>
            <w:r w:rsidR="00C67369" w:rsidRPr="00B87C41">
              <w:rPr>
                <w:rFonts w:ascii="Times New Roman" w:hAnsi="Times New Roman"/>
                <w:sz w:val="24"/>
                <w:szCs w:val="24"/>
              </w:rPr>
              <w:t>rmāciju</w:t>
            </w:r>
            <w:r w:rsidRPr="00B87C41">
              <w:rPr>
                <w:rFonts w:ascii="Times New Roman" w:hAnsi="Times New Roman"/>
                <w:sz w:val="24"/>
                <w:szCs w:val="24"/>
              </w:rPr>
              <w:t xml:space="preserve"> no pašvaldībām; (12)</w:t>
            </w:r>
          </w:p>
          <w:p w:rsidR="00FB57CC" w:rsidRPr="00B87C41" w:rsidRDefault="00FB57CC" w:rsidP="008F642E">
            <w:pPr>
              <w:pStyle w:val="ListParagraph"/>
              <w:ind w:hanging="360"/>
              <w:jc w:val="both"/>
              <w:rPr>
                <w:rFonts w:ascii="Times New Roman" w:hAnsi="Times New Roman"/>
                <w:sz w:val="24"/>
                <w:szCs w:val="24"/>
              </w:rPr>
            </w:pPr>
            <w:r w:rsidRPr="00B87C41">
              <w:rPr>
                <w:rFonts w:ascii="Times New Roman" w:hAnsi="Times New Roman"/>
                <w:sz w:val="24"/>
                <w:szCs w:val="24"/>
              </w:rPr>
              <w:t>3. Komisija nosūta rīkojumu pašvaldībai; (15)</w:t>
            </w:r>
          </w:p>
          <w:p w:rsidR="00FB57CC" w:rsidRPr="00B87C41" w:rsidRDefault="00FB57CC" w:rsidP="008F642E">
            <w:pPr>
              <w:pStyle w:val="ListParagraph"/>
              <w:ind w:hanging="360"/>
              <w:jc w:val="both"/>
              <w:rPr>
                <w:rFonts w:ascii="Times New Roman" w:hAnsi="Times New Roman"/>
                <w:sz w:val="24"/>
                <w:szCs w:val="24"/>
              </w:rPr>
            </w:pPr>
            <w:r w:rsidRPr="00B87C41">
              <w:rPr>
                <w:rFonts w:ascii="Times New Roman" w:hAnsi="Times New Roman"/>
                <w:sz w:val="24"/>
                <w:szCs w:val="24"/>
              </w:rPr>
              <w:t>4. </w:t>
            </w:r>
            <w:r w:rsidR="00C67369" w:rsidRPr="00B87C41">
              <w:rPr>
                <w:rFonts w:ascii="Times New Roman" w:hAnsi="Times New Roman"/>
                <w:sz w:val="24"/>
                <w:szCs w:val="24"/>
              </w:rPr>
              <w:t>K</w:t>
            </w:r>
            <w:r w:rsidRPr="00B87C41">
              <w:rPr>
                <w:rFonts w:ascii="Times New Roman" w:hAnsi="Times New Roman"/>
                <w:sz w:val="24"/>
                <w:szCs w:val="24"/>
              </w:rPr>
              <w:t xml:space="preserve">omisija nosūta lēmumu par atteikumu </w:t>
            </w:r>
            <w:r w:rsidR="009B44B1" w:rsidRPr="00B87C41">
              <w:rPr>
                <w:rFonts w:ascii="Times New Roman" w:hAnsi="Times New Roman"/>
                <w:sz w:val="24"/>
                <w:szCs w:val="24"/>
              </w:rPr>
              <w:t xml:space="preserve">valsts budžeta </w:t>
            </w:r>
            <w:r w:rsidRPr="00B87C41">
              <w:rPr>
                <w:rFonts w:ascii="Times New Roman" w:hAnsi="Times New Roman"/>
                <w:sz w:val="24"/>
                <w:szCs w:val="24"/>
              </w:rPr>
              <w:t>dotācijai; (1</w:t>
            </w:r>
            <w:r w:rsidR="00F6257B" w:rsidRPr="00B87C41">
              <w:rPr>
                <w:rFonts w:ascii="Times New Roman" w:hAnsi="Times New Roman"/>
                <w:sz w:val="24"/>
                <w:szCs w:val="24"/>
              </w:rPr>
              <w:t>7</w:t>
            </w:r>
            <w:r w:rsidRPr="00B87C41">
              <w:rPr>
                <w:rFonts w:ascii="Times New Roman" w:hAnsi="Times New Roman"/>
                <w:sz w:val="24"/>
                <w:szCs w:val="24"/>
              </w:rPr>
              <w:t>)</w:t>
            </w:r>
          </w:p>
          <w:p w:rsidR="00FB57CC" w:rsidRPr="00B87C41" w:rsidRDefault="00FB57CC" w:rsidP="008F642E">
            <w:pPr>
              <w:pStyle w:val="ListParagraph"/>
              <w:ind w:hanging="360"/>
              <w:jc w:val="both"/>
              <w:rPr>
                <w:rFonts w:ascii="Times New Roman" w:hAnsi="Times New Roman"/>
                <w:sz w:val="24"/>
                <w:szCs w:val="24"/>
              </w:rPr>
            </w:pPr>
            <w:r w:rsidRPr="00B87C41">
              <w:rPr>
                <w:rFonts w:ascii="Times New Roman" w:hAnsi="Times New Roman"/>
                <w:sz w:val="24"/>
                <w:szCs w:val="24"/>
              </w:rPr>
              <w:t>5. Komisija apkopo iesniegtos pārskatus. (2</w:t>
            </w:r>
            <w:r w:rsidR="00F6257B" w:rsidRPr="00B87C41">
              <w:rPr>
                <w:rFonts w:ascii="Times New Roman" w:hAnsi="Times New Roman"/>
                <w:sz w:val="24"/>
                <w:szCs w:val="24"/>
              </w:rPr>
              <w:t>4</w:t>
            </w:r>
            <w:r w:rsidRPr="00B87C41">
              <w:rPr>
                <w:rFonts w:ascii="Times New Roman" w:hAnsi="Times New Roman"/>
                <w:sz w:val="24"/>
                <w:szCs w:val="24"/>
              </w:rPr>
              <w:t>)</w:t>
            </w:r>
          </w:p>
          <w:p w:rsidR="00FB57CC" w:rsidRPr="00B87C41" w:rsidRDefault="00FB57CC" w:rsidP="008F642E">
            <w:pPr>
              <w:ind w:left="208" w:right="138"/>
              <w:jc w:val="both"/>
            </w:pPr>
            <w:r w:rsidRPr="00B87C41">
              <w:t>L - laika patēriņš</w:t>
            </w:r>
            <w:r w:rsidR="00DC075D" w:rsidRPr="00B87C41">
              <w:t xml:space="preserve"> (</w:t>
            </w:r>
            <w:r w:rsidR="00C67369" w:rsidRPr="00B87C41">
              <w:t>a</w:t>
            </w:r>
            <w:r w:rsidR="00DC075D" w:rsidRPr="00B87C41">
              <w:t xml:space="preserve">tbilstoši </w:t>
            </w:r>
            <w:hyperlink r:id="rId8" w:history="1">
              <w:r w:rsidR="00DC075D" w:rsidRPr="00B87C41">
                <w:rPr>
                  <w:rStyle w:val="Hyperlink"/>
                  <w:color w:val="auto"/>
                </w:rPr>
                <w:t>Centrālās statistikas mājas lapas</w:t>
              </w:r>
            </w:hyperlink>
            <w:r w:rsidR="00C67369" w:rsidRPr="00B87C41">
              <w:t xml:space="preserve"> „Darbaspēka izmaksas”</w:t>
            </w:r>
            <w:r w:rsidR="00DC075D" w:rsidRPr="00B87C41">
              <w:t xml:space="preserve"> + pie identificētām darbaspēka izmaksām pieskaitīts klāt 25% (pieskaitāmās izmaksas) – 9,05;</w:t>
            </w:r>
            <w:r w:rsidR="00C67369" w:rsidRPr="00B87C41">
              <w:t xml:space="preserve"> </w:t>
            </w:r>
            <w:r w:rsidRPr="00B87C41">
              <w:t xml:space="preserve">N – komisijas </w:t>
            </w:r>
            <w:r w:rsidR="00DC075D" w:rsidRPr="00B87C41">
              <w:t>darbinieki</w:t>
            </w:r>
            <w:r w:rsidRPr="00B87C41">
              <w:t xml:space="preserve"> – 5;</w:t>
            </w:r>
            <w:r w:rsidR="00C67369" w:rsidRPr="00B87C41">
              <w:t xml:space="preserve"> </w:t>
            </w:r>
            <w:r w:rsidRPr="00B87C41">
              <w:t>B – biežums informācijas sniegšanai gada laikā – 1.</w:t>
            </w:r>
          </w:p>
          <w:p w:rsidR="00FB57CC" w:rsidRPr="00B87C41" w:rsidRDefault="00FB57CC" w:rsidP="008F642E">
            <w:pPr>
              <w:ind w:left="208" w:right="138"/>
              <w:jc w:val="both"/>
            </w:pPr>
          </w:p>
          <w:p w:rsidR="00DC075D" w:rsidRPr="00B87C41" w:rsidRDefault="00FB57CC" w:rsidP="009B22AA">
            <w:pPr>
              <w:ind w:left="208" w:right="138"/>
              <w:jc w:val="both"/>
            </w:pPr>
            <w:r w:rsidRPr="00B87C41">
              <w:t>(9,05</w:t>
            </w:r>
            <w:r w:rsidR="00DC075D" w:rsidRPr="00B87C41">
              <w:t>*1</w:t>
            </w:r>
            <w:r w:rsidRPr="00B87C41">
              <w:t>)</w:t>
            </w:r>
            <w:r w:rsidR="00DC075D" w:rsidRPr="00B87C41">
              <w:t>*(5</w:t>
            </w:r>
            <w:r w:rsidR="009B22AA" w:rsidRPr="00B87C41">
              <w:t>0</w:t>
            </w:r>
            <w:r w:rsidR="00DC075D" w:rsidRPr="00B87C41">
              <w:t>*1)=45,25</w:t>
            </w:r>
            <w:r w:rsidR="00C67369" w:rsidRPr="00B87C41">
              <w:t xml:space="preserve"> EUR; </w:t>
            </w:r>
            <w:r w:rsidR="00DC075D" w:rsidRPr="00B87C41">
              <w:t>452</w:t>
            </w:r>
            <w:r w:rsidR="009B22AA" w:rsidRPr="00B87C41">
              <w:t>,</w:t>
            </w:r>
            <w:r w:rsidR="00DC075D" w:rsidRPr="00B87C41">
              <w:t>5*5=2262</w:t>
            </w:r>
            <w:r w:rsidR="009B22AA" w:rsidRPr="00B87C41">
              <w:t>,</w:t>
            </w:r>
            <w:r w:rsidR="00DC075D" w:rsidRPr="00B87C41">
              <w:t>5</w:t>
            </w:r>
            <w:r w:rsidR="00C67369" w:rsidRPr="00B87C41">
              <w:t xml:space="preserve"> EUR</w:t>
            </w:r>
          </w:p>
        </w:tc>
      </w:tr>
      <w:tr w:rsidR="00B87C41" w:rsidRPr="00B87C41" w:rsidTr="005E550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4.</w:t>
            </w:r>
          </w:p>
        </w:tc>
        <w:tc>
          <w:tcPr>
            <w:tcW w:w="155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jc w:val="both"/>
            </w:pPr>
            <w:r w:rsidRPr="00B87C41">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E550D" w:rsidRPr="00B87C41" w:rsidRDefault="005E550D" w:rsidP="008F642E">
            <w:pPr>
              <w:pStyle w:val="tvhtml"/>
              <w:ind w:left="208" w:right="138"/>
              <w:jc w:val="both"/>
              <w:rPr>
                <w:lang w:val="lv-LV"/>
              </w:rPr>
            </w:pPr>
            <w:r w:rsidRPr="00B87C41">
              <w:rPr>
                <w:lang w:val="lv-LV"/>
              </w:rPr>
              <w:t>Nav</w:t>
            </w:r>
          </w:p>
        </w:tc>
      </w:tr>
    </w:tbl>
    <w:p w:rsidR="003F68CD" w:rsidRPr="00B87C41" w:rsidRDefault="003F68CD" w:rsidP="00DC00F5">
      <w:pPr>
        <w:pStyle w:val="tvhtml"/>
        <w:spacing w:before="0" w:beforeAutospacing="0" w:after="0" w:afterAutospacing="0"/>
        <w:jc w:val="both"/>
        <w:rPr>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85"/>
        <w:gridCol w:w="1233"/>
        <w:gridCol w:w="1337"/>
        <w:gridCol w:w="1234"/>
        <w:gridCol w:w="1234"/>
        <w:gridCol w:w="1396"/>
      </w:tblGrid>
      <w:tr w:rsidR="00B87C41" w:rsidRPr="00B87C41" w:rsidTr="003F68CD">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b/>
                <w:bCs/>
                <w:lang w:val="lv-LV"/>
              </w:rPr>
            </w:pPr>
            <w:r w:rsidRPr="00B87C41">
              <w:rPr>
                <w:b/>
                <w:bCs/>
                <w:lang w:val="lv-LV"/>
              </w:rPr>
              <w:t>III. Tiesību akta projekta ietekme uz valsts budžetu un pašvaldību budžetiem</w:t>
            </w:r>
          </w:p>
        </w:tc>
      </w:tr>
      <w:tr w:rsidR="00B87C41" w:rsidRPr="00B87C41" w:rsidTr="00A40D4F">
        <w:trPr>
          <w:tblCellSpacing w:w="15" w:type="dxa"/>
          <w:jc w:val="center"/>
        </w:trPr>
        <w:tc>
          <w:tcPr>
            <w:tcW w:w="1506" w:type="pct"/>
            <w:vMerge w:val="restar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b/>
                <w:bCs/>
                <w:lang w:val="lv-LV"/>
              </w:rPr>
            </w:pPr>
            <w:r w:rsidRPr="00B87C41">
              <w:rPr>
                <w:b/>
                <w:bCs/>
                <w:lang w:val="lv-LV"/>
              </w:rPr>
              <w:t>Rādītāji</w:t>
            </w:r>
          </w:p>
        </w:tc>
        <w:tc>
          <w:tcPr>
            <w:tcW w:w="138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F68CD" w:rsidRPr="00B87C41" w:rsidRDefault="002B2101" w:rsidP="00C67369">
            <w:pPr>
              <w:pStyle w:val="tvhtml"/>
              <w:jc w:val="center"/>
              <w:rPr>
                <w:b/>
                <w:bCs/>
                <w:lang w:val="lv-LV"/>
              </w:rPr>
            </w:pPr>
            <w:r w:rsidRPr="00B87C41">
              <w:rPr>
                <w:b/>
                <w:bCs/>
                <w:lang w:val="lv-LV"/>
              </w:rPr>
              <w:t>2015</w:t>
            </w:r>
          </w:p>
        </w:tc>
        <w:tc>
          <w:tcPr>
            <w:tcW w:w="2048" w:type="pct"/>
            <w:gridSpan w:val="3"/>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lang w:val="lv-LV"/>
              </w:rPr>
            </w:pPr>
            <w:r w:rsidRPr="00B87C41">
              <w:rPr>
                <w:lang w:val="lv-LV"/>
              </w:rPr>
              <w:t>Turpmākie trīs gadi (</w:t>
            </w:r>
            <w:r w:rsidRPr="00B87C41">
              <w:rPr>
                <w:i/>
                <w:iCs/>
                <w:lang w:val="lv-LV"/>
              </w:rPr>
              <w:t>euro</w:t>
            </w:r>
            <w:r w:rsidRPr="00B87C41">
              <w:rPr>
                <w:lang w:val="lv-LV"/>
              </w:rPr>
              <w:t>)</w:t>
            </w:r>
          </w:p>
        </w:tc>
      </w:tr>
      <w:tr w:rsidR="00B87C41" w:rsidRPr="00B87C41" w:rsidTr="00A40D4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jc w:val="both"/>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jc w:val="center"/>
              <w:rPr>
                <w:b/>
                <w:bCs/>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2B2101" w:rsidP="00C67369">
            <w:pPr>
              <w:pStyle w:val="tvhtml"/>
              <w:jc w:val="center"/>
              <w:rPr>
                <w:b/>
                <w:bCs/>
                <w:lang w:val="lv-LV"/>
              </w:rPr>
            </w:pPr>
            <w:r w:rsidRPr="00B87C41">
              <w:rPr>
                <w:b/>
                <w:bCs/>
                <w:lang w:val="lv-LV"/>
              </w:rPr>
              <w:t>2016</w:t>
            </w: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2B2101" w:rsidP="00C67369">
            <w:pPr>
              <w:pStyle w:val="tvhtml"/>
              <w:jc w:val="center"/>
              <w:rPr>
                <w:b/>
                <w:bCs/>
                <w:lang w:val="lv-LV"/>
              </w:rPr>
            </w:pPr>
            <w:r w:rsidRPr="00B87C41">
              <w:rPr>
                <w:b/>
                <w:bCs/>
                <w:lang w:val="lv-LV"/>
              </w:rPr>
              <w:t>2017</w:t>
            </w:r>
          </w:p>
        </w:tc>
        <w:tc>
          <w:tcPr>
            <w:tcW w:w="693"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2B2101" w:rsidP="00C67369">
            <w:pPr>
              <w:pStyle w:val="tvhtml"/>
              <w:jc w:val="center"/>
              <w:rPr>
                <w:b/>
                <w:bCs/>
                <w:lang w:val="lv-LV"/>
              </w:rPr>
            </w:pPr>
            <w:r w:rsidRPr="00B87C41">
              <w:rPr>
                <w:b/>
                <w:bCs/>
                <w:lang w:val="lv-LV"/>
              </w:rPr>
              <w:t>2018</w:t>
            </w:r>
          </w:p>
        </w:tc>
      </w:tr>
      <w:tr w:rsidR="00B87C41" w:rsidRPr="00B87C41" w:rsidTr="00A40D4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jc w:val="both"/>
              <w:rPr>
                <w:b/>
                <w:bCs/>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pStyle w:val="tvhtml"/>
              <w:jc w:val="both"/>
              <w:rPr>
                <w:lang w:val="lv-LV"/>
              </w:rPr>
            </w:pPr>
            <w:r w:rsidRPr="00B87C41">
              <w:rPr>
                <w:lang w:val="lv-LV"/>
              </w:rPr>
              <w:t>saskaņā ar valsts budžetu kārtējam gadam</w:t>
            </w:r>
          </w:p>
        </w:tc>
        <w:tc>
          <w:tcPr>
            <w:tcW w:w="703"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pStyle w:val="tvhtml"/>
              <w:jc w:val="both"/>
              <w:rPr>
                <w:lang w:val="lv-LV"/>
              </w:rPr>
            </w:pPr>
            <w:r w:rsidRPr="00B87C41">
              <w:rPr>
                <w:lang w:val="lv-LV"/>
              </w:rPr>
              <w:t>izmaiņas kārtējā gadā, salīdzinot ar valsts budžetu kārtējam gadam</w:t>
            </w: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pStyle w:val="tvhtml"/>
              <w:jc w:val="both"/>
              <w:rPr>
                <w:lang w:val="lv-LV"/>
              </w:rPr>
            </w:pPr>
            <w:r w:rsidRPr="00B87C41">
              <w:rPr>
                <w:lang w:val="lv-LV"/>
              </w:rPr>
              <w:t>iz</w:t>
            </w:r>
            <w:r w:rsidR="004E4347" w:rsidRPr="00B87C41">
              <w:rPr>
                <w:lang w:val="lv-LV"/>
              </w:rPr>
              <w:t>maiņas, salīdzinot ar kārtējo (2015</w:t>
            </w:r>
            <w:r w:rsidRPr="00B87C41">
              <w:rPr>
                <w:lang w:val="lv-LV"/>
              </w:rPr>
              <w:t>) gadu</w:t>
            </w: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pStyle w:val="tvhtml"/>
              <w:jc w:val="both"/>
              <w:rPr>
                <w:lang w:val="lv-LV"/>
              </w:rPr>
            </w:pPr>
            <w:r w:rsidRPr="00B87C41">
              <w:rPr>
                <w:lang w:val="lv-LV"/>
              </w:rPr>
              <w:t>iz</w:t>
            </w:r>
            <w:r w:rsidR="004E4347" w:rsidRPr="00B87C41">
              <w:rPr>
                <w:lang w:val="lv-LV"/>
              </w:rPr>
              <w:t>maiņas, salīdzinot ar kārtējo (2015</w:t>
            </w:r>
            <w:r w:rsidRPr="00B87C41">
              <w:rPr>
                <w:lang w:val="lv-LV"/>
              </w:rPr>
              <w:t>) gadu</w:t>
            </w:r>
          </w:p>
        </w:tc>
        <w:tc>
          <w:tcPr>
            <w:tcW w:w="693"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pStyle w:val="tvhtml"/>
              <w:jc w:val="both"/>
              <w:rPr>
                <w:lang w:val="lv-LV"/>
              </w:rPr>
            </w:pPr>
            <w:r w:rsidRPr="00B87C41">
              <w:rPr>
                <w:lang w:val="lv-LV"/>
              </w:rPr>
              <w:t>iz</w:t>
            </w:r>
            <w:r w:rsidR="004E4347" w:rsidRPr="00B87C41">
              <w:rPr>
                <w:lang w:val="lv-LV"/>
              </w:rPr>
              <w:t>maiņas, salīdzinot ar kārtējo (2015</w:t>
            </w:r>
            <w:r w:rsidRPr="00B87C41">
              <w:rPr>
                <w:lang w:val="lv-LV"/>
              </w:rPr>
              <w:t>) gadu</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lang w:val="lv-LV"/>
              </w:rPr>
            </w:pPr>
            <w:r w:rsidRPr="00B87C41">
              <w:rPr>
                <w:lang w:val="lv-LV"/>
              </w:rPr>
              <w:t>1</w:t>
            </w: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lang w:val="lv-LV"/>
              </w:rPr>
            </w:pPr>
            <w:r w:rsidRPr="00B87C41">
              <w:rPr>
                <w:lang w:val="lv-LV"/>
              </w:rPr>
              <w:t>2</w:t>
            </w:r>
          </w:p>
        </w:tc>
        <w:tc>
          <w:tcPr>
            <w:tcW w:w="703"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lang w:val="lv-LV"/>
              </w:rPr>
            </w:pPr>
            <w:r w:rsidRPr="00B87C41">
              <w:rPr>
                <w:lang w:val="lv-LV"/>
              </w:rPr>
              <w:t>3</w:t>
            </w: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lang w:val="lv-LV"/>
              </w:rPr>
            </w:pPr>
            <w:r w:rsidRPr="00B87C41">
              <w:rPr>
                <w:lang w:val="lv-LV"/>
              </w:rPr>
              <w:t>4</w:t>
            </w: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lang w:val="lv-LV"/>
              </w:rPr>
            </w:pPr>
            <w:r w:rsidRPr="00B87C41">
              <w:rPr>
                <w:lang w:val="lv-LV"/>
              </w:rPr>
              <w:t>5</w:t>
            </w:r>
          </w:p>
        </w:tc>
        <w:tc>
          <w:tcPr>
            <w:tcW w:w="693"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pStyle w:val="tvhtml"/>
              <w:jc w:val="center"/>
              <w:rPr>
                <w:lang w:val="lv-LV"/>
              </w:rPr>
            </w:pPr>
            <w:r w:rsidRPr="00B87C41">
              <w:rPr>
                <w:lang w:val="lv-LV"/>
              </w:rPr>
              <w:t>6</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1. Budžeta ieņēmumi:</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p>
        </w:tc>
      </w:tr>
      <w:tr w:rsidR="00B87C41" w:rsidRPr="00B87C41" w:rsidTr="00413B0A">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1.1. valsts pamatbudžets, tai skaitā ieņēmumi no maksas pakalpojumiem un citi pašu ieņēmumi</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 </w:t>
            </w:r>
            <w:r w:rsidR="004E4347" w:rsidRPr="00B87C41">
              <w:t>919739</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9D25C2" w:rsidP="008F642E">
            <w:pPr>
              <w:jc w:val="both"/>
            </w:pPr>
            <w:r w:rsidRPr="00B87C41">
              <w:t>0</w:t>
            </w:r>
          </w:p>
        </w:tc>
        <w:tc>
          <w:tcPr>
            <w:tcW w:w="661" w:type="pct"/>
            <w:tcBorders>
              <w:top w:val="outset" w:sz="6" w:space="0" w:color="auto"/>
              <w:left w:val="outset" w:sz="6" w:space="0" w:color="auto"/>
              <w:bottom w:val="outset" w:sz="6" w:space="0" w:color="auto"/>
              <w:right w:val="outset" w:sz="6" w:space="0" w:color="auto"/>
            </w:tcBorders>
          </w:tcPr>
          <w:p w:rsidR="003F68CD" w:rsidRPr="00B87C41" w:rsidRDefault="004E4347" w:rsidP="008F642E">
            <w:pPr>
              <w:jc w:val="both"/>
            </w:pPr>
            <w:r w:rsidRPr="00B87C41">
              <w:t>937611</w:t>
            </w:r>
          </w:p>
        </w:tc>
        <w:tc>
          <w:tcPr>
            <w:tcW w:w="661" w:type="pct"/>
            <w:tcBorders>
              <w:top w:val="outset" w:sz="6" w:space="0" w:color="auto"/>
              <w:left w:val="outset" w:sz="6" w:space="0" w:color="auto"/>
              <w:bottom w:val="outset" w:sz="6" w:space="0" w:color="auto"/>
              <w:right w:val="outset" w:sz="6" w:space="0" w:color="auto"/>
            </w:tcBorders>
          </w:tcPr>
          <w:p w:rsidR="003F68CD" w:rsidRPr="00B87C41" w:rsidRDefault="004E4347" w:rsidP="008F642E">
            <w:pPr>
              <w:jc w:val="both"/>
            </w:pPr>
            <w:r w:rsidRPr="00B87C41">
              <w:t>940394</w:t>
            </w:r>
          </w:p>
        </w:tc>
        <w:tc>
          <w:tcPr>
            <w:tcW w:w="693" w:type="pct"/>
            <w:tcBorders>
              <w:top w:val="outset" w:sz="6" w:space="0" w:color="auto"/>
              <w:left w:val="outset" w:sz="6" w:space="0" w:color="auto"/>
              <w:bottom w:val="outset" w:sz="6" w:space="0" w:color="auto"/>
              <w:right w:val="outset" w:sz="6" w:space="0" w:color="auto"/>
            </w:tcBorders>
          </w:tcPr>
          <w:p w:rsidR="003F68CD" w:rsidRPr="00B87C41" w:rsidRDefault="004E4347" w:rsidP="008F642E">
            <w:pPr>
              <w:jc w:val="both"/>
            </w:pPr>
            <w:r w:rsidRPr="00B87C41">
              <w:t>940394</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1.2. valsts speciālais budžets</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A40D4F" w:rsidRPr="00B87C41" w:rsidRDefault="00A40D4F" w:rsidP="008F642E">
            <w:pPr>
              <w:jc w:val="both"/>
            </w:pPr>
            <w:r w:rsidRPr="00B87C41">
              <w:t>1.3. pašvaldību budžets</w:t>
            </w:r>
          </w:p>
        </w:tc>
        <w:tc>
          <w:tcPr>
            <w:tcW w:w="661" w:type="pct"/>
            <w:tcBorders>
              <w:top w:val="outset" w:sz="6" w:space="0" w:color="auto"/>
              <w:left w:val="outset" w:sz="6" w:space="0" w:color="auto"/>
              <w:bottom w:val="outset" w:sz="6" w:space="0" w:color="auto"/>
              <w:right w:val="outset" w:sz="6" w:space="0" w:color="auto"/>
            </w:tcBorders>
            <w:hideMark/>
          </w:tcPr>
          <w:p w:rsidR="00A40D4F" w:rsidRPr="00B87C41" w:rsidRDefault="00A40D4F" w:rsidP="00C67369">
            <w:pPr>
              <w:jc w:val="center"/>
            </w:pPr>
            <w:r w:rsidRPr="00B87C41">
              <w:t>Nav precīzi aprēķināms</w:t>
            </w:r>
          </w:p>
        </w:tc>
        <w:tc>
          <w:tcPr>
            <w:tcW w:w="703" w:type="pct"/>
            <w:tcBorders>
              <w:top w:val="outset" w:sz="6" w:space="0" w:color="auto"/>
              <w:left w:val="outset" w:sz="6" w:space="0" w:color="auto"/>
              <w:bottom w:val="outset" w:sz="6" w:space="0" w:color="auto"/>
              <w:right w:val="outset" w:sz="6" w:space="0" w:color="auto"/>
            </w:tcBorders>
            <w:hideMark/>
          </w:tcPr>
          <w:p w:rsidR="00A40D4F" w:rsidRPr="00B87C41" w:rsidRDefault="00A40D4F"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A40D4F" w:rsidRPr="00B87C41" w:rsidRDefault="00A40D4F" w:rsidP="00C67369">
            <w:pPr>
              <w:jc w:val="center"/>
            </w:pPr>
            <w:r w:rsidRPr="00B87C41">
              <w:t>Nav precīzi aprēķināms</w:t>
            </w:r>
          </w:p>
        </w:tc>
        <w:tc>
          <w:tcPr>
            <w:tcW w:w="661" w:type="pct"/>
            <w:tcBorders>
              <w:top w:val="outset" w:sz="6" w:space="0" w:color="auto"/>
              <w:left w:val="outset" w:sz="6" w:space="0" w:color="auto"/>
              <w:bottom w:val="outset" w:sz="6" w:space="0" w:color="auto"/>
              <w:right w:val="outset" w:sz="6" w:space="0" w:color="auto"/>
            </w:tcBorders>
            <w:hideMark/>
          </w:tcPr>
          <w:p w:rsidR="00A40D4F" w:rsidRPr="00B87C41" w:rsidRDefault="00A40D4F" w:rsidP="00C67369">
            <w:pPr>
              <w:jc w:val="center"/>
            </w:pPr>
            <w:r w:rsidRPr="00B87C41">
              <w:t>Nav precīzi aprēķināms</w:t>
            </w:r>
          </w:p>
        </w:tc>
        <w:tc>
          <w:tcPr>
            <w:tcW w:w="693" w:type="pct"/>
            <w:tcBorders>
              <w:top w:val="outset" w:sz="6" w:space="0" w:color="auto"/>
              <w:left w:val="outset" w:sz="6" w:space="0" w:color="auto"/>
              <w:bottom w:val="outset" w:sz="6" w:space="0" w:color="auto"/>
              <w:right w:val="outset" w:sz="6" w:space="0" w:color="auto"/>
            </w:tcBorders>
            <w:hideMark/>
          </w:tcPr>
          <w:p w:rsidR="00A40D4F" w:rsidRPr="00B87C41" w:rsidRDefault="00A40D4F" w:rsidP="00C67369">
            <w:pPr>
              <w:jc w:val="center"/>
            </w:pPr>
            <w:r w:rsidRPr="00B87C41">
              <w:t>Nav precīzi aprēķināms</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2. Budžeta izdevumi:</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2.1. valsts pamatbudžets</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919739</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937611</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940394</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940394</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2.2. valsts speciālais budžets</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2.3. pašvaldību budžets</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Nav precīzi aprēķināms</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Nav precīzi aprēķināms</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Nav precīzi aprēķināms</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Nav precīzi aprēķināms</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3. Finansiālā ietekme:</w:t>
            </w:r>
          </w:p>
        </w:tc>
        <w:tc>
          <w:tcPr>
            <w:tcW w:w="661" w:type="pct"/>
            <w:tcBorders>
              <w:top w:val="outset" w:sz="6" w:space="0" w:color="auto"/>
              <w:left w:val="outset" w:sz="6" w:space="0" w:color="auto"/>
              <w:bottom w:val="outset" w:sz="6" w:space="0" w:color="auto"/>
              <w:right w:val="outset" w:sz="6" w:space="0" w:color="auto"/>
            </w:tcBorders>
            <w:vAlign w:val="center"/>
            <w:hideMark/>
          </w:tcPr>
          <w:p w:rsidR="003F68CD" w:rsidRPr="00B87C41" w:rsidRDefault="004E4347" w:rsidP="00C67369">
            <w:pPr>
              <w:jc w:val="center"/>
            </w:pPr>
            <w:r w:rsidRPr="00B87C41">
              <w:t>0</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3.1. valsts pamatbudžets</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3.2. speciālais budžets</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A40D4F" w:rsidRPr="00B87C41" w:rsidRDefault="00A40D4F" w:rsidP="008F642E">
            <w:pPr>
              <w:jc w:val="both"/>
            </w:pPr>
            <w:r w:rsidRPr="00B87C41">
              <w:t>3.3. pašvaldību budžets</w:t>
            </w:r>
          </w:p>
        </w:tc>
        <w:tc>
          <w:tcPr>
            <w:tcW w:w="661" w:type="pct"/>
            <w:tcBorders>
              <w:top w:val="outset" w:sz="6" w:space="0" w:color="auto"/>
              <w:left w:val="outset" w:sz="6" w:space="0" w:color="auto"/>
              <w:bottom w:val="outset" w:sz="6" w:space="0" w:color="auto"/>
              <w:right w:val="outset" w:sz="6" w:space="0" w:color="auto"/>
            </w:tcBorders>
            <w:hideMark/>
          </w:tcPr>
          <w:p w:rsidR="00A40D4F" w:rsidRPr="00B87C41" w:rsidRDefault="00214FA8" w:rsidP="00C67369">
            <w:pPr>
              <w:jc w:val="center"/>
            </w:pPr>
            <w:r w:rsidRPr="00B87C41">
              <w:t>0</w:t>
            </w:r>
          </w:p>
        </w:tc>
        <w:tc>
          <w:tcPr>
            <w:tcW w:w="703" w:type="pct"/>
            <w:tcBorders>
              <w:top w:val="outset" w:sz="6" w:space="0" w:color="auto"/>
              <w:left w:val="outset" w:sz="6" w:space="0" w:color="auto"/>
              <w:bottom w:val="outset" w:sz="6" w:space="0" w:color="auto"/>
              <w:right w:val="outset" w:sz="6" w:space="0" w:color="auto"/>
            </w:tcBorders>
            <w:hideMark/>
          </w:tcPr>
          <w:p w:rsidR="00A40D4F" w:rsidRPr="00B87C41" w:rsidRDefault="00A40D4F"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A40D4F" w:rsidRPr="00B87C41" w:rsidRDefault="00214FA8"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A40D4F" w:rsidRPr="00B87C41" w:rsidRDefault="00214FA8"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A40D4F" w:rsidRPr="00B87C41" w:rsidRDefault="00214FA8" w:rsidP="00C67369">
            <w:pPr>
              <w:jc w:val="center"/>
            </w:pPr>
            <w:r w:rsidRPr="00B87C41">
              <w:t>0</w:t>
            </w:r>
          </w:p>
        </w:tc>
      </w:tr>
      <w:tr w:rsidR="00B87C41" w:rsidRPr="00B87C41" w:rsidTr="00A40D4F">
        <w:trPr>
          <w:tblCellSpacing w:w="15" w:type="dxa"/>
          <w:jc w:val="center"/>
        </w:trPr>
        <w:tc>
          <w:tcPr>
            <w:tcW w:w="1506" w:type="pct"/>
            <w:vMerge w:val="restar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4. Finanšu līdzekļi papildu izdevumu finansēšanai (kompensējošu izdevumu samazinājumu norāda ar "+" zīmi)</w:t>
            </w:r>
          </w:p>
        </w:tc>
        <w:tc>
          <w:tcPr>
            <w:tcW w:w="661" w:type="pct"/>
            <w:vMerge w:val="restar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pStyle w:val="tvhtml"/>
              <w:jc w:val="center"/>
              <w:rPr>
                <w:lang w:val="lv-LV"/>
              </w:rPr>
            </w:pPr>
            <w:r w:rsidRPr="00B87C41">
              <w:rPr>
                <w:lang w:val="lv-LV"/>
              </w:rPr>
              <w:t>X</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r>
      <w:tr w:rsidR="00B87C41" w:rsidRPr="00B87C41" w:rsidTr="00A40D4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jc w:val="center"/>
            </w:pP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8F642E">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jc w:val="center"/>
            </w:pP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5. Precizēta finansiālā ietekme:</w:t>
            </w:r>
          </w:p>
        </w:tc>
        <w:tc>
          <w:tcPr>
            <w:tcW w:w="661" w:type="pct"/>
            <w:vMerge w:val="restart"/>
            <w:tcBorders>
              <w:top w:val="outset" w:sz="6" w:space="0" w:color="auto"/>
              <w:left w:val="outset" w:sz="6" w:space="0" w:color="auto"/>
              <w:bottom w:val="outset" w:sz="6" w:space="0" w:color="auto"/>
              <w:right w:val="outset" w:sz="6" w:space="0" w:color="auto"/>
            </w:tcBorders>
            <w:hideMark/>
          </w:tcPr>
          <w:p w:rsidR="003F68CD" w:rsidRPr="00B87C41" w:rsidRDefault="00A40D4F" w:rsidP="00C67369">
            <w:pPr>
              <w:pStyle w:val="tvhtml"/>
              <w:jc w:val="center"/>
              <w:rPr>
                <w:lang w:val="lv-LV"/>
              </w:rPr>
            </w:pPr>
            <w:r w:rsidRPr="00B87C41">
              <w:rPr>
                <w:lang w:val="lv-LV"/>
              </w:rPr>
              <w:t>X</w:t>
            </w: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9D25C2"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A40D4F"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A40D4F"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A40D4F"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jc w:val="center"/>
            </w:pP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jc w:val="center"/>
            </w:pP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4E4347" w:rsidP="00C67369">
            <w:pPr>
              <w:jc w:val="center"/>
            </w:pPr>
            <w:r w:rsidRPr="00B87C41">
              <w:t>0</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C67369">
            <w:pPr>
              <w:jc w:val="center"/>
            </w:pPr>
          </w:p>
        </w:tc>
        <w:tc>
          <w:tcPr>
            <w:tcW w:w="70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61"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c>
          <w:tcPr>
            <w:tcW w:w="693" w:type="pct"/>
            <w:tcBorders>
              <w:top w:val="outset" w:sz="6" w:space="0" w:color="auto"/>
              <w:left w:val="outset" w:sz="6" w:space="0" w:color="auto"/>
              <w:bottom w:val="outset" w:sz="6" w:space="0" w:color="auto"/>
              <w:right w:val="outset" w:sz="6" w:space="0" w:color="auto"/>
            </w:tcBorders>
            <w:hideMark/>
          </w:tcPr>
          <w:p w:rsidR="003F68CD" w:rsidRPr="00B87C41" w:rsidRDefault="003F68CD" w:rsidP="00C67369">
            <w:pPr>
              <w:jc w:val="center"/>
            </w:pP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6. Detalizēts ieņēmumu un izdevumu aprēķins (ja nepieciešams, detalizētu ieņēmumu un izdevumu aprēķinu var pievienot anotācijas pielikumā):</w:t>
            </w:r>
          </w:p>
        </w:tc>
        <w:tc>
          <w:tcPr>
            <w:tcW w:w="3445"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DC00F5">
            <w:pPr>
              <w:ind w:left="207"/>
              <w:jc w:val="both"/>
            </w:pPr>
          </w:p>
          <w:p w:rsidR="00214FA8" w:rsidRPr="00B87C41" w:rsidRDefault="00214FA8" w:rsidP="00DC00F5">
            <w:pPr>
              <w:ind w:left="207"/>
              <w:jc w:val="both"/>
            </w:pPr>
            <w:r w:rsidRPr="00B87C41">
              <w:t>Saskaņā ar likumu</w:t>
            </w:r>
            <w:r w:rsidR="00C67369" w:rsidRPr="00B87C41">
              <w:t xml:space="preserve"> „</w:t>
            </w:r>
            <w:r w:rsidRPr="00B87C41">
              <w:t>Par valsts budžetu 2015.</w:t>
            </w:r>
            <w:r w:rsidR="00C67369" w:rsidRPr="00B87C41">
              <w:t> </w:t>
            </w:r>
            <w:r w:rsidRPr="00B87C41">
              <w:t xml:space="preserve">gadam” un likumu </w:t>
            </w:r>
            <w:r w:rsidR="00C67369" w:rsidRPr="00B87C41">
              <w:t>„</w:t>
            </w:r>
            <w:r w:rsidRPr="00B87C41">
              <w:rPr>
                <w:bCs/>
                <w:shd w:val="clear" w:color="auto" w:fill="FFFFFF"/>
              </w:rPr>
              <w:t>Par vidēja termiņa budžeta ietvaru 2015., 2016. un 2017.</w:t>
            </w:r>
            <w:r w:rsidR="00C67369" w:rsidRPr="00B87C41">
              <w:rPr>
                <w:bCs/>
                <w:shd w:val="clear" w:color="auto" w:fill="FFFFFF"/>
              </w:rPr>
              <w:t> </w:t>
            </w:r>
            <w:r w:rsidRPr="00B87C41">
              <w:rPr>
                <w:bCs/>
                <w:shd w:val="clear" w:color="auto" w:fill="FFFFFF"/>
              </w:rPr>
              <w:t xml:space="preserve">gadam”, </w:t>
            </w:r>
            <w:r w:rsidRPr="00B87C41">
              <w:t>Vides aizsardzības un reģionālās attīstības ministrijai Valsts un pašvaldību vienoto klientu apkalpošanas centru izveidei paredzēt</w:t>
            </w:r>
            <w:r w:rsidR="00D54190" w:rsidRPr="00B87C41">
              <w:t>s</w:t>
            </w:r>
            <w:r w:rsidRPr="00B87C41">
              <w:t xml:space="preserve"> finansējums 2015.gadā</w:t>
            </w:r>
            <w:r w:rsidR="00413762" w:rsidRPr="00B87C41">
              <w:t xml:space="preserve"> </w:t>
            </w:r>
            <w:r w:rsidRPr="00B87C41">
              <w:t xml:space="preserve">919 739 </w:t>
            </w:r>
            <w:r w:rsidRPr="00B87C41">
              <w:rPr>
                <w:i/>
              </w:rPr>
              <w:t>euro</w:t>
            </w:r>
            <w:r w:rsidR="00C67369" w:rsidRPr="00B87C41">
              <w:t xml:space="preserve">, 2016. gadā </w:t>
            </w:r>
            <w:r w:rsidRPr="00B87C41">
              <w:t xml:space="preserve">937 611 </w:t>
            </w:r>
            <w:r w:rsidRPr="00B87C41">
              <w:rPr>
                <w:i/>
              </w:rPr>
              <w:t>euro</w:t>
            </w:r>
            <w:r w:rsidRPr="00B87C41">
              <w:t xml:space="preserve"> un 2017.</w:t>
            </w:r>
            <w:r w:rsidR="00C67369" w:rsidRPr="00B87C41">
              <w:t> </w:t>
            </w:r>
            <w:r w:rsidRPr="00B87C41">
              <w:t>gadā 940 394</w:t>
            </w:r>
            <w:r w:rsidRPr="00B87C41">
              <w:rPr>
                <w:i/>
              </w:rPr>
              <w:t xml:space="preserve"> euro</w:t>
            </w:r>
            <w:r w:rsidRPr="00B87C41">
              <w:t>.</w:t>
            </w:r>
            <w:r w:rsidR="00A9489D" w:rsidRPr="00B87C41">
              <w:t xml:space="preserve"> </w:t>
            </w:r>
            <w:r w:rsidRPr="00B87C41">
              <w:t>Savukārt</w:t>
            </w:r>
            <w:r w:rsidR="00BD2E70" w:rsidRPr="00B87C41">
              <w:t xml:space="preserve"> Ministru kabineta </w:t>
            </w:r>
            <w:r w:rsidR="00A9489D" w:rsidRPr="00B87C41">
              <w:t>2015.</w:t>
            </w:r>
            <w:r w:rsidR="00C67369" w:rsidRPr="00B87C41">
              <w:t> </w:t>
            </w:r>
            <w:r w:rsidR="00A9489D" w:rsidRPr="00B87C41">
              <w:t>gada 17.</w:t>
            </w:r>
            <w:r w:rsidR="00C67369" w:rsidRPr="00B87C41">
              <w:t> </w:t>
            </w:r>
            <w:r w:rsidR="00A9489D" w:rsidRPr="00B87C41">
              <w:t>marta (prot.</w:t>
            </w:r>
            <w:r w:rsidR="00C67369" w:rsidRPr="00B87C41">
              <w:t xml:space="preserve"> </w:t>
            </w:r>
            <w:r w:rsidR="00A9489D" w:rsidRPr="00B87C41">
              <w:t>Nr.</w:t>
            </w:r>
            <w:r w:rsidR="00C67369" w:rsidRPr="00B87C41">
              <w:t> </w:t>
            </w:r>
            <w:r w:rsidR="00A9489D" w:rsidRPr="00B87C41">
              <w:t xml:space="preserve">15, </w:t>
            </w:r>
            <w:bookmarkStart w:id="1" w:name="30"/>
            <w:r w:rsidR="00A9489D" w:rsidRPr="00B87C41">
              <w:rPr>
                <w:bCs/>
                <w:shd w:val="clear" w:color="auto" w:fill="FFFFFF"/>
              </w:rPr>
              <w:t>30.§</w:t>
            </w:r>
            <w:bookmarkEnd w:id="1"/>
            <w:r w:rsidR="00A9489D" w:rsidRPr="00B87C41">
              <w:t xml:space="preserve">) </w:t>
            </w:r>
            <w:r w:rsidR="00BD2E70" w:rsidRPr="00B87C41">
              <w:t>sēd</w:t>
            </w:r>
            <w:r w:rsidR="00D54190" w:rsidRPr="00B87C41">
              <w:t>ē</w:t>
            </w:r>
            <w:r w:rsidR="00A9489D" w:rsidRPr="00B87C41">
              <w:t xml:space="preserve"> tik</w:t>
            </w:r>
            <w:r w:rsidR="00BD2E70" w:rsidRPr="00B87C41">
              <w:t xml:space="preserve"> apstiprinātā valsts budžeta izdevuma bāze 2018.</w:t>
            </w:r>
            <w:r w:rsidR="00C67369" w:rsidRPr="00B87C41">
              <w:t> </w:t>
            </w:r>
            <w:r w:rsidR="00BD2E70" w:rsidRPr="00B87C41">
              <w:t xml:space="preserve">gadam, kur </w:t>
            </w:r>
            <w:r w:rsidR="00D54190" w:rsidRPr="00B87C41">
              <w:t xml:space="preserve">minētā pasākuma </w:t>
            </w:r>
            <w:r w:rsidR="00A9489D" w:rsidRPr="00B87C41">
              <w:t>paredzēt</w:t>
            </w:r>
            <w:r w:rsidR="00FC6BF5" w:rsidRPr="00B87C41">
              <w:t>ā</w:t>
            </w:r>
            <w:r w:rsidR="00A9489D" w:rsidRPr="00B87C41">
              <w:t xml:space="preserve"> </w:t>
            </w:r>
            <w:r w:rsidR="00BD2E70" w:rsidRPr="00B87C41">
              <w:t>finansējum</w:t>
            </w:r>
            <w:r w:rsidR="00413762" w:rsidRPr="00B87C41">
              <w:t>a</w:t>
            </w:r>
            <w:r w:rsidR="00BD2E70" w:rsidRPr="00B87C41">
              <w:t xml:space="preserve"> </w:t>
            </w:r>
            <w:r w:rsidR="00413762" w:rsidRPr="00B87C41">
              <w:t>apmērs</w:t>
            </w:r>
            <w:r w:rsidR="005F6F6B" w:rsidRPr="00B87C41">
              <w:t xml:space="preserve"> </w:t>
            </w:r>
            <w:r w:rsidR="00BD2E70" w:rsidRPr="00B87C41">
              <w:t>940 394</w:t>
            </w:r>
            <w:r w:rsidR="00BD2E70" w:rsidRPr="00B87C41">
              <w:rPr>
                <w:i/>
              </w:rPr>
              <w:t xml:space="preserve"> euro</w:t>
            </w:r>
            <w:r w:rsidR="00413762" w:rsidRPr="00B87C41">
              <w:rPr>
                <w:i/>
              </w:rPr>
              <w:t>.</w:t>
            </w: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DC00F5">
            <w:pPr>
              <w:ind w:left="207"/>
              <w:jc w:val="both"/>
            </w:pPr>
          </w:p>
        </w:tc>
      </w:tr>
      <w:tr w:rsidR="00B87C41" w:rsidRPr="00B87C41" w:rsidTr="00A40D4F">
        <w:trPr>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F68CD" w:rsidRPr="00B87C41" w:rsidRDefault="003F68CD" w:rsidP="00DC00F5">
            <w:pPr>
              <w:ind w:left="207"/>
              <w:jc w:val="both"/>
            </w:pPr>
          </w:p>
        </w:tc>
      </w:tr>
      <w:tr w:rsidR="00B87C41" w:rsidRPr="00B87C41" w:rsidTr="00A40D4F">
        <w:trPr>
          <w:trHeight w:val="555"/>
          <w:tblCellSpacing w:w="15" w:type="dxa"/>
          <w:jc w:val="center"/>
        </w:trPr>
        <w:tc>
          <w:tcPr>
            <w:tcW w:w="1506" w:type="pct"/>
            <w:tcBorders>
              <w:top w:val="outset" w:sz="6" w:space="0" w:color="auto"/>
              <w:left w:val="outset" w:sz="6" w:space="0" w:color="auto"/>
              <w:bottom w:val="outset" w:sz="6" w:space="0" w:color="auto"/>
              <w:right w:val="outset" w:sz="6" w:space="0" w:color="auto"/>
            </w:tcBorders>
            <w:hideMark/>
          </w:tcPr>
          <w:p w:rsidR="003F68CD" w:rsidRPr="00B87C41" w:rsidRDefault="003F68CD" w:rsidP="008F642E">
            <w:pPr>
              <w:jc w:val="both"/>
            </w:pPr>
            <w:r w:rsidRPr="00B87C41">
              <w:t>7. Cita informācija</w:t>
            </w:r>
          </w:p>
        </w:tc>
        <w:tc>
          <w:tcPr>
            <w:tcW w:w="3445" w:type="pct"/>
            <w:gridSpan w:val="5"/>
            <w:tcBorders>
              <w:top w:val="outset" w:sz="6" w:space="0" w:color="auto"/>
              <w:left w:val="outset" w:sz="6" w:space="0" w:color="auto"/>
              <w:bottom w:val="outset" w:sz="6" w:space="0" w:color="auto"/>
              <w:right w:val="outset" w:sz="6" w:space="0" w:color="auto"/>
            </w:tcBorders>
            <w:hideMark/>
          </w:tcPr>
          <w:p w:rsidR="003F68CD" w:rsidRPr="00B87C41" w:rsidRDefault="002B2101" w:rsidP="00DC00F5">
            <w:pPr>
              <w:pStyle w:val="tvhtml"/>
              <w:ind w:left="207"/>
              <w:jc w:val="both"/>
              <w:rPr>
                <w:lang w:val="lv-LV"/>
              </w:rPr>
            </w:pPr>
            <w:r w:rsidRPr="00B87C41">
              <w:rPr>
                <w:lang w:val="lv-LV"/>
              </w:rPr>
              <w:t>Atbilstoši Ministru kabineta 2009.</w:t>
            </w:r>
            <w:r w:rsidR="00C67369" w:rsidRPr="00B87C41">
              <w:rPr>
                <w:lang w:val="lv-LV"/>
              </w:rPr>
              <w:t> </w:t>
            </w:r>
            <w:r w:rsidRPr="00B87C41">
              <w:rPr>
                <w:lang w:val="lv-LV"/>
              </w:rPr>
              <w:t>gada 15.</w:t>
            </w:r>
            <w:r w:rsidR="00C67369" w:rsidRPr="00B87C41">
              <w:rPr>
                <w:lang w:val="lv-LV"/>
              </w:rPr>
              <w:t> </w:t>
            </w:r>
            <w:r w:rsidRPr="00B87C41">
              <w:rPr>
                <w:lang w:val="lv-LV"/>
              </w:rPr>
              <w:t>decembra instrukcija Nr.</w:t>
            </w:r>
            <w:r w:rsidR="00C67369" w:rsidRPr="00B87C41">
              <w:rPr>
                <w:lang w:val="lv-LV"/>
              </w:rPr>
              <w:t> </w:t>
            </w:r>
            <w:r w:rsidRPr="00B87C41">
              <w:rPr>
                <w:lang w:val="lv-LV"/>
              </w:rPr>
              <w:t>19 33.</w:t>
            </w:r>
            <w:r w:rsidR="00C67369" w:rsidRPr="00B87C41">
              <w:rPr>
                <w:lang w:val="lv-LV"/>
              </w:rPr>
              <w:t> </w:t>
            </w:r>
            <w:r w:rsidRPr="00B87C41">
              <w:rPr>
                <w:lang w:val="lv-LV"/>
              </w:rPr>
              <w:t>punktā noteiktajam nav iespējams precīzi aprēķināt tiesību akta projekta ietekmi uz pašvaldību budžeta līdzek</w:t>
            </w:r>
            <w:r w:rsidR="001B56BE" w:rsidRPr="00B87C41">
              <w:rPr>
                <w:lang w:val="lv-LV"/>
              </w:rPr>
              <w:t>ļiem, jo katras pašvaldības pieteikums satur individualizētus aprē</w:t>
            </w:r>
            <w:r w:rsidR="00654312" w:rsidRPr="00B87C41">
              <w:rPr>
                <w:lang w:val="lv-LV"/>
              </w:rPr>
              <w:t xml:space="preserve">ķinus pieprasot pašvaldību budžetu un investīciju apjomus. </w:t>
            </w:r>
          </w:p>
        </w:tc>
      </w:tr>
    </w:tbl>
    <w:p w:rsidR="003F68CD" w:rsidRPr="00B87C41" w:rsidRDefault="003F68CD" w:rsidP="008F642E">
      <w:pPr>
        <w:pStyle w:val="tvhtml"/>
        <w:spacing w:before="0" w:beforeAutospacing="0" w:after="0" w:afterAutospacing="0"/>
        <w:jc w:val="both"/>
        <w:rPr>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760"/>
        <w:gridCol w:w="5959"/>
      </w:tblGrid>
      <w:tr w:rsidR="00B87C41" w:rsidRPr="00B87C41" w:rsidTr="00A9489D">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666FC" w:rsidRPr="00B87C41" w:rsidRDefault="004666FC" w:rsidP="00C67369">
            <w:pPr>
              <w:pStyle w:val="tvhtml"/>
              <w:jc w:val="center"/>
              <w:rPr>
                <w:b/>
                <w:bCs/>
                <w:lang w:val="lv-LV"/>
              </w:rPr>
            </w:pPr>
            <w:r w:rsidRPr="00B87C41">
              <w:rPr>
                <w:b/>
                <w:bCs/>
                <w:lang w:val="lv-LV"/>
              </w:rPr>
              <w:t>VI. Sabiedrības līdzdalība un komunikācijas aktivitātes</w:t>
            </w:r>
          </w:p>
        </w:tc>
      </w:tr>
      <w:tr w:rsidR="00B87C41" w:rsidRPr="00B87C41" w:rsidTr="00A9489D">
        <w:trPr>
          <w:trHeight w:val="54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1.</w:t>
            </w:r>
          </w:p>
        </w:tc>
        <w:tc>
          <w:tcPr>
            <w:tcW w:w="150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C67369">
            <w:pPr>
              <w:ind w:left="157"/>
              <w:jc w:val="both"/>
            </w:pPr>
            <w:r w:rsidRPr="00B87C41">
              <w:t>Publikācija V</w:t>
            </w:r>
            <w:r w:rsidR="00C67369" w:rsidRPr="00B87C41">
              <w:t xml:space="preserve">ARAM </w:t>
            </w:r>
            <w:r w:rsidR="00DC00F5" w:rsidRPr="00B87C41">
              <w:t>mājaslapā.</w:t>
            </w:r>
          </w:p>
          <w:p w:rsidR="004666FC" w:rsidRPr="00B87C41" w:rsidRDefault="004666FC" w:rsidP="00C67369">
            <w:pPr>
              <w:ind w:left="157"/>
              <w:jc w:val="both"/>
            </w:pPr>
            <w:r w:rsidRPr="00B87C41">
              <w:t>Tikšanās ar Latvijas Pašvaldības savienības pārstāvjiem un inf</w:t>
            </w:r>
            <w:r w:rsidR="00DC00F5" w:rsidRPr="00B87C41">
              <w:t>ormācijas sniegšana pašvaldībās.</w:t>
            </w:r>
          </w:p>
          <w:p w:rsidR="004666FC" w:rsidRPr="00B87C41" w:rsidRDefault="004666FC" w:rsidP="00C67369">
            <w:pPr>
              <w:ind w:left="157"/>
              <w:jc w:val="both"/>
            </w:pPr>
            <w:r w:rsidRPr="00B87C41">
              <w:t xml:space="preserve">Informācijas sniegšana </w:t>
            </w:r>
            <w:r w:rsidR="00DC00F5" w:rsidRPr="00B87C41">
              <w:t>2015. gada</w:t>
            </w:r>
            <w:r w:rsidRPr="00B87C41">
              <w:t xml:space="preserve"> 15.</w:t>
            </w:r>
            <w:r w:rsidR="00DC00F5" w:rsidRPr="00B87C41">
              <w:t> </w:t>
            </w:r>
            <w:r w:rsidRPr="00B87C41">
              <w:t>janvāra Daugavp</w:t>
            </w:r>
            <w:r w:rsidR="00DC00F5" w:rsidRPr="00B87C41">
              <w:t>ils cietokšņa attīstības padomē.</w:t>
            </w:r>
          </w:p>
          <w:p w:rsidR="004666FC" w:rsidRPr="00B87C41" w:rsidRDefault="004666FC" w:rsidP="00C67369">
            <w:pPr>
              <w:ind w:left="157"/>
              <w:jc w:val="both"/>
            </w:pPr>
            <w:r w:rsidRPr="00B87C41">
              <w:t xml:space="preserve">Informācijas sniegšana </w:t>
            </w:r>
            <w:r w:rsidR="00DC00F5" w:rsidRPr="00B87C41">
              <w:t xml:space="preserve">2015. gada </w:t>
            </w:r>
            <w:r w:rsidRPr="00B87C41">
              <w:t>3.</w:t>
            </w:r>
            <w:r w:rsidR="00DC00F5" w:rsidRPr="00B87C41">
              <w:t> </w:t>
            </w:r>
            <w:r w:rsidRPr="00B87C41">
              <w:t>marta Latvijas Pašvaldību a</w:t>
            </w:r>
            <w:r w:rsidR="00DC00F5" w:rsidRPr="00B87C41">
              <w:t>rodbiedrību savienības sanāksmē.</w:t>
            </w:r>
          </w:p>
          <w:p w:rsidR="004666FC" w:rsidRPr="00B87C41" w:rsidRDefault="004666FC" w:rsidP="00DC00F5">
            <w:pPr>
              <w:ind w:left="157"/>
              <w:jc w:val="both"/>
            </w:pPr>
            <w:r w:rsidRPr="00B87C41">
              <w:t xml:space="preserve">Informācijas sniegšana </w:t>
            </w:r>
            <w:r w:rsidR="00DC00F5" w:rsidRPr="00B87C41">
              <w:t>2015. gada</w:t>
            </w:r>
            <w:r w:rsidRPr="00B87C41">
              <w:t xml:space="preserve"> 10.</w:t>
            </w:r>
            <w:r w:rsidR="00DC00F5" w:rsidRPr="00B87C41">
              <w:t> </w:t>
            </w:r>
            <w:r w:rsidRPr="00B87C41">
              <w:t>aprīlī Latvijas pašvaldību izpilddirektoru sēdē</w:t>
            </w:r>
            <w:r w:rsidR="00DC00F5" w:rsidRPr="00B87C41">
              <w:t>.</w:t>
            </w:r>
          </w:p>
        </w:tc>
      </w:tr>
      <w:tr w:rsidR="00B87C41" w:rsidRPr="00B87C41" w:rsidTr="00A9489D">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2.</w:t>
            </w:r>
          </w:p>
        </w:tc>
        <w:tc>
          <w:tcPr>
            <w:tcW w:w="150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DC00F5">
            <w:pPr>
              <w:ind w:left="157"/>
              <w:jc w:val="both"/>
            </w:pPr>
            <w:r w:rsidRPr="00B87C41">
              <w:t xml:space="preserve">Publikācija par projektu </w:t>
            </w:r>
            <w:r w:rsidR="00DC00F5" w:rsidRPr="00B87C41">
              <w:t>VARAM</w:t>
            </w:r>
            <w:r w:rsidRPr="00B87C41">
              <w:t xml:space="preserve"> mājaslapā </w:t>
            </w:r>
            <w:r w:rsidR="00DC00F5" w:rsidRPr="00B87C41">
              <w:t xml:space="preserve">2015. gada </w:t>
            </w:r>
            <w:r w:rsidRPr="00B87C41">
              <w:t>11.</w:t>
            </w:r>
            <w:r w:rsidR="00DC00F5" w:rsidRPr="00B87C41">
              <w:t> </w:t>
            </w:r>
            <w:r w:rsidRPr="00B87C41">
              <w:t>februārī</w:t>
            </w:r>
          </w:p>
        </w:tc>
      </w:tr>
      <w:tr w:rsidR="00B87C41" w:rsidRPr="00B87C41" w:rsidTr="00A9489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3.</w:t>
            </w:r>
          </w:p>
        </w:tc>
        <w:tc>
          <w:tcPr>
            <w:tcW w:w="150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62369E" w:rsidRPr="00B87C41" w:rsidRDefault="0062369E" w:rsidP="00C67369">
            <w:pPr>
              <w:ind w:left="157"/>
              <w:jc w:val="both"/>
            </w:pPr>
            <w:r w:rsidRPr="00B87C41">
              <w:t>No sabiedrības mērķgrupām nav saņemti priekšlikumi vai iebildumi, ko skar šis noteikumu projekts</w:t>
            </w:r>
          </w:p>
        </w:tc>
      </w:tr>
      <w:tr w:rsidR="00B87C41" w:rsidRPr="00B87C41" w:rsidTr="00A9489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4.</w:t>
            </w:r>
          </w:p>
        </w:tc>
        <w:tc>
          <w:tcPr>
            <w:tcW w:w="150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8F642E">
            <w:pPr>
              <w:jc w:val="both"/>
            </w:pPr>
            <w:r w:rsidRPr="00B87C41">
              <w:t>Cita informācija</w:t>
            </w:r>
          </w:p>
        </w:tc>
        <w:tc>
          <w:tcPr>
            <w:tcW w:w="3250" w:type="pct"/>
            <w:tcBorders>
              <w:top w:val="outset" w:sz="6" w:space="0" w:color="auto"/>
              <w:left w:val="outset" w:sz="6" w:space="0" w:color="auto"/>
              <w:bottom w:val="outset" w:sz="6" w:space="0" w:color="auto"/>
              <w:right w:val="outset" w:sz="6" w:space="0" w:color="auto"/>
            </w:tcBorders>
            <w:hideMark/>
          </w:tcPr>
          <w:p w:rsidR="004666FC" w:rsidRPr="00B87C41" w:rsidRDefault="004666FC" w:rsidP="00DC00F5">
            <w:pPr>
              <w:pStyle w:val="tvhtml"/>
              <w:ind w:left="157"/>
              <w:jc w:val="both"/>
              <w:rPr>
                <w:lang w:val="lv-LV"/>
              </w:rPr>
            </w:pPr>
            <w:r w:rsidRPr="00B87C41">
              <w:rPr>
                <w:lang w:val="lv-LV"/>
              </w:rPr>
              <w:t>Nav</w:t>
            </w:r>
          </w:p>
        </w:tc>
      </w:tr>
    </w:tbl>
    <w:p w:rsidR="004666FC" w:rsidRPr="00B87C41" w:rsidRDefault="004666FC" w:rsidP="008F642E">
      <w:pPr>
        <w:pStyle w:val="tvhtml"/>
        <w:spacing w:before="0" w:beforeAutospacing="0" w:after="0" w:afterAutospacing="0"/>
        <w:jc w:val="both"/>
        <w:rPr>
          <w:lang w:val="lv-LV"/>
        </w:rPr>
      </w:pPr>
    </w:p>
    <w:tbl>
      <w:tblPr>
        <w:tblW w:w="5074"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
        <w:gridCol w:w="2831"/>
        <w:gridCol w:w="5974"/>
      </w:tblGrid>
      <w:tr w:rsidR="00B87C41" w:rsidRPr="00B87C41" w:rsidTr="005F7696">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F7696" w:rsidRPr="00B87C41" w:rsidRDefault="005F7696" w:rsidP="00DC00F5">
            <w:pPr>
              <w:pStyle w:val="tvhtml"/>
              <w:jc w:val="center"/>
              <w:rPr>
                <w:b/>
                <w:bCs/>
                <w:lang w:val="lv-LV"/>
              </w:rPr>
            </w:pPr>
            <w:r w:rsidRPr="00B87C41">
              <w:rPr>
                <w:b/>
                <w:bCs/>
                <w:lang w:val="lv-LV"/>
              </w:rPr>
              <w:t>VII. Tiesību akta projekta izpildes nodrošināšana un tās ietekme uz institūcijām</w:t>
            </w:r>
          </w:p>
        </w:tc>
      </w:tr>
      <w:tr w:rsidR="00B87C41" w:rsidRPr="00B87C41" w:rsidTr="006C5FA0">
        <w:trPr>
          <w:trHeight w:val="420"/>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jc w:val="both"/>
            </w:pPr>
            <w:r w:rsidRPr="00B87C41">
              <w:t>1.</w:t>
            </w:r>
          </w:p>
        </w:tc>
        <w:tc>
          <w:tcPr>
            <w:tcW w:w="1507"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jc w:val="both"/>
            </w:pPr>
            <w:r w:rsidRPr="00B87C41">
              <w:t>Projekta izpildē iesaistītās institūcijas</w:t>
            </w:r>
          </w:p>
        </w:tc>
        <w:tc>
          <w:tcPr>
            <w:tcW w:w="3157"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ind w:left="293" w:right="207"/>
              <w:jc w:val="both"/>
            </w:pPr>
            <w:r w:rsidRPr="00B87C41">
              <w:rPr>
                <w:iCs/>
              </w:rPr>
              <w:t xml:space="preserve">Noteikumu projekta izpildi nodrošinās </w:t>
            </w:r>
            <w:r w:rsidRPr="00B87C41">
              <w:t>Vides aizsardzības un r</w:t>
            </w:r>
            <w:r w:rsidR="00CC56B5" w:rsidRPr="00B87C41">
              <w:t>eģionālās attīstības ministrija</w:t>
            </w:r>
            <w:r w:rsidRPr="00B87C41">
              <w:rPr>
                <w:iCs/>
              </w:rPr>
              <w:t>.</w:t>
            </w:r>
          </w:p>
        </w:tc>
      </w:tr>
      <w:tr w:rsidR="00B87C41" w:rsidRPr="00B87C41" w:rsidTr="006C5FA0">
        <w:trPr>
          <w:trHeight w:val="450"/>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jc w:val="both"/>
            </w:pPr>
            <w:r w:rsidRPr="00B87C41">
              <w:t>2.</w:t>
            </w:r>
          </w:p>
        </w:tc>
        <w:tc>
          <w:tcPr>
            <w:tcW w:w="1507"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jc w:val="both"/>
            </w:pPr>
            <w:r w:rsidRPr="00B87C41">
              <w:t xml:space="preserve">Projekta izpildes ietekme uz pārvaldes funkcijām un institucionālo struktūru. </w:t>
            </w:r>
          </w:p>
          <w:p w:rsidR="005F7696" w:rsidRPr="00B87C41" w:rsidRDefault="005F7696" w:rsidP="008F642E">
            <w:pPr>
              <w:pStyle w:val="tvhtml"/>
              <w:jc w:val="both"/>
              <w:rPr>
                <w:lang w:val="lv-LV"/>
              </w:rPr>
            </w:pPr>
            <w:r w:rsidRPr="00B87C41">
              <w:rPr>
                <w:lang w:val="lv-LV"/>
              </w:rPr>
              <w:t>Jaunu institūciju izveide, esošu institūciju likvidācija vai reorganizācija, to ietekme uz institūcijas cilvēkresursiem</w:t>
            </w:r>
          </w:p>
        </w:tc>
        <w:tc>
          <w:tcPr>
            <w:tcW w:w="3157" w:type="pct"/>
            <w:tcBorders>
              <w:top w:val="outset" w:sz="6" w:space="0" w:color="auto"/>
              <w:left w:val="outset" w:sz="6" w:space="0" w:color="auto"/>
              <w:bottom w:val="outset" w:sz="6" w:space="0" w:color="auto"/>
              <w:right w:val="outset" w:sz="6" w:space="0" w:color="auto"/>
            </w:tcBorders>
            <w:hideMark/>
          </w:tcPr>
          <w:p w:rsidR="005F7696" w:rsidRPr="00B87C41" w:rsidRDefault="004666FC" w:rsidP="008F642E">
            <w:pPr>
              <w:ind w:left="293" w:right="264"/>
              <w:jc w:val="both"/>
            </w:pPr>
            <w:r w:rsidRPr="00B87C41">
              <w:t>Noteikumu projektam nav paredzama ietekme uz institucionālo struktūru, kā arī tas neietekmēs iesaistīto institūciju cilvēkresursus.</w:t>
            </w:r>
          </w:p>
        </w:tc>
      </w:tr>
      <w:tr w:rsidR="00B87C41" w:rsidRPr="00B87C41" w:rsidTr="006C5FA0">
        <w:trPr>
          <w:trHeight w:val="390"/>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jc w:val="both"/>
            </w:pPr>
            <w:r w:rsidRPr="00B87C41">
              <w:t>3.</w:t>
            </w:r>
          </w:p>
        </w:tc>
        <w:tc>
          <w:tcPr>
            <w:tcW w:w="1507"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jc w:val="both"/>
            </w:pPr>
            <w:r w:rsidRPr="00B87C41">
              <w:t>Cita informācija</w:t>
            </w:r>
          </w:p>
        </w:tc>
        <w:tc>
          <w:tcPr>
            <w:tcW w:w="3157" w:type="pct"/>
            <w:tcBorders>
              <w:top w:val="outset" w:sz="6" w:space="0" w:color="auto"/>
              <w:left w:val="outset" w:sz="6" w:space="0" w:color="auto"/>
              <w:bottom w:val="outset" w:sz="6" w:space="0" w:color="auto"/>
              <w:right w:val="outset" w:sz="6" w:space="0" w:color="auto"/>
            </w:tcBorders>
            <w:hideMark/>
          </w:tcPr>
          <w:p w:rsidR="005F7696" w:rsidRPr="00B87C41" w:rsidRDefault="005F7696" w:rsidP="008F642E">
            <w:pPr>
              <w:ind w:left="293"/>
              <w:jc w:val="both"/>
            </w:pPr>
            <w:r w:rsidRPr="00B87C41">
              <w:t>Nav</w:t>
            </w:r>
          </w:p>
        </w:tc>
      </w:tr>
    </w:tbl>
    <w:p w:rsidR="00DC00F5" w:rsidRPr="00B87C41" w:rsidRDefault="00DC00F5" w:rsidP="008F642E">
      <w:pPr>
        <w:jc w:val="both"/>
      </w:pPr>
    </w:p>
    <w:p w:rsidR="00024478" w:rsidRPr="00B87C41" w:rsidRDefault="00941352" w:rsidP="008F642E">
      <w:pPr>
        <w:jc w:val="both"/>
      </w:pPr>
      <w:r w:rsidRPr="00B87C41">
        <w:t xml:space="preserve">Anotācijas </w:t>
      </w:r>
      <w:r w:rsidR="004666FC" w:rsidRPr="00B87C41">
        <w:t>IV, un</w:t>
      </w:r>
      <w:r w:rsidRPr="00B87C41">
        <w:t xml:space="preserve"> V.</w:t>
      </w:r>
      <w:r w:rsidR="00DC00F5" w:rsidRPr="00B87C41">
        <w:t xml:space="preserve"> </w:t>
      </w:r>
      <w:r w:rsidRPr="00B87C41">
        <w:t>sadaļa</w:t>
      </w:r>
      <w:r w:rsidR="00373394" w:rsidRPr="00B87C41">
        <w:t xml:space="preserve"> – projekts šo jomu neskar.</w:t>
      </w:r>
    </w:p>
    <w:p w:rsidR="00373394" w:rsidRPr="00B87C41" w:rsidRDefault="00373394" w:rsidP="008F642E">
      <w:pPr>
        <w:jc w:val="both"/>
      </w:pPr>
    </w:p>
    <w:p w:rsidR="00024478" w:rsidRPr="00B87C41" w:rsidRDefault="00024478" w:rsidP="008F642E">
      <w:pPr>
        <w:jc w:val="both"/>
      </w:pPr>
    </w:p>
    <w:p w:rsidR="00941352" w:rsidRPr="00B87C41" w:rsidRDefault="002B61DB" w:rsidP="008F642E">
      <w:pPr>
        <w:pStyle w:val="naisf"/>
        <w:spacing w:before="0" w:after="0"/>
        <w:ind w:firstLine="0"/>
      </w:pPr>
      <w:r w:rsidRPr="00B87C41">
        <w:t xml:space="preserve">Vides aizsardzības un reģionālās </w:t>
      </w:r>
    </w:p>
    <w:p w:rsidR="00941352" w:rsidRPr="00B87C41" w:rsidRDefault="002B61DB" w:rsidP="008F642E">
      <w:pPr>
        <w:pStyle w:val="naisf"/>
        <w:spacing w:before="0" w:after="0"/>
        <w:ind w:firstLine="0"/>
      </w:pPr>
      <w:r w:rsidRPr="00B87C41">
        <w:t>attīstības ministrs</w:t>
      </w:r>
      <w:r w:rsidRPr="00B87C41">
        <w:tab/>
      </w:r>
      <w:r w:rsidRPr="00B87C41">
        <w:tab/>
      </w:r>
      <w:r w:rsidRPr="00B87C41">
        <w:tab/>
      </w:r>
      <w:r w:rsidRPr="00B87C41">
        <w:tab/>
      </w:r>
      <w:r w:rsidRPr="00B87C41">
        <w:tab/>
      </w:r>
      <w:r w:rsidRPr="00B87C41">
        <w:tab/>
      </w:r>
      <w:r w:rsidRPr="00B87C41">
        <w:tab/>
      </w:r>
      <w:r w:rsidR="00DC00F5" w:rsidRPr="00B87C41">
        <w:tab/>
      </w:r>
      <w:r w:rsidR="00DC00F5" w:rsidRPr="00B87C41">
        <w:tab/>
      </w:r>
      <w:r w:rsidR="00CC56B5" w:rsidRPr="00B87C41">
        <w:t>K.Gerhards</w:t>
      </w:r>
    </w:p>
    <w:p w:rsidR="00941352" w:rsidRPr="00B87C41" w:rsidRDefault="00941352" w:rsidP="008F642E">
      <w:pPr>
        <w:pStyle w:val="naisf"/>
        <w:spacing w:before="0" w:after="0"/>
        <w:ind w:firstLine="0"/>
      </w:pPr>
    </w:p>
    <w:p w:rsidR="00024478" w:rsidRPr="00B87C41" w:rsidRDefault="00024478" w:rsidP="008F642E">
      <w:pPr>
        <w:pStyle w:val="naisf"/>
        <w:spacing w:before="0" w:after="0"/>
        <w:ind w:firstLine="0"/>
      </w:pPr>
    </w:p>
    <w:p w:rsidR="00320CEE" w:rsidRPr="00B87C41" w:rsidRDefault="00320CEE" w:rsidP="008F642E">
      <w:pPr>
        <w:pStyle w:val="naisf"/>
        <w:spacing w:before="0" w:after="0"/>
        <w:ind w:firstLine="0"/>
        <w:rPr>
          <w:b/>
        </w:rPr>
      </w:pPr>
      <w:r w:rsidRPr="00B87C41">
        <w:rPr>
          <w:b/>
        </w:rPr>
        <w:t xml:space="preserve">Iesniedzējs: </w:t>
      </w:r>
    </w:p>
    <w:p w:rsidR="00354462" w:rsidRPr="00B87C41" w:rsidRDefault="00AC2821" w:rsidP="008F642E">
      <w:pPr>
        <w:pStyle w:val="naisf"/>
        <w:spacing w:before="0" w:after="0"/>
        <w:ind w:firstLine="0"/>
      </w:pPr>
      <w:r w:rsidRPr="00B87C41">
        <w:t>Vides</w:t>
      </w:r>
      <w:r w:rsidR="00354462" w:rsidRPr="00B87C41">
        <w:t xml:space="preserve"> aizsardzības un </w:t>
      </w:r>
    </w:p>
    <w:p w:rsidR="00AC2821" w:rsidRPr="00B87C41" w:rsidRDefault="00C576E3" w:rsidP="008F642E">
      <w:pPr>
        <w:pStyle w:val="naisf"/>
        <w:spacing w:before="0" w:after="0"/>
        <w:ind w:firstLine="0"/>
      </w:pPr>
      <w:r w:rsidRPr="00B87C41">
        <w:t>reģionālās attīstības ministr</w:t>
      </w:r>
      <w:r w:rsidR="008A6072" w:rsidRPr="00B87C41">
        <w:t>s</w:t>
      </w:r>
      <w:r w:rsidR="00C15FB9" w:rsidRPr="00B87C41">
        <w:t xml:space="preserve"> </w:t>
      </w:r>
      <w:r w:rsidR="008A6072" w:rsidRPr="00B87C41">
        <w:tab/>
      </w:r>
      <w:r w:rsidR="008A6072" w:rsidRPr="00B87C41">
        <w:tab/>
      </w:r>
      <w:r w:rsidR="008A6072" w:rsidRPr="00B87C41">
        <w:tab/>
      </w:r>
      <w:r w:rsidR="008A6072" w:rsidRPr="00B87C41">
        <w:tab/>
      </w:r>
      <w:r w:rsidR="008A6072" w:rsidRPr="00B87C41">
        <w:tab/>
      </w:r>
      <w:r w:rsidR="008A6072" w:rsidRPr="00B87C41">
        <w:tab/>
      </w:r>
      <w:r w:rsidR="00DC00F5" w:rsidRPr="00B87C41">
        <w:tab/>
      </w:r>
      <w:r w:rsidR="00DC00F5" w:rsidRPr="00B87C41">
        <w:tab/>
      </w:r>
      <w:r w:rsidR="00CC56B5" w:rsidRPr="00B87C41">
        <w:t>K.Gerhards</w:t>
      </w:r>
    </w:p>
    <w:p w:rsidR="00024478" w:rsidRPr="00B87C41" w:rsidRDefault="00024478" w:rsidP="008F642E">
      <w:pPr>
        <w:pStyle w:val="naisf"/>
        <w:spacing w:before="0" w:after="0"/>
        <w:ind w:firstLine="0"/>
      </w:pPr>
    </w:p>
    <w:p w:rsidR="00DC00F5" w:rsidRPr="00B87C41" w:rsidRDefault="00DC00F5" w:rsidP="008F642E">
      <w:pPr>
        <w:pStyle w:val="naisf"/>
        <w:spacing w:before="0" w:after="0"/>
        <w:ind w:firstLine="0"/>
      </w:pPr>
    </w:p>
    <w:p w:rsidR="00AC2821" w:rsidRPr="00B87C41" w:rsidRDefault="00AC2821" w:rsidP="008F642E">
      <w:pPr>
        <w:jc w:val="both"/>
        <w:rPr>
          <w:b/>
        </w:rPr>
      </w:pPr>
      <w:r w:rsidRPr="00B87C41">
        <w:rPr>
          <w:b/>
        </w:rPr>
        <w:t xml:space="preserve">Vīza: </w:t>
      </w:r>
    </w:p>
    <w:p w:rsidR="00C86F53" w:rsidRPr="00B87C41" w:rsidRDefault="00A852B0" w:rsidP="008F642E">
      <w:pPr>
        <w:jc w:val="both"/>
      </w:pPr>
      <w:r w:rsidRPr="00B87C41">
        <w:t>v</w:t>
      </w:r>
      <w:r w:rsidR="00FC441C" w:rsidRPr="00B87C41">
        <w:t>alsts sekretārs</w:t>
      </w:r>
      <w:r w:rsidR="00C86F53" w:rsidRPr="00B87C41">
        <w:tab/>
      </w:r>
      <w:r w:rsidR="00C86F53" w:rsidRPr="00B87C41">
        <w:tab/>
      </w:r>
      <w:r w:rsidR="00C86F53" w:rsidRPr="00B87C41">
        <w:tab/>
      </w:r>
      <w:r w:rsidR="00C86F53" w:rsidRPr="00B87C41">
        <w:tab/>
      </w:r>
      <w:r w:rsidR="008A6072" w:rsidRPr="00B87C41">
        <w:tab/>
      </w:r>
      <w:r w:rsidR="008A6072" w:rsidRPr="00B87C41">
        <w:tab/>
      </w:r>
      <w:r w:rsidR="008A6072" w:rsidRPr="00B87C41">
        <w:tab/>
      </w:r>
      <w:r w:rsidR="00DC00F5" w:rsidRPr="00B87C41">
        <w:tab/>
      </w:r>
      <w:r w:rsidR="00DC00F5" w:rsidRPr="00B87C41">
        <w:tab/>
      </w:r>
      <w:r w:rsidR="008A6072" w:rsidRPr="00B87C41">
        <w:t>G.Puķītis</w:t>
      </w:r>
      <w:r w:rsidR="00C86F53" w:rsidRPr="00B87C41">
        <w:t xml:space="preserve"> </w:t>
      </w:r>
    </w:p>
    <w:p w:rsidR="00CE5F53" w:rsidRPr="00B87C41" w:rsidRDefault="00CE5F53" w:rsidP="008F642E">
      <w:pPr>
        <w:pStyle w:val="naisf"/>
        <w:spacing w:before="0" w:after="0"/>
        <w:ind w:firstLine="0"/>
      </w:pPr>
    </w:p>
    <w:p w:rsidR="00024478" w:rsidRPr="00B87C41" w:rsidRDefault="00024478" w:rsidP="008F642E">
      <w:pPr>
        <w:pStyle w:val="naisf"/>
        <w:spacing w:before="0" w:after="0"/>
        <w:ind w:firstLine="0"/>
      </w:pPr>
    </w:p>
    <w:p w:rsidR="00024478" w:rsidRPr="00B87C41" w:rsidRDefault="00024478" w:rsidP="008F642E">
      <w:pPr>
        <w:pStyle w:val="naisf"/>
        <w:spacing w:before="0" w:after="0"/>
        <w:ind w:firstLine="0"/>
      </w:pPr>
    </w:p>
    <w:p w:rsidR="006655D6" w:rsidRPr="00B87C41" w:rsidRDefault="00A47CA9" w:rsidP="008F642E">
      <w:pPr>
        <w:jc w:val="both"/>
        <w:rPr>
          <w:sz w:val="20"/>
          <w:szCs w:val="20"/>
        </w:rPr>
      </w:pPr>
      <w:r w:rsidRPr="00B87C41">
        <w:rPr>
          <w:sz w:val="20"/>
          <w:szCs w:val="20"/>
        </w:rPr>
        <w:fldChar w:fldCharType="begin"/>
      </w:r>
      <w:r w:rsidR="006655D6" w:rsidRPr="00B87C41">
        <w:rPr>
          <w:sz w:val="20"/>
          <w:szCs w:val="20"/>
        </w:rPr>
        <w:instrText xml:space="preserve"> DATE  \@ "dd.MM.yyyy H:mm"  \* MERGEFORMAT </w:instrText>
      </w:r>
      <w:r w:rsidR="00C53BB5">
        <w:rPr>
          <w:sz w:val="20"/>
          <w:szCs w:val="20"/>
        </w:rPr>
        <w:fldChar w:fldCharType="separate"/>
      </w:r>
      <w:r w:rsidR="00C53BB5">
        <w:rPr>
          <w:noProof/>
          <w:sz w:val="20"/>
          <w:szCs w:val="20"/>
        </w:rPr>
        <w:t>29.04.2015 11:59</w:t>
      </w:r>
      <w:r w:rsidRPr="00B87C41">
        <w:rPr>
          <w:sz w:val="20"/>
          <w:szCs w:val="20"/>
        </w:rPr>
        <w:fldChar w:fldCharType="end"/>
      </w:r>
    </w:p>
    <w:p w:rsidR="002F146E" w:rsidRPr="00B87C41" w:rsidRDefault="00A47CA9" w:rsidP="008F642E">
      <w:pPr>
        <w:tabs>
          <w:tab w:val="left" w:pos="5865"/>
        </w:tabs>
        <w:jc w:val="both"/>
        <w:rPr>
          <w:sz w:val="20"/>
          <w:szCs w:val="20"/>
        </w:rPr>
      </w:pPr>
      <w:fldSimple w:instr=" NUMWORDS   \* MERGEFORMAT ">
        <w:r w:rsidR="00413B0A" w:rsidRPr="00B87C41">
          <w:rPr>
            <w:noProof/>
            <w:sz w:val="20"/>
            <w:szCs w:val="20"/>
          </w:rPr>
          <w:t>1927</w:t>
        </w:r>
      </w:fldSimple>
    </w:p>
    <w:p w:rsidR="00AD263A" w:rsidRPr="00B87C41" w:rsidRDefault="00387B2A" w:rsidP="00DC00F5">
      <w:pPr>
        <w:tabs>
          <w:tab w:val="left" w:pos="5865"/>
        </w:tabs>
        <w:jc w:val="both"/>
        <w:rPr>
          <w:sz w:val="20"/>
          <w:szCs w:val="20"/>
        </w:rPr>
      </w:pPr>
      <w:r w:rsidRPr="00B87C41">
        <w:rPr>
          <w:sz w:val="20"/>
          <w:szCs w:val="20"/>
        </w:rPr>
        <w:t>N.</w:t>
      </w:r>
      <w:r w:rsidR="008A6072" w:rsidRPr="00B87C41">
        <w:rPr>
          <w:sz w:val="20"/>
          <w:szCs w:val="20"/>
        </w:rPr>
        <w:t xml:space="preserve"> Lauskis</w:t>
      </w:r>
      <w:r w:rsidR="00DC00F5" w:rsidRPr="00B87C41">
        <w:rPr>
          <w:sz w:val="20"/>
          <w:szCs w:val="20"/>
        </w:rPr>
        <w:t xml:space="preserve">, </w:t>
      </w:r>
      <w:r w:rsidR="008A6072" w:rsidRPr="00B87C41">
        <w:rPr>
          <w:sz w:val="20"/>
          <w:szCs w:val="20"/>
          <w:shd w:val="clear" w:color="auto" w:fill="FFFFFF"/>
        </w:rPr>
        <w:t>6601654</w:t>
      </w:r>
      <w:r w:rsidR="006655D6" w:rsidRPr="00B87C41">
        <w:rPr>
          <w:sz w:val="20"/>
          <w:szCs w:val="20"/>
          <w:shd w:val="clear" w:color="auto" w:fill="FFFFFF"/>
        </w:rPr>
        <w:t>5</w:t>
      </w:r>
    </w:p>
    <w:p w:rsidR="00B808A2" w:rsidRPr="00B87C41" w:rsidRDefault="00A47CA9" w:rsidP="008F642E">
      <w:pPr>
        <w:jc w:val="both"/>
        <w:rPr>
          <w:sz w:val="20"/>
          <w:szCs w:val="20"/>
        </w:rPr>
      </w:pPr>
      <w:hyperlink r:id="rId9" w:history="1">
        <w:r w:rsidR="00387B2A" w:rsidRPr="00B87C41">
          <w:rPr>
            <w:rStyle w:val="Hyperlink"/>
            <w:color w:val="auto"/>
            <w:sz w:val="20"/>
            <w:szCs w:val="20"/>
          </w:rPr>
          <w:t>normunds.lauskis@varam.gov.lv</w:t>
        </w:r>
      </w:hyperlink>
      <w:r w:rsidR="00AD263A" w:rsidRPr="00B87C41">
        <w:rPr>
          <w:sz w:val="20"/>
          <w:szCs w:val="20"/>
        </w:rPr>
        <w:t xml:space="preserve"> </w:t>
      </w:r>
    </w:p>
    <w:p w:rsidR="008F642E" w:rsidRPr="00B87C41" w:rsidRDefault="008F642E" w:rsidP="008F642E">
      <w:pPr>
        <w:jc w:val="both"/>
      </w:pPr>
    </w:p>
    <w:sectPr w:rsidR="008F642E" w:rsidRPr="00B87C41" w:rsidSect="00434207">
      <w:headerReference w:type="even" r:id="rId10"/>
      <w:headerReference w:type="default" r:id="rId11"/>
      <w:footerReference w:type="default" r:id="rId12"/>
      <w:footerReference w:type="first" r:id="rId13"/>
      <w:pgSz w:w="11906" w:h="16838" w:code="9"/>
      <w:pgMar w:top="1411" w:right="1138" w:bottom="1138" w:left="1699"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71" w:rsidRDefault="00045071">
      <w:r>
        <w:separator/>
      </w:r>
    </w:p>
  </w:endnote>
  <w:endnote w:type="continuationSeparator" w:id="0">
    <w:p w:rsidR="00045071" w:rsidRDefault="00045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Pr="00242049" w:rsidRDefault="00242049" w:rsidP="00242049">
    <w:pPr>
      <w:tabs>
        <w:tab w:val="left" w:pos="567"/>
      </w:tabs>
      <w:spacing w:before="120"/>
      <w:jc w:val="both"/>
      <w:rPr>
        <w:sz w:val="20"/>
        <w:szCs w:val="20"/>
      </w:rPr>
    </w:pPr>
    <w:r w:rsidRPr="00242049">
      <w:rPr>
        <w:sz w:val="20"/>
        <w:szCs w:val="20"/>
      </w:rPr>
      <w:t>V</w:t>
    </w:r>
    <w:r w:rsidR="002935D1">
      <w:rPr>
        <w:sz w:val="20"/>
        <w:szCs w:val="20"/>
      </w:rPr>
      <w:t>ARAMA</w:t>
    </w:r>
    <w:r w:rsidRPr="00242049">
      <w:rPr>
        <w:sz w:val="20"/>
        <w:szCs w:val="20"/>
      </w:rPr>
      <w:t>not_</w:t>
    </w:r>
    <w:r>
      <w:rPr>
        <w:sz w:val="20"/>
        <w:szCs w:val="20"/>
      </w:rPr>
      <w:t>240415</w:t>
    </w:r>
    <w:r w:rsidRPr="00242049">
      <w:rPr>
        <w:sz w:val="20"/>
        <w:szCs w:val="20"/>
      </w:rPr>
      <w:t>; Ministru kabineta noteikumu projekta „Kārtība, kādā pašvaldībām 2015.gadā piešķir valsts budžeta dotāciju Valsts un pašvaldību vienoto klientu apkalpošanas centru izveidei reģionu un novadu nozīmes attīstības centros ”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Pr="00242049" w:rsidRDefault="00A9489D" w:rsidP="00242049">
    <w:pPr>
      <w:tabs>
        <w:tab w:val="left" w:pos="567"/>
      </w:tabs>
      <w:spacing w:before="120"/>
      <w:jc w:val="both"/>
      <w:rPr>
        <w:sz w:val="20"/>
        <w:szCs w:val="20"/>
      </w:rPr>
    </w:pPr>
    <w:r w:rsidRPr="00242049">
      <w:rPr>
        <w:sz w:val="20"/>
        <w:szCs w:val="20"/>
      </w:rPr>
      <w:t>V</w:t>
    </w:r>
    <w:r w:rsidR="002935D1">
      <w:rPr>
        <w:sz w:val="20"/>
        <w:szCs w:val="20"/>
      </w:rPr>
      <w:t>ARAMA</w:t>
    </w:r>
    <w:r w:rsidRPr="00242049">
      <w:rPr>
        <w:sz w:val="20"/>
        <w:szCs w:val="20"/>
      </w:rPr>
      <w:t>not_</w:t>
    </w:r>
    <w:r w:rsidR="00242049">
      <w:rPr>
        <w:sz w:val="20"/>
        <w:szCs w:val="20"/>
      </w:rPr>
      <w:t>240415</w:t>
    </w:r>
    <w:r w:rsidRPr="00242049">
      <w:rPr>
        <w:sz w:val="20"/>
        <w:szCs w:val="20"/>
      </w:rPr>
      <w:t>; Ministru kabineta noteikumu projekta „Kārtība, kādā pašvaldībām 2015.gadā piešķir valsts budžeta dotāciju Valsts un pašvaldību vienoto klientu apkalpošanas centru izveidei reģionu un novadu nozīmes attīstības centros ”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71" w:rsidRDefault="00045071">
      <w:r>
        <w:separator/>
      </w:r>
    </w:p>
  </w:footnote>
  <w:footnote w:type="continuationSeparator" w:id="0">
    <w:p w:rsidR="00045071" w:rsidRDefault="00045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Default="00A47CA9" w:rsidP="00ED7A6B">
    <w:pPr>
      <w:pStyle w:val="Header"/>
      <w:framePr w:wrap="around" w:vAnchor="text" w:hAnchor="margin" w:xAlign="center" w:y="1"/>
      <w:rPr>
        <w:rStyle w:val="PageNumber"/>
      </w:rPr>
    </w:pPr>
    <w:r>
      <w:rPr>
        <w:rStyle w:val="PageNumber"/>
      </w:rPr>
      <w:fldChar w:fldCharType="begin"/>
    </w:r>
    <w:r w:rsidR="00A9489D">
      <w:rPr>
        <w:rStyle w:val="PageNumber"/>
      </w:rPr>
      <w:instrText xml:space="preserve">PAGE  </w:instrText>
    </w:r>
    <w:r>
      <w:rPr>
        <w:rStyle w:val="PageNumber"/>
      </w:rPr>
      <w:fldChar w:fldCharType="end"/>
    </w:r>
  </w:p>
  <w:p w:rsidR="00A9489D" w:rsidRDefault="00A94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Default="00A47CA9" w:rsidP="00ED7A6B">
    <w:pPr>
      <w:pStyle w:val="Header"/>
      <w:framePr w:wrap="around" w:vAnchor="text" w:hAnchor="margin" w:xAlign="center" w:y="1"/>
      <w:rPr>
        <w:rStyle w:val="PageNumber"/>
      </w:rPr>
    </w:pPr>
    <w:r>
      <w:rPr>
        <w:rStyle w:val="PageNumber"/>
      </w:rPr>
      <w:fldChar w:fldCharType="begin"/>
    </w:r>
    <w:r w:rsidR="00A9489D">
      <w:rPr>
        <w:rStyle w:val="PageNumber"/>
      </w:rPr>
      <w:instrText xml:space="preserve">PAGE  </w:instrText>
    </w:r>
    <w:r>
      <w:rPr>
        <w:rStyle w:val="PageNumber"/>
      </w:rPr>
      <w:fldChar w:fldCharType="separate"/>
    </w:r>
    <w:r w:rsidR="00C53BB5">
      <w:rPr>
        <w:rStyle w:val="PageNumber"/>
        <w:noProof/>
      </w:rPr>
      <w:t>8</w:t>
    </w:r>
    <w:r>
      <w:rPr>
        <w:rStyle w:val="PageNumber"/>
      </w:rPr>
      <w:fldChar w:fldCharType="end"/>
    </w:r>
  </w:p>
  <w:p w:rsidR="00A9489D" w:rsidRDefault="00A94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5CD"/>
    <w:multiLevelType w:val="hybridMultilevel"/>
    <w:tmpl w:val="BF244F4C"/>
    <w:lvl w:ilvl="0" w:tplc="C5E8F376">
      <w:start w:val="1"/>
      <w:numFmt w:val="decimal"/>
      <w:lvlText w:val="%1)"/>
      <w:lvlJc w:val="left"/>
      <w:pPr>
        <w:tabs>
          <w:tab w:val="num" w:pos="417"/>
        </w:tabs>
        <w:ind w:left="417" w:hanging="360"/>
      </w:pPr>
      <w:rPr>
        <w:rFonts w:hint="default"/>
      </w:r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1">
    <w:nsid w:val="4ABC5082"/>
    <w:multiLevelType w:val="hybridMultilevel"/>
    <w:tmpl w:val="1F6E15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F9D55EB"/>
    <w:multiLevelType w:val="hybridMultilevel"/>
    <w:tmpl w:val="860E34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hideSpellingErrors/>
  <w:hideGrammaticalErrors/>
  <w:stylePaneFormatFilter w:val="3F01"/>
  <w:defaultTabStop w:val="720"/>
  <w:drawingGridHorizontalSpacing w:val="187"/>
  <w:displayVerticalDrawingGridEvery w:val="2"/>
  <w:doNotShadeFormData/>
  <w:characterSpacingControl w:val="doNotCompress"/>
  <w:footnotePr>
    <w:footnote w:id="-1"/>
    <w:footnote w:id="0"/>
  </w:footnotePr>
  <w:endnotePr>
    <w:endnote w:id="-1"/>
    <w:endnote w:id="0"/>
  </w:endnotePr>
  <w:compat/>
  <w:rsids>
    <w:rsidRoot w:val="00AC2821"/>
    <w:rsid w:val="0000136B"/>
    <w:rsid w:val="00001572"/>
    <w:rsid w:val="00002CE0"/>
    <w:rsid w:val="00002DCC"/>
    <w:rsid w:val="00007C5E"/>
    <w:rsid w:val="0001057B"/>
    <w:rsid w:val="0001191F"/>
    <w:rsid w:val="0001202C"/>
    <w:rsid w:val="00013C3C"/>
    <w:rsid w:val="00015050"/>
    <w:rsid w:val="00017AFD"/>
    <w:rsid w:val="00017EEB"/>
    <w:rsid w:val="0002090B"/>
    <w:rsid w:val="0002156A"/>
    <w:rsid w:val="00023CDE"/>
    <w:rsid w:val="00024478"/>
    <w:rsid w:val="000268E6"/>
    <w:rsid w:val="000414FB"/>
    <w:rsid w:val="000427B5"/>
    <w:rsid w:val="00042E0B"/>
    <w:rsid w:val="00044105"/>
    <w:rsid w:val="00045071"/>
    <w:rsid w:val="00051B3A"/>
    <w:rsid w:val="00052385"/>
    <w:rsid w:val="0005365A"/>
    <w:rsid w:val="00055DAD"/>
    <w:rsid w:val="000572C8"/>
    <w:rsid w:val="0006036B"/>
    <w:rsid w:val="00060ECF"/>
    <w:rsid w:val="00065A02"/>
    <w:rsid w:val="00065C22"/>
    <w:rsid w:val="00070DD6"/>
    <w:rsid w:val="0007112E"/>
    <w:rsid w:val="000714F1"/>
    <w:rsid w:val="00072DF3"/>
    <w:rsid w:val="00073D9B"/>
    <w:rsid w:val="00082AEB"/>
    <w:rsid w:val="00084AB2"/>
    <w:rsid w:val="000A3612"/>
    <w:rsid w:val="000A3DA0"/>
    <w:rsid w:val="000A605E"/>
    <w:rsid w:val="000A700B"/>
    <w:rsid w:val="000B18B3"/>
    <w:rsid w:val="000B3945"/>
    <w:rsid w:val="000B5B7E"/>
    <w:rsid w:val="000B73DC"/>
    <w:rsid w:val="000B7903"/>
    <w:rsid w:val="000C253A"/>
    <w:rsid w:val="000C3003"/>
    <w:rsid w:val="000C3BEC"/>
    <w:rsid w:val="000C4EA0"/>
    <w:rsid w:val="000C6130"/>
    <w:rsid w:val="000C70A9"/>
    <w:rsid w:val="000C7294"/>
    <w:rsid w:val="000D1593"/>
    <w:rsid w:val="000D222D"/>
    <w:rsid w:val="000D242E"/>
    <w:rsid w:val="000D2997"/>
    <w:rsid w:val="000E0A11"/>
    <w:rsid w:val="000E10BD"/>
    <w:rsid w:val="000E26F6"/>
    <w:rsid w:val="000E3C14"/>
    <w:rsid w:val="000E4AF0"/>
    <w:rsid w:val="000F34C8"/>
    <w:rsid w:val="000F3B54"/>
    <w:rsid w:val="000F47B2"/>
    <w:rsid w:val="000F58CC"/>
    <w:rsid w:val="000F5E76"/>
    <w:rsid w:val="000F6803"/>
    <w:rsid w:val="000F7DDB"/>
    <w:rsid w:val="00103BE6"/>
    <w:rsid w:val="00104128"/>
    <w:rsid w:val="00104527"/>
    <w:rsid w:val="001065AC"/>
    <w:rsid w:val="00111331"/>
    <w:rsid w:val="0011263B"/>
    <w:rsid w:val="0011380D"/>
    <w:rsid w:val="001206AF"/>
    <w:rsid w:val="00124140"/>
    <w:rsid w:val="0012536C"/>
    <w:rsid w:val="00125D7F"/>
    <w:rsid w:val="00127C29"/>
    <w:rsid w:val="00136028"/>
    <w:rsid w:val="0013639C"/>
    <w:rsid w:val="001374BA"/>
    <w:rsid w:val="00140C35"/>
    <w:rsid w:val="00141BC1"/>
    <w:rsid w:val="001437D5"/>
    <w:rsid w:val="00144C71"/>
    <w:rsid w:val="00146E5A"/>
    <w:rsid w:val="001473BF"/>
    <w:rsid w:val="00150293"/>
    <w:rsid w:val="0015179C"/>
    <w:rsid w:val="00152F50"/>
    <w:rsid w:val="00153579"/>
    <w:rsid w:val="00154FE7"/>
    <w:rsid w:val="001617E8"/>
    <w:rsid w:val="00163410"/>
    <w:rsid w:val="0016481C"/>
    <w:rsid w:val="0016594D"/>
    <w:rsid w:val="00167141"/>
    <w:rsid w:val="00167996"/>
    <w:rsid w:val="0017062E"/>
    <w:rsid w:val="00171580"/>
    <w:rsid w:val="00171AB0"/>
    <w:rsid w:val="00171B9A"/>
    <w:rsid w:val="001756DE"/>
    <w:rsid w:val="00175B3F"/>
    <w:rsid w:val="00176829"/>
    <w:rsid w:val="00176A01"/>
    <w:rsid w:val="00176B97"/>
    <w:rsid w:val="00180523"/>
    <w:rsid w:val="00191BD6"/>
    <w:rsid w:val="0019311F"/>
    <w:rsid w:val="00193A3D"/>
    <w:rsid w:val="00193D24"/>
    <w:rsid w:val="00194FED"/>
    <w:rsid w:val="001975DC"/>
    <w:rsid w:val="001A4899"/>
    <w:rsid w:val="001A4A08"/>
    <w:rsid w:val="001A6298"/>
    <w:rsid w:val="001A66CA"/>
    <w:rsid w:val="001A71D1"/>
    <w:rsid w:val="001A7A46"/>
    <w:rsid w:val="001B3321"/>
    <w:rsid w:val="001B3F2F"/>
    <w:rsid w:val="001B56BE"/>
    <w:rsid w:val="001B6398"/>
    <w:rsid w:val="001C071A"/>
    <w:rsid w:val="001C2238"/>
    <w:rsid w:val="001C3797"/>
    <w:rsid w:val="001C5514"/>
    <w:rsid w:val="001C5BF0"/>
    <w:rsid w:val="001C6AC6"/>
    <w:rsid w:val="001D146D"/>
    <w:rsid w:val="001D17A6"/>
    <w:rsid w:val="001D21A8"/>
    <w:rsid w:val="001D4896"/>
    <w:rsid w:val="001E006F"/>
    <w:rsid w:val="001E1B8F"/>
    <w:rsid w:val="001E1E70"/>
    <w:rsid w:val="001E3E47"/>
    <w:rsid w:val="001F0241"/>
    <w:rsid w:val="001F0E2F"/>
    <w:rsid w:val="001F310B"/>
    <w:rsid w:val="001F4391"/>
    <w:rsid w:val="001F66A6"/>
    <w:rsid w:val="001F6B6C"/>
    <w:rsid w:val="001F735C"/>
    <w:rsid w:val="0020084F"/>
    <w:rsid w:val="00202C70"/>
    <w:rsid w:val="00205865"/>
    <w:rsid w:val="00205D00"/>
    <w:rsid w:val="00206CDA"/>
    <w:rsid w:val="00206E28"/>
    <w:rsid w:val="00207C13"/>
    <w:rsid w:val="0021074C"/>
    <w:rsid w:val="00212AEA"/>
    <w:rsid w:val="00214FA8"/>
    <w:rsid w:val="002152E0"/>
    <w:rsid w:val="0021547D"/>
    <w:rsid w:val="002155C4"/>
    <w:rsid w:val="002162EE"/>
    <w:rsid w:val="00220D69"/>
    <w:rsid w:val="00220D98"/>
    <w:rsid w:val="00220F95"/>
    <w:rsid w:val="0022186E"/>
    <w:rsid w:val="00224D19"/>
    <w:rsid w:val="00230F20"/>
    <w:rsid w:val="0023154B"/>
    <w:rsid w:val="00235371"/>
    <w:rsid w:val="002361B0"/>
    <w:rsid w:val="00237B0D"/>
    <w:rsid w:val="00242049"/>
    <w:rsid w:val="0024235D"/>
    <w:rsid w:val="00244C81"/>
    <w:rsid w:val="002510D0"/>
    <w:rsid w:val="002511B5"/>
    <w:rsid w:val="00251E53"/>
    <w:rsid w:val="00253157"/>
    <w:rsid w:val="002531CF"/>
    <w:rsid w:val="0026277D"/>
    <w:rsid w:val="002662DB"/>
    <w:rsid w:val="002669AE"/>
    <w:rsid w:val="0027300B"/>
    <w:rsid w:val="002732CF"/>
    <w:rsid w:val="00274922"/>
    <w:rsid w:val="00280242"/>
    <w:rsid w:val="00280692"/>
    <w:rsid w:val="00281241"/>
    <w:rsid w:val="00283098"/>
    <w:rsid w:val="002847C5"/>
    <w:rsid w:val="00290E70"/>
    <w:rsid w:val="00291F42"/>
    <w:rsid w:val="00292F4F"/>
    <w:rsid w:val="002935D1"/>
    <w:rsid w:val="00297344"/>
    <w:rsid w:val="002A00C0"/>
    <w:rsid w:val="002A1C2C"/>
    <w:rsid w:val="002A3D18"/>
    <w:rsid w:val="002B1777"/>
    <w:rsid w:val="002B2101"/>
    <w:rsid w:val="002B2AB5"/>
    <w:rsid w:val="002B478A"/>
    <w:rsid w:val="002B538F"/>
    <w:rsid w:val="002B61DB"/>
    <w:rsid w:val="002B7658"/>
    <w:rsid w:val="002B7A5E"/>
    <w:rsid w:val="002B7CF6"/>
    <w:rsid w:val="002C0D39"/>
    <w:rsid w:val="002C15EB"/>
    <w:rsid w:val="002C2880"/>
    <w:rsid w:val="002C69A9"/>
    <w:rsid w:val="002D07AE"/>
    <w:rsid w:val="002D15D9"/>
    <w:rsid w:val="002D42BE"/>
    <w:rsid w:val="002D6138"/>
    <w:rsid w:val="002E121E"/>
    <w:rsid w:val="002E3A06"/>
    <w:rsid w:val="002E4F7C"/>
    <w:rsid w:val="002E59DB"/>
    <w:rsid w:val="002F07FA"/>
    <w:rsid w:val="002F0DE3"/>
    <w:rsid w:val="002F146E"/>
    <w:rsid w:val="002F5979"/>
    <w:rsid w:val="002F5D35"/>
    <w:rsid w:val="002F6985"/>
    <w:rsid w:val="00307299"/>
    <w:rsid w:val="00311035"/>
    <w:rsid w:val="0031122C"/>
    <w:rsid w:val="003154B1"/>
    <w:rsid w:val="00315CAB"/>
    <w:rsid w:val="003205D4"/>
    <w:rsid w:val="00320CEE"/>
    <w:rsid w:val="00323B99"/>
    <w:rsid w:val="00324EF8"/>
    <w:rsid w:val="00325504"/>
    <w:rsid w:val="0032734A"/>
    <w:rsid w:val="00331069"/>
    <w:rsid w:val="00332238"/>
    <w:rsid w:val="003325BE"/>
    <w:rsid w:val="00333392"/>
    <w:rsid w:val="00334319"/>
    <w:rsid w:val="00336D45"/>
    <w:rsid w:val="0033776C"/>
    <w:rsid w:val="00340580"/>
    <w:rsid w:val="00343DDC"/>
    <w:rsid w:val="003448E9"/>
    <w:rsid w:val="003470F5"/>
    <w:rsid w:val="00347858"/>
    <w:rsid w:val="003478FB"/>
    <w:rsid w:val="00350CF7"/>
    <w:rsid w:val="00352C8B"/>
    <w:rsid w:val="00354462"/>
    <w:rsid w:val="0035755B"/>
    <w:rsid w:val="00357B06"/>
    <w:rsid w:val="00361632"/>
    <w:rsid w:val="00361C41"/>
    <w:rsid w:val="003657F0"/>
    <w:rsid w:val="00367723"/>
    <w:rsid w:val="00367CC7"/>
    <w:rsid w:val="00373394"/>
    <w:rsid w:val="00376478"/>
    <w:rsid w:val="0037796B"/>
    <w:rsid w:val="00381CEB"/>
    <w:rsid w:val="00382477"/>
    <w:rsid w:val="00382A53"/>
    <w:rsid w:val="00382E64"/>
    <w:rsid w:val="00383495"/>
    <w:rsid w:val="00384E7A"/>
    <w:rsid w:val="00386434"/>
    <w:rsid w:val="00387B2A"/>
    <w:rsid w:val="00392184"/>
    <w:rsid w:val="003941B1"/>
    <w:rsid w:val="003A2611"/>
    <w:rsid w:val="003A5DA8"/>
    <w:rsid w:val="003A7EB3"/>
    <w:rsid w:val="003B0B6C"/>
    <w:rsid w:val="003B1DAB"/>
    <w:rsid w:val="003B37ED"/>
    <w:rsid w:val="003B49E9"/>
    <w:rsid w:val="003B52BA"/>
    <w:rsid w:val="003B5475"/>
    <w:rsid w:val="003C05B9"/>
    <w:rsid w:val="003C137B"/>
    <w:rsid w:val="003C2776"/>
    <w:rsid w:val="003C420C"/>
    <w:rsid w:val="003C6E07"/>
    <w:rsid w:val="003D21D2"/>
    <w:rsid w:val="003D32FD"/>
    <w:rsid w:val="003E2A59"/>
    <w:rsid w:val="003E48AE"/>
    <w:rsid w:val="003F0262"/>
    <w:rsid w:val="003F189C"/>
    <w:rsid w:val="003F3FCC"/>
    <w:rsid w:val="003F68CD"/>
    <w:rsid w:val="00401FEA"/>
    <w:rsid w:val="004027AD"/>
    <w:rsid w:val="004029F0"/>
    <w:rsid w:val="00405694"/>
    <w:rsid w:val="00406497"/>
    <w:rsid w:val="004071B0"/>
    <w:rsid w:val="00407BC8"/>
    <w:rsid w:val="0041050F"/>
    <w:rsid w:val="00410548"/>
    <w:rsid w:val="00412B2D"/>
    <w:rsid w:val="004130F2"/>
    <w:rsid w:val="00413762"/>
    <w:rsid w:val="00413B0A"/>
    <w:rsid w:val="00414A17"/>
    <w:rsid w:val="00421E4F"/>
    <w:rsid w:val="00427B97"/>
    <w:rsid w:val="0043083C"/>
    <w:rsid w:val="00434207"/>
    <w:rsid w:val="00435F0E"/>
    <w:rsid w:val="00436EA1"/>
    <w:rsid w:val="00437962"/>
    <w:rsid w:val="004407BC"/>
    <w:rsid w:val="0044218A"/>
    <w:rsid w:val="00442E68"/>
    <w:rsid w:val="004457C0"/>
    <w:rsid w:val="0044591E"/>
    <w:rsid w:val="00445D9E"/>
    <w:rsid w:val="004462B1"/>
    <w:rsid w:val="00452129"/>
    <w:rsid w:val="00453B60"/>
    <w:rsid w:val="00454303"/>
    <w:rsid w:val="00457E2E"/>
    <w:rsid w:val="004637BA"/>
    <w:rsid w:val="00464857"/>
    <w:rsid w:val="0046635D"/>
    <w:rsid w:val="004666FC"/>
    <w:rsid w:val="00466EC7"/>
    <w:rsid w:val="00467082"/>
    <w:rsid w:val="00470F95"/>
    <w:rsid w:val="0047111D"/>
    <w:rsid w:val="00471564"/>
    <w:rsid w:val="00471EFC"/>
    <w:rsid w:val="0047204F"/>
    <w:rsid w:val="00475918"/>
    <w:rsid w:val="004764DC"/>
    <w:rsid w:val="00484A52"/>
    <w:rsid w:val="00484F37"/>
    <w:rsid w:val="00485086"/>
    <w:rsid w:val="00486695"/>
    <w:rsid w:val="00486880"/>
    <w:rsid w:val="00491852"/>
    <w:rsid w:val="00493321"/>
    <w:rsid w:val="0049413B"/>
    <w:rsid w:val="004950AD"/>
    <w:rsid w:val="00496154"/>
    <w:rsid w:val="004A0A1F"/>
    <w:rsid w:val="004A101A"/>
    <w:rsid w:val="004A1330"/>
    <w:rsid w:val="004A3C2C"/>
    <w:rsid w:val="004A4C5E"/>
    <w:rsid w:val="004B017D"/>
    <w:rsid w:val="004B0C4A"/>
    <w:rsid w:val="004B5EF0"/>
    <w:rsid w:val="004B7AD4"/>
    <w:rsid w:val="004C27DC"/>
    <w:rsid w:val="004C38F8"/>
    <w:rsid w:val="004C60AF"/>
    <w:rsid w:val="004C655D"/>
    <w:rsid w:val="004D0EC4"/>
    <w:rsid w:val="004D2811"/>
    <w:rsid w:val="004D46EB"/>
    <w:rsid w:val="004D4C8F"/>
    <w:rsid w:val="004D5ADF"/>
    <w:rsid w:val="004D79C8"/>
    <w:rsid w:val="004D7E4B"/>
    <w:rsid w:val="004E0F9D"/>
    <w:rsid w:val="004E11B8"/>
    <w:rsid w:val="004E4347"/>
    <w:rsid w:val="004E4480"/>
    <w:rsid w:val="004F0130"/>
    <w:rsid w:val="004F080E"/>
    <w:rsid w:val="004F7399"/>
    <w:rsid w:val="005037D8"/>
    <w:rsid w:val="005041F0"/>
    <w:rsid w:val="0050450D"/>
    <w:rsid w:val="0050635C"/>
    <w:rsid w:val="005074DA"/>
    <w:rsid w:val="005107D4"/>
    <w:rsid w:val="00511516"/>
    <w:rsid w:val="005116DA"/>
    <w:rsid w:val="005122B3"/>
    <w:rsid w:val="00513D3E"/>
    <w:rsid w:val="00513E90"/>
    <w:rsid w:val="00513FFB"/>
    <w:rsid w:val="005146D0"/>
    <w:rsid w:val="0052002C"/>
    <w:rsid w:val="005215B6"/>
    <w:rsid w:val="00521A39"/>
    <w:rsid w:val="00522E73"/>
    <w:rsid w:val="00523B54"/>
    <w:rsid w:val="00523DA2"/>
    <w:rsid w:val="00526250"/>
    <w:rsid w:val="005266D0"/>
    <w:rsid w:val="00526F6E"/>
    <w:rsid w:val="0052712A"/>
    <w:rsid w:val="00530C50"/>
    <w:rsid w:val="00534C64"/>
    <w:rsid w:val="0053511D"/>
    <w:rsid w:val="005354A7"/>
    <w:rsid w:val="005436FB"/>
    <w:rsid w:val="0054426E"/>
    <w:rsid w:val="00544826"/>
    <w:rsid w:val="0054539F"/>
    <w:rsid w:val="0055357D"/>
    <w:rsid w:val="0055464C"/>
    <w:rsid w:val="00554A87"/>
    <w:rsid w:val="00556D31"/>
    <w:rsid w:val="00557075"/>
    <w:rsid w:val="00560B73"/>
    <w:rsid w:val="00561FEA"/>
    <w:rsid w:val="00564C24"/>
    <w:rsid w:val="005651DA"/>
    <w:rsid w:val="00571292"/>
    <w:rsid w:val="00574B33"/>
    <w:rsid w:val="00575068"/>
    <w:rsid w:val="00576DFC"/>
    <w:rsid w:val="00577EA5"/>
    <w:rsid w:val="00577F5E"/>
    <w:rsid w:val="00584B06"/>
    <w:rsid w:val="00585FB0"/>
    <w:rsid w:val="005917B7"/>
    <w:rsid w:val="0059501C"/>
    <w:rsid w:val="00596568"/>
    <w:rsid w:val="00596600"/>
    <w:rsid w:val="00596868"/>
    <w:rsid w:val="00597820"/>
    <w:rsid w:val="00597BB0"/>
    <w:rsid w:val="00597FFC"/>
    <w:rsid w:val="005A10E4"/>
    <w:rsid w:val="005A28BE"/>
    <w:rsid w:val="005A4936"/>
    <w:rsid w:val="005A6265"/>
    <w:rsid w:val="005A663B"/>
    <w:rsid w:val="005B1D0A"/>
    <w:rsid w:val="005B28FE"/>
    <w:rsid w:val="005B4733"/>
    <w:rsid w:val="005B5876"/>
    <w:rsid w:val="005B7673"/>
    <w:rsid w:val="005C3723"/>
    <w:rsid w:val="005D0AB6"/>
    <w:rsid w:val="005D3B89"/>
    <w:rsid w:val="005D46F6"/>
    <w:rsid w:val="005D4DAC"/>
    <w:rsid w:val="005D69A2"/>
    <w:rsid w:val="005D7BBC"/>
    <w:rsid w:val="005D7E89"/>
    <w:rsid w:val="005E06E7"/>
    <w:rsid w:val="005E2F47"/>
    <w:rsid w:val="005E493B"/>
    <w:rsid w:val="005E550D"/>
    <w:rsid w:val="005E5A4C"/>
    <w:rsid w:val="005F2A2E"/>
    <w:rsid w:val="005F3397"/>
    <w:rsid w:val="005F6852"/>
    <w:rsid w:val="005F6F6B"/>
    <w:rsid w:val="005F7696"/>
    <w:rsid w:val="00602485"/>
    <w:rsid w:val="00603ABC"/>
    <w:rsid w:val="00603CBA"/>
    <w:rsid w:val="00605EB9"/>
    <w:rsid w:val="00607074"/>
    <w:rsid w:val="00607E96"/>
    <w:rsid w:val="00613B5F"/>
    <w:rsid w:val="00614EE2"/>
    <w:rsid w:val="00620A61"/>
    <w:rsid w:val="0062369E"/>
    <w:rsid w:val="00624A5A"/>
    <w:rsid w:val="00625A87"/>
    <w:rsid w:val="0062651A"/>
    <w:rsid w:val="006267DF"/>
    <w:rsid w:val="00626B59"/>
    <w:rsid w:val="00626F93"/>
    <w:rsid w:val="006301B4"/>
    <w:rsid w:val="00630533"/>
    <w:rsid w:val="00630920"/>
    <w:rsid w:val="0063126B"/>
    <w:rsid w:val="00632DAB"/>
    <w:rsid w:val="00636C29"/>
    <w:rsid w:val="00640A0A"/>
    <w:rsid w:val="0064215A"/>
    <w:rsid w:val="00643428"/>
    <w:rsid w:val="00644BB2"/>
    <w:rsid w:val="00645EEC"/>
    <w:rsid w:val="006467C1"/>
    <w:rsid w:val="00647571"/>
    <w:rsid w:val="00647B70"/>
    <w:rsid w:val="00647FCD"/>
    <w:rsid w:val="006504FB"/>
    <w:rsid w:val="00651D0A"/>
    <w:rsid w:val="00653712"/>
    <w:rsid w:val="00654312"/>
    <w:rsid w:val="00655B1F"/>
    <w:rsid w:val="00656DEB"/>
    <w:rsid w:val="00665280"/>
    <w:rsid w:val="006655D6"/>
    <w:rsid w:val="006674C2"/>
    <w:rsid w:val="00670BBA"/>
    <w:rsid w:val="0067190A"/>
    <w:rsid w:val="006727D6"/>
    <w:rsid w:val="00674185"/>
    <w:rsid w:val="0067558B"/>
    <w:rsid w:val="00681EE3"/>
    <w:rsid w:val="00682F07"/>
    <w:rsid w:val="00683CCA"/>
    <w:rsid w:val="006843F3"/>
    <w:rsid w:val="00685786"/>
    <w:rsid w:val="0069409B"/>
    <w:rsid w:val="00694644"/>
    <w:rsid w:val="006A04B0"/>
    <w:rsid w:val="006A1D93"/>
    <w:rsid w:val="006A52EE"/>
    <w:rsid w:val="006A5B9B"/>
    <w:rsid w:val="006A5EAA"/>
    <w:rsid w:val="006A7CE0"/>
    <w:rsid w:val="006A7F01"/>
    <w:rsid w:val="006B0511"/>
    <w:rsid w:val="006B1BCD"/>
    <w:rsid w:val="006B2E40"/>
    <w:rsid w:val="006B4F06"/>
    <w:rsid w:val="006B4F77"/>
    <w:rsid w:val="006B71C1"/>
    <w:rsid w:val="006C11BD"/>
    <w:rsid w:val="006C1FFE"/>
    <w:rsid w:val="006C214D"/>
    <w:rsid w:val="006C52E9"/>
    <w:rsid w:val="006C56A6"/>
    <w:rsid w:val="006C5FA0"/>
    <w:rsid w:val="006C70B5"/>
    <w:rsid w:val="006C7DBA"/>
    <w:rsid w:val="006D14C8"/>
    <w:rsid w:val="006D4B32"/>
    <w:rsid w:val="006D58F2"/>
    <w:rsid w:val="006D5D89"/>
    <w:rsid w:val="006E0044"/>
    <w:rsid w:val="006E40D8"/>
    <w:rsid w:val="006E7681"/>
    <w:rsid w:val="006E7DD4"/>
    <w:rsid w:val="006E7F93"/>
    <w:rsid w:val="006F062B"/>
    <w:rsid w:val="006F57A6"/>
    <w:rsid w:val="006F58DA"/>
    <w:rsid w:val="006F5D46"/>
    <w:rsid w:val="006F633C"/>
    <w:rsid w:val="006F68AD"/>
    <w:rsid w:val="006F6CC9"/>
    <w:rsid w:val="006F70D3"/>
    <w:rsid w:val="006F7A19"/>
    <w:rsid w:val="007005EF"/>
    <w:rsid w:val="007017EE"/>
    <w:rsid w:val="00704F8B"/>
    <w:rsid w:val="007064D8"/>
    <w:rsid w:val="00706B60"/>
    <w:rsid w:val="007072AB"/>
    <w:rsid w:val="0071032D"/>
    <w:rsid w:val="00711708"/>
    <w:rsid w:val="007136D2"/>
    <w:rsid w:val="007149E1"/>
    <w:rsid w:val="007150B0"/>
    <w:rsid w:val="00715EF6"/>
    <w:rsid w:val="00716E6D"/>
    <w:rsid w:val="00717D68"/>
    <w:rsid w:val="0072181E"/>
    <w:rsid w:val="00722419"/>
    <w:rsid w:val="007228B6"/>
    <w:rsid w:val="00722D0D"/>
    <w:rsid w:val="00727CD3"/>
    <w:rsid w:val="00730412"/>
    <w:rsid w:val="00733616"/>
    <w:rsid w:val="00734CE9"/>
    <w:rsid w:val="00734D13"/>
    <w:rsid w:val="00740DFE"/>
    <w:rsid w:val="007416E8"/>
    <w:rsid w:val="007507A2"/>
    <w:rsid w:val="00751025"/>
    <w:rsid w:val="00753CF8"/>
    <w:rsid w:val="00754362"/>
    <w:rsid w:val="00756A75"/>
    <w:rsid w:val="00757CFB"/>
    <w:rsid w:val="00760208"/>
    <w:rsid w:val="007610EC"/>
    <w:rsid w:val="00763045"/>
    <w:rsid w:val="0076391A"/>
    <w:rsid w:val="007648A6"/>
    <w:rsid w:val="0076547C"/>
    <w:rsid w:val="0077026F"/>
    <w:rsid w:val="0077146B"/>
    <w:rsid w:val="007729EB"/>
    <w:rsid w:val="00773AB6"/>
    <w:rsid w:val="00773B45"/>
    <w:rsid w:val="007745DC"/>
    <w:rsid w:val="00774BDD"/>
    <w:rsid w:val="007756AC"/>
    <w:rsid w:val="00775806"/>
    <w:rsid w:val="00781BC2"/>
    <w:rsid w:val="0078213D"/>
    <w:rsid w:val="0078580F"/>
    <w:rsid w:val="0078594F"/>
    <w:rsid w:val="007868B9"/>
    <w:rsid w:val="00790A40"/>
    <w:rsid w:val="007944BF"/>
    <w:rsid w:val="007A128A"/>
    <w:rsid w:val="007A48C5"/>
    <w:rsid w:val="007B0B22"/>
    <w:rsid w:val="007B1910"/>
    <w:rsid w:val="007B1950"/>
    <w:rsid w:val="007B1E1A"/>
    <w:rsid w:val="007B21C4"/>
    <w:rsid w:val="007C1765"/>
    <w:rsid w:val="007C1FFA"/>
    <w:rsid w:val="007C5EAC"/>
    <w:rsid w:val="007D18E9"/>
    <w:rsid w:val="007D692E"/>
    <w:rsid w:val="007D6E65"/>
    <w:rsid w:val="007E3071"/>
    <w:rsid w:val="007E3AE6"/>
    <w:rsid w:val="007E5FF8"/>
    <w:rsid w:val="007E6E1A"/>
    <w:rsid w:val="007F202C"/>
    <w:rsid w:val="007F2304"/>
    <w:rsid w:val="007F7223"/>
    <w:rsid w:val="007F75FB"/>
    <w:rsid w:val="008016E1"/>
    <w:rsid w:val="00801FC9"/>
    <w:rsid w:val="00803736"/>
    <w:rsid w:val="00803B8B"/>
    <w:rsid w:val="00803F5C"/>
    <w:rsid w:val="00804317"/>
    <w:rsid w:val="0080518B"/>
    <w:rsid w:val="00806AB0"/>
    <w:rsid w:val="00811375"/>
    <w:rsid w:val="00822724"/>
    <w:rsid w:val="00823F98"/>
    <w:rsid w:val="00827F10"/>
    <w:rsid w:val="00833581"/>
    <w:rsid w:val="0084243A"/>
    <w:rsid w:val="008443BF"/>
    <w:rsid w:val="00845C45"/>
    <w:rsid w:val="00846527"/>
    <w:rsid w:val="008509C2"/>
    <w:rsid w:val="008511FF"/>
    <w:rsid w:val="0085327B"/>
    <w:rsid w:val="008535D6"/>
    <w:rsid w:val="0085370C"/>
    <w:rsid w:val="00853F47"/>
    <w:rsid w:val="00854611"/>
    <w:rsid w:val="0085591F"/>
    <w:rsid w:val="00857248"/>
    <w:rsid w:val="00857E65"/>
    <w:rsid w:val="00860676"/>
    <w:rsid w:val="00862BCC"/>
    <w:rsid w:val="00863BD7"/>
    <w:rsid w:val="00863CDC"/>
    <w:rsid w:val="008653F0"/>
    <w:rsid w:val="00867BB1"/>
    <w:rsid w:val="0087072D"/>
    <w:rsid w:val="0087127F"/>
    <w:rsid w:val="008733AC"/>
    <w:rsid w:val="00874457"/>
    <w:rsid w:val="00874653"/>
    <w:rsid w:val="00875B57"/>
    <w:rsid w:val="00876548"/>
    <w:rsid w:val="00876A8E"/>
    <w:rsid w:val="0087701A"/>
    <w:rsid w:val="00877539"/>
    <w:rsid w:val="008832B9"/>
    <w:rsid w:val="0088636A"/>
    <w:rsid w:val="008937CB"/>
    <w:rsid w:val="00894D4F"/>
    <w:rsid w:val="00895B1A"/>
    <w:rsid w:val="00896862"/>
    <w:rsid w:val="008A094D"/>
    <w:rsid w:val="008A2009"/>
    <w:rsid w:val="008A4C7C"/>
    <w:rsid w:val="008A50A3"/>
    <w:rsid w:val="008A6072"/>
    <w:rsid w:val="008A6EC7"/>
    <w:rsid w:val="008A7612"/>
    <w:rsid w:val="008A7F2B"/>
    <w:rsid w:val="008B094F"/>
    <w:rsid w:val="008B15B7"/>
    <w:rsid w:val="008B17A7"/>
    <w:rsid w:val="008B2988"/>
    <w:rsid w:val="008B3236"/>
    <w:rsid w:val="008B3F1C"/>
    <w:rsid w:val="008B455B"/>
    <w:rsid w:val="008B5585"/>
    <w:rsid w:val="008B58BD"/>
    <w:rsid w:val="008B6AC6"/>
    <w:rsid w:val="008B6C37"/>
    <w:rsid w:val="008B7723"/>
    <w:rsid w:val="008C0C13"/>
    <w:rsid w:val="008C1C0F"/>
    <w:rsid w:val="008C238A"/>
    <w:rsid w:val="008D208A"/>
    <w:rsid w:val="008D291B"/>
    <w:rsid w:val="008D40FD"/>
    <w:rsid w:val="008D5994"/>
    <w:rsid w:val="008D6C8E"/>
    <w:rsid w:val="008D6EEF"/>
    <w:rsid w:val="008D72FD"/>
    <w:rsid w:val="008E1E19"/>
    <w:rsid w:val="008E341D"/>
    <w:rsid w:val="008F0729"/>
    <w:rsid w:val="008F0CE0"/>
    <w:rsid w:val="008F2FAB"/>
    <w:rsid w:val="008F3CD6"/>
    <w:rsid w:val="008F51B1"/>
    <w:rsid w:val="008F602C"/>
    <w:rsid w:val="008F642E"/>
    <w:rsid w:val="008F7FCB"/>
    <w:rsid w:val="00901088"/>
    <w:rsid w:val="0090126A"/>
    <w:rsid w:val="0090342F"/>
    <w:rsid w:val="00903CED"/>
    <w:rsid w:val="009049F9"/>
    <w:rsid w:val="00906891"/>
    <w:rsid w:val="00906EF2"/>
    <w:rsid w:val="00910031"/>
    <w:rsid w:val="0091095E"/>
    <w:rsid w:val="009114B4"/>
    <w:rsid w:val="00913623"/>
    <w:rsid w:val="00920589"/>
    <w:rsid w:val="0092372F"/>
    <w:rsid w:val="00923734"/>
    <w:rsid w:val="00927502"/>
    <w:rsid w:val="009409C4"/>
    <w:rsid w:val="00941352"/>
    <w:rsid w:val="00941FCB"/>
    <w:rsid w:val="009439ED"/>
    <w:rsid w:val="00943CC2"/>
    <w:rsid w:val="0094570A"/>
    <w:rsid w:val="009464F6"/>
    <w:rsid w:val="0095018A"/>
    <w:rsid w:val="009502D4"/>
    <w:rsid w:val="00952307"/>
    <w:rsid w:val="009525E0"/>
    <w:rsid w:val="00952B19"/>
    <w:rsid w:val="0095550F"/>
    <w:rsid w:val="00955BD2"/>
    <w:rsid w:val="00955E38"/>
    <w:rsid w:val="00962253"/>
    <w:rsid w:val="00962570"/>
    <w:rsid w:val="00963FD0"/>
    <w:rsid w:val="0096515A"/>
    <w:rsid w:val="0097119C"/>
    <w:rsid w:val="00972D7A"/>
    <w:rsid w:val="00972F54"/>
    <w:rsid w:val="00973E24"/>
    <w:rsid w:val="00975643"/>
    <w:rsid w:val="00975FF3"/>
    <w:rsid w:val="00977737"/>
    <w:rsid w:val="00977C74"/>
    <w:rsid w:val="00980EC4"/>
    <w:rsid w:val="00980ED5"/>
    <w:rsid w:val="00980F96"/>
    <w:rsid w:val="0098313D"/>
    <w:rsid w:val="00983567"/>
    <w:rsid w:val="00987F9B"/>
    <w:rsid w:val="009932A4"/>
    <w:rsid w:val="009948ED"/>
    <w:rsid w:val="00996A79"/>
    <w:rsid w:val="009A0155"/>
    <w:rsid w:val="009A2E76"/>
    <w:rsid w:val="009A4B55"/>
    <w:rsid w:val="009B0787"/>
    <w:rsid w:val="009B22AA"/>
    <w:rsid w:val="009B2F3F"/>
    <w:rsid w:val="009B3809"/>
    <w:rsid w:val="009B3C2A"/>
    <w:rsid w:val="009B44B1"/>
    <w:rsid w:val="009B4ACE"/>
    <w:rsid w:val="009B5C2F"/>
    <w:rsid w:val="009B5D5A"/>
    <w:rsid w:val="009C0AF9"/>
    <w:rsid w:val="009C2501"/>
    <w:rsid w:val="009C2538"/>
    <w:rsid w:val="009C508B"/>
    <w:rsid w:val="009C7316"/>
    <w:rsid w:val="009C7E39"/>
    <w:rsid w:val="009D25C2"/>
    <w:rsid w:val="009D3284"/>
    <w:rsid w:val="009D4D43"/>
    <w:rsid w:val="009D51B7"/>
    <w:rsid w:val="009D61C6"/>
    <w:rsid w:val="009D73A9"/>
    <w:rsid w:val="009E23EE"/>
    <w:rsid w:val="009E2E65"/>
    <w:rsid w:val="009E394C"/>
    <w:rsid w:val="009E3A69"/>
    <w:rsid w:val="009E6C84"/>
    <w:rsid w:val="009E734C"/>
    <w:rsid w:val="009E7D7B"/>
    <w:rsid w:val="009F2214"/>
    <w:rsid w:val="009F370C"/>
    <w:rsid w:val="009F3CC6"/>
    <w:rsid w:val="009F556D"/>
    <w:rsid w:val="009F675D"/>
    <w:rsid w:val="00A075DF"/>
    <w:rsid w:val="00A16F89"/>
    <w:rsid w:val="00A1724F"/>
    <w:rsid w:val="00A17737"/>
    <w:rsid w:val="00A202FD"/>
    <w:rsid w:val="00A2571F"/>
    <w:rsid w:val="00A26A1F"/>
    <w:rsid w:val="00A311CF"/>
    <w:rsid w:val="00A31EF0"/>
    <w:rsid w:val="00A33500"/>
    <w:rsid w:val="00A33A33"/>
    <w:rsid w:val="00A346FF"/>
    <w:rsid w:val="00A347F5"/>
    <w:rsid w:val="00A34AF6"/>
    <w:rsid w:val="00A35DEF"/>
    <w:rsid w:val="00A4095E"/>
    <w:rsid w:val="00A409EC"/>
    <w:rsid w:val="00A40D4F"/>
    <w:rsid w:val="00A4340A"/>
    <w:rsid w:val="00A43EF2"/>
    <w:rsid w:val="00A448D6"/>
    <w:rsid w:val="00A44AC6"/>
    <w:rsid w:val="00A479A7"/>
    <w:rsid w:val="00A47CA9"/>
    <w:rsid w:val="00A5016B"/>
    <w:rsid w:val="00A540F4"/>
    <w:rsid w:val="00A607E4"/>
    <w:rsid w:val="00A62522"/>
    <w:rsid w:val="00A62EA7"/>
    <w:rsid w:val="00A63677"/>
    <w:rsid w:val="00A6408B"/>
    <w:rsid w:val="00A64808"/>
    <w:rsid w:val="00A66E4E"/>
    <w:rsid w:val="00A72D8D"/>
    <w:rsid w:val="00A741D4"/>
    <w:rsid w:val="00A751CF"/>
    <w:rsid w:val="00A774AD"/>
    <w:rsid w:val="00A808F6"/>
    <w:rsid w:val="00A82FD8"/>
    <w:rsid w:val="00A8313E"/>
    <w:rsid w:val="00A8343B"/>
    <w:rsid w:val="00A852B0"/>
    <w:rsid w:val="00A86F1B"/>
    <w:rsid w:val="00A8761D"/>
    <w:rsid w:val="00A87C0E"/>
    <w:rsid w:val="00A92EF2"/>
    <w:rsid w:val="00A9489D"/>
    <w:rsid w:val="00A9507F"/>
    <w:rsid w:val="00A950E5"/>
    <w:rsid w:val="00A95B43"/>
    <w:rsid w:val="00A97A33"/>
    <w:rsid w:val="00A97C8A"/>
    <w:rsid w:val="00AA2403"/>
    <w:rsid w:val="00AA4C24"/>
    <w:rsid w:val="00AB1EA0"/>
    <w:rsid w:val="00AB3FFD"/>
    <w:rsid w:val="00AC1277"/>
    <w:rsid w:val="00AC2821"/>
    <w:rsid w:val="00AC5DDD"/>
    <w:rsid w:val="00AC787A"/>
    <w:rsid w:val="00AC78FE"/>
    <w:rsid w:val="00AD25F8"/>
    <w:rsid w:val="00AD263A"/>
    <w:rsid w:val="00AD26B0"/>
    <w:rsid w:val="00AD2B54"/>
    <w:rsid w:val="00AD31C9"/>
    <w:rsid w:val="00AD7B90"/>
    <w:rsid w:val="00AE0781"/>
    <w:rsid w:val="00AE0D56"/>
    <w:rsid w:val="00AE3DB0"/>
    <w:rsid w:val="00AE4774"/>
    <w:rsid w:val="00AE7136"/>
    <w:rsid w:val="00AF277E"/>
    <w:rsid w:val="00AF304E"/>
    <w:rsid w:val="00AF6A7C"/>
    <w:rsid w:val="00AF7A03"/>
    <w:rsid w:val="00B0027D"/>
    <w:rsid w:val="00B00447"/>
    <w:rsid w:val="00B05CCA"/>
    <w:rsid w:val="00B05D5E"/>
    <w:rsid w:val="00B127A9"/>
    <w:rsid w:val="00B131AC"/>
    <w:rsid w:val="00B13E1E"/>
    <w:rsid w:val="00B15360"/>
    <w:rsid w:val="00B176D8"/>
    <w:rsid w:val="00B17F2D"/>
    <w:rsid w:val="00B20663"/>
    <w:rsid w:val="00B215D9"/>
    <w:rsid w:val="00B26DEB"/>
    <w:rsid w:val="00B26F5C"/>
    <w:rsid w:val="00B30725"/>
    <w:rsid w:val="00B3684A"/>
    <w:rsid w:val="00B41999"/>
    <w:rsid w:val="00B42177"/>
    <w:rsid w:val="00B43BE6"/>
    <w:rsid w:val="00B45DA3"/>
    <w:rsid w:val="00B47814"/>
    <w:rsid w:val="00B52BDB"/>
    <w:rsid w:val="00B5399F"/>
    <w:rsid w:val="00B54551"/>
    <w:rsid w:val="00B552D2"/>
    <w:rsid w:val="00B55770"/>
    <w:rsid w:val="00B55AF0"/>
    <w:rsid w:val="00B55D5F"/>
    <w:rsid w:val="00B57467"/>
    <w:rsid w:val="00B607B8"/>
    <w:rsid w:val="00B63F22"/>
    <w:rsid w:val="00B65C3D"/>
    <w:rsid w:val="00B672B6"/>
    <w:rsid w:val="00B714A3"/>
    <w:rsid w:val="00B7283D"/>
    <w:rsid w:val="00B7394E"/>
    <w:rsid w:val="00B74C22"/>
    <w:rsid w:val="00B7578A"/>
    <w:rsid w:val="00B808A2"/>
    <w:rsid w:val="00B82F97"/>
    <w:rsid w:val="00B87956"/>
    <w:rsid w:val="00B87C41"/>
    <w:rsid w:val="00B87DE5"/>
    <w:rsid w:val="00B936CC"/>
    <w:rsid w:val="00B937A9"/>
    <w:rsid w:val="00B96509"/>
    <w:rsid w:val="00B97A09"/>
    <w:rsid w:val="00B97C49"/>
    <w:rsid w:val="00B97C81"/>
    <w:rsid w:val="00BA0D9B"/>
    <w:rsid w:val="00BA1A07"/>
    <w:rsid w:val="00BA68A6"/>
    <w:rsid w:val="00BB0D29"/>
    <w:rsid w:val="00BB1205"/>
    <w:rsid w:val="00BB19C1"/>
    <w:rsid w:val="00BB545F"/>
    <w:rsid w:val="00BB7C10"/>
    <w:rsid w:val="00BC2149"/>
    <w:rsid w:val="00BC53B8"/>
    <w:rsid w:val="00BC6BE4"/>
    <w:rsid w:val="00BD2E70"/>
    <w:rsid w:val="00BD4FD1"/>
    <w:rsid w:val="00BD6434"/>
    <w:rsid w:val="00BD7781"/>
    <w:rsid w:val="00BE0071"/>
    <w:rsid w:val="00BE08FE"/>
    <w:rsid w:val="00BE0B7D"/>
    <w:rsid w:val="00BE2445"/>
    <w:rsid w:val="00BE2E9C"/>
    <w:rsid w:val="00BE48A7"/>
    <w:rsid w:val="00BF2BCB"/>
    <w:rsid w:val="00BF4513"/>
    <w:rsid w:val="00BF575B"/>
    <w:rsid w:val="00C00837"/>
    <w:rsid w:val="00C00998"/>
    <w:rsid w:val="00C07448"/>
    <w:rsid w:val="00C077F3"/>
    <w:rsid w:val="00C10B69"/>
    <w:rsid w:val="00C1152F"/>
    <w:rsid w:val="00C125B0"/>
    <w:rsid w:val="00C1480B"/>
    <w:rsid w:val="00C1568D"/>
    <w:rsid w:val="00C15FB9"/>
    <w:rsid w:val="00C24CE7"/>
    <w:rsid w:val="00C2582C"/>
    <w:rsid w:val="00C276B9"/>
    <w:rsid w:val="00C30274"/>
    <w:rsid w:val="00C3297E"/>
    <w:rsid w:val="00C337D3"/>
    <w:rsid w:val="00C34872"/>
    <w:rsid w:val="00C34DAB"/>
    <w:rsid w:val="00C4146A"/>
    <w:rsid w:val="00C43B70"/>
    <w:rsid w:val="00C45935"/>
    <w:rsid w:val="00C51CC4"/>
    <w:rsid w:val="00C524B5"/>
    <w:rsid w:val="00C529BE"/>
    <w:rsid w:val="00C53BB5"/>
    <w:rsid w:val="00C560F2"/>
    <w:rsid w:val="00C576E3"/>
    <w:rsid w:val="00C60011"/>
    <w:rsid w:val="00C60BC9"/>
    <w:rsid w:val="00C61DF9"/>
    <w:rsid w:val="00C62617"/>
    <w:rsid w:val="00C67369"/>
    <w:rsid w:val="00C71268"/>
    <w:rsid w:val="00C732DE"/>
    <w:rsid w:val="00C73829"/>
    <w:rsid w:val="00C7751F"/>
    <w:rsid w:val="00C77525"/>
    <w:rsid w:val="00C82696"/>
    <w:rsid w:val="00C83079"/>
    <w:rsid w:val="00C84E6B"/>
    <w:rsid w:val="00C85C30"/>
    <w:rsid w:val="00C86F53"/>
    <w:rsid w:val="00C94F5A"/>
    <w:rsid w:val="00C950AA"/>
    <w:rsid w:val="00C9579B"/>
    <w:rsid w:val="00CA591A"/>
    <w:rsid w:val="00CA66C5"/>
    <w:rsid w:val="00CA7091"/>
    <w:rsid w:val="00CB0A32"/>
    <w:rsid w:val="00CB4722"/>
    <w:rsid w:val="00CB7AD1"/>
    <w:rsid w:val="00CB7ADC"/>
    <w:rsid w:val="00CC14AD"/>
    <w:rsid w:val="00CC1DAD"/>
    <w:rsid w:val="00CC56B5"/>
    <w:rsid w:val="00CC6C1F"/>
    <w:rsid w:val="00CD14A6"/>
    <w:rsid w:val="00CD4069"/>
    <w:rsid w:val="00CD45AB"/>
    <w:rsid w:val="00CD6411"/>
    <w:rsid w:val="00CE2060"/>
    <w:rsid w:val="00CE5F53"/>
    <w:rsid w:val="00CE6DFC"/>
    <w:rsid w:val="00CE78B2"/>
    <w:rsid w:val="00CE79E4"/>
    <w:rsid w:val="00CF108F"/>
    <w:rsid w:val="00CF1E7B"/>
    <w:rsid w:val="00CF333F"/>
    <w:rsid w:val="00CF7992"/>
    <w:rsid w:val="00D001A1"/>
    <w:rsid w:val="00D00E35"/>
    <w:rsid w:val="00D02DA5"/>
    <w:rsid w:val="00D03D3B"/>
    <w:rsid w:val="00D04D4D"/>
    <w:rsid w:val="00D13BB1"/>
    <w:rsid w:val="00D14B9B"/>
    <w:rsid w:val="00D20A43"/>
    <w:rsid w:val="00D2323B"/>
    <w:rsid w:val="00D2402F"/>
    <w:rsid w:val="00D25462"/>
    <w:rsid w:val="00D25D2C"/>
    <w:rsid w:val="00D26BF9"/>
    <w:rsid w:val="00D26FE5"/>
    <w:rsid w:val="00D307E1"/>
    <w:rsid w:val="00D36252"/>
    <w:rsid w:val="00D36DA1"/>
    <w:rsid w:val="00D41292"/>
    <w:rsid w:val="00D44723"/>
    <w:rsid w:val="00D447BF"/>
    <w:rsid w:val="00D46359"/>
    <w:rsid w:val="00D53B7B"/>
    <w:rsid w:val="00D54190"/>
    <w:rsid w:val="00D553D6"/>
    <w:rsid w:val="00D5656D"/>
    <w:rsid w:val="00D57220"/>
    <w:rsid w:val="00D57841"/>
    <w:rsid w:val="00D57905"/>
    <w:rsid w:val="00D57DB6"/>
    <w:rsid w:val="00D601E3"/>
    <w:rsid w:val="00D617E1"/>
    <w:rsid w:val="00D62F99"/>
    <w:rsid w:val="00D64202"/>
    <w:rsid w:val="00D64310"/>
    <w:rsid w:val="00D64339"/>
    <w:rsid w:val="00D65AC6"/>
    <w:rsid w:val="00D66FB3"/>
    <w:rsid w:val="00D672B2"/>
    <w:rsid w:val="00D72ABB"/>
    <w:rsid w:val="00D74ACD"/>
    <w:rsid w:val="00D768F2"/>
    <w:rsid w:val="00D83577"/>
    <w:rsid w:val="00D83AFE"/>
    <w:rsid w:val="00D846B6"/>
    <w:rsid w:val="00D85519"/>
    <w:rsid w:val="00D86471"/>
    <w:rsid w:val="00D915A2"/>
    <w:rsid w:val="00D91809"/>
    <w:rsid w:val="00D92109"/>
    <w:rsid w:val="00D9388E"/>
    <w:rsid w:val="00D9510B"/>
    <w:rsid w:val="00DA1589"/>
    <w:rsid w:val="00DA187C"/>
    <w:rsid w:val="00DA2484"/>
    <w:rsid w:val="00DA2E4D"/>
    <w:rsid w:val="00DA3680"/>
    <w:rsid w:val="00DB1622"/>
    <w:rsid w:val="00DB2342"/>
    <w:rsid w:val="00DB2BCF"/>
    <w:rsid w:val="00DB3B57"/>
    <w:rsid w:val="00DB4C21"/>
    <w:rsid w:val="00DB6B35"/>
    <w:rsid w:val="00DC00F5"/>
    <w:rsid w:val="00DC075D"/>
    <w:rsid w:val="00DC3316"/>
    <w:rsid w:val="00DC5D57"/>
    <w:rsid w:val="00DC79C8"/>
    <w:rsid w:val="00DD006C"/>
    <w:rsid w:val="00DD0350"/>
    <w:rsid w:val="00DD2307"/>
    <w:rsid w:val="00DD356B"/>
    <w:rsid w:val="00DD3947"/>
    <w:rsid w:val="00DD68B9"/>
    <w:rsid w:val="00DD7EF4"/>
    <w:rsid w:val="00DE002A"/>
    <w:rsid w:val="00DE0A37"/>
    <w:rsid w:val="00DE1182"/>
    <w:rsid w:val="00DE1371"/>
    <w:rsid w:val="00DE1AF6"/>
    <w:rsid w:val="00DF0CFA"/>
    <w:rsid w:val="00DF1ACA"/>
    <w:rsid w:val="00DF1F21"/>
    <w:rsid w:val="00DF1FA7"/>
    <w:rsid w:val="00DF5C07"/>
    <w:rsid w:val="00DF5D71"/>
    <w:rsid w:val="00DF6619"/>
    <w:rsid w:val="00DF6EDF"/>
    <w:rsid w:val="00DF7D58"/>
    <w:rsid w:val="00E00012"/>
    <w:rsid w:val="00E048D1"/>
    <w:rsid w:val="00E04A6E"/>
    <w:rsid w:val="00E055A0"/>
    <w:rsid w:val="00E05D20"/>
    <w:rsid w:val="00E06D89"/>
    <w:rsid w:val="00E070FC"/>
    <w:rsid w:val="00E1067F"/>
    <w:rsid w:val="00E14259"/>
    <w:rsid w:val="00E2294A"/>
    <w:rsid w:val="00E22984"/>
    <w:rsid w:val="00E23C26"/>
    <w:rsid w:val="00E23CE9"/>
    <w:rsid w:val="00E2478A"/>
    <w:rsid w:val="00E27BC6"/>
    <w:rsid w:val="00E30907"/>
    <w:rsid w:val="00E32F6B"/>
    <w:rsid w:val="00E3363A"/>
    <w:rsid w:val="00E33C88"/>
    <w:rsid w:val="00E37A62"/>
    <w:rsid w:val="00E41F03"/>
    <w:rsid w:val="00E42CEA"/>
    <w:rsid w:val="00E506C2"/>
    <w:rsid w:val="00E513A6"/>
    <w:rsid w:val="00E52A61"/>
    <w:rsid w:val="00E535AD"/>
    <w:rsid w:val="00E55E87"/>
    <w:rsid w:val="00E567F5"/>
    <w:rsid w:val="00E62440"/>
    <w:rsid w:val="00E65DBF"/>
    <w:rsid w:val="00E676D2"/>
    <w:rsid w:val="00E736DE"/>
    <w:rsid w:val="00E76806"/>
    <w:rsid w:val="00E80159"/>
    <w:rsid w:val="00E8094C"/>
    <w:rsid w:val="00E82827"/>
    <w:rsid w:val="00E8776A"/>
    <w:rsid w:val="00E911AC"/>
    <w:rsid w:val="00EA186F"/>
    <w:rsid w:val="00EA3E08"/>
    <w:rsid w:val="00EA4953"/>
    <w:rsid w:val="00EA4B10"/>
    <w:rsid w:val="00EB06AC"/>
    <w:rsid w:val="00EB06E2"/>
    <w:rsid w:val="00EB208B"/>
    <w:rsid w:val="00EB22E6"/>
    <w:rsid w:val="00EB4E45"/>
    <w:rsid w:val="00EB6100"/>
    <w:rsid w:val="00EB62E7"/>
    <w:rsid w:val="00EC0095"/>
    <w:rsid w:val="00EC1B6C"/>
    <w:rsid w:val="00EC20EE"/>
    <w:rsid w:val="00EC2215"/>
    <w:rsid w:val="00EC425F"/>
    <w:rsid w:val="00EC5FB2"/>
    <w:rsid w:val="00EC6DD4"/>
    <w:rsid w:val="00EC7314"/>
    <w:rsid w:val="00ED010B"/>
    <w:rsid w:val="00ED7A6B"/>
    <w:rsid w:val="00EE1240"/>
    <w:rsid w:val="00EE1967"/>
    <w:rsid w:val="00EE25C8"/>
    <w:rsid w:val="00EF1780"/>
    <w:rsid w:val="00EF2278"/>
    <w:rsid w:val="00EF4C3E"/>
    <w:rsid w:val="00EF5464"/>
    <w:rsid w:val="00EF60A9"/>
    <w:rsid w:val="00EF63FF"/>
    <w:rsid w:val="00EF6495"/>
    <w:rsid w:val="00EF65A6"/>
    <w:rsid w:val="00EF761F"/>
    <w:rsid w:val="00F037AA"/>
    <w:rsid w:val="00F0492A"/>
    <w:rsid w:val="00F10137"/>
    <w:rsid w:val="00F11D16"/>
    <w:rsid w:val="00F16AB7"/>
    <w:rsid w:val="00F20D6F"/>
    <w:rsid w:val="00F214EC"/>
    <w:rsid w:val="00F2470E"/>
    <w:rsid w:val="00F30271"/>
    <w:rsid w:val="00F356F5"/>
    <w:rsid w:val="00F363E9"/>
    <w:rsid w:val="00F3691B"/>
    <w:rsid w:val="00F36E91"/>
    <w:rsid w:val="00F371B6"/>
    <w:rsid w:val="00F4037D"/>
    <w:rsid w:val="00F41B95"/>
    <w:rsid w:val="00F4333F"/>
    <w:rsid w:val="00F43794"/>
    <w:rsid w:val="00F43A82"/>
    <w:rsid w:val="00F44E0F"/>
    <w:rsid w:val="00F463E9"/>
    <w:rsid w:val="00F47241"/>
    <w:rsid w:val="00F4731D"/>
    <w:rsid w:val="00F50D8B"/>
    <w:rsid w:val="00F5196C"/>
    <w:rsid w:val="00F520B1"/>
    <w:rsid w:val="00F553E1"/>
    <w:rsid w:val="00F56181"/>
    <w:rsid w:val="00F5672F"/>
    <w:rsid w:val="00F610CA"/>
    <w:rsid w:val="00F617F8"/>
    <w:rsid w:val="00F6241F"/>
    <w:rsid w:val="00F6257B"/>
    <w:rsid w:val="00F63C2E"/>
    <w:rsid w:val="00F65F1A"/>
    <w:rsid w:val="00F67089"/>
    <w:rsid w:val="00F675FA"/>
    <w:rsid w:val="00F7032E"/>
    <w:rsid w:val="00F709A1"/>
    <w:rsid w:val="00F70B4D"/>
    <w:rsid w:val="00F752EA"/>
    <w:rsid w:val="00F75454"/>
    <w:rsid w:val="00F75490"/>
    <w:rsid w:val="00F76D0E"/>
    <w:rsid w:val="00F775B1"/>
    <w:rsid w:val="00F82B59"/>
    <w:rsid w:val="00F8373A"/>
    <w:rsid w:val="00F8488B"/>
    <w:rsid w:val="00F84C38"/>
    <w:rsid w:val="00F905BE"/>
    <w:rsid w:val="00F9066F"/>
    <w:rsid w:val="00F90918"/>
    <w:rsid w:val="00F9163F"/>
    <w:rsid w:val="00F93423"/>
    <w:rsid w:val="00F946E2"/>
    <w:rsid w:val="00F96A31"/>
    <w:rsid w:val="00FA24B5"/>
    <w:rsid w:val="00FA5151"/>
    <w:rsid w:val="00FA5B30"/>
    <w:rsid w:val="00FA71B0"/>
    <w:rsid w:val="00FA71D0"/>
    <w:rsid w:val="00FA7DD0"/>
    <w:rsid w:val="00FB0212"/>
    <w:rsid w:val="00FB0D85"/>
    <w:rsid w:val="00FB19B4"/>
    <w:rsid w:val="00FB46B0"/>
    <w:rsid w:val="00FB57CC"/>
    <w:rsid w:val="00FB5CAC"/>
    <w:rsid w:val="00FB7AF7"/>
    <w:rsid w:val="00FC04A3"/>
    <w:rsid w:val="00FC1C18"/>
    <w:rsid w:val="00FC2115"/>
    <w:rsid w:val="00FC353F"/>
    <w:rsid w:val="00FC3617"/>
    <w:rsid w:val="00FC380B"/>
    <w:rsid w:val="00FC441C"/>
    <w:rsid w:val="00FC6BF5"/>
    <w:rsid w:val="00FC75F6"/>
    <w:rsid w:val="00FC7C43"/>
    <w:rsid w:val="00FD1B7E"/>
    <w:rsid w:val="00FD39BF"/>
    <w:rsid w:val="00FE7A19"/>
    <w:rsid w:val="00FF4F38"/>
    <w:rsid w:val="00FF66BC"/>
    <w:rsid w:val="00FF7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7"/>
    <w:rPr>
      <w:sz w:val="24"/>
      <w:szCs w:val="24"/>
      <w:lang w:val="lv-LV" w:eastAsia="lv-LV"/>
    </w:rPr>
  </w:style>
  <w:style w:type="paragraph" w:styleId="Heading3">
    <w:name w:val="heading 3"/>
    <w:basedOn w:val="Normal"/>
    <w:link w:val="Heading3Char"/>
    <w:uiPriority w:val="9"/>
    <w:qFormat/>
    <w:rsid w:val="00C00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C2821"/>
    <w:pPr>
      <w:spacing w:before="150" w:after="150"/>
      <w:jc w:val="center"/>
    </w:pPr>
    <w:rPr>
      <w:b/>
      <w:bCs/>
    </w:rPr>
  </w:style>
  <w:style w:type="paragraph" w:customStyle="1" w:styleId="naisf">
    <w:name w:val="naisf"/>
    <w:basedOn w:val="Normal"/>
    <w:rsid w:val="00AC2821"/>
    <w:pPr>
      <w:spacing w:before="75" w:after="75"/>
      <w:ind w:firstLine="375"/>
      <w:jc w:val="both"/>
    </w:pPr>
  </w:style>
  <w:style w:type="paragraph" w:customStyle="1" w:styleId="naislab">
    <w:name w:val="naislab"/>
    <w:basedOn w:val="Normal"/>
    <w:rsid w:val="00AC2821"/>
    <w:pPr>
      <w:spacing w:before="75" w:after="75"/>
      <w:jc w:val="right"/>
    </w:pPr>
  </w:style>
  <w:style w:type="paragraph" w:customStyle="1" w:styleId="naiskr">
    <w:name w:val="naiskr"/>
    <w:basedOn w:val="Normal"/>
    <w:rsid w:val="00AC2821"/>
    <w:pPr>
      <w:spacing w:before="75" w:after="75"/>
    </w:pPr>
  </w:style>
  <w:style w:type="paragraph" w:customStyle="1" w:styleId="naisc">
    <w:name w:val="naisc"/>
    <w:basedOn w:val="Normal"/>
    <w:rsid w:val="00AC2821"/>
    <w:pPr>
      <w:spacing w:before="75" w:after="75"/>
      <w:jc w:val="center"/>
    </w:pPr>
  </w:style>
  <w:style w:type="character" w:styleId="Hyperlink">
    <w:name w:val="Hyperlink"/>
    <w:rsid w:val="00AC2821"/>
    <w:rPr>
      <w:color w:val="0000FF"/>
      <w:u w:val="single"/>
    </w:rPr>
  </w:style>
  <w:style w:type="paragraph" w:styleId="Header">
    <w:name w:val="header"/>
    <w:basedOn w:val="Normal"/>
    <w:rsid w:val="00AC2821"/>
    <w:pPr>
      <w:tabs>
        <w:tab w:val="center" w:pos="4153"/>
        <w:tab w:val="right" w:pos="8306"/>
      </w:tabs>
    </w:pPr>
  </w:style>
  <w:style w:type="paragraph" w:styleId="Footer">
    <w:name w:val="footer"/>
    <w:basedOn w:val="Normal"/>
    <w:link w:val="FooterChar"/>
    <w:uiPriority w:val="99"/>
    <w:rsid w:val="00AC2821"/>
    <w:pPr>
      <w:tabs>
        <w:tab w:val="center" w:pos="4153"/>
        <w:tab w:val="right" w:pos="8306"/>
      </w:tabs>
    </w:pPr>
  </w:style>
  <w:style w:type="character" w:styleId="PageNumber">
    <w:name w:val="page number"/>
    <w:basedOn w:val="DefaultParagraphFont"/>
    <w:rsid w:val="00AC2821"/>
  </w:style>
  <w:style w:type="character" w:styleId="Strong">
    <w:name w:val="Strong"/>
    <w:qFormat/>
    <w:rsid w:val="0001202C"/>
    <w:rPr>
      <w:b/>
      <w:bCs/>
    </w:rPr>
  </w:style>
  <w:style w:type="paragraph" w:styleId="BalloonText">
    <w:name w:val="Balloon Text"/>
    <w:basedOn w:val="Normal"/>
    <w:semiHidden/>
    <w:rsid w:val="007D18E9"/>
    <w:rPr>
      <w:rFonts w:ascii="Tahoma" w:hAnsi="Tahoma" w:cs="Tahoma"/>
      <w:sz w:val="16"/>
      <w:szCs w:val="16"/>
    </w:rPr>
  </w:style>
  <w:style w:type="character" w:customStyle="1" w:styleId="Heading3Char">
    <w:name w:val="Heading 3 Char"/>
    <w:link w:val="Heading3"/>
    <w:uiPriority w:val="9"/>
    <w:rsid w:val="00C00837"/>
    <w:rPr>
      <w:b/>
      <w:bCs/>
      <w:sz w:val="27"/>
      <w:szCs w:val="27"/>
      <w:lang w:val="lv-LV" w:eastAsia="lv-LV"/>
    </w:rPr>
  </w:style>
  <w:style w:type="paragraph" w:styleId="BodyText">
    <w:name w:val="Body Text"/>
    <w:basedOn w:val="Normal"/>
    <w:link w:val="BodyTextChar"/>
    <w:uiPriority w:val="99"/>
    <w:rsid w:val="00952307"/>
    <w:pPr>
      <w:jc w:val="center"/>
    </w:pPr>
    <w:rPr>
      <w:rFonts w:eastAsia="Calibri"/>
      <w:b/>
      <w:sz w:val="32"/>
      <w:szCs w:val="32"/>
    </w:rPr>
  </w:style>
  <w:style w:type="character" w:customStyle="1" w:styleId="BodyTextChar">
    <w:name w:val="Body Text Char"/>
    <w:link w:val="BodyText"/>
    <w:uiPriority w:val="99"/>
    <w:rsid w:val="00952307"/>
    <w:rPr>
      <w:rFonts w:eastAsia="Calibri"/>
      <w:b/>
      <w:sz w:val="32"/>
      <w:szCs w:val="32"/>
      <w:lang w:val="lv-LV" w:eastAsia="lv-LV"/>
    </w:rPr>
  </w:style>
  <w:style w:type="character" w:styleId="CommentReference">
    <w:name w:val="annotation reference"/>
    <w:semiHidden/>
    <w:rsid w:val="009C2501"/>
    <w:rPr>
      <w:sz w:val="16"/>
      <w:szCs w:val="16"/>
    </w:rPr>
  </w:style>
  <w:style w:type="paragraph" w:styleId="CommentText">
    <w:name w:val="annotation text"/>
    <w:basedOn w:val="Normal"/>
    <w:semiHidden/>
    <w:rsid w:val="009C2501"/>
    <w:rPr>
      <w:sz w:val="20"/>
      <w:szCs w:val="20"/>
    </w:rPr>
  </w:style>
  <w:style w:type="paragraph" w:styleId="CommentSubject">
    <w:name w:val="annotation subject"/>
    <w:basedOn w:val="CommentText"/>
    <w:next w:val="CommentText"/>
    <w:semiHidden/>
    <w:rsid w:val="009C2501"/>
    <w:rPr>
      <w:b/>
      <w:bCs/>
    </w:rPr>
  </w:style>
  <w:style w:type="character" w:customStyle="1" w:styleId="spelle">
    <w:name w:val="spelle"/>
    <w:basedOn w:val="DefaultParagraphFont"/>
    <w:rsid w:val="008A6072"/>
  </w:style>
  <w:style w:type="character" w:customStyle="1" w:styleId="FooterChar">
    <w:name w:val="Footer Char"/>
    <w:link w:val="Footer"/>
    <w:uiPriority w:val="99"/>
    <w:rsid w:val="00AD25F8"/>
    <w:rPr>
      <w:sz w:val="24"/>
      <w:szCs w:val="24"/>
      <w:lang w:val="lv-LV" w:eastAsia="lv-LV"/>
    </w:rPr>
  </w:style>
  <w:style w:type="paragraph" w:styleId="DocumentMap">
    <w:name w:val="Document Map"/>
    <w:basedOn w:val="Normal"/>
    <w:link w:val="DocumentMapChar"/>
    <w:rsid w:val="00C60BC9"/>
    <w:rPr>
      <w:rFonts w:ascii="Tahoma" w:hAnsi="Tahoma" w:cs="Tahoma"/>
      <w:sz w:val="16"/>
      <w:szCs w:val="16"/>
    </w:rPr>
  </w:style>
  <w:style w:type="character" w:customStyle="1" w:styleId="DocumentMapChar">
    <w:name w:val="Document Map Char"/>
    <w:basedOn w:val="DefaultParagraphFont"/>
    <w:link w:val="DocumentMap"/>
    <w:rsid w:val="00C60BC9"/>
    <w:rPr>
      <w:rFonts w:ascii="Tahoma" w:hAnsi="Tahoma" w:cs="Tahoma"/>
      <w:sz w:val="16"/>
      <w:szCs w:val="16"/>
      <w:lang w:val="lv-LV" w:eastAsia="lv-LV"/>
    </w:rPr>
  </w:style>
  <w:style w:type="paragraph" w:customStyle="1" w:styleId="Default">
    <w:name w:val="Default"/>
    <w:rsid w:val="006674C2"/>
    <w:pPr>
      <w:autoSpaceDE w:val="0"/>
      <w:autoSpaceDN w:val="0"/>
      <w:adjustRightInd w:val="0"/>
    </w:pPr>
    <w:rPr>
      <w:color w:val="000000"/>
      <w:sz w:val="24"/>
      <w:szCs w:val="24"/>
    </w:rPr>
  </w:style>
  <w:style w:type="paragraph" w:customStyle="1" w:styleId="tvhtml">
    <w:name w:val="tv_html"/>
    <w:basedOn w:val="Normal"/>
    <w:rsid w:val="00BB7C10"/>
    <w:pPr>
      <w:spacing w:before="100" w:beforeAutospacing="1" w:after="100" w:afterAutospacing="1"/>
    </w:pPr>
    <w:rPr>
      <w:lang w:val="en-US" w:eastAsia="en-US"/>
    </w:rPr>
  </w:style>
  <w:style w:type="paragraph" w:styleId="Revision">
    <w:name w:val="Revision"/>
    <w:hidden/>
    <w:uiPriority w:val="99"/>
    <w:semiHidden/>
    <w:rsid w:val="00941352"/>
    <w:rPr>
      <w:sz w:val="24"/>
      <w:szCs w:val="24"/>
      <w:lang w:val="lv-LV" w:eastAsia="lv-LV"/>
    </w:rPr>
  </w:style>
  <w:style w:type="paragraph" w:customStyle="1" w:styleId="tv213">
    <w:name w:val="tv213"/>
    <w:basedOn w:val="Normal"/>
    <w:rsid w:val="005D46F6"/>
    <w:pPr>
      <w:spacing w:before="100" w:beforeAutospacing="1" w:after="100" w:afterAutospacing="1"/>
    </w:pPr>
  </w:style>
  <w:style w:type="paragraph" w:styleId="NormalWeb">
    <w:name w:val="Normal (Web)"/>
    <w:aliases w:val="sākums"/>
    <w:basedOn w:val="Normal"/>
    <w:uiPriority w:val="99"/>
    <w:qFormat/>
    <w:rsid w:val="003F68CD"/>
    <w:pPr>
      <w:spacing w:before="100" w:beforeAutospacing="1" w:after="100" w:afterAutospacing="1"/>
    </w:pPr>
  </w:style>
  <w:style w:type="paragraph" w:styleId="ListParagraph">
    <w:name w:val="List Paragraph"/>
    <w:basedOn w:val="Normal"/>
    <w:uiPriority w:val="34"/>
    <w:qFormat/>
    <w:rsid w:val="00FB57CC"/>
    <w:pPr>
      <w:ind w:left="720"/>
    </w:pPr>
    <w:rPr>
      <w:rFonts w:ascii="Calibri" w:eastAsiaTheme="minorHAnsi" w:hAnsi="Calibri"/>
      <w:sz w:val="22"/>
      <w:szCs w:val="22"/>
      <w:lang w:eastAsia="en-US"/>
    </w:rPr>
  </w:style>
  <w:style w:type="paragraph" w:customStyle="1" w:styleId="Heading">
    <w:name w:val="Heading"/>
    <w:basedOn w:val="Normal"/>
    <w:next w:val="BodyText"/>
    <w:rsid w:val="00412B2D"/>
    <w:pPr>
      <w:suppressAutoHyphens/>
      <w:spacing w:before="240" w:after="60"/>
      <w:ind w:firstLine="720"/>
      <w:jc w:val="center"/>
    </w:pPr>
    <w:rPr>
      <w:b/>
      <w:bCs/>
      <w:color w:val="000000"/>
      <w:sz w:val="32"/>
      <w:szCs w:val="32"/>
      <w:lang w:eastAsia="zh-CN"/>
    </w:rPr>
  </w:style>
</w:styles>
</file>

<file path=word/webSettings.xml><?xml version="1.0" encoding="utf-8"?>
<w:webSettings xmlns:r="http://schemas.openxmlformats.org/officeDocument/2006/relationships" xmlns:w="http://schemas.openxmlformats.org/wordprocessingml/2006/main">
  <w:divs>
    <w:div w:id="202256247">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407306818">
          <w:marLeft w:val="0"/>
          <w:marRight w:val="0"/>
          <w:marTop w:val="0"/>
          <w:marBottom w:val="0"/>
          <w:divBdr>
            <w:top w:val="none" w:sz="0" w:space="0" w:color="auto"/>
            <w:left w:val="none" w:sz="0" w:space="0" w:color="auto"/>
            <w:bottom w:val="none" w:sz="0" w:space="0" w:color="auto"/>
            <w:right w:val="none" w:sz="0" w:space="0" w:color="auto"/>
          </w:divBdr>
          <w:divsChild>
            <w:div w:id="1093357074">
              <w:marLeft w:val="0"/>
              <w:marRight w:val="0"/>
              <w:marTop w:val="0"/>
              <w:marBottom w:val="0"/>
              <w:divBdr>
                <w:top w:val="none" w:sz="0" w:space="0" w:color="auto"/>
                <w:left w:val="none" w:sz="0" w:space="0" w:color="auto"/>
                <w:bottom w:val="none" w:sz="0" w:space="0" w:color="auto"/>
                <w:right w:val="none" w:sz="0" w:space="0" w:color="auto"/>
              </w:divBdr>
              <w:divsChild>
                <w:div w:id="491024777">
                  <w:marLeft w:val="0"/>
                  <w:marRight w:val="0"/>
                  <w:marTop w:val="0"/>
                  <w:marBottom w:val="0"/>
                  <w:divBdr>
                    <w:top w:val="none" w:sz="0" w:space="0" w:color="auto"/>
                    <w:left w:val="none" w:sz="0" w:space="0" w:color="auto"/>
                    <w:bottom w:val="none" w:sz="0" w:space="0" w:color="auto"/>
                    <w:right w:val="none" w:sz="0" w:space="0" w:color="auto"/>
                  </w:divBdr>
                  <w:divsChild>
                    <w:div w:id="622925092">
                      <w:marLeft w:val="0"/>
                      <w:marRight w:val="0"/>
                      <w:marTop w:val="0"/>
                      <w:marBottom w:val="0"/>
                      <w:divBdr>
                        <w:top w:val="none" w:sz="0" w:space="0" w:color="auto"/>
                        <w:left w:val="none" w:sz="0" w:space="0" w:color="auto"/>
                        <w:bottom w:val="none" w:sz="0" w:space="0" w:color="auto"/>
                        <w:right w:val="none" w:sz="0" w:space="0" w:color="auto"/>
                      </w:divBdr>
                      <w:divsChild>
                        <w:div w:id="1426655722">
                          <w:marLeft w:val="0"/>
                          <w:marRight w:val="0"/>
                          <w:marTop w:val="300"/>
                          <w:marBottom w:val="0"/>
                          <w:divBdr>
                            <w:top w:val="none" w:sz="0" w:space="0" w:color="auto"/>
                            <w:left w:val="none" w:sz="0" w:space="0" w:color="auto"/>
                            <w:bottom w:val="none" w:sz="0" w:space="0" w:color="auto"/>
                            <w:right w:val="none" w:sz="0" w:space="0" w:color="auto"/>
                          </w:divBdr>
                          <w:divsChild>
                            <w:div w:id="1481192551">
                              <w:marLeft w:val="0"/>
                              <w:marRight w:val="0"/>
                              <w:marTop w:val="480"/>
                              <w:marBottom w:val="240"/>
                              <w:divBdr>
                                <w:top w:val="none" w:sz="0" w:space="0" w:color="auto"/>
                                <w:left w:val="none" w:sz="0" w:space="0" w:color="auto"/>
                                <w:bottom w:val="none" w:sz="0" w:space="0" w:color="auto"/>
                                <w:right w:val="none" w:sz="0" w:space="0" w:color="auto"/>
                              </w:divBdr>
                            </w:div>
                            <w:div w:id="19706212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7219">
      <w:bodyDiv w:val="1"/>
      <w:marLeft w:val="0"/>
      <w:marRight w:val="0"/>
      <w:marTop w:val="0"/>
      <w:marBottom w:val="0"/>
      <w:divBdr>
        <w:top w:val="none" w:sz="0" w:space="0" w:color="auto"/>
        <w:left w:val="none" w:sz="0" w:space="0" w:color="auto"/>
        <w:bottom w:val="none" w:sz="0" w:space="0" w:color="auto"/>
        <w:right w:val="none" w:sz="0" w:space="0" w:color="auto"/>
      </w:divBdr>
    </w:div>
    <w:div w:id="628167849">
      <w:bodyDiv w:val="1"/>
      <w:marLeft w:val="0"/>
      <w:marRight w:val="0"/>
      <w:marTop w:val="0"/>
      <w:marBottom w:val="0"/>
      <w:divBdr>
        <w:top w:val="none" w:sz="0" w:space="0" w:color="auto"/>
        <w:left w:val="none" w:sz="0" w:space="0" w:color="auto"/>
        <w:bottom w:val="none" w:sz="0" w:space="0" w:color="auto"/>
        <w:right w:val="none" w:sz="0" w:space="0" w:color="auto"/>
      </w:divBdr>
    </w:div>
    <w:div w:id="708145661">
      <w:bodyDiv w:val="1"/>
      <w:marLeft w:val="0"/>
      <w:marRight w:val="0"/>
      <w:marTop w:val="0"/>
      <w:marBottom w:val="0"/>
      <w:divBdr>
        <w:top w:val="none" w:sz="0" w:space="0" w:color="auto"/>
        <w:left w:val="none" w:sz="0" w:space="0" w:color="auto"/>
        <w:bottom w:val="none" w:sz="0" w:space="0" w:color="auto"/>
        <w:right w:val="none" w:sz="0" w:space="0" w:color="auto"/>
      </w:divBdr>
      <w:divsChild>
        <w:div w:id="2074304990">
          <w:marLeft w:val="0"/>
          <w:marRight w:val="0"/>
          <w:marTop w:val="0"/>
          <w:marBottom w:val="0"/>
          <w:divBdr>
            <w:top w:val="none" w:sz="0" w:space="0" w:color="auto"/>
            <w:left w:val="none" w:sz="0" w:space="0" w:color="auto"/>
            <w:bottom w:val="none" w:sz="0" w:space="0" w:color="auto"/>
            <w:right w:val="none" w:sz="0" w:space="0" w:color="auto"/>
          </w:divBdr>
        </w:div>
        <w:div w:id="723023040">
          <w:marLeft w:val="0"/>
          <w:marRight w:val="0"/>
          <w:marTop w:val="0"/>
          <w:marBottom w:val="0"/>
          <w:divBdr>
            <w:top w:val="none" w:sz="0" w:space="0" w:color="auto"/>
            <w:left w:val="none" w:sz="0" w:space="0" w:color="auto"/>
            <w:bottom w:val="none" w:sz="0" w:space="0" w:color="auto"/>
            <w:right w:val="none" w:sz="0" w:space="0" w:color="auto"/>
          </w:divBdr>
        </w:div>
        <w:div w:id="268008773">
          <w:marLeft w:val="0"/>
          <w:marRight w:val="0"/>
          <w:marTop w:val="0"/>
          <w:marBottom w:val="0"/>
          <w:divBdr>
            <w:top w:val="none" w:sz="0" w:space="0" w:color="auto"/>
            <w:left w:val="none" w:sz="0" w:space="0" w:color="auto"/>
            <w:bottom w:val="none" w:sz="0" w:space="0" w:color="auto"/>
            <w:right w:val="none" w:sz="0" w:space="0" w:color="auto"/>
          </w:divBdr>
        </w:div>
        <w:div w:id="1613972201">
          <w:marLeft w:val="0"/>
          <w:marRight w:val="0"/>
          <w:marTop w:val="0"/>
          <w:marBottom w:val="0"/>
          <w:divBdr>
            <w:top w:val="none" w:sz="0" w:space="0" w:color="auto"/>
            <w:left w:val="none" w:sz="0" w:space="0" w:color="auto"/>
            <w:bottom w:val="none" w:sz="0" w:space="0" w:color="auto"/>
            <w:right w:val="none" w:sz="0" w:space="0" w:color="auto"/>
          </w:divBdr>
        </w:div>
        <w:div w:id="2064019779">
          <w:marLeft w:val="0"/>
          <w:marRight w:val="0"/>
          <w:marTop w:val="0"/>
          <w:marBottom w:val="0"/>
          <w:divBdr>
            <w:top w:val="none" w:sz="0" w:space="0" w:color="auto"/>
            <w:left w:val="none" w:sz="0" w:space="0" w:color="auto"/>
            <w:bottom w:val="none" w:sz="0" w:space="0" w:color="auto"/>
            <w:right w:val="none" w:sz="0" w:space="0" w:color="auto"/>
          </w:divBdr>
        </w:div>
        <w:div w:id="911281914">
          <w:marLeft w:val="0"/>
          <w:marRight w:val="0"/>
          <w:marTop w:val="0"/>
          <w:marBottom w:val="0"/>
          <w:divBdr>
            <w:top w:val="none" w:sz="0" w:space="0" w:color="auto"/>
            <w:left w:val="none" w:sz="0" w:space="0" w:color="auto"/>
            <w:bottom w:val="none" w:sz="0" w:space="0" w:color="auto"/>
            <w:right w:val="none" w:sz="0" w:space="0" w:color="auto"/>
          </w:divBdr>
        </w:div>
        <w:div w:id="325137958">
          <w:marLeft w:val="0"/>
          <w:marRight w:val="0"/>
          <w:marTop w:val="0"/>
          <w:marBottom w:val="0"/>
          <w:divBdr>
            <w:top w:val="none" w:sz="0" w:space="0" w:color="auto"/>
            <w:left w:val="none" w:sz="0" w:space="0" w:color="auto"/>
            <w:bottom w:val="none" w:sz="0" w:space="0" w:color="auto"/>
            <w:right w:val="none" w:sz="0" w:space="0" w:color="auto"/>
          </w:divBdr>
        </w:div>
        <w:div w:id="1876968238">
          <w:marLeft w:val="0"/>
          <w:marRight w:val="0"/>
          <w:marTop w:val="0"/>
          <w:marBottom w:val="0"/>
          <w:divBdr>
            <w:top w:val="none" w:sz="0" w:space="0" w:color="auto"/>
            <w:left w:val="none" w:sz="0" w:space="0" w:color="auto"/>
            <w:bottom w:val="none" w:sz="0" w:space="0" w:color="auto"/>
            <w:right w:val="none" w:sz="0" w:space="0" w:color="auto"/>
          </w:divBdr>
        </w:div>
        <w:div w:id="1639339777">
          <w:marLeft w:val="0"/>
          <w:marRight w:val="0"/>
          <w:marTop w:val="0"/>
          <w:marBottom w:val="0"/>
          <w:divBdr>
            <w:top w:val="none" w:sz="0" w:space="0" w:color="auto"/>
            <w:left w:val="none" w:sz="0" w:space="0" w:color="auto"/>
            <w:bottom w:val="none" w:sz="0" w:space="0" w:color="auto"/>
            <w:right w:val="none" w:sz="0" w:space="0" w:color="auto"/>
          </w:divBdr>
        </w:div>
        <w:div w:id="1769739540">
          <w:marLeft w:val="0"/>
          <w:marRight w:val="0"/>
          <w:marTop w:val="0"/>
          <w:marBottom w:val="0"/>
          <w:divBdr>
            <w:top w:val="none" w:sz="0" w:space="0" w:color="auto"/>
            <w:left w:val="none" w:sz="0" w:space="0" w:color="auto"/>
            <w:bottom w:val="none" w:sz="0" w:space="0" w:color="auto"/>
            <w:right w:val="none" w:sz="0" w:space="0" w:color="auto"/>
          </w:divBdr>
        </w:div>
      </w:divsChild>
    </w:div>
    <w:div w:id="954364480">
      <w:bodyDiv w:val="1"/>
      <w:marLeft w:val="0"/>
      <w:marRight w:val="0"/>
      <w:marTop w:val="0"/>
      <w:marBottom w:val="0"/>
      <w:divBdr>
        <w:top w:val="none" w:sz="0" w:space="0" w:color="auto"/>
        <w:left w:val="none" w:sz="0" w:space="0" w:color="auto"/>
        <w:bottom w:val="none" w:sz="0" w:space="0" w:color="auto"/>
        <w:right w:val="none" w:sz="0" w:space="0" w:color="auto"/>
      </w:divBdr>
    </w:div>
    <w:div w:id="1046833674">
      <w:bodyDiv w:val="1"/>
      <w:marLeft w:val="0"/>
      <w:marRight w:val="0"/>
      <w:marTop w:val="0"/>
      <w:marBottom w:val="0"/>
      <w:divBdr>
        <w:top w:val="none" w:sz="0" w:space="0" w:color="auto"/>
        <w:left w:val="none" w:sz="0" w:space="0" w:color="auto"/>
        <w:bottom w:val="none" w:sz="0" w:space="0" w:color="auto"/>
        <w:right w:val="none" w:sz="0" w:space="0" w:color="auto"/>
      </w:divBdr>
    </w:div>
    <w:div w:id="1196652935">
      <w:bodyDiv w:val="1"/>
      <w:marLeft w:val="0"/>
      <w:marRight w:val="0"/>
      <w:marTop w:val="0"/>
      <w:marBottom w:val="0"/>
      <w:divBdr>
        <w:top w:val="none" w:sz="0" w:space="0" w:color="auto"/>
        <w:left w:val="none" w:sz="0" w:space="0" w:color="auto"/>
        <w:bottom w:val="none" w:sz="0" w:space="0" w:color="auto"/>
        <w:right w:val="none" w:sz="0" w:space="0" w:color="auto"/>
      </w:divBdr>
      <w:divsChild>
        <w:div w:id="1328947948">
          <w:marLeft w:val="0"/>
          <w:marRight w:val="0"/>
          <w:marTop w:val="0"/>
          <w:marBottom w:val="0"/>
          <w:divBdr>
            <w:top w:val="none" w:sz="0" w:space="0" w:color="auto"/>
            <w:left w:val="none" w:sz="0" w:space="0" w:color="auto"/>
            <w:bottom w:val="none" w:sz="0" w:space="0" w:color="auto"/>
            <w:right w:val="none" w:sz="0" w:space="0" w:color="auto"/>
          </w:divBdr>
          <w:divsChild>
            <w:div w:id="702361041">
              <w:marLeft w:val="0"/>
              <w:marRight w:val="0"/>
              <w:marTop w:val="0"/>
              <w:marBottom w:val="0"/>
              <w:divBdr>
                <w:top w:val="none" w:sz="0" w:space="0" w:color="auto"/>
                <w:left w:val="none" w:sz="0" w:space="0" w:color="auto"/>
                <w:bottom w:val="none" w:sz="0" w:space="0" w:color="auto"/>
                <w:right w:val="none" w:sz="0" w:space="0" w:color="auto"/>
              </w:divBdr>
            </w:div>
            <w:div w:id="1334340462">
              <w:marLeft w:val="0"/>
              <w:marRight w:val="0"/>
              <w:marTop w:val="0"/>
              <w:marBottom w:val="0"/>
              <w:divBdr>
                <w:top w:val="none" w:sz="0" w:space="0" w:color="auto"/>
                <w:left w:val="none" w:sz="0" w:space="0" w:color="auto"/>
                <w:bottom w:val="none" w:sz="0" w:space="0" w:color="auto"/>
                <w:right w:val="none" w:sz="0" w:space="0" w:color="auto"/>
              </w:divBdr>
            </w:div>
            <w:div w:id="2144032887">
              <w:marLeft w:val="0"/>
              <w:marRight w:val="0"/>
              <w:marTop w:val="0"/>
              <w:marBottom w:val="0"/>
              <w:divBdr>
                <w:top w:val="none" w:sz="0" w:space="0" w:color="auto"/>
                <w:left w:val="none" w:sz="0" w:space="0" w:color="auto"/>
                <w:bottom w:val="none" w:sz="0" w:space="0" w:color="auto"/>
                <w:right w:val="none" w:sz="0" w:space="0" w:color="auto"/>
              </w:divBdr>
            </w:div>
            <w:div w:id="2068645263">
              <w:marLeft w:val="0"/>
              <w:marRight w:val="0"/>
              <w:marTop w:val="0"/>
              <w:marBottom w:val="0"/>
              <w:divBdr>
                <w:top w:val="none" w:sz="0" w:space="0" w:color="auto"/>
                <w:left w:val="none" w:sz="0" w:space="0" w:color="auto"/>
                <w:bottom w:val="none" w:sz="0" w:space="0" w:color="auto"/>
                <w:right w:val="none" w:sz="0" w:space="0" w:color="auto"/>
              </w:divBdr>
            </w:div>
            <w:div w:id="1518275000">
              <w:marLeft w:val="0"/>
              <w:marRight w:val="0"/>
              <w:marTop w:val="0"/>
              <w:marBottom w:val="0"/>
              <w:divBdr>
                <w:top w:val="none" w:sz="0" w:space="0" w:color="auto"/>
                <w:left w:val="none" w:sz="0" w:space="0" w:color="auto"/>
                <w:bottom w:val="none" w:sz="0" w:space="0" w:color="auto"/>
                <w:right w:val="none" w:sz="0" w:space="0" w:color="auto"/>
              </w:divBdr>
            </w:div>
            <w:div w:id="19584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306">
      <w:bodyDiv w:val="1"/>
      <w:marLeft w:val="0"/>
      <w:marRight w:val="0"/>
      <w:marTop w:val="0"/>
      <w:marBottom w:val="0"/>
      <w:divBdr>
        <w:top w:val="none" w:sz="0" w:space="0" w:color="auto"/>
        <w:left w:val="none" w:sz="0" w:space="0" w:color="auto"/>
        <w:bottom w:val="none" w:sz="0" w:space="0" w:color="auto"/>
        <w:right w:val="none" w:sz="0" w:space="0" w:color="auto"/>
      </w:divBdr>
    </w:div>
    <w:div w:id="1316452765">
      <w:bodyDiv w:val="1"/>
      <w:marLeft w:val="0"/>
      <w:marRight w:val="0"/>
      <w:marTop w:val="0"/>
      <w:marBottom w:val="0"/>
      <w:divBdr>
        <w:top w:val="none" w:sz="0" w:space="0" w:color="auto"/>
        <w:left w:val="none" w:sz="0" w:space="0" w:color="auto"/>
        <w:bottom w:val="none" w:sz="0" w:space="0" w:color="auto"/>
        <w:right w:val="none" w:sz="0" w:space="0" w:color="auto"/>
      </w:divBdr>
    </w:div>
    <w:div w:id="1364986145">
      <w:bodyDiv w:val="1"/>
      <w:marLeft w:val="0"/>
      <w:marRight w:val="0"/>
      <w:marTop w:val="0"/>
      <w:marBottom w:val="0"/>
      <w:divBdr>
        <w:top w:val="none" w:sz="0" w:space="0" w:color="auto"/>
        <w:left w:val="none" w:sz="0" w:space="0" w:color="auto"/>
        <w:bottom w:val="none" w:sz="0" w:space="0" w:color="auto"/>
        <w:right w:val="none" w:sz="0" w:space="0" w:color="auto"/>
      </w:divBdr>
    </w:div>
    <w:div w:id="1759911461">
      <w:bodyDiv w:val="1"/>
      <w:marLeft w:val="0"/>
      <w:marRight w:val="0"/>
      <w:marTop w:val="0"/>
      <w:marBottom w:val="0"/>
      <w:divBdr>
        <w:top w:val="none" w:sz="0" w:space="0" w:color="auto"/>
        <w:left w:val="none" w:sz="0" w:space="0" w:color="auto"/>
        <w:bottom w:val="none" w:sz="0" w:space="0" w:color="auto"/>
        <w:right w:val="none" w:sz="0" w:space="0" w:color="auto"/>
      </w:divBdr>
    </w:div>
    <w:div w:id="1968734198">
      <w:bodyDiv w:val="1"/>
      <w:marLeft w:val="0"/>
      <w:marRight w:val="0"/>
      <w:marTop w:val="0"/>
      <w:marBottom w:val="0"/>
      <w:divBdr>
        <w:top w:val="none" w:sz="0" w:space="0" w:color="auto"/>
        <w:left w:val="none" w:sz="0" w:space="0" w:color="auto"/>
        <w:bottom w:val="none" w:sz="0" w:space="0" w:color="auto"/>
        <w:right w:val="none" w:sz="0" w:space="0" w:color="auto"/>
      </w:divBdr>
      <w:divsChild>
        <w:div w:id="382876589">
          <w:marLeft w:val="0"/>
          <w:marRight w:val="0"/>
          <w:marTop w:val="0"/>
          <w:marBottom w:val="0"/>
          <w:divBdr>
            <w:top w:val="none" w:sz="0" w:space="0" w:color="auto"/>
            <w:left w:val="none" w:sz="0" w:space="0" w:color="auto"/>
            <w:bottom w:val="none" w:sz="0" w:space="0" w:color="auto"/>
            <w:right w:val="none" w:sz="0" w:space="0" w:color="auto"/>
          </w:divBdr>
          <w:divsChild>
            <w:div w:id="1846552392">
              <w:marLeft w:val="0"/>
              <w:marRight w:val="0"/>
              <w:marTop w:val="0"/>
              <w:marBottom w:val="0"/>
              <w:divBdr>
                <w:top w:val="none" w:sz="0" w:space="0" w:color="auto"/>
                <w:left w:val="none" w:sz="0" w:space="0" w:color="auto"/>
                <w:bottom w:val="none" w:sz="0" w:space="0" w:color="auto"/>
                <w:right w:val="none" w:sz="0" w:space="0" w:color="auto"/>
              </w:divBdr>
              <w:divsChild>
                <w:div w:id="1435783001">
                  <w:marLeft w:val="0"/>
                  <w:marRight w:val="0"/>
                  <w:marTop w:val="0"/>
                  <w:marBottom w:val="0"/>
                  <w:divBdr>
                    <w:top w:val="none" w:sz="0" w:space="0" w:color="auto"/>
                    <w:left w:val="none" w:sz="0" w:space="0" w:color="auto"/>
                    <w:bottom w:val="none" w:sz="0" w:space="0" w:color="auto"/>
                    <w:right w:val="none" w:sz="0" w:space="0" w:color="auto"/>
                  </w:divBdr>
                  <w:divsChild>
                    <w:div w:id="491339876">
                      <w:marLeft w:val="0"/>
                      <w:marRight w:val="0"/>
                      <w:marTop w:val="0"/>
                      <w:marBottom w:val="0"/>
                      <w:divBdr>
                        <w:top w:val="none" w:sz="0" w:space="0" w:color="auto"/>
                        <w:left w:val="none" w:sz="0" w:space="0" w:color="auto"/>
                        <w:bottom w:val="none" w:sz="0" w:space="0" w:color="auto"/>
                        <w:right w:val="none" w:sz="0" w:space="0" w:color="auto"/>
                      </w:divBdr>
                      <w:divsChild>
                        <w:div w:id="183175264">
                          <w:marLeft w:val="0"/>
                          <w:marRight w:val="0"/>
                          <w:marTop w:val="0"/>
                          <w:marBottom w:val="0"/>
                          <w:divBdr>
                            <w:top w:val="none" w:sz="0" w:space="0" w:color="auto"/>
                            <w:left w:val="none" w:sz="0" w:space="0" w:color="auto"/>
                            <w:bottom w:val="none" w:sz="0" w:space="0" w:color="auto"/>
                            <w:right w:val="none" w:sz="0" w:space="0" w:color="auto"/>
                          </w:divBdr>
                          <w:divsChild>
                            <w:div w:id="233207036">
                              <w:marLeft w:val="0"/>
                              <w:marRight w:val="0"/>
                              <w:marTop w:val="0"/>
                              <w:marBottom w:val="0"/>
                              <w:divBdr>
                                <w:top w:val="none" w:sz="0" w:space="0" w:color="auto"/>
                                <w:left w:val="none" w:sz="0" w:space="0" w:color="auto"/>
                                <w:bottom w:val="none" w:sz="0" w:space="0" w:color="auto"/>
                                <w:right w:val="none" w:sz="0" w:space="0" w:color="auto"/>
                              </w:divBdr>
                            </w:div>
                          </w:divsChild>
                        </w:div>
                        <w:div w:id="1958753597">
                          <w:marLeft w:val="0"/>
                          <w:marRight w:val="0"/>
                          <w:marTop w:val="0"/>
                          <w:marBottom w:val="0"/>
                          <w:divBdr>
                            <w:top w:val="none" w:sz="0" w:space="0" w:color="auto"/>
                            <w:left w:val="none" w:sz="0" w:space="0" w:color="auto"/>
                            <w:bottom w:val="none" w:sz="0" w:space="0" w:color="auto"/>
                            <w:right w:val="none" w:sz="0" w:space="0" w:color="auto"/>
                          </w:divBdr>
                          <w:divsChild>
                            <w:div w:id="2146585331">
                              <w:marLeft w:val="0"/>
                              <w:marRight w:val="0"/>
                              <w:marTop w:val="0"/>
                              <w:marBottom w:val="0"/>
                              <w:divBdr>
                                <w:top w:val="none" w:sz="0" w:space="0" w:color="auto"/>
                                <w:left w:val="none" w:sz="0" w:space="0" w:color="auto"/>
                                <w:bottom w:val="none" w:sz="0" w:space="0" w:color="auto"/>
                                <w:right w:val="none" w:sz="0" w:space="0" w:color="auto"/>
                              </w:divBdr>
                              <w:divsChild>
                                <w:div w:id="1529874938">
                                  <w:marLeft w:val="0"/>
                                  <w:marRight w:val="0"/>
                                  <w:marTop w:val="0"/>
                                  <w:marBottom w:val="0"/>
                                  <w:divBdr>
                                    <w:top w:val="none" w:sz="0" w:space="0" w:color="auto"/>
                                    <w:left w:val="none" w:sz="0" w:space="0" w:color="auto"/>
                                    <w:bottom w:val="none" w:sz="0" w:space="0" w:color="auto"/>
                                    <w:right w:val="none" w:sz="0" w:space="0" w:color="auto"/>
                                  </w:divBdr>
                                </w:div>
                                <w:div w:id="1076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134">
                          <w:marLeft w:val="0"/>
                          <w:marRight w:val="0"/>
                          <w:marTop w:val="0"/>
                          <w:marBottom w:val="0"/>
                          <w:divBdr>
                            <w:top w:val="none" w:sz="0" w:space="0" w:color="auto"/>
                            <w:left w:val="none" w:sz="0" w:space="0" w:color="auto"/>
                            <w:bottom w:val="none" w:sz="0" w:space="0" w:color="auto"/>
                            <w:right w:val="none" w:sz="0" w:space="0" w:color="auto"/>
                          </w:divBdr>
                          <w:divsChild>
                            <w:div w:id="108864918">
                              <w:marLeft w:val="0"/>
                              <w:marRight w:val="0"/>
                              <w:marTop w:val="0"/>
                              <w:marBottom w:val="0"/>
                              <w:divBdr>
                                <w:top w:val="none" w:sz="0" w:space="0" w:color="auto"/>
                                <w:left w:val="none" w:sz="0" w:space="0" w:color="auto"/>
                                <w:bottom w:val="none" w:sz="0" w:space="0" w:color="auto"/>
                                <w:right w:val="none" w:sz="0" w:space="0" w:color="auto"/>
                              </w:divBdr>
                            </w:div>
                          </w:divsChild>
                        </w:div>
                        <w:div w:id="1496873449">
                          <w:marLeft w:val="0"/>
                          <w:marRight w:val="0"/>
                          <w:marTop w:val="0"/>
                          <w:marBottom w:val="0"/>
                          <w:divBdr>
                            <w:top w:val="none" w:sz="0" w:space="0" w:color="auto"/>
                            <w:left w:val="none" w:sz="0" w:space="0" w:color="auto"/>
                            <w:bottom w:val="none" w:sz="0" w:space="0" w:color="auto"/>
                            <w:right w:val="none" w:sz="0" w:space="0" w:color="auto"/>
                          </w:divBdr>
                          <w:divsChild>
                            <w:div w:id="1507748164">
                              <w:marLeft w:val="0"/>
                              <w:marRight w:val="0"/>
                              <w:marTop w:val="0"/>
                              <w:marBottom w:val="0"/>
                              <w:divBdr>
                                <w:top w:val="none" w:sz="0" w:space="0" w:color="auto"/>
                                <w:left w:val="none" w:sz="0" w:space="0" w:color="auto"/>
                                <w:bottom w:val="none" w:sz="0" w:space="0" w:color="auto"/>
                                <w:right w:val="none" w:sz="0" w:space="0" w:color="auto"/>
                              </w:divBdr>
                            </w:div>
                            <w:div w:id="1674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861">
                  <w:marLeft w:val="0"/>
                  <w:marRight w:val="0"/>
                  <w:marTop w:val="0"/>
                  <w:marBottom w:val="0"/>
                  <w:divBdr>
                    <w:top w:val="none" w:sz="0" w:space="0" w:color="auto"/>
                    <w:left w:val="none" w:sz="0" w:space="0" w:color="auto"/>
                    <w:bottom w:val="none" w:sz="0" w:space="0" w:color="auto"/>
                    <w:right w:val="none" w:sz="0" w:space="0" w:color="auto"/>
                  </w:divBdr>
                  <w:divsChild>
                    <w:div w:id="438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592">
          <w:marLeft w:val="0"/>
          <w:marRight w:val="0"/>
          <w:marTop w:val="0"/>
          <w:marBottom w:val="0"/>
          <w:divBdr>
            <w:top w:val="none" w:sz="0" w:space="0" w:color="auto"/>
            <w:left w:val="none" w:sz="0" w:space="0" w:color="auto"/>
            <w:bottom w:val="none" w:sz="0" w:space="0" w:color="auto"/>
            <w:right w:val="none" w:sz="0" w:space="0" w:color="auto"/>
          </w:divBdr>
        </w:div>
      </w:divsChild>
    </w:div>
    <w:div w:id="2143957563">
      <w:bodyDiv w:val="1"/>
      <w:marLeft w:val="-255"/>
      <w:marRight w:val="0"/>
      <w:marTop w:val="0"/>
      <w:marBottom w:val="0"/>
      <w:divBdr>
        <w:top w:val="none" w:sz="0" w:space="0" w:color="auto"/>
        <w:left w:val="none" w:sz="0" w:space="0" w:color="auto"/>
        <w:bottom w:val="none" w:sz="0" w:space="0" w:color="auto"/>
        <w:right w:val="none" w:sz="0" w:space="0" w:color="auto"/>
      </w:divBdr>
      <w:divsChild>
        <w:div w:id="2058621012">
          <w:marLeft w:val="0"/>
          <w:marRight w:val="0"/>
          <w:marTop w:val="0"/>
          <w:marBottom w:val="0"/>
          <w:divBdr>
            <w:top w:val="none" w:sz="0" w:space="0" w:color="auto"/>
            <w:left w:val="none" w:sz="0" w:space="0" w:color="auto"/>
            <w:bottom w:val="none" w:sz="0" w:space="0" w:color="auto"/>
            <w:right w:val="none" w:sz="0" w:space="0" w:color="auto"/>
          </w:divBdr>
          <w:divsChild>
            <w:div w:id="1311130195">
              <w:marLeft w:val="0"/>
              <w:marRight w:val="0"/>
              <w:marTop w:val="0"/>
              <w:marBottom w:val="0"/>
              <w:divBdr>
                <w:top w:val="none" w:sz="0" w:space="0" w:color="auto"/>
                <w:left w:val="none" w:sz="0" w:space="0" w:color="auto"/>
                <w:bottom w:val="none" w:sz="0" w:space="0" w:color="auto"/>
                <w:right w:val="none" w:sz="0" w:space="0" w:color="auto"/>
              </w:divBdr>
              <w:divsChild>
                <w:div w:id="2085756028">
                  <w:marLeft w:val="0"/>
                  <w:marRight w:val="0"/>
                  <w:marTop w:val="0"/>
                  <w:marBottom w:val="0"/>
                  <w:divBdr>
                    <w:top w:val="none" w:sz="0" w:space="0" w:color="auto"/>
                    <w:left w:val="none" w:sz="0" w:space="0" w:color="auto"/>
                    <w:bottom w:val="none" w:sz="0" w:space="0" w:color="auto"/>
                    <w:right w:val="none" w:sz="0" w:space="0" w:color="auto"/>
                  </w:divBdr>
                  <w:divsChild>
                    <w:div w:id="1131559079">
                      <w:marLeft w:val="0"/>
                      <w:marRight w:val="0"/>
                      <w:marTop w:val="0"/>
                      <w:marBottom w:val="0"/>
                      <w:divBdr>
                        <w:top w:val="none" w:sz="0" w:space="0" w:color="auto"/>
                        <w:left w:val="none" w:sz="0" w:space="0" w:color="auto"/>
                        <w:bottom w:val="none" w:sz="0" w:space="0" w:color="auto"/>
                        <w:right w:val="none" w:sz="0" w:space="0" w:color="auto"/>
                      </w:divBdr>
                      <w:divsChild>
                        <w:div w:id="540674184">
                          <w:marLeft w:val="0"/>
                          <w:marRight w:val="0"/>
                          <w:marTop w:val="0"/>
                          <w:marBottom w:val="0"/>
                          <w:divBdr>
                            <w:top w:val="none" w:sz="0" w:space="0" w:color="auto"/>
                            <w:left w:val="none" w:sz="0" w:space="0" w:color="auto"/>
                            <w:bottom w:val="none" w:sz="0" w:space="0" w:color="auto"/>
                            <w:right w:val="none" w:sz="0" w:space="0" w:color="auto"/>
                          </w:divBdr>
                          <w:divsChild>
                            <w:div w:id="1184978771">
                              <w:marLeft w:val="0"/>
                              <w:marRight w:val="0"/>
                              <w:marTop w:val="0"/>
                              <w:marBottom w:val="0"/>
                              <w:divBdr>
                                <w:top w:val="none" w:sz="0" w:space="0" w:color="auto"/>
                                <w:left w:val="none" w:sz="0" w:space="0" w:color="auto"/>
                                <w:bottom w:val="none" w:sz="0" w:space="0" w:color="auto"/>
                                <w:right w:val="none" w:sz="0" w:space="0" w:color="auto"/>
                              </w:divBdr>
                              <w:divsChild>
                                <w:div w:id="1353343455">
                                  <w:marLeft w:val="0"/>
                                  <w:marRight w:val="0"/>
                                  <w:marTop w:val="0"/>
                                  <w:marBottom w:val="0"/>
                                  <w:divBdr>
                                    <w:top w:val="none" w:sz="0" w:space="0" w:color="auto"/>
                                    <w:left w:val="none" w:sz="0" w:space="0" w:color="auto"/>
                                    <w:bottom w:val="none" w:sz="0" w:space="0" w:color="auto"/>
                                    <w:right w:val="none" w:sz="0" w:space="0" w:color="auto"/>
                                  </w:divBdr>
                                  <w:divsChild>
                                    <w:div w:id="25064622">
                                      <w:marLeft w:val="0"/>
                                      <w:marRight w:val="270"/>
                                      <w:marTop w:val="0"/>
                                      <w:marBottom w:val="0"/>
                                      <w:divBdr>
                                        <w:top w:val="none" w:sz="0" w:space="0" w:color="auto"/>
                                        <w:left w:val="none" w:sz="0" w:space="0" w:color="auto"/>
                                        <w:bottom w:val="none" w:sz="0" w:space="0" w:color="auto"/>
                                        <w:right w:val="none" w:sz="0" w:space="0" w:color="auto"/>
                                      </w:divBdr>
                                      <w:divsChild>
                                        <w:div w:id="154416581">
                                          <w:marLeft w:val="0"/>
                                          <w:marRight w:val="0"/>
                                          <w:marTop w:val="0"/>
                                          <w:marBottom w:val="0"/>
                                          <w:divBdr>
                                            <w:top w:val="none" w:sz="0" w:space="0" w:color="auto"/>
                                            <w:left w:val="none" w:sz="0" w:space="0" w:color="auto"/>
                                            <w:bottom w:val="none" w:sz="0" w:space="0" w:color="auto"/>
                                            <w:right w:val="none" w:sz="0" w:space="0" w:color="auto"/>
                                          </w:divBdr>
                                          <w:divsChild>
                                            <w:div w:id="678654354">
                                              <w:marLeft w:val="0"/>
                                              <w:marRight w:val="0"/>
                                              <w:marTop w:val="0"/>
                                              <w:marBottom w:val="0"/>
                                              <w:divBdr>
                                                <w:top w:val="none" w:sz="0" w:space="0" w:color="auto"/>
                                                <w:left w:val="none" w:sz="0" w:space="0" w:color="auto"/>
                                                <w:bottom w:val="none" w:sz="0" w:space="0" w:color="auto"/>
                                                <w:right w:val="none" w:sz="0" w:space="0" w:color="auto"/>
                                              </w:divBdr>
                                              <w:divsChild>
                                                <w:div w:id="352608194">
                                                  <w:marLeft w:val="0"/>
                                                  <w:marRight w:val="0"/>
                                                  <w:marTop w:val="0"/>
                                                  <w:marBottom w:val="0"/>
                                                  <w:divBdr>
                                                    <w:top w:val="none" w:sz="0" w:space="0" w:color="auto"/>
                                                    <w:left w:val="none" w:sz="0" w:space="0" w:color="auto"/>
                                                    <w:bottom w:val="none" w:sz="0" w:space="0" w:color="auto"/>
                                                    <w:right w:val="none" w:sz="0" w:space="0" w:color="auto"/>
                                                  </w:divBdr>
                                                  <w:divsChild>
                                                    <w:div w:id="720055326">
                                                      <w:marLeft w:val="0"/>
                                                      <w:marRight w:val="0"/>
                                                      <w:marTop w:val="0"/>
                                                      <w:marBottom w:val="0"/>
                                                      <w:divBdr>
                                                        <w:top w:val="none" w:sz="0" w:space="0" w:color="auto"/>
                                                        <w:left w:val="none" w:sz="0" w:space="0" w:color="auto"/>
                                                        <w:bottom w:val="none" w:sz="0" w:space="0" w:color="auto"/>
                                                        <w:right w:val="none" w:sz="0" w:space="0" w:color="auto"/>
                                                      </w:divBdr>
                                                      <w:divsChild>
                                                        <w:div w:id="336033451">
                                                          <w:marLeft w:val="0"/>
                                                          <w:marRight w:val="0"/>
                                                          <w:marTop w:val="0"/>
                                                          <w:marBottom w:val="0"/>
                                                          <w:divBdr>
                                                            <w:top w:val="none" w:sz="0" w:space="0" w:color="auto"/>
                                                            <w:left w:val="none" w:sz="0" w:space="0" w:color="auto"/>
                                                            <w:bottom w:val="none" w:sz="0" w:space="0" w:color="auto"/>
                                                            <w:right w:val="none" w:sz="0" w:space="0" w:color="auto"/>
                                                          </w:divBdr>
                                                          <w:divsChild>
                                                            <w:div w:id="4527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754">
                                                  <w:marLeft w:val="150"/>
                                                  <w:marRight w:val="0"/>
                                                  <w:marTop w:val="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none" w:sz="0" w:space="0" w:color="auto"/>
                                                        <w:left w:val="none" w:sz="0" w:space="0" w:color="auto"/>
                                                        <w:bottom w:val="none" w:sz="0" w:space="0" w:color="auto"/>
                                                        <w:right w:val="none" w:sz="0" w:space="0" w:color="auto"/>
                                                      </w:divBdr>
                                                      <w:divsChild>
                                                        <w:div w:id="1340233346">
                                                          <w:marLeft w:val="0"/>
                                                          <w:marRight w:val="0"/>
                                                          <w:marTop w:val="0"/>
                                                          <w:marBottom w:val="0"/>
                                                          <w:divBdr>
                                                            <w:top w:val="none" w:sz="0" w:space="0" w:color="auto"/>
                                                            <w:left w:val="none" w:sz="0" w:space="0" w:color="auto"/>
                                                            <w:bottom w:val="none" w:sz="0" w:space="0" w:color="auto"/>
                                                            <w:right w:val="none" w:sz="0" w:space="0" w:color="auto"/>
                                                          </w:divBdr>
                                                          <w:divsChild>
                                                            <w:div w:id="866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358">
                                          <w:marLeft w:val="0"/>
                                          <w:marRight w:val="0"/>
                                          <w:marTop w:val="0"/>
                                          <w:marBottom w:val="0"/>
                                          <w:divBdr>
                                            <w:top w:val="none" w:sz="0" w:space="0" w:color="auto"/>
                                            <w:left w:val="none" w:sz="0" w:space="0" w:color="auto"/>
                                            <w:bottom w:val="none" w:sz="0" w:space="0" w:color="auto"/>
                                            <w:right w:val="none" w:sz="0" w:space="0" w:color="auto"/>
                                          </w:divBdr>
                                          <w:divsChild>
                                            <w:div w:id="218513744">
                                              <w:marLeft w:val="0"/>
                                              <w:marRight w:val="0"/>
                                              <w:marTop w:val="0"/>
                                              <w:marBottom w:val="0"/>
                                              <w:divBdr>
                                                <w:top w:val="none" w:sz="0" w:space="0" w:color="auto"/>
                                                <w:left w:val="none" w:sz="0" w:space="0" w:color="auto"/>
                                                <w:bottom w:val="none" w:sz="0" w:space="0" w:color="auto"/>
                                                <w:right w:val="none" w:sz="0" w:space="0" w:color="auto"/>
                                              </w:divBdr>
                                              <w:divsChild>
                                                <w:div w:id="173959496">
                                                  <w:marLeft w:val="0"/>
                                                  <w:marRight w:val="0"/>
                                                  <w:marTop w:val="0"/>
                                                  <w:marBottom w:val="0"/>
                                                  <w:divBdr>
                                                    <w:top w:val="none" w:sz="0" w:space="0" w:color="auto"/>
                                                    <w:left w:val="none" w:sz="0" w:space="0" w:color="auto"/>
                                                    <w:bottom w:val="none" w:sz="0" w:space="0" w:color="auto"/>
                                                    <w:right w:val="none" w:sz="0" w:space="0" w:color="auto"/>
                                                  </w:divBdr>
                                                  <w:divsChild>
                                                    <w:div w:id="1080714444">
                                                      <w:marLeft w:val="0"/>
                                                      <w:marRight w:val="0"/>
                                                      <w:marTop w:val="0"/>
                                                      <w:marBottom w:val="0"/>
                                                      <w:divBdr>
                                                        <w:top w:val="none" w:sz="0" w:space="0" w:color="auto"/>
                                                        <w:left w:val="none" w:sz="0" w:space="0" w:color="auto"/>
                                                        <w:bottom w:val="none" w:sz="0" w:space="0" w:color="auto"/>
                                                        <w:right w:val="none" w:sz="0" w:space="0" w:color="auto"/>
                                                      </w:divBdr>
                                                      <w:divsChild>
                                                        <w:div w:id="1019355617">
                                                          <w:marLeft w:val="0"/>
                                                          <w:marRight w:val="0"/>
                                                          <w:marTop w:val="0"/>
                                                          <w:marBottom w:val="0"/>
                                                          <w:divBdr>
                                                            <w:top w:val="none" w:sz="0" w:space="0" w:color="auto"/>
                                                            <w:left w:val="none" w:sz="0" w:space="0" w:color="auto"/>
                                                            <w:bottom w:val="none" w:sz="0" w:space="0" w:color="auto"/>
                                                            <w:right w:val="none" w:sz="0" w:space="0" w:color="auto"/>
                                                          </w:divBdr>
                                                          <w:divsChild>
                                                            <w:div w:id="83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3633">
                                                  <w:marLeft w:val="150"/>
                                                  <w:marRight w:val="0"/>
                                                  <w:marTop w:val="0"/>
                                                  <w:marBottom w:val="0"/>
                                                  <w:divBdr>
                                                    <w:top w:val="none" w:sz="0" w:space="0" w:color="auto"/>
                                                    <w:left w:val="none" w:sz="0" w:space="0" w:color="auto"/>
                                                    <w:bottom w:val="none" w:sz="0" w:space="0" w:color="auto"/>
                                                    <w:right w:val="none" w:sz="0" w:space="0" w:color="auto"/>
                                                  </w:divBdr>
                                                  <w:divsChild>
                                                    <w:div w:id="1503624506">
                                                      <w:marLeft w:val="0"/>
                                                      <w:marRight w:val="0"/>
                                                      <w:marTop w:val="0"/>
                                                      <w:marBottom w:val="0"/>
                                                      <w:divBdr>
                                                        <w:top w:val="none" w:sz="0" w:space="0" w:color="auto"/>
                                                        <w:left w:val="none" w:sz="0" w:space="0" w:color="auto"/>
                                                        <w:bottom w:val="none" w:sz="0" w:space="0" w:color="auto"/>
                                                        <w:right w:val="none" w:sz="0" w:space="0" w:color="auto"/>
                                                      </w:divBdr>
                                                      <w:divsChild>
                                                        <w:div w:id="289242346">
                                                          <w:marLeft w:val="0"/>
                                                          <w:marRight w:val="0"/>
                                                          <w:marTop w:val="0"/>
                                                          <w:marBottom w:val="0"/>
                                                          <w:divBdr>
                                                            <w:top w:val="none" w:sz="0" w:space="0" w:color="auto"/>
                                                            <w:left w:val="none" w:sz="0" w:space="0" w:color="auto"/>
                                                            <w:bottom w:val="none" w:sz="0" w:space="0" w:color="auto"/>
                                                            <w:right w:val="none" w:sz="0" w:space="0" w:color="auto"/>
                                                          </w:divBdr>
                                                          <w:divsChild>
                                                            <w:div w:id="5020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92868">
                                          <w:marLeft w:val="0"/>
                                          <w:marRight w:val="0"/>
                                          <w:marTop w:val="0"/>
                                          <w:marBottom w:val="0"/>
                                          <w:divBdr>
                                            <w:top w:val="none" w:sz="0" w:space="0" w:color="auto"/>
                                            <w:left w:val="none" w:sz="0" w:space="0" w:color="auto"/>
                                            <w:bottom w:val="none" w:sz="0" w:space="0" w:color="auto"/>
                                            <w:right w:val="none" w:sz="0" w:space="0" w:color="auto"/>
                                          </w:divBdr>
                                        </w:div>
                                        <w:div w:id="1990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tatistikas-temas/darbaspeka-izmaksas-galvenie-raditaji-3031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munds.lauski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F5BF-F94C-4EB3-97C6-ECE111BB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13565</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VARAM</dc:creator>
  <cp:keywords>VARAM PPSP koncepcija</cp:keywords>
  <dc:description>liene.mikelsone@varam.gov.lv_x000d_
T. 67026569</dc:description>
  <cp:lastModifiedBy>larisat</cp:lastModifiedBy>
  <cp:revision>2</cp:revision>
  <cp:lastPrinted>2012-11-16T08:17:00Z</cp:lastPrinted>
  <dcterms:created xsi:type="dcterms:W3CDTF">2015-04-29T08:59:00Z</dcterms:created>
  <dcterms:modified xsi:type="dcterms:W3CDTF">2015-04-29T08:59:00Z</dcterms:modified>
  <cp:contentStatus/>
</cp:coreProperties>
</file>