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36F94" w14:textId="77777777" w:rsidR="00F030A5" w:rsidRPr="00E94CF2" w:rsidRDefault="00F030A5" w:rsidP="00236152">
      <w:pPr>
        <w:spacing w:after="100" w:line="240" w:lineRule="auto"/>
        <w:jc w:val="center"/>
        <w:rPr>
          <w:rFonts w:ascii="Times New Roman" w:hAnsi="Times New Roman" w:cs="Times New Roman"/>
          <w:b/>
          <w:sz w:val="28"/>
          <w:szCs w:val="28"/>
        </w:rPr>
      </w:pPr>
      <w:r w:rsidRPr="00E94CF2">
        <w:rPr>
          <w:rFonts w:ascii="Times New Roman" w:hAnsi="Times New Roman" w:cs="Times New Roman"/>
          <w:b/>
          <w:sz w:val="28"/>
          <w:szCs w:val="28"/>
        </w:rPr>
        <w:t>Informatīvais ziņojums</w:t>
      </w:r>
    </w:p>
    <w:p w14:paraId="15FC3777" w14:textId="75708928" w:rsidR="00F030A5" w:rsidRPr="00E94CF2" w:rsidRDefault="0086045F" w:rsidP="00236152">
      <w:pPr>
        <w:spacing w:after="100" w:line="240" w:lineRule="auto"/>
        <w:ind w:right="1133"/>
        <w:jc w:val="center"/>
        <w:rPr>
          <w:rFonts w:ascii="Times New Roman" w:hAnsi="Times New Roman" w:cs="Times New Roman"/>
          <w:b/>
          <w:sz w:val="28"/>
          <w:szCs w:val="28"/>
        </w:rPr>
      </w:pPr>
      <w:r w:rsidRPr="00E94CF2">
        <w:rPr>
          <w:rFonts w:ascii="Times New Roman" w:hAnsi="Times New Roman" w:cs="Times New Roman"/>
          <w:b/>
          <w:sz w:val="28"/>
          <w:szCs w:val="28"/>
        </w:rPr>
        <w:t>P</w:t>
      </w:r>
      <w:r w:rsidR="00F030A5" w:rsidRPr="00E94CF2">
        <w:rPr>
          <w:rFonts w:ascii="Times New Roman" w:hAnsi="Times New Roman" w:cs="Times New Roman"/>
          <w:b/>
          <w:sz w:val="28"/>
          <w:szCs w:val="28"/>
        </w:rPr>
        <w:t xml:space="preserve">ar </w:t>
      </w:r>
      <w:r w:rsidR="00940DB1">
        <w:rPr>
          <w:rFonts w:ascii="Times New Roman" w:hAnsi="Times New Roman" w:cs="Times New Roman"/>
          <w:b/>
          <w:sz w:val="28"/>
          <w:szCs w:val="28"/>
        </w:rPr>
        <w:t xml:space="preserve">aktuālajiem jautājumiem </w:t>
      </w:r>
      <w:r w:rsidR="00F030A5" w:rsidRPr="00E94CF2">
        <w:rPr>
          <w:rFonts w:ascii="Times New Roman" w:hAnsi="Times New Roman" w:cs="Times New Roman"/>
          <w:b/>
          <w:sz w:val="28"/>
          <w:szCs w:val="28"/>
        </w:rPr>
        <w:t>Klimata un enerģētikas politikas satvara laikposmam</w:t>
      </w:r>
      <w:r w:rsidR="00961689">
        <w:rPr>
          <w:rFonts w:ascii="Times New Roman" w:hAnsi="Times New Roman" w:cs="Times New Roman"/>
          <w:b/>
          <w:sz w:val="28"/>
          <w:szCs w:val="28"/>
        </w:rPr>
        <w:t xml:space="preserve"> no 2020.gada</w:t>
      </w:r>
      <w:r w:rsidR="00F030A5" w:rsidRPr="00E94CF2">
        <w:rPr>
          <w:rFonts w:ascii="Times New Roman" w:hAnsi="Times New Roman" w:cs="Times New Roman"/>
          <w:b/>
          <w:sz w:val="28"/>
          <w:szCs w:val="28"/>
        </w:rPr>
        <w:t xml:space="preserve"> līdz 2030.gadam </w:t>
      </w:r>
      <w:r w:rsidR="00940DB1">
        <w:rPr>
          <w:rFonts w:ascii="Times New Roman" w:hAnsi="Times New Roman" w:cs="Times New Roman"/>
          <w:b/>
          <w:sz w:val="28"/>
          <w:szCs w:val="28"/>
        </w:rPr>
        <w:t>ietvaros</w:t>
      </w:r>
    </w:p>
    <w:p w14:paraId="07E89AA3" w14:textId="05F8FEA0" w:rsidR="00F030A5" w:rsidRDefault="00F030A5" w:rsidP="00236152">
      <w:pPr>
        <w:spacing w:after="100" w:line="240" w:lineRule="auto"/>
        <w:ind w:firstLine="540"/>
        <w:jc w:val="both"/>
        <w:outlineLvl w:val="2"/>
        <w:rPr>
          <w:rFonts w:ascii="Times New Roman" w:hAnsi="Times New Roman" w:cs="Times New Roman"/>
          <w:sz w:val="24"/>
          <w:szCs w:val="24"/>
        </w:rPr>
      </w:pPr>
      <w:r w:rsidRPr="00E94CF2">
        <w:rPr>
          <w:rFonts w:ascii="Times New Roman" w:hAnsi="Times New Roman" w:cs="Times New Roman"/>
          <w:sz w:val="24"/>
          <w:szCs w:val="24"/>
        </w:rPr>
        <w:t xml:space="preserve">Informatīvais ziņojums ir sagatavots </w:t>
      </w:r>
      <w:r w:rsidR="00666FD9">
        <w:rPr>
          <w:rFonts w:ascii="Times New Roman" w:hAnsi="Times New Roman" w:cs="Times New Roman"/>
          <w:sz w:val="24"/>
          <w:szCs w:val="24"/>
        </w:rPr>
        <w:t>ņemot vērā</w:t>
      </w:r>
      <w:r w:rsidRPr="00E94CF2">
        <w:rPr>
          <w:rFonts w:ascii="Times New Roman" w:hAnsi="Times New Roman" w:cs="Times New Roman"/>
          <w:sz w:val="24"/>
          <w:szCs w:val="24"/>
        </w:rPr>
        <w:t xml:space="preserve"> Ministru kabineta 2014.gada 14.oktobra protokola Nr.55 54.§ „Latvijas Repu</w:t>
      </w:r>
      <w:r w:rsidR="00B0208E" w:rsidRPr="00E94CF2">
        <w:rPr>
          <w:rFonts w:ascii="Times New Roman" w:hAnsi="Times New Roman" w:cs="Times New Roman"/>
          <w:sz w:val="24"/>
          <w:szCs w:val="24"/>
        </w:rPr>
        <w:t>blikas nacionālā pozīcija Nr.3 „</w:t>
      </w:r>
      <w:r w:rsidRPr="00E94CF2">
        <w:rPr>
          <w:rFonts w:ascii="Times New Roman" w:hAnsi="Times New Roman" w:cs="Times New Roman"/>
          <w:sz w:val="24"/>
          <w:szCs w:val="24"/>
        </w:rPr>
        <w:t>Par Klimata un enerģētikas politikas satvaru laikposmam no 2020.gada līdz 2030.gadam”</w:t>
      </w:r>
      <w:r w:rsidR="00B0208E" w:rsidRPr="00E94CF2">
        <w:rPr>
          <w:rFonts w:ascii="Times New Roman" w:hAnsi="Times New Roman" w:cs="Times New Roman"/>
          <w:sz w:val="24"/>
          <w:szCs w:val="24"/>
        </w:rPr>
        <w:t>”</w:t>
      </w:r>
      <w:r w:rsidRPr="00E94CF2">
        <w:rPr>
          <w:rFonts w:ascii="Times New Roman" w:hAnsi="Times New Roman" w:cs="Times New Roman"/>
          <w:sz w:val="24"/>
          <w:szCs w:val="24"/>
        </w:rPr>
        <w:t xml:space="preserve"> 3.punktu, ar kuru tika noteikts, ka ministrij</w:t>
      </w:r>
      <w:r w:rsidR="00666FD9">
        <w:rPr>
          <w:rFonts w:ascii="Times New Roman" w:hAnsi="Times New Roman" w:cs="Times New Roman"/>
          <w:sz w:val="24"/>
          <w:szCs w:val="24"/>
        </w:rPr>
        <w:t>ām</w:t>
      </w:r>
      <w:r w:rsidRPr="00E94CF2">
        <w:rPr>
          <w:rFonts w:ascii="Times New Roman" w:hAnsi="Times New Roman" w:cs="Times New Roman"/>
          <w:sz w:val="24"/>
          <w:szCs w:val="24"/>
        </w:rPr>
        <w:t xml:space="preserve"> ekspertu līmenī ir jāturpina sistemātisks darb</w:t>
      </w:r>
      <w:r w:rsidR="00666FD9">
        <w:rPr>
          <w:rFonts w:ascii="Times New Roman" w:hAnsi="Times New Roman" w:cs="Times New Roman"/>
          <w:sz w:val="24"/>
          <w:szCs w:val="24"/>
        </w:rPr>
        <w:t xml:space="preserve">s </w:t>
      </w:r>
      <w:r w:rsidRPr="00E94CF2">
        <w:rPr>
          <w:rFonts w:ascii="Times New Roman" w:hAnsi="Times New Roman" w:cs="Times New Roman"/>
          <w:sz w:val="24"/>
          <w:szCs w:val="24"/>
        </w:rPr>
        <w:t>ar Eiropas Komisiju, lai Klimata un enerģētikas politikas satvaram laikposmam no 2020.gada līdz 2030.gadam</w:t>
      </w:r>
      <w:r w:rsidR="00D02A62" w:rsidRPr="00E94CF2">
        <w:rPr>
          <w:rFonts w:ascii="Times New Roman" w:hAnsi="Times New Roman" w:cs="Times New Roman"/>
          <w:sz w:val="24"/>
          <w:szCs w:val="24"/>
        </w:rPr>
        <w:t xml:space="preserve"> (turpmāk – KEP</w:t>
      </w:r>
      <w:r w:rsidR="008C3693">
        <w:rPr>
          <w:rFonts w:ascii="Times New Roman" w:hAnsi="Times New Roman" w:cs="Times New Roman"/>
          <w:sz w:val="24"/>
          <w:szCs w:val="24"/>
        </w:rPr>
        <w:t>S</w:t>
      </w:r>
      <w:r w:rsidR="00D02A62" w:rsidRPr="00E94CF2">
        <w:rPr>
          <w:rFonts w:ascii="Times New Roman" w:hAnsi="Times New Roman" w:cs="Times New Roman"/>
          <w:sz w:val="24"/>
          <w:szCs w:val="24"/>
        </w:rPr>
        <w:t>2030)</w:t>
      </w:r>
      <w:r w:rsidRPr="00E94CF2">
        <w:rPr>
          <w:rFonts w:ascii="Times New Roman" w:hAnsi="Times New Roman" w:cs="Times New Roman"/>
          <w:sz w:val="24"/>
          <w:szCs w:val="24"/>
        </w:rPr>
        <w:t xml:space="preserve"> pakārtoto Eiropas Savienības normatīvo aktu projektu sagatavošanas procesā panāktu Latvijai atbilstošus nosacījumus.</w:t>
      </w:r>
      <w:r w:rsidR="00AC541D">
        <w:rPr>
          <w:rFonts w:ascii="Times New Roman" w:hAnsi="Times New Roman" w:cs="Times New Roman"/>
          <w:sz w:val="24"/>
          <w:szCs w:val="24"/>
        </w:rPr>
        <w:t xml:space="preserve"> </w:t>
      </w:r>
    </w:p>
    <w:p w14:paraId="0DF02C6D" w14:textId="712135FC" w:rsidR="00AC541D" w:rsidRDefault="00AC541D" w:rsidP="00236152">
      <w:pPr>
        <w:spacing w:after="10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Šī ziņojuma mērķis ir informēt par līdz šim veikto darbu attiecībā uz Latvijai nozīmīgiem jautājumiem, kā arī sniegt ieskatu </w:t>
      </w:r>
      <w:r w:rsidR="001B2843">
        <w:rPr>
          <w:rFonts w:ascii="Times New Roman" w:hAnsi="Times New Roman" w:cs="Times New Roman"/>
          <w:sz w:val="24"/>
          <w:szCs w:val="24"/>
        </w:rPr>
        <w:t>par turpmāk veicamajām darbībām, lai nodrošinātu Latvijas interešu aizstāvību.</w:t>
      </w:r>
    </w:p>
    <w:p w14:paraId="1C69B06A" w14:textId="77777777" w:rsidR="008C3693" w:rsidRPr="00E94CF2" w:rsidRDefault="008C3693" w:rsidP="00236152">
      <w:pPr>
        <w:spacing w:after="100" w:line="240" w:lineRule="auto"/>
        <w:ind w:firstLine="540"/>
        <w:jc w:val="both"/>
        <w:outlineLvl w:val="2"/>
        <w:rPr>
          <w:rFonts w:ascii="Times New Roman" w:hAnsi="Times New Roman" w:cs="Times New Roman"/>
          <w:sz w:val="24"/>
          <w:szCs w:val="24"/>
        </w:rPr>
      </w:pPr>
    </w:p>
    <w:p w14:paraId="018120DB" w14:textId="77777777" w:rsidR="008742A0" w:rsidRPr="00E94CF2" w:rsidRDefault="00D5681C" w:rsidP="00236152">
      <w:pPr>
        <w:pStyle w:val="ListParagraph"/>
        <w:numPr>
          <w:ilvl w:val="0"/>
          <w:numId w:val="5"/>
        </w:numPr>
        <w:spacing w:after="100" w:line="240" w:lineRule="auto"/>
        <w:contextualSpacing w:val="0"/>
        <w:jc w:val="both"/>
        <w:rPr>
          <w:rFonts w:ascii="Times New Roman" w:eastAsia="Times New Roman" w:hAnsi="Times New Roman" w:cs="Times New Roman"/>
          <w:b/>
          <w:sz w:val="24"/>
          <w:szCs w:val="24"/>
        </w:rPr>
      </w:pPr>
      <w:r w:rsidRPr="00E94CF2">
        <w:rPr>
          <w:rFonts w:ascii="Times New Roman" w:eastAsia="Times New Roman" w:hAnsi="Times New Roman" w:cs="Times New Roman"/>
          <w:b/>
          <w:sz w:val="24"/>
          <w:szCs w:val="24"/>
        </w:rPr>
        <w:t>K</w:t>
      </w:r>
      <w:r w:rsidR="00E94CF2">
        <w:rPr>
          <w:rFonts w:ascii="Times New Roman" w:eastAsia="Times New Roman" w:hAnsi="Times New Roman" w:cs="Times New Roman"/>
          <w:b/>
          <w:sz w:val="24"/>
          <w:szCs w:val="24"/>
        </w:rPr>
        <w:t>EPS2030</w:t>
      </w:r>
      <w:r w:rsidRPr="00E94CF2">
        <w:rPr>
          <w:rFonts w:ascii="Times New Roman" w:eastAsia="Times New Roman" w:hAnsi="Times New Roman" w:cs="Times New Roman"/>
          <w:b/>
          <w:sz w:val="24"/>
          <w:szCs w:val="24"/>
        </w:rPr>
        <w:t xml:space="preserve"> </w:t>
      </w:r>
      <w:r w:rsidR="008E5499">
        <w:rPr>
          <w:rFonts w:ascii="Times New Roman" w:eastAsia="Times New Roman" w:hAnsi="Times New Roman" w:cs="Times New Roman"/>
          <w:b/>
          <w:sz w:val="24"/>
          <w:szCs w:val="24"/>
        </w:rPr>
        <w:t xml:space="preserve">iekļautie mērķi </w:t>
      </w:r>
    </w:p>
    <w:p w14:paraId="51D62987" w14:textId="5C16E617" w:rsidR="00D5681C" w:rsidRDefault="00362E2B" w:rsidP="00236152">
      <w:pPr>
        <w:spacing w:after="100" w:line="240" w:lineRule="auto"/>
        <w:ind w:firstLine="567"/>
        <w:jc w:val="both"/>
        <w:rPr>
          <w:rFonts w:ascii="Times New Roman" w:eastAsia="Times New Roman" w:hAnsi="Times New Roman" w:cs="Times New Roman"/>
          <w:sz w:val="24"/>
          <w:szCs w:val="24"/>
        </w:rPr>
      </w:pPr>
      <w:r w:rsidRPr="00E94CF2">
        <w:rPr>
          <w:rFonts w:ascii="Times New Roman" w:eastAsia="Times New Roman" w:hAnsi="Times New Roman" w:cs="Times New Roman"/>
          <w:sz w:val="24"/>
          <w:szCs w:val="24"/>
        </w:rPr>
        <w:t xml:space="preserve">Ar </w:t>
      </w:r>
      <w:r w:rsidR="008742A0" w:rsidRPr="00E94CF2">
        <w:rPr>
          <w:rFonts w:ascii="Times New Roman" w:eastAsia="Times New Roman" w:hAnsi="Times New Roman" w:cs="Times New Roman"/>
          <w:sz w:val="24"/>
          <w:szCs w:val="24"/>
        </w:rPr>
        <w:t xml:space="preserve">Eiropadomes 2014.gada 24.oktobra secinājumiem „Secinājumi par klimata un enerģētikas politikas satvaru laikposmam līdz 2030.gadam” (turpmāk – Eiropadomes secinājumi) </w:t>
      </w:r>
      <w:r w:rsidRPr="00E94CF2">
        <w:rPr>
          <w:rFonts w:ascii="Times New Roman" w:eastAsia="Times New Roman" w:hAnsi="Times New Roman" w:cs="Times New Roman"/>
          <w:sz w:val="24"/>
          <w:szCs w:val="24"/>
        </w:rPr>
        <w:t>tika apstiprināti E</w:t>
      </w:r>
      <w:r w:rsidR="00D5681C" w:rsidRPr="00E94CF2">
        <w:rPr>
          <w:rFonts w:ascii="Times New Roman" w:eastAsia="Times New Roman" w:hAnsi="Times New Roman" w:cs="Times New Roman"/>
          <w:sz w:val="24"/>
          <w:szCs w:val="24"/>
        </w:rPr>
        <w:t>iropas Savienības (turpmāk – ES) mērķi klimata pārmaiņu mazināšanai</w:t>
      </w:r>
      <w:r w:rsidR="00F42972">
        <w:rPr>
          <w:rFonts w:ascii="Times New Roman" w:eastAsia="Times New Roman" w:hAnsi="Times New Roman" w:cs="Times New Roman"/>
          <w:sz w:val="24"/>
          <w:szCs w:val="24"/>
        </w:rPr>
        <w:t xml:space="preserve">, nosakot ES līmenī saistošu mērķi </w:t>
      </w:r>
      <w:r w:rsidR="00D5681C" w:rsidRPr="00E94CF2">
        <w:rPr>
          <w:rFonts w:ascii="Times New Roman" w:eastAsia="Times New Roman" w:hAnsi="Times New Roman" w:cs="Times New Roman"/>
          <w:sz w:val="24"/>
          <w:szCs w:val="24"/>
        </w:rPr>
        <w:t>siltumnīcefekta gāzu (turpmāk – SEG) emisiju samazināšana</w:t>
      </w:r>
      <w:r w:rsidR="00F07544">
        <w:rPr>
          <w:rFonts w:ascii="Times New Roman" w:eastAsia="Times New Roman" w:hAnsi="Times New Roman" w:cs="Times New Roman"/>
          <w:sz w:val="24"/>
          <w:szCs w:val="24"/>
        </w:rPr>
        <w:t>i,</w:t>
      </w:r>
      <w:r w:rsidR="00D5681C" w:rsidRPr="00E94CF2">
        <w:rPr>
          <w:rFonts w:ascii="Times New Roman" w:eastAsia="Times New Roman" w:hAnsi="Times New Roman" w:cs="Times New Roman"/>
          <w:sz w:val="24"/>
          <w:szCs w:val="24"/>
        </w:rPr>
        <w:t xml:space="preserve"> un </w:t>
      </w:r>
      <w:r w:rsidR="00F42972">
        <w:rPr>
          <w:rFonts w:ascii="Times New Roman" w:eastAsia="Times New Roman" w:hAnsi="Times New Roman" w:cs="Times New Roman"/>
          <w:sz w:val="24"/>
          <w:szCs w:val="24"/>
        </w:rPr>
        <w:t>indikatīvu</w:t>
      </w:r>
      <w:r w:rsidR="00666FD9">
        <w:rPr>
          <w:rFonts w:ascii="Times New Roman" w:eastAsia="Times New Roman" w:hAnsi="Times New Roman" w:cs="Times New Roman"/>
          <w:sz w:val="24"/>
          <w:szCs w:val="24"/>
        </w:rPr>
        <w:t>s</w:t>
      </w:r>
      <w:r w:rsidR="00F42972" w:rsidRPr="00E94CF2">
        <w:rPr>
          <w:rFonts w:ascii="Times New Roman" w:eastAsia="Times New Roman" w:hAnsi="Times New Roman" w:cs="Times New Roman"/>
          <w:sz w:val="24"/>
          <w:szCs w:val="24"/>
        </w:rPr>
        <w:t xml:space="preserve"> </w:t>
      </w:r>
      <w:r w:rsidR="00D5681C" w:rsidRPr="00E94CF2">
        <w:rPr>
          <w:rFonts w:ascii="Times New Roman" w:eastAsia="Times New Roman" w:hAnsi="Times New Roman" w:cs="Times New Roman"/>
          <w:sz w:val="24"/>
          <w:szCs w:val="24"/>
        </w:rPr>
        <w:t>atjaunojamo energoresursu izmantošanas, energoefektivitātes veicināšanas un starpsavienojumu izveides mērķ</w:t>
      </w:r>
      <w:r w:rsidR="00666FD9">
        <w:rPr>
          <w:rFonts w:ascii="Times New Roman" w:eastAsia="Times New Roman" w:hAnsi="Times New Roman" w:cs="Times New Roman"/>
          <w:sz w:val="24"/>
          <w:szCs w:val="24"/>
        </w:rPr>
        <w:t>us</w:t>
      </w:r>
      <w:r w:rsidR="00D5681C" w:rsidRPr="00E94CF2">
        <w:rPr>
          <w:rFonts w:ascii="Times New Roman" w:eastAsia="Times New Roman" w:hAnsi="Times New Roman" w:cs="Times New Roman"/>
          <w:sz w:val="24"/>
          <w:szCs w:val="24"/>
        </w:rPr>
        <w:t>.</w:t>
      </w:r>
      <w:r w:rsidR="00F42972">
        <w:rPr>
          <w:rFonts w:ascii="Times New Roman" w:eastAsia="Times New Roman" w:hAnsi="Times New Roman" w:cs="Times New Roman"/>
          <w:sz w:val="24"/>
          <w:szCs w:val="24"/>
        </w:rPr>
        <w:t xml:space="preserve"> </w:t>
      </w:r>
    </w:p>
    <w:p w14:paraId="2004142F" w14:textId="661B320B" w:rsidR="008E5499" w:rsidRDefault="00F42972" w:rsidP="00236152">
      <w:pPr>
        <w:spacing w:after="10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KEPS2030 </w:t>
      </w:r>
      <w:r w:rsidR="008E5499">
        <w:rPr>
          <w:rFonts w:ascii="Times New Roman" w:eastAsia="Times New Roman" w:hAnsi="Times New Roman" w:cs="Times New Roman"/>
          <w:sz w:val="24"/>
          <w:szCs w:val="24"/>
        </w:rPr>
        <w:t>iekļ</w:t>
      </w:r>
      <w:r w:rsidR="00666FD9">
        <w:rPr>
          <w:rFonts w:ascii="Times New Roman" w:eastAsia="Times New Roman" w:hAnsi="Times New Roman" w:cs="Times New Roman"/>
          <w:sz w:val="24"/>
          <w:szCs w:val="24"/>
        </w:rPr>
        <w:t>auj</w:t>
      </w:r>
      <w:r w:rsidR="008E5499">
        <w:rPr>
          <w:rFonts w:ascii="Times New Roman" w:eastAsia="Times New Roman" w:hAnsi="Times New Roman" w:cs="Times New Roman"/>
          <w:sz w:val="24"/>
          <w:szCs w:val="24"/>
        </w:rPr>
        <w:t xml:space="preserve"> vairākus būtiskus elementus un principus</w:t>
      </w:r>
      <w:r w:rsidR="007F4784">
        <w:rPr>
          <w:rFonts w:ascii="Times New Roman" w:eastAsia="Times New Roman" w:hAnsi="Times New Roman" w:cs="Times New Roman"/>
          <w:sz w:val="24"/>
          <w:szCs w:val="24"/>
        </w:rPr>
        <w:t xml:space="preserve"> </w:t>
      </w:r>
      <w:r w:rsidR="00D318C8">
        <w:rPr>
          <w:rFonts w:ascii="Times New Roman" w:eastAsia="Times New Roman" w:hAnsi="Times New Roman" w:cs="Times New Roman"/>
          <w:sz w:val="24"/>
          <w:szCs w:val="24"/>
        </w:rPr>
        <w:t xml:space="preserve">attiecībā uz SEG emisiju </w:t>
      </w:r>
      <w:r w:rsidR="00AE33EA">
        <w:rPr>
          <w:rFonts w:ascii="Times New Roman" w:eastAsia="Times New Roman" w:hAnsi="Times New Roman" w:cs="Times New Roman"/>
          <w:sz w:val="24"/>
          <w:szCs w:val="24"/>
        </w:rPr>
        <w:t xml:space="preserve">samazināšanu </w:t>
      </w:r>
      <w:r w:rsidR="006665B2">
        <w:rPr>
          <w:rFonts w:ascii="Times New Roman" w:eastAsia="Times New Roman" w:hAnsi="Times New Roman" w:cs="Times New Roman"/>
          <w:sz w:val="24"/>
          <w:szCs w:val="24"/>
        </w:rPr>
        <w:t>–</w:t>
      </w:r>
      <w:r w:rsidR="00AE33EA">
        <w:rPr>
          <w:rFonts w:ascii="Times New Roman" w:eastAsia="Times New Roman" w:hAnsi="Times New Roman" w:cs="Times New Roman"/>
          <w:sz w:val="24"/>
          <w:szCs w:val="24"/>
        </w:rPr>
        <w:t xml:space="preserve"> </w:t>
      </w:r>
      <w:r w:rsidR="00D318C8">
        <w:rPr>
          <w:rFonts w:ascii="Times New Roman" w:eastAsia="Times New Roman" w:hAnsi="Times New Roman" w:cs="Times New Roman"/>
          <w:sz w:val="24"/>
          <w:szCs w:val="24"/>
        </w:rPr>
        <w:t>mērķu pārdali</w:t>
      </w:r>
      <w:r w:rsidR="005A063D">
        <w:rPr>
          <w:rFonts w:ascii="Times New Roman" w:eastAsia="Times New Roman" w:hAnsi="Times New Roman" w:cs="Times New Roman"/>
          <w:sz w:val="24"/>
          <w:szCs w:val="24"/>
        </w:rPr>
        <w:t xml:space="preserve"> ES Emisijas kvotu tirdzniecības</w:t>
      </w:r>
      <w:r w:rsidR="005102D3">
        <w:rPr>
          <w:rFonts w:ascii="Times New Roman" w:eastAsia="Times New Roman" w:hAnsi="Times New Roman" w:cs="Times New Roman"/>
          <w:sz w:val="24"/>
          <w:szCs w:val="24"/>
        </w:rPr>
        <w:t xml:space="preserve"> sistēmā (turpmāk </w:t>
      </w:r>
      <w:r w:rsidR="00E93804">
        <w:rPr>
          <w:rFonts w:ascii="Times New Roman" w:eastAsia="Times New Roman" w:hAnsi="Times New Roman" w:cs="Times New Roman"/>
          <w:sz w:val="24"/>
          <w:szCs w:val="24"/>
        </w:rPr>
        <w:t>–</w:t>
      </w:r>
      <w:r w:rsidR="005102D3">
        <w:rPr>
          <w:rFonts w:ascii="Times New Roman" w:eastAsia="Times New Roman" w:hAnsi="Times New Roman" w:cs="Times New Roman"/>
          <w:sz w:val="24"/>
          <w:szCs w:val="24"/>
        </w:rPr>
        <w:t xml:space="preserve"> </w:t>
      </w:r>
      <w:r w:rsidR="00E93804">
        <w:rPr>
          <w:rFonts w:ascii="Times New Roman" w:eastAsia="Times New Roman" w:hAnsi="Times New Roman" w:cs="Times New Roman"/>
          <w:sz w:val="24"/>
          <w:szCs w:val="24"/>
        </w:rPr>
        <w:t>ETS)</w:t>
      </w:r>
      <w:r w:rsidR="005102D3">
        <w:rPr>
          <w:rFonts w:ascii="Times New Roman" w:eastAsia="Times New Roman" w:hAnsi="Times New Roman" w:cs="Times New Roman"/>
          <w:sz w:val="24"/>
          <w:szCs w:val="24"/>
        </w:rPr>
        <w:t xml:space="preserve"> iekļautajām darbībām un</w:t>
      </w:r>
      <w:r w:rsidR="00E93804">
        <w:rPr>
          <w:rFonts w:ascii="Times New Roman" w:eastAsia="Times New Roman" w:hAnsi="Times New Roman" w:cs="Times New Roman"/>
          <w:sz w:val="24"/>
          <w:szCs w:val="24"/>
        </w:rPr>
        <w:t xml:space="preserve"> ETS </w:t>
      </w:r>
      <w:r w:rsidR="00F828FF">
        <w:rPr>
          <w:rFonts w:ascii="Times New Roman" w:eastAsia="Times New Roman" w:hAnsi="Times New Roman" w:cs="Times New Roman"/>
          <w:sz w:val="24"/>
          <w:szCs w:val="24"/>
        </w:rPr>
        <w:t>nei</w:t>
      </w:r>
      <w:r w:rsidR="00E93804">
        <w:rPr>
          <w:rFonts w:ascii="Times New Roman" w:eastAsia="Times New Roman" w:hAnsi="Times New Roman" w:cs="Times New Roman"/>
          <w:sz w:val="24"/>
          <w:szCs w:val="24"/>
        </w:rPr>
        <w:t>ekļautajām</w:t>
      </w:r>
      <w:r w:rsidR="00F828FF">
        <w:rPr>
          <w:rFonts w:ascii="Times New Roman" w:eastAsia="Times New Roman" w:hAnsi="Times New Roman" w:cs="Times New Roman"/>
          <w:sz w:val="24"/>
          <w:szCs w:val="24"/>
        </w:rPr>
        <w:t xml:space="preserve"> darbībām (turpmāk – ne-ETS darbības)</w:t>
      </w:r>
      <w:r w:rsidR="0047190D">
        <w:rPr>
          <w:rFonts w:ascii="Times New Roman" w:eastAsia="Times New Roman" w:hAnsi="Times New Roman" w:cs="Times New Roman"/>
          <w:sz w:val="24"/>
          <w:szCs w:val="24"/>
        </w:rPr>
        <w:t>, dalībvalstīm noteikto</w:t>
      </w:r>
      <w:r w:rsidR="0073718C">
        <w:rPr>
          <w:rFonts w:ascii="Times New Roman" w:eastAsia="Times New Roman" w:hAnsi="Times New Roman" w:cs="Times New Roman"/>
          <w:sz w:val="24"/>
          <w:szCs w:val="24"/>
        </w:rPr>
        <w:t xml:space="preserve"> mērķu</w:t>
      </w:r>
      <w:r w:rsidR="00D318C8">
        <w:rPr>
          <w:rFonts w:ascii="Times New Roman" w:eastAsia="Times New Roman" w:hAnsi="Times New Roman" w:cs="Times New Roman"/>
          <w:sz w:val="24"/>
          <w:szCs w:val="24"/>
        </w:rPr>
        <w:t xml:space="preserve"> </w:t>
      </w:r>
      <w:r w:rsidR="0073718C">
        <w:rPr>
          <w:rFonts w:ascii="Times New Roman" w:eastAsia="Times New Roman" w:hAnsi="Times New Roman" w:cs="Times New Roman"/>
          <w:sz w:val="24"/>
          <w:szCs w:val="24"/>
        </w:rPr>
        <w:t xml:space="preserve">pārdales un </w:t>
      </w:r>
      <w:r w:rsidR="004266B1">
        <w:rPr>
          <w:rFonts w:ascii="Times New Roman" w:eastAsia="Times New Roman" w:hAnsi="Times New Roman" w:cs="Times New Roman"/>
          <w:sz w:val="24"/>
          <w:szCs w:val="24"/>
        </w:rPr>
        <w:t xml:space="preserve">aprēķināšanas nosacījumiem, </w:t>
      </w:r>
      <w:r w:rsidR="0048024C">
        <w:rPr>
          <w:rFonts w:ascii="Times New Roman" w:eastAsia="Times New Roman" w:hAnsi="Times New Roman" w:cs="Times New Roman"/>
          <w:sz w:val="24"/>
          <w:szCs w:val="24"/>
        </w:rPr>
        <w:t>instrumentiem un mehānismiem šī mērķa izpildei</w:t>
      </w:r>
      <w:r w:rsidR="00AE33EA">
        <w:rPr>
          <w:rFonts w:ascii="Times New Roman" w:eastAsia="Times New Roman" w:hAnsi="Times New Roman" w:cs="Times New Roman"/>
          <w:sz w:val="24"/>
          <w:szCs w:val="24"/>
        </w:rPr>
        <w:t>; kā arī</w:t>
      </w:r>
      <w:r w:rsidR="00BF11EA">
        <w:rPr>
          <w:rFonts w:ascii="Times New Roman" w:eastAsia="Times New Roman" w:hAnsi="Times New Roman" w:cs="Times New Roman"/>
          <w:sz w:val="24"/>
          <w:szCs w:val="24"/>
        </w:rPr>
        <w:t xml:space="preserve"> attiecībā uz </w:t>
      </w:r>
      <w:r w:rsidR="00FF43A6">
        <w:rPr>
          <w:rFonts w:ascii="Times New Roman" w:eastAsia="Times New Roman" w:hAnsi="Times New Roman" w:cs="Times New Roman"/>
          <w:sz w:val="24"/>
          <w:szCs w:val="24"/>
        </w:rPr>
        <w:t xml:space="preserve">šādiem enerģētikas jautājumiem </w:t>
      </w:r>
      <w:r w:rsidR="00A94A65">
        <w:rPr>
          <w:rFonts w:ascii="Times New Roman" w:eastAsia="Times New Roman" w:hAnsi="Times New Roman" w:cs="Times New Roman"/>
          <w:sz w:val="24"/>
          <w:szCs w:val="24"/>
        </w:rPr>
        <w:t>–</w:t>
      </w:r>
      <w:r w:rsidR="00FF43A6">
        <w:rPr>
          <w:rFonts w:ascii="Times New Roman" w:eastAsia="Times New Roman" w:hAnsi="Times New Roman" w:cs="Times New Roman"/>
          <w:sz w:val="24"/>
          <w:szCs w:val="24"/>
        </w:rPr>
        <w:t xml:space="preserve"> </w:t>
      </w:r>
      <w:r w:rsidR="00A94A65">
        <w:rPr>
          <w:rFonts w:ascii="Times New Roman" w:eastAsia="Times New Roman" w:hAnsi="Times New Roman" w:cs="Times New Roman"/>
          <w:sz w:val="24"/>
          <w:szCs w:val="24"/>
        </w:rPr>
        <w:t>atjaunojamo e</w:t>
      </w:r>
      <w:r w:rsidR="006665B2">
        <w:rPr>
          <w:rFonts w:ascii="Times New Roman" w:eastAsia="Times New Roman" w:hAnsi="Times New Roman" w:cs="Times New Roman"/>
          <w:sz w:val="24"/>
          <w:szCs w:val="24"/>
        </w:rPr>
        <w:t>ner</w:t>
      </w:r>
      <w:r w:rsidR="00A94A65">
        <w:rPr>
          <w:rFonts w:ascii="Times New Roman" w:eastAsia="Times New Roman" w:hAnsi="Times New Roman" w:cs="Times New Roman"/>
          <w:sz w:val="24"/>
          <w:szCs w:val="24"/>
        </w:rPr>
        <w:t>goresursu izmantošanas</w:t>
      </w:r>
      <w:r w:rsidR="006665B2">
        <w:rPr>
          <w:rFonts w:ascii="Times New Roman" w:eastAsia="Times New Roman" w:hAnsi="Times New Roman" w:cs="Times New Roman"/>
          <w:sz w:val="24"/>
          <w:szCs w:val="24"/>
        </w:rPr>
        <w:t xml:space="preserve"> veicināšana</w:t>
      </w:r>
      <w:r w:rsidR="00A94A65">
        <w:rPr>
          <w:rFonts w:ascii="Times New Roman" w:eastAsia="Times New Roman" w:hAnsi="Times New Roman" w:cs="Times New Roman"/>
          <w:sz w:val="24"/>
          <w:szCs w:val="24"/>
        </w:rPr>
        <w:t xml:space="preserve"> un energoefektivitātes uzlabošana, enerģētiskās drošības</w:t>
      </w:r>
      <w:r w:rsidR="006A0C01">
        <w:rPr>
          <w:rFonts w:ascii="Times New Roman" w:eastAsia="Times New Roman" w:hAnsi="Times New Roman" w:cs="Times New Roman"/>
          <w:sz w:val="24"/>
          <w:szCs w:val="24"/>
        </w:rPr>
        <w:t xml:space="preserve"> un neatkarības</w:t>
      </w:r>
      <w:r w:rsidR="00A94A65">
        <w:rPr>
          <w:rFonts w:ascii="Times New Roman" w:eastAsia="Times New Roman" w:hAnsi="Times New Roman" w:cs="Times New Roman"/>
          <w:sz w:val="24"/>
          <w:szCs w:val="24"/>
        </w:rPr>
        <w:t xml:space="preserve"> </w:t>
      </w:r>
      <w:r w:rsidR="006A0C01">
        <w:rPr>
          <w:rFonts w:ascii="Times New Roman" w:eastAsia="Times New Roman" w:hAnsi="Times New Roman" w:cs="Times New Roman"/>
          <w:sz w:val="24"/>
          <w:szCs w:val="24"/>
        </w:rPr>
        <w:t>nodrošināšana</w:t>
      </w:r>
      <w:r w:rsidR="006665B2">
        <w:rPr>
          <w:rFonts w:ascii="Times New Roman" w:eastAsia="Times New Roman" w:hAnsi="Times New Roman" w:cs="Times New Roman"/>
          <w:sz w:val="24"/>
          <w:szCs w:val="24"/>
        </w:rPr>
        <w:t>, iekšējā enerģijas tirgus izveidošana, kā arī pārvaldības sistēmas izveidošana</w:t>
      </w:r>
    </w:p>
    <w:p w14:paraId="42005201" w14:textId="4DA7A114" w:rsidR="00CF49D1" w:rsidRDefault="00CF49D1" w:rsidP="00236152">
      <w:pPr>
        <w:spacing w:after="10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Dalībvalstu līmenī būs saistošs mērķis par SEG emisiju samazināšanu ne-ETS darbībām periodam līdz 2030.gadam. Tomēr konkrēti mērķi dalībvalstīm noteikti ar t.s. saistību pārdales lēmumu. </w:t>
      </w:r>
    </w:p>
    <w:p w14:paraId="19438FEE" w14:textId="62B2B0A1" w:rsidR="008C3693" w:rsidRDefault="008E5499" w:rsidP="00236152">
      <w:pPr>
        <w:spacing w:after="10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 xml:space="preserve">Par </w:t>
      </w:r>
      <w:r w:rsidR="00666FD9">
        <w:rPr>
          <w:rFonts w:ascii="Times New Roman" w:eastAsia="Times New Roman" w:hAnsi="Times New Roman" w:cs="Times New Roman"/>
          <w:sz w:val="24"/>
          <w:szCs w:val="24"/>
        </w:rPr>
        <w:t xml:space="preserve">dažiem </w:t>
      </w:r>
      <w:r>
        <w:rPr>
          <w:rFonts w:ascii="Times New Roman" w:eastAsia="Times New Roman" w:hAnsi="Times New Roman" w:cs="Times New Roman"/>
          <w:sz w:val="24"/>
          <w:szCs w:val="24"/>
        </w:rPr>
        <w:t>no</w:t>
      </w:r>
      <w:r w:rsidR="00AC541D">
        <w:rPr>
          <w:rFonts w:ascii="Times New Roman" w:eastAsia="Times New Roman" w:hAnsi="Times New Roman" w:cs="Times New Roman"/>
          <w:sz w:val="24"/>
          <w:szCs w:val="24"/>
        </w:rPr>
        <w:t xml:space="preserve"> KEPS2030 </w:t>
      </w:r>
      <w:r>
        <w:rPr>
          <w:rFonts w:ascii="Times New Roman" w:eastAsia="Times New Roman" w:hAnsi="Times New Roman" w:cs="Times New Roman"/>
          <w:sz w:val="24"/>
          <w:szCs w:val="24"/>
        </w:rPr>
        <w:t xml:space="preserve">elementiem Eiropas Komisija </w:t>
      </w:r>
      <w:r w:rsidR="005F1C82">
        <w:rPr>
          <w:rFonts w:ascii="Times New Roman" w:eastAsia="Times New Roman" w:hAnsi="Times New Roman" w:cs="Times New Roman"/>
          <w:sz w:val="24"/>
          <w:szCs w:val="24"/>
        </w:rPr>
        <w:t xml:space="preserve">2014.gada beigās un </w:t>
      </w:r>
      <w:r>
        <w:rPr>
          <w:rFonts w:ascii="Times New Roman" w:eastAsia="Times New Roman" w:hAnsi="Times New Roman" w:cs="Times New Roman"/>
          <w:sz w:val="24"/>
          <w:szCs w:val="24"/>
        </w:rPr>
        <w:t>2015.gad</w:t>
      </w:r>
      <w:r w:rsidR="005F1C82">
        <w:rPr>
          <w:rFonts w:ascii="Times New Roman" w:eastAsia="Times New Roman" w:hAnsi="Times New Roman" w:cs="Times New Roman"/>
          <w:sz w:val="24"/>
          <w:szCs w:val="24"/>
        </w:rPr>
        <w:t>a sākumā</w:t>
      </w:r>
      <w:r>
        <w:rPr>
          <w:rFonts w:ascii="Times New Roman" w:eastAsia="Times New Roman" w:hAnsi="Times New Roman" w:cs="Times New Roman"/>
          <w:sz w:val="24"/>
          <w:szCs w:val="24"/>
        </w:rPr>
        <w:t xml:space="preserve"> sāka publiskās konsultācijas. </w:t>
      </w:r>
      <w:r w:rsidR="008C3693">
        <w:rPr>
          <w:rFonts w:ascii="Times New Roman" w:hAnsi="Times New Roman"/>
          <w:sz w:val="24"/>
          <w:szCs w:val="24"/>
        </w:rPr>
        <w:t>Jaunie likumdošanas priekšlikumi KEPS2030 iekļauto nosacījumu īstenošanai tiks publicēti tikai 2015.gada otrajā pusē vai 2016.gada sākumā.</w:t>
      </w:r>
    </w:p>
    <w:p w14:paraId="152E2AD3" w14:textId="77777777" w:rsidR="008C3693" w:rsidRDefault="008C3693" w:rsidP="00236152">
      <w:pPr>
        <w:spacing w:after="100" w:line="240" w:lineRule="auto"/>
        <w:ind w:firstLine="567"/>
        <w:jc w:val="both"/>
        <w:rPr>
          <w:rFonts w:ascii="Times New Roman" w:eastAsia="Times New Roman" w:hAnsi="Times New Roman" w:cs="Times New Roman"/>
          <w:sz w:val="24"/>
          <w:szCs w:val="24"/>
        </w:rPr>
      </w:pPr>
    </w:p>
    <w:p w14:paraId="76509527" w14:textId="5E6E5516" w:rsidR="00CB09A7" w:rsidRPr="00666FD9" w:rsidRDefault="008E5499" w:rsidP="00236152">
      <w:pPr>
        <w:pStyle w:val="ListParagraph"/>
        <w:numPr>
          <w:ilvl w:val="0"/>
          <w:numId w:val="4"/>
        </w:numPr>
        <w:spacing w:after="100" w:line="240" w:lineRule="auto"/>
        <w:contextualSpacing w:val="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AC541D" w:rsidRPr="00236152">
        <w:rPr>
          <w:rFonts w:ascii="Times New Roman" w:eastAsia="Times New Roman" w:hAnsi="Times New Roman" w:cs="Times New Roman"/>
          <w:b/>
          <w:sz w:val="24"/>
          <w:szCs w:val="24"/>
        </w:rPr>
        <w:t>Līdz šim</w:t>
      </w:r>
      <w:r w:rsidR="00AC541D" w:rsidRPr="00236152">
        <w:rPr>
          <w:rFonts w:ascii="Times New Roman" w:hAnsi="Times New Roman" w:cs="Times New Roman"/>
          <w:b/>
          <w:sz w:val="24"/>
          <w:szCs w:val="24"/>
        </w:rPr>
        <w:t xml:space="preserve"> </w:t>
      </w:r>
      <w:r w:rsidR="00AC541D">
        <w:rPr>
          <w:rFonts w:ascii="Times New Roman" w:hAnsi="Times New Roman" w:cs="Times New Roman"/>
          <w:b/>
          <w:sz w:val="24"/>
          <w:szCs w:val="24"/>
        </w:rPr>
        <w:t>v</w:t>
      </w:r>
      <w:r w:rsidR="00F42972" w:rsidRPr="00666FD9">
        <w:rPr>
          <w:rFonts w:ascii="Times New Roman" w:hAnsi="Times New Roman" w:cs="Times New Roman"/>
          <w:b/>
          <w:sz w:val="24"/>
          <w:szCs w:val="24"/>
        </w:rPr>
        <w:t>eiktais darbs pie</w:t>
      </w:r>
      <w:r w:rsidR="00CB09A7" w:rsidRPr="00666FD9">
        <w:rPr>
          <w:rFonts w:ascii="Times New Roman" w:hAnsi="Times New Roman" w:cs="Times New Roman"/>
          <w:b/>
        </w:rPr>
        <w:t xml:space="preserve"> </w:t>
      </w:r>
      <w:r w:rsidR="00CB09A7" w:rsidRPr="00666FD9">
        <w:rPr>
          <w:rFonts w:ascii="Times New Roman" w:hAnsi="Times New Roman" w:cs="Times New Roman"/>
          <w:b/>
          <w:sz w:val="24"/>
          <w:szCs w:val="24"/>
        </w:rPr>
        <w:t>K</w:t>
      </w:r>
      <w:r w:rsidR="00D02A62" w:rsidRPr="00666FD9">
        <w:rPr>
          <w:rFonts w:ascii="Times New Roman" w:hAnsi="Times New Roman" w:cs="Times New Roman"/>
          <w:b/>
          <w:sz w:val="24"/>
          <w:szCs w:val="24"/>
        </w:rPr>
        <w:t xml:space="preserve">EPS2030 </w:t>
      </w:r>
      <w:r w:rsidR="00F42972" w:rsidRPr="00666FD9">
        <w:rPr>
          <w:rFonts w:ascii="Times New Roman" w:hAnsi="Times New Roman" w:cs="Times New Roman"/>
          <w:b/>
          <w:sz w:val="24"/>
          <w:szCs w:val="24"/>
        </w:rPr>
        <w:t xml:space="preserve">elementiem </w:t>
      </w:r>
    </w:p>
    <w:p w14:paraId="0C76ED76" w14:textId="77777777" w:rsidR="00CB09A7" w:rsidRPr="00666FD9" w:rsidRDefault="005B5304" w:rsidP="00236152">
      <w:pPr>
        <w:pStyle w:val="ListParagraph"/>
        <w:numPr>
          <w:ilvl w:val="1"/>
          <w:numId w:val="4"/>
        </w:numPr>
        <w:spacing w:after="100" w:line="240" w:lineRule="auto"/>
        <w:ind w:left="851" w:hanging="491"/>
        <w:contextualSpacing w:val="0"/>
        <w:jc w:val="both"/>
        <w:outlineLvl w:val="2"/>
        <w:rPr>
          <w:rFonts w:ascii="Times New Roman" w:hAnsi="Times New Roman" w:cs="Times New Roman"/>
          <w:b/>
          <w:sz w:val="24"/>
          <w:szCs w:val="24"/>
          <w:u w:val="single"/>
        </w:rPr>
      </w:pPr>
      <w:r w:rsidRPr="00666FD9">
        <w:rPr>
          <w:rFonts w:ascii="Times New Roman" w:hAnsi="Times New Roman" w:cs="Times New Roman"/>
          <w:b/>
          <w:sz w:val="24"/>
          <w:szCs w:val="24"/>
          <w:u w:val="single"/>
        </w:rPr>
        <w:t>Tirgus stabilitātes rezerves izveide</w:t>
      </w:r>
    </w:p>
    <w:p w14:paraId="498077BF" w14:textId="77777777" w:rsidR="005B5304" w:rsidRPr="00E94CF2" w:rsidRDefault="00E349CA" w:rsidP="00236152">
      <w:pPr>
        <w:pStyle w:val="ListParagraph"/>
        <w:spacing w:after="100" w:line="240" w:lineRule="auto"/>
        <w:ind w:left="0" w:firstLine="567"/>
        <w:contextualSpacing w:val="0"/>
        <w:jc w:val="both"/>
        <w:rPr>
          <w:rFonts w:ascii="Times New Roman" w:hAnsi="Times New Roman" w:cs="Times New Roman"/>
          <w:sz w:val="24"/>
          <w:szCs w:val="24"/>
        </w:rPr>
      </w:pPr>
      <w:r w:rsidRPr="00E94CF2">
        <w:rPr>
          <w:rFonts w:ascii="Times New Roman" w:hAnsi="Times New Roman" w:cs="Times New Roman"/>
          <w:sz w:val="24"/>
          <w:szCs w:val="24"/>
        </w:rPr>
        <w:t>Tirgus stabilitātes rezerves</w:t>
      </w:r>
      <w:r w:rsidR="005B5304" w:rsidRPr="00E94CF2">
        <w:rPr>
          <w:rFonts w:ascii="Times New Roman" w:hAnsi="Times New Roman" w:cs="Times New Roman"/>
          <w:sz w:val="24"/>
          <w:szCs w:val="24"/>
        </w:rPr>
        <w:t xml:space="preserve"> mērķis ir risināt problēmu ar emisijas kvotu pārpalikumu tirgū un uzlabot ES ETS efektivitāti, nodrošinot </w:t>
      </w:r>
      <w:r w:rsidR="00F1215D">
        <w:rPr>
          <w:rFonts w:ascii="Times New Roman" w:hAnsi="Times New Roman" w:cs="Times New Roman"/>
          <w:sz w:val="24"/>
          <w:szCs w:val="24"/>
        </w:rPr>
        <w:t>tādu</w:t>
      </w:r>
      <w:r w:rsidR="005B5304" w:rsidRPr="00E94CF2">
        <w:rPr>
          <w:rFonts w:ascii="Times New Roman" w:hAnsi="Times New Roman" w:cs="Times New Roman"/>
          <w:sz w:val="24"/>
          <w:szCs w:val="24"/>
        </w:rPr>
        <w:t xml:space="preserve"> emisijas kvotu cenu, lai </w:t>
      </w:r>
      <w:r w:rsidR="00F1215D">
        <w:rPr>
          <w:rFonts w:ascii="Times New Roman" w:hAnsi="Times New Roman" w:cs="Times New Roman"/>
          <w:sz w:val="24"/>
          <w:szCs w:val="24"/>
        </w:rPr>
        <w:t xml:space="preserve">stimulētu uzņēmumus </w:t>
      </w:r>
      <w:r w:rsidR="007D7495" w:rsidRPr="00E94CF2">
        <w:rPr>
          <w:rFonts w:ascii="Times New Roman" w:hAnsi="Times New Roman" w:cs="Times New Roman"/>
          <w:sz w:val="24"/>
          <w:szCs w:val="24"/>
        </w:rPr>
        <w:t xml:space="preserve">veikt pasākumus, </w:t>
      </w:r>
      <w:r w:rsidR="00F1215D">
        <w:rPr>
          <w:rFonts w:ascii="Times New Roman" w:hAnsi="Times New Roman" w:cs="Times New Roman"/>
          <w:sz w:val="24"/>
          <w:szCs w:val="24"/>
        </w:rPr>
        <w:t>lai</w:t>
      </w:r>
      <w:r w:rsidR="007D7495" w:rsidRPr="00E94CF2">
        <w:rPr>
          <w:rFonts w:ascii="Times New Roman" w:hAnsi="Times New Roman" w:cs="Times New Roman"/>
          <w:sz w:val="24"/>
          <w:szCs w:val="24"/>
        </w:rPr>
        <w:t xml:space="preserve"> nodrošinā</w:t>
      </w:r>
      <w:r w:rsidR="00F1215D">
        <w:rPr>
          <w:rFonts w:ascii="Times New Roman" w:hAnsi="Times New Roman" w:cs="Times New Roman"/>
          <w:sz w:val="24"/>
          <w:szCs w:val="24"/>
        </w:rPr>
        <w:t>tu</w:t>
      </w:r>
      <w:r w:rsidR="007D7495" w:rsidRPr="00E94CF2">
        <w:rPr>
          <w:rFonts w:ascii="Times New Roman" w:hAnsi="Times New Roman" w:cs="Times New Roman"/>
          <w:sz w:val="24"/>
          <w:szCs w:val="24"/>
        </w:rPr>
        <w:t xml:space="preserve"> arī SEG emisiju samazināšanu</w:t>
      </w:r>
      <w:r w:rsidR="005B5304" w:rsidRPr="00E94CF2">
        <w:rPr>
          <w:rFonts w:ascii="Times New Roman" w:hAnsi="Times New Roman" w:cs="Times New Roman"/>
          <w:sz w:val="24"/>
          <w:szCs w:val="24"/>
        </w:rPr>
        <w:t xml:space="preserve">. Īstenojot pasākumus tieši ES ETS ietvaros, kurā ir iekļauti lielākie un </w:t>
      </w:r>
      <w:proofErr w:type="spellStart"/>
      <w:r w:rsidR="005B5304" w:rsidRPr="00E94CF2">
        <w:rPr>
          <w:rFonts w:ascii="Times New Roman" w:hAnsi="Times New Roman" w:cs="Times New Roman"/>
          <w:sz w:val="24"/>
          <w:szCs w:val="24"/>
        </w:rPr>
        <w:t>energo-ietilpīgākie</w:t>
      </w:r>
      <w:proofErr w:type="spellEnd"/>
      <w:r w:rsidR="005B5304" w:rsidRPr="00E94CF2">
        <w:rPr>
          <w:rFonts w:ascii="Times New Roman" w:hAnsi="Times New Roman" w:cs="Times New Roman"/>
          <w:sz w:val="24"/>
          <w:szCs w:val="24"/>
        </w:rPr>
        <w:t xml:space="preserve"> ES uzņēmumi, tiks nodrošināts, ka SEG emisiju samazināšanas pasākumu īstenošana tiek veikta, pēc iespējas mazāk ietekmējot sabiedrības intereses. </w:t>
      </w:r>
    </w:p>
    <w:p w14:paraId="607EB6D9" w14:textId="0427E5D2" w:rsidR="007D7495" w:rsidRDefault="007D7495" w:rsidP="00236152">
      <w:pPr>
        <w:spacing w:after="100" w:line="240" w:lineRule="auto"/>
        <w:ind w:firstLine="567"/>
        <w:jc w:val="both"/>
        <w:rPr>
          <w:rFonts w:ascii="Times New Roman" w:hAnsi="Times New Roman" w:cs="Times New Roman"/>
          <w:sz w:val="24"/>
          <w:szCs w:val="24"/>
        </w:rPr>
      </w:pPr>
      <w:r w:rsidRPr="00E94CF2">
        <w:rPr>
          <w:rFonts w:ascii="Times New Roman" w:hAnsi="Times New Roman" w:cs="Times New Roman"/>
          <w:sz w:val="24"/>
          <w:szCs w:val="24"/>
        </w:rPr>
        <w:t>ES Padomei un Eiropas Parlamentam 2015.gada 5.maijā izdevās panākt provizorisko vienošanos par ES ETS Tirgus stabilitātes rezerves izveidi, un dalībvalstis to apstiprināja 13.maija Pastāvīgo pārstāvju sanāksmē (COREPER I).</w:t>
      </w:r>
      <w:r w:rsidR="00097EDA">
        <w:rPr>
          <w:rFonts w:ascii="Times New Roman" w:hAnsi="Times New Roman" w:cs="Times New Roman"/>
          <w:sz w:val="24"/>
          <w:szCs w:val="24"/>
        </w:rPr>
        <w:t xml:space="preserve"> </w:t>
      </w:r>
      <w:r w:rsidR="00F1215D">
        <w:rPr>
          <w:rFonts w:ascii="Times New Roman" w:hAnsi="Times New Roman" w:cs="Times New Roman"/>
          <w:sz w:val="24"/>
          <w:szCs w:val="24"/>
        </w:rPr>
        <w:t xml:space="preserve">Atbalstītais priekšlikums paredz, ka </w:t>
      </w:r>
      <w:r w:rsidR="00F1215D">
        <w:rPr>
          <w:rFonts w:ascii="Times New Roman" w:hAnsi="Times New Roman" w:cs="Times New Roman"/>
          <w:sz w:val="24"/>
          <w:szCs w:val="24"/>
        </w:rPr>
        <w:lastRenderedPageBreak/>
        <w:t>tirgus stabilitātes rezerve sāk darboties no 2019.gada</w:t>
      </w:r>
      <w:r w:rsidR="00383D5E">
        <w:rPr>
          <w:rFonts w:ascii="Times New Roman" w:hAnsi="Times New Roman" w:cs="Times New Roman"/>
          <w:sz w:val="24"/>
          <w:szCs w:val="24"/>
        </w:rPr>
        <w:t xml:space="preserve"> 1.janvāra</w:t>
      </w:r>
      <w:r w:rsidR="00097EDA">
        <w:rPr>
          <w:rFonts w:ascii="Times New Roman" w:hAnsi="Times New Roman" w:cs="Times New Roman"/>
          <w:sz w:val="24"/>
          <w:szCs w:val="24"/>
        </w:rPr>
        <w:t>, ka uz rezervi tiek novirzītas iepriekš izsolīšanai atliktās emisijas kvotas un nepiešķirtās emisijas kvotas</w:t>
      </w:r>
      <w:r w:rsidR="006665B2">
        <w:rPr>
          <w:rFonts w:ascii="Times New Roman" w:hAnsi="Times New Roman" w:cs="Times New Roman"/>
          <w:sz w:val="24"/>
          <w:szCs w:val="24"/>
        </w:rPr>
        <w:t xml:space="preserve"> </w:t>
      </w:r>
    </w:p>
    <w:p w14:paraId="78398236" w14:textId="65CCD08B" w:rsidR="008E5499" w:rsidRDefault="008E5499" w:rsidP="00236152">
      <w:pPr>
        <w:spacing w:after="10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Diskusijas par Tirgus stabilitātes </w:t>
      </w:r>
      <w:r w:rsidR="00F1215D">
        <w:rPr>
          <w:rFonts w:ascii="Times New Roman" w:hAnsi="Times New Roman" w:cs="Times New Roman"/>
          <w:sz w:val="24"/>
          <w:szCs w:val="24"/>
        </w:rPr>
        <w:t>rezerves izveidi ietvaros īpaša uzmanība tika pievērsta jautājumam par atbalstu t.s. jutīgajām nozarēm, kas pakļautas oglekļa pārvirzes risk</w:t>
      </w:r>
      <w:r w:rsidR="007C0E3D">
        <w:rPr>
          <w:rFonts w:ascii="Times New Roman" w:hAnsi="Times New Roman" w:cs="Times New Roman"/>
          <w:sz w:val="24"/>
          <w:szCs w:val="24"/>
        </w:rPr>
        <w:t xml:space="preserve">am. Atbilstoši Eiropadomes secinājumiem šiem </w:t>
      </w:r>
      <w:r w:rsidR="00C66752">
        <w:rPr>
          <w:rFonts w:ascii="Times New Roman" w:hAnsi="Times New Roman" w:cs="Times New Roman"/>
          <w:sz w:val="24"/>
          <w:szCs w:val="24"/>
        </w:rPr>
        <w:t>uzņēmumiem</w:t>
      </w:r>
      <w:r w:rsidR="007C0E3D">
        <w:rPr>
          <w:rFonts w:ascii="Times New Roman" w:hAnsi="Times New Roman" w:cs="Times New Roman"/>
          <w:sz w:val="24"/>
          <w:szCs w:val="24"/>
        </w:rPr>
        <w:t xml:space="preserve"> tiks piešķirtas bezmaksas emisiju kvotas arī pēc 2020.gada. </w:t>
      </w:r>
      <w:r w:rsidR="001B2843" w:rsidRPr="006665B2">
        <w:rPr>
          <w:rFonts w:ascii="Times New Roman" w:hAnsi="Times New Roman" w:cs="Times New Roman"/>
          <w:sz w:val="24"/>
          <w:szCs w:val="24"/>
        </w:rPr>
        <w:t>Eiropas Komisija</w:t>
      </w:r>
      <w:r w:rsidR="001B2843">
        <w:rPr>
          <w:rFonts w:ascii="Times New Roman" w:hAnsi="Times New Roman" w:cs="Times New Roman"/>
          <w:sz w:val="24"/>
          <w:szCs w:val="24"/>
        </w:rPr>
        <w:t xml:space="preserve"> paziņoja, ka </w:t>
      </w:r>
      <w:r w:rsidR="001B2843" w:rsidRPr="006665B2">
        <w:rPr>
          <w:rFonts w:ascii="Times New Roman" w:hAnsi="Times New Roman" w:cs="Times New Roman"/>
          <w:sz w:val="24"/>
          <w:szCs w:val="24"/>
        </w:rPr>
        <w:t xml:space="preserve">ETS </w:t>
      </w:r>
      <w:r w:rsidR="001B2843">
        <w:rPr>
          <w:rFonts w:ascii="Times New Roman" w:hAnsi="Times New Roman" w:cs="Times New Roman"/>
          <w:sz w:val="24"/>
          <w:szCs w:val="24"/>
        </w:rPr>
        <w:t>reformas</w:t>
      </w:r>
      <w:r w:rsidR="001B2843" w:rsidRPr="006665B2">
        <w:rPr>
          <w:rFonts w:ascii="Times New Roman" w:hAnsi="Times New Roman" w:cs="Times New Roman"/>
          <w:sz w:val="24"/>
          <w:szCs w:val="24"/>
        </w:rPr>
        <w:t xml:space="preserve"> laikā izvērtēs, vai nepiešķirtās emisijas kvotas varētu arī izmantot bezmaksas emisijas kvotu piešķiršanai ogl</w:t>
      </w:r>
      <w:r w:rsidR="001B2843">
        <w:rPr>
          <w:rFonts w:ascii="Times New Roman" w:hAnsi="Times New Roman" w:cs="Times New Roman"/>
          <w:sz w:val="24"/>
          <w:szCs w:val="24"/>
        </w:rPr>
        <w:t>ekļa pārvirzes riska novēršanai.</w:t>
      </w:r>
    </w:p>
    <w:p w14:paraId="0E9829D9" w14:textId="77777777" w:rsidR="001B2843" w:rsidRPr="00E94CF2" w:rsidRDefault="001B2843" w:rsidP="00236152">
      <w:pPr>
        <w:spacing w:after="100" w:line="240" w:lineRule="auto"/>
        <w:ind w:firstLine="567"/>
        <w:jc w:val="both"/>
        <w:rPr>
          <w:rFonts w:ascii="Times New Roman" w:hAnsi="Times New Roman" w:cs="Times New Roman"/>
          <w:sz w:val="24"/>
          <w:szCs w:val="24"/>
        </w:rPr>
      </w:pPr>
    </w:p>
    <w:p w14:paraId="51455A96" w14:textId="7D694DEB" w:rsidR="005B5304" w:rsidRPr="00666FD9" w:rsidRDefault="00961689" w:rsidP="00236152">
      <w:pPr>
        <w:pStyle w:val="ListParagraph"/>
        <w:numPr>
          <w:ilvl w:val="1"/>
          <w:numId w:val="4"/>
        </w:numPr>
        <w:spacing w:after="100" w:line="240" w:lineRule="auto"/>
        <w:ind w:left="851" w:hanging="491"/>
        <w:contextualSpacing w:val="0"/>
        <w:jc w:val="both"/>
        <w:outlineLvl w:val="2"/>
        <w:rPr>
          <w:rFonts w:ascii="Times New Roman" w:hAnsi="Times New Roman" w:cs="Times New Roman"/>
          <w:b/>
          <w:sz w:val="24"/>
          <w:szCs w:val="24"/>
          <w:u w:val="single"/>
        </w:rPr>
      </w:pPr>
      <w:r>
        <w:rPr>
          <w:rFonts w:ascii="Times New Roman" w:hAnsi="Times New Roman" w:cs="Times New Roman"/>
          <w:b/>
          <w:sz w:val="24"/>
          <w:szCs w:val="24"/>
          <w:u w:val="single"/>
        </w:rPr>
        <w:t xml:space="preserve">ES </w:t>
      </w:r>
      <w:r w:rsidR="005B5304" w:rsidRPr="00666FD9">
        <w:rPr>
          <w:rFonts w:ascii="Times New Roman" w:hAnsi="Times New Roman" w:cs="Times New Roman"/>
          <w:b/>
          <w:sz w:val="24"/>
          <w:szCs w:val="24"/>
          <w:u w:val="single"/>
        </w:rPr>
        <w:t>E</w:t>
      </w:r>
      <w:r>
        <w:rPr>
          <w:rFonts w:ascii="Times New Roman" w:hAnsi="Times New Roman" w:cs="Times New Roman"/>
          <w:b/>
          <w:sz w:val="24"/>
          <w:szCs w:val="24"/>
          <w:u w:val="single"/>
        </w:rPr>
        <w:t>misiju tirdzniecības sistēmas</w:t>
      </w:r>
      <w:r w:rsidR="005B5304" w:rsidRPr="00666FD9">
        <w:rPr>
          <w:rFonts w:ascii="Times New Roman" w:hAnsi="Times New Roman" w:cs="Times New Roman"/>
          <w:b/>
          <w:sz w:val="24"/>
          <w:szCs w:val="24"/>
          <w:u w:val="single"/>
        </w:rPr>
        <w:t xml:space="preserve"> reforma</w:t>
      </w:r>
    </w:p>
    <w:p w14:paraId="6CB107D4" w14:textId="49DC05A8" w:rsidR="005B5304" w:rsidRPr="00E94CF2" w:rsidRDefault="005B5304" w:rsidP="00236152">
      <w:pPr>
        <w:spacing w:after="100" w:line="240" w:lineRule="auto"/>
        <w:ind w:firstLine="567"/>
        <w:jc w:val="both"/>
        <w:outlineLvl w:val="2"/>
        <w:rPr>
          <w:rFonts w:ascii="Times New Roman" w:hAnsi="Times New Roman" w:cs="Times New Roman"/>
          <w:sz w:val="24"/>
          <w:szCs w:val="24"/>
        </w:rPr>
      </w:pPr>
      <w:r w:rsidRPr="00E94CF2">
        <w:rPr>
          <w:rFonts w:ascii="Times New Roman" w:hAnsi="Times New Roman" w:cs="Times New Roman"/>
          <w:sz w:val="24"/>
          <w:szCs w:val="24"/>
        </w:rPr>
        <w:t>Eiropadomes secinājumos ir doti svarīgākie nosacījumi ES ETS reform</w:t>
      </w:r>
      <w:r w:rsidR="0033793C" w:rsidRPr="00E94CF2">
        <w:rPr>
          <w:rFonts w:ascii="Times New Roman" w:hAnsi="Times New Roman" w:cs="Times New Roman"/>
          <w:sz w:val="24"/>
          <w:szCs w:val="24"/>
        </w:rPr>
        <w:t>ai</w:t>
      </w:r>
      <w:r w:rsidRPr="00E94CF2">
        <w:rPr>
          <w:rFonts w:ascii="Times New Roman" w:hAnsi="Times New Roman" w:cs="Times New Roman"/>
          <w:sz w:val="24"/>
          <w:szCs w:val="24"/>
        </w:rPr>
        <w:t xml:space="preserve"> </w:t>
      </w:r>
      <w:r w:rsidRPr="00E94CF2">
        <w:rPr>
          <w:rFonts w:ascii="Times New Roman" w:eastAsia="Times New Roman" w:hAnsi="Times New Roman" w:cs="Times New Roman"/>
          <w:sz w:val="24"/>
          <w:szCs w:val="24"/>
        </w:rPr>
        <w:t xml:space="preserve">– </w:t>
      </w:r>
      <w:r w:rsidR="007D7495" w:rsidRPr="00E94CF2">
        <w:rPr>
          <w:rFonts w:ascii="Times New Roman" w:hAnsi="Times New Roman" w:cs="Times New Roman"/>
          <w:sz w:val="24"/>
          <w:szCs w:val="24"/>
        </w:rPr>
        <w:t>Direktīvas Nr.2003/87/EK (turpmāk – ETS direktīva)</w:t>
      </w:r>
      <w:r w:rsidR="007D7495" w:rsidRPr="00E94CF2">
        <w:rPr>
          <w:rStyle w:val="FootnoteReference"/>
          <w:rFonts w:ascii="Times New Roman" w:eastAsia="Times New Roman" w:hAnsi="Times New Roman" w:cs="Times New Roman"/>
          <w:sz w:val="24"/>
          <w:szCs w:val="24"/>
        </w:rPr>
        <w:footnoteReference w:id="1"/>
      </w:r>
      <w:r w:rsidR="007D7495" w:rsidRPr="00E94CF2">
        <w:rPr>
          <w:rFonts w:ascii="Times New Roman" w:hAnsi="Times New Roman" w:cs="Times New Roman"/>
          <w:sz w:val="24"/>
          <w:szCs w:val="24"/>
        </w:rPr>
        <w:t xml:space="preserve"> </w:t>
      </w:r>
      <w:r w:rsidRPr="00E94CF2">
        <w:rPr>
          <w:rFonts w:ascii="Times New Roman" w:eastAsia="Times New Roman" w:hAnsi="Times New Roman" w:cs="Times New Roman"/>
          <w:sz w:val="24"/>
          <w:szCs w:val="24"/>
        </w:rPr>
        <w:t>pārskatīšana, bezmaksas emisijas kvotu piešķiršanas ETS operatoriem pārtraukšana 2027.gadā, piešķiramā emisijas kvotu apjoma noteikšana, izmantojot katras nozares labāko ražošanas iekārtu rādītāj</w:t>
      </w:r>
      <w:r w:rsidR="00A86916" w:rsidRPr="00E94CF2">
        <w:rPr>
          <w:rFonts w:ascii="Times New Roman" w:eastAsia="Times New Roman" w:hAnsi="Times New Roman" w:cs="Times New Roman"/>
          <w:sz w:val="24"/>
          <w:szCs w:val="24"/>
        </w:rPr>
        <w:t>us</w:t>
      </w:r>
      <w:r w:rsidRPr="00E94CF2">
        <w:rPr>
          <w:rFonts w:ascii="Times New Roman" w:eastAsia="Times New Roman" w:hAnsi="Times New Roman" w:cs="Times New Roman"/>
          <w:sz w:val="24"/>
          <w:szCs w:val="24"/>
        </w:rPr>
        <w:t xml:space="preserve">, </w:t>
      </w:r>
      <w:r w:rsidRPr="00E94CF2">
        <w:rPr>
          <w:rFonts w:ascii="Times New Roman" w:hAnsi="Times New Roman" w:cs="Times New Roman"/>
          <w:sz w:val="24"/>
          <w:szCs w:val="24"/>
        </w:rPr>
        <w:t xml:space="preserve">bezmaksas emisijas kvotu piešķiršanas turpināšana </w:t>
      </w:r>
      <w:r w:rsidR="00A86916" w:rsidRPr="00E94CF2">
        <w:rPr>
          <w:rFonts w:ascii="Times New Roman" w:hAnsi="Times New Roman" w:cs="Times New Roman"/>
          <w:sz w:val="24"/>
          <w:szCs w:val="24"/>
        </w:rPr>
        <w:t xml:space="preserve">tiem </w:t>
      </w:r>
      <w:r w:rsidRPr="00E94CF2">
        <w:rPr>
          <w:rFonts w:ascii="Times New Roman" w:hAnsi="Times New Roman" w:cs="Times New Roman"/>
          <w:sz w:val="24"/>
          <w:szCs w:val="24"/>
        </w:rPr>
        <w:t>uzņēmumiem, kas pakļauti būtiskam oglekļa dioksīda emisiju pārvirzes riskam</w:t>
      </w:r>
      <w:r w:rsidRPr="00E94CF2">
        <w:rPr>
          <w:rStyle w:val="FootnoteReference"/>
          <w:rFonts w:ascii="Times New Roman" w:hAnsi="Times New Roman" w:cs="Times New Roman"/>
          <w:sz w:val="24"/>
          <w:szCs w:val="24"/>
        </w:rPr>
        <w:footnoteReference w:id="2"/>
      </w:r>
      <w:r w:rsidRPr="00E94CF2">
        <w:rPr>
          <w:rFonts w:ascii="Times New Roman" w:hAnsi="Times New Roman" w:cs="Times New Roman"/>
          <w:sz w:val="24"/>
          <w:szCs w:val="24"/>
        </w:rPr>
        <w:t xml:space="preserve">, Modernizācijas un Inovācijas fondu izveide, brīvprātīgā bezmaksas emisijas kvotu piešķiršana elektroenerģijas ražošanas sistēmu modernizācijai. </w:t>
      </w:r>
    </w:p>
    <w:p w14:paraId="5E8639F6" w14:textId="77777777" w:rsidR="005B5304" w:rsidRPr="00E94CF2" w:rsidRDefault="008E5499" w:rsidP="00236152">
      <w:pPr>
        <w:spacing w:after="10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Saistībā ar šo,</w:t>
      </w:r>
      <w:r w:rsidR="005B5304" w:rsidRPr="00E94CF2">
        <w:rPr>
          <w:rFonts w:ascii="Times New Roman" w:hAnsi="Times New Roman" w:cs="Times New Roman"/>
          <w:sz w:val="24"/>
          <w:szCs w:val="24"/>
        </w:rPr>
        <w:t xml:space="preserve"> Eiropas Komisija 2014.gada 19.decembrī uzsāka rakstisko konsultāciju procedūru</w:t>
      </w:r>
      <w:r w:rsidR="0033793C" w:rsidRPr="00E94CF2">
        <w:rPr>
          <w:rFonts w:ascii="Times New Roman" w:hAnsi="Times New Roman" w:cs="Times New Roman"/>
          <w:sz w:val="24"/>
          <w:szCs w:val="24"/>
        </w:rPr>
        <w:t xml:space="preserve"> „</w:t>
      </w:r>
      <w:r w:rsidR="0033793C" w:rsidRPr="00E94CF2">
        <w:rPr>
          <w:rFonts w:ascii="Times New Roman" w:hAnsi="Times New Roman" w:cs="Times New Roman"/>
          <w:i/>
          <w:sz w:val="24"/>
          <w:szCs w:val="24"/>
        </w:rPr>
        <w:t>Konsultācijas par ES Emisijas kvotu tirdzniecības sistēmas direktīvas pārskatīšanu</w:t>
      </w:r>
      <w:r w:rsidR="0033793C" w:rsidRPr="00E94CF2">
        <w:rPr>
          <w:rFonts w:ascii="Times New Roman" w:hAnsi="Times New Roman" w:cs="Times New Roman"/>
          <w:sz w:val="24"/>
          <w:szCs w:val="24"/>
        </w:rPr>
        <w:t>”</w:t>
      </w:r>
      <w:r w:rsidR="005B5304" w:rsidRPr="00E94CF2">
        <w:rPr>
          <w:rFonts w:ascii="Times New Roman" w:hAnsi="Times New Roman" w:cs="Times New Roman"/>
          <w:sz w:val="24"/>
          <w:szCs w:val="24"/>
        </w:rPr>
        <w:t>, lai no iesaistītajām institūcijām, ieinteresētajām personām un sabiedrības iegūtu nepieciešamo informāciju un viedokļus par iepriekšminētajiem nosacījumiem. Rakstiskās konsultācijas gala termiņš bija 2015.gada 15.marts.</w:t>
      </w:r>
    </w:p>
    <w:p w14:paraId="5E6A8C93" w14:textId="2220E5A8" w:rsidR="005B5304" w:rsidRDefault="005B5304" w:rsidP="00236152">
      <w:pPr>
        <w:spacing w:after="100" w:line="240" w:lineRule="auto"/>
        <w:ind w:firstLine="567"/>
        <w:jc w:val="both"/>
        <w:outlineLvl w:val="2"/>
        <w:rPr>
          <w:rFonts w:ascii="Times New Roman" w:hAnsi="Times New Roman" w:cs="Times New Roman"/>
          <w:sz w:val="24"/>
          <w:szCs w:val="24"/>
        </w:rPr>
      </w:pPr>
      <w:r w:rsidRPr="00E94CF2">
        <w:rPr>
          <w:rFonts w:ascii="Times New Roman" w:hAnsi="Times New Roman" w:cs="Times New Roman"/>
          <w:sz w:val="24"/>
          <w:szCs w:val="24"/>
        </w:rPr>
        <w:t xml:space="preserve">VARAM </w:t>
      </w:r>
      <w:r w:rsidR="00666FD9">
        <w:rPr>
          <w:rFonts w:ascii="Times New Roman" w:hAnsi="Times New Roman" w:cs="Times New Roman"/>
          <w:sz w:val="24"/>
          <w:szCs w:val="24"/>
        </w:rPr>
        <w:t>saskaņojot</w:t>
      </w:r>
      <w:r w:rsidR="00666FD9" w:rsidRPr="00E94CF2">
        <w:rPr>
          <w:rFonts w:ascii="Times New Roman" w:hAnsi="Times New Roman" w:cs="Times New Roman"/>
          <w:sz w:val="24"/>
          <w:szCs w:val="24"/>
        </w:rPr>
        <w:t xml:space="preserve"> </w:t>
      </w:r>
      <w:r w:rsidRPr="00E94CF2">
        <w:rPr>
          <w:rFonts w:ascii="Times New Roman" w:hAnsi="Times New Roman" w:cs="Times New Roman"/>
          <w:sz w:val="24"/>
          <w:szCs w:val="24"/>
        </w:rPr>
        <w:t xml:space="preserve">ar Ekonomikas ministriju, Satiksmes ministriju un Zemkopības ministriju sagatavoja Latvijas viedokli par ETS </w:t>
      </w:r>
      <w:r w:rsidR="000205D2" w:rsidRPr="00E94CF2">
        <w:rPr>
          <w:rFonts w:ascii="Times New Roman" w:hAnsi="Times New Roman" w:cs="Times New Roman"/>
          <w:sz w:val="24"/>
          <w:szCs w:val="24"/>
        </w:rPr>
        <w:t>reformas svarīgākajiem nosacījumiem un noteiktajos termiņos iesniedza šo viedokli Eiropas Komisijā</w:t>
      </w:r>
      <w:r w:rsidR="000205D2" w:rsidRPr="00E94CF2">
        <w:rPr>
          <w:rStyle w:val="FootnoteReference"/>
          <w:rFonts w:ascii="Times New Roman" w:hAnsi="Times New Roman" w:cs="Times New Roman"/>
          <w:sz w:val="24"/>
          <w:szCs w:val="24"/>
        </w:rPr>
        <w:footnoteReference w:id="3"/>
      </w:r>
      <w:r w:rsidR="000205D2" w:rsidRPr="00E94CF2">
        <w:rPr>
          <w:rFonts w:ascii="Times New Roman" w:hAnsi="Times New Roman" w:cs="Times New Roman"/>
          <w:sz w:val="24"/>
          <w:szCs w:val="24"/>
        </w:rPr>
        <w:t>.</w:t>
      </w:r>
      <w:r w:rsidR="008E5499">
        <w:rPr>
          <w:rFonts w:ascii="Times New Roman" w:hAnsi="Times New Roman" w:cs="Times New Roman"/>
          <w:sz w:val="24"/>
          <w:szCs w:val="24"/>
        </w:rPr>
        <w:t xml:space="preserve"> Atbildes tika sniegtas, </w:t>
      </w:r>
      <w:r w:rsidR="00666FD9">
        <w:rPr>
          <w:rFonts w:ascii="Times New Roman" w:hAnsi="Times New Roman" w:cs="Times New Roman"/>
          <w:sz w:val="24"/>
          <w:szCs w:val="24"/>
        </w:rPr>
        <w:t>ņemot vērā</w:t>
      </w:r>
      <w:r w:rsidR="008E5499">
        <w:rPr>
          <w:rFonts w:ascii="Times New Roman" w:hAnsi="Times New Roman" w:cs="Times New Roman"/>
          <w:sz w:val="24"/>
          <w:szCs w:val="24"/>
        </w:rPr>
        <w:t xml:space="preserve"> </w:t>
      </w:r>
      <w:r w:rsidR="008E5499" w:rsidRPr="00E94CF2">
        <w:rPr>
          <w:rFonts w:ascii="Times New Roman" w:hAnsi="Times New Roman" w:cs="Times New Roman"/>
          <w:sz w:val="24"/>
          <w:szCs w:val="24"/>
        </w:rPr>
        <w:t xml:space="preserve">Latvijas Republikas </w:t>
      </w:r>
      <w:r w:rsidR="00666FD9" w:rsidRPr="00E94CF2">
        <w:rPr>
          <w:rFonts w:ascii="Times New Roman" w:hAnsi="Times New Roman" w:cs="Times New Roman"/>
          <w:sz w:val="24"/>
          <w:szCs w:val="24"/>
        </w:rPr>
        <w:t>nacionāl</w:t>
      </w:r>
      <w:r w:rsidR="00666FD9">
        <w:rPr>
          <w:rFonts w:ascii="Times New Roman" w:hAnsi="Times New Roman" w:cs="Times New Roman"/>
          <w:sz w:val="24"/>
          <w:szCs w:val="24"/>
        </w:rPr>
        <w:t>o</w:t>
      </w:r>
      <w:r w:rsidR="00666FD9" w:rsidRPr="00E94CF2">
        <w:rPr>
          <w:rFonts w:ascii="Times New Roman" w:hAnsi="Times New Roman" w:cs="Times New Roman"/>
          <w:sz w:val="24"/>
          <w:szCs w:val="24"/>
        </w:rPr>
        <w:t xml:space="preserve"> </w:t>
      </w:r>
      <w:r w:rsidR="008E5499" w:rsidRPr="00E94CF2">
        <w:rPr>
          <w:rFonts w:ascii="Times New Roman" w:hAnsi="Times New Roman" w:cs="Times New Roman"/>
          <w:sz w:val="24"/>
          <w:szCs w:val="24"/>
        </w:rPr>
        <w:t>pozīcij</w:t>
      </w:r>
      <w:r w:rsidR="008E5499">
        <w:rPr>
          <w:rFonts w:ascii="Times New Roman" w:hAnsi="Times New Roman" w:cs="Times New Roman"/>
          <w:sz w:val="24"/>
          <w:szCs w:val="24"/>
        </w:rPr>
        <w:t>u</w:t>
      </w:r>
      <w:r w:rsidR="008E5499" w:rsidRPr="00E94CF2">
        <w:rPr>
          <w:rFonts w:ascii="Times New Roman" w:hAnsi="Times New Roman" w:cs="Times New Roman"/>
          <w:sz w:val="24"/>
          <w:szCs w:val="24"/>
        </w:rPr>
        <w:t xml:space="preserve"> Nr.3 „Par Klimata un enerģētikas politikas satvaru laikposmam no 2020.gada līdz 2030.gadam</w:t>
      </w:r>
      <w:r w:rsidR="008E5499">
        <w:rPr>
          <w:rFonts w:ascii="Times New Roman" w:hAnsi="Times New Roman" w:cs="Times New Roman"/>
          <w:sz w:val="24"/>
          <w:szCs w:val="24"/>
        </w:rPr>
        <w:t xml:space="preserve">. </w:t>
      </w:r>
    </w:p>
    <w:p w14:paraId="7E8A2E2A" w14:textId="77777777" w:rsidR="001B2843" w:rsidRPr="00E94CF2" w:rsidRDefault="001B2843" w:rsidP="00236152">
      <w:pPr>
        <w:spacing w:after="100" w:line="240" w:lineRule="auto"/>
        <w:ind w:firstLine="567"/>
        <w:jc w:val="both"/>
        <w:outlineLvl w:val="2"/>
        <w:rPr>
          <w:rFonts w:ascii="Times New Roman" w:hAnsi="Times New Roman" w:cs="Times New Roman"/>
          <w:sz w:val="24"/>
          <w:szCs w:val="24"/>
        </w:rPr>
      </w:pPr>
    </w:p>
    <w:p w14:paraId="389FC70F" w14:textId="77777777" w:rsidR="000205D2" w:rsidRPr="00067A14" w:rsidRDefault="000205D2" w:rsidP="00236152">
      <w:pPr>
        <w:pStyle w:val="ListParagraph"/>
        <w:numPr>
          <w:ilvl w:val="1"/>
          <w:numId w:val="4"/>
        </w:numPr>
        <w:spacing w:after="100" w:line="240" w:lineRule="auto"/>
        <w:ind w:left="738" w:hanging="454"/>
        <w:contextualSpacing w:val="0"/>
        <w:jc w:val="both"/>
        <w:outlineLvl w:val="2"/>
        <w:rPr>
          <w:rFonts w:ascii="Times New Roman" w:hAnsi="Times New Roman" w:cs="Times New Roman"/>
          <w:b/>
          <w:sz w:val="24"/>
          <w:szCs w:val="24"/>
          <w:u w:val="single"/>
        </w:rPr>
      </w:pPr>
      <w:r w:rsidRPr="00067A14">
        <w:rPr>
          <w:rFonts w:ascii="Times New Roman" w:hAnsi="Times New Roman" w:cs="Times New Roman"/>
          <w:b/>
          <w:sz w:val="24"/>
          <w:szCs w:val="24"/>
          <w:u w:val="single"/>
        </w:rPr>
        <w:t>Elastības mehānismi</w:t>
      </w:r>
    </w:p>
    <w:p w14:paraId="64A45440" w14:textId="5E124F33" w:rsidR="00D414F5" w:rsidRPr="00E94CF2" w:rsidRDefault="00D414F5" w:rsidP="00236152">
      <w:pPr>
        <w:autoSpaceDE w:val="0"/>
        <w:autoSpaceDN w:val="0"/>
        <w:adjustRightInd w:val="0"/>
        <w:spacing w:after="100" w:line="240" w:lineRule="auto"/>
        <w:ind w:firstLine="567"/>
        <w:jc w:val="both"/>
        <w:rPr>
          <w:rFonts w:ascii="Times New Roman" w:hAnsi="Times New Roman" w:cs="Times New Roman"/>
          <w:i/>
          <w:sz w:val="24"/>
          <w:szCs w:val="24"/>
        </w:rPr>
      </w:pPr>
      <w:r w:rsidRPr="00E94CF2">
        <w:rPr>
          <w:rFonts w:ascii="Times New Roman" w:hAnsi="Times New Roman" w:cs="Times New Roman"/>
          <w:bCs/>
          <w:sz w:val="24"/>
          <w:szCs w:val="24"/>
        </w:rPr>
        <w:t>Lai nodrošinātu elastību</w:t>
      </w:r>
      <w:r w:rsidR="007C0E3D">
        <w:rPr>
          <w:rFonts w:ascii="Times New Roman" w:hAnsi="Times New Roman" w:cs="Times New Roman"/>
          <w:bCs/>
          <w:sz w:val="24"/>
          <w:szCs w:val="24"/>
        </w:rPr>
        <w:t>,</w:t>
      </w:r>
      <w:r w:rsidRPr="00E94CF2">
        <w:rPr>
          <w:rFonts w:ascii="Times New Roman" w:hAnsi="Times New Roman" w:cs="Times New Roman"/>
          <w:bCs/>
          <w:sz w:val="24"/>
          <w:szCs w:val="24"/>
        </w:rPr>
        <w:t xml:space="preserve"> visām dalībvalstīm īstenot </w:t>
      </w:r>
      <w:r w:rsidR="00666FD9">
        <w:rPr>
          <w:rFonts w:ascii="Times New Roman" w:hAnsi="Times New Roman" w:cs="Times New Roman"/>
          <w:bCs/>
          <w:sz w:val="24"/>
          <w:szCs w:val="24"/>
        </w:rPr>
        <w:t>tām</w:t>
      </w:r>
      <w:r w:rsidR="00666FD9" w:rsidRPr="00E94CF2">
        <w:rPr>
          <w:rFonts w:ascii="Times New Roman" w:hAnsi="Times New Roman" w:cs="Times New Roman"/>
          <w:bCs/>
          <w:sz w:val="24"/>
          <w:szCs w:val="24"/>
        </w:rPr>
        <w:t xml:space="preserve"> noteikt</w:t>
      </w:r>
      <w:r w:rsidR="00666FD9">
        <w:rPr>
          <w:rFonts w:ascii="Times New Roman" w:hAnsi="Times New Roman" w:cs="Times New Roman"/>
          <w:bCs/>
          <w:sz w:val="24"/>
          <w:szCs w:val="24"/>
        </w:rPr>
        <w:t>o</w:t>
      </w:r>
      <w:r w:rsidR="00666FD9" w:rsidRPr="00E94CF2">
        <w:rPr>
          <w:rFonts w:ascii="Times New Roman" w:hAnsi="Times New Roman" w:cs="Times New Roman"/>
          <w:bCs/>
          <w:sz w:val="24"/>
          <w:szCs w:val="24"/>
        </w:rPr>
        <w:t xml:space="preserve">s </w:t>
      </w:r>
      <w:r w:rsidRPr="00E94CF2">
        <w:rPr>
          <w:rFonts w:ascii="Times New Roman" w:hAnsi="Times New Roman" w:cs="Times New Roman"/>
          <w:bCs/>
          <w:sz w:val="24"/>
          <w:szCs w:val="24"/>
        </w:rPr>
        <w:t xml:space="preserve">SEG emisiju samazināšanas </w:t>
      </w:r>
      <w:r w:rsidR="00666FD9">
        <w:rPr>
          <w:rFonts w:ascii="Times New Roman" w:hAnsi="Times New Roman" w:cs="Times New Roman"/>
          <w:bCs/>
          <w:sz w:val="24"/>
          <w:szCs w:val="24"/>
        </w:rPr>
        <w:t>mērķus</w:t>
      </w:r>
      <w:r w:rsidRPr="00E94CF2">
        <w:rPr>
          <w:rFonts w:ascii="Times New Roman" w:hAnsi="Times New Roman" w:cs="Times New Roman"/>
          <w:bCs/>
          <w:sz w:val="24"/>
          <w:szCs w:val="24"/>
        </w:rPr>
        <w:t xml:space="preserve">, kā arī, lai uzlabotu kopējo izmaksu efektivitāti kopējā ES mērķa izpildei, </w:t>
      </w:r>
      <w:r w:rsidR="00E94CF2" w:rsidRPr="00E94CF2">
        <w:rPr>
          <w:rFonts w:ascii="Times New Roman" w:eastAsia="Times New Roman" w:hAnsi="Times New Roman" w:cs="Times New Roman"/>
          <w:sz w:val="24"/>
          <w:szCs w:val="24"/>
        </w:rPr>
        <w:t>Lēmumā Nr.406/2009 (turpmāk – Saistību pārdales lēmums)</w:t>
      </w:r>
      <w:r w:rsidR="00E94CF2" w:rsidRPr="00E94CF2">
        <w:rPr>
          <w:rStyle w:val="FootnoteReference"/>
          <w:rFonts w:ascii="Times New Roman" w:eastAsia="Times New Roman" w:hAnsi="Times New Roman" w:cs="Times New Roman"/>
          <w:sz w:val="24"/>
          <w:szCs w:val="24"/>
        </w:rPr>
        <w:footnoteReference w:id="4"/>
      </w:r>
      <w:r w:rsidR="00E94CF2" w:rsidRPr="00E94CF2">
        <w:rPr>
          <w:rFonts w:ascii="Times New Roman" w:eastAsia="Times New Roman" w:hAnsi="Times New Roman" w:cs="Times New Roman"/>
          <w:sz w:val="24"/>
          <w:szCs w:val="24"/>
        </w:rPr>
        <w:t xml:space="preserve"> </w:t>
      </w:r>
      <w:r w:rsidR="00A6008B" w:rsidRPr="00E94CF2">
        <w:rPr>
          <w:rFonts w:ascii="Times New Roman" w:hAnsi="Times New Roman" w:cs="Times New Roman"/>
          <w:bCs/>
          <w:sz w:val="24"/>
          <w:szCs w:val="24"/>
        </w:rPr>
        <w:t xml:space="preserve">ir iekļauti </w:t>
      </w:r>
      <w:r w:rsidRPr="00E94CF2">
        <w:rPr>
          <w:rFonts w:ascii="Times New Roman" w:hAnsi="Times New Roman" w:cs="Times New Roman"/>
          <w:bCs/>
          <w:sz w:val="24"/>
          <w:szCs w:val="24"/>
        </w:rPr>
        <w:t>vairāk</w:t>
      </w:r>
      <w:r w:rsidR="00A6008B" w:rsidRPr="00E94CF2">
        <w:rPr>
          <w:rFonts w:ascii="Times New Roman" w:hAnsi="Times New Roman" w:cs="Times New Roman"/>
          <w:bCs/>
          <w:sz w:val="24"/>
          <w:szCs w:val="24"/>
        </w:rPr>
        <w:t>i</w:t>
      </w:r>
      <w:r w:rsidRPr="00E94CF2">
        <w:rPr>
          <w:rFonts w:ascii="Times New Roman" w:hAnsi="Times New Roman" w:cs="Times New Roman"/>
          <w:bCs/>
          <w:sz w:val="24"/>
          <w:szCs w:val="24"/>
        </w:rPr>
        <w:t xml:space="preserve"> elastības mehānism</w:t>
      </w:r>
      <w:r w:rsidR="00A6008B" w:rsidRPr="00E94CF2">
        <w:rPr>
          <w:rFonts w:ascii="Times New Roman" w:hAnsi="Times New Roman" w:cs="Times New Roman"/>
          <w:bCs/>
          <w:sz w:val="24"/>
          <w:szCs w:val="24"/>
        </w:rPr>
        <w:t>i</w:t>
      </w:r>
      <w:r w:rsidRPr="00E94CF2">
        <w:rPr>
          <w:rFonts w:ascii="Times New Roman" w:hAnsi="Times New Roman" w:cs="Times New Roman"/>
          <w:bCs/>
          <w:sz w:val="24"/>
          <w:szCs w:val="24"/>
        </w:rPr>
        <w:t xml:space="preserve"> laikposmā 2013.-2020.gads, kas varētu būt izmantoj</w:t>
      </w:r>
      <w:r w:rsidR="00D67B3B" w:rsidRPr="00E94CF2">
        <w:rPr>
          <w:rFonts w:ascii="Times New Roman" w:hAnsi="Times New Roman" w:cs="Times New Roman"/>
          <w:bCs/>
          <w:sz w:val="24"/>
          <w:szCs w:val="24"/>
        </w:rPr>
        <w:t>ami ikgadējo mērķu sasniegšanai</w:t>
      </w:r>
      <w:r w:rsidR="007D7495" w:rsidRPr="00E94CF2">
        <w:rPr>
          <w:rFonts w:ascii="Times New Roman" w:hAnsi="Times New Roman" w:cs="Times New Roman"/>
          <w:bCs/>
          <w:sz w:val="24"/>
          <w:szCs w:val="24"/>
        </w:rPr>
        <w:t xml:space="preserve">. </w:t>
      </w:r>
      <w:r w:rsidR="00E94CF2" w:rsidRPr="00E94CF2">
        <w:rPr>
          <w:rFonts w:ascii="Times New Roman" w:hAnsi="Times New Roman" w:cs="Times New Roman"/>
          <w:bCs/>
          <w:sz w:val="24"/>
          <w:szCs w:val="24"/>
        </w:rPr>
        <w:t xml:space="preserve">Savukārt </w:t>
      </w:r>
      <w:r w:rsidRPr="00E94CF2">
        <w:rPr>
          <w:rFonts w:ascii="Times New Roman" w:hAnsi="Times New Roman" w:cs="Times New Roman"/>
          <w:bCs/>
          <w:sz w:val="24"/>
          <w:szCs w:val="24"/>
        </w:rPr>
        <w:t xml:space="preserve">Eiropadomes secinājumos ir noteikts, ka </w:t>
      </w:r>
      <w:r w:rsidR="00A6008B" w:rsidRPr="00E94CF2">
        <w:rPr>
          <w:rFonts w:ascii="Times New Roman" w:hAnsi="Times New Roman" w:cs="Times New Roman"/>
          <w:bCs/>
          <w:sz w:val="24"/>
          <w:szCs w:val="24"/>
        </w:rPr>
        <w:t>„</w:t>
      </w:r>
      <w:r w:rsidRPr="00E94CF2">
        <w:rPr>
          <w:rFonts w:ascii="Times New Roman" w:hAnsi="Times New Roman" w:cs="Times New Roman"/>
          <w:i/>
          <w:sz w:val="24"/>
          <w:szCs w:val="24"/>
        </w:rPr>
        <w:t>tiks ievērojami pastiprināta esošo elastības instrumentu pieejamība un izmantošana ETS neaptvertajos sektoros, lai nodrošinātu kopīgo ES centienu lietderību izmaksu ziņā un konverģenci attiecībā uz emisiju apjomu uz vienu iedzīvotāju līdz 2030.</w:t>
      </w:r>
      <w:r w:rsidR="00A6008B" w:rsidRPr="00E94CF2">
        <w:rPr>
          <w:rFonts w:ascii="Times New Roman" w:hAnsi="Times New Roman" w:cs="Times New Roman"/>
          <w:i/>
          <w:sz w:val="24"/>
          <w:szCs w:val="24"/>
        </w:rPr>
        <w:t>g</w:t>
      </w:r>
      <w:r w:rsidRPr="00E94CF2">
        <w:rPr>
          <w:rFonts w:ascii="Times New Roman" w:hAnsi="Times New Roman" w:cs="Times New Roman"/>
          <w:i/>
          <w:sz w:val="24"/>
          <w:szCs w:val="24"/>
        </w:rPr>
        <w:t>adam</w:t>
      </w:r>
      <w:r w:rsidR="00A6008B" w:rsidRPr="00E94CF2">
        <w:rPr>
          <w:rFonts w:ascii="Times New Roman" w:hAnsi="Times New Roman" w:cs="Times New Roman"/>
          <w:i/>
          <w:sz w:val="24"/>
          <w:szCs w:val="24"/>
        </w:rPr>
        <w:t>”</w:t>
      </w:r>
      <w:r w:rsidRPr="00E94CF2">
        <w:rPr>
          <w:rFonts w:ascii="Times New Roman" w:hAnsi="Times New Roman" w:cs="Times New Roman"/>
          <w:i/>
          <w:sz w:val="24"/>
          <w:szCs w:val="24"/>
        </w:rPr>
        <w:t xml:space="preserve">. </w:t>
      </w:r>
    </w:p>
    <w:p w14:paraId="0F41183C" w14:textId="563EB47B" w:rsidR="00A86916" w:rsidRPr="00E94CF2" w:rsidRDefault="007C0E3D" w:rsidP="00236152">
      <w:pPr>
        <w:spacing w:after="10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2015.gadā līdz šim ir notikuši vairāki dalībvalstu semināri, apspriežot jautājumus </w:t>
      </w:r>
      <w:r w:rsidRPr="00E94CF2">
        <w:rPr>
          <w:rFonts w:ascii="Times New Roman" w:hAnsi="Times New Roman" w:cs="Times New Roman"/>
          <w:sz w:val="24"/>
          <w:szCs w:val="24"/>
        </w:rPr>
        <w:t>elastības mehānismu uzlabošanas iespējām Saistību pārdales lēmuma pārskatīšanā</w:t>
      </w:r>
      <w:r>
        <w:rPr>
          <w:rFonts w:ascii="Times New Roman" w:hAnsi="Times New Roman" w:cs="Times New Roman"/>
          <w:sz w:val="24"/>
          <w:szCs w:val="24"/>
        </w:rPr>
        <w:t>.</w:t>
      </w:r>
      <w:r w:rsidRPr="00E94CF2">
        <w:rPr>
          <w:rFonts w:ascii="Times New Roman" w:hAnsi="Times New Roman" w:cs="Times New Roman"/>
          <w:sz w:val="24"/>
          <w:szCs w:val="24"/>
        </w:rPr>
        <w:t xml:space="preserve"> </w:t>
      </w:r>
      <w:r w:rsidR="00A86916" w:rsidRPr="00E94CF2">
        <w:rPr>
          <w:rFonts w:ascii="Times New Roman" w:hAnsi="Times New Roman" w:cs="Times New Roman"/>
          <w:sz w:val="24"/>
          <w:szCs w:val="24"/>
        </w:rPr>
        <w:t xml:space="preserve">VARAM pārstāvji ir piedalījušies </w:t>
      </w:r>
      <w:r>
        <w:rPr>
          <w:rFonts w:ascii="Times New Roman" w:hAnsi="Times New Roman" w:cs="Times New Roman"/>
          <w:sz w:val="24"/>
          <w:szCs w:val="24"/>
        </w:rPr>
        <w:t>šajos</w:t>
      </w:r>
      <w:r w:rsidR="00A86916" w:rsidRPr="00E94CF2">
        <w:rPr>
          <w:rFonts w:ascii="Times New Roman" w:hAnsi="Times New Roman" w:cs="Times New Roman"/>
          <w:sz w:val="24"/>
          <w:szCs w:val="24"/>
        </w:rPr>
        <w:t xml:space="preserve"> semināros</w:t>
      </w:r>
      <w:r>
        <w:rPr>
          <w:rFonts w:ascii="Times New Roman" w:hAnsi="Times New Roman" w:cs="Times New Roman"/>
          <w:sz w:val="24"/>
          <w:szCs w:val="24"/>
        </w:rPr>
        <w:t xml:space="preserve">, paužot viedokli, ka </w:t>
      </w:r>
      <w:r w:rsidR="00A86916" w:rsidRPr="00E94CF2">
        <w:rPr>
          <w:rFonts w:ascii="Times New Roman" w:hAnsi="Times New Roman" w:cs="Times New Roman"/>
          <w:sz w:val="24"/>
          <w:szCs w:val="24"/>
        </w:rPr>
        <w:t xml:space="preserve">uzlabotajiem elastības mehānismiem ir jābūt diferencētiem, ņemot vērā dalībvalstu īpaši būtiskākās atšķirības un lielākās novirzes no ES vidējiem parametriem. Tika uzsvērts, ka, lemjot par ne-ETS darbību </w:t>
      </w:r>
      <w:r w:rsidR="00A86916" w:rsidRPr="00E94CF2">
        <w:rPr>
          <w:rFonts w:ascii="Times New Roman" w:hAnsi="Times New Roman" w:cs="Times New Roman"/>
          <w:sz w:val="24"/>
          <w:szCs w:val="24"/>
        </w:rPr>
        <w:lastRenderedPageBreak/>
        <w:t>SEG emisiju samazināšanas mērķiem un to izpildi, nedrīkst aizmirst par dalībvalstu un to uzņēmumu konkurētspējas saglabāšanu, kā arī ir jāņem vērā katras individuālās dalībvalsts potenciālās iespējas nodrošināt ne-ETS darbību SEG emisiju samazināšanu, būtiski neietekmējot dalībvalsts nacionālo ekonomiku (dalībvalsts individuālā izmaksu efektivitāte).</w:t>
      </w:r>
    </w:p>
    <w:p w14:paraId="4F4B685F" w14:textId="6B632992" w:rsidR="00A86916" w:rsidRDefault="00A86916" w:rsidP="00236152">
      <w:pPr>
        <w:spacing w:after="100" w:line="240" w:lineRule="auto"/>
        <w:ind w:firstLine="567"/>
        <w:jc w:val="both"/>
        <w:outlineLvl w:val="2"/>
        <w:rPr>
          <w:rFonts w:ascii="Times New Roman" w:hAnsi="Times New Roman" w:cs="Times New Roman"/>
          <w:sz w:val="24"/>
          <w:szCs w:val="24"/>
        </w:rPr>
      </w:pPr>
      <w:r w:rsidRPr="00E94CF2">
        <w:rPr>
          <w:rFonts w:ascii="Times New Roman" w:hAnsi="Times New Roman" w:cs="Times New Roman"/>
          <w:sz w:val="24"/>
          <w:szCs w:val="24"/>
        </w:rPr>
        <w:t xml:space="preserve">VARAM </w:t>
      </w:r>
      <w:r w:rsidR="007C0E3D">
        <w:rPr>
          <w:rFonts w:ascii="Times New Roman" w:hAnsi="Times New Roman" w:cs="Times New Roman"/>
          <w:sz w:val="24"/>
          <w:szCs w:val="24"/>
        </w:rPr>
        <w:t>arī pauda viedokli</w:t>
      </w:r>
      <w:r w:rsidRPr="00E94CF2">
        <w:rPr>
          <w:rFonts w:ascii="Times New Roman" w:hAnsi="Times New Roman" w:cs="Times New Roman"/>
          <w:sz w:val="24"/>
          <w:szCs w:val="24"/>
        </w:rPr>
        <w:t xml:space="preserve">, </w:t>
      </w:r>
      <w:proofErr w:type="gramStart"/>
      <w:r w:rsidRPr="00E94CF2">
        <w:rPr>
          <w:rFonts w:ascii="Times New Roman" w:hAnsi="Times New Roman" w:cs="Times New Roman"/>
          <w:sz w:val="24"/>
          <w:szCs w:val="24"/>
        </w:rPr>
        <w:t>ka dalībvalstīm ir</w:t>
      </w:r>
      <w:proofErr w:type="gramEnd"/>
      <w:r w:rsidRPr="00E94CF2">
        <w:rPr>
          <w:rFonts w:ascii="Times New Roman" w:hAnsi="Times New Roman" w:cs="Times New Roman"/>
          <w:sz w:val="24"/>
          <w:szCs w:val="24"/>
        </w:rPr>
        <w:t xml:space="preserve"> jāļauj </w:t>
      </w:r>
      <w:r w:rsidR="001B2843" w:rsidRPr="00E94CF2">
        <w:rPr>
          <w:rFonts w:ascii="Times New Roman" w:hAnsi="Times New Roman" w:cs="Times New Roman"/>
          <w:sz w:val="24"/>
          <w:szCs w:val="24"/>
        </w:rPr>
        <w:t>brī</w:t>
      </w:r>
      <w:r w:rsidR="001B2843">
        <w:rPr>
          <w:rFonts w:ascii="Times New Roman" w:hAnsi="Times New Roman" w:cs="Times New Roman"/>
          <w:sz w:val="24"/>
          <w:szCs w:val="24"/>
        </w:rPr>
        <w:t>vi</w:t>
      </w:r>
      <w:r w:rsidR="001B2843" w:rsidRPr="00E94CF2">
        <w:rPr>
          <w:rFonts w:ascii="Times New Roman" w:hAnsi="Times New Roman" w:cs="Times New Roman"/>
          <w:sz w:val="24"/>
          <w:szCs w:val="24"/>
        </w:rPr>
        <w:t xml:space="preserve"> </w:t>
      </w:r>
      <w:r w:rsidRPr="00E94CF2">
        <w:rPr>
          <w:rFonts w:ascii="Times New Roman" w:hAnsi="Times New Roman" w:cs="Times New Roman"/>
          <w:sz w:val="24"/>
          <w:szCs w:val="24"/>
        </w:rPr>
        <w:t xml:space="preserve">rīkoties ar tai </w:t>
      </w:r>
      <w:r w:rsidR="00666FD9">
        <w:rPr>
          <w:rFonts w:ascii="Times New Roman" w:hAnsi="Times New Roman" w:cs="Times New Roman"/>
          <w:sz w:val="24"/>
          <w:szCs w:val="24"/>
        </w:rPr>
        <w:t xml:space="preserve">Saistību pārdales ietvaros </w:t>
      </w:r>
      <w:r w:rsidRPr="00E94CF2">
        <w:rPr>
          <w:rFonts w:ascii="Times New Roman" w:hAnsi="Times New Roman" w:cs="Times New Roman"/>
          <w:sz w:val="24"/>
          <w:szCs w:val="24"/>
        </w:rPr>
        <w:t xml:space="preserve">piešķirtajām vienībām, nenosakot īpašus darījumu (aizņemšanās, uzkrāšanas) sliekšņus. Tiks uzsvērta arī nepieciešamība būtiski uzlabot šo vienību pārskaitījumu (pārdošanas un pirkšanas) iespējas un veikt tādus pasākumus, kas izveidotu un uzturētu arī šo vienību tirgu un nodrošinātu vērā ņemamu vienību cenu. Valstīm ar nelielu ETS īpatsvaru kopējā SEG emisiju apjomā (un tādējādi nelielu ieņēmumu apjomu no ETS emisijas kvotu izsolīšanas) un lielu ne-ETS darbību SEG emisiju apjomu, kur nepieciešams īstenot būtisku SEG emisiju samazināšanas pasākumus, ir ļoti grūti nodrošināt SEG emisiju samazināšanas pasākumiem nepieciešamos finanšu līdzekļus. </w:t>
      </w:r>
    </w:p>
    <w:p w14:paraId="3ECA5582" w14:textId="77777777" w:rsidR="00231E76" w:rsidRPr="00E94CF2" w:rsidRDefault="00231E76" w:rsidP="00236152">
      <w:pPr>
        <w:spacing w:after="100" w:line="240" w:lineRule="auto"/>
        <w:ind w:firstLine="567"/>
        <w:jc w:val="both"/>
        <w:outlineLvl w:val="2"/>
        <w:rPr>
          <w:rFonts w:ascii="Times New Roman" w:hAnsi="Times New Roman" w:cs="Times New Roman"/>
          <w:sz w:val="24"/>
          <w:szCs w:val="24"/>
        </w:rPr>
      </w:pPr>
    </w:p>
    <w:p w14:paraId="1AEFF5A8" w14:textId="130125CA" w:rsidR="00A86916" w:rsidRPr="002177D4" w:rsidRDefault="00A86916" w:rsidP="00236152">
      <w:pPr>
        <w:pStyle w:val="ListParagraph"/>
        <w:numPr>
          <w:ilvl w:val="1"/>
          <w:numId w:val="4"/>
        </w:numPr>
        <w:autoSpaceDE w:val="0"/>
        <w:adjustRightInd w:val="0"/>
        <w:spacing w:after="100" w:line="240" w:lineRule="auto"/>
        <w:ind w:left="738" w:hanging="454"/>
        <w:contextualSpacing w:val="0"/>
        <w:jc w:val="both"/>
        <w:rPr>
          <w:rFonts w:ascii="Times New Roman" w:hAnsi="Times New Roman" w:cs="Times New Roman"/>
          <w:b/>
          <w:sz w:val="24"/>
          <w:szCs w:val="24"/>
          <w:u w:val="single"/>
        </w:rPr>
      </w:pPr>
      <w:r w:rsidRPr="002177D4">
        <w:rPr>
          <w:rFonts w:ascii="Times New Roman" w:hAnsi="Times New Roman" w:cs="Times New Roman"/>
          <w:b/>
          <w:sz w:val="24"/>
          <w:szCs w:val="24"/>
          <w:u w:val="single"/>
        </w:rPr>
        <w:t>KEPS2030 ietvaros izveido</w:t>
      </w:r>
      <w:r w:rsidR="00666FD9">
        <w:rPr>
          <w:rFonts w:ascii="Times New Roman" w:hAnsi="Times New Roman" w:cs="Times New Roman"/>
          <w:b/>
          <w:sz w:val="24"/>
          <w:szCs w:val="24"/>
          <w:u w:val="single"/>
        </w:rPr>
        <w:t>jamie</w:t>
      </w:r>
      <w:r w:rsidRPr="002177D4">
        <w:rPr>
          <w:rFonts w:ascii="Times New Roman" w:hAnsi="Times New Roman" w:cs="Times New Roman"/>
          <w:b/>
          <w:sz w:val="24"/>
          <w:szCs w:val="24"/>
          <w:u w:val="single"/>
        </w:rPr>
        <w:t xml:space="preserve"> fondi</w:t>
      </w:r>
    </w:p>
    <w:p w14:paraId="02AFEC27" w14:textId="37CF81AF" w:rsidR="007C0E3D" w:rsidRDefault="00231E76" w:rsidP="00236152">
      <w:pPr>
        <w:autoSpaceDE w:val="0"/>
        <w:adjustRightInd w:val="0"/>
        <w:spacing w:after="100" w:line="240" w:lineRule="auto"/>
        <w:ind w:firstLine="567"/>
        <w:jc w:val="both"/>
        <w:rPr>
          <w:rFonts w:ascii="Times New Roman" w:hAnsi="Times New Roman" w:cs="Times New Roman"/>
          <w:sz w:val="24"/>
          <w:szCs w:val="24"/>
        </w:rPr>
      </w:pPr>
      <w:r>
        <w:rPr>
          <w:rFonts w:ascii="Times New Roman" w:hAnsi="Times New Roman" w:cs="Times New Roman"/>
          <w:sz w:val="24"/>
          <w:szCs w:val="24"/>
        </w:rPr>
        <w:t>Latvijas pārstāvji</w:t>
      </w:r>
      <w:r w:rsidR="00A86916" w:rsidRPr="00E94CF2">
        <w:rPr>
          <w:rFonts w:ascii="Times New Roman" w:hAnsi="Times New Roman" w:cs="Times New Roman"/>
          <w:sz w:val="24"/>
          <w:szCs w:val="24"/>
        </w:rPr>
        <w:t xml:space="preserve"> </w:t>
      </w:r>
      <w:r w:rsidR="00A6008B" w:rsidRPr="00E94CF2">
        <w:rPr>
          <w:rFonts w:ascii="Times New Roman" w:hAnsi="Times New Roman" w:cs="Times New Roman"/>
          <w:sz w:val="24"/>
          <w:szCs w:val="24"/>
        </w:rPr>
        <w:t>piedalīj</w:t>
      </w:r>
      <w:r>
        <w:rPr>
          <w:rFonts w:ascii="Times New Roman" w:hAnsi="Times New Roman" w:cs="Times New Roman"/>
          <w:sz w:val="24"/>
          <w:szCs w:val="24"/>
        </w:rPr>
        <w:t>ās</w:t>
      </w:r>
      <w:r w:rsidR="00A86916" w:rsidRPr="00E94CF2">
        <w:rPr>
          <w:rFonts w:ascii="Times New Roman" w:hAnsi="Times New Roman" w:cs="Times New Roman"/>
          <w:sz w:val="24"/>
          <w:szCs w:val="24"/>
        </w:rPr>
        <w:t xml:space="preserve"> </w:t>
      </w:r>
      <w:r w:rsidR="00A6008B" w:rsidRPr="00E94CF2">
        <w:rPr>
          <w:rFonts w:ascii="Times New Roman" w:hAnsi="Times New Roman" w:cs="Times New Roman"/>
          <w:sz w:val="24"/>
          <w:szCs w:val="24"/>
        </w:rPr>
        <w:t xml:space="preserve">pēc Eiropas Komisijas iniciatīvas organizētajā seminārā par Eiropadomes secinājumu 2.7.punktā minēto </w:t>
      </w:r>
      <w:r w:rsidR="00880A60" w:rsidRPr="00880A60">
        <w:rPr>
          <w:rFonts w:ascii="Times New Roman" w:hAnsi="Times New Roman" w:cs="Times New Roman"/>
          <w:b/>
          <w:sz w:val="24"/>
          <w:szCs w:val="24"/>
        </w:rPr>
        <w:t>Modernizācijas fondu</w:t>
      </w:r>
      <w:r w:rsidR="00A6008B" w:rsidRPr="00E94CF2">
        <w:rPr>
          <w:rFonts w:ascii="Times New Roman" w:hAnsi="Times New Roman" w:cs="Times New Roman"/>
          <w:sz w:val="24"/>
          <w:szCs w:val="24"/>
        </w:rPr>
        <w:t xml:space="preserve">, lai </w:t>
      </w:r>
      <w:r w:rsidR="00666FD9">
        <w:rPr>
          <w:rFonts w:ascii="Times New Roman" w:hAnsi="Times New Roman" w:cs="Times New Roman"/>
          <w:sz w:val="24"/>
          <w:szCs w:val="24"/>
        </w:rPr>
        <w:t>pārrunātu viedokļus un ieceres</w:t>
      </w:r>
      <w:r w:rsidR="00666FD9" w:rsidRPr="00E94CF2">
        <w:rPr>
          <w:rFonts w:ascii="Times New Roman" w:hAnsi="Times New Roman" w:cs="Times New Roman"/>
          <w:sz w:val="24"/>
          <w:szCs w:val="24"/>
        </w:rPr>
        <w:t xml:space="preserve"> </w:t>
      </w:r>
      <w:r w:rsidR="00666FD9">
        <w:rPr>
          <w:rFonts w:ascii="Times New Roman" w:hAnsi="Times New Roman" w:cs="Times New Roman"/>
          <w:sz w:val="24"/>
          <w:szCs w:val="24"/>
        </w:rPr>
        <w:t xml:space="preserve">ar </w:t>
      </w:r>
      <w:r w:rsidR="00A6008B" w:rsidRPr="00E94CF2">
        <w:rPr>
          <w:rFonts w:ascii="Times New Roman" w:hAnsi="Times New Roman" w:cs="Times New Roman"/>
          <w:sz w:val="24"/>
          <w:szCs w:val="24"/>
        </w:rPr>
        <w:t>šī fonda līdzekļu saņēmējvalstīm (BG, CZ, EE, HR, HU, LT, LV, PL, RO, SK), galvenajiem lēmuma pieņēmējiem un ieinteresētajām pusēm</w:t>
      </w:r>
      <w:r w:rsidR="007C0E3D">
        <w:rPr>
          <w:rFonts w:ascii="Times New Roman" w:hAnsi="Times New Roman" w:cs="Times New Roman"/>
          <w:sz w:val="24"/>
          <w:szCs w:val="24"/>
        </w:rPr>
        <w:t xml:space="preserve"> ar mērķi</w:t>
      </w:r>
      <w:r w:rsidR="00A6008B" w:rsidRPr="00E94CF2">
        <w:rPr>
          <w:rFonts w:ascii="Times New Roman" w:hAnsi="Times New Roman" w:cs="Times New Roman"/>
          <w:sz w:val="24"/>
          <w:szCs w:val="24"/>
        </w:rPr>
        <w:t xml:space="preserve"> veidot kopēju izpratni par būtiskākajiem jautājumiem un izvēlēm.</w:t>
      </w:r>
      <w:r w:rsidR="00A34552" w:rsidRPr="00E94CF2">
        <w:rPr>
          <w:rFonts w:ascii="Times New Roman" w:hAnsi="Times New Roman" w:cs="Times New Roman"/>
          <w:sz w:val="24"/>
          <w:szCs w:val="24"/>
        </w:rPr>
        <w:t xml:space="preserve"> </w:t>
      </w:r>
    </w:p>
    <w:p w14:paraId="32033789" w14:textId="77777777" w:rsidR="00A6008B" w:rsidRPr="00E94CF2" w:rsidRDefault="007C0E3D" w:rsidP="00236152">
      <w:pPr>
        <w:autoSpaceDE w:val="0"/>
        <w:adjustRightInd w:val="0"/>
        <w:spacing w:after="100" w:line="240" w:lineRule="auto"/>
        <w:ind w:firstLine="567"/>
        <w:jc w:val="both"/>
        <w:rPr>
          <w:rFonts w:ascii="Times New Roman" w:hAnsi="Times New Roman" w:cs="Times New Roman"/>
          <w:sz w:val="24"/>
          <w:szCs w:val="24"/>
        </w:rPr>
      </w:pPr>
      <w:r>
        <w:rPr>
          <w:rFonts w:ascii="Times New Roman" w:hAnsi="Times New Roman" w:cs="Times New Roman"/>
          <w:sz w:val="24"/>
          <w:szCs w:val="24"/>
        </w:rPr>
        <w:t>Seminārā</w:t>
      </w:r>
      <w:r w:rsidR="00040ABB">
        <w:rPr>
          <w:rFonts w:ascii="Times New Roman" w:hAnsi="Times New Roman" w:cs="Times New Roman"/>
          <w:sz w:val="24"/>
          <w:szCs w:val="24"/>
        </w:rPr>
        <w:t xml:space="preserve"> tika diskutēti jautājumi par atbalstāmajiem projektu veidiem, vispārīgajiem finansēšanas nosacījumiem un dalībvalstu lomu šo projektu apstiprināšanā un ieviešanā. Vairums dalībvalstu pauda viedokli</w:t>
      </w:r>
      <w:r w:rsidR="00A86916" w:rsidRPr="00E94CF2">
        <w:rPr>
          <w:rFonts w:ascii="Times New Roman" w:hAnsi="Times New Roman" w:cs="Times New Roman"/>
          <w:sz w:val="24"/>
          <w:szCs w:val="24"/>
        </w:rPr>
        <w:t>, ka ir nepieciešams plašs atbalsta portfelis</w:t>
      </w:r>
      <w:r w:rsidR="00A6008B" w:rsidRPr="00E94CF2">
        <w:rPr>
          <w:rFonts w:ascii="Times New Roman" w:hAnsi="Times New Roman" w:cs="Times New Roman"/>
          <w:sz w:val="24"/>
          <w:szCs w:val="24"/>
        </w:rPr>
        <w:t xml:space="preserve"> (piem., energoefektivitātes projekti, centralizētā siltumapgāde, rūpniecība, transports, viedie tīkli, atjaunojamo energoresursu veicināšana u.c.), tika uzsvērta tehnoloģiju neitralitāte projektu izvēlē, nepieciešamība stimulēt jauno tehnoloģiju attīstīšanu (ICT, viedie tīkli, </w:t>
      </w:r>
      <w:proofErr w:type="spellStart"/>
      <w:r w:rsidR="00A6008B" w:rsidRPr="00E94CF2">
        <w:rPr>
          <w:rFonts w:ascii="Times New Roman" w:hAnsi="Times New Roman" w:cs="Times New Roman"/>
          <w:sz w:val="24"/>
          <w:szCs w:val="24"/>
        </w:rPr>
        <w:t>elektromobīļi</w:t>
      </w:r>
      <w:proofErr w:type="spellEnd"/>
      <w:r w:rsidR="00A6008B" w:rsidRPr="00E94CF2">
        <w:rPr>
          <w:rFonts w:ascii="Times New Roman" w:hAnsi="Times New Roman" w:cs="Times New Roman"/>
          <w:sz w:val="24"/>
          <w:szCs w:val="24"/>
        </w:rPr>
        <w:t>)</w:t>
      </w:r>
      <w:r w:rsidR="00A86916" w:rsidRPr="00E94CF2">
        <w:rPr>
          <w:rFonts w:ascii="Times New Roman" w:hAnsi="Times New Roman" w:cs="Times New Roman"/>
          <w:sz w:val="24"/>
          <w:szCs w:val="24"/>
        </w:rPr>
        <w:t xml:space="preserve"> ar īpašu uzsvaru uz </w:t>
      </w:r>
      <w:r w:rsidR="00A6008B" w:rsidRPr="00E94CF2">
        <w:rPr>
          <w:rFonts w:ascii="Times New Roman" w:hAnsi="Times New Roman" w:cs="Times New Roman"/>
          <w:sz w:val="24"/>
          <w:szCs w:val="24"/>
        </w:rPr>
        <w:t>maza mēroga projektiem, kur būtisks aspekts ir izmaksu samazināšana;</w:t>
      </w:r>
      <w:r w:rsidR="00A86916" w:rsidRPr="00E94CF2">
        <w:rPr>
          <w:rFonts w:ascii="Times New Roman" w:hAnsi="Times New Roman" w:cs="Times New Roman"/>
          <w:sz w:val="24"/>
          <w:szCs w:val="24"/>
        </w:rPr>
        <w:t xml:space="preserve"> savukārt Eiropas Investīciju bankai </w:t>
      </w:r>
      <w:r w:rsidR="00040ABB">
        <w:rPr>
          <w:rFonts w:ascii="Times New Roman" w:hAnsi="Times New Roman" w:cs="Times New Roman"/>
          <w:sz w:val="24"/>
          <w:szCs w:val="24"/>
        </w:rPr>
        <w:t>būtu jāveic</w:t>
      </w:r>
      <w:r w:rsidR="00040ABB" w:rsidRPr="00E94CF2">
        <w:rPr>
          <w:rFonts w:ascii="Times New Roman" w:hAnsi="Times New Roman" w:cs="Times New Roman"/>
          <w:sz w:val="24"/>
          <w:szCs w:val="24"/>
        </w:rPr>
        <w:t xml:space="preserve"> </w:t>
      </w:r>
      <w:r w:rsidR="00A86916" w:rsidRPr="00E94CF2">
        <w:rPr>
          <w:rFonts w:ascii="Times New Roman" w:hAnsi="Times New Roman" w:cs="Times New Roman"/>
          <w:sz w:val="24"/>
          <w:szCs w:val="24"/>
        </w:rPr>
        <w:t xml:space="preserve">atbalsta </w:t>
      </w:r>
      <w:r w:rsidR="00040ABB">
        <w:rPr>
          <w:rFonts w:ascii="Times New Roman" w:hAnsi="Times New Roman" w:cs="Times New Roman"/>
          <w:sz w:val="24"/>
          <w:szCs w:val="24"/>
        </w:rPr>
        <w:t>funkcijas</w:t>
      </w:r>
      <w:r w:rsidR="00040ABB" w:rsidRPr="00E94CF2">
        <w:rPr>
          <w:rFonts w:ascii="Times New Roman" w:hAnsi="Times New Roman" w:cs="Times New Roman"/>
          <w:sz w:val="24"/>
          <w:szCs w:val="24"/>
        </w:rPr>
        <w:t xml:space="preserve"> </w:t>
      </w:r>
      <w:r w:rsidR="00A86916" w:rsidRPr="00E94CF2">
        <w:rPr>
          <w:rFonts w:ascii="Times New Roman" w:hAnsi="Times New Roman" w:cs="Times New Roman"/>
          <w:sz w:val="24"/>
          <w:szCs w:val="24"/>
        </w:rPr>
        <w:t xml:space="preserve">fonda ieviešanā. </w:t>
      </w:r>
    </w:p>
    <w:p w14:paraId="4076526C" w14:textId="77777777" w:rsidR="00A6008B" w:rsidRDefault="00A6008B" w:rsidP="00236152">
      <w:pPr>
        <w:autoSpaceDE w:val="0"/>
        <w:adjustRightInd w:val="0"/>
        <w:spacing w:after="100" w:line="240" w:lineRule="auto"/>
        <w:ind w:firstLine="567"/>
        <w:jc w:val="both"/>
        <w:rPr>
          <w:rFonts w:ascii="Times New Roman" w:hAnsi="Times New Roman" w:cs="Times New Roman"/>
          <w:sz w:val="24"/>
          <w:szCs w:val="24"/>
        </w:rPr>
      </w:pPr>
      <w:r w:rsidRPr="00E94CF2">
        <w:rPr>
          <w:rFonts w:ascii="Times New Roman" w:hAnsi="Times New Roman" w:cs="Times New Roman"/>
          <w:sz w:val="24"/>
          <w:szCs w:val="24"/>
        </w:rPr>
        <w:t>Attiecībā uz tālāko procesu šajā jautājumā</w:t>
      </w:r>
      <w:r w:rsidR="004E3BD8">
        <w:rPr>
          <w:rFonts w:ascii="Times New Roman" w:hAnsi="Times New Roman" w:cs="Times New Roman"/>
          <w:sz w:val="24"/>
          <w:szCs w:val="24"/>
        </w:rPr>
        <w:t>,</w:t>
      </w:r>
      <w:r w:rsidRPr="00E94CF2">
        <w:rPr>
          <w:rFonts w:ascii="Times New Roman" w:hAnsi="Times New Roman" w:cs="Times New Roman"/>
          <w:sz w:val="24"/>
          <w:szCs w:val="24"/>
        </w:rPr>
        <w:t xml:space="preserve"> </w:t>
      </w:r>
      <w:r w:rsidR="008823FE" w:rsidRPr="00E94CF2">
        <w:rPr>
          <w:rFonts w:ascii="Times New Roman" w:hAnsi="Times New Roman" w:cs="Times New Roman"/>
          <w:sz w:val="24"/>
          <w:szCs w:val="24"/>
        </w:rPr>
        <w:t>Eiropas Komisija</w:t>
      </w:r>
      <w:r w:rsidRPr="00E94CF2">
        <w:rPr>
          <w:rFonts w:ascii="Times New Roman" w:hAnsi="Times New Roman" w:cs="Times New Roman"/>
          <w:sz w:val="24"/>
          <w:szCs w:val="24"/>
        </w:rPr>
        <w:t xml:space="preserve"> informēja, ka Modernizācijas fonda </w:t>
      </w:r>
      <w:r w:rsidR="004E3BD8">
        <w:rPr>
          <w:rFonts w:ascii="Times New Roman" w:hAnsi="Times New Roman" w:cs="Times New Roman"/>
          <w:sz w:val="24"/>
          <w:szCs w:val="24"/>
        </w:rPr>
        <w:t xml:space="preserve">izmantošanas </w:t>
      </w:r>
      <w:r w:rsidRPr="00E94CF2">
        <w:rPr>
          <w:rFonts w:ascii="Times New Roman" w:hAnsi="Times New Roman" w:cs="Times New Roman"/>
          <w:sz w:val="24"/>
          <w:szCs w:val="24"/>
        </w:rPr>
        <w:t xml:space="preserve">nosacījumi tiks </w:t>
      </w:r>
      <w:r w:rsidR="007C0E3D">
        <w:rPr>
          <w:rFonts w:ascii="Times New Roman" w:hAnsi="Times New Roman" w:cs="Times New Roman"/>
          <w:sz w:val="24"/>
          <w:szCs w:val="24"/>
        </w:rPr>
        <w:t>iekļauti</w:t>
      </w:r>
      <w:r w:rsidR="007C0E3D" w:rsidRPr="00E94CF2">
        <w:rPr>
          <w:rFonts w:ascii="Times New Roman" w:hAnsi="Times New Roman" w:cs="Times New Roman"/>
          <w:sz w:val="24"/>
          <w:szCs w:val="24"/>
        </w:rPr>
        <w:t xml:space="preserve"> </w:t>
      </w:r>
      <w:r w:rsidR="008823FE" w:rsidRPr="00E94CF2">
        <w:rPr>
          <w:rFonts w:ascii="Times New Roman" w:hAnsi="Times New Roman" w:cs="Times New Roman"/>
          <w:sz w:val="24"/>
          <w:szCs w:val="24"/>
        </w:rPr>
        <w:t xml:space="preserve">ETS direktīvas </w:t>
      </w:r>
      <w:r w:rsidRPr="00E94CF2">
        <w:rPr>
          <w:rFonts w:ascii="Times New Roman" w:hAnsi="Times New Roman" w:cs="Times New Roman"/>
          <w:sz w:val="24"/>
          <w:szCs w:val="24"/>
        </w:rPr>
        <w:t>pārskatīšanas ietvaros.</w:t>
      </w:r>
      <w:r w:rsidR="004E3BD8">
        <w:rPr>
          <w:rFonts w:ascii="Times New Roman" w:hAnsi="Times New Roman" w:cs="Times New Roman"/>
          <w:sz w:val="24"/>
          <w:szCs w:val="24"/>
        </w:rPr>
        <w:t xml:space="preserve"> </w:t>
      </w:r>
    </w:p>
    <w:p w14:paraId="41E17F00" w14:textId="2094C4CB" w:rsidR="00961689" w:rsidRDefault="00D56CEC" w:rsidP="00236152">
      <w:pPr>
        <w:autoSpaceDE w:val="0"/>
        <w:adjustRightInd w:val="0"/>
        <w:spacing w:after="10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Jautājumi par turpmākajiem nosacījumiem t.s. </w:t>
      </w:r>
      <w:r w:rsidRPr="002177D4">
        <w:rPr>
          <w:rFonts w:ascii="Times New Roman" w:hAnsi="Times New Roman" w:cs="Times New Roman"/>
          <w:b/>
          <w:sz w:val="24"/>
          <w:szCs w:val="24"/>
        </w:rPr>
        <w:t>Inovācijas fonda</w:t>
      </w:r>
      <w:r>
        <w:rPr>
          <w:rFonts w:ascii="Times New Roman" w:hAnsi="Times New Roman" w:cs="Times New Roman"/>
          <w:sz w:val="24"/>
          <w:szCs w:val="24"/>
        </w:rPr>
        <w:t xml:space="preserve"> darbībai (NER400) tika diskutēti, apspriežot priekšlikumu par Tirgus stabilitātes rezerves izveidi. Ņemot vērā Latvijas kā prezidējošās valsts ES Padomē lomu, atsevišķs viedoklis par Latviju interesējošiem jautājumiem netika virzīts</w:t>
      </w:r>
      <w:r w:rsidR="00961689">
        <w:rPr>
          <w:rFonts w:ascii="Times New Roman" w:hAnsi="Times New Roman" w:cs="Times New Roman"/>
          <w:sz w:val="24"/>
          <w:szCs w:val="24"/>
        </w:rPr>
        <w:t>.</w:t>
      </w:r>
      <w:proofErr w:type="gramStart"/>
      <w:r w:rsidR="00961689">
        <w:rPr>
          <w:rFonts w:ascii="Times New Roman" w:hAnsi="Times New Roman" w:cs="Times New Roman"/>
          <w:sz w:val="24"/>
          <w:szCs w:val="24"/>
        </w:rPr>
        <w:t xml:space="preserve"> </w:t>
      </w:r>
      <w:r w:rsidR="0075304E">
        <w:rPr>
          <w:rFonts w:ascii="Times New Roman" w:hAnsi="Times New Roman" w:cs="Times New Roman"/>
          <w:sz w:val="24"/>
          <w:szCs w:val="24"/>
        </w:rPr>
        <w:t xml:space="preserve"> </w:t>
      </w:r>
      <w:proofErr w:type="gramEnd"/>
      <w:r w:rsidR="00961689">
        <w:rPr>
          <w:rFonts w:ascii="Times New Roman" w:hAnsi="Times New Roman" w:cs="Times New Roman"/>
          <w:sz w:val="24"/>
          <w:szCs w:val="24"/>
        </w:rPr>
        <w:t>T</w:t>
      </w:r>
      <w:r w:rsidR="0075304E">
        <w:rPr>
          <w:rFonts w:ascii="Times New Roman" w:hAnsi="Times New Roman" w:cs="Times New Roman"/>
          <w:sz w:val="24"/>
          <w:szCs w:val="24"/>
        </w:rPr>
        <w:t>omēr, ņemot vērā Eiropas Parlamenta nostāju, Tirgus stabilitātes rezerves lēmuma priekšlikumā tika iestrādāts Latvijai labvēlīgs nosacījums</w:t>
      </w:r>
      <w:r w:rsidR="00666FD9">
        <w:rPr>
          <w:rFonts w:ascii="Times New Roman" w:hAnsi="Times New Roman" w:cs="Times New Roman"/>
          <w:sz w:val="24"/>
          <w:szCs w:val="24"/>
        </w:rPr>
        <w:t xml:space="preserve">. </w:t>
      </w:r>
      <w:r w:rsidR="0075304E">
        <w:rPr>
          <w:rFonts w:ascii="Times New Roman" w:hAnsi="Times New Roman" w:cs="Times New Roman"/>
          <w:sz w:val="24"/>
          <w:szCs w:val="24"/>
        </w:rPr>
        <w:t xml:space="preserve">Eiropas Komisijai, pārskatot ETS direktīvu, </w:t>
      </w:r>
      <w:r w:rsidR="00666FD9">
        <w:rPr>
          <w:rFonts w:ascii="Times New Roman" w:hAnsi="Times New Roman" w:cs="Times New Roman"/>
          <w:sz w:val="24"/>
          <w:szCs w:val="24"/>
        </w:rPr>
        <w:t>būs</w:t>
      </w:r>
      <w:r w:rsidR="0075304E">
        <w:rPr>
          <w:rFonts w:ascii="Times New Roman" w:hAnsi="Times New Roman" w:cs="Times New Roman"/>
          <w:sz w:val="24"/>
          <w:szCs w:val="24"/>
        </w:rPr>
        <w:t xml:space="preserve"> jāizvērtē, </w:t>
      </w:r>
      <w:r w:rsidR="00097EDA" w:rsidRPr="00097EDA">
        <w:rPr>
          <w:rFonts w:ascii="Times New Roman" w:hAnsi="Times New Roman" w:cs="Times New Roman"/>
          <w:sz w:val="24"/>
          <w:szCs w:val="24"/>
        </w:rPr>
        <w:t>vai līdztekus esošajiem finanšu resursiem inovatīvo projektu atbalstam būtu papildu jānovirza līdz 50</w:t>
      </w:r>
      <w:r w:rsidR="00097EDA">
        <w:rPr>
          <w:rFonts w:ascii="Times New Roman" w:hAnsi="Times New Roman" w:cs="Times New Roman"/>
          <w:sz w:val="24"/>
          <w:szCs w:val="24"/>
        </w:rPr>
        <w:t xml:space="preserve"> </w:t>
      </w:r>
      <w:r w:rsidR="00097EDA" w:rsidRPr="00097EDA">
        <w:rPr>
          <w:rFonts w:ascii="Times New Roman" w:hAnsi="Times New Roman" w:cs="Times New Roman"/>
          <w:sz w:val="24"/>
          <w:szCs w:val="24"/>
        </w:rPr>
        <w:t>milj</w:t>
      </w:r>
      <w:r w:rsidR="00097EDA">
        <w:rPr>
          <w:rFonts w:ascii="Times New Roman" w:hAnsi="Times New Roman" w:cs="Times New Roman"/>
          <w:sz w:val="24"/>
          <w:szCs w:val="24"/>
        </w:rPr>
        <w:t xml:space="preserve">oniem kvotu no nepiešķirto emisijas kvotu apjoma, ar piebildi, ka visām dalībvalstīm būtu jābūt iespējai gūt labumu no šī apjoma un ka </w:t>
      </w:r>
      <w:r w:rsidR="00097EDA" w:rsidRPr="00097EDA">
        <w:rPr>
          <w:rFonts w:ascii="Times New Roman" w:hAnsi="Times New Roman" w:cs="Times New Roman"/>
          <w:sz w:val="24"/>
          <w:szCs w:val="24"/>
        </w:rPr>
        <w:t>tiek atbalstīti arī maza mēroga projekti</w:t>
      </w:r>
      <w:r w:rsidR="00666FD9">
        <w:rPr>
          <w:rFonts w:ascii="Times New Roman" w:hAnsi="Times New Roman" w:cs="Times New Roman"/>
          <w:sz w:val="24"/>
          <w:szCs w:val="24"/>
        </w:rPr>
        <w:t xml:space="preserve">, nodrošinot </w:t>
      </w:r>
      <w:r w:rsidR="002177D4">
        <w:rPr>
          <w:rFonts w:ascii="Times New Roman" w:hAnsi="Times New Roman" w:cs="Times New Roman"/>
          <w:sz w:val="24"/>
          <w:szCs w:val="24"/>
        </w:rPr>
        <w:t xml:space="preserve">finanšu līdzekļus </w:t>
      </w:r>
      <w:r w:rsidR="00666FD9">
        <w:rPr>
          <w:rFonts w:ascii="Times New Roman" w:hAnsi="Times New Roman" w:cs="Times New Roman"/>
          <w:sz w:val="24"/>
          <w:szCs w:val="24"/>
        </w:rPr>
        <w:t>SEG emisiju samazināšanas</w:t>
      </w:r>
      <w:r w:rsidR="002177D4">
        <w:rPr>
          <w:rFonts w:ascii="Times New Roman" w:hAnsi="Times New Roman" w:cs="Times New Roman"/>
          <w:sz w:val="24"/>
          <w:szCs w:val="24"/>
        </w:rPr>
        <w:t xml:space="preserve"> pasākumu veikšanai</w:t>
      </w:r>
    </w:p>
    <w:p w14:paraId="064E6F53" w14:textId="77777777" w:rsidR="002177D4" w:rsidRDefault="002177D4" w:rsidP="00236152">
      <w:pPr>
        <w:autoSpaceDE w:val="0"/>
        <w:adjustRightInd w:val="0"/>
        <w:spacing w:after="100" w:line="240" w:lineRule="auto"/>
        <w:ind w:firstLine="567"/>
        <w:jc w:val="both"/>
        <w:rPr>
          <w:rFonts w:ascii="Times New Roman" w:hAnsi="Times New Roman" w:cs="Times New Roman"/>
          <w:sz w:val="24"/>
          <w:szCs w:val="24"/>
        </w:rPr>
      </w:pPr>
    </w:p>
    <w:p w14:paraId="6790A686" w14:textId="77777777" w:rsidR="003B5B01" w:rsidRPr="002177D4" w:rsidRDefault="00880A60" w:rsidP="00236152">
      <w:pPr>
        <w:pStyle w:val="ListParagraph"/>
        <w:numPr>
          <w:ilvl w:val="1"/>
          <w:numId w:val="4"/>
        </w:numPr>
        <w:autoSpaceDE w:val="0"/>
        <w:adjustRightInd w:val="0"/>
        <w:spacing w:after="100" w:line="240" w:lineRule="auto"/>
        <w:contextualSpacing w:val="0"/>
        <w:jc w:val="both"/>
        <w:rPr>
          <w:rFonts w:ascii="Times New Roman" w:hAnsi="Times New Roman" w:cs="Times New Roman"/>
          <w:b/>
          <w:sz w:val="24"/>
          <w:szCs w:val="24"/>
          <w:u w:val="single"/>
        </w:rPr>
      </w:pPr>
      <w:r w:rsidRPr="002177D4">
        <w:rPr>
          <w:rFonts w:ascii="Times New Roman" w:hAnsi="Times New Roman" w:cs="Times New Roman"/>
          <w:b/>
          <w:sz w:val="24"/>
          <w:szCs w:val="24"/>
          <w:u w:val="single"/>
        </w:rPr>
        <w:t xml:space="preserve">Enerģētikas savienības izveide </w:t>
      </w:r>
    </w:p>
    <w:p w14:paraId="33514B81" w14:textId="5A7116A0" w:rsidR="00EA3443" w:rsidRPr="00EA3443" w:rsidRDefault="00880A60" w:rsidP="00236152">
      <w:pPr>
        <w:autoSpaceDE w:val="0"/>
        <w:adjustRightInd w:val="0"/>
        <w:spacing w:after="100" w:line="240" w:lineRule="auto"/>
        <w:jc w:val="both"/>
        <w:rPr>
          <w:rFonts w:ascii="Times New Roman" w:hAnsi="Times New Roman" w:cs="Times New Roman"/>
          <w:sz w:val="24"/>
          <w:szCs w:val="24"/>
        </w:rPr>
      </w:pPr>
      <w:r w:rsidRPr="002177D4">
        <w:rPr>
          <w:rFonts w:ascii="Times New Roman" w:hAnsi="Times New Roman" w:cs="Times New Roman"/>
          <w:sz w:val="24"/>
          <w:szCs w:val="24"/>
        </w:rPr>
        <w:t xml:space="preserve">Eiropas Komisija </w:t>
      </w:r>
      <w:r w:rsidR="00EA3443">
        <w:rPr>
          <w:rFonts w:ascii="Times New Roman" w:hAnsi="Times New Roman" w:cs="Times New Roman"/>
          <w:sz w:val="24"/>
          <w:szCs w:val="24"/>
        </w:rPr>
        <w:t xml:space="preserve">2015.gada </w:t>
      </w:r>
      <w:r w:rsidRPr="002177D4">
        <w:rPr>
          <w:rFonts w:ascii="Times New Roman" w:hAnsi="Times New Roman" w:cs="Times New Roman"/>
          <w:sz w:val="24"/>
          <w:szCs w:val="24"/>
        </w:rPr>
        <w:t xml:space="preserve">25.februārī </w:t>
      </w:r>
      <w:r w:rsidR="00EA3443">
        <w:rPr>
          <w:rFonts w:ascii="Times New Roman" w:hAnsi="Times New Roman" w:cs="Times New Roman"/>
          <w:sz w:val="24"/>
          <w:szCs w:val="24"/>
        </w:rPr>
        <w:t xml:space="preserve">publicēja </w:t>
      </w:r>
      <w:r w:rsidRPr="002177D4">
        <w:rPr>
          <w:rFonts w:ascii="Times New Roman" w:hAnsi="Times New Roman" w:cs="Times New Roman"/>
          <w:sz w:val="24"/>
          <w:szCs w:val="24"/>
        </w:rPr>
        <w:t>Enerģētikas Savienības stratēģiju</w:t>
      </w:r>
      <w:r w:rsidR="00EB2240">
        <w:rPr>
          <w:rFonts w:ascii="Times New Roman" w:hAnsi="Times New Roman" w:cs="Times New Roman"/>
          <w:sz w:val="24"/>
          <w:szCs w:val="24"/>
        </w:rPr>
        <w:t xml:space="preserve">. </w:t>
      </w:r>
      <w:r w:rsidR="00EA3443" w:rsidRPr="00EA3443">
        <w:rPr>
          <w:rFonts w:ascii="Times New Roman" w:hAnsi="Times New Roman" w:cs="Times New Roman"/>
          <w:sz w:val="24"/>
          <w:szCs w:val="24"/>
        </w:rPr>
        <w:t xml:space="preserve">Enerģētikas savienības stratēģiju </w:t>
      </w:r>
      <w:r w:rsidR="0048503D">
        <w:rPr>
          <w:rFonts w:ascii="Times New Roman" w:hAnsi="Times New Roman" w:cs="Times New Roman"/>
          <w:sz w:val="24"/>
          <w:szCs w:val="24"/>
        </w:rPr>
        <w:t xml:space="preserve">veidojošie </w:t>
      </w:r>
      <w:r w:rsidR="007E3F64">
        <w:rPr>
          <w:rFonts w:ascii="Times New Roman" w:hAnsi="Times New Roman" w:cs="Times New Roman"/>
          <w:sz w:val="24"/>
          <w:szCs w:val="24"/>
        </w:rPr>
        <w:t>svarīgākie</w:t>
      </w:r>
      <w:r w:rsidR="0048503D">
        <w:rPr>
          <w:rFonts w:ascii="Times New Roman" w:hAnsi="Times New Roman" w:cs="Times New Roman"/>
          <w:sz w:val="24"/>
          <w:szCs w:val="24"/>
        </w:rPr>
        <w:t xml:space="preserve"> elementi, </w:t>
      </w:r>
      <w:r w:rsidR="007E3F64">
        <w:rPr>
          <w:rFonts w:ascii="Times New Roman" w:hAnsi="Times New Roman" w:cs="Times New Roman"/>
          <w:sz w:val="24"/>
          <w:szCs w:val="24"/>
        </w:rPr>
        <w:t>k</w:t>
      </w:r>
      <w:r w:rsidR="00EA3443" w:rsidRPr="00EA3443">
        <w:rPr>
          <w:rFonts w:ascii="Times New Roman" w:hAnsi="Times New Roman" w:cs="Times New Roman"/>
          <w:sz w:val="24"/>
          <w:szCs w:val="24"/>
        </w:rPr>
        <w:t>uri ir svarīgi enerģētiskās drošības, ilgtspējas un konkurētspējas palielināšanai</w:t>
      </w:r>
      <w:r w:rsidR="00C72885">
        <w:rPr>
          <w:rFonts w:ascii="Times New Roman" w:hAnsi="Times New Roman" w:cs="Times New Roman"/>
          <w:sz w:val="24"/>
          <w:szCs w:val="24"/>
        </w:rPr>
        <w:t xml:space="preserve"> ir:</w:t>
      </w:r>
    </w:p>
    <w:p w14:paraId="50CA721F" w14:textId="77777777" w:rsidR="00EA3443" w:rsidRPr="002177D4" w:rsidRDefault="00EA3443" w:rsidP="00236152">
      <w:pPr>
        <w:pStyle w:val="ListParagraph"/>
        <w:numPr>
          <w:ilvl w:val="0"/>
          <w:numId w:val="19"/>
        </w:numPr>
        <w:autoSpaceDE w:val="0"/>
        <w:adjustRightInd w:val="0"/>
        <w:spacing w:after="100" w:line="240" w:lineRule="auto"/>
        <w:ind w:left="284" w:hanging="284"/>
        <w:contextualSpacing w:val="0"/>
        <w:jc w:val="both"/>
        <w:rPr>
          <w:rFonts w:ascii="Times New Roman" w:hAnsi="Times New Roman" w:cs="Times New Roman"/>
          <w:sz w:val="24"/>
          <w:szCs w:val="24"/>
        </w:rPr>
      </w:pPr>
      <w:r w:rsidRPr="002177D4">
        <w:rPr>
          <w:rFonts w:ascii="Times New Roman" w:hAnsi="Times New Roman" w:cs="Times New Roman"/>
          <w:sz w:val="24"/>
          <w:szCs w:val="24"/>
        </w:rPr>
        <w:t>enerģētiskā drošība, solidaritāte un uzticēšanās;</w:t>
      </w:r>
    </w:p>
    <w:p w14:paraId="0188FC70" w14:textId="77777777" w:rsidR="00EA3443" w:rsidRPr="002177D4" w:rsidRDefault="00EA3443" w:rsidP="00236152">
      <w:pPr>
        <w:pStyle w:val="ListParagraph"/>
        <w:numPr>
          <w:ilvl w:val="0"/>
          <w:numId w:val="19"/>
        </w:numPr>
        <w:autoSpaceDE w:val="0"/>
        <w:adjustRightInd w:val="0"/>
        <w:spacing w:after="100" w:line="240" w:lineRule="auto"/>
        <w:ind w:left="284" w:hanging="284"/>
        <w:contextualSpacing w:val="0"/>
        <w:jc w:val="both"/>
        <w:rPr>
          <w:rFonts w:ascii="Times New Roman" w:hAnsi="Times New Roman" w:cs="Times New Roman"/>
          <w:sz w:val="24"/>
          <w:szCs w:val="24"/>
        </w:rPr>
      </w:pPr>
      <w:r w:rsidRPr="002177D4">
        <w:rPr>
          <w:rFonts w:ascii="Times New Roman" w:hAnsi="Times New Roman" w:cs="Times New Roman"/>
          <w:sz w:val="24"/>
          <w:szCs w:val="24"/>
        </w:rPr>
        <w:t>pilnībā integrēts Eiropas enerģijas tirgus;</w:t>
      </w:r>
    </w:p>
    <w:p w14:paraId="7F4CF908" w14:textId="10F319DF" w:rsidR="003B5B01" w:rsidRPr="0043708A" w:rsidRDefault="00EA3443" w:rsidP="00236152">
      <w:pPr>
        <w:pStyle w:val="ListParagraph"/>
        <w:numPr>
          <w:ilvl w:val="0"/>
          <w:numId w:val="19"/>
        </w:numPr>
        <w:autoSpaceDE w:val="0"/>
        <w:adjustRightInd w:val="0"/>
        <w:spacing w:after="100" w:line="240" w:lineRule="auto"/>
        <w:ind w:left="284" w:hanging="284"/>
        <w:contextualSpacing w:val="0"/>
        <w:jc w:val="both"/>
        <w:rPr>
          <w:rFonts w:ascii="Times New Roman" w:hAnsi="Times New Roman" w:cs="Times New Roman"/>
          <w:sz w:val="24"/>
          <w:szCs w:val="24"/>
        </w:rPr>
      </w:pPr>
      <w:r w:rsidRPr="002177D4">
        <w:rPr>
          <w:rFonts w:ascii="Times New Roman" w:hAnsi="Times New Roman" w:cs="Times New Roman"/>
          <w:sz w:val="24"/>
          <w:szCs w:val="24"/>
        </w:rPr>
        <w:lastRenderedPageBreak/>
        <w:t xml:space="preserve">energoefektivitāte, kas palīdz </w:t>
      </w:r>
      <w:r w:rsidR="0043708A">
        <w:rPr>
          <w:rFonts w:ascii="Times New Roman" w:hAnsi="Times New Roman" w:cs="Times New Roman"/>
          <w:sz w:val="24"/>
          <w:szCs w:val="24"/>
        </w:rPr>
        <w:t>samazināt pieprasījumu.</w:t>
      </w:r>
    </w:p>
    <w:p w14:paraId="6ACE0944" w14:textId="40B55AA8" w:rsidR="00961689" w:rsidRDefault="00EA3443" w:rsidP="00236152">
      <w:pPr>
        <w:autoSpaceDE w:val="0"/>
        <w:adjustRightInd w:val="0"/>
        <w:spacing w:after="100" w:line="240" w:lineRule="auto"/>
        <w:ind w:firstLine="567"/>
        <w:jc w:val="both"/>
        <w:rPr>
          <w:rFonts w:ascii="Times New Roman" w:hAnsi="Times New Roman" w:cs="Times New Roman"/>
          <w:sz w:val="24"/>
          <w:szCs w:val="24"/>
        </w:rPr>
      </w:pPr>
      <w:r w:rsidRPr="002177D4">
        <w:rPr>
          <w:rFonts w:ascii="Times New Roman" w:hAnsi="Times New Roman" w:cs="Times New Roman"/>
          <w:sz w:val="24"/>
          <w:szCs w:val="24"/>
        </w:rPr>
        <w:t>Enerģētiskās drošības pamatnosacījumi ir iekšējā enerģijas tirgus izveides pabeigšana un enerģijas efektīvāka izmantošana. Ir ļoti svarīgi arī dažādot enerģijas avotus, piegādātājus un piegādes ceļus, lai garantētu drošu un stabilu enerģijas piegādi Eiropas iedzīvotājiem un uzņēmumiem, tāpēc ir nepieciešams strādāt pie gāzes piegāžu diversifikācija, jāpēta sašķidrinātās dabasgāzes potenciāls, jāsamazina atkarība no šķidrajiem kurināmajiem un degvielas un jāpalielina vietējo kurināmā veidu izmantošana</w:t>
      </w:r>
      <w:r>
        <w:rPr>
          <w:rFonts w:ascii="Times New Roman" w:hAnsi="Times New Roman" w:cs="Times New Roman"/>
          <w:sz w:val="24"/>
          <w:szCs w:val="24"/>
        </w:rPr>
        <w:t xml:space="preserve">. </w:t>
      </w:r>
      <w:r w:rsidR="007D1CBC">
        <w:rPr>
          <w:rFonts w:ascii="Times New Roman" w:hAnsi="Times New Roman" w:cs="Times New Roman"/>
          <w:sz w:val="24"/>
          <w:szCs w:val="24"/>
        </w:rPr>
        <w:t xml:space="preserve">Pilnīgi </w:t>
      </w:r>
      <w:r w:rsidR="00956E5B">
        <w:rPr>
          <w:rFonts w:ascii="Times New Roman" w:hAnsi="Times New Roman" w:cs="Times New Roman"/>
          <w:sz w:val="24"/>
          <w:szCs w:val="24"/>
        </w:rPr>
        <w:t xml:space="preserve">integrēts iekšējais enerģijas tirgus nodrošinās </w:t>
      </w:r>
      <w:r w:rsidR="00945973">
        <w:rPr>
          <w:rFonts w:ascii="Times New Roman" w:hAnsi="Times New Roman" w:cs="Times New Roman"/>
          <w:sz w:val="24"/>
          <w:szCs w:val="24"/>
        </w:rPr>
        <w:t>tirgus savienošanu ar starpsavienojumu palīdzību, jaunas piegādes patērētājiem un viņu aizsardzību, kā arī veicinās energoefektivitātes</w:t>
      </w:r>
      <w:r w:rsidR="008758E3">
        <w:rPr>
          <w:rFonts w:ascii="Times New Roman" w:hAnsi="Times New Roman" w:cs="Times New Roman"/>
          <w:sz w:val="24"/>
          <w:szCs w:val="24"/>
        </w:rPr>
        <w:t xml:space="preserve"> uzlabošanu</w:t>
      </w:r>
      <w:r w:rsidR="00BF16E7">
        <w:rPr>
          <w:rFonts w:ascii="Times New Roman" w:hAnsi="Times New Roman" w:cs="Times New Roman"/>
          <w:sz w:val="24"/>
          <w:szCs w:val="24"/>
        </w:rPr>
        <w:t xml:space="preserve">. </w:t>
      </w:r>
    </w:p>
    <w:p w14:paraId="46FAAC14" w14:textId="7D466E1C" w:rsidR="00EA3443" w:rsidRPr="002177D4" w:rsidRDefault="00EA3443" w:rsidP="00236152">
      <w:pPr>
        <w:autoSpaceDE w:val="0"/>
        <w:adjustRightInd w:val="0"/>
        <w:spacing w:after="10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Atjaunojamo energoresursu izmantošana un energoefektivitātes uzlabošana ir viens no veidiem, kā nodrošināt </w:t>
      </w:r>
      <w:r w:rsidR="00380D37">
        <w:rPr>
          <w:rFonts w:ascii="Times New Roman" w:hAnsi="Times New Roman" w:cs="Times New Roman"/>
          <w:sz w:val="24"/>
          <w:szCs w:val="24"/>
        </w:rPr>
        <w:t>enerģētisko drošību un neatkarību</w:t>
      </w:r>
      <w:r w:rsidR="00320E4D">
        <w:rPr>
          <w:rFonts w:ascii="Times New Roman" w:hAnsi="Times New Roman" w:cs="Times New Roman"/>
          <w:sz w:val="24"/>
          <w:szCs w:val="24"/>
        </w:rPr>
        <w:t>, vienlaicīgi</w:t>
      </w:r>
      <w:r w:rsidR="00B037E3">
        <w:rPr>
          <w:rFonts w:ascii="Times New Roman" w:hAnsi="Times New Roman" w:cs="Times New Roman"/>
          <w:sz w:val="24"/>
          <w:szCs w:val="24"/>
        </w:rPr>
        <w:t xml:space="preserve"> </w:t>
      </w:r>
      <w:r w:rsidR="004951EE">
        <w:rPr>
          <w:rFonts w:ascii="Times New Roman" w:hAnsi="Times New Roman" w:cs="Times New Roman"/>
          <w:sz w:val="24"/>
          <w:szCs w:val="24"/>
        </w:rPr>
        <w:t>nodrošinot kopējā izmantoto energoresursu patēriņa</w:t>
      </w:r>
      <w:r w:rsidR="00B037E3">
        <w:rPr>
          <w:rFonts w:ascii="Times New Roman" w:hAnsi="Times New Roman" w:cs="Times New Roman"/>
          <w:sz w:val="24"/>
          <w:szCs w:val="24"/>
        </w:rPr>
        <w:t xml:space="preserve"> </w:t>
      </w:r>
      <w:r w:rsidR="004951EE">
        <w:rPr>
          <w:rFonts w:ascii="Times New Roman" w:hAnsi="Times New Roman" w:cs="Times New Roman"/>
          <w:sz w:val="24"/>
          <w:szCs w:val="24"/>
        </w:rPr>
        <w:t>samazinājumu</w:t>
      </w:r>
      <w:r w:rsidR="00990A93">
        <w:rPr>
          <w:rFonts w:ascii="Times New Roman" w:hAnsi="Times New Roman" w:cs="Times New Roman"/>
          <w:sz w:val="24"/>
          <w:szCs w:val="24"/>
        </w:rPr>
        <w:t xml:space="preserve"> un </w:t>
      </w:r>
      <w:r w:rsidR="00B037E3">
        <w:rPr>
          <w:rFonts w:ascii="Times New Roman" w:hAnsi="Times New Roman" w:cs="Times New Roman"/>
          <w:sz w:val="24"/>
          <w:szCs w:val="24"/>
        </w:rPr>
        <w:t xml:space="preserve">attīstot vietējo energoresursu </w:t>
      </w:r>
      <w:r w:rsidR="00990A93">
        <w:rPr>
          <w:rFonts w:ascii="Times New Roman" w:hAnsi="Times New Roman" w:cs="Times New Roman"/>
          <w:sz w:val="24"/>
          <w:szCs w:val="24"/>
        </w:rPr>
        <w:t xml:space="preserve">izmantošanu, tādējādi būtiski samazinot atkarību no importētājiem </w:t>
      </w:r>
      <w:r w:rsidR="00753319">
        <w:rPr>
          <w:rFonts w:ascii="Times New Roman" w:hAnsi="Times New Roman" w:cs="Times New Roman"/>
          <w:sz w:val="24"/>
          <w:szCs w:val="24"/>
        </w:rPr>
        <w:t>energoresursiem un nodrošinot enerģētisko</w:t>
      </w:r>
      <w:r w:rsidR="00AF76A9">
        <w:rPr>
          <w:rFonts w:ascii="Times New Roman" w:hAnsi="Times New Roman" w:cs="Times New Roman"/>
          <w:sz w:val="24"/>
          <w:szCs w:val="24"/>
        </w:rPr>
        <w:t xml:space="preserve"> drošību iekšējā enerģijas tirgū.</w:t>
      </w:r>
    </w:p>
    <w:p w14:paraId="19A864FE" w14:textId="194F7ED7" w:rsidR="003B5B01" w:rsidRDefault="00961689" w:rsidP="00236152">
      <w:pPr>
        <w:autoSpaceDE w:val="0"/>
        <w:adjustRightInd w:val="0"/>
        <w:spacing w:after="10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Attiecīgi Enerģētikas Savienības stratēģijā iekļauti tādi KEPS2030 elementi kā plašāka atjaunojamo energoresursu izmantošana, energoefektivitātes paaugstināšana un starpsavienojumu izveide. </w:t>
      </w:r>
      <w:r w:rsidR="00EB2240">
        <w:rPr>
          <w:rFonts w:ascii="Times New Roman" w:hAnsi="Times New Roman" w:cs="Times New Roman"/>
          <w:sz w:val="24"/>
          <w:szCs w:val="24"/>
        </w:rPr>
        <w:t xml:space="preserve">Šo jautājumu virzību nodrošina Ekonomikas ministrija. </w:t>
      </w:r>
    </w:p>
    <w:p w14:paraId="6EEACF3D" w14:textId="77777777" w:rsidR="00961689" w:rsidRDefault="00961689" w:rsidP="00236152">
      <w:pPr>
        <w:autoSpaceDE w:val="0"/>
        <w:adjustRightInd w:val="0"/>
        <w:spacing w:after="100" w:line="240" w:lineRule="auto"/>
        <w:jc w:val="both"/>
        <w:rPr>
          <w:rFonts w:ascii="Times New Roman" w:hAnsi="Times New Roman" w:cs="Times New Roman"/>
          <w:sz w:val="24"/>
          <w:szCs w:val="24"/>
        </w:rPr>
      </w:pPr>
    </w:p>
    <w:p w14:paraId="6C372310" w14:textId="77777777" w:rsidR="004E3BD8" w:rsidRPr="004E3BD8" w:rsidRDefault="00880A60" w:rsidP="00236152">
      <w:pPr>
        <w:pStyle w:val="Bullet0"/>
        <w:numPr>
          <w:ilvl w:val="1"/>
          <w:numId w:val="4"/>
        </w:numPr>
        <w:spacing w:before="0" w:after="100"/>
        <w:ind w:left="738" w:hanging="454"/>
        <w:rPr>
          <w:b/>
          <w:szCs w:val="24"/>
          <w:u w:val="single"/>
        </w:rPr>
      </w:pPr>
      <w:r w:rsidRPr="00880A60">
        <w:rPr>
          <w:b/>
          <w:szCs w:val="24"/>
          <w:u w:val="single"/>
        </w:rPr>
        <w:t>Saistību pārdales lēmum</w:t>
      </w:r>
      <w:r w:rsidR="004E3BD8">
        <w:rPr>
          <w:b/>
          <w:szCs w:val="24"/>
          <w:u w:val="single"/>
        </w:rPr>
        <w:t xml:space="preserve">s periodam pēc 2020.gada </w:t>
      </w:r>
    </w:p>
    <w:p w14:paraId="0863A3D2" w14:textId="56EE522C" w:rsidR="002177D4" w:rsidRDefault="002177D4" w:rsidP="00236152">
      <w:pPr>
        <w:pStyle w:val="Bullet0"/>
        <w:numPr>
          <w:ilvl w:val="0"/>
          <w:numId w:val="0"/>
        </w:numPr>
        <w:spacing w:before="0" w:after="100"/>
        <w:ind w:firstLine="567"/>
        <w:rPr>
          <w:szCs w:val="24"/>
        </w:rPr>
      </w:pPr>
      <w:r>
        <w:rPr>
          <w:szCs w:val="24"/>
        </w:rPr>
        <w:t>Eiropadomes secinājumos tika iekļauti arī būtiski nosacījumi un elementi Saistību pārdales lēmuma pārskatīšanai, pārdalīto saistību noteikšanai un elastības mehānismu elementiem dalībvalstīm noteikto ne-ETS darbību SEG emisiju samazināšanas mērķa izpildei.</w:t>
      </w:r>
    </w:p>
    <w:p w14:paraId="1A48FEE5" w14:textId="3B4AC5F0" w:rsidR="003B5B01" w:rsidRDefault="002177D4" w:rsidP="00236152">
      <w:pPr>
        <w:pStyle w:val="Bullet0"/>
        <w:numPr>
          <w:ilvl w:val="0"/>
          <w:numId w:val="0"/>
        </w:numPr>
        <w:spacing w:before="0" w:after="100"/>
        <w:ind w:firstLine="567"/>
        <w:rPr>
          <w:szCs w:val="24"/>
        </w:rPr>
      </w:pPr>
      <w:r>
        <w:rPr>
          <w:szCs w:val="24"/>
        </w:rPr>
        <w:t>Saistību pārdales lēmums pēc 2020.gada</w:t>
      </w:r>
      <w:r w:rsidR="00D56CEC">
        <w:rPr>
          <w:szCs w:val="24"/>
        </w:rPr>
        <w:t xml:space="preserve"> noteiks katras </w:t>
      </w:r>
      <w:r w:rsidR="00140073">
        <w:rPr>
          <w:szCs w:val="24"/>
        </w:rPr>
        <w:t>dalībvalsts</w:t>
      </w:r>
      <w:r w:rsidR="003A00AD">
        <w:rPr>
          <w:szCs w:val="24"/>
        </w:rPr>
        <w:t xml:space="preserve"> </w:t>
      </w:r>
      <w:r w:rsidR="00140073">
        <w:rPr>
          <w:szCs w:val="24"/>
        </w:rPr>
        <w:t>individuāl</w:t>
      </w:r>
      <w:r>
        <w:rPr>
          <w:szCs w:val="24"/>
        </w:rPr>
        <w:t>o</w:t>
      </w:r>
      <w:r w:rsidR="00285FEA">
        <w:rPr>
          <w:szCs w:val="24"/>
        </w:rPr>
        <w:t xml:space="preserve"> ne-ETS darbību</w:t>
      </w:r>
      <w:r w:rsidR="00D56CEC">
        <w:rPr>
          <w:szCs w:val="24"/>
        </w:rPr>
        <w:t xml:space="preserve"> SEG emisiju samazināšana</w:t>
      </w:r>
      <w:r>
        <w:rPr>
          <w:szCs w:val="24"/>
        </w:rPr>
        <w:t>s</w:t>
      </w:r>
      <w:r w:rsidR="00AF51B3">
        <w:rPr>
          <w:szCs w:val="24"/>
        </w:rPr>
        <w:t xml:space="preserve"> mērķi, kā arī </w:t>
      </w:r>
      <w:r w:rsidR="00C40B26">
        <w:rPr>
          <w:szCs w:val="24"/>
        </w:rPr>
        <w:t>elastības un mehānism</w:t>
      </w:r>
      <w:r>
        <w:rPr>
          <w:szCs w:val="24"/>
        </w:rPr>
        <w:t>us</w:t>
      </w:r>
      <w:r w:rsidR="00C40B26">
        <w:rPr>
          <w:szCs w:val="24"/>
        </w:rPr>
        <w:t xml:space="preserve"> šo mērķu izpildes nodrošināšanai, kas palīdzētu</w:t>
      </w:r>
      <w:r w:rsidR="00B071DB">
        <w:rPr>
          <w:szCs w:val="24"/>
        </w:rPr>
        <w:t xml:space="preserve"> dalībvalstīm to veikt izmaksu efektīvā, taisnīgā un </w:t>
      </w:r>
      <w:r w:rsidR="00C21EC0">
        <w:rPr>
          <w:szCs w:val="24"/>
        </w:rPr>
        <w:t>solidārā veidā.</w:t>
      </w:r>
      <w:r w:rsidR="00D56CEC">
        <w:rPr>
          <w:szCs w:val="24"/>
        </w:rPr>
        <w:t xml:space="preserve"> </w:t>
      </w:r>
    </w:p>
    <w:p w14:paraId="7D67682F" w14:textId="0DA84BB7" w:rsidR="003B5B01" w:rsidRDefault="00D56CEC" w:rsidP="00236152">
      <w:pPr>
        <w:pStyle w:val="Bullet0"/>
        <w:numPr>
          <w:ilvl w:val="0"/>
          <w:numId w:val="0"/>
        </w:numPr>
        <w:spacing w:before="0" w:after="100"/>
        <w:ind w:firstLine="567"/>
        <w:rPr>
          <w:szCs w:val="24"/>
        </w:rPr>
      </w:pPr>
      <w:r w:rsidRPr="00E94CF2">
        <w:rPr>
          <w:szCs w:val="24"/>
        </w:rPr>
        <w:t>Eiropadomes secinājumi attiecībā uz dalībvalstu ne-ETS darbību SEG emisiju samazināšanas mērķi nosaka, ka „</w:t>
      </w:r>
      <w:r w:rsidRPr="00E94CF2">
        <w:rPr>
          <w:i/>
          <w:szCs w:val="24"/>
        </w:rPr>
        <w:t>metodiku, ar ko nosaka valsts līmeņa samazināšanas mērķus attiecībā uz ETS neaptvertajiem sektoriem, ar visiem elementiem, kā piemērots Lēmumā par kopīgiem centieniem līdz 2020. gadam, turpinās piemērot līdz 2030. gadam, centienu sadalē pamatojoties uz relatīvo IKP uz vienu iedzīvotāju.”</w:t>
      </w:r>
      <w:r w:rsidRPr="00E94CF2">
        <w:rPr>
          <w:szCs w:val="24"/>
        </w:rPr>
        <w:t xml:space="preserve"> Tas nozīmē, ka to metodoloģiju, kura tika izmantota 2020.gada ne-ETS darbību SEG emisiju mērķa noteikšanai, īpaši dalībvalstīm ar IKP/iedz. rādītāju zemāku nekā ES vidējais radītājs, </w:t>
      </w:r>
      <w:r w:rsidR="002177D4">
        <w:rPr>
          <w:szCs w:val="24"/>
        </w:rPr>
        <w:t>notiks būtiski mainīts</w:t>
      </w:r>
      <w:r w:rsidRPr="00E94CF2">
        <w:rPr>
          <w:szCs w:val="24"/>
        </w:rPr>
        <w:t>.</w:t>
      </w:r>
    </w:p>
    <w:p w14:paraId="0314E0D8" w14:textId="5E2808E9" w:rsidR="0075304E" w:rsidRPr="00067A14" w:rsidRDefault="004E3BD8" w:rsidP="00236152">
      <w:pPr>
        <w:pStyle w:val="Bullet0"/>
        <w:numPr>
          <w:ilvl w:val="0"/>
          <w:numId w:val="0"/>
        </w:numPr>
        <w:spacing w:before="0" w:after="100"/>
        <w:ind w:firstLine="567"/>
        <w:rPr>
          <w:szCs w:val="24"/>
        </w:rPr>
      </w:pPr>
      <w:r w:rsidRPr="00E94CF2">
        <w:rPr>
          <w:szCs w:val="24"/>
        </w:rPr>
        <w:t>2015.gada 25.martā Komisija uzsāka sabiedrisk</w:t>
      </w:r>
      <w:r w:rsidR="002177D4">
        <w:rPr>
          <w:szCs w:val="24"/>
        </w:rPr>
        <w:t>o</w:t>
      </w:r>
      <w:r w:rsidRPr="00E94CF2">
        <w:rPr>
          <w:szCs w:val="24"/>
        </w:rPr>
        <w:t xml:space="preserve"> konsultācij</w:t>
      </w:r>
      <w:r w:rsidR="002177D4">
        <w:rPr>
          <w:szCs w:val="24"/>
        </w:rPr>
        <w:t>u</w:t>
      </w:r>
      <w:r w:rsidRPr="00E94CF2">
        <w:rPr>
          <w:szCs w:val="24"/>
        </w:rPr>
        <w:t xml:space="preserve"> procesu un publicēja sabiedriskās apspriedes anketu „</w:t>
      </w:r>
      <w:r w:rsidRPr="00067A14">
        <w:rPr>
          <w:i/>
          <w:szCs w:val="24"/>
        </w:rPr>
        <w:t>Par saistību pārdali Eiropas Savienības dalībvalstīm siltumnīcefekta gāzu emisiju samazināšanai Eiropas Savienības 2030.gada siltumnīcefekta gāzu emisiju samazināšanas saistību izpildei</w:t>
      </w:r>
      <w:r w:rsidRPr="00E94CF2">
        <w:rPr>
          <w:szCs w:val="24"/>
        </w:rPr>
        <w:t xml:space="preserve">” (turpmāk – Saistību pārdales lēmuma </w:t>
      </w:r>
      <w:r w:rsidRPr="00067A14">
        <w:rPr>
          <w:szCs w:val="24"/>
        </w:rPr>
        <w:t xml:space="preserve">pārskatīšanas anketa), lai iegūtu nepieciešamo informāciju no visām iesaistītajām pusēm par labākajiem nosacījumiem Saistību pārdales lēmuma pārskatīšanai. 2016.gada 1.pusē paredzēts publiskot normatīvā akta projektu par ne-ETS darbību SEG emisiju samazināšanu. </w:t>
      </w:r>
    </w:p>
    <w:p w14:paraId="5ACF2BC8" w14:textId="77777777" w:rsidR="002177D4" w:rsidRPr="00067A14" w:rsidRDefault="002177D4" w:rsidP="00236152">
      <w:pPr>
        <w:pStyle w:val="Bullet0"/>
        <w:numPr>
          <w:ilvl w:val="0"/>
          <w:numId w:val="0"/>
        </w:numPr>
        <w:spacing w:before="0" w:after="100"/>
        <w:ind w:firstLine="567"/>
        <w:rPr>
          <w:szCs w:val="24"/>
        </w:rPr>
      </w:pPr>
      <w:r w:rsidRPr="00067A14">
        <w:rPr>
          <w:szCs w:val="24"/>
        </w:rPr>
        <w:t>Saskaņā ar Eiropadomes secinājumos doto mandātu un nepieciešamību veikt Saistības pārdales lēmumā iekļauto nosacījumu uzlabošanu Eiropas Komisija Saistību pārdales lēmuma pārskatīšanas anketa ir iekļāvusi šādus jautājumus:</w:t>
      </w:r>
    </w:p>
    <w:p w14:paraId="58CF8B6B" w14:textId="77777777" w:rsidR="002177D4" w:rsidRPr="00067A14" w:rsidRDefault="002177D4" w:rsidP="00236152">
      <w:pPr>
        <w:pStyle w:val="Bullet0"/>
        <w:numPr>
          <w:ilvl w:val="0"/>
          <w:numId w:val="13"/>
        </w:numPr>
        <w:spacing w:before="0" w:after="100"/>
        <w:ind w:left="568" w:hanging="284"/>
        <w:rPr>
          <w:szCs w:val="24"/>
        </w:rPr>
      </w:pPr>
      <w:r w:rsidRPr="00067A14">
        <w:rPr>
          <w:szCs w:val="24"/>
        </w:rPr>
        <w:t>dalībvalstīm noteiktā rīcības brīvība ar tām piešķirtajām ESD vienībām – uzkrāšanas, pārneses un darījumu nosacījumi;</w:t>
      </w:r>
    </w:p>
    <w:p w14:paraId="2D247A10" w14:textId="77777777" w:rsidR="002177D4" w:rsidRPr="00067A14" w:rsidRDefault="002177D4" w:rsidP="00236152">
      <w:pPr>
        <w:pStyle w:val="Bullet0"/>
        <w:numPr>
          <w:ilvl w:val="0"/>
          <w:numId w:val="13"/>
        </w:numPr>
        <w:spacing w:before="0" w:after="100"/>
        <w:ind w:left="568" w:hanging="284"/>
        <w:rPr>
          <w:szCs w:val="24"/>
        </w:rPr>
      </w:pPr>
      <w:r w:rsidRPr="00067A14">
        <w:rPr>
          <w:szCs w:val="24"/>
        </w:rPr>
        <w:t>monitoringa, ziņošanas un atbilstības pārbaudes cikla nosacījumi;</w:t>
      </w:r>
    </w:p>
    <w:p w14:paraId="6B6B8AC1" w14:textId="77777777" w:rsidR="002177D4" w:rsidRPr="00067A14" w:rsidRDefault="002177D4" w:rsidP="00236152">
      <w:pPr>
        <w:pStyle w:val="Bullet0"/>
        <w:numPr>
          <w:ilvl w:val="0"/>
          <w:numId w:val="13"/>
        </w:numPr>
        <w:spacing w:before="0" w:after="100"/>
        <w:ind w:left="568" w:hanging="284"/>
        <w:rPr>
          <w:szCs w:val="24"/>
        </w:rPr>
      </w:pPr>
      <w:r w:rsidRPr="00067A14">
        <w:rPr>
          <w:szCs w:val="24"/>
        </w:rPr>
        <w:lastRenderedPageBreak/>
        <w:t>nacionālo ne-ETS darbību SEG emisiju samazināšanas mērķu pielāgošana dalībvalstīm ar augstu IKP;</w:t>
      </w:r>
    </w:p>
    <w:p w14:paraId="17B7113E" w14:textId="77777777" w:rsidR="002177D4" w:rsidRPr="00067A14" w:rsidRDefault="002177D4" w:rsidP="00236152">
      <w:pPr>
        <w:pStyle w:val="Bullet0"/>
        <w:numPr>
          <w:ilvl w:val="0"/>
          <w:numId w:val="13"/>
        </w:numPr>
        <w:spacing w:before="0" w:after="100"/>
        <w:ind w:left="568" w:hanging="284"/>
        <w:rPr>
          <w:szCs w:val="24"/>
        </w:rPr>
      </w:pPr>
      <w:r w:rsidRPr="00067A14">
        <w:rPr>
          <w:szCs w:val="24"/>
        </w:rPr>
        <w:t>turpmākās liecības un pētījumi par ESD īstenošanu dalībvalstu un reģionālajā līmenī;</w:t>
      </w:r>
    </w:p>
    <w:p w14:paraId="651D260D" w14:textId="77777777" w:rsidR="002177D4" w:rsidRPr="00067A14" w:rsidRDefault="002177D4" w:rsidP="00236152">
      <w:pPr>
        <w:pStyle w:val="Bullet0"/>
        <w:numPr>
          <w:ilvl w:val="0"/>
          <w:numId w:val="13"/>
        </w:numPr>
        <w:spacing w:before="0" w:after="100"/>
        <w:ind w:left="568" w:hanging="284"/>
        <w:rPr>
          <w:szCs w:val="24"/>
        </w:rPr>
      </w:pPr>
      <w:r w:rsidRPr="00067A14">
        <w:rPr>
          <w:szCs w:val="24"/>
        </w:rPr>
        <w:t>papildus ES-līmeņa darbības Saistību pārdales lēmumā iekļautajām darbībām un sektoriem attiecībā uz citiem ES-mēroga pasākumiem un likumdošanai ārpus Saistību pārdales lēmumam;</w:t>
      </w:r>
    </w:p>
    <w:p w14:paraId="2A49B936" w14:textId="77777777" w:rsidR="002177D4" w:rsidRPr="00067A14" w:rsidRDefault="002177D4" w:rsidP="00236152">
      <w:pPr>
        <w:pStyle w:val="Bullet0"/>
        <w:numPr>
          <w:ilvl w:val="0"/>
          <w:numId w:val="13"/>
        </w:numPr>
        <w:spacing w:before="0" w:after="100"/>
        <w:ind w:left="568" w:hanging="284"/>
        <w:rPr>
          <w:szCs w:val="24"/>
        </w:rPr>
      </w:pPr>
      <w:r w:rsidRPr="00067A14">
        <w:rPr>
          <w:szCs w:val="24"/>
        </w:rPr>
        <w:t>kapacitātes uzlabošana un cits atbalsts īstenošanai nacionālā, reģionālā un lokālā līmenī.</w:t>
      </w:r>
    </w:p>
    <w:p w14:paraId="5302650E" w14:textId="2DE2B56E" w:rsidR="004E3BD8" w:rsidRPr="00E94CF2" w:rsidRDefault="004E3BD8" w:rsidP="00236152">
      <w:pPr>
        <w:pStyle w:val="Bullet0"/>
        <w:numPr>
          <w:ilvl w:val="0"/>
          <w:numId w:val="0"/>
        </w:numPr>
        <w:spacing w:before="0" w:after="100"/>
        <w:ind w:firstLine="567"/>
        <w:rPr>
          <w:szCs w:val="24"/>
        </w:rPr>
      </w:pPr>
      <w:r w:rsidRPr="00E94CF2">
        <w:rPr>
          <w:szCs w:val="24"/>
        </w:rPr>
        <w:t>VARAM ir sagatavojusi atbildes</w:t>
      </w:r>
      <w:r w:rsidR="00961689">
        <w:rPr>
          <w:szCs w:val="24"/>
        </w:rPr>
        <w:t xml:space="preserve"> projektu</w:t>
      </w:r>
      <w:r w:rsidRPr="00E94CF2">
        <w:rPr>
          <w:szCs w:val="24"/>
        </w:rPr>
        <w:t xml:space="preserve"> uz Saistību pārdales lēmuma pārskatīšanas anketā uzdotajiem jautājumiem un ir formulējusi savu viedokli par tādiem Latvijai būtiskajiem jautājumiem, kurus būs jāaizstāv Saistību pārdales lēmuma pārskatīšanai izstrādātā tiesību akta saskaņošanas laikā:</w:t>
      </w:r>
    </w:p>
    <w:p w14:paraId="1DEBB8D6" w14:textId="77777777" w:rsidR="004E3BD8" w:rsidRPr="00E94CF2" w:rsidRDefault="004E3BD8" w:rsidP="00236152">
      <w:pPr>
        <w:pStyle w:val="Bullet0"/>
        <w:numPr>
          <w:ilvl w:val="0"/>
          <w:numId w:val="14"/>
        </w:numPr>
        <w:spacing w:before="0" w:after="100"/>
        <w:ind w:left="284" w:hanging="284"/>
        <w:rPr>
          <w:szCs w:val="24"/>
        </w:rPr>
      </w:pPr>
      <w:r w:rsidRPr="00E94CF2">
        <w:rPr>
          <w:szCs w:val="24"/>
        </w:rPr>
        <w:t xml:space="preserve">ESD vienību uzkrāšanas iespēja starp saistību periodiem, tādējādi būtiski uzlabojot esošo Saistību pārdales lēmumā iekļauto elastību attiecībā uz šo </w:t>
      </w:r>
      <w:r>
        <w:rPr>
          <w:szCs w:val="24"/>
        </w:rPr>
        <w:t>vienību uzkrāšanu;</w:t>
      </w:r>
    </w:p>
    <w:p w14:paraId="771E9FB0" w14:textId="77777777" w:rsidR="004E3BD8" w:rsidRPr="00E94CF2" w:rsidRDefault="004E3BD8" w:rsidP="00236152">
      <w:pPr>
        <w:pStyle w:val="Bullet0"/>
        <w:numPr>
          <w:ilvl w:val="0"/>
          <w:numId w:val="14"/>
        </w:numPr>
        <w:spacing w:before="0" w:after="100"/>
        <w:ind w:left="284" w:hanging="284"/>
        <w:rPr>
          <w:szCs w:val="24"/>
        </w:rPr>
      </w:pPr>
      <w:r w:rsidRPr="00E94CF2">
        <w:rPr>
          <w:szCs w:val="24"/>
        </w:rPr>
        <w:t>Būtiski uzlabojumi ESD vienību pārskaitījumu (pārdošanas un pirkšanas) iespējām un šo vienību tirgus izveidošana un uzturēšana, lai nodrošinātu vērā ņemamu vienību cenu;</w:t>
      </w:r>
    </w:p>
    <w:p w14:paraId="6CE11ABF" w14:textId="77777777" w:rsidR="004E3BD8" w:rsidRPr="00E94CF2" w:rsidRDefault="004E3BD8" w:rsidP="00236152">
      <w:pPr>
        <w:pStyle w:val="Bullet0"/>
        <w:numPr>
          <w:ilvl w:val="0"/>
          <w:numId w:val="14"/>
        </w:numPr>
        <w:spacing w:before="0" w:after="100"/>
        <w:ind w:left="284" w:hanging="284"/>
        <w:rPr>
          <w:szCs w:val="24"/>
        </w:rPr>
      </w:pPr>
      <w:r w:rsidRPr="00E94CF2">
        <w:rPr>
          <w:szCs w:val="24"/>
        </w:rPr>
        <w:t>Dalībvalstu specifiskās situācijas vērā ņemšana elastības mehānismu noteikšanā un mērķu pielāgošanā;</w:t>
      </w:r>
    </w:p>
    <w:p w14:paraId="12CBFC50" w14:textId="77777777" w:rsidR="004E3BD8" w:rsidRPr="00E94CF2" w:rsidRDefault="004E3BD8" w:rsidP="00236152">
      <w:pPr>
        <w:pStyle w:val="ListParagraph"/>
        <w:numPr>
          <w:ilvl w:val="0"/>
          <w:numId w:val="14"/>
        </w:numPr>
        <w:spacing w:after="100" w:line="240" w:lineRule="auto"/>
        <w:ind w:left="284" w:hanging="284"/>
        <w:contextualSpacing w:val="0"/>
        <w:jc w:val="both"/>
        <w:rPr>
          <w:rFonts w:ascii="Times New Roman" w:eastAsia="Times New Roman" w:hAnsi="Times New Roman" w:cs="Times New Roman"/>
          <w:sz w:val="24"/>
          <w:szCs w:val="24"/>
          <w:lang w:eastAsia="en-GB"/>
        </w:rPr>
      </w:pPr>
      <w:r w:rsidRPr="00E94CF2">
        <w:rPr>
          <w:rFonts w:ascii="Times New Roman" w:eastAsia="Times New Roman" w:hAnsi="Times New Roman" w:cs="Times New Roman"/>
          <w:sz w:val="24"/>
          <w:szCs w:val="24"/>
          <w:lang w:eastAsia="en-GB"/>
        </w:rPr>
        <w:t xml:space="preserve">2030.gada ne-ETS darbību </w:t>
      </w:r>
      <w:r>
        <w:rPr>
          <w:rFonts w:ascii="Times New Roman" w:eastAsia="Times New Roman" w:hAnsi="Times New Roman" w:cs="Times New Roman"/>
          <w:sz w:val="24"/>
          <w:szCs w:val="24"/>
          <w:lang w:eastAsia="en-GB"/>
        </w:rPr>
        <w:t>ikgadējais</w:t>
      </w:r>
      <w:r w:rsidRPr="00E94CF2">
        <w:rPr>
          <w:rFonts w:ascii="Times New Roman" w:eastAsia="Times New Roman" w:hAnsi="Times New Roman" w:cs="Times New Roman"/>
          <w:sz w:val="24"/>
          <w:szCs w:val="24"/>
          <w:lang w:eastAsia="en-GB"/>
        </w:rPr>
        <w:t xml:space="preserve"> SEG emisiju limit</w:t>
      </w:r>
      <w:r>
        <w:rPr>
          <w:rFonts w:ascii="Times New Roman" w:eastAsia="Times New Roman" w:hAnsi="Times New Roman" w:cs="Times New Roman"/>
          <w:sz w:val="24"/>
          <w:szCs w:val="24"/>
          <w:lang w:eastAsia="en-GB"/>
        </w:rPr>
        <w:t xml:space="preserve">s tiek noteikts </w:t>
      </w:r>
      <w:r w:rsidRPr="00E94CF2">
        <w:rPr>
          <w:rFonts w:ascii="Times New Roman" w:eastAsia="Times New Roman" w:hAnsi="Times New Roman" w:cs="Times New Roman"/>
          <w:sz w:val="24"/>
          <w:szCs w:val="24"/>
          <w:lang w:eastAsia="en-GB"/>
        </w:rPr>
        <w:t>saskaņā ar trajektoriju, kas noteikta no 2020.gada ne-ETS darbību SEG emisiju mērķa (nevis saskaņā ar trajektoriju, kas noteikta no 2005.gada ne-ETS darbību SEG emisiju apjoma);</w:t>
      </w:r>
    </w:p>
    <w:p w14:paraId="369B4455" w14:textId="77777777" w:rsidR="004E3BD8" w:rsidRPr="00CB50F6" w:rsidRDefault="004E3BD8" w:rsidP="00236152">
      <w:pPr>
        <w:pStyle w:val="ListParagraph"/>
        <w:numPr>
          <w:ilvl w:val="0"/>
          <w:numId w:val="14"/>
        </w:numPr>
        <w:spacing w:after="100" w:line="240" w:lineRule="auto"/>
        <w:ind w:left="284" w:hanging="284"/>
        <w:contextualSpacing w:val="0"/>
        <w:jc w:val="both"/>
        <w:rPr>
          <w:rFonts w:ascii="Times New Roman" w:eastAsia="Times New Roman" w:hAnsi="Times New Roman" w:cs="Times New Roman"/>
          <w:sz w:val="24"/>
          <w:szCs w:val="24"/>
          <w:lang w:eastAsia="en-GB"/>
        </w:rPr>
      </w:pPr>
      <w:r w:rsidRPr="00CB50F6">
        <w:rPr>
          <w:rFonts w:ascii="Times New Roman" w:hAnsi="Times New Roman" w:cs="Times New Roman"/>
          <w:sz w:val="24"/>
          <w:szCs w:val="24"/>
        </w:rPr>
        <w:t xml:space="preserve">Saistību pārdales lēmumā noteiktā principa par ikgadējo ESD vienību </w:t>
      </w:r>
      <w:r w:rsidRPr="00CB50F6">
        <w:rPr>
          <w:rFonts w:ascii="Times New Roman" w:eastAsia="Times New Roman" w:hAnsi="Times New Roman" w:cs="Times New Roman"/>
          <w:sz w:val="24"/>
          <w:szCs w:val="24"/>
          <w:lang w:eastAsia="en-GB"/>
        </w:rPr>
        <w:t xml:space="preserve">piešķiršanu un SEG emisiju limita piemērošanu nesaglabāšanu, kā arī </w:t>
      </w:r>
      <w:r w:rsidRPr="00CB50F6">
        <w:rPr>
          <w:rFonts w:ascii="Times New Roman" w:hAnsi="Times New Roman" w:cs="Times New Roman"/>
          <w:sz w:val="24"/>
          <w:szCs w:val="24"/>
        </w:rPr>
        <w:t xml:space="preserve">ESD vienību </w:t>
      </w:r>
      <w:r w:rsidRPr="00CB50F6">
        <w:rPr>
          <w:rFonts w:ascii="Times New Roman" w:eastAsia="Times New Roman" w:hAnsi="Times New Roman" w:cs="Times New Roman"/>
          <w:sz w:val="24"/>
          <w:szCs w:val="24"/>
          <w:lang w:eastAsia="en-GB"/>
        </w:rPr>
        <w:t>nodošanai nebūtu jābūt noteiktai kā veicamai obligāti ikgadēji/</w:t>
      </w:r>
      <w:proofErr w:type="spellStart"/>
      <w:r w:rsidRPr="00CB50F6">
        <w:rPr>
          <w:rFonts w:ascii="Times New Roman" w:eastAsia="Times New Roman" w:hAnsi="Times New Roman" w:cs="Times New Roman"/>
          <w:sz w:val="24"/>
          <w:szCs w:val="24"/>
          <w:lang w:eastAsia="en-GB"/>
        </w:rPr>
        <w:t>divgadēji</w:t>
      </w:r>
      <w:proofErr w:type="spellEnd"/>
      <w:r w:rsidRPr="00CB50F6">
        <w:rPr>
          <w:rFonts w:ascii="Times New Roman" w:eastAsia="Times New Roman" w:hAnsi="Times New Roman" w:cs="Times New Roman"/>
          <w:sz w:val="24"/>
          <w:szCs w:val="24"/>
          <w:lang w:eastAsia="en-GB"/>
        </w:rPr>
        <w:t xml:space="preserve"> un ka ikgadēji/</w:t>
      </w:r>
      <w:proofErr w:type="spellStart"/>
      <w:r w:rsidRPr="00CB50F6">
        <w:rPr>
          <w:rFonts w:ascii="Times New Roman" w:eastAsia="Times New Roman" w:hAnsi="Times New Roman" w:cs="Times New Roman"/>
          <w:sz w:val="24"/>
          <w:szCs w:val="24"/>
          <w:lang w:eastAsia="en-GB"/>
        </w:rPr>
        <w:t>divgadēji</w:t>
      </w:r>
      <w:proofErr w:type="spellEnd"/>
      <w:r w:rsidRPr="00CB50F6">
        <w:rPr>
          <w:rFonts w:ascii="Times New Roman" w:eastAsia="Times New Roman" w:hAnsi="Times New Roman" w:cs="Times New Roman"/>
          <w:sz w:val="24"/>
          <w:szCs w:val="24"/>
          <w:lang w:eastAsia="en-GB"/>
        </w:rPr>
        <w:t xml:space="preserve"> tiek piemēroti korektīvie pasākumi;</w:t>
      </w:r>
    </w:p>
    <w:p w14:paraId="7D993E5A" w14:textId="259BF7B7" w:rsidR="004E3BD8" w:rsidRPr="00E94CF2" w:rsidRDefault="004E3BD8" w:rsidP="00236152">
      <w:pPr>
        <w:pStyle w:val="ListParagraph"/>
        <w:numPr>
          <w:ilvl w:val="0"/>
          <w:numId w:val="14"/>
        </w:numPr>
        <w:spacing w:after="100" w:line="240" w:lineRule="auto"/>
        <w:ind w:left="284" w:hanging="284"/>
        <w:contextualSpacing w:val="0"/>
        <w:jc w:val="both"/>
        <w:rPr>
          <w:rFonts w:ascii="Times New Roman" w:eastAsia="Times New Roman" w:hAnsi="Times New Roman" w:cs="Times New Roman"/>
          <w:sz w:val="24"/>
          <w:szCs w:val="24"/>
          <w:lang w:eastAsia="en-GB"/>
        </w:rPr>
      </w:pPr>
      <w:r w:rsidRPr="00E94CF2">
        <w:rPr>
          <w:rFonts w:ascii="Times New Roman" w:eastAsia="Times New Roman" w:hAnsi="Times New Roman" w:cs="Times New Roman"/>
          <w:sz w:val="24"/>
          <w:szCs w:val="24"/>
          <w:lang w:eastAsia="en-GB"/>
        </w:rPr>
        <w:t xml:space="preserve">dalībvalstis un to uzņēmumu konkurētspēju ar citām valstīm (īpaši </w:t>
      </w:r>
      <w:r w:rsidR="00067A14">
        <w:rPr>
          <w:rFonts w:ascii="Times New Roman" w:eastAsia="Times New Roman" w:hAnsi="Times New Roman" w:cs="Times New Roman"/>
          <w:sz w:val="24"/>
          <w:szCs w:val="24"/>
          <w:lang w:eastAsia="en-GB"/>
        </w:rPr>
        <w:t xml:space="preserve">ne ES </w:t>
      </w:r>
      <w:r w:rsidRPr="00E94CF2">
        <w:rPr>
          <w:rFonts w:ascii="Times New Roman" w:eastAsia="Times New Roman" w:hAnsi="Times New Roman" w:cs="Times New Roman"/>
          <w:sz w:val="24"/>
          <w:szCs w:val="24"/>
          <w:lang w:eastAsia="en-GB"/>
        </w:rPr>
        <w:t>valstīm, kuras nav uzņēmušās līdzvērtīgas klimata pārmaiņu mazināšanas saistības) neietekmēšana, nodrošinot, ka oglekļa pārvirzes riska novēršana tiek ņemta vērā ne tikai ES ETS ietvaros operatoriem, bet arī ne-ETS darbībās.</w:t>
      </w:r>
    </w:p>
    <w:p w14:paraId="7AF9FBDA" w14:textId="189882E8" w:rsidR="004E3BD8" w:rsidRPr="00E94CF2" w:rsidRDefault="004E3BD8" w:rsidP="00236152">
      <w:pPr>
        <w:pStyle w:val="Bullet0"/>
        <w:numPr>
          <w:ilvl w:val="0"/>
          <w:numId w:val="0"/>
        </w:numPr>
        <w:spacing w:before="0" w:after="100"/>
        <w:ind w:firstLine="567"/>
        <w:rPr>
          <w:szCs w:val="24"/>
        </w:rPr>
      </w:pPr>
      <w:r w:rsidRPr="00E94CF2">
        <w:rPr>
          <w:szCs w:val="24"/>
        </w:rPr>
        <w:t>Līdzīgi kā ETS reformas sabiedriskās konsultācijas procesa ietvaros</w:t>
      </w:r>
      <w:r w:rsidR="00961689">
        <w:rPr>
          <w:szCs w:val="24"/>
        </w:rPr>
        <w:t>,</w:t>
      </w:r>
      <w:r w:rsidRPr="00E94CF2">
        <w:rPr>
          <w:szCs w:val="24"/>
        </w:rPr>
        <w:t xml:space="preserve"> VARAM plānoja iesniegt vienotu Latvijas nozaru ministriju viedokli par Saistību pārdales lēmuma pārskatīšanas anketā uzdotajiem jautājumiem, tādējādi Eiropas Komisijai parādot Latvijas vienoto nostāju par iepriekšminētajiem svarīgajiem jautājumiem.</w:t>
      </w:r>
    </w:p>
    <w:p w14:paraId="22069FAF" w14:textId="3E984A33" w:rsidR="00040ABB" w:rsidRDefault="004E3BD8" w:rsidP="00236152">
      <w:pPr>
        <w:pStyle w:val="Bullet0"/>
        <w:numPr>
          <w:ilvl w:val="0"/>
          <w:numId w:val="0"/>
        </w:numPr>
        <w:spacing w:before="0" w:after="100"/>
        <w:ind w:firstLine="567"/>
        <w:rPr>
          <w:szCs w:val="24"/>
        </w:rPr>
      </w:pPr>
      <w:r w:rsidRPr="00E94CF2">
        <w:rPr>
          <w:szCs w:val="24"/>
        </w:rPr>
        <w:t>Diemžēl no iestādēm, kam tika nosūtīta Saistību pārdales lēmuma pārskatīšanas anket</w:t>
      </w:r>
      <w:r w:rsidR="00067A14">
        <w:rPr>
          <w:szCs w:val="24"/>
        </w:rPr>
        <w:t>a</w:t>
      </w:r>
      <w:r w:rsidRPr="00E94CF2">
        <w:rPr>
          <w:szCs w:val="24"/>
        </w:rPr>
        <w:t xml:space="preserve"> ar lūgumu sniegt savas iestādes viedokli par anketā uzdotajiem jautājumiem, līdz šim nav saņemtas atbildes</w:t>
      </w:r>
      <w:r w:rsidR="00961689">
        <w:rPr>
          <w:szCs w:val="24"/>
        </w:rPr>
        <w:t xml:space="preserve"> vai informācija par </w:t>
      </w:r>
      <w:r w:rsidRPr="00E94CF2">
        <w:rPr>
          <w:szCs w:val="24"/>
        </w:rPr>
        <w:t>anketā iekļautajiem jautājumiem.</w:t>
      </w:r>
      <w:r w:rsidR="00961689">
        <w:rPr>
          <w:szCs w:val="24"/>
        </w:rPr>
        <w:t xml:space="preserve"> Atbilžu sniegšanas termiņš ir 2015.gada 18.jūnijs. Ja netiks saņemta papildus informācija no nozaru ministrijām, VARAM sagatavos atbildes, balstoties uz Latvijas Republikas nacionālo</w:t>
      </w:r>
      <w:r w:rsidR="00961689" w:rsidRPr="00E94CF2">
        <w:rPr>
          <w:szCs w:val="24"/>
        </w:rPr>
        <w:t xml:space="preserve"> pozīcij</w:t>
      </w:r>
      <w:r w:rsidR="00961689">
        <w:rPr>
          <w:szCs w:val="24"/>
        </w:rPr>
        <w:t>u</w:t>
      </w:r>
      <w:r w:rsidR="00961689" w:rsidRPr="00E94CF2">
        <w:rPr>
          <w:szCs w:val="24"/>
        </w:rPr>
        <w:t xml:space="preserve"> Nr.3 „Par Klimata un enerģētikas politikas satvaru laikposmam no 2020.gada līdz 2030.gadam</w:t>
      </w:r>
      <w:r w:rsidR="00961689">
        <w:rPr>
          <w:szCs w:val="24"/>
        </w:rPr>
        <w:t>.</w:t>
      </w:r>
      <w:proofErr w:type="gramStart"/>
      <w:r w:rsidR="00961689">
        <w:rPr>
          <w:szCs w:val="24"/>
        </w:rPr>
        <w:t xml:space="preserve"> </w:t>
      </w:r>
      <w:r w:rsidRPr="00E94CF2">
        <w:rPr>
          <w:szCs w:val="24"/>
        </w:rPr>
        <w:t xml:space="preserve"> </w:t>
      </w:r>
      <w:proofErr w:type="gramEnd"/>
    </w:p>
    <w:p w14:paraId="11FB247B" w14:textId="77777777" w:rsidR="00961689" w:rsidRDefault="00961689" w:rsidP="00236152">
      <w:pPr>
        <w:pStyle w:val="Bullet0"/>
        <w:numPr>
          <w:ilvl w:val="0"/>
          <w:numId w:val="0"/>
        </w:numPr>
        <w:spacing w:before="0" w:after="100"/>
        <w:ind w:firstLine="567"/>
        <w:rPr>
          <w:szCs w:val="24"/>
        </w:rPr>
      </w:pPr>
    </w:p>
    <w:p w14:paraId="7FDEDBE0" w14:textId="703D23DE" w:rsidR="0090319E" w:rsidRPr="00067A14" w:rsidRDefault="008912A1" w:rsidP="00236152">
      <w:pPr>
        <w:pStyle w:val="ListParagraph"/>
        <w:numPr>
          <w:ilvl w:val="1"/>
          <w:numId w:val="4"/>
        </w:numPr>
        <w:spacing w:after="100" w:line="240" w:lineRule="auto"/>
        <w:ind w:left="738" w:hanging="454"/>
        <w:contextualSpacing w:val="0"/>
        <w:jc w:val="both"/>
        <w:outlineLvl w:val="2"/>
        <w:rPr>
          <w:rFonts w:ascii="Times New Roman" w:hAnsi="Times New Roman" w:cs="Times New Roman"/>
          <w:b/>
          <w:sz w:val="24"/>
          <w:szCs w:val="24"/>
          <w:u w:val="single"/>
        </w:rPr>
      </w:pPr>
      <w:r w:rsidRPr="00067A14">
        <w:rPr>
          <w:rFonts w:ascii="Times New Roman" w:hAnsi="Times New Roman" w:cs="Times New Roman"/>
          <w:b/>
          <w:sz w:val="24"/>
          <w:szCs w:val="24"/>
          <w:u w:val="single"/>
        </w:rPr>
        <w:t>Z</w:t>
      </w:r>
      <w:r w:rsidR="0090319E" w:rsidRPr="00067A14">
        <w:rPr>
          <w:rFonts w:ascii="Times New Roman" w:hAnsi="Times New Roman" w:cs="Times New Roman"/>
          <w:b/>
          <w:sz w:val="24"/>
          <w:szCs w:val="24"/>
          <w:u w:val="single"/>
        </w:rPr>
        <w:t>emes izmantošanas, t.s., lauksaimniecības, zemes izmantošanas maiņas un mežsaimniecības darbību radīto SEG emisiju samazināšana</w:t>
      </w:r>
    </w:p>
    <w:p w14:paraId="23A62261" w14:textId="77777777" w:rsidR="0090319E" w:rsidRDefault="0090319E" w:rsidP="00236152">
      <w:pPr>
        <w:spacing w:after="10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Saskaņā ar Eiropadomes secinājumu 2.14.punktu „</w:t>
      </w:r>
      <w:r w:rsidRPr="0075304E">
        <w:rPr>
          <w:rFonts w:ascii="Times New Roman" w:hAnsi="Times New Roman" w:cs="Times New Roman"/>
          <w:i/>
          <w:sz w:val="24"/>
          <w:szCs w:val="24"/>
        </w:rPr>
        <w:t>līdz 2020.gadam tiks izveidota politika attiecībā uz to, kā SEG samazināšanas satvarā 2030.gadam iekļaut zemes izmantošanu, zemes izmantošanas maiņu un mežsaimniecību</w:t>
      </w:r>
      <w:r>
        <w:rPr>
          <w:rFonts w:ascii="Times New Roman" w:hAnsi="Times New Roman" w:cs="Times New Roman"/>
          <w:sz w:val="24"/>
          <w:szCs w:val="24"/>
        </w:rPr>
        <w:t xml:space="preserve">”, tāpēc Eiropas Komisijai ir jāizstrādā priekšlikums, kā kopējos ES SEG emisiju samazināšanas mērķos iekļaut SEG </w:t>
      </w:r>
      <w:r>
        <w:rPr>
          <w:rFonts w:ascii="Times New Roman" w:hAnsi="Times New Roman" w:cs="Times New Roman"/>
          <w:sz w:val="24"/>
          <w:szCs w:val="24"/>
        </w:rPr>
        <w:lastRenderedPageBreak/>
        <w:t>emisijas un CO</w:t>
      </w:r>
      <w:r w:rsidRPr="0075304E">
        <w:rPr>
          <w:rFonts w:ascii="Times New Roman" w:hAnsi="Times New Roman" w:cs="Times New Roman"/>
          <w:sz w:val="24"/>
          <w:szCs w:val="24"/>
          <w:vertAlign w:val="subscript"/>
        </w:rPr>
        <w:t>2</w:t>
      </w:r>
      <w:r>
        <w:rPr>
          <w:rFonts w:ascii="Times New Roman" w:hAnsi="Times New Roman" w:cs="Times New Roman"/>
          <w:sz w:val="24"/>
          <w:szCs w:val="24"/>
        </w:rPr>
        <w:t xml:space="preserve"> piesaisti no zemes izmantošanas, zemes izmantošanas maiņas un mežsaimniecības (turpmāk – LULUCF) darbībām.</w:t>
      </w:r>
    </w:p>
    <w:p w14:paraId="37819C69" w14:textId="6208FF5C" w:rsidR="0090319E" w:rsidRDefault="0090319E" w:rsidP="00236152">
      <w:pPr>
        <w:spacing w:after="10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Lai apzinātu iesaistīto pušu viedokli, </w:t>
      </w:r>
      <w:r w:rsidRPr="00880A60">
        <w:rPr>
          <w:rFonts w:ascii="Times New Roman" w:hAnsi="Times New Roman" w:cs="Times New Roman"/>
          <w:sz w:val="24"/>
          <w:szCs w:val="24"/>
        </w:rPr>
        <w:t>2015.gada 25.martā Eiropas Komisija uzsāka sabiedriskās konsultācijas procesu un publicēja sabiedriskās apspriedes anketu „</w:t>
      </w:r>
      <w:r w:rsidRPr="00067A14">
        <w:rPr>
          <w:rFonts w:ascii="Times New Roman" w:hAnsi="Times New Roman" w:cs="Times New Roman"/>
          <w:i/>
          <w:sz w:val="24"/>
          <w:szCs w:val="24"/>
        </w:rPr>
        <w:t xml:space="preserve">Par siltumnīcefekta gāzu emisijām no lauksaimniecības un LULUCF saistībā </w:t>
      </w:r>
      <w:proofErr w:type="gramStart"/>
      <w:r w:rsidRPr="00067A14">
        <w:rPr>
          <w:rFonts w:ascii="Times New Roman" w:hAnsi="Times New Roman" w:cs="Times New Roman"/>
          <w:i/>
          <w:sz w:val="24"/>
          <w:szCs w:val="24"/>
        </w:rPr>
        <w:t>ar Klimata un enerģētikas</w:t>
      </w:r>
      <w:proofErr w:type="gramEnd"/>
      <w:r w:rsidRPr="00067A14">
        <w:rPr>
          <w:rFonts w:ascii="Times New Roman" w:hAnsi="Times New Roman" w:cs="Times New Roman"/>
          <w:i/>
          <w:sz w:val="24"/>
          <w:szCs w:val="24"/>
        </w:rPr>
        <w:t xml:space="preserve"> politikas satvarā laikposmam līdz 2030.gadam samazināšanas saistību izpilde</w:t>
      </w:r>
      <w:r w:rsidRPr="00880A60">
        <w:rPr>
          <w:rFonts w:ascii="Times New Roman" w:hAnsi="Times New Roman" w:cs="Times New Roman"/>
          <w:sz w:val="24"/>
          <w:szCs w:val="24"/>
        </w:rPr>
        <w:t>” (turpmāk – LULUCF anketa), lai iegūtu informāciju, kuru no piedāvātajiem šo darbību radīto SEG emisiju samazināšanas variantiem atbalsta vairākums no iesaistītajām pusēm, kā arī, lai iegūtu informāciju, ko Eiropas Komisija varētu izmantot nosacījumu izstrādei.</w:t>
      </w:r>
      <w:r>
        <w:rPr>
          <w:rFonts w:ascii="Times New Roman" w:hAnsi="Times New Roman" w:cs="Times New Roman"/>
          <w:sz w:val="24"/>
          <w:szCs w:val="24"/>
        </w:rPr>
        <w:t xml:space="preserve"> Galvenais LULUCF anketas elements ir piedāvātās trīs </w:t>
      </w:r>
      <w:r w:rsidR="006C56FE">
        <w:rPr>
          <w:rFonts w:ascii="Times New Roman" w:hAnsi="Times New Roman" w:cs="Times New Roman"/>
          <w:sz w:val="24"/>
          <w:szCs w:val="24"/>
        </w:rPr>
        <w:t>iespējas</w:t>
      </w:r>
      <w:r>
        <w:rPr>
          <w:rFonts w:ascii="Times New Roman" w:hAnsi="Times New Roman" w:cs="Times New Roman"/>
          <w:sz w:val="24"/>
          <w:szCs w:val="24"/>
        </w:rPr>
        <w:t xml:space="preserve"> LULUCF darbību SEG emisiju samazināšanas iespējām:</w:t>
      </w:r>
    </w:p>
    <w:p w14:paraId="025A3254" w14:textId="77777777" w:rsidR="0090319E" w:rsidRDefault="0090319E" w:rsidP="00236152">
      <w:pPr>
        <w:pStyle w:val="ListParagraph"/>
        <w:numPr>
          <w:ilvl w:val="0"/>
          <w:numId w:val="18"/>
        </w:numPr>
        <w:spacing w:after="100" w:line="240" w:lineRule="auto"/>
        <w:ind w:left="284" w:hanging="284"/>
        <w:contextualSpacing w:val="0"/>
        <w:jc w:val="both"/>
        <w:outlineLvl w:val="2"/>
        <w:rPr>
          <w:rFonts w:ascii="Times New Roman" w:hAnsi="Times New Roman" w:cs="Times New Roman"/>
          <w:sz w:val="24"/>
          <w:szCs w:val="24"/>
        </w:rPr>
      </w:pPr>
      <w:r>
        <w:rPr>
          <w:rFonts w:ascii="Times New Roman" w:hAnsi="Times New Roman" w:cs="Times New Roman"/>
          <w:sz w:val="24"/>
          <w:szCs w:val="24"/>
        </w:rPr>
        <w:t>mežsaimniecības darbību SEG emisijas samazināšanai un CO</w:t>
      </w:r>
      <w:r w:rsidRPr="003B5B01">
        <w:rPr>
          <w:rFonts w:ascii="Times New Roman" w:hAnsi="Times New Roman" w:cs="Times New Roman"/>
          <w:sz w:val="24"/>
          <w:szCs w:val="24"/>
          <w:vertAlign w:val="subscript"/>
        </w:rPr>
        <w:t>2</w:t>
      </w:r>
      <w:r>
        <w:rPr>
          <w:rFonts w:ascii="Times New Roman" w:hAnsi="Times New Roman" w:cs="Times New Roman"/>
          <w:sz w:val="24"/>
          <w:szCs w:val="24"/>
        </w:rPr>
        <w:t xml:space="preserve"> piesaistes palielināšanai noteikt atsevišķu mērķi, līdz ar to neiekļaut šis darbības Saistību pārdales lēmuma aptvērumā (saglabāt 2020.gada mērķim piemēroto pieeju);</w:t>
      </w:r>
    </w:p>
    <w:p w14:paraId="59496D3F" w14:textId="77777777" w:rsidR="0090319E" w:rsidRDefault="0090319E" w:rsidP="00236152">
      <w:pPr>
        <w:pStyle w:val="ListParagraph"/>
        <w:numPr>
          <w:ilvl w:val="0"/>
          <w:numId w:val="18"/>
        </w:numPr>
        <w:spacing w:after="100" w:line="240" w:lineRule="auto"/>
        <w:ind w:left="284" w:hanging="284"/>
        <w:contextualSpacing w:val="0"/>
        <w:jc w:val="both"/>
        <w:outlineLvl w:val="2"/>
        <w:rPr>
          <w:rFonts w:ascii="Times New Roman" w:hAnsi="Times New Roman" w:cs="Times New Roman"/>
          <w:sz w:val="24"/>
          <w:szCs w:val="24"/>
        </w:rPr>
      </w:pPr>
      <w:r>
        <w:rPr>
          <w:rFonts w:ascii="Times New Roman" w:hAnsi="Times New Roman" w:cs="Times New Roman"/>
          <w:sz w:val="24"/>
          <w:szCs w:val="24"/>
        </w:rPr>
        <w:t>noteikt atsevišķu mērķi visām LULUCF darbībām, tādējādi no Saistību pārdales lēmuma aptvēruma izņemot lauksaimniecības sektoru;</w:t>
      </w:r>
    </w:p>
    <w:p w14:paraId="70F0F496" w14:textId="77777777" w:rsidR="0090319E" w:rsidRDefault="0090319E" w:rsidP="00236152">
      <w:pPr>
        <w:pStyle w:val="ListParagraph"/>
        <w:numPr>
          <w:ilvl w:val="0"/>
          <w:numId w:val="18"/>
        </w:numPr>
        <w:spacing w:after="100" w:line="240" w:lineRule="auto"/>
        <w:ind w:left="284" w:hanging="284"/>
        <w:contextualSpacing w:val="0"/>
        <w:jc w:val="both"/>
        <w:outlineLvl w:val="2"/>
        <w:rPr>
          <w:rFonts w:ascii="Times New Roman" w:hAnsi="Times New Roman" w:cs="Times New Roman"/>
          <w:sz w:val="24"/>
          <w:szCs w:val="24"/>
        </w:rPr>
      </w:pPr>
      <w:r>
        <w:rPr>
          <w:rFonts w:ascii="Times New Roman" w:hAnsi="Times New Roman" w:cs="Times New Roman"/>
          <w:sz w:val="24"/>
          <w:szCs w:val="24"/>
        </w:rPr>
        <w:t>LULUCF darbības un tajās radītās SEG emisijas un CO</w:t>
      </w:r>
      <w:r w:rsidRPr="003B5B01">
        <w:rPr>
          <w:rFonts w:ascii="Times New Roman" w:hAnsi="Times New Roman" w:cs="Times New Roman"/>
          <w:sz w:val="24"/>
          <w:szCs w:val="24"/>
          <w:vertAlign w:val="subscript"/>
        </w:rPr>
        <w:t>2</w:t>
      </w:r>
      <w:r>
        <w:rPr>
          <w:rFonts w:ascii="Times New Roman" w:hAnsi="Times New Roman" w:cs="Times New Roman"/>
          <w:sz w:val="24"/>
          <w:szCs w:val="24"/>
        </w:rPr>
        <w:t xml:space="preserve"> piesaisti iekļaut Saistību pārdales lēmuma aptvērumā, tādējādi paplašinot Saistību pārdales lēmuma aptvērumu.</w:t>
      </w:r>
    </w:p>
    <w:p w14:paraId="09D3A23A" w14:textId="77777777" w:rsidR="00D5547A" w:rsidRDefault="00067A14" w:rsidP="00236152">
      <w:pPr>
        <w:spacing w:after="10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VARAM savas kompetences un prioritāšu ietvaros arī ir izvērtējusi LULUCF anketā iekļautos elementus un piedāvātās iespējas un par tiem ir sagatavojusi savu viedokli,</w:t>
      </w:r>
      <w:r w:rsidRPr="00FA564F">
        <w:rPr>
          <w:rFonts w:ascii="Times New Roman" w:hAnsi="Times New Roman" w:cs="Times New Roman"/>
          <w:sz w:val="24"/>
          <w:szCs w:val="24"/>
        </w:rPr>
        <w:t xml:space="preserve"> ko līdz noteiktajam termiņam – 2015.gada 18.jūnijam, plāno iesniegt Eiropas Komisijai.</w:t>
      </w:r>
      <w:r>
        <w:rPr>
          <w:rFonts w:ascii="Times New Roman" w:hAnsi="Times New Roman" w:cs="Times New Roman"/>
          <w:sz w:val="24"/>
          <w:szCs w:val="24"/>
        </w:rPr>
        <w:t xml:space="preserve"> </w:t>
      </w:r>
    </w:p>
    <w:p w14:paraId="3CE0A203" w14:textId="22B5FD56" w:rsidR="0043238D" w:rsidRDefault="00067A14" w:rsidP="00236152">
      <w:pPr>
        <w:spacing w:after="10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Š</w:t>
      </w:r>
      <w:r w:rsidR="0090319E">
        <w:rPr>
          <w:rFonts w:ascii="Times New Roman" w:hAnsi="Times New Roman" w:cs="Times New Roman"/>
          <w:sz w:val="24"/>
          <w:szCs w:val="24"/>
        </w:rPr>
        <w:t xml:space="preserve">obrīd Zemkopības ministrija aktīvi strādā pie iepriekšminēto trīs </w:t>
      </w:r>
      <w:r w:rsidR="00D5547A">
        <w:rPr>
          <w:rFonts w:ascii="Times New Roman" w:hAnsi="Times New Roman" w:cs="Times New Roman"/>
          <w:sz w:val="24"/>
          <w:szCs w:val="24"/>
        </w:rPr>
        <w:t xml:space="preserve">iespēju </w:t>
      </w:r>
      <w:r w:rsidR="0090319E">
        <w:rPr>
          <w:rFonts w:ascii="Times New Roman" w:hAnsi="Times New Roman" w:cs="Times New Roman"/>
          <w:sz w:val="24"/>
          <w:szCs w:val="24"/>
        </w:rPr>
        <w:t xml:space="preserve">un pārējo LULUCF anketā iekļauto elementu izvērtēšanas, jo </w:t>
      </w:r>
      <w:r w:rsidR="00D5547A">
        <w:rPr>
          <w:rFonts w:ascii="Times New Roman" w:hAnsi="Times New Roman" w:cs="Times New Roman"/>
          <w:sz w:val="24"/>
          <w:szCs w:val="24"/>
        </w:rPr>
        <w:t xml:space="preserve">šie nosacījumi skar </w:t>
      </w:r>
      <w:r w:rsidR="0090319E">
        <w:rPr>
          <w:rFonts w:ascii="Times New Roman" w:hAnsi="Times New Roman" w:cs="Times New Roman"/>
          <w:sz w:val="24"/>
          <w:szCs w:val="24"/>
        </w:rPr>
        <w:t>Zemkopības ministrijas kompetencē esošās nozares</w:t>
      </w:r>
      <w:r w:rsidR="00D5547A">
        <w:rPr>
          <w:rFonts w:ascii="Times New Roman" w:hAnsi="Times New Roman" w:cs="Times New Roman"/>
          <w:sz w:val="24"/>
          <w:szCs w:val="24"/>
        </w:rPr>
        <w:t>.</w:t>
      </w:r>
      <w:proofErr w:type="gramStart"/>
      <w:r w:rsidR="0090319E">
        <w:rPr>
          <w:rFonts w:ascii="Times New Roman" w:hAnsi="Times New Roman" w:cs="Times New Roman"/>
          <w:sz w:val="24"/>
          <w:szCs w:val="24"/>
        </w:rPr>
        <w:t xml:space="preserve"> .</w:t>
      </w:r>
      <w:proofErr w:type="gramEnd"/>
      <w:r w:rsidR="0090319E">
        <w:rPr>
          <w:rFonts w:ascii="Times New Roman" w:hAnsi="Times New Roman" w:cs="Times New Roman"/>
          <w:sz w:val="24"/>
          <w:szCs w:val="24"/>
        </w:rPr>
        <w:t xml:space="preserve"> </w:t>
      </w:r>
    </w:p>
    <w:p w14:paraId="6EE59117" w14:textId="77777777" w:rsidR="00067A14" w:rsidRDefault="00067A14" w:rsidP="00236152">
      <w:pPr>
        <w:spacing w:after="100" w:line="240" w:lineRule="auto"/>
        <w:ind w:firstLine="567"/>
        <w:jc w:val="both"/>
        <w:outlineLvl w:val="2"/>
        <w:rPr>
          <w:rFonts w:ascii="Times New Roman" w:hAnsi="Times New Roman" w:cs="Times New Roman"/>
          <w:sz w:val="24"/>
          <w:szCs w:val="24"/>
        </w:rPr>
      </w:pPr>
    </w:p>
    <w:p w14:paraId="2681A110" w14:textId="77777777" w:rsidR="00067A14" w:rsidRDefault="00067A14" w:rsidP="00236152">
      <w:pPr>
        <w:pStyle w:val="ListParagraph"/>
        <w:numPr>
          <w:ilvl w:val="0"/>
          <w:numId w:val="4"/>
        </w:numPr>
        <w:spacing w:after="100" w:line="240" w:lineRule="auto"/>
        <w:contextualSpacing w:val="0"/>
        <w:jc w:val="both"/>
        <w:outlineLvl w:val="2"/>
        <w:rPr>
          <w:rFonts w:ascii="Times New Roman" w:hAnsi="Times New Roman" w:cs="Times New Roman"/>
          <w:b/>
          <w:sz w:val="24"/>
          <w:szCs w:val="24"/>
        </w:rPr>
      </w:pPr>
      <w:r w:rsidRPr="00E94CF2">
        <w:rPr>
          <w:rFonts w:ascii="Times New Roman" w:hAnsi="Times New Roman" w:cs="Times New Roman"/>
          <w:b/>
          <w:sz w:val="24"/>
          <w:szCs w:val="24"/>
        </w:rPr>
        <w:t>Turpmāk plānotās rīcības KEPS2030 ietvaros</w:t>
      </w:r>
    </w:p>
    <w:p w14:paraId="261E69FB" w14:textId="77777777" w:rsidR="00067A14" w:rsidRPr="00E235A8" w:rsidRDefault="00067A14" w:rsidP="00236152">
      <w:pPr>
        <w:pStyle w:val="ListParagraph"/>
        <w:numPr>
          <w:ilvl w:val="1"/>
          <w:numId w:val="4"/>
        </w:numPr>
        <w:spacing w:after="100" w:line="240" w:lineRule="auto"/>
        <w:ind w:left="738" w:hanging="454"/>
        <w:contextualSpacing w:val="0"/>
        <w:jc w:val="both"/>
        <w:outlineLvl w:val="2"/>
        <w:rPr>
          <w:rFonts w:ascii="Times New Roman" w:hAnsi="Times New Roman" w:cs="Times New Roman"/>
          <w:b/>
          <w:sz w:val="24"/>
          <w:szCs w:val="24"/>
          <w:u w:val="single"/>
        </w:rPr>
      </w:pPr>
      <w:r w:rsidRPr="00E235A8">
        <w:rPr>
          <w:rFonts w:ascii="Times New Roman" w:hAnsi="Times New Roman" w:cs="Times New Roman"/>
          <w:b/>
          <w:sz w:val="24"/>
          <w:szCs w:val="24"/>
          <w:u w:val="single"/>
        </w:rPr>
        <w:t>Latvijas tautsaimniecības prognožu un to radīto SEG emisiju sagatavošana</w:t>
      </w:r>
    </w:p>
    <w:p w14:paraId="77D47C1A" w14:textId="1275B41C" w:rsidR="00067A14" w:rsidRPr="00E94CF2" w:rsidRDefault="00067A14" w:rsidP="00236152">
      <w:pPr>
        <w:spacing w:after="100" w:line="240" w:lineRule="auto"/>
        <w:ind w:firstLine="567"/>
        <w:jc w:val="both"/>
        <w:outlineLvl w:val="2"/>
        <w:rPr>
          <w:rFonts w:ascii="Times New Roman" w:hAnsi="Times New Roman" w:cs="Times New Roman"/>
          <w:sz w:val="24"/>
          <w:szCs w:val="24"/>
        </w:rPr>
      </w:pPr>
      <w:r w:rsidRPr="00E94CF2">
        <w:rPr>
          <w:rFonts w:ascii="Times New Roman" w:hAnsi="Times New Roman" w:cs="Times New Roman"/>
          <w:sz w:val="24"/>
          <w:szCs w:val="24"/>
        </w:rPr>
        <w:t>VARAM koordinē Latvijas SEG emisiju un CO</w:t>
      </w:r>
      <w:r w:rsidRPr="00E94CF2">
        <w:rPr>
          <w:rFonts w:ascii="Times New Roman" w:hAnsi="Times New Roman" w:cs="Times New Roman"/>
          <w:sz w:val="24"/>
          <w:szCs w:val="24"/>
          <w:vertAlign w:val="subscript"/>
        </w:rPr>
        <w:t>2</w:t>
      </w:r>
      <w:r w:rsidRPr="00E94CF2">
        <w:rPr>
          <w:rFonts w:ascii="Times New Roman" w:hAnsi="Times New Roman" w:cs="Times New Roman"/>
          <w:sz w:val="24"/>
          <w:szCs w:val="24"/>
        </w:rPr>
        <w:t xml:space="preserve"> piesaistes prognožu (turpmāk – prognozes) laikposmam līdz 2035.gadam saskaņā ar Regulu Nr.525/2013</w:t>
      </w:r>
      <w:r w:rsidRPr="00E94CF2">
        <w:rPr>
          <w:rStyle w:val="FootnoteReference"/>
          <w:rFonts w:ascii="Times New Roman" w:hAnsi="Times New Roman" w:cs="Times New Roman"/>
          <w:sz w:val="24"/>
          <w:szCs w:val="24"/>
        </w:rPr>
        <w:footnoteReference w:id="5"/>
      </w:r>
      <w:r w:rsidRPr="00E94CF2">
        <w:rPr>
          <w:rFonts w:ascii="Times New Roman" w:hAnsi="Times New Roman" w:cs="Times New Roman"/>
          <w:sz w:val="24"/>
          <w:szCs w:val="24"/>
        </w:rPr>
        <w:t>. Šīs prognozes ir jāiesniedz Eiropas Komisijā tuvākajā laikā un ir paredzams, ka Eiropas Komisija tās varētu izmantot 2015.gada References scenārija izstrādē, kas ir</w:t>
      </w:r>
      <w:r>
        <w:rPr>
          <w:rFonts w:ascii="Times New Roman" w:hAnsi="Times New Roman" w:cs="Times New Roman"/>
          <w:sz w:val="24"/>
          <w:szCs w:val="24"/>
        </w:rPr>
        <w:t xml:space="preserve"> nepieciešams ES dalībvalstu </w:t>
      </w:r>
      <w:r w:rsidRPr="00E94CF2">
        <w:rPr>
          <w:rFonts w:ascii="Times New Roman" w:hAnsi="Times New Roman" w:cs="Times New Roman"/>
          <w:sz w:val="24"/>
          <w:szCs w:val="24"/>
        </w:rPr>
        <w:t>profila izveidei. Ir arī paredzams, ka Eiropas Komisija dalībvalstu iesniegtās prognozes varētu izmantot dalībvalstu profil</w:t>
      </w:r>
      <w:r>
        <w:rPr>
          <w:rFonts w:ascii="Times New Roman" w:hAnsi="Times New Roman" w:cs="Times New Roman"/>
          <w:sz w:val="24"/>
          <w:szCs w:val="24"/>
        </w:rPr>
        <w:t>u</w:t>
      </w:r>
      <w:r w:rsidRPr="00E94CF2">
        <w:rPr>
          <w:rFonts w:ascii="Times New Roman" w:hAnsi="Times New Roman" w:cs="Times New Roman"/>
          <w:sz w:val="24"/>
          <w:szCs w:val="24"/>
        </w:rPr>
        <w:t xml:space="preserve"> izveidei attiecībā uz saistību pārdali un elastības mehānismu izmantošanas nepieciešamību.</w:t>
      </w:r>
    </w:p>
    <w:p w14:paraId="2DA9DAF2" w14:textId="3982EA04" w:rsidR="00067A14" w:rsidRPr="00E94CF2" w:rsidRDefault="00067A14" w:rsidP="00236152">
      <w:pPr>
        <w:spacing w:after="100" w:line="240" w:lineRule="auto"/>
        <w:ind w:firstLine="540"/>
        <w:jc w:val="both"/>
        <w:outlineLvl w:val="2"/>
        <w:rPr>
          <w:rFonts w:ascii="Times New Roman" w:hAnsi="Times New Roman" w:cs="Times New Roman"/>
          <w:sz w:val="24"/>
          <w:szCs w:val="24"/>
        </w:rPr>
      </w:pPr>
      <w:r w:rsidRPr="00E94CF2">
        <w:rPr>
          <w:rFonts w:ascii="Times New Roman" w:hAnsi="Times New Roman" w:cs="Times New Roman"/>
          <w:sz w:val="24"/>
          <w:szCs w:val="24"/>
        </w:rPr>
        <w:t xml:space="preserve">Šobrīd </w:t>
      </w:r>
      <w:r>
        <w:rPr>
          <w:rFonts w:ascii="Times New Roman" w:hAnsi="Times New Roman" w:cs="Times New Roman"/>
          <w:sz w:val="24"/>
          <w:szCs w:val="24"/>
        </w:rPr>
        <w:t>provizoriskie</w:t>
      </w:r>
      <w:r w:rsidRPr="00E94CF2">
        <w:rPr>
          <w:rFonts w:ascii="Times New Roman" w:hAnsi="Times New Roman" w:cs="Times New Roman"/>
          <w:sz w:val="24"/>
          <w:szCs w:val="24"/>
        </w:rPr>
        <w:t xml:space="preserve"> progno</w:t>
      </w:r>
      <w:r>
        <w:rPr>
          <w:rFonts w:ascii="Times New Roman" w:hAnsi="Times New Roman" w:cs="Times New Roman"/>
          <w:sz w:val="24"/>
          <w:szCs w:val="24"/>
        </w:rPr>
        <w:t xml:space="preserve">žu dati </w:t>
      </w:r>
      <w:r w:rsidRPr="00E94CF2">
        <w:rPr>
          <w:rFonts w:ascii="Times New Roman" w:hAnsi="Times New Roman" w:cs="Times New Roman"/>
          <w:sz w:val="24"/>
          <w:szCs w:val="24"/>
        </w:rPr>
        <w:t>liecina</w:t>
      </w:r>
      <w:r w:rsidR="00D903B7">
        <w:rPr>
          <w:rFonts w:ascii="Times New Roman" w:hAnsi="Times New Roman" w:cs="Times New Roman"/>
          <w:sz w:val="24"/>
          <w:szCs w:val="24"/>
        </w:rPr>
        <w:t xml:space="preserve"> (darbs pie prognožu izstrādes vēl turpinās)</w:t>
      </w:r>
      <w:r w:rsidRPr="00E94CF2">
        <w:rPr>
          <w:rFonts w:ascii="Times New Roman" w:hAnsi="Times New Roman" w:cs="Times New Roman"/>
          <w:sz w:val="24"/>
          <w:szCs w:val="24"/>
        </w:rPr>
        <w:t>, ka ir paredzams un tiek prognozēts būtisks gan ETS emisiju, gan ne-ETS darbību SEG emisiju pieaugums laika period</w:t>
      </w:r>
      <w:r w:rsidR="00D903B7">
        <w:rPr>
          <w:rFonts w:ascii="Times New Roman" w:hAnsi="Times New Roman" w:cs="Times New Roman"/>
          <w:sz w:val="24"/>
          <w:szCs w:val="24"/>
        </w:rPr>
        <w:t>ā</w:t>
      </w:r>
      <w:r w:rsidRPr="00E94CF2">
        <w:rPr>
          <w:rFonts w:ascii="Times New Roman" w:hAnsi="Times New Roman" w:cs="Times New Roman"/>
          <w:sz w:val="24"/>
          <w:szCs w:val="24"/>
        </w:rPr>
        <w:t xml:space="preserve"> līdz 2030.gadam</w:t>
      </w:r>
      <w:r>
        <w:rPr>
          <w:rFonts w:ascii="Times New Roman" w:hAnsi="Times New Roman" w:cs="Times New Roman"/>
          <w:sz w:val="24"/>
          <w:szCs w:val="24"/>
        </w:rPr>
        <w:t xml:space="preserve">. Tomēr </w:t>
      </w:r>
      <w:r w:rsidR="0025091F" w:rsidRPr="00E94CF2">
        <w:rPr>
          <w:rFonts w:ascii="Times New Roman" w:hAnsi="Times New Roman" w:cs="Times New Roman"/>
          <w:sz w:val="24"/>
          <w:szCs w:val="24"/>
        </w:rPr>
        <w:t xml:space="preserve">laikposmā līdz </w:t>
      </w:r>
      <w:r w:rsidR="0025091F">
        <w:rPr>
          <w:rFonts w:ascii="Times New Roman" w:hAnsi="Times New Roman" w:cs="Times New Roman"/>
          <w:sz w:val="24"/>
          <w:szCs w:val="24"/>
        </w:rPr>
        <w:t>2020.gadam</w:t>
      </w:r>
      <w:r w:rsidR="0025091F" w:rsidRPr="00E94CF2">
        <w:rPr>
          <w:rFonts w:ascii="Times New Roman" w:hAnsi="Times New Roman" w:cs="Times New Roman"/>
          <w:sz w:val="24"/>
          <w:szCs w:val="24"/>
        </w:rPr>
        <w:t xml:space="preserve"> </w:t>
      </w:r>
      <w:r w:rsidRPr="00E94CF2">
        <w:rPr>
          <w:rFonts w:ascii="Times New Roman" w:hAnsi="Times New Roman" w:cs="Times New Roman"/>
          <w:sz w:val="24"/>
          <w:szCs w:val="24"/>
        </w:rPr>
        <w:t>tiek prognozēts nepārsniegt un iekļauties noteiktajā un atļautajā ne-ETS darbību SEG emisiju pieaugumā</w:t>
      </w:r>
      <w:r>
        <w:rPr>
          <w:rFonts w:ascii="Times New Roman" w:hAnsi="Times New Roman" w:cs="Times New Roman"/>
          <w:sz w:val="24"/>
          <w:szCs w:val="24"/>
        </w:rPr>
        <w:t>.</w:t>
      </w:r>
    </w:p>
    <w:p w14:paraId="68414629" w14:textId="73541B11" w:rsidR="00067A14" w:rsidRPr="00E94CF2" w:rsidRDefault="00067A14" w:rsidP="00236152">
      <w:pPr>
        <w:spacing w:after="100" w:line="240" w:lineRule="auto"/>
        <w:ind w:firstLine="567"/>
        <w:jc w:val="both"/>
        <w:rPr>
          <w:rFonts w:ascii="Times New Roman" w:eastAsia="Times New Roman" w:hAnsi="Times New Roman" w:cs="Times New Roman"/>
          <w:sz w:val="24"/>
          <w:szCs w:val="24"/>
        </w:rPr>
      </w:pPr>
      <w:r w:rsidRPr="00E94CF2">
        <w:rPr>
          <w:rFonts w:ascii="Times New Roman" w:hAnsi="Times New Roman" w:cs="Times New Roman"/>
          <w:sz w:val="24"/>
          <w:szCs w:val="24"/>
        </w:rPr>
        <w:t>Eiropadomes secinājum</w:t>
      </w:r>
      <w:r>
        <w:rPr>
          <w:rFonts w:ascii="Times New Roman" w:hAnsi="Times New Roman" w:cs="Times New Roman"/>
          <w:sz w:val="24"/>
          <w:szCs w:val="24"/>
        </w:rPr>
        <w:t xml:space="preserve">os ir noteikts, ka </w:t>
      </w:r>
      <w:r w:rsidRPr="00E94CF2">
        <w:rPr>
          <w:rFonts w:ascii="Times New Roman" w:hAnsi="Times New Roman" w:cs="Times New Roman"/>
          <w:sz w:val="24"/>
          <w:szCs w:val="24"/>
        </w:rPr>
        <w:t>nevienai ES dalībvalstij, arī Latvijai, netiks pieļauts ne-ETS darbību SEG emisiju pieaugums</w:t>
      </w:r>
      <w:r w:rsidR="0025091F">
        <w:rPr>
          <w:rFonts w:ascii="Times New Roman" w:hAnsi="Times New Roman" w:cs="Times New Roman"/>
          <w:sz w:val="24"/>
          <w:szCs w:val="24"/>
        </w:rPr>
        <w:t xml:space="preserve"> </w:t>
      </w:r>
      <w:r w:rsidRPr="00E94CF2">
        <w:rPr>
          <w:rFonts w:ascii="Times New Roman" w:hAnsi="Times New Roman" w:cs="Times New Roman"/>
          <w:sz w:val="24"/>
          <w:szCs w:val="24"/>
        </w:rPr>
        <w:t xml:space="preserve">uz 2030.gadu salīdzinot ar 2005.gada SEG emisiju apjomu. </w:t>
      </w:r>
      <w:r w:rsidR="0025091F">
        <w:rPr>
          <w:rFonts w:ascii="Times New Roman" w:hAnsi="Times New Roman" w:cs="Times New Roman"/>
          <w:sz w:val="24"/>
          <w:szCs w:val="24"/>
        </w:rPr>
        <w:t>Tas</w:t>
      </w:r>
      <w:r w:rsidRPr="00E94CF2">
        <w:rPr>
          <w:rFonts w:ascii="Times New Roman" w:hAnsi="Times New Roman" w:cs="Times New Roman"/>
          <w:sz w:val="24"/>
          <w:szCs w:val="24"/>
        </w:rPr>
        <w:t xml:space="preserve"> nozīmē, ka Latvijai būs nepieciešams veikt ne-ETS darbību SEG emisiju samazināšanas pasākumus, lai nodrošinātu 2030.gada ne-ETS darbību SEG emisiju samazināšanas mērķa izpildi.</w:t>
      </w:r>
      <w:r w:rsidR="0025091F">
        <w:rPr>
          <w:rFonts w:ascii="Times New Roman" w:hAnsi="Times New Roman" w:cs="Times New Roman"/>
          <w:sz w:val="24"/>
          <w:szCs w:val="24"/>
        </w:rPr>
        <w:t xml:space="preserve"> Konkrēts mērķis nevienai dalībvalstij</w:t>
      </w:r>
      <w:proofErr w:type="gramStart"/>
      <w:r w:rsidR="0025091F">
        <w:rPr>
          <w:rFonts w:ascii="Times New Roman" w:hAnsi="Times New Roman" w:cs="Times New Roman"/>
          <w:sz w:val="24"/>
          <w:szCs w:val="24"/>
        </w:rPr>
        <w:t>, tai</w:t>
      </w:r>
      <w:proofErr w:type="gramEnd"/>
      <w:r w:rsidR="0025091F">
        <w:rPr>
          <w:rFonts w:ascii="Times New Roman" w:hAnsi="Times New Roman" w:cs="Times New Roman"/>
          <w:sz w:val="24"/>
          <w:szCs w:val="24"/>
        </w:rPr>
        <w:t xml:space="preserve"> skaitā Latvijai vēl nav noteikts. </w:t>
      </w:r>
    </w:p>
    <w:p w14:paraId="2B2D8157" w14:textId="5223E495" w:rsidR="00067A14" w:rsidRPr="00E94CF2" w:rsidRDefault="00067A14" w:rsidP="00236152">
      <w:pPr>
        <w:pStyle w:val="Bullet0"/>
        <w:numPr>
          <w:ilvl w:val="0"/>
          <w:numId w:val="0"/>
        </w:numPr>
        <w:spacing w:before="0" w:after="100"/>
        <w:ind w:firstLine="567"/>
        <w:rPr>
          <w:szCs w:val="24"/>
        </w:rPr>
      </w:pPr>
      <w:r w:rsidRPr="00E94CF2">
        <w:rPr>
          <w:szCs w:val="24"/>
        </w:rPr>
        <w:lastRenderedPageBreak/>
        <w:t>Sagatavotās prognozes tiks saskaņotas ar nozaru ministrijām, lai arī nozaru ministrijām darītu zināmu prognozētās attīstības un darbību ietekmi uz Latvijas SEG emisiju samazināšanas mērķu izpildi. Ņemot vērā iepriekšminēto informāciju par prognozēto ne-ETS darbību SEG emisiju apjoma pieaugumu, kā arī par iespējamos ne-ETS darbību SEG emisiju mērķi 2030.gadam, šobrīd īpaši svarīgi visām iesaistītajām ministrijām sākt ņemt vērā arī SEG emisiju samazināšanas nepieciešamību, veicot savas nozares vai sektora attīstības plānošanu.</w:t>
      </w:r>
    </w:p>
    <w:p w14:paraId="6AB34358" w14:textId="77777777" w:rsidR="00961689" w:rsidRPr="00236152" w:rsidRDefault="00961689" w:rsidP="00236152">
      <w:pPr>
        <w:spacing w:after="100" w:line="240" w:lineRule="auto"/>
        <w:ind w:firstLine="567"/>
        <w:jc w:val="both"/>
        <w:outlineLvl w:val="2"/>
        <w:rPr>
          <w:rFonts w:ascii="Times New Roman" w:hAnsi="Times New Roman" w:cs="Times New Roman"/>
          <w:sz w:val="24"/>
          <w:szCs w:val="24"/>
        </w:rPr>
      </w:pPr>
    </w:p>
    <w:p w14:paraId="4AF7A47C" w14:textId="7C9F41AD" w:rsidR="003B5B01" w:rsidRDefault="00880A60" w:rsidP="00236152">
      <w:pPr>
        <w:pStyle w:val="ListParagraph"/>
        <w:numPr>
          <w:ilvl w:val="0"/>
          <w:numId w:val="4"/>
        </w:numPr>
        <w:spacing w:after="100" w:line="240" w:lineRule="auto"/>
        <w:contextualSpacing w:val="0"/>
        <w:jc w:val="both"/>
        <w:outlineLvl w:val="2"/>
        <w:rPr>
          <w:rFonts w:ascii="Times New Roman" w:hAnsi="Times New Roman" w:cs="Times New Roman"/>
          <w:b/>
          <w:sz w:val="24"/>
          <w:szCs w:val="24"/>
        </w:rPr>
      </w:pPr>
      <w:r w:rsidRPr="00880A60">
        <w:rPr>
          <w:rFonts w:ascii="Times New Roman" w:hAnsi="Times New Roman" w:cs="Times New Roman"/>
          <w:b/>
          <w:sz w:val="24"/>
          <w:szCs w:val="24"/>
        </w:rPr>
        <w:t xml:space="preserve">Secinājumi </w:t>
      </w:r>
    </w:p>
    <w:p w14:paraId="196E109A" w14:textId="40140B68" w:rsidR="005008AD" w:rsidRDefault="004E3BD8" w:rsidP="00236152">
      <w:pPr>
        <w:pStyle w:val="Bullet0"/>
        <w:numPr>
          <w:ilvl w:val="0"/>
          <w:numId w:val="0"/>
        </w:numPr>
        <w:spacing w:before="0" w:after="100"/>
        <w:ind w:firstLine="567"/>
        <w:rPr>
          <w:szCs w:val="24"/>
        </w:rPr>
      </w:pPr>
      <w:r>
        <w:rPr>
          <w:szCs w:val="24"/>
        </w:rPr>
        <w:t>Ņ</w:t>
      </w:r>
      <w:r w:rsidR="008E5D1D" w:rsidRPr="00E94CF2">
        <w:rPr>
          <w:szCs w:val="24"/>
        </w:rPr>
        <w:t xml:space="preserve">emot vērā visu iepriekšminēto </w:t>
      </w:r>
      <w:r w:rsidR="005008AD" w:rsidRPr="00E94CF2">
        <w:rPr>
          <w:szCs w:val="24"/>
        </w:rPr>
        <w:t xml:space="preserve">VARAM </w:t>
      </w:r>
      <w:r>
        <w:rPr>
          <w:szCs w:val="24"/>
        </w:rPr>
        <w:t>informē</w:t>
      </w:r>
      <w:r w:rsidR="003E594A">
        <w:rPr>
          <w:szCs w:val="24"/>
        </w:rPr>
        <w:t>,</w:t>
      </w:r>
      <w:r w:rsidR="008E5D1D" w:rsidRPr="00E94CF2">
        <w:rPr>
          <w:szCs w:val="24"/>
        </w:rPr>
        <w:t xml:space="preserve"> ka </w:t>
      </w:r>
      <w:r>
        <w:rPr>
          <w:szCs w:val="24"/>
        </w:rPr>
        <w:t>pilda</w:t>
      </w:r>
      <w:r w:rsidR="005008AD" w:rsidRPr="00E94CF2">
        <w:rPr>
          <w:szCs w:val="24"/>
        </w:rPr>
        <w:t xml:space="preserve"> Ministru kabineta 2014.gada 14.oktobra protokola Nr.55 54.§ „Latvijas Republikas nacionālā p</w:t>
      </w:r>
      <w:r w:rsidR="00B0208E" w:rsidRPr="00E94CF2">
        <w:rPr>
          <w:szCs w:val="24"/>
        </w:rPr>
        <w:t>ozīcija Nr.3 „</w:t>
      </w:r>
      <w:r w:rsidR="005008AD" w:rsidRPr="00E94CF2">
        <w:rPr>
          <w:szCs w:val="24"/>
        </w:rPr>
        <w:t>Par Klimata un enerģētikas politikas satvaru laikposmam no 202</w:t>
      </w:r>
      <w:r w:rsidR="00B0208E" w:rsidRPr="00E94CF2">
        <w:rPr>
          <w:szCs w:val="24"/>
        </w:rPr>
        <w:t xml:space="preserve">0.gada līdz 2030.gadam”” </w:t>
      </w:r>
      <w:r w:rsidR="008E5D1D" w:rsidRPr="00E94CF2">
        <w:rPr>
          <w:szCs w:val="24"/>
        </w:rPr>
        <w:t>3.punktā noteikto pienākumu turpināt aktīvi sadarboties ar Eiropas Komisiju, lai nodrošinātu, ka Eiropas Savienības normatīvo aktu projektu sagatavošanas procesā panāktu Latvijai atbilstošus un labvēlīgus nosacījumus, tos aktīvi paužot Eiropas Komisijas ekspertiem.</w:t>
      </w:r>
      <w:r>
        <w:rPr>
          <w:szCs w:val="24"/>
        </w:rPr>
        <w:t xml:space="preserve"> </w:t>
      </w:r>
    </w:p>
    <w:p w14:paraId="340996B9" w14:textId="77777777" w:rsidR="00D903B7" w:rsidRDefault="004925C7" w:rsidP="00236152">
      <w:pPr>
        <w:pStyle w:val="Bullet0"/>
        <w:numPr>
          <w:ilvl w:val="0"/>
          <w:numId w:val="0"/>
        </w:numPr>
        <w:spacing w:before="0" w:after="100"/>
        <w:ind w:firstLine="567"/>
        <w:rPr>
          <w:szCs w:val="24"/>
        </w:rPr>
      </w:pPr>
      <w:r>
        <w:rPr>
          <w:szCs w:val="24"/>
        </w:rPr>
        <w:t xml:space="preserve">Līdz šim paustie viedokļi par </w:t>
      </w:r>
      <w:r w:rsidR="007A3656">
        <w:rPr>
          <w:szCs w:val="24"/>
        </w:rPr>
        <w:t>sat</w:t>
      </w:r>
      <w:r>
        <w:rPr>
          <w:szCs w:val="24"/>
        </w:rPr>
        <w:t>vara elementiem un iesniegtie priekšlikumi ir balstī</w:t>
      </w:r>
      <w:r w:rsidR="00067A14">
        <w:rPr>
          <w:szCs w:val="24"/>
        </w:rPr>
        <w:t>ti</w:t>
      </w:r>
      <w:r>
        <w:rPr>
          <w:szCs w:val="24"/>
        </w:rPr>
        <w:t xml:space="preserve"> uz </w:t>
      </w:r>
      <w:r w:rsidRPr="00E94CF2">
        <w:rPr>
          <w:szCs w:val="24"/>
        </w:rPr>
        <w:t>Latvijas Repu</w:t>
      </w:r>
      <w:r>
        <w:rPr>
          <w:szCs w:val="24"/>
        </w:rPr>
        <w:t>blikas nacionālo pozīciju</w:t>
      </w:r>
      <w:r w:rsidRPr="00E94CF2">
        <w:rPr>
          <w:szCs w:val="24"/>
        </w:rPr>
        <w:t xml:space="preserve"> Nr.3 „Par Klimata un enerģētikas politikas satvaru laikposmam no 2020.gada līdz 2030.gadam”</w:t>
      </w:r>
      <w:r>
        <w:rPr>
          <w:szCs w:val="24"/>
        </w:rPr>
        <w:t>.</w:t>
      </w:r>
      <w:r w:rsidR="002B591E">
        <w:rPr>
          <w:szCs w:val="24"/>
        </w:rPr>
        <w:t xml:space="preserve"> </w:t>
      </w:r>
    </w:p>
    <w:p w14:paraId="283AF724" w14:textId="3D97CA37" w:rsidR="00EB2240" w:rsidRDefault="006217DC" w:rsidP="00236152">
      <w:pPr>
        <w:pStyle w:val="Bullet0"/>
        <w:numPr>
          <w:ilvl w:val="0"/>
          <w:numId w:val="0"/>
        </w:numPr>
        <w:spacing w:before="0" w:after="100"/>
        <w:ind w:firstLine="567"/>
        <w:rPr>
          <w:szCs w:val="24"/>
        </w:rPr>
      </w:pPr>
      <w:r>
        <w:rPr>
          <w:szCs w:val="24"/>
        </w:rPr>
        <w:t xml:space="preserve">Tomēr nacionālā pozīcija ar Latvijas oficiālo viedokli par KEPS2030 </w:t>
      </w:r>
      <w:r w:rsidR="00451CFF">
        <w:rPr>
          <w:szCs w:val="24"/>
        </w:rPr>
        <w:t>iekļautajiem mērķiem būs jāatjaun</w:t>
      </w:r>
      <w:r w:rsidR="00D903B7">
        <w:rPr>
          <w:szCs w:val="24"/>
        </w:rPr>
        <w:t>o</w:t>
      </w:r>
      <w:r w:rsidR="00CB5E28">
        <w:rPr>
          <w:szCs w:val="24"/>
        </w:rPr>
        <w:t xml:space="preserve">, kad tiks pabeigts darbs pie tautsaimniecības nozaru un to radīto SEG emisiju </w:t>
      </w:r>
      <w:r w:rsidR="002851BE">
        <w:rPr>
          <w:szCs w:val="24"/>
        </w:rPr>
        <w:t xml:space="preserve">prognožu izstrādes, kur cita starpā tiks </w:t>
      </w:r>
      <w:r w:rsidR="00D903B7">
        <w:rPr>
          <w:szCs w:val="24"/>
        </w:rPr>
        <w:t>iekļauti arī</w:t>
      </w:r>
      <w:r w:rsidR="002851BE">
        <w:rPr>
          <w:szCs w:val="24"/>
        </w:rPr>
        <w:t xml:space="preserve"> iespējamie </w:t>
      </w:r>
      <w:r w:rsidR="00FC1C4F">
        <w:rPr>
          <w:szCs w:val="24"/>
        </w:rPr>
        <w:t xml:space="preserve">veicamie pasākumi </w:t>
      </w:r>
      <w:r w:rsidR="00D903B7">
        <w:rPr>
          <w:szCs w:val="24"/>
        </w:rPr>
        <w:t>SEG mesiju samazināšanai</w:t>
      </w:r>
      <w:r w:rsidR="00FC1C4F">
        <w:rPr>
          <w:szCs w:val="24"/>
        </w:rPr>
        <w:t xml:space="preserve">. Tiek plānots, ka </w:t>
      </w:r>
      <w:r w:rsidR="00F32C23">
        <w:rPr>
          <w:szCs w:val="24"/>
        </w:rPr>
        <w:t xml:space="preserve">prognožu un pasākumu izstrāde tiks pabeigta tuvāko nedēļu </w:t>
      </w:r>
      <w:r w:rsidR="005C4B99">
        <w:rPr>
          <w:szCs w:val="24"/>
        </w:rPr>
        <w:t>laikā.</w:t>
      </w:r>
      <w:r w:rsidR="00D903B7">
        <w:rPr>
          <w:szCs w:val="24"/>
        </w:rPr>
        <w:t xml:space="preserve"> Tāpat būs nepieciešams formulēt Latvijas nostāju par tādiem svarīgiem KEPS2030 elementiem kā Modernizācijas fonda, Inovāciju fonda un citu instrumentu izmantošanai. </w:t>
      </w:r>
      <w:r w:rsidR="005C4B99">
        <w:rPr>
          <w:szCs w:val="24"/>
        </w:rPr>
        <w:t xml:space="preserve">Pēc tam būs īpaši svarīgi, </w:t>
      </w:r>
      <w:r w:rsidR="00D27911">
        <w:rPr>
          <w:szCs w:val="24"/>
        </w:rPr>
        <w:t xml:space="preserve">sadarbojoties ar visām ministrijām, </w:t>
      </w:r>
      <w:r w:rsidR="00EB2240">
        <w:rPr>
          <w:szCs w:val="24"/>
        </w:rPr>
        <w:t xml:space="preserve">veidot pamatotus SEG emisiju samazināšanas scenārijus un rēķināt reālo ietekmi uz tautsaimniecību. </w:t>
      </w:r>
    </w:p>
    <w:p w14:paraId="6E5ADBC1" w14:textId="1FBF0FEE" w:rsidR="00D903B7" w:rsidRPr="00D27911" w:rsidRDefault="00D903B7" w:rsidP="00236152">
      <w:pPr>
        <w:pStyle w:val="Bullet0"/>
        <w:numPr>
          <w:ilvl w:val="0"/>
          <w:numId w:val="0"/>
        </w:numPr>
        <w:spacing w:before="0" w:after="100"/>
        <w:ind w:firstLine="567"/>
        <w:rPr>
          <w:szCs w:val="24"/>
        </w:rPr>
      </w:pPr>
      <w:r>
        <w:rPr>
          <w:szCs w:val="24"/>
        </w:rPr>
        <w:t xml:space="preserve">Tāpat svarīgi, lai nozaru ministrijas un citas institūcijas aktīvi iesaistās Eiropas Komisijas organizēto publisko konsultāciju procesā par KEPS2030 elementiem, sniedzot atbildes uz uzdotajiem jautājumiem. </w:t>
      </w:r>
    </w:p>
    <w:p w14:paraId="7927F39F" w14:textId="77777777" w:rsidR="008F3A40" w:rsidRPr="00E94CF2" w:rsidRDefault="008F3A40" w:rsidP="00E02B1A">
      <w:pPr>
        <w:spacing w:after="120" w:line="240" w:lineRule="auto"/>
        <w:jc w:val="both"/>
        <w:outlineLvl w:val="2"/>
        <w:rPr>
          <w:rFonts w:ascii="Times New Roman" w:hAnsi="Times New Roman" w:cs="Times New Roman"/>
          <w:sz w:val="24"/>
          <w:szCs w:val="24"/>
        </w:rPr>
      </w:pPr>
    </w:p>
    <w:p w14:paraId="0CBA08E9" w14:textId="77777777" w:rsidR="008F3A40" w:rsidRPr="00E94CF2" w:rsidRDefault="008F3A40" w:rsidP="006A783D">
      <w:pPr>
        <w:tabs>
          <w:tab w:val="right" w:pos="9072"/>
        </w:tabs>
        <w:spacing w:after="0" w:line="240" w:lineRule="auto"/>
        <w:rPr>
          <w:rFonts w:ascii="Times New Roman" w:hAnsi="Times New Roman" w:cs="Times New Roman"/>
          <w:sz w:val="24"/>
          <w:szCs w:val="24"/>
        </w:rPr>
      </w:pPr>
      <w:r w:rsidRPr="00E94CF2">
        <w:rPr>
          <w:rFonts w:ascii="Times New Roman" w:hAnsi="Times New Roman" w:cs="Times New Roman"/>
          <w:sz w:val="24"/>
          <w:szCs w:val="24"/>
        </w:rPr>
        <w:t>Vides aizsardzības un reģionālās attīstības ministrs</w:t>
      </w:r>
      <w:r w:rsidRPr="00E94CF2">
        <w:rPr>
          <w:rFonts w:ascii="Times New Roman" w:hAnsi="Times New Roman" w:cs="Times New Roman"/>
          <w:sz w:val="24"/>
          <w:szCs w:val="24"/>
        </w:rPr>
        <w:tab/>
        <w:t>K.Gerhards</w:t>
      </w:r>
    </w:p>
    <w:p w14:paraId="57F486B8" w14:textId="39C21F04" w:rsidR="006A783D" w:rsidRDefault="006A783D" w:rsidP="006A783D">
      <w:pPr>
        <w:spacing w:after="0" w:line="240" w:lineRule="auto"/>
        <w:rPr>
          <w:rFonts w:ascii="Times New Roman" w:hAnsi="Times New Roman" w:cs="Times New Roman"/>
          <w:sz w:val="24"/>
          <w:szCs w:val="24"/>
        </w:rPr>
      </w:pPr>
    </w:p>
    <w:p w14:paraId="45D3463D" w14:textId="77777777" w:rsidR="00C41BF9" w:rsidRPr="00E94CF2" w:rsidRDefault="00C41BF9" w:rsidP="006A783D">
      <w:pPr>
        <w:spacing w:after="0" w:line="240" w:lineRule="auto"/>
        <w:rPr>
          <w:rFonts w:ascii="Times New Roman" w:hAnsi="Times New Roman" w:cs="Times New Roman"/>
          <w:sz w:val="24"/>
          <w:szCs w:val="24"/>
        </w:rPr>
      </w:pPr>
    </w:p>
    <w:p w14:paraId="5AE123E6" w14:textId="77777777" w:rsidR="008F3A40" w:rsidRPr="00E94CF2" w:rsidRDefault="008F3A40" w:rsidP="006A783D">
      <w:pPr>
        <w:spacing w:after="0" w:line="240" w:lineRule="auto"/>
        <w:rPr>
          <w:rFonts w:ascii="Times New Roman" w:hAnsi="Times New Roman" w:cs="Times New Roman"/>
          <w:sz w:val="24"/>
          <w:szCs w:val="24"/>
        </w:rPr>
      </w:pPr>
      <w:r w:rsidRPr="00E94CF2">
        <w:rPr>
          <w:rFonts w:ascii="Times New Roman" w:hAnsi="Times New Roman" w:cs="Times New Roman"/>
          <w:sz w:val="24"/>
          <w:szCs w:val="24"/>
        </w:rPr>
        <w:t>Iesniedzējs:</w:t>
      </w:r>
    </w:p>
    <w:p w14:paraId="0A2B0D58" w14:textId="77777777" w:rsidR="008F3A40" w:rsidRPr="00E94CF2" w:rsidRDefault="008F3A40" w:rsidP="006A783D">
      <w:pPr>
        <w:tabs>
          <w:tab w:val="right" w:pos="9072"/>
        </w:tabs>
        <w:spacing w:after="0" w:line="240" w:lineRule="auto"/>
        <w:rPr>
          <w:rFonts w:ascii="Times New Roman" w:hAnsi="Times New Roman" w:cs="Times New Roman"/>
          <w:sz w:val="24"/>
          <w:szCs w:val="24"/>
        </w:rPr>
      </w:pPr>
      <w:r w:rsidRPr="00E94CF2">
        <w:rPr>
          <w:rFonts w:ascii="Times New Roman" w:hAnsi="Times New Roman" w:cs="Times New Roman"/>
          <w:sz w:val="24"/>
          <w:szCs w:val="24"/>
        </w:rPr>
        <w:t>Vides aizsardzības un reģionālās attīstības ministrs</w:t>
      </w:r>
      <w:r w:rsidRPr="00E94CF2">
        <w:rPr>
          <w:rFonts w:ascii="Times New Roman" w:hAnsi="Times New Roman" w:cs="Times New Roman"/>
          <w:sz w:val="24"/>
          <w:szCs w:val="24"/>
        </w:rPr>
        <w:tab/>
        <w:t>K.Gerhards</w:t>
      </w:r>
    </w:p>
    <w:p w14:paraId="30AB93D4" w14:textId="77777777" w:rsidR="008F3A40" w:rsidRDefault="008F3A40" w:rsidP="006A783D">
      <w:pPr>
        <w:spacing w:after="0" w:line="240" w:lineRule="auto"/>
        <w:rPr>
          <w:rFonts w:ascii="Times New Roman" w:hAnsi="Times New Roman" w:cs="Times New Roman"/>
          <w:sz w:val="24"/>
          <w:szCs w:val="24"/>
        </w:rPr>
      </w:pPr>
    </w:p>
    <w:p w14:paraId="754A7E11" w14:textId="77777777" w:rsidR="00C41BF9" w:rsidRPr="00E94CF2" w:rsidRDefault="00C41BF9" w:rsidP="006A783D">
      <w:pPr>
        <w:spacing w:after="0" w:line="240" w:lineRule="auto"/>
        <w:rPr>
          <w:rFonts w:ascii="Times New Roman" w:hAnsi="Times New Roman" w:cs="Times New Roman"/>
          <w:sz w:val="24"/>
          <w:szCs w:val="24"/>
        </w:rPr>
      </w:pPr>
    </w:p>
    <w:p w14:paraId="415301F5" w14:textId="77777777" w:rsidR="008F3A40" w:rsidRPr="00E94CF2" w:rsidRDefault="008F3A40" w:rsidP="006A783D">
      <w:pPr>
        <w:spacing w:after="0" w:line="240" w:lineRule="auto"/>
        <w:rPr>
          <w:rFonts w:ascii="Times New Roman" w:hAnsi="Times New Roman" w:cs="Times New Roman"/>
          <w:sz w:val="24"/>
          <w:szCs w:val="24"/>
        </w:rPr>
      </w:pPr>
      <w:r w:rsidRPr="00E94CF2">
        <w:rPr>
          <w:rFonts w:ascii="Times New Roman" w:hAnsi="Times New Roman" w:cs="Times New Roman"/>
          <w:sz w:val="24"/>
          <w:szCs w:val="24"/>
        </w:rPr>
        <w:t>Vīza:</w:t>
      </w:r>
    </w:p>
    <w:p w14:paraId="30999D9E" w14:textId="6DF1E59E" w:rsidR="00E94CF2" w:rsidRPr="00EE0AC7" w:rsidRDefault="008F3A40" w:rsidP="00EE0AC7">
      <w:pPr>
        <w:tabs>
          <w:tab w:val="right" w:pos="9072"/>
        </w:tabs>
        <w:spacing w:after="0" w:line="240" w:lineRule="auto"/>
        <w:rPr>
          <w:rFonts w:ascii="Times New Roman" w:hAnsi="Times New Roman" w:cs="Times New Roman"/>
          <w:sz w:val="24"/>
          <w:szCs w:val="24"/>
        </w:rPr>
      </w:pPr>
      <w:r w:rsidRPr="00E94CF2">
        <w:rPr>
          <w:rFonts w:ascii="Times New Roman" w:hAnsi="Times New Roman" w:cs="Times New Roman"/>
          <w:sz w:val="24"/>
          <w:szCs w:val="24"/>
        </w:rPr>
        <w:t>Valsts sekretār</w:t>
      </w:r>
      <w:r w:rsidR="00D903B7">
        <w:rPr>
          <w:rFonts w:ascii="Times New Roman" w:hAnsi="Times New Roman" w:cs="Times New Roman"/>
          <w:sz w:val="24"/>
          <w:szCs w:val="24"/>
        </w:rPr>
        <w:t xml:space="preserve">a </w:t>
      </w:r>
      <w:proofErr w:type="spellStart"/>
      <w:r w:rsidR="00D903B7">
        <w:rPr>
          <w:rFonts w:ascii="Times New Roman" w:hAnsi="Times New Roman" w:cs="Times New Roman"/>
          <w:sz w:val="24"/>
          <w:szCs w:val="24"/>
        </w:rPr>
        <w:t>p.i</w:t>
      </w:r>
      <w:proofErr w:type="spellEnd"/>
      <w:r w:rsidR="00D903B7">
        <w:rPr>
          <w:rFonts w:ascii="Times New Roman" w:hAnsi="Times New Roman" w:cs="Times New Roman"/>
          <w:sz w:val="24"/>
          <w:szCs w:val="24"/>
        </w:rPr>
        <w:t>.</w:t>
      </w:r>
      <w:r w:rsidRPr="00E94CF2">
        <w:rPr>
          <w:rFonts w:ascii="Times New Roman" w:hAnsi="Times New Roman" w:cs="Times New Roman"/>
          <w:sz w:val="24"/>
          <w:szCs w:val="24"/>
        </w:rPr>
        <w:tab/>
      </w:r>
      <w:r w:rsidR="00D903B7">
        <w:rPr>
          <w:rFonts w:ascii="Times New Roman" w:hAnsi="Times New Roman" w:cs="Times New Roman"/>
          <w:sz w:val="24"/>
          <w:szCs w:val="24"/>
        </w:rPr>
        <w:t>E.Turka</w:t>
      </w:r>
    </w:p>
    <w:p w14:paraId="1040829B" w14:textId="77777777" w:rsidR="00E94CF2" w:rsidRPr="00E94CF2" w:rsidRDefault="00E94CF2" w:rsidP="006A783D">
      <w:pPr>
        <w:pStyle w:val="BodyTextIndent"/>
        <w:spacing w:after="0"/>
        <w:ind w:left="0"/>
        <w:rPr>
          <w:rFonts w:ascii="Times New Roman" w:hAnsi="Times New Roman"/>
          <w:sz w:val="8"/>
          <w:szCs w:val="8"/>
        </w:rPr>
      </w:pPr>
    </w:p>
    <w:p w14:paraId="15DF1D5F" w14:textId="77777777" w:rsidR="00E94CF2" w:rsidRPr="00E94CF2" w:rsidRDefault="00E94CF2" w:rsidP="006A783D">
      <w:pPr>
        <w:pStyle w:val="BodyTextIndent"/>
        <w:spacing w:after="0"/>
        <w:ind w:left="0"/>
        <w:rPr>
          <w:rFonts w:ascii="Times New Roman" w:hAnsi="Times New Roman"/>
          <w:sz w:val="8"/>
          <w:szCs w:val="8"/>
        </w:rPr>
      </w:pPr>
    </w:p>
    <w:p w14:paraId="2B768DAB" w14:textId="77777777" w:rsidR="006A783D" w:rsidRDefault="006A783D" w:rsidP="006A783D">
      <w:pPr>
        <w:pStyle w:val="BodyTextIndent"/>
        <w:spacing w:after="0"/>
        <w:ind w:left="0"/>
        <w:rPr>
          <w:rFonts w:ascii="Times New Roman" w:hAnsi="Times New Roman"/>
          <w:sz w:val="8"/>
          <w:szCs w:val="8"/>
        </w:rPr>
      </w:pPr>
    </w:p>
    <w:p w14:paraId="050B97C2" w14:textId="77777777" w:rsidR="0081198E" w:rsidRDefault="0081198E" w:rsidP="006A783D">
      <w:pPr>
        <w:pStyle w:val="BodyTextIndent"/>
        <w:spacing w:after="0"/>
        <w:ind w:left="0"/>
        <w:rPr>
          <w:rFonts w:ascii="Times New Roman" w:hAnsi="Times New Roman"/>
          <w:sz w:val="8"/>
          <w:szCs w:val="8"/>
        </w:rPr>
      </w:pPr>
    </w:p>
    <w:p w14:paraId="28C99950" w14:textId="77777777" w:rsidR="0081198E" w:rsidRDefault="0081198E" w:rsidP="006A783D">
      <w:pPr>
        <w:pStyle w:val="BodyTextIndent"/>
        <w:spacing w:after="0"/>
        <w:ind w:left="0"/>
        <w:rPr>
          <w:rFonts w:ascii="Times New Roman" w:hAnsi="Times New Roman"/>
          <w:sz w:val="8"/>
          <w:szCs w:val="8"/>
        </w:rPr>
      </w:pPr>
    </w:p>
    <w:p w14:paraId="590B4F81" w14:textId="77777777" w:rsidR="0081198E" w:rsidRDefault="0081198E" w:rsidP="006A783D">
      <w:pPr>
        <w:pStyle w:val="BodyTextIndent"/>
        <w:spacing w:after="0"/>
        <w:ind w:left="0"/>
        <w:rPr>
          <w:rFonts w:ascii="Times New Roman" w:hAnsi="Times New Roman"/>
          <w:sz w:val="8"/>
          <w:szCs w:val="8"/>
        </w:rPr>
      </w:pPr>
    </w:p>
    <w:p w14:paraId="7402C63F" w14:textId="77777777" w:rsidR="00980E23" w:rsidRDefault="00980E23" w:rsidP="006A783D">
      <w:pPr>
        <w:pStyle w:val="BodyTextIndent"/>
        <w:spacing w:after="0"/>
        <w:ind w:left="0"/>
        <w:rPr>
          <w:rFonts w:ascii="Times New Roman" w:hAnsi="Times New Roman"/>
          <w:sz w:val="8"/>
          <w:szCs w:val="8"/>
        </w:rPr>
      </w:pPr>
    </w:p>
    <w:p w14:paraId="21F5DF9B" w14:textId="77777777" w:rsidR="0081198E" w:rsidRDefault="0081198E" w:rsidP="006A783D">
      <w:pPr>
        <w:pStyle w:val="BodyTextIndent"/>
        <w:spacing w:after="0"/>
        <w:ind w:left="0"/>
        <w:rPr>
          <w:rFonts w:ascii="Times New Roman" w:hAnsi="Times New Roman"/>
          <w:sz w:val="8"/>
          <w:szCs w:val="8"/>
        </w:rPr>
      </w:pPr>
    </w:p>
    <w:p w14:paraId="70900BAE" w14:textId="77777777" w:rsidR="0081198E" w:rsidRDefault="0081198E" w:rsidP="006A783D">
      <w:pPr>
        <w:pStyle w:val="BodyTextIndent"/>
        <w:spacing w:after="0"/>
        <w:ind w:left="0"/>
        <w:rPr>
          <w:rFonts w:ascii="Times New Roman" w:hAnsi="Times New Roman"/>
          <w:sz w:val="8"/>
          <w:szCs w:val="8"/>
        </w:rPr>
      </w:pPr>
    </w:p>
    <w:p w14:paraId="7F2D3127" w14:textId="77777777" w:rsidR="0081198E" w:rsidRDefault="0081198E" w:rsidP="006A783D">
      <w:pPr>
        <w:pStyle w:val="BodyTextIndent"/>
        <w:spacing w:after="0"/>
        <w:ind w:left="0"/>
        <w:rPr>
          <w:rFonts w:ascii="Times New Roman" w:hAnsi="Times New Roman"/>
          <w:sz w:val="8"/>
          <w:szCs w:val="8"/>
        </w:rPr>
      </w:pPr>
    </w:p>
    <w:p w14:paraId="03C39EC8" w14:textId="77777777" w:rsidR="0081198E" w:rsidRDefault="0081198E" w:rsidP="006A783D">
      <w:pPr>
        <w:pStyle w:val="BodyTextIndent"/>
        <w:spacing w:after="0"/>
        <w:ind w:left="0"/>
        <w:rPr>
          <w:rFonts w:ascii="Times New Roman" w:hAnsi="Times New Roman"/>
          <w:sz w:val="8"/>
          <w:szCs w:val="8"/>
        </w:rPr>
      </w:pPr>
    </w:p>
    <w:p w14:paraId="02AF0AA5" w14:textId="77777777" w:rsidR="0081198E" w:rsidRDefault="0081198E" w:rsidP="006A783D">
      <w:pPr>
        <w:pStyle w:val="BodyTextIndent"/>
        <w:spacing w:after="0"/>
        <w:ind w:left="0"/>
        <w:rPr>
          <w:rFonts w:ascii="Times New Roman" w:hAnsi="Times New Roman"/>
          <w:sz w:val="8"/>
          <w:szCs w:val="8"/>
        </w:rPr>
      </w:pPr>
    </w:p>
    <w:p w14:paraId="103800F6" w14:textId="77777777" w:rsidR="0081198E" w:rsidRDefault="0081198E" w:rsidP="006A783D">
      <w:pPr>
        <w:pStyle w:val="BodyTextIndent"/>
        <w:spacing w:after="0"/>
        <w:ind w:left="0"/>
        <w:rPr>
          <w:rFonts w:ascii="Times New Roman" w:hAnsi="Times New Roman"/>
          <w:sz w:val="8"/>
          <w:szCs w:val="8"/>
        </w:rPr>
      </w:pPr>
    </w:p>
    <w:p w14:paraId="4F898681" w14:textId="77777777" w:rsidR="0081198E" w:rsidRDefault="0081198E" w:rsidP="006A783D">
      <w:pPr>
        <w:pStyle w:val="BodyTextIndent"/>
        <w:spacing w:after="0"/>
        <w:ind w:left="0"/>
        <w:rPr>
          <w:rFonts w:ascii="Times New Roman" w:hAnsi="Times New Roman"/>
          <w:sz w:val="8"/>
          <w:szCs w:val="8"/>
        </w:rPr>
      </w:pPr>
    </w:p>
    <w:p w14:paraId="336C21DB" w14:textId="77777777" w:rsidR="0081198E" w:rsidRDefault="0081198E" w:rsidP="006A783D">
      <w:pPr>
        <w:pStyle w:val="BodyTextIndent"/>
        <w:spacing w:after="0"/>
        <w:ind w:left="0"/>
        <w:rPr>
          <w:rFonts w:ascii="Times New Roman" w:hAnsi="Times New Roman"/>
          <w:sz w:val="8"/>
          <w:szCs w:val="8"/>
        </w:rPr>
      </w:pPr>
    </w:p>
    <w:p w14:paraId="565B9045" w14:textId="77777777" w:rsidR="0081198E" w:rsidRDefault="0081198E" w:rsidP="006A783D">
      <w:pPr>
        <w:pStyle w:val="BodyTextIndent"/>
        <w:spacing w:after="0"/>
        <w:ind w:left="0"/>
        <w:rPr>
          <w:rFonts w:ascii="Times New Roman" w:hAnsi="Times New Roman"/>
          <w:sz w:val="8"/>
          <w:szCs w:val="8"/>
        </w:rPr>
      </w:pPr>
    </w:p>
    <w:p w14:paraId="11BA8C5F" w14:textId="77777777" w:rsidR="0081198E" w:rsidRPr="00E94CF2" w:rsidRDefault="0081198E" w:rsidP="006A783D">
      <w:pPr>
        <w:pStyle w:val="BodyTextIndent"/>
        <w:spacing w:after="0"/>
        <w:ind w:left="0"/>
        <w:rPr>
          <w:rFonts w:ascii="Times New Roman" w:hAnsi="Times New Roman"/>
          <w:sz w:val="8"/>
          <w:szCs w:val="8"/>
        </w:rPr>
      </w:pPr>
    </w:p>
    <w:p w14:paraId="7E25AFE2" w14:textId="77777777" w:rsidR="006A783D" w:rsidRPr="00E94CF2" w:rsidRDefault="006A783D" w:rsidP="006A783D">
      <w:pPr>
        <w:pStyle w:val="BodyTextIndent"/>
        <w:spacing w:after="0"/>
        <w:ind w:left="0"/>
        <w:rPr>
          <w:rFonts w:ascii="Times New Roman" w:hAnsi="Times New Roman"/>
          <w:sz w:val="8"/>
          <w:szCs w:val="8"/>
        </w:rPr>
      </w:pPr>
    </w:p>
    <w:p w14:paraId="06D97E58" w14:textId="4816D690" w:rsidR="009A6FB9" w:rsidRPr="00E94CF2" w:rsidRDefault="00184D19" w:rsidP="006A783D">
      <w:pPr>
        <w:pStyle w:val="BodyTextIndent"/>
        <w:spacing w:after="0"/>
        <w:ind w:left="0"/>
        <w:rPr>
          <w:rFonts w:ascii="Times New Roman" w:hAnsi="Times New Roman"/>
          <w:sz w:val="20"/>
          <w:szCs w:val="20"/>
        </w:rPr>
      </w:pPr>
      <w:r>
        <w:rPr>
          <w:rFonts w:ascii="Times New Roman" w:hAnsi="Times New Roman"/>
          <w:sz w:val="20"/>
          <w:szCs w:val="20"/>
        </w:rPr>
        <w:t>29</w:t>
      </w:r>
      <w:r w:rsidR="009A6FB9" w:rsidRPr="00E94CF2">
        <w:rPr>
          <w:rFonts w:ascii="Times New Roman" w:hAnsi="Times New Roman"/>
          <w:sz w:val="20"/>
          <w:szCs w:val="20"/>
        </w:rPr>
        <w:t>.05.2015. 1</w:t>
      </w:r>
      <w:r w:rsidR="00236152">
        <w:rPr>
          <w:rFonts w:ascii="Times New Roman" w:hAnsi="Times New Roman"/>
          <w:sz w:val="20"/>
          <w:szCs w:val="20"/>
        </w:rPr>
        <w:t>0</w:t>
      </w:r>
      <w:r w:rsidR="009A6FB9" w:rsidRPr="00E94CF2">
        <w:rPr>
          <w:rFonts w:ascii="Times New Roman" w:hAnsi="Times New Roman"/>
          <w:sz w:val="20"/>
          <w:szCs w:val="20"/>
        </w:rPr>
        <w:t>:00</w:t>
      </w:r>
    </w:p>
    <w:p w14:paraId="60D0B894" w14:textId="3CA7E22B" w:rsidR="009A6FB9" w:rsidRPr="00E94CF2" w:rsidRDefault="00184D19" w:rsidP="006A783D">
      <w:pPr>
        <w:pStyle w:val="BodyTextIndent"/>
        <w:spacing w:after="0"/>
        <w:ind w:left="0"/>
        <w:rPr>
          <w:rFonts w:ascii="Times New Roman" w:hAnsi="Times New Roman"/>
          <w:sz w:val="20"/>
          <w:szCs w:val="20"/>
        </w:rPr>
      </w:pPr>
      <w:r>
        <w:fldChar w:fldCharType="begin"/>
      </w:r>
      <w:r>
        <w:instrText xml:space="preserve"> NUMWORDS   \* MERGEFORMAT </w:instrText>
      </w:r>
      <w:r>
        <w:fldChar w:fldCharType="separate"/>
      </w:r>
      <w:r w:rsidRPr="00184D19">
        <w:rPr>
          <w:rFonts w:ascii="Times New Roman" w:hAnsi="Times New Roman"/>
          <w:noProof/>
          <w:sz w:val="20"/>
          <w:szCs w:val="20"/>
        </w:rPr>
        <w:t>2768</w:t>
      </w:r>
      <w:r>
        <w:rPr>
          <w:rFonts w:ascii="Times New Roman" w:hAnsi="Times New Roman"/>
          <w:noProof/>
          <w:sz w:val="20"/>
          <w:szCs w:val="20"/>
        </w:rPr>
        <w:fldChar w:fldCharType="end"/>
      </w:r>
      <w:bookmarkStart w:id="0" w:name="_GoBack"/>
      <w:bookmarkEnd w:id="0"/>
    </w:p>
    <w:p w14:paraId="04B74257" w14:textId="77777777" w:rsidR="00236152" w:rsidRDefault="009A6FB9" w:rsidP="00F7164B">
      <w:pPr>
        <w:pStyle w:val="BodyTextIndent"/>
        <w:tabs>
          <w:tab w:val="left" w:pos="8275"/>
        </w:tabs>
        <w:spacing w:after="0"/>
        <w:ind w:left="0"/>
        <w:rPr>
          <w:rFonts w:ascii="Times New Roman" w:hAnsi="Times New Roman"/>
          <w:sz w:val="20"/>
          <w:szCs w:val="20"/>
        </w:rPr>
      </w:pPr>
      <w:r w:rsidRPr="00E94CF2">
        <w:rPr>
          <w:rFonts w:ascii="Times New Roman" w:hAnsi="Times New Roman"/>
          <w:sz w:val="20"/>
          <w:szCs w:val="20"/>
        </w:rPr>
        <w:t>H. Rimša</w:t>
      </w:r>
      <w:r w:rsidR="00236152">
        <w:rPr>
          <w:rFonts w:ascii="Times New Roman" w:hAnsi="Times New Roman"/>
          <w:sz w:val="20"/>
          <w:szCs w:val="20"/>
        </w:rPr>
        <w:t>,</w:t>
      </w:r>
    </w:p>
    <w:p w14:paraId="10604F4C" w14:textId="0578AEEB" w:rsidR="00727692" w:rsidRPr="00F7164B" w:rsidRDefault="009A6FB9" w:rsidP="00F7164B">
      <w:pPr>
        <w:pStyle w:val="BodyTextIndent"/>
        <w:tabs>
          <w:tab w:val="left" w:pos="8275"/>
        </w:tabs>
        <w:spacing w:after="0"/>
        <w:ind w:left="0"/>
        <w:rPr>
          <w:rFonts w:ascii="Times New Roman" w:hAnsi="Times New Roman"/>
          <w:sz w:val="20"/>
          <w:szCs w:val="20"/>
        </w:rPr>
      </w:pPr>
      <w:r w:rsidRPr="00E94CF2">
        <w:rPr>
          <w:rFonts w:ascii="Times New Roman" w:hAnsi="Times New Roman"/>
          <w:sz w:val="20"/>
          <w:szCs w:val="20"/>
        </w:rPr>
        <w:t>67026512, Helena.Rimsa@varam.gov.lv</w:t>
      </w:r>
    </w:p>
    <w:sectPr w:rsidR="00727692" w:rsidRPr="00F7164B" w:rsidSect="00236152">
      <w:headerReference w:type="default" r:id="rId9"/>
      <w:footerReference w:type="default" r:id="rId10"/>
      <w:footerReference w:type="first" r:id="rId11"/>
      <w:pgSz w:w="11906" w:h="16838"/>
      <w:pgMar w:top="1134" w:right="1134" w:bottom="1134" w:left="170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79D3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565BC" w14:textId="77777777" w:rsidR="00794A52" w:rsidRDefault="00794A52" w:rsidP="0086045F">
      <w:pPr>
        <w:spacing w:after="0" w:line="240" w:lineRule="auto"/>
      </w:pPr>
      <w:r>
        <w:separator/>
      </w:r>
    </w:p>
  </w:endnote>
  <w:endnote w:type="continuationSeparator" w:id="0">
    <w:p w14:paraId="7236E8AB" w14:textId="77777777" w:rsidR="00794A52" w:rsidRDefault="00794A52" w:rsidP="0086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A5D9A" w14:textId="77777777" w:rsidR="00236152" w:rsidRPr="009A6FB9" w:rsidRDefault="00236152" w:rsidP="00236152">
    <w:pPr>
      <w:pStyle w:val="Footer"/>
      <w:rPr>
        <w:rFonts w:ascii="Times New Roman" w:hAnsi="Times New Roman"/>
        <w:sz w:val="8"/>
        <w:szCs w:val="8"/>
      </w:rPr>
    </w:pPr>
  </w:p>
  <w:p w14:paraId="19A2E149" w14:textId="19DD7779" w:rsidR="003B5B01" w:rsidRPr="00236152" w:rsidRDefault="00C175D9" w:rsidP="00236152">
    <w:pPr>
      <w:pStyle w:val="Footer"/>
      <w:jc w:val="both"/>
      <w:rPr>
        <w:rFonts w:ascii="Times New Roman" w:hAnsi="Times New Roman"/>
        <w:sz w:val="18"/>
        <w:szCs w:val="18"/>
      </w:rPr>
    </w:pPr>
    <w:fldSimple w:instr=" FILENAME   \* MERGEFORMAT ">
      <w:r w:rsidR="00184D19" w:rsidRPr="00184D19">
        <w:rPr>
          <w:rFonts w:ascii="Times New Roman" w:hAnsi="Times New Roman"/>
          <w:noProof/>
          <w:sz w:val="18"/>
          <w:szCs w:val="18"/>
        </w:rPr>
        <w:t>VARAMInf_KEPS2030ESD_290515</w:t>
      </w:r>
    </w:fldSimple>
    <w:r w:rsidR="00236152">
      <w:rPr>
        <w:rFonts w:ascii="Times New Roman" w:hAnsi="Times New Roman"/>
        <w:sz w:val="18"/>
        <w:szCs w:val="18"/>
      </w:rPr>
      <w:t>; Informatīvais ziņojums „</w:t>
    </w:r>
    <w:r w:rsidR="00236152" w:rsidRPr="00236152">
      <w:rPr>
        <w:rFonts w:ascii="Times New Roman" w:hAnsi="Times New Roman"/>
        <w:sz w:val="18"/>
        <w:szCs w:val="18"/>
      </w:rPr>
      <w:t>Par aktuālajiem jautājumiem Klimata un enerģētikas politikas satvara laikposmam no 2020.gada līdz 2030.gadam ietvaros</w:t>
    </w:r>
    <w:r w:rsidR="00236152">
      <w:rPr>
        <w:rFonts w:ascii="Times New Roman" w:hAnsi="Times New Roman"/>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BEED" w14:textId="77777777" w:rsidR="003B5B01" w:rsidRPr="009A6FB9" w:rsidRDefault="003B5B01" w:rsidP="009A6FB9">
    <w:pPr>
      <w:pStyle w:val="Footer"/>
      <w:rPr>
        <w:rFonts w:ascii="Times New Roman" w:hAnsi="Times New Roman"/>
        <w:sz w:val="8"/>
        <w:szCs w:val="8"/>
      </w:rPr>
    </w:pPr>
  </w:p>
  <w:p w14:paraId="70B35519" w14:textId="2D5AE844" w:rsidR="003B5B01" w:rsidRPr="00406867" w:rsidRDefault="00184D19" w:rsidP="009A6FB9">
    <w:pPr>
      <w:pStyle w:val="Footer"/>
      <w:jc w:val="both"/>
      <w:rPr>
        <w:rFonts w:ascii="Times New Roman" w:hAnsi="Times New Roman"/>
        <w:sz w:val="18"/>
        <w:szCs w:val="18"/>
      </w:rPr>
    </w:pPr>
    <w:r>
      <w:fldChar w:fldCharType="begin"/>
    </w:r>
    <w:r>
      <w:instrText xml:space="preserve"> FILENAME   \* MERGEFORMAT </w:instrText>
    </w:r>
    <w:r>
      <w:fldChar w:fldCharType="separate"/>
    </w:r>
    <w:r w:rsidRPr="00184D19">
      <w:rPr>
        <w:rFonts w:ascii="Times New Roman" w:hAnsi="Times New Roman"/>
        <w:noProof/>
        <w:sz w:val="18"/>
        <w:szCs w:val="18"/>
      </w:rPr>
      <w:t>VARAMInf_KEPS2030ESD_290515</w:t>
    </w:r>
    <w:r>
      <w:rPr>
        <w:rFonts w:ascii="Times New Roman" w:hAnsi="Times New Roman"/>
        <w:noProof/>
        <w:sz w:val="18"/>
        <w:szCs w:val="18"/>
      </w:rPr>
      <w:fldChar w:fldCharType="end"/>
    </w:r>
    <w:r w:rsidR="003B5B01">
      <w:rPr>
        <w:rFonts w:ascii="Times New Roman" w:hAnsi="Times New Roman"/>
        <w:sz w:val="18"/>
        <w:szCs w:val="18"/>
      </w:rPr>
      <w:t xml:space="preserve">; Informatīvais ziņojums </w:t>
    </w:r>
    <w:r w:rsidR="00236152">
      <w:rPr>
        <w:rFonts w:ascii="Times New Roman" w:hAnsi="Times New Roman"/>
        <w:sz w:val="18"/>
        <w:szCs w:val="18"/>
      </w:rPr>
      <w:t>„</w:t>
    </w:r>
    <w:r w:rsidR="00236152" w:rsidRPr="00236152">
      <w:rPr>
        <w:rFonts w:ascii="Times New Roman" w:hAnsi="Times New Roman"/>
        <w:sz w:val="18"/>
        <w:szCs w:val="18"/>
      </w:rPr>
      <w:t>Par aktuālajiem jautājumiem Klimata un enerģētikas politikas satvara laikposmam no 2020.gada līdz 2030.gadam ietvaros</w:t>
    </w:r>
    <w:r w:rsidR="00236152">
      <w:rPr>
        <w:rFonts w:ascii="Times New Roman" w:hAnsi="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9763" w14:textId="77777777" w:rsidR="00794A52" w:rsidRDefault="00794A52" w:rsidP="0086045F">
      <w:pPr>
        <w:spacing w:after="0" w:line="240" w:lineRule="auto"/>
      </w:pPr>
      <w:r>
        <w:separator/>
      </w:r>
    </w:p>
  </w:footnote>
  <w:footnote w:type="continuationSeparator" w:id="0">
    <w:p w14:paraId="7E1A9144" w14:textId="77777777" w:rsidR="00794A52" w:rsidRDefault="00794A52" w:rsidP="0086045F">
      <w:pPr>
        <w:spacing w:after="0" w:line="240" w:lineRule="auto"/>
      </w:pPr>
      <w:r>
        <w:continuationSeparator/>
      </w:r>
    </w:p>
  </w:footnote>
  <w:footnote w:id="1">
    <w:p w14:paraId="418BA724" w14:textId="77777777" w:rsidR="003B5B01" w:rsidRPr="000205D2" w:rsidRDefault="003B5B01" w:rsidP="007D7495">
      <w:pPr>
        <w:pStyle w:val="FootnoteText"/>
        <w:jc w:val="both"/>
        <w:rPr>
          <w:rFonts w:ascii="Times New Roman" w:hAnsi="Times New Roman" w:cs="Times New Roman"/>
          <w:sz w:val="18"/>
          <w:szCs w:val="18"/>
        </w:rPr>
      </w:pPr>
      <w:r w:rsidRPr="000205D2">
        <w:rPr>
          <w:rStyle w:val="FootnoteReference"/>
          <w:rFonts w:ascii="Times New Roman" w:hAnsi="Times New Roman" w:cs="Times New Roman"/>
          <w:sz w:val="18"/>
          <w:szCs w:val="18"/>
        </w:rPr>
        <w:footnoteRef/>
      </w:r>
      <w:r w:rsidRPr="000205D2">
        <w:rPr>
          <w:rFonts w:ascii="Times New Roman" w:hAnsi="Times New Roman" w:cs="Times New Roman"/>
          <w:sz w:val="18"/>
          <w:szCs w:val="18"/>
        </w:rPr>
        <w:t xml:space="preserve"> Eiropas Parlamenta un Padomes 2003.gada 13.oktobra direktīva Nr.2003/87/EK, ar kuru nosaka sistēmu siltumnīcas efektu izraisošo gāzu emisijas kvotu tirdzniecībai Kopienā un groza Padomes Direktīvu 96/61/EK</w:t>
      </w:r>
    </w:p>
  </w:footnote>
  <w:footnote w:id="2">
    <w:p w14:paraId="2597E293" w14:textId="77777777" w:rsidR="003B5B01" w:rsidRPr="000205D2" w:rsidRDefault="003B5B01" w:rsidP="000205D2">
      <w:pPr>
        <w:pStyle w:val="FootnoteText"/>
        <w:jc w:val="both"/>
        <w:rPr>
          <w:rFonts w:ascii="Times New Roman" w:hAnsi="Times New Roman" w:cs="Times New Roman"/>
          <w:sz w:val="18"/>
          <w:szCs w:val="18"/>
        </w:rPr>
      </w:pPr>
      <w:r w:rsidRPr="000205D2">
        <w:rPr>
          <w:rStyle w:val="FootnoteReference"/>
          <w:rFonts w:ascii="Times New Roman" w:hAnsi="Times New Roman" w:cs="Times New Roman"/>
          <w:sz w:val="18"/>
          <w:szCs w:val="18"/>
        </w:rPr>
        <w:footnoteRef/>
      </w:r>
      <w:r w:rsidRPr="000205D2">
        <w:rPr>
          <w:rFonts w:ascii="Times New Roman" w:hAnsi="Times New Roman" w:cs="Times New Roman"/>
          <w:sz w:val="18"/>
          <w:szCs w:val="18"/>
        </w:rPr>
        <w:t xml:space="preserve"> risks, ka stingru klimata pārmaiņu mazināšanas prasību dēļ, uzņēmums var pārcelt vai būs spiests pārcelt ražotni uz citu valsti, kur šādas prasības nav noteiktas, vai arī risks, ka šīs prasības būtiski ietekmē uzņēmuma konkurētspēju globālajā tirgū</w:t>
      </w:r>
    </w:p>
  </w:footnote>
  <w:footnote w:id="3">
    <w:p w14:paraId="4EDBFAB7" w14:textId="77777777" w:rsidR="003B5B01" w:rsidRPr="000205D2" w:rsidRDefault="003B5B01">
      <w:pPr>
        <w:pStyle w:val="FootnoteText"/>
        <w:rPr>
          <w:rFonts w:ascii="Times New Roman" w:hAnsi="Times New Roman" w:cs="Times New Roman"/>
          <w:sz w:val="18"/>
          <w:szCs w:val="18"/>
        </w:rPr>
      </w:pPr>
      <w:r w:rsidRPr="000205D2">
        <w:rPr>
          <w:rStyle w:val="FootnoteReference"/>
          <w:rFonts w:ascii="Times New Roman" w:hAnsi="Times New Roman" w:cs="Times New Roman"/>
          <w:sz w:val="18"/>
          <w:szCs w:val="18"/>
        </w:rPr>
        <w:footnoteRef/>
      </w:r>
      <w:r w:rsidRPr="000205D2">
        <w:rPr>
          <w:rFonts w:ascii="Times New Roman" w:hAnsi="Times New Roman" w:cs="Times New Roman"/>
          <w:sz w:val="18"/>
          <w:szCs w:val="18"/>
        </w:rPr>
        <w:t xml:space="preserve"> Iesniegtā anketa ir pieejama </w:t>
      </w:r>
      <w:hyperlink r:id="rId1" w:anchor="_blank" w:history="1">
        <w:r w:rsidRPr="000205D2">
          <w:rPr>
            <w:rStyle w:val="Hyperlink"/>
            <w:rFonts w:ascii="Times New Roman" w:eastAsia="Times New Roman" w:hAnsi="Times New Roman" w:cs="Times New Roman"/>
            <w:sz w:val="18"/>
            <w:szCs w:val="18"/>
          </w:rPr>
          <w:t>https://ec.europa.eu/eusurvey/pdf/answer/b0b2c677-102a-4cf9-a839-97dfac5ebd75/</w:t>
        </w:r>
      </w:hyperlink>
    </w:p>
  </w:footnote>
  <w:footnote w:id="4">
    <w:p w14:paraId="682E2C19" w14:textId="77777777" w:rsidR="003B5B01" w:rsidRPr="000205D2" w:rsidRDefault="003B5B01" w:rsidP="00E94CF2">
      <w:pPr>
        <w:pStyle w:val="FootnoteText"/>
        <w:jc w:val="both"/>
        <w:rPr>
          <w:rFonts w:ascii="Times New Roman" w:hAnsi="Times New Roman" w:cs="Times New Roman"/>
          <w:sz w:val="18"/>
          <w:szCs w:val="18"/>
        </w:rPr>
      </w:pPr>
      <w:r w:rsidRPr="000205D2">
        <w:rPr>
          <w:rStyle w:val="FootnoteReference"/>
          <w:rFonts w:ascii="Times New Roman" w:hAnsi="Times New Roman" w:cs="Times New Roman"/>
          <w:sz w:val="18"/>
          <w:szCs w:val="18"/>
        </w:rPr>
        <w:footnoteRef/>
      </w:r>
      <w:r w:rsidRPr="000205D2">
        <w:rPr>
          <w:rFonts w:ascii="Times New Roman" w:hAnsi="Times New Roman" w:cs="Times New Roman"/>
          <w:sz w:val="18"/>
          <w:szCs w:val="18"/>
        </w:rPr>
        <w:t xml:space="preserve"> Eiropas Parlamenta un Padomes 2009.gada 23.aprīļa lēmums Nr.406/2009/EK par dalībvalstu pasākumiem siltumnīcas efektu izraisošu gāzu emisiju samazināšanai, lai izpildītu Kopienas saistības siltumnīcas efektu izraisošu gāzu emisiju samazināšanas jomā līdz 2020. gadam</w:t>
      </w:r>
    </w:p>
  </w:footnote>
  <w:footnote w:id="5">
    <w:p w14:paraId="0BC7B668" w14:textId="77777777" w:rsidR="00067A14" w:rsidRPr="00922A41" w:rsidRDefault="00067A14" w:rsidP="00067A14">
      <w:pPr>
        <w:pStyle w:val="FootnoteText"/>
        <w:jc w:val="both"/>
        <w:rPr>
          <w:rFonts w:ascii="Times New Roman" w:hAnsi="Times New Roman" w:cs="Times New Roman"/>
          <w:sz w:val="18"/>
          <w:szCs w:val="18"/>
        </w:rPr>
      </w:pPr>
      <w:r w:rsidRPr="00922A41">
        <w:rPr>
          <w:rStyle w:val="FootnoteReference"/>
          <w:rFonts w:ascii="Times New Roman" w:hAnsi="Times New Roman" w:cs="Times New Roman"/>
          <w:sz w:val="18"/>
          <w:szCs w:val="18"/>
        </w:rPr>
        <w:footnoteRef/>
      </w:r>
      <w:r w:rsidRPr="00922A41">
        <w:rPr>
          <w:rFonts w:ascii="Times New Roman" w:hAnsi="Times New Roman" w:cs="Times New Roman"/>
          <w:sz w:val="18"/>
          <w:szCs w:val="18"/>
        </w:rPr>
        <w:t xml:space="preserve"> Eiropas Parlamenta un Padomes 2013.gada 21.maija regula Nr.525/2013 par mehānismu siltumnīcefekta gāzu emisiju pārraudzībai un ziņošanai un citas informācijas ziņošanai valstu un Savienības līmenī saistībā ar klimata pārmaiņām un par Lēmuma Nr. 280/2004/EK atcelšanu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23829"/>
      <w:docPartObj>
        <w:docPartGallery w:val="Page Numbers (Top of Page)"/>
        <w:docPartUnique/>
      </w:docPartObj>
    </w:sdtPr>
    <w:sdtEndPr>
      <w:rPr>
        <w:noProof/>
      </w:rPr>
    </w:sdtEndPr>
    <w:sdtContent>
      <w:p w14:paraId="76BFF2E5" w14:textId="77777777" w:rsidR="003B5B01" w:rsidRPr="008742A0" w:rsidRDefault="003B5B01" w:rsidP="008742A0">
        <w:pPr>
          <w:pStyle w:val="Header"/>
          <w:jc w:val="center"/>
          <w:rPr>
            <w:rFonts w:ascii="Times New Roman" w:hAnsi="Times New Roman" w:cs="Times New Roman"/>
            <w:sz w:val="24"/>
            <w:szCs w:val="24"/>
          </w:rPr>
        </w:pPr>
        <w:r w:rsidRPr="008742A0">
          <w:rPr>
            <w:rFonts w:ascii="Times New Roman" w:hAnsi="Times New Roman" w:cs="Times New Roman"/>
            <w:sz w:val="24"/>
            <w:szCs w:val="24"/>
          </w:rPr>
          <w:fldChar w:fldCharType="begin"/>
        </w:r>
        <w:r w:rsidRPr="008742A0">
          <w:rPr>
            <w:rFonts w:ascii="Times New Roman" w:hAnsi="Times New Roman" w:cs="Times New Roman"/>
            <w:sz w:val="24"/>
            <w:szCs w:val="24"/>
          </w:rPr>
          <w:instrText xml:space="preserve"> PAGE   \* MERGEFORMAT </w:instrText>
        </w:r>
        <w:r w:rsidRPr="008742A0">
          <w:rPr>
            <w:rFonts w:ascii="Times New Roman" w:hAnsi="Times New Roman" w:cs="Times New Roman"/>
            <w:sz w:val="24"/>
            <w:szCs w:val="24"/>
          </w:rPr>
          <w:fldChar w:fldCharType="separate"/>
        </w:r>
        <w:r w:rsidR="00184D19">
          <w:rPr>
            <w:rFonts w:ascii="Times New Roman" w:hAnsi="Times New Roman" w:cs="Times New Roman"/>
            <w:noProof/>
            <w:sz w:val="24"/>
            <w:szCs w:val="24"/>
          </w:rPr>
          <w:t>7</w:t>
        </w:r>
        <w:r w:rsidRPr="008742A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FCC"/>
    <w:multiLevelType w:val="hybridMultilevel"/>
    <w:tmpl w:val="706E8E72"/>
    <w:lvl w:ilvl="0" w:tplc="1A521E8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6DB8"/>
    <w:multiLevelType w:val="hybridMultilevel"/>
    <w:tmpl w:val="664265A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0EC07FC8"/>
    <w:multiLevelType w:val="hybridMultilevel"/>
    <w:tmpl w:val="F4B8C3B2"/>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18AA79BA"/>
    <w:multiLevelType w:val="hybridMultilevel"/>
    <w:tmpl w:val="5616EDA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25C70165"/>
    <w:multiLevelType w:val="hybridMultilevel"/>
    <w:tmpl w:val="067C46C0"/>
    <w:lvl w:ilvl="0" w:tplc="DA56AFB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E204A2"/>
    <w:multiLevelType w:val="hybridMultilevel"/>
    <w:tmpl w:val="ECB8D558"/>
    <w:lvl w:ilvl="0" w:tplc="61264F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399543A3"/>
    <w:multiLevelType w:val="hybridMultilevel"/>
    <w:tmpl w:val="1B30507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3E614642"/>
    <w:multiLevelType w:val="hybridMultilevel"/>
    <w:tmpl w:val="FA84454E"/>
    <w:lvl w:ilvl="0" w:tplc="43E4E03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552127F"/>
    <w:multiLevelType w:val="singleLevel"/>
    <w:tmpl w:val="057A5296"/>
    <w:name w:val="Tiret 4"/>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nsid w:val="48163B8D"/>
    <w:multiLevelType w:val="multilevel"/>
    <w:tmpl w:val="F8EE4CF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6D08E3"/>
    <w:multiLevelType w:val="hybridMultilevel"/>
    <w:tmpl w:val="1EA857D0"/>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1">
    <w:nsid w:val="4E6A0951"/>
    <w:multiLevelType w:val="multilevel"/>
    <w:tmpl w:val="964458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14D505B"/>
    <w:multiLevelType w:val="hybridMultilevel"/>
    <w:tmpl w:val="CCE021B2"/>
    <w:lvl w:ilvl="0" w:tplc="44C80102">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58C428EF"/>
    <w:multiLevelType w:val="hybridMultilevel"/>
    <w:tmpl w:val="3904C21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5B517C56"/>
    <w:multiLevelType w:val="hybridMultilevel"/>
    <w:tmpl w:val="8B1E65B6"/>
    <w:lvl w:ilvl="0" w:tplc="88DA7F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61053C3C"/>
    <w:multiLevelType w:val="hybridMultilevel"/>
    <w:tmpl w:val="1BC24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91A5CE0"/>
    <w:multiLevelType w:val="hybridMultilevel"/>
    <w:tmpl w:val="FC54E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FC0375"/>
    <w:multiLevelType w:val="hybridMultilevel"/>
    <w:tmpl w:val="A3A0ACC8"/>
    <w:lvl w:ilvl="0" w:tplc="04260001">
      <w:start w:val="1"/>
      <w:numFmt w:val="bullet"/>
      <w:lvlText w:val=""/>
      <w:lvlJc w:val="left"/>
      <w:pPr>
        <w:ind w:left="720" w:hanging="360"/>
      </w:pPr>
      <w:rPr>
        <w:rFonts w:ascii="Symbol" w:hAnsi="Symbol" w:hint="default"/>
      </w:rPr>
    </w:lvl>
    <w:lvl w:ilvl="1" w:tplc="237487B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10FB0"/>
    <w:multiLevelType w:val="hybridMultilevel"/>
    <w:tmpl w:val="91144AEA"/>
    <w:lvl w:ilvl="0" w:tplc="E0A0DB1E">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9">
    <w:nsid w:val="7FD72544"/>
    <w:multiLevelType w:val="hybridMultilevel"/>
    <w:tmpl w:val="B276E1B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16"/>
  </w:num>
  <w:num w:numId="6">
    <w:abstractNumId w:val="11"/>
  </w:num>
  <w:num w:numId="7">
    <w:abstractNumId w:val="8"/>
  </w:num>
  <w:num w:numId="8">
    <w:abstractNumId w:val="0"/>
  </w:num>
  <w:num w:numId="9">
    <w:abstractNumId w:val="12"/>
  </w:num>
  <w:num w:numId="10">
    <w:abstractNumId w:val="17"/>
  </w:num>
  <w:num w:numId="11">
    <w:abstractNumId w:val="3"/>
  </w:num>
  <w:num w:numId="12">
    <w:abstractNumId w:val="19"/>
  </w:num>
  <w:num w:numId="13">
    <w:abstractNumId w:val="13"/>
  </w:num>
  <w:num w:numId="14">
    <w:abstractNumId w:val="1"/>
  </w:num>
  <w:num w:numId="15">
    <w:abstractNumId w:val="4"/>
  </w:num>
  <w:num w:numId="16">
    <w:abstractNumId w:val="6"/>
  </w:num>
  <w:num w:numId="17">
    <w:abstractNumId w:val="2"/>
  </w:num>
  <w:num w:numId="18">
    <w:abstractNumId w:val="10"/>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A5"/>
    <w:rsid w:val="00004CA9"/>
    <w:rsid w:val="00015350"/>
    <w:rsid w:val="000205D2"/>
    <w:rsid w:val="00040ABB"/>
    <w:rsid w:val="00042D54"/>
    <w:rsid w:val="00067A14"/>
    <w:rsid w:val="00086FC1"/>
    <w:rsid w:val="00097EDA"/>
    <w:rsid w:val="000B1AB7"/>
    <w:rsid w:val="000D6418"/>
    <w:rsid w:val="000F2627"/>
    <w:rsid w:val="00113C32"/>
    <w:rsid w:val="00140073"/>
    <w:rsid w:val="00140B43"/>
    <w:rsid w:val="00141B8F"/>
    <w:rsid w:val="00156EA7"/>
    <w:rsid w:val="001659F0"/>
    <w:rsid w:val="00184D19"/>
    <w:rsid w:val="001B2843"/>
    <w:rsid w:val="001C23C5"/>
    <w:rsid w:val="001D087B"/>
    <w:rsid w:val="001E43A8"/>
    <w:rsid w:val="002177D4"/>
    <w:rsid w:val="00220B07"/>
    <w:rsid w:val="00231E76"/>
    <w:rsid w:val="00236152"/>
    <w:rsid w:val="00237C4D"/>
    <w:rsid w:val="0025091F"/>
    <w:rsid w:val="00251D04"/>
    <w:rsid w:val="00267219"/>
    <w:rsid w:val="002851BE"/>
    <w:rsid w:val="00285FEA"/>
    <w:rsid w:val="002A34EA"/>
    <w:rsid w:val="002B591E"/>
    <w:rsid w:val="002D392C"/>
    <w:rsid w:val="002F1C72"/>
    <w:rsid w:val="002F7B54"/>
    <w:rsid w:val="00304582"/>
    <w:rsid w:val="00320E4D"/>
    <w:rsid w:val="00323219"/>
    <w:rsid w:val="0033793C"/>
    <w:rsid w:val="00353860"/>
    <w:rsid w:val="00362E2B"/>
    <w:rsid w:val="00380D37"/>
    <w:rsid w:val="00383496"/>
    <w:rsid w:val="00383D5E"/>
    <w:rsid w:val="00395D0F"/>
    <w:rsid w:val="0039611D"/>
    <w:rsid w:val="003A00AD"/>
    <w:rsid w:val="003B5B01"/>
    <w:rsid w:val="003C5F72"/>
    <w:rsid w:val="003D181F"/>
    <w:rsid w:val="003E594A"/>
    <w:rsid w:val="004006B7"/>
    <w:rsid w:val="00406867"/>
    <w:rsid w:val="00410613"/>
    <w:rsid w:val="00413D47"/>
    <w:rsid w:val="004220CB"/>
    <w:rsid w:val="004266B1"/>
    <w:rsid w:val="0043238D"/>
    <w:rsid w:val="00432C24"/>
    <w:rsid w:val="0043708A"/>
    <w:rsid w:val="004407B5"/>
    <w:rsid w:val="00451CFF"/>
    <w:rsid w:val="0047190D"/>
    <w:rsid w:val="0048024C"/>
    <w:rsid w:val="0048503D"/>
    <w:rsid w:val="004925C7"/>
    <w:rsid w:val="004951EE"/>
    <w:rsid w:val="004A71D5"/>
    <w:rsid w:val="004D284F"/>
    <w:rsid w:val="004E3BD8"/>
    <w:rsid w:val="004E5194"/>
    <w:rsid w:val="004E6E41"/>
    <w:rsid w:val="004F55F4"/>
    <w:rsid w:val="005008AD"/>
    <w:rsid w:val="00506CC6"/>
    <w:rsid w:val="005102D3"/>
    <w:rsid w:val="0053707E"/>
    <w:rsid w:val="00573A6F"/>
    <w:rsid w:val="005A063D"/>
    <w:rsid w:val="005B1BDF"/>
    <w:rsid w:val="005B5304"/>
    <w:rsid w:val="005C01DF"/>
    <w:rsid w:val="005C4B99"/>
    <w:rsid w:val="005E02A9"/>
    <w:rsid w:val="005F1C82"/>
    <w:rsid w:val="006147D0"/>
    <w:rsid w:val="006217DC"/>
    <w:rsid w:val="006247AA"/>
    <w:rsid w:val="00634976"/>
    <w:rsid w:val="0065593F"/>
    <w:rsid w:val="0066267B"/>
    <w:rsid w:val="006665B2"/>
    <w:rsid w:val="00666FD9"/>
    <w:rsid w:val="00692D0B"/>
    <w:rsid w:val="00693659"/>
    <w:rsid w:val="006A0C01"/>
    <w:rsid w:val="006A783D"/>
    <w:rsid w:val="006C56FE"/>
    <w:rsid w:val="006C58D1"/>
    <w:rsid w:val="006C6498"/>
    <w:rsid w:val="006D4725"/>
    <w:rsid w:val="006F3AEE"/>
    <w:rsid w:val="0072413C"/>
    <w:rsid w:val="00727692"/>
    <w:rsid w:val="0073718C"/>
    <w:rsid w:val="007505B7"/>
    <w:rsid w:val="00751DFF"/>
    <w:rsid w:val="0075304E"/>
    <w:rsid w:val="00753319"/>
    <w:rsid w:val="00773277"/>
    <w:rsid w:val="00794A52"/>
    <w:rsid w:val="007A3656"/>
    <w:rsid w:val="007C0E3D"/>
    <w:rsid w:val="007D1CBC"/>
    <w:rsid w:val="007D26AC"/>
    <w:rsid w:val="007D7495"/>
    <w:rsid w:val="007E1578"/>
    <w:rsid w:val="007E3F64"/>
    <w:rsid w:val="007F4784"/>
    <w:rsid w:val="007F7291"/>
    <w:rsid w:val="008002A0"/>
    <w:rsid w:val="0081198E"/>
    <w:rsid w:val="00837251"/>
    <w:rsid w:val="0086045F"/>
    <w:rsid w:val="00867593"/>
    <w:rsid w:val="00871103"/>
    <w:rsid w:val="008742A0"/>
    <w:rsid w:val="008758E3"/>
    <w:rsid w:val="00880A60"/>
    <w:rsid w:val="008823FE"/>
    <w:rsid w:val="008912A1"/>
    <w:rsid w:val="0089566D"/>
    <w:rsid w:val="008C3693"/>
    <w:rsid w:val="008E5499"/>
    <w:rsid w:val="008E5D1D"/>
    <w:rsid w:val="008F2AAE"/>
    <w:rsid w:val="008F3A40"/>
    <w:rsid w:val="0090319E"/>
    <w:rsid w:val="00904089"/>
    <w:rsid w:val="00921927"/>
    <w:rsid w:val="00922A41"/>
    <w:rsid w:val="009409D5"/>
    <w:rsid w:val="00940DB1"/>
    <w:rsid w:val="00945973"/>
    <w:rsid w:val="009476CE"/>
    <w:rsid w:val="00951BB9"/>
    <w:rsid w:val="00956E5B"/>
    <w:rsid w:val="00961689"/>
    <w:rsid w:val="00980E23"/>
    <w:rsid w:val="00990A93"/>
    <w:rsid w:val="009A6FB9"/>
    <w:rsid w:val="009C1384"/>
    <w:rsid w:val="009C57D4"/>
    <w:rsid w:val="009E414B"/>
    <w:rsid w:val="009F0934"/>
    <w:rsid w:val="009F3355"/>
    <w:rsid w:val="00A00CB9"/>
    <w:rsid w:val="00A03293"/>
    <w:rsid w:val="00A34552"/>
    <w:rsid w:val="00A6008B"/>
    <w:rsid w:val="00A648B1"/>
    <w:rsid w:val="00A84E40"/>
    <w:rsid w:val="00A86810"/>
    <w:rsid w:val="00A86916"/>
    <w:rsid w:val="00A94A65"/>
    <w:rsid w:val="00AB3609"/>
    <w:rsid w:val="00AC4CA0"/>
    <w:rsid w:val="00AC541D"/>
    <w:rsid w:val="00AD0952"/>
    <w:rsid w:val="00AD38B7"/>
    <w:rsid w:val="00AE01CC"/>
    <w:rsid w:val="00AE33EA"/>
    <w:rsid w:val="00AE58F8"/>
    <w:rsid w:val="00AF51B3"/>
    <w:rsid w:val="00AF76A9"/>
    <w:rsid w:val="00B0208E"/>
    <w:rsid w:val="00B037E3"/>
    <w:rsid w:val="00B071DB"/>
    <w:rsid w:val="00B11702"/>
    <w:rsid w:val="00B22AD3"/>
    <w:rsid w:val="00B5245B"/>
    <w:rsid w:val="00B527C1"/>
    <w:rsid w:val="00B53959"/>
    <w:rsid w:val="00B6028B"/>
    <w:rsid w:val="00B8351A"/>
    <w:rsid w:val="00B911C2"/>
    <w:rsid w:val="00B94456"/>
    <w:rsid w:val="00BB78D7"/>
    <w:rsid w:val="00BF11EA"/>
    <w:rsid w:val="00BF16E7"/>
    <w:rsid w:val="00C00864"/>
    <w:rsid w:val="00C175D9"/>
    <w:rsid w:val="00C17DE8"/>
    <w:rsid w:val="00C21EC0"/>
    <w:rsid w:val="00C31EAD"/>
    <w:rsid w:val="00C40B26"/>
    <w:rsid w:val="00C41BF9"/>
    <w:rsid w:val="00C66752"/>
    <w:rsid w:val="00C72885"/>
    <w:rsid w:val="00C73080"/>
    <w:rsid w:val="00C83C83"/>
    <w:rsid w:val="00CB09A7"/>
    <w:rsid w:val="00CB37AC"/>
    <w:rsid w:val="00CB50F6"/>
    <w:rsid w:val="00CB5E28"/>
    <w:rsid w:val="00CF49D1"/>
    <w:rsid w:val="00D02A62"/>
    <w:rsid w:val="00D27911"/>
    <w:rsid w:val="00D30F6C"/>
    <w:rsid w:val="00D318C8"/>
    <w:rsid w:val="00D414F5"/>
    <w:rsid w:val="00D5547A"/>
    <w:rsid w:val="00D5681C"/>
    <w:rsid w:val="00D56CEC"/>
    <w:rsid w:val="00D6547D"/>
    <w:rsid w:val="00D67B3B"/>
    <w:rsid w:val="00D71C88"/>
    <w:rsid w:val="00D7350B"/>
    <w:rsid w:val="00D8554E"/>
    <w:rsid w:val="00D903B7"/>
    <w:rsid w:val="00D9043B"/>
    <w:rsid w:val="00DB75E5"/>
    <w:rsid w:val="00DD7498"/>
    <w:rsid w:val="00E01A29"/>
    <w:rsid w:val="00E02B1A"/>
    <w:rsid w:val="00E250D5"/>
    <w:rsid w:val="00E32C93"/>
    <w:rsid w:val="00E349CA"/>
    <w:rsid w:val="00E51E18"/>
    <w:rsid w:val="00E67725"/>
    <w:rsid w:val="00E70CE2"/>
    <w:rsid w:val="00E93804"/>
    <w:rsid w:val="00E94CF2"/>
    <w:rsid w:val="00EA3443"/>
    <w:rsid w:val="00EB2240"/>
    <w:rsid w:val="00EB7680"/>
    <w:rsid w:val="00EE0AC7"/>
    <w:rsid w:val="00EE4614"/>
    <w:rsid w:val="00EF3255"/>
    <w:rsid w:val="00F030A5"/>
    <w:rsid w:val="00F07544"/>
    <w:rsid w:val="00F1215D"/>
    <w:rsid w:val="00F235FC"/>
    <w:rsid w:val="00F32C23"/>
    <w:rsid w:val="00F42972"/>
    <w:rsid w:val="00F7164B"/>
    <w:rsid w:val="00F828FF"/>
    <w:rsid w:val="00F94743"/>
    <w:rsid w:val="00FA507B"/>
    <w:rsid w:val="00FA564F"/>
    <w:rsid w:val="00FC1A0C"/>
    <w:rsid w:val="00FC1C4F"/>
    <w:rsid w:val="00FE52D9"/>
    <w:rsid w:val="00FF43A6"/>
    <w:rsid w:val="00FF5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045F"/>
    <w:pPr>
      <w:spacing w:after="0" w:line="240" w:lineRule="auto"/>
    </w:pPr>
    <w:rPr>
      <w:sz w:val="20"/>
      <w:szCs w:val="20"/>
    </w:rPr>
  </w:style>
  <w:style w:type="character" w:customStyle="1" w:styleId="FootnoteTextChar">
    <w:name w:val="Footnote Text Char"/>
    <w:basedOn w:val="DefaultParagraphFont"/>
    <w:link w:val="FootnoteText"/>
    <w:uiPriority w:val="99"/>
    <w:rsid w:val="0086045F"/>
    <w:rPr>
      <w:sz w:val="20"/>
      <w:szCs w:val="20"/>
    </w:rPr>
  </w:style>
  <w:style w:type="character" w:styleId="FootnoteReference">
    <w:name w:val="footnote reference"/>
    <w:basedOn w:val="DefaultParagraphFont"/>
    <w:uiPriority w:val="99"/>
    <w:unhideWhenUsed/>
    <w:rsid w:val="0086045F"/>
    <w:rPr>
      <w:vertAlign w:val="superscript"/>
    </w:rPr>
  </w:style>
  <w:style w:type="paragraph" w:styleId="ListParagraph">
    <w:name w:val="List Paragraph"/>
    <w:basedOn w:val="Normal"/>
    <w:uiPriority w:val="34"/>
    <w:qFormat/>
    <w:rsid w:val="0086045F"/>
    <w:pPr>
      <w:ind w:left="720"/>
      <w:contextualSpacing/>
    </w:pPr>
  </w:style>
  <w:style w:type="paragraph" w:styleId="Header">
    <w:name w:val="header"/>
    <w:basedOn w:val="Normal"/>
    <w:link w:val="HeaderChar"/>
    <w:uiPriority w:val="99"/>
    <w:unhideWhenUsed/>
    <w:rsid w:val="008742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2A0"/>
  </w:style>
  <w:style w:type="paragraph" w:styleId="Footer">
    <w:name w:val="footer"/>
    <w:basedOn w:val="Normal"/>
    <w:link w:val="FooterChar"/>
    <w:uiPriority w:val="99"/>
    <w:unhideWhenUsed/>
    <w:rsid w:val="008742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2A0"/>
  </w:style>
  <w:style w:type="character" w:styleId="Hyperlink">
    <w:name w:val="Hyperlink"/>
    <w:basedOn w:val="DefaultParagraphFont"/>
    <w:uiPriority w:val="99"/>
    <w:unhideWhenUsed/>
    <w:rsid w:val="000205D2"/>
    <w:rPr>
      <w:color w:val="0000FF"/>
      <w:u w:val="single"/>
    </w:rPr>
  </w:style>
  <w:style w:type="character" w:styleId="CommentReference">
    <w:name w:val="annotation reference"/>
    <w:basedOn w:val="DefaultParagraphFont"/>
    <w:uiPriority w:val="99"/>
    <w:semiHidden/>
    <w:unhideWhenUsed/>
    <w:rsid w:val="000205D2"/>
    <w:rPr>
      <w:sz w:val="16"/>
      <w:szCs w:val="16"/>
    </w:rPr>
  </w:style>
  <w:style w:type="paragraph" w:styleId="CommentText">
    <w:name w:val="annotation text"/>
    <w:basedOn w:val="Normal"/>
    <w:link w:val="CommentTextChar"/>
    <w:uiPriority w:val="99"/>
    <w:semiHidden/>
    <w:unhideWhenUsed/>
    <w:rsid w:val="000205D2"/>
    <w:pPr>
      <w:spacing w:line="240" w:lineRule="auto"/>
    </w:pPr>
    <w:rPr>
      <w:sz w:val="20"/>
      <w:szCs w:val="20"/>
    </w:rPr>
  </w:style>
  <w:style w:type="character" w:customStyle="1" w:styleId="CommentTextChar">
    <w:name w:val="Comment Text Char"/>
    <w:basedOn w:val="DefaultParagraphFont"/>
    <w:link w:val="CommentText"/>
    <w:uiPriority w:val="99"/>
    <w:semiHidden/>
    <w:rsid w:val="000205D2"/>
    <w:rPr>
      <w:sz w:val="20"/>
      <w:szCs w:val="20"/>
    </w:rPr>
  </w:style>
  <w:style w:type="paragraph" w:styleId="CommentSubject">
    <w:name w:val="annotation subject"/>
    <w:basedOn w:val="CommentText"/>
    <w:next w:val="CommentText"/>
    <w:link w:val="CommentSubjectChar"/>
    <w:uiPriority w:val="99"/>
    <w:semiHidden/>
    <w:unhideWhenUsed/>
    <w:rsid w:val="000205D2"/>
    <w:rPr>
      <w:b/>
      <w:bCs/>
    </w:rPr>
  </w:style>
  <w:style w:type="character" w:customStyle="1" w:styleId="CommentSubjectChar">
    <w:name w:val="Comment Subject Char"/>
    <w:basedOn w:val="CommentTextChar"/>
    <w:link w:val="CommentSubject"/>
    <w:uiPriority w:val="99"/>
    <w:semiHidden/>
    <w:rsid w:val="000205D2"/>
    <w:rPr>
      <w:b/>
      <w:bCs/>
      <w:sz w:val="20"/>
      <w:szCs w:val="20"/>
    </w:rPr>
  </w:style>
  <w:style w:type="paragraph" w:styleId="BalloonText">
    <w:name w:val="Balloon Text"/>
    <w:basedOn w:val="Normal"/>
    <w:link w:val="BalloonTextChar"/>
    <w:uiPriority w:val="99"/>
    <w:semiHidden/>
    <w:unhideWhenUsed/>
    <w:rsid w:val="0002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D2"/>
    <w:rPr>
      <w:rFonts w:ascii="Tahoma" w:hAnsi="Tahoma" w:cs="Tahoma"/>
      <w:sz w:val="16"/>
      <w:szCs w:val="16"/>
    </w:rPr>
  </w:style>
  <w:style w:type="paragraph" w:customStyle="1" w:styleId="Bullet0">
    <w:name w:val="Bullet 0"/>
    <w:basedOn w:val="Normal"/>
    <w:rsid w:val="00D71C88"/>
    <w:pPr>
      <w:numPr>
        <w:numId w:val="7"/>
      </w:numPr>
      <w:spacing w:before="120" w:after="120" w:line="240" w:lineRule="auto"/>
      <w:jc w:val="both"/>
    </w:pPr>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rsid w:val="009A6FB9"/>
    <w:pPr>
      <w:spacing w:after="120" w:line="240" w:lineRule="auto"/>
      <w:ind w:left="283"/>
      <w:jc w:val="both"/>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9A6FB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045F"/>
    <w:pPr>
      <w:spacing w:after="0" w:line="240" w:lineRule="auto"/>
    </w:pPr>
    <w:rPr>
      <w:sz w:val="20"/>
      <w:szCs w:val="20"/>
    </w:rPr>
  </w:style>
  <w:style w:type="character" w:customStyle="1" w:styleId="FootnoteTextChar">
    <w:name w:val="Footnote Text Char"/>
    <w:basedOn w:val="DefaultParagraphFont"/>
    <w:link w:val="FootnoteText"/>
    <w:uiPriority w:val="99"/>
    <w:rsid w:val="0086045F"/>
    <w:rPr>
      <w:sz w:val="20"/>
      <w:szCs w:val="20"/>
    </w:rPr>
  </w:style>
  <w:style w:type="character" w:styleId="FootnoteReference">
    <w:name w:val="footnote reference"/>
    <w:basedOn w:val="DefaultParagraphFont"/>
    <w:uiPriority w:val="99"/>
    <w:unhideWhenUsed/>
    <w:rsid w:val="0086045F"/>
    <w:rPr>
      <w:vertAlign w:val="superscript"/>
    </w:rPr>
  </w:style>
  <w:style w:type="paragraph" w:styleId="ListParagraph">
    <w:name w:val="List Paragraph"/>
    <w:basedOn w:val="Normal"/>
    <w:uiPriority w:val="34"/>
    <w:qFormat/>
    <w:rsid w:val="0086045F"/>
    <w:pPr>
      <w:ind w:left="720"/>
      <w:contextualSpacing/>
    </w:pPr>
  </w:style>
  <w:style w:type="paragraph" w:styleId="Header">
    <w:name w:val="header"/>
    <w:basedOn w:val="Normal"/>
    <w:link w:val="HeaderChar"/>
    <w:uiPriority w:val="99"/>
    <w:unhideWhenUsed/>
    <w:rsid w:val="008742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2A0"/>
  </w:style>
  <w:style w:type="paragraph" w:styleId="Footer">
    <w:name w:val="footer"/>
    <w:basedOn w:val="Normal"/>
    <w:link w:val="FooterChar"/>
    <w:uiPriority w:val="99"/>
    <w:unhideWhenUsed/>
    <w:rsid w:val="008742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2A0"/>
  </w:style>
  <w:style w:type="character" w:styleId="Hyperlink">
    <w:name w:val="Hyperlink"/>
    <w:basedOn w:val="DefaultParagraphFont"/>
    <w:uiPriority w:val="99"/>
    <w:unhideWhenUsed/>
    <w:rsid w:val="000205D2"/>
    <w:rPr>
      <w:color w:val="0000FF"/>
      <w:u w:val="single"/>
    </w:rPr>
  </w:style>
  <w:style w:type="character" w:styleId="CommentReference">
    <w:name w:val="annotation reference"/>
    <w:basedOn w:val="DefaultParagraphFont"/>
    <w:uiPriority w:val="99"/>
    <w:semiHidden/>
    <w:unhideWhenUsed/>
    <w:rsid w:val="000205D2"/>
    <w:rPr>
      <w:sz w:val="16"/>
      <w:szCs w:val="16"/>
    </w:rPr>
  </w:style>
  <w:style w:type="paragraph" w:styleId="CommentText">
    <w:name w:val="annotation text"/>
    <w:basedOn w:val="Normal"/>
    <w:link w:val="CommentTextChar"/>
    <w:uiPriority w:val="99"/>
    <w:semiHidden/>
    <w:unhideWhenUsed/>
    <w:rsid w:val="000205D2"/>
    <w:pPr>
      <w:spacing w:line="240" w:lineRule="auto"/>
    </w:pPr>
    <w:rPr>
      <w:sz w:val="20"/>
      <w:szCs w:val="20"/>
    </w:rPr>
  </w:style>
  <w:style w:type="character" w:customStyle="1" w:styleId="CommentTextChar">
    <w:name w:val="Comment Text Char"/>
    <w:basedOn w:val="DefaultParagraphFont"/>
    <w:link w:val="CommentText"/>
    <w:uiPriority w:val="99"/>
    <w:semiHidden/>
    <w:rsid w:val="000205D2"/>
    <w:rPr>
      <w:sz w:val="20"/>
      <w:szCs w:val="20"/>
    </w:rPr>
  </w:style>
  <w:style w:type="paragraph" w:styleId="CommentSubject">
    <w:name w:val="annotation subject"/>
    <w:basedOn w:val="CommentText"/>
    <w:next w:val="CommentText"/>
    <w:link w:val="CommentSubjectChar"/>
    <w:uiPriority w:val="99"/>
    <w:semiHidden/>
    <w:unhideWhenUsed/>
    <w:rsid w:val="000205D2"/>
    <w:rPr>
      <w:b/>
      <w:bCs/>
    </w:rPr>
  </w:style>
  <w:style w:type="character" w:customStyle="1" w:styleId="CommentSubjectChar">
    <w:name w:val="Comment Subject Char"/>
    <w:basedOn w:val="CommentTextChar"/>
    <w:link w:val="CommentSubject"/>
    <w:uiPriority w:val="99"/>
    <w:semiHidden/>
    <w:rsid w:val="000205D2"/>
    <w:rPr>
      <w:b/>
      <w:bCs/>
      <w:sz w:val="20"/>
      <w:szCs w:val="20"/>
    </w:rPr>
  </w:style>
  <w:style w:type="paragraph" w:styleId="BalloonText">
    <w:name w:val="Balloon Text"/>
    <w:basedOn w:val="Normal"/>
    <w:link w:val="BalloonTextChar"/>
    <w:uiPriority w:val="99"/>
    <w:semiHidden/>
    <w:unhideWhenUsed/>
    <w:rsid w:val="0002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D2"/>
    <w:rPr>
      <w:rFonts w:ascii="Tahoma" w:hAnsi="Tahoma" w:cs="Tahoma"/>
      <w:sz w:val="16"/>
      <w:szCs w:val="16"/>
    </w:rPr>
  </w:style>
  <w:style w:type="paragraph" w:customStyle="1" w:styleId="Bullet0">
    <w:name w:val="Bullet 0"/>
    <w:basedOn w:val="Normal"/>
    <w:rsid w:val="00D71C88"/>
    <w:pPr>
      <w:numPr>
        <w:numId w:val="7"/>
      </w:numPr>
      <w:spacing w:before="120" w:after="120" w:line="240" w:lineRule="auto"/>
      <w:jc w:val="both"/>
    </w:pPr>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rsid w:val="009A6FB9"/>
    <w:pPr>
      <w:spacing w:after="120" w:line="240" w:lineRule="auto"/>
      <w:ind w:left="283"/>
      <w:jc w:val="both"/>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9A6FB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854">
      <w:bodyDiv w:val="1"/>
      <w:marLeft w:val="0"/>
      <w:marRight w:val="0"/>
      <w:marTop w:val="0"/>
      <w:marBottom w:val="0"/>
      <w:divBdr>
        <w:top w:val="none" w:sz="0" w:space="0" w:color="auto"/>
        <w:left w:val="none" w:sz="0" w:space="0" w:color="auto"/>
        <w:bottom w:val="none" w:sz="0" w:space="0" w:color="auto"/>
        <w:right w:val="none" w:sz="0" w:space="0" w:color="auto"/>
      </w:divBdr>
    </w:div>
    <w:div w:id="1083377637">
      <w:bodyDiv w:val="1"/>
      <w:marLeft w:val="0"/>
      <w:marRight w:val="0"/>
      <w:marTop w:val="0"/>
      <w:marBottom w:val="0"/>
      <w:divBdr>
        <w:top w:val="none" w:sz="0" w:space="0" w:color="auto"/>
        <w:left w:val="none" w:sz="0" w:space="0" w:color="auto"/>
        <w:bottom w:val="none" w:sz="0" w:space="0" w:color="auto"/>
        <w:right w:val="none" w:sz="0" w:space="0" w:color="auto"/>
      </w:divBdr>
    </w:div>
    <w:div w:id="1441602313">
      <w:bodyDiv w:val="1"/>
      <w:marLeft w:val="0"/>
      <w:marRight w:val="0"/>
      <w:marTop w:val="0"/>
      <w:marBottom w:val="0"/>
      <w:divBdr>
        <w:top w:val="none" w:sz="0" w:space="0" w:color="auto"/>
        <w:left w:val="none" w:sz="0" w:space="0" w:color="auto"/>
        <w:bottom w:val="none" w:sz="0" w:space="0" w:color="auto"/>
        <w:right w:val="none" w:sz="0" w:space="0" w:color="auto"/>
      </w:divBdr>
    </w:div>
    <w:div w:id="19500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survey/pdf/answer/b0b2c677-102a-4cf9-a839-97dfac5eb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447B-D428-4778-945F-447E55C0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2774</Words>
  <Characters>20112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Rimsa</dc:creator>
  <cp:lastModifiedBy>Helena Rimsa</cp:lastModifiedBy>
  <cp:revision>7</cp:revision>
  <cp:lastPrinted>2015-05-29T08:13:00Z</cp:lastPrinted>
  <dcterms:created xsi:type="dcterms:W3CDTF">2015-05-29T07:59:00Z</dcterms:created>
  <dcterms:modified xsi:type="dcterms:W3CDTF">2015-05-29T08:34:00Z</dcterms:modified>
</cp:coreProperties>
</file>