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2E" w:rsidRDefault="006D632E" w:rsidP="006D632E">
      <w:pPr>
        <w:jc w:val="center"/>
        <w:rPr>
          <w:lang w:eastAsia="en-US"/>
        </w:rPr>
      </w:pPr>
    </w:p>
    <w:p w:rsidR="006D632E" w:rsidRDefault="006D632E" w:rsidP="006D632E">
      <w:pPr>
        <w:jc w:val="center"/>
        <w:rPr>
          <w:lang w:eastAsia="en-US"/>
        </w:rPr>
      </w:pPr>
    </w:p>
    <w:p w:rsidR="009117F4" w:rsidRPr="00945B51" w:rsidRDefault="009117F4" w:rsidP="006D632E">
      <w:pPr>
        <w:jc w:val="center"/>
        <w:rPr>
          <w:lang w:eastAsia="en-US"/>
        </w:rPr>
      </w:pPr>
      <w:r w:rsidRPr="00945B51">
        <w:rPr>
          <w:lang w:eastAsia="en-US"/>
        </w:rPr>
        <w:t>Ministru kabineta noteikumu projekta</w:t>
      </w:r>
      <w:r w:rsidR="00643FD1">
        <w:rPr>
          <w:lang w:eastAsia="en-US"/>
        </w:rPr>
        <w:t xml:space="preserve"> </w:t>
      </w:r>
      <w:r w:rsidR="00643FD1" w:rsidRPr="00470669">
        <w:rPr>
          <w:b/>
          <w:lang w:eastAsia="en-US"/>
        </w:rPr>
        <w:t>„</w:t>
      </w:r>
      <w:r w:rsidR="00643FD1" w:rsidRPr="00643FD1">
        <w:rPr>
          <w:b/>
          <w:lang w:eastAsia="en-US"/>
        </w:rPr>
        <w:t xml:space="preserve">Grozījumi Ministru kabineta 2015. gada 7. aprīļa noteikumos Nr. 171 </w:t>
      </w:r>
      <w:r w:rsidR="00032CCB" w:rsidRPr="00643FD1">
        <w:rPr>
          <w:lang w:eastAsia="en-US"/>
        </w:rPr>
        <w:t>„</w:t>
      </w:r>
      <w:r w:rsidR="00227150" w:rsidRPr="00643FD1">
        <w:rPr>
          <w:rStyle w:val="Izteiksmgs"/>
          <w:bCs w:val="0"/>
        </w:rPr>
        <w:t>Noteikumi par valsts un Eiropas Savienības atbalsta piešķiršanu, administrēšanu un uzr</w:t>
      </w:r>
      <w:r w:rsidR="00227150" w:rsidRPr="00945B51">
        <w:rPr>
          <w:rStyle w:val="Izteiksmgs"/>
          <w:bCs w:val="0"/>
        </w:rPr>
        <w:t xml:space="preserve">audzību </w:t>
      </w:r>
      <w:r w:rsidR="00227150" w:rsidRPr="00945B51">
        <w:rPr>
          <w:rStyle w:val="Izteiksmgs"/>
        </w:rPr>
        <w:t xml:space="preserve">vides, klimata un lauku ainavas uzlabošanai </w:t>
      </w:r>
      <w:r w:rsidR="00227150" w:rsidRPr="00945B51">
        <w:rPr>
          <w:rStyle w:val="Izteiksmgs"/>
          <w:bCs w:val="0"/>
        </w:rPr>
        <w:t>2014.-2020.gada plānošanas periodā</w:t>
      </w:r>
      <w:r w:rsidRPr="00470669">
        <w:rPr>
          <w:b/>
          <w:lang w:eastAsia="en-US"/>
        </w:rPr>
        <w:t>”</w:t>
      </w:r>
      <w:r w:rsidRPr="00945B51">
        <w:rPr>
          <w:lang w:eastAsia="en-US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945B51">
          <w:rPr>
            <w:lang w:eastAsia="en-US"/>
          </w:rPr>
          <w:t>ziņojums</w:t>
        </w:r>
      </w:smartTag>
      <w:r w:rsidRPr="00945B51">
        <w:rPr>
          <w:lang w:eastAsia="en-US"/>
        </w:rPr>
        <w:t xml:space="preserve"> (anotācija)</w:t>
      </w:r>
    </w:p>
    <w:p w:rsidR="00945B51" w:rsidRDefault="00945B51" w:rsidP="00227150">
      <w:pPr>
        <w:jc w:val="center"/>
        <w:rPr>
          <w:bCs/>
          <w:sz w:val="28"/>
          <w:szCs w:val="28"/>
        </w:rPr>
      </w:pPr>
    </w:p>
    <w:p w:rsidR="006D632E" w:rsidRPr="00A5479D" w:rsidRDefault="006D632E" w:rsidP="00227150">
      <w:pPr>
        <w:jc w:val="center"/>
        <w:rPr>
          <w:bCs/>
          <w:sz w:val="28"/>
          <w:szCs w:val="28"/>
        </w:rPr>
      </w:pPr>
    </w:p>
    <w:p w:rsidR="009117F4" w:rsidRPr="005F2CAC" w:rsidRDefault="009117F4" w:rsidP="006B42E1">
      <w:pPr>
        <w:ind w:firstLine="301"/>
        <w:rPr>
          <w:sz w:val="10"/>
        </w:rPr>
      </w:pPr>
      <w:r w:rsidRPr="005F2CAC">
        <w:rPr>
          <w:sz w:val="10"/>
        </w:rPr>
        <w:t> </w:t>
      </w:r>
    </w:p>
    <w:tbl>
      <w:tblPr>
        <w:tblW w:w="96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"/>
        <w:gridCol w:w="1613"/>
        <w:gridCol w:w="7129"/>
      </w:tblGrid>
      <w:tr w:rsidR="009117F4" w:rsidRPr="005F2CAC" w:rsidTr="008D4EEA">
        <w:trPr>
          <w:trHeight w:val="147"/>
        </w:trPr>
        <w:tc>
          <w:tcPr>
            <w:tcW w:w="9614" w:type="dxa"/>
            <w:gridSpan w:val="3"/>
          </w:tcPr>
          <w:p w:rsidR="009117F4" w:rsidRPr="005F2CAC" w:rsidRDefault="009117F4" w:rsidP="00E06138">
            <w:pPr>
              <w:jc w:val="center"/>
            </w:pPr>
            <w:r w:rsidRPr="005F2CAC">
              <w:rPr>
                <w:b/>
                <w:bCs/>
              </w:rPr>
              <w:t>I. Tiesību akta projekta izstrādes nepieciešamība</w:t>
            </w:r>
          </w:p>
        </w:tc>
      </w:tr>
      <w:tr w:rsidR="009117F4" w:rsidRPr="005F2CAC" w:rsidTr="008D4EEA">
        <w:trPr>
          <w:trHeight w:val="147"/>
        </w:trPr>
        <w:tc>
          <w:tcPr>
            <w:tcW w:w="872" w:type="dxa"/>
          </w:tcPr>
          <w:p w:rsidR="009117F4" w:rsidRPr="005F2CAC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5F2CAC">
              <w:t>1.</w:t>
            </w:r>
          </w:p>
        </w:tc>
        <w:tc>
          <w:tcPr>
            <w:tcW w:w="1613" w:type="dxa"/>
          </w:tcPr>
          <w:p w:rsidR="009117F4" w:rsidRPr="005F2CAC" w:rsidRDefault="009117F4" w:rsidP="00E06138">
            <w:r w:rsidRPr="005F2CAC">
              <w:t>Pamatojums</w:t>
            </w:r>
          </w:p>
        </w:tc>
        <w:tc>
          <w:tcPr>
            <w:tcW w:w="7129" w:type="dxa"/>
          </w:tcPr>
          <w:p w:rsidR="007C5B5D" w:rsidRPr="005F2CAC" w:rsidRDefault="007C5B5D" w:rsidP="00D21DAB">
            <w:pPr>
              <w:autoSpaceDE w:val="0"/>
              <w:autoSpaceDN w:val="0"/>
              <w:adjustRightInd w:val="0"/>
              <w:jc w:val="both"/>
            </w:pPr>
            <w:r w:rsidRPr="005F2CAC">
              <w:t xml:space="preserve">Noteikumu projekts sagatavots, pamatojoties uz Lauksaimniecības un lauku attīstības likuma 5.panta ceturto un septīto daļu un </w:t>
            </w:r>
            <w:r w:rsidR="005E6328" w:rsidRPr="005F2CAC">
              <w:t xml:space="preserve">2015.gada </w:t>
            </w:r>
            <w:r w:rsidRPr="005F2CAC">
              <w:t>1</w:t>
            </w:r>
            <w:r w:rsidR="00D21DAB" w:rsidRPr="005F2CAC">
              <w:t>3</w:t>
            </w:r>
            <w:r w:rsidRPr="005F2CAC">
              <w:t>. februār</w:t>
            </w:r>
            <w:r w:rsidR="005E6328" w:rsidRPr="005F2CAC">
              <w:t>a</w:t>
            </w:r>
            <w:r w:rsidRPr="005F2CAC">
              <w:t xml:space="preserve"> Eiropas Komisija (EK) lēmum</w:t>
            </w:r>
            <w:r w:rsidR="005E6328" w:rsidRPr="005F2CAC">
              <w:t>u</w:t>
            </w:r>
            <w:r w:rsidR="00D21DAB" w:rsidRPr="005F2CAC">
              <w:t xml:space="preserve"> </w:t>
            </w:r>
            <w:r w:rsidR="00D21DAB" w:rsidRPr="00F77674">
              <w:t xml:space="preserve">C(2015)839 </w:t>
            </w:r>
            <w:r w:rsidR="005E6328" w:rsidRPr="005F2CAC">
              <w:t>„P</w:t>
            </w:r>
            <w:r w:rsidRPr="005F2CAC">
              <w:t>ar Latvij</w:t>
            </w:r>
            <w:r w:rsidR="005E6328" w:rsidRPr="005F2CAC">
              <w:t xml:space="preserve">as Lauku attīstības programmas </w:t>
            </w:r>
            <w:r w:rsidRPr="005F2CAC">
              <w:t>2014.-2020. gadam apstiprināšanu</w:t>
            </w:r>
            <w:r w:rsidR="005E6328" w:rsidRPr="005F2CAC">
              <w:t>”.</w:t>
            </w:r>
          </w:p>
        </w:tc>
      </w:tr>
      <w:tr w:rsidR="009117F4" w:rsidRPr="00D30FB2" w:rsidTr="008D4EEA">
        <w:trPr>
          <w:trHeight w:val="147"/>
        </w:trPr>
        <w:tc>
          <w:tcPr>
            <w:tcW w:w="872" w:type="dxa"/>
          </w:tcPr>
          <w:p w:rsidR="009117F4" w:rsidRPr="005F2CAC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5F2CAC">
              <w:t>2.</w:t>
            </w:r>
          </w:p>
        </w:tc>
        <w:tc>
          <w:tcPr>
            <w:tcW w:w="1613" w:type="dxa"/>
          </w:tcPr>
          <w:p w:rsidR="009117F4" w:rsidRPr="005F2CAC" w:rsidRDefault="009117F4" w:rsidP="00E06138">
            <w:r w:rsidRPr="005F2CAC">
              <w:t>Pašreizējā situācija un problēmas, kuru risināšanai tiesību akta projekts izstrādāts, tiesiskā regulējuma mērķis un būtība</w:t>
            </w:r>
          </w:p>
        </w:tc>
        <w:tc>
          <w:tcPr>
            <w:tcW w:w="7129" w:type="dxa"/>
          </w:tcPr>
          <w:p w:rsidR="00B64EC7" w:rsidRPr="005F2CAC" w:rsidRDefault="0012012A" w:rsidP="00B64EC7">
            <w:pPr>
              <w:spacing w:after="120"/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Šobrīd valsts un Eiropas Savienības</w:t>
            </w:r>
            <w:r w:rsidR="0036088B" w:rsidRPr="005F2CAC">
              <w:t xml:space="preserve"> atbalsta piešķiršanas kārtību lauku attīstībai – vides</w:t>
            </w:r>
            <w:r w:rsidR="000B0E4C">
              <w:t>, klimata</w:t>
            </w:r>
            <w:r w:rsidR="0036088B" w:rsidRPr="005F2CAC">
              <w:t xml:space="preserve"> un lauku ainavas uzlabošanas pasākumiem </w:t>
            </w:r>
            <w:r w:rsidRPr="005F2CAC">
              <w:rPr>
                <w:lang w:eastAsia="en-US"/>
              </w:rPr>
              <w:t xml:space="preserve">nosaka </w:t>
            </w:r>
            <w:r w:rsidR="00643FD1" w:rsidRPr="00643FD1">
              <w:rPr>
                <w:lang w:eastAsia="en-US"/>
              </w:rPr>
              <w:t xml:space="preserve">Ministru kabineta 2015. gada 7. aprīļa noteikumos Nr. 171 </w:t>
            </w:r>
            <w:r w:rsidR="00643FD1" w:rsidRPr="00945B51">
              <w:rPr>
                <w:lang w:eastAsia="en-US"/>
              </w:rPr>
              <w:t>„</w:t>
            </w:r>
            <w:r w:rsidR="00643FD1" w:rsidRPr="00945B51">
              <w:rPr>
                <w:rStyle w:val="Izteiksmgs"/>
                <w:bCs w:val="0"/>
              </w:rPr>
              <w:t xml:space="preserve">Noteikumi par valsts un Eiropas Savienības atbalsta piešķiršanu, administrēšanu un uzraudzību </w:t>
            </w:r>
            <w:r w:rsidR="00643FD1" w:rsidRPr="00945B51">
              <w:rPr>
                <w:rStyle w:val="Izteiksmgs"/>
              </w:rPr>
              <w:t xml:space="preserve">vides, klimata un lauku ainavas uzlabošanai </w:t>
            </w:r>
            <w:r w:rsidR="00643FD1" w:rsidRPr="00945B51">
              <w:rPr>
                <w:rStyle w:val="Izteiksmgs"/>
                <w:bCs w:val="0"/>
              </w:rPr>
              <w:t>2014.-2020.gada plānošanas periodā</w:t>
            </w:r>
            <w:r w:rsidR="00643FD1" w:rsidRPr="00945B51">
              <w:rPr>
                <w:lang w:eastAsia="en-US"/>
              </w:rPr>
              <w:t>”</w:t>
            </w:r>
            <w:r w:rsidR="000B0E4C">
              <w:rPr>
                <w:lang w:eastAsia="en-US"/>
              </w:rPr>
              <w:t xml:space="preserve"> </w:t>
            </w:r>
            <w:r w:rsidRPr="005F2CAC">
              <w:rPr>
                <w:lang w:eastAsia="en-US"/>
              </w:rPr>
              <w:t>(turpmāk – Ministru kabineta noteikumi Nr.</w:t>
            </w:r>
            <w:r w:rsidR="000B0E4C">
              <w:rPr>
                <w:lang w:eastAsia="en-US"/>
              </w:rPr>
              <w:t>171</w:t>
            </w:r>
            <w:r w:rsidRPr="005F2CAC">
              <w:rPr>
                <w:lang w:eastAsia="en-US"/>
              </w:rPr>
              <w:t>).</w:t>
            </w:r>
            <w:r w:rsidR="000B0E4C">
              <w:rPr>
                <w:lang w:eastAsia="en-US"/>
              </w:rPr>
              <w:t xml:space="preserve"> </w:t>
            </w:r>
            <w:r w:rsidR="00B64EC7" w:rsidRPr="005F2CAC">
              <w:rPr>
                <w:lang w:eastAsia="en-US"/>
              </w:rPr>
              <w:t>Noteikum</w:t>
            </w:r>
            <w:r w:rsidR="00D81B78" w:rsidRPr="005F2CAC">
              <w:rPr>
                <w:lang w:eastAsia="en-US"/>
              </w:rPr>
              <w:t>u projektā</w:t>
            </w:r>
            <w:r w:rsidR="00B64EC7" w:rsidRPr="005F2CAC">
              <w:rPr>
                <w:lang w:eastAsia="en-US"/>
              </w:rPr>
              <w:t xml:space="preserve"> paredzēts, ka Latvijā tiks piemērotas</w:t>
            </w:r>
            <w:r w:rsidR="00D81B78" w:rsidRPr="005F2CAC">
              <w:rPr>
                <w:lang w:eastAsia="en-US"/>
              </w:rPr>
              <w:t xml:space="preserve"> </w:t>
            </w:r>
            <w:r w:rsidR="006A7063" w:rsidRPr="005F2CAC">
              <w:rPr>
                <w:lang w:eastAsia="en-US"/>
              </w:rPr>
              <w:t>šādas</w:t>
            </w:r>
            <w:r w:rsidR="00D81B78" w:rsidRPr="005F2CAC">
              <w:rPr>
                <w:lang w:eastAsia="en-US"/>
              </w:rPr>
              <w:t xml:space="preserve"> </w:t>
            </w:r>
            <w:r w:rsidR="00603054" w:rsidRPr="005F2CAC">
              <w:t>lauku attīstības platībatkarīgo atbalstu</w:t>
            </w:r>
            <w:r w:rsidR="00603054" w:rsidRPr="005F2CAC">
              <w:rPr>
                <w:lang w:eastAsia="en-US"/>
              </w:rPr>
              <w:t xml:space="preserve"> maksājumu pasākumi un to aktivitātes</w:t>
            </w:r>
            <w:r w:rsidR="00D81B78" w:rsidRPr="005F2CAC">
              <w:rPr>
                <w:lang w:eastAsia="en-US"/>
              </w:rPr>
              <w:t>: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1. „Agrovide un klimats”, kas ietver šādas aktivitātes: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1.1. „Bioloģiskās daudzveidības uzturēšana zālājos” (10.1.1.- pasākuma kods);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1.2. „Vidi saudzējošu metožu pielietošana dārzkopībā” (10.1.2. - pasākuma kods);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1.3. „Rugāju lauks ziemas periodā” (10.1.3. - pasākuma kods);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 xml:space="preserve">2. „Bioloģiskā lauksaimniecība”, kas ietver šādas aktivitātes: 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2.1. „Maksājums, lai pārietu uz bioloģiskās lauksaimniecības praksi un metodēm” (11.1. - pasākuma kods);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2.2. „Maksājums, lai saglabātu bioloģiskās lauksaimniecības praksi un metodes” (11.2. - pasākuma kods).</w:t>
            </w:r>
          </w:p>
          <w:p w:rsidR="00603054" w:rsidRPr="005F2CAC" w:rsidRDefault="00603054" w:rsidP="00603054">
            <w:pPr>
              <w:jc w:val="both"/>
              <w:rPr>
                <w:i/>
                <w:iCs/>
                <w:lang w:eastAsia="en-US"/>
              </w:rPr>
            </w:pPr>
            <w:r w:rsidRPr="005F2CAC">
              <w:rPr>
                <w:lang w:eastAsia="en-US"/>
              </w:rPr>
              <w:t>3. „Natura 2000 un Ūdens pamatdirektīvas maksājumi” aktivitātei „Kompensācijas maksājums par Natura 2000 meža teritorijām” (12.2. - pasākuma kods);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4. „Maksājumi apgabaliem, kuros ir dabas vai citi specifiski ierobežojumi”, kas ietver šādas aktivitātes: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4.1. „Kompensācijas maksājums par citiem apgabaliem, kuros ir ievērojami dabas ierobežojumi” (13.2. - pasākuma kods);</w:t>
            </w:r>
          </w:p>
          <w:p w:rsidR="00603054" w:rsidRPr="005F2CAC" w:rsidRDefault="00603054" w:rsidP="00603054">
            <w:pPr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4.2. „Kompensācijas maksājums par citiem apgabaliem, kurus ietekmē specifiski ierobežojumi” (13.3. - pasākuma kods).</w:t>
            </w:r>
          </w:p>
          <w:p w:rsidR="009E3299" w:rsidRPr="005F2CAC" w:rsidRDefault="009E3299" w:rsidP="00603054">
            <w:pPr>
              <w:jc w:val="both"/>
              <w:rPr>
                <w:lang w:eastAsia="en-US"/>
              </w:rPr>
            </w:pPr>
          </w:p>
          <w:p w:rsidR="008E38E3" w:rsidRPr="00A8465F" w:rsidRDefault="000B0E4C" w:rsidP="007B2DBD">
            <w:pPr>
              <w:spacing w:after="120"/>
              <w:jc w:val="both"/>
              <w:rPr>
                <w:lang w:eastAsia="en-US"/>
              </w:rPr>
            </w:pPr>
            <w:r w:rsidRPr="000B0E4C">
              <w:rPr>
                <w:lang w:eastAsia="en-US"/>
              </w:rPr>
              <w:t>Ievērojot minēto, š.g. 22.aprīlī ir uzsākta aktivitāšu administrēšana</w:t>
            </w:r>
            <w:r w:rsidR="008E38E3">
              <w:rPr>
                <w:lang w:eastAsia="en-US"/>
              </w:rPr>
              <w:t>, kuras</w:t>
            </w:r>
            <w:r w:rsidRPr="000B0E4C">
              <w:rPr>
                <w:b/>
                <w:lang w:eastAsia="en-US"/>
              </w:rPr>
              <w:t xml:space="preserve"> gaitā konstatētas tehniskas neprecizitātes</w:t>
            </w:r>
            <w:r w:rsidR="00764117">
              <w:rPr>
                <w:b/>
                <w:lang w:eastAsia="en-US"/>
              </w:rPr>
              <w:t>.</w:t>
            </w:r>
            <w:r w:rsidR="008E38E3">
              <w:rPr>
                <w:b/>
                <w:lang w:eastAsia="en-US"/>
              </w:rPr>
              <w:t xml:space="preserve"> </w:t>
            </w:r>
            <w:r w:rsidR="00764117">
              <w:rPr>
                <w:b/>
                <w:lang w:eastAsia="en-US"/>
              </w:rPr>
              <w:t xml:space="preserve">Tāpat konstatēta nepieciešamība iekļaut normatīvajā aktā atsevišķus </w:t>
            </w:r>
            <w:r w:rsidR="00A8465F">
              <w:rPr>
                <w:b/>
                <w:lang w:eastAsia="en-US"/>
              </w:rPr>
              <w:t xml:space="preserve">atbalsta piešķiršanas </w:t>
            </w:r>
            <w:r w:rsidR="00764117">
              <w:rPr>
                <w:b/>
                <w:lang w:eastAsia="en-US"/>
              </w:rPr>
              <w:t>precizējošu</w:t>
            </w:r>
            <w:r w:rsidR="00A8465F">
              <w:rPr>
                <w:b/>
                <w:lang w:eastAsia="en-US"/>
              </w:rPr>
              <w:t>s</w:t>
            </w:r>
            <w:r w:rsidR="00764117">
              <w:rPr>
                <w:b/>
                <w:lang w:eastAsia="en-US"/>
              </w:rPr>
              <w:t xml:space="preserve"> nosacījumu</w:t>
            </w:r>
            <w:r w:rsidR="00A8465F">
              <w:rPr>
                <w:b/>
                <w:lang w:eastAsia="en-US"/>
              </w:rPr>
              <w:t>s</w:t>
            </w:r>
            <w:r w:rsidR="00764117">
              <w:rPr>
                <w:b/>
                <w:lang w:eastAsia="en-US"/>
              </w:rPr>
              <w:t xml:space="preserve">. Konstatētie tūkumi jānovērš visdrīzākajā laikā, jo līdz š.g. 22.maijam tupinās iesniegumu pieņemšana no atbalstu pretendentiem. </w:t>
            </w:r>
            <w:r w:rsidR="00A8465F" w:rsidRPr="00A8465F">
              <w:rPr>
                <w:lang w:eastAsia="en-US"/>
              </w:rPr>
              <w:t xml:space="preserve">Pēcāk, līdz š.g. </w:t>
            </w:r>
            <w:r w:rsidR="00A8465F" w:rsidRPr="00A8465F">
              <w:rPr>
                <w:lang w:eastAsia="en-US"/>
              </w:rPr>
              <w:lastRenderedPageBreak/>
              <w:t>15.jūnijam, pretendenti ir tiesīgi veikt iesni</w:t>
            </w:r>
            <w:r w:rsidR="00A8465F">
              <w:rPr>
                <w:lang w:eastAsia="en-US"/>
              </w:rPr>
              <w:t>e</w:t>
            </w:r>
            <w:r w:rsidR="00EE219B">
              <w:rPr>
                <w:lang w:eastAsia="en-US"/>
              </w:rPr>
              <w:t>gumu precizējums, veicot korekcijas, atbilstoši spēkā esošajām atbalsta piešķiršanas prasībām.</w:t>
            </w:r>
          </w:p>
          <w:p w:rsidR="0073404C" w:rsidRDefault="001E1FC0" w:rsidP="00F8292E">
            <w:pPr>
              <w:pStyle w:val="nais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F2CAC">
              <w:rPr>
                <w:lang w:eastAsia="en-US"/>
              </w:rPr>
              <w:t>Not</w:t>
            </w:r>
            <w:r w:rsidR="00F15613" w:rsidRPr="005F2CAC">
              <w:rPr>
                <w:lang w:eastAsia="en-US"/>
              </w:rPr>
              <w:t>e</w:t>
            </w:r>
            <w:r w:rsidR="000B0071">
              <w:rPr>
                <w:lang w:eastAsia="en-US"/>
              </w:rPr>
              <w:t xml:space="preserve">ikumu projektā ir paredzēts tehniski precizēt </w:t>
            </w:r>
            <w:r w:rsidR="009F7902">
              <w:rPr>
                <w:lang w:eastAsia="en-US"/>
              </w:rPr>
              <w:t xml:space="preserve">atsevišķus </w:t>
            </w:r>
            <w:r w:rsidR="000B0071">
              <w:rPr>
                <w:lang w:eastAsia="en-US"/>
              </w:rPr>
              <w:t>noteikumu punktus</w:t>
            </w:r>
            <w:r w:rsidR="009F7902">
              <w:rPr>
                <w:lang w:eastAsia="en-US"/>
              </w:rPr>
              <w:t xml:space="preserve">, kas nosaka atbalsta piešķiršanu pasākumiem </w:t>
            </w:r>
            <w:r w:rsidR="00835EC1" w:rsidRPr="005F2CAC">
              <w:rPr>
                <w:lang w:eastAsia="en-US"/>
              </w:rPr>
              <w:t>„Bioloģiskā lauksaimniecība”,</w:t>
            </w:r>
            <w:r w:rsidR="00835EC1">
              <w:rPr>
                <w:lang w:eastAsia="en-US"/>
              </w:rPr>
              <w:t xml:space="preserve"> </w:t>
            </w:r>
            <w:r w:rsidR="00702C5F" w:rsidRPr="005F2CAC">
              <w:rPr>
                <w:lang w:eastAsia="en-US"/>
              </w:rPr>
              <w:t>Natura 2000 un Ūdens pamatdirektīvas maksājumi”</w:t>
            </w:r>
            <w:r w:rsidR="00702C5F">
              <w:rPr>
                <w:lang w:eastAsia="en-US"/>
              </w:rPr>
              <w:t xml:space="preserve"> un </w:t>
            </w:r>
            <w:r w:rsidR="00702C5F" w:rsidRPr="005F2CAC">
              <w:rPr>
                <w:lang w:eastAsia="en-US"/>
              </w:rPr>
              <w:t>„Maksājumi apgabaliem, kuros ir dabas va</w:t>
            </w:r>
            <w:r w:rsidR="00702C5F">
              <w:rPr>
                <w:lang w:eastAsia="en-US"/>
              </w:rPr>
              <w:t>i citi specifiski ierobežojumi”.</w:t>
            </w:r>
          </w:p>
          <w:p w:rsidR="0073404C" w:rsidRDefault="0073404C" w:rsidP="00F8292E">
            <w:pPr>
              <w:pStyle w:val="nais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Piemēram, pasākumā </w:t>
            </w:r>
            <w:r w:rsidRPr="005F2CAC">
              <w:rPr>
                <w:lang w:eastAsia="en-US"/>
              </w:rPr>
              <w:t>„Bioloģiskā lauksaimniecība”</w:t>
            </w:r>
            <w:r>
              <w:rPr>
                <w:lang w:eastAsia="en-US"/>
              </w:rPr>
              <w:t xml:space="preserve"> tiek precizēta punkta redakcija, kas skaidro kā notiek bioloģiski sertificētu bišu saimju skaita noteikšana saimniecībā laika posmā no kārtējā gada 15.maija līdz 15.septembrim, - to iestādes rēķina kā vidējo rādītāju 124 dienu periodā, kas nozīmē, ka saimju skaits periodā var būt mainīgs, bet vidējam rādītājam ir jāsasniedz vismaz minimālais slieksnis (20 saimes). </w:t>
            </w:r>
          </w:p>
          <w:p w:rsidR="00744590" w:rsidRPr="00744590" w:rsidRDefault="00764117" w:rsidP="00F8292E">
            <w:pPr>
              <w:pStyle w:val="naisf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 xml:space="preserve">Tāpat, atbalsta administrēšanas procesa precizēšanas nolūkā, nepieciešams svītrot </w:t>
            </w:r>
            <w:r w:rsidRPr="00764117">
              <w:rPr>
                <w:lang w:eastAsia="en-US"/>
              </w:rPr>
              <w:t xml:space="preserve">68. punkta ievaddaļā vārdus „un atrodas dažādās administratīvajās teritorijās, kurām saskaņā ar šo noteikumu </w:t>
            </w:r>
            <w:hyperlink r:id="rId8" w:anchor="piel7" w:tgtFrame="_blank" w:history="1">
              <w:r w:rsidRPr="00764117">
                <w:rPr>
                  <w:lang w:eastAsia="en-US"/>
                </w:rPr>
                <w:t>7. pielikumu</w:t>
              </w:r>
            </w:hyperlink>
            <w:r w:rsidRPr="00764117">
              <w:rPr>
                <w:lang w:eastAsia="en-US"/>
              </w:rPr>
              <w:t xml:space="preserve"> noteikta atšķirīga apvidus kategorija”</w:t>
            </w:r>
            <w:r>
              <w:rPr>
                <w:lang w:eastAsia="en-US"/>
              </w:rPr>
              <w:t xml:space="preserve">, jo, saskaņā ar </w:t>
            </w:r>
            <w:r w:rsidRPr="005F2CAC">
              <w:t xml:space="preserve">2015.gada 13. februāra Eiropas Komisija (EK) lēmumu </w:t>
            </w:r>
            <w:r w:rsidRPr="00F77674">
              <w:t xml:space="preserve">C(2015)839 </w:t>
            </w:r>
            <w:r w:rsidRPr="005F2CAC">
              <w:t>„Par Latvijas Lauku attīstības programmas 2014.-2020. gadam apstiprināšanu”</w:t>
            </w:r>
            <w:r>
              <w:t xml:space="preserve">, neatkarīgi no saimniecības atrašanās vietas, ja uz atbalstu </w:t>
            </w:r>
            <w:r w:rsidRPr="005F2CAC">
              <w:rPr>
                <w:lang w:eastAsia="en-US"/>
              </w:rPr>
              <w:t>„Maksājumi apgabaliem, kuros ir dabas va</w:t>
            </w:r>
            <w:r>
              <w:rPr>
                <w:lang w:eastAsia="en-US"/>
              </w:rPr>
              <w:t xml:space="preserve">i citi specifiski ierobežojumi” pieteikti vairāk kā 100ha lauksaimniecības zemes, tad platībai vis 100ha piemēro </w:t>
            </w:r>
            <w:r w:rsidR="003905FE">
              <w:rPr>
                <w:lang w:eastAsia="en-US"/>
              </w:rPr>
              <w:t>atbalsta likmes samazinājumu.</w:t>
            </w:r>
            <w:r>
              <w:t xml:space="preserve"> </w:t>
            </w:r>
          </w:p>
        </w:tc>
      </w:tr>
      <w:tr w:rsidR="009117F4" w:rsidRPr="00D30FB2" w:rsidTr="008D4EEA">
        <w:trPr>
          <w:trHeight w:val="147"/>
        </w:trPr>
        <w:tc>
          <w:tcPr>
            <w:tcW w:w="872" w:type="dxa"/>
          </w:tcPr>
          <w:p w:rsidR="009117F4" w:rsidRPr="00D30FB2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D30FB2">
              <w:lastRenderedPageBreak/>
              <w:t>3.</w:t>
            </w:r>
          </w:p>
        </w:tc>
        <w:tc>
          <w:tcPr>
            <w:tcW w:w="1613" w:type="dxa"/>
          </w:tcPr>
          <w:p w:rsidR="009117F4" w:rsidRPr="00D30FB2" w:rsidRDefault="00110153" w:rsidP="00E06138">
            <w:r w:rsidRPr="00D30FB2">
              <w:t xml:space="preserve">Projekta izstrādē iesaistītās </w:t>
            </w:r>
            <w:r w:rsidR="009117F4" w:rsidRPr="00D30FB2">
              <w:t>institūcijas</w:t>
            </w:r>
          </w:p>
        </w:tc>
        <w:tc>
          <w:tcPr>
            <w:tcW w:w="7129" w:type="dxa"/>
          </w:tcPr>
          <w:p w:rsidR="009117F4" w:rsidRPr="006D0A21" w:rsidRDefault="009117F4" w:rsidP="000B0071">
            <w:pPr>
              <w:jc w:val="both"/>
              <w:rPr>
                <w:bCs/>
                <w:lang w:eastAsia="en-US"/>
              </w:rPr>
            </w:pPr>
            <w:r w:rsidRPr="00D30FB2">
              <w:rPr>
                <w:lang w:eastAsia="en-US"/>
              </w:rPr>
              <w:t>Zemkopības ministrija</w:t>
            </w:r>
            <w:r w:rsidR="007F2259" w:rsidRPr="00D30FB2">
              <w:rPr>
                <w:lang w:eastAsia="en-US"/>
              </w:rPr>
              <w:t>,</w:t>
            </w:r>
            <w:r w:rsidRPr="00D30FB2">
              <w:rPr>
                <w:lang w:eastAsia="en-US"/>
              </w:rPr>
              <w:t xml:space="preserve"> </w:t>
            </w:r>
            <w:r w:rsidR="0021371F" w:rsidRPr="00D30FB2">
              <w:rPr>
                <w:lang w:eastAsia="en-US"/>
              </w:rPr>
              <w:t>Lauku atbalsta dienests</w:t>
            </w:r>
          </w:p>
        </w:tc>
      </w:tr>
      <w:tr w:rsidR="009117F4" w:rsidRPr="00D30FB2" w:rsidTr="008D4EEA">
        <w:trPr>
          <w:trHeight w:val="147"/>
        </w:trPr>
        <w:tc>
          <w:tcPr>
            <w:tcW w:w="872" w:type="dxa"/>
          </w:tcPr>
          <w:p w:rsidR="009117F4" w:rsidRPr="00D30FB2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D30FB2">
              <w:t>4.</w:t>
            </w:r>
          </w:p>
        </w:tc>
        <w:tc>
          <w:tcPr>
            <w:tcW w:w="1613" w:type="dxa"/>
          </w:tcPr>
          <w:p w:rsidR="009117F4" w:rsidRPr="00D30FB2" w:rsidRDefault="009117F4" w:rsidP="00E06138">
            <w:r w:rsidRPr="00D30FB2">
              <w:t>Cita informācija</w:t>
            </w:r>
          </w:p>
        </w:tc>
        <w:tc>
          <w:tcPr>
            <w:tcW w:w="7129" w:type="dxa"/>
          </w:tcPr>
          <w:p w:rsidR="009117F4" w:rsidRPr="00D30FB2" w:rsidRDefault="009117F4" w:rsidP="00E06138">
            <w:pPr>
              <w:spacing w:before="100" w:beforeAutospacing="1" w:after="100" w:afterAutospacing="1" w:line="360" w:lineRule="auto"/>
            </w:pPr>
            <w:r w:rsidRPr="00D30FB2">
              <w:t>Nav</w:t>
            </w:r>
          </w:p>
        </w:tc>
      </w:tr>
    </w:tbl>
    <w:p w:rsidR="008B6DFD" w:rsidRPr="00D30FB2" w:rsidRDefault="008B6DFD" w:rsidP="006B42E1">
      <w:pPr>
        <w:ind w:firstLine="301"/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318"/>
        <w:gridCol w:w="7131"/>
      </w:tblGrid>
      <w:tr w:rsidR="009117F4" w:rsidRPr="00D30FB2" w:rsidTr="00CD1BE7">
        <w:trPr>
          <w:trHeight w:val="555"/>
        </w:trPr>
        <w:tc>
          <w:tcPr>
            <w:tcW w:w="5000" w:type="pct"/>
            <w:gridSpan w:val="3"/>
          </w:tcPr>
          <w:p w:rsidR="009117F4" w:rsidRPr="00D30FB2" w:rsidRDefault="009117F4" w:rsidP="00E06138">
            <w:pPr>
              <w:spacing w:before="100" w:beforeAutospacing="1" w:after="100" w:afterAutospacing="1"/>
              <w:ind w:firstLine="301"/>
              <w:jc w:val="center"/>
              <w:rPr>
                <w:b/>
                <w:bCs/>
              </w:rPr>
            </w:pPr>
            <w:r w:rsidRPr="00D30FB2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9117F4" w:rsidRPr="00D30FB2" w:rsidTr="00CD1BE7">
        <w:trPr>
          <w:trHeight w:val="465"/>
        </w:trPr>
        <w:tc>
          <w:tcPr>
            <w:tcW w:w="382" w:type="pct"/>
          </w:tcPr>
          <w:p w:rsidR="009117F4" w:rsidRPr="00D30FB2" w:rsidRDefault="009117F4" w:rsidP="00E06138">
            <w:r w:rsidRPr="00D30FB2">
              <w:t>1.</w:t>
            </w:r>
          </w:p>
        </w:tc>
        <w:tc>
          <w:tcPr>
            <w:tcW w:w="1133" w:type="pct"/>
          </w:tcPr>
          <w:p w:rsidR="009117F4" w:rsidRPr="00D30FB2" w:rsidRDefault="009117F4" w:rsidP="00E06138">
            <w:pPr>
              <w:rPr>
                <w:lang w:eastAsia="en-US"/>
              </w:rPr>
            </w:pPr>
            <w:r w:rsidRPr="00D30FB2">
              <w:rPr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3485" w:type="pct"/>
          </w:tcPr>
          <w:p w:rsidR="00252D8B" w:rsidRDefault="00252D8B" w:rsidP="00260D3F">
            <w:pPr>
              <w:pStyle w:val="naiskr"/>
              <w:numPr>
                <w:ilvl w:val="0"/>
                <w:numId w:val="13"/>
              </w:numPr>
              <w:spacing w:before="0" w:after="0"/>
              <w:jc w:val="both"/>
            </w:pPr>
            <w:r>
              <w:t xml:space="preserve">Aptuveni 5 000 </w:t>
            </w:r>
            <w:r w:rsidRPr="00603054">
              <w:rPr>
                <w:lang w:eastAsia="en-US"/>
              </w:rPr>
              <w:t>„Bioloģiskā lauksaimniecība”</w:t>
            </w:r>
            <w:r>
              <w:rPr>
                <w:lang w:eastAsia="en-US"/>
              </w:rPr>
              <w:t xml:space="preserve"> </w:t>
            </w:r>
            <w:r>
              <w:t>atbalsta saņemšanas pretendentu;</w:t>
            </w:r>
          </w:p>
          <w:p w:rsidR="00260D3F" w:rsidRDefault="00260D3F" w:rsidP="00260D3F">
            <w:pPr>
              <w:pStyle w:val="naiskr"/>
              <w:numPr>
                <w:ilvl w:val="0"/>
                <w:numId w:val="13"/>
              </w:numPr>
              <w:spacing w:before="0" w:after="0"/>
              <w:jc w:val="both"/>
            </w:pPr>
            <w:r>
              <w:t>Aptuveni 5</w:t>
            </w:r>
            <w:r w:rsidR="00252D8B">
              <w:t xml:space="preserve"> 0</w:t>
            </w:r>
            <w:r>
              <w:t xml:space="preserve">00 </w:t>
            </w:r>
            <w:r w:rsidR="00252D8B" w:rsidRPr="00603054">
              <w:rPr>
                <w:lang w:eastAsia="en-US"/>
              </w:rPr>
              <w:t xml:space="preserve">„Natura 2000 un Ūdens pamatdirektīvas maksājumi” </w:t>
            </w:r>
            <w:r>
              <w:t>atbalsta saņemšanas pretendentu.</w:t>
            </w:r>
          </w:p>
          <w:p w:rsidR="00260D3F" w:rsidRPr="00D30FB2" w:rsidRDefault="00260D3F" w:rsidP="00252D8B">
            <w:pPr>
              <w:pStyle w:val="naiskr"/>
              <w:numPr>
                <w:ilvl w:val="0"/>
                <w:numId w:val="13"/>
              </w:numPr>
              <w:spacing w:before="0" w:after="0"/>
              <w:jc w:val="both"/>
            </w:pPr>
            <w:r>
              <w:t xml:space="preserve">Aptuveni 45 000 </w:t>
            </w:r>
            <w:r w:rsidR="00252D8B" w:rsidRPr="00603054">
              <w:rPr>
                <w:lang w:eastAsia="en-US"/>
              </w:rPr>
              <w:t xml:space="preserve">„Maksājumi apgabaliem, kuros ir dabas vai citi specifiski ierobežojumi”, </w:t>
            </w:r>
            <w:r>
              <w:t>atbalsta saņemšanas pretendentu.</w:t>
            </w:r>
          </w:p>
        </w:tc>
      </w:tr>
      <w:tr w:rsidR="009117F4" w:rsidRPr="00D30FB2" w:rsidTr="00CD1BE7">
        <w:trPr>
          <w:trHeight w:val="510"/>
        </w:trPr>
        <w:tc>
          <w:tcPr>
            <w:tcW w:w="382" w:type="pct"/>
          </w:tcPr>
          <w:p w:rsidR="009117F4" w:rsidRPr="00D30FB2" w:rsidRDefault="009117F4" w:rsidP="00E06138">
            <w:r w:rsidRPr="00D30FB2">
              <w:t>2.</w:t>
            </w:r>
          </w:p>
        </w:tc>
        <w:tc>
          <w:tcPr>
            <w:tcW w:w="1133" w:type="pct"/>
          </w:tcPr>
          <w:p w:rsidR="009117F4" w:rsidRPr="00D30FB2" w:rsidRDefault="009117F4" w:rsidP="00E06138">
            <w:pPr>
              <w:rPr>
                <w:lang w:eastAsia="en-US"/>
              </w:rPr>
            </w:pPr>
            <w:r w:rsidRPr="00D30FB2">
              <w:rPr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3485" w:type="pct"/>
          </w:tcPr>
          <w:p w:rsidR="00133BE0" w:rsidRPr="00D30FB2" w:rsidRDefault="00E279A4" w:rsidP="00942DF1">
            <w:pPr>
              <w:jc w:val="both"/>
              <w:rPr>
                <w:lang w:eastAsia="en-US"/>
              </w:rPr>
            </w:pPr>
            <w:r w:rsidRPr="00D30FB2">
              <w:rPr>
                <w:lang w:eastAsia="en-US"/>
              </w:rPr>
              <w:t xml:space="preserve">Noteikumu projekta īstenošanas rezultātā tiks nodrošināta </w:t>
            </w:r>
            <w:r w:rsidR="00106AC9" w:rsidRPr="00603054">
              <w:t>lauku attīstības platībatkarīgo</w:t>
            </w:r>
            <w:r w:rsidR="00106AC9">
              <w:t xml:space="preserve"> maksājumu</w:t>
            </w:r>
            <w:r w:rsidRPr="00D30FB2">
              <w:rPr>
                <w:lang w:eastAsia="en-US"/>
              </w:rPr>
              <w:t xml:space="preserve"> piešķiršana pretendentiem, kuri atbildīs a</w:t>
            </w:r>
            <w:r w:rsidR="00942DF1">
              <w:rPr>
                <w:lang w:eastAsia="en-US"/>
              </w:rPr>
              <w:t xml:space="preserve">tbalsta saņemšanas nosacījumiem, kas </w:t>
            </w:r>
            <w:r w:rsidR="00106AC9">
              <w:rPr>
                <w:lang w:eastAsia="en-US"/>
              </w:rPr>
              <w:t>ne</w:t>
            </w:r>
            <w:r w:rsidR="00F4551F" w:rsidRPr="00D30FB2">
              <w:rPr>
                <w:lang w:eastAsia="en-US"/>
              </w:rPr>
              <w:t>radīs administratīv</w:t>
            </w:r>
            <w:r w:rsidR="005E4799" w:rsidRPr="00D30FB2">
              <w:rPr>
                <w:lang w:eastAsia="en-US"/>
              </w:rPr>
              <w:t xml:space="preserve">ā sloga pieaugumu </w:t>
            </w:r>
            <w:r w:rsidR="00106AC9" w:rsidRPr="00603054">
              <w:t>lauku attīstības platībatkarīgo</w:t>
            </w:r>
            <w:r w:rsidR="005E4799" w:rsidRPr="00D30FB2">
              <w:rPr>
                <w:lang w:eastAsia="en-US"/>
              </w:rPr>
              <w:t xml:space="preserve"> maksājumu pretendentiem, </w:t>
            </w:r>
            <w:r w:rsidR="00106AC9">
              <w:rPr>
                <w:lang w:eastAsia="en-US"/>
              </w:rPr>
              <w:t>jo pamatā tiek saglabāta iepriekšējā plānošanas perioda atbalsta administrēšanas pieeja.</w:t>
            </w:r>
          </w:p>
        </w:tc>
      </w:tr>
      <w:tr w:rsidR="009117F4" w:rsidRPr="00D30FB2" w:rsidTr="00CD1BE7">
        <w:trPr>
          <w:trHeight w:val="510"/>
        </w:trPr>
        <w:tc>
          <w:tcPr>
            <w:tcW w:w="382" w:type="pct"/>
          </w:tcPr>
          <w:p w:rsidR="009117F4" w:rsidRPr="00D30FB2" w:rsidRDefault="009117F4" w:rsidP="00E06138">
            <w:r w:rsidRPr="00D30FB2">
              <w:t>3.</w:t>
            </w:r>
          </w:p>
        </w:tc>
        <w:tc>
          <w:tcPr>
            <w:tcW w:w="1133" w:type="pct"/>
          </w:tcPr>
          <w:p w:rsidR="009117F4" w:rsidRPr="00D30FB2" w:rsidRDefault="009117F4" w:rsidP="00E06138">
            <w:pPr>
              <w:rPr>
                <w:lang w:eastAsia="en-US"/>
              </w:rPr>
            </w:pPr>
            <w:r w:rsidRPr="00D30FB2">
              <w:rPr>
                <w:lang w:eastAsia="en-US"/>
              </w:rPr>
              <w:t>Administratīvo izmaksu monetārs novērtējums</w:t>
            </w:r>
            <w:r w:rsidR="002B42DB">
              <w:rPr>
                <w:lang w:eastAsia="en-US"/>
              </w:rPr>
              <w:t>.</w:t>
            </w:r>
          </w:p>
        </w:tc>
        <w:tc>
          <w:tcPr>
            <w:tcW w:w="3485" w:type="pct"/>
          </w:tcPr>
          <w:p w:rsidR="009117F4" w:rsidRPr="00D30FB2" w:rsidRDefault="007E22BA" w:rsidP="00F8527F">
            <w:pPr>
              <w:jc w:val="both"/>
            </w:pPr>
            <w:bookmarkStart w:id="0" w:name="p-468669"/>
            <w:bookmarkStart w:id="1" w:name="p24"/>
            <w:bookmarkEnd w:id="0"/>
            <w:bookmarkEnd w:id="1"/>
            <w:r>
              <w:rPr>
                <w:lang w:eastAsia="en-US"/>
              </w:rPr>
              <w:t xml:space="preserve">Lai pieteiktos uz kādu no iepriekšminētajiem </w:t>
            </w:r>
            <w:r>
              <w:t>lauku attīstības platībatkarīgajiem atbalstiem</w:t>
            </w:r>
            <w:r w:rsidR="00F8527F">
              <w:t xml:space="preserve"> nepieciešams aizpildīt </w:t>
            </w:r>
            <w:r>
              <w:rPr>
                <w:lang w:eastAsia="en-US"/>
              </w:rPr>
              <w:t>Vienot</w:t>
            </w:r>
            <w:r w:rsidR="00F8527F"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 iesniegum</w:t>
            </w:r>
            <w:r w:rsidR="00F8527F">
              <w:rPr>
                <w:lang w:eastAsia="en-US"/>
              </w:rPr>
              <w:t>u, saskaņā ar normatīvajiem aktiem par t</w:t>
            </w:r>
            <w:r w:rsidR="00F8527F">
              <w:t xml:space="preserve">iešo maksājumu piešķiršanas kārtību lauksaimniekiem. Šis iesniegums ir Ministru </w:t>
            </w:r>
            <w:r w:rsidR="00F8527F">
              <w:lastRenderedPageBreak/>
              <w:t xml:space="preserve">kabineta 2015.gada 10.marta noteikumu Nr.126 ”Tiešo maksājumu piešķiršanas kārtība lauksaimniekiem” (turpmāk – noteikumi nr.126) 1.pielikums, un tā aizpildīšanas </w:t>
            </w:r>
            <w:r w:rsidR="00F8527F">
              <w:rPr>
                <w:lang w:eastAsia="en-US"/>
              </w:rPr>
              <w:t>a</w:t>
            </w:r>
            <w:r w:rsidRPr="00D30FB2">
              <w:rPr>
                <w:lang w:eastAsia="en-US"/>
              </w:rPr>
              <w:t>dministratīvo izmaksu monetārs novērtējums</w:t>
            </w:r>
            <w:r w:rsidR="00F8527F">
              <w:rPr>
                <w:lang w:eastAsia="en-US"/>
              </w:rPr>
              <w:t xml:space="preserve"> ir ietverts šo noteikumu Nr.126 anotācijā</w:t>
            </w:r>
            <w:r w:rsidR="00F8527F">
              <w:t xml:space="preserve">, kas ir par pamatu arī šī noteikumu projekta </w:t>
            </w:r>
            <w:r>
              <w:t>atbalsta pasākumi</w:t>
            </w:r>
            <w:r w:rsidR="00F8527F">
              <w:t xml:space="preserve">em. </w:t>
            </w:r>
            <w:r w:rsidR="00F8527F" w:rsidRPr="008907EA">
              <w:rPr>
                <w:b/>
              </w:rPr>
              <w:t>Līdz ar to šajā noteikumu projektā administratīvo izmaksu monetārais novērtējums nav iekļaujams.</w:t>
            </w:r>
            <w:r w:rsidR="00F8527F">
              <w:t xml:space="preserve"> </w:t>
            </w:r>
          </w:p>
        </w:tc>
      </w:tr>
      <w:tr w:rsidR="009117F4" w:rsidRPr="00D30FB2" w:rsidTr="00CD1BE7">
        <w:trPr>
          <w:trHeight w:val="345"/>
        </w:trPr>
        <w:tc>
          <w:tcPr>
            <w:tcW w:w="382" w:type="pct"/>
          </w:tcPr>
          <w:p w:rsidR="009117F4" w:rsidRPr="00D30FB2" w:rsidRDefault="009117F4" w:rsidP="00E06138">
            <w:r w:rsidRPr="00D30FB2">
              <w:lastRenderedPageBreak/>
              <w:t>4.</w:t>
            </w:r>
          </w:p>
        </w:tc>
        <w:tc>
          <w:tcPr>
            <w:tcW w:w="1133" w:type="pct"/>
          </w:tcPr>
          <w:p w:rsidR="009117F4" w:rsidRPr="00D30FB2" w:rsidRDefault="009117F4" w:rsidP="00E06138">
            <w:pPr>
              <w:rPr>
                <w:lang w:eastAsia="en-US"/>
              </w:rPr>
            </w:pPr>
            <w:r w:rsidRPr="00D30FB2">
              <w:rPr>
                <w:lang w:eastAsia="en-US"/>
              </w:rPr>
              <w:t>Cita informācija</w:t>
            </w:r>
          </w:p>
        </w:tc>
        <w:tc>
          <w:tcPr>
            <w:tcW w:w="3485" w:type="pct"/>
          </w:tcPr>
          <w:p w:rsidR="009117F4" w:rsidRPr="00D30FB2" w:rsidRDefault="009C2D35" w:rsidP="00E06138">
            <w:pPr>
              <w:spacing w:before="100" w:beforeAutospacing="1" w:after="100" w:afterAutospacing="1" w:line="360" w:lineRule="auto"/>
            </w:pPr>
            <w:r w:rsidRPr="00D30FB2">
              <w:t>Nav</w:t>
            </w:r>
          </w:p>
        </w:tc>
      </w:tr>
    </w:tbl>
    <w:p w:rsidR="00777B15" w:rsidRDefault="00777B15" w:rsidP="00777B15">
      <w:pPr>
        <w:pStyle w:val="a"/>
        <w:tabs>
          <w:tab w:val="left" w:pos="1494"/>
          <w:tab w:val="center" w:pos="4357"/>
        </w:tabs>
        <w:spacing w:before="0" w:beforeAutospacing="0" w:after="0" w:afterAutospacing="0"/>
        <w:rPr>
          <w:b/>
        </w:rPr>
      </w:pPr>
    </w:p>
    <w:p w:rsidR="00777B15" w:rsidRDefault="00777B15" w:rsidP="00777B15">
      <w:pPr>
        <w:pStyle w:val="a"/>
        <w:tabs>
          <w:tab w:val="left" w:pos="1494"/>
          <w:tab w:val="center" w:pos="4357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777B15" w:rsidRDefault="00777B15" w:rsidP="00777B15">
      <w:pPr>
        <w:pStyle w:val="a"/>
        <w:tabs>
          <w:tab w:val="left" w:pos="1494"/>
          <w:tab w:val="center" w:pos="4357"/>
        </w:tabs>
        <w:spacing w:before="0" w:beforeAutospacing="0" w:after="0" w:afterAutospacing="0"/>
        <w:rPr>
          <w:b/>
        </w:rPr>
      </w:pPr>
      <w:r>
        <w:rPr>
          <w:b/>
        </w:rPr>
        <w:t xml:space="preserve">Anotācijas III, </w:t>
      </w:r>
      <w:r w:rsidRPr="00B8565C">
        <w:rPr>
          <w:b/>
        </w:rPr>
        <w:t>IV</w:t>
      </w:r>
      <w:r>
        <w:rPr>
          <w:b/>
        </w:rPr>
        <w:t xml:space="preserve"> un V</w:t>
      </w:r>
      <w:r w:rsidRPr="00B8565C">
        <w:rPr>
          <w:b/>
        </w:rPr>
        <w:t>– projekts šo jomu neskar.</w:t>
      </w:r>
    </w:p>
    <w:p w:rsidR="00943E4E" w:rsidRDefault="00943E4E" w:rsidP="00943E4E">
      <w:pPr>
        <w:rPr>
          <w:i/>
        </w:rPr>
      </w:pPr>
    </w:p>
    <w:p w:rsidR="00943E4E" w:rsidRPr="00D30FB2" w:rsidRDefault="00943E4E" w:rsidP="00943E4E">
      <w:r w:rsidRPr="00D30FB2">
        <w:t> </w:t>
      </w:r>
    </w:p>
    <w:tbl>
      <w:tblPr>
        <w:tblW w:w="534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2034"/>
        <w:gridCol w:w="7000"/>
      </w:tblGrid>
      <w:tr w:rsidR="00FA3CCB" w:rsidRPr="00D30FB2" w:rsidTr="007D2EF8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A3CCB" w:rsidRPr="00D30FB2" w:rsidRDefault="00FA3CCB" w:rsidP="00FA3CCB">
            <w:pPr>
              <w:rPr>
                <w:b/>
                <w:bCs/>
              </w:rPr>
            </w:pPr>
            <w:r w:rsidRPr="00D30FB2">
              <w:rPr>
                <w:b/>
                <w:bCs/>
              </w:rPr>
              <w:t>VI. Sabiedrības līdzdalība un komunikācijas aktivitātes</w:t>
            </w:r>
          </w:p>
        </w:tc>
      </w:tr>
      <w:tr w:rsidR="00FA3CCB" w:rsidRPr="00D30FB2" w:rsidTr="00FE7CA0">
        <w:trPr>
          <w:trHeight w:val="540"/>
          <w:jc w:val="center"/>
        </w:trPr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1.</w:t>
            </w: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Plānotās sabiedrības līdzdalības un komunikācijas aktivitātes saistībā ar projektu</w:t>
            </w:r>
          </w:p>
        </w:tc>
        <w:tc>
          <w:tcPr>
            <w:tcW w:w="3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6825" w:rsidRPr="00D30FB2" w:rsidRDefault="004367C7" w:rsidP="00777B15">
            <w:pPr>
              <w:jc w:val="both"/>
            </w:pPr>
            <w:r w:rsidRPr="00D30FB2">
              <w:t xml:space="preserve">Zemkopības ministrijas pārstāvji </w:t>
            </w:r>
            <w:r w:rsidR="001307C8" w:rsidRPr="00D30FB2">
              <w:t xml:space="preserve">arī </w:t>
            </w:r>
            <w:r w:rsidRPr="00D30FB2">
              <w:t>ir piedalījušies vairākos citos lauksaimnieku organizāciju, atsevišķu pašvaldību rīkotos pasākumos, informatīvos pasākumos konsultantiem, kuros tika sniegta</w:t>
            </w:r>
            <w:r w:rsidR="000E3C59" w:rsidRPr="00D30FB2">
              <w:t xml:space="preserve">s prezentācijas ar </w:t>
            </w:r>
            <w:r w:rsidRPr="00D30FB2">
              <w:t>informācij</w:t>
            </w:r>
            <w:r w:rsidR="000E3C59" w:rsidRPr="00D30FB2">
              <w:t>u</w:t>
            </w:r>
            <w:r w:rsidRPr="00D30FB2">
              <w:t xml:space="preserve"> par </w:t>
            </w:r>
            <w:r w:rsidR="000E3C59" w:rsidRPr="00D30FB2">
              <w:t xml:space="preserve">sagaidāmajiem nosacījumiem un </w:t>
            </w:r>
            <w:r w:rsidRPr="00D30FB2">
              <w:t>projekta būtību.</w:t>
            </w:r>
            <w:r w:rsidR="00777B15">
              <w:t xml:space="preserve"> </w:t>
            </w:r>
            <w:r w:rsidR="001307C8" w:rsidRPr="00D30FB2">
              <w:t>Turklāt</w:t>
            </w:r>
            <w:r w:rsidR="005C64B5">
              <w:t xml:space="preserve"> i</w:t>
            </w:r>
            <w:r w:rsidR="005C64B5" w:rsidRPr="00ED766F">
              <w:rPr>
                <w:iCs/>
              </w:rPr>
              <w:t xml:space="preserve">nformācija </w:t>
            </w:r>
            <w:r w:rsidR="005C64B5">
              <w:rPr>
                <w:iCs/>
              </w:rPr>
              <w:t>p</w:t>
            </w:r>
            <w:r w:rsidR="005C64B5" w:rsidRPr="00ED766F">
              <w:rPr>
                <w:iCs/>
              </w:rPr>
              <w:t>ar no</w:t>
            </w:r>
            <w:r w:rsidR="005C64B5">
              <w:rPr>
                <w:iCs/>
              </w:rPr>
              <w:t>teikumu</w:t>
            </w:r>
            <w:r w:rsidR="005C64B5" w:rsidRPr="00ED766F">
              <w:rPr>
                <w:iCs/>
              </w:rPr>
              <w:t xml:space="preserve"> projektu </w:t>
            </w:r>
            <w:r w:rsidR="005C64B5">
              <w:t>ir</w:t>
            </w:r>
            <w:r w:rsidR="005C64B5" w:rsidRPr="00ED766F">
              <w:t xml:space="preserve"> ievietota tīmekļa vie</w:t>
            </w:r>
            <w:r w:rsidR="005C64B5" w:rsidRPr="00FB2D8B">
              <w:t>tnē www.zm.gov.lv.</w:t>
            </w:r>
          </w:p>
        </w:tc>
      </w:tr>
      <w:tr w:rsidR="00FA3CCB" w:rsidRPr="00D30FB2" w:rsidTr="00FE7CA0">
        <w:trPr>
          <w:trHeight w:val="330"/>
          <w:jc w:val="center"/>
        </w:trPr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2.</w:t>
            </w: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Sabiedrības līdzdalība projekta izstrādē</w:t>
            </w:r>
          </w:p>
        </w:tc>
        <w:tc>
          <w:tcPr>
            <w:tcW w:w="3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C6825" w:rsidRPr="00D30FB2" w:rsidRDefault="00693DBB" w:rsidP="00777B15">
            <w:pPr>
              <w:jc w:val="both"/>
            </w:pPr>
            <w:r w:rsidRPr="00D30FB2">
              <w:t>Noteikumu projekt</w:t>
            </w:r>
            <w:r w:rsidR="002102BB" w:rsidRPr="00D30FB2">
              <w:t xml:space="preserve">a sagatavošanas procesā </w:t>
            </w:r>
            <w:r w:rsidRPr="00D30FB2">
              <w:t xml:space="preserve">ir notikušas </w:t>
            </w:r>
            <w:r w:rsidR="002102BB" w:rsidRPr="00D30FB2">
              <w:t>k</w:t>
            </w:r>
            <w:r w:rsidR="001001E4" w:rsidRPr="00D30FB2">
              <w:t>o</w:t>
            </w:r>
            <w:r w:rsidR="00072232" w:rsidRPr="00D30FB2">
              <w:t>nsultācijas</w:t>
            </w:r>
            <w:r w:rsidR="001001E4" w:rsidRPr="00D30FB2">
              <w:t xml:space="preserve"> un </w:t>
            </w:r>
            <w:r w:rsidR="002102BB" w:rsidRPr="00D30FB2">
              <w:t xml:space="preserve">plašas </w:t>
            </w:r>
            <w:r w:rsidR="001001E4" w:rsidRPr="00D30FB2">
              <w:t xml:space="preserve">diskusijas par jauno </w:t>
            </w:r>
            <w:r w:rsidR="005C64B5" w:rsidRPr="005C64B5">
              <w:rPr>
                <w:bCs/>
              </w:rPr>
              <w:t>lauku attīstības platībatkarīgo atbalst</w:t>
            </w:r>
            <w:r w:rsidR="005C64B5">
              <w:rPr>
                <w:bCs/>
              </w:rPr>
              <w:t>a</w:t>
            </w:r>
            <w:r w:rsidR="005C64B5" w:rsidRPr="00D30FB2">
              <w:t xml:space="preserve"> maksājumu</w:t>
            </w:r>
            <w:r w:rsidR="005C64B5">
              <w:t xml:space="preserve"> pasākumiem</w:t>
            </w:r>
            <w:r w:rsidR="001001E4" w:rsidRPr="00D30FB2">
              <w:t xml:space="preserve"> un atbalsta piešķiršanas nosacījumiem</w:t>
            </w:r>
            <w:r w:rsidR="00072232" w:rsidRPr="00D30FB2">
              <w:t xml:space="preserve"> ar pārstāvjiem no Lauksaimnieku organizāciju sadarbības padomes, Zemnieku saeimas, citām nozaru lauksaimnieku organizācijām, dabas aizsardzības organizācijām, nozaru ekspertiem, zinātniekiem, pētniekiem un konsultantiem.</w:t>
            </w:r>
            <w:r w:rsidR="00777B15">
              <w:t xml:space="preserve"> </w:t>
            </w:r>
            <w:r w:rsidR="004C6825" w:rsidRPr="00D30FB2">
              <w:t>Pēc publicēšanas Zemkopības ministrijas mājas</w:t>
            </w:r>
            <w:r w:rsidR="00E664D9">
              <w:t xml:space="preserve"> </w:t>
            </w:r>
            <w:r w:rsidR="004C6825" w:rsidRPr="00D30FB2">
              <w:t>lapā ikvienam</w:t>
            </w:r>
            <w:r w:rsidR="002102BB" w:rsidRPr="00D30FB2">
              <w:t xml:space="preserve"> sabiedrības pārstāvim</w:t>
            </w:r>
            <w:r w:rsidR="004C6825" w:rsidRPr="00D30FB2">
              <w:t xml:space="preserve"> ir iespēja sniegt viedokli, iebildumus un priekšlikumus par izstrādāto </w:t>
            </w:r>
            <w:r w:rsidR="00E664D9">
              <w:t>n</w:t>
            </w:r>
            <w:r w:rsidR="004C6825" w:rsidRPr="00D30FB2">
              <w:t>oteikumu projektu.</w:t>
            </w:r>
          </w:p>
        </w:tc>
      </w:tr>
      <w:tr w:rsidR="00FA3CCB" w:rsidRPr="00D30FB2" w:rsidTr="00FE7CA0">
        <w:trPr>
          <w:trHeight w:val="465"/>
          <w:jc w:val="center"/>
        </w:trPr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3.</w:t>
            </w: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Sabiedrības līdzdalības rezultāti</w:t>
            </w:r>
          </w:p>
        </w:tc>
        <w:tc>
          <w:tcPr>
            <w:tcW w:w="3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24D92" w:rsidRPr="00D30FB2" w:rsidRDefault="00A24D92" w:rsidP="00776FC9">
            <w:pPr>
              <w:jc w:val="both"/>
            </w:pPr>
            <w:r w:rsidRPr="00D30FB2">
              <w:rPr>
                <w:lang w:eastAsia="en-US"/>
              </w:rPr>
              <w:t xml:space="preserve">Zemkopības ministrijas </w:t>
            </w:r>
            <w:r w:rsidR="00E664D9">
              <w:rPr>
                <w:lang w:eastAsia="en-US"/>
              </w:rPr>
              <w:t>n</w:t>
            </w:r>
            <w:r w:rsidRPr="00D30FB2">
              <w:rPr>
                <w:lang w:eastAsia="en-US"/>
              </w:rPr>
              <w:t>oteikumu projekta izstrādes laikā konsult</w:t>
            </w:r>
            <w:r w:rsidR="00776FC9">
              <w:rPr>
                <w:lang w:eastAsia="en-US"/>
              </w:rPr>
              <w:t>ējās ar Lauku atbalsta dienestu</w:t>
            </w:r>
            <w:r w:rsidR="00777B15">
              <w:rPr>
                <w:lang w:eastAsia="en-US"/>
              </w:rPr>
              <w:t>.</w:t>
            </w:r>
          </w:p>
        </w:tc>
      </w:tr>
      <w:tr w:rsidR="00FA3CCB" w:rsidRPr="00D30FB2" w:rsidTr="00FE7CA0">
        <w:trPr>
          <w:trHeight w:val="465"/>
          <w:jc w:val="center"/>
        </w:trPr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4.</w:t>
            </w:r>
          </w:p>
        </w:tc>
        <w:tc>
          <w:tcPr>
            <w:tcW w:w="10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FA3CCB">
            <w:r w:rsidRPr="00D30FB2">
              <w:t>Cita informācija</w:t>
            </w:r>
          </w:p>
        </w:tc>
        <w:tc>
          <w:tcPr>
            <w:tcW w:w="3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3CCB" w:rsidRPr="00D30FB2" w:rsidRDefault="00FA3CCB" w:rsidP="00D933F7">
            <w:r w:rsidRPr="00D30FB2">
              <w:t>Nav</w:t>
            </w:r>
          </w:p>
        </w:tc>
      </w:tr>
    </w:tbl>
    <w:p w:rsidR="009117F4" w:rsidRPr="00D30FB2" w:rsidRDefault="00FA3CCB" w:rsidP="001A6197">
      <w:pPr>
        <w:rPr>
          <w:sz w:val="14"/>
        </w:rPr>
      </w:pPr>
      <w:r w:rsidRPr="00D30FB2">
        <w:t> </w:t>
      </w:r>
    </w:p>
    <w:tbl>
      <w:tblPr>
        <w:tblW w:w="53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3416"/>
        <w:gridCol w:w="5724"/>
      </w:tblGrid>
      <w:tr w:rsidR="009117F4" w:rsidRPr="00D30FB2" w:rsidTr="007D2EF8">
        <w:trPr>
          <w:trHeight w:val="375"/>
        </w:trPr>
        <w:tc>
          <w:tcPr>
            <w:tcW w:w="5000" w:type="pct"/>
            <w:gridSpan w:val="3"/>
          </w:tcPr>
          <w:p w:rsidR="009117F4" w:rsidRPr="00D30FB2" w:rsidRDefault="009117F4" w:rsidP="00E06138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D30FB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9117F4" w:rsidRPr="00D30FB2" w:rsidTr="00FE7CA0">
        <w:trPr>
          <w:trHeight w:val="420"/>
        </w:trPr>
        <w:tc>
          <w:tcPr>
            <w:tcW w:w="393" w:type="pct"/>
          </w:tcPr>
          <w:p w:rsidR="009117F4" w:rsidRPr="00D30FB2" w:rsidRDefault="009117F4" w:rsidP="00E06138">
            <w:r w:rsidRPr="00D30FB2">
              <w:t>1.</w:t>
            </w:r>
          </w:p>
        </w:tc>
        <w:tc>
          <w:tcPr>
            <w:tcW w:w="1722" w:type="pct"/>
          </w:tcPr>
          <w:p w:rsidR="009117F4" w:rsidRPr="00D30FB2" w:rsidRDefault="009117F4" w:rsidP="00E06138">
            <w:r w:rsidRPr="00D30FB2">
              <w:t>Projekta izpildē iesaistītās institūcijas</w:t>
            </w:r>
          </w:p>
        </w:tc>
        <w:tc>
          <w:tcPr>
            <w:tcW w:w="2885" w:type="pct"/>
          </w:tcPr>
          <w:p w:rsidR="009117F4" w:rsidRPr="00D30FB2" w:rsidRDefault="001772F8" w:rsidP="00595C41">
            <w:pPr>
              <w:jc w:val="both"/>
              <w:rPr>
                <w:lang w:eastAsia="en-US"/>
              </w:rPr>
            </w:pPr>
            <w:r w:rsidRPr="00D30FB2">
              <w:rPr>
                <w:lang w:eastAsia="en-US"/>
              </w:rPr>
              <w:t>L</w:t>
            </w:r>
            <w:r w:rsidR="00595C41">
              <w:rPr>
                <w:lang w:eastAsia="en-US"/>
              </w:rPr>
              <w:t>auku atbalsta dienests</w:t>
            </w:r>
            <w:r w:rsidRPr="00D30FB2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Valsts meža dienests, Dabas aizsardzības pārvalde, </w:t>
            </w:r>
            <w:r w:rsidR="004C259C" w:rsidRPr="00D30FB2">
              <w:rPr>
                <w:lang w:eastAsia="en-US"/>
              </w:rPr>
              <w:t xml:space="preserve">Valsts augu aizsardzības </w:t>
            </w:r>
            <w:r w:rsidR="009117F4" w:rsidRPr="00D30FB2">
              <w:rPr>
                <w:lang w:eastAsia="en-US"/>
              </w:rPr>
              <w:t>dienests</w:t>
            </w:r>
            <w:r w:rsidR="00A24D92" w:rsidRPr="00D30FB2">
              <w:rPr>
                <w:lang w:eastAsia="en-US"/>
              </w:rPr>
              <w:t xml:space="preserve">, </w:t>
            </w:r>
            <w:r w:rsidR="00836B74" w:rsidRPr="00D30FB2">
              <w:rPr>
                <w:lang w:eastAsia="en-US"/>
              </w:rPr>
              <w:t xml:space="preserve">Lauksaimniecības datu centrs, </w:t>
            </w:r>
            <w:r w:rsidR="00836B74" w:rsidRPr="001772F8">
              <w:rPr>
                <w:lang w:eastAsia="en-US"/>
              </w:rPr>
              <w:t>Pār</w:t>
            </w:r>
            <w:r w:rsidR="00885E9A" w:rsidRPr="001772F8">
              <w:rPr>
                <w:lang w:eastAsia="en-US"/>
              </w:rPr>
              <w:t>tikas un veterinārais dienests</w:t>
            </w:r>
            <w:r>
              <w:rPr>
                <w:lang w:eastAsia="en-US"/>
              </w:rPr>
              <w:t xml:space="preserve">, </w:t>
            </w:r>
            <w:r w:rsidRPr="006D0A21">
              <w:rPr>
                <w:lang w:eastAsia="en-US"/>
              </w:rPr>
              <w:t>Valsts SIA "Serti</w:t>
            </w:r>
            <w:r>
              <w:rPr>
                <w:lang w:eastAsia="en-US"/>
              </w:rPr>
              <w:t>fikācijas un testēšanas centrs" un</w:t>
            </w:r>
            <w:r w:rsidRPr="006D0A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BIEDRĪBAS „Vides kvalitāte” SERTIFIKĀCIJAS INSTITŪCIJA „VIDES KVALITĀTE”.</w:t>
            </w:r>
          </w:p>
        </w:tc>
      </w:tr>
      <w:tr w:rsidR="009117F4" w:rsidRPr="00D30FB2" w:rsidTr="00FE7CA0">
        <w:trPr>
          <w:trHeight w:val="450"/>
        </w:trPr>
        <w:tc>
          <w:tcPr>
            <w:tcW w:w="393" w:type="pct"/>
          </w:tcPr>
          <w:p w:rsidR="009117F4" w:rsidRPr="00D30FB2" w:rsidRDefault="009117F4" w:rsidP="00E06138">
            <w:r w:rsidRPr="00D30FB2">
              <w:t>2.</w:t>
            </w:r>
          </w:p>
        </w:tc>
        <w:tc>
          <w:tcPr>
            <w:tcW w:w="1722" w:type="pct"/>
          </w:tcPr>
          <w:p w:rsidR="009117F4" w:rsidRPr="00D30FB2" w:rsidRDefault="009117F4" w:rsidP="00E06138">
            <w:r w:rsidRPr="00D30FB2">
              <w:t xml:space="preserve">Projekta izpildes ietekme uz pārvaldes funkcijām un institucionālo struktūru. Jaunu institūciju izveide, esošu institūciju likvidācija vai reorganizācija, to ietekme uz </w:t>
            </w:r>
            <w:r w:rsidRPr="00D30FB2">
              <w:lastRenderedPageBreak/>
              <w:t>institūcijas cilvēkresursiem</w:t>
            </w:r>
          </w:p>
        </w:tc>
        <w:tc>
          <w:tcPr>
            <w:tcW w:w="2885" w:type="pct"/>
          </w:tcPr>
          <w:p w:rsidR="009117F4" w:rsidRPr="00D30FB2" w:rsidRDefault="009C2D35" w:rsidP="00F86060">
            <w:pPr>
              <w:spacing w:before="100" w:beforeAutospacing="1" w:after="100" w:afterAutospacing="1"/>
              <w:jc w:val="both"/>
            </w:pPr>
            <w:r w:rsidRPr="00D30FB2">
              <w:rPr>
                <w:lang w:eastAsia="en-US"/>
              </w:rPr>
              <w:lastRenderedPageBreak/>
              <w:t>Projekts šo jomu neskar</w:t>
            </w:r>
            <w:r w:rsidR="00885E9A" w:rsidRPr="00D30FB2">
              <w:rPr>
                <w:lang w:eastAsia="en-US"/>
              </w:rPr>
              <w:t xml:space="preserve">. </w:t>
            </w:r>
            <w:r w:rsidR="00885E9A" w:rsidRPr="00D30FB2">
              <w:t>Jaunas institūcijas netiks izveidotas un esošās institūcijas netiks likvidētas vai reorganizētas.</w:t>
            </w:r>
            <w:r w:rsidR="001179D3" w:rsidRPr="00D30FB2">
              <w:t xml:space="preserve"> Projekta izpilde tiks nodrošināta ar pašreizējiem cilvēkresursiem.</w:t>
            </w:r>
          </w:p>
        </w:tc>
      </w:tr>
      <w:tr w:rsidR="009117F4" w:rsidRPr="00D30FB2" w:rsidTr="00FE7CA0">
        <w:trPr>
          <w:trHeight w:val="390"/>
        </w:trPr>
        <w:tc>
          <w:tcPr>
            <w:tcW w:w="393" w:type="pct"/>
          </w:tcPr>
          <w:p w:rsidR="009117F4" w:rsidRPr="00D30FB2" w:rsidRDefault="009117F4" w:rsidP="00E06138">
            <w:r w:rsidRPr="00D30FB2">
              <w:lastRenderedPageBreak/>
              <w:t>3.</w:t>
            </w:r>
          </w:p>
        </w:tc>
        <w:tc>
          <w:tcPr>
            <w:tcW w:w="1722" w:type="pct"/>
          </w:tcPr>
          <w:p w:rsidR="009117F4" w:rsidRPr="00D30FB2" w:rsidRDefault="009117F4" w:rsidP="00E06138">
            <w:r w:rsidRPr="00D30FB2">
              <w:t>Cita informācija</w:t>
            </w:r>
          </w:p>
        </w:tc>
        <w:tc>
          <w:tcPr>
            <w:tcW w:w="2885" w:type="pct"/>
          </w:tcPr>
          <w:p w:rsidR="009117F4" w:rsidRPr="00D30FB2" w:rsidRDefault="009C2D35" w:rsidP="00E06138">
            <w:pPr>
              <w:spacing w:before="100" w:beforeAutospacing="1" w:after="100" w:afterAutospacing="1" w:line="360" w:lineRule="auto"/>
            </w:pPr>
            <w:r w:rsidRPr="00D30FB2">
              <w:t>Nav</w:t>
            </w:r>
          </w:p>
        </w:tc>
      </w:tr>
    </w:tbl>
    <w:p w:rsidR="00C30B54" w:rsidRDefault="00C30B54" w:rsidP="009C2D35">
      <w:pPr>
        <w:ind w:right="-284"/>
        <w:jc w:val="both"/>
        <w:rPr>
          <w:sz w:val="28"/>
          <w:szCs w:val="28"/>
          <w:lang w:eastAsia="en-US"/>
        </w:rPr>
      </w:pPr>
    </w:p>
    <w:p w:rsidR="00B035A0" w:rsidRDefault="00B035A0" w:rsidP="009C2D35">
      <w:pPr>
        <w:ind w:right="-284"/>
        <w:jc w:val="both"/>
        <w:rPr>
          <w:sz w:val="28"/>
          <w:szCs w:val="28"/>
          <w:lang w:eastAsia="en-US"/>
        </w:rPr>
      </w:pPr>
    </w:p>
    <w:p w:rsidR="009117F4" w:rsidRPr="00945B51" w:rsidRDefault="009117F4" w:rsidP="009C2D35">
      <w:pPr>
        <w:ind w:right="-284"/>
        <w:jc w:val="both"/>
        <w:rPr>
          <w:lang w:eastAsia="en-US"/>
        </w:rPr>
      </w:pPr>
      <w:r w:rsidRPr="00945B51">
        <w:rPr>
          <w:lang w:eastAsia="en-US"/>
        </w:rPr>
        <w:t xml:space="preserve">Zemkopības ministrs </w:t>
      </w:r>
      <w:r w:rsidRPr="00945B51">
        <w:rPr>
          <w:lang w:eastAsia="en-US"/>
        </w:rPr>
        <w:tab/>
      </w:r>
      <w:r w:rsidRPr="00945B51">
        <w:rPr>
          <w:lang w:eastAsia="en-US"/>
        </w:rPr>
        <w:tab/>
      </w:r>
      <w:r w:rsidRPr="00945B51">
        <w:rPr>
          <w:lang w:eastAsia="en-US"/>
        </w:rPr>
        <w:tab/>
      </w:r>
      <w:r w:rsidRPr="00945B51">
        <w:rPr>
          <w:lang w:eastAsia="en-US"/>
        </w:rPr>
        <w:tab/>
      </w:r>
      <w:r w:rsidRPr="00945B51">
        <w:rPr>
          <w:lang w:eastAsia="en-US"/>
        </w:rPr>
        <w:tab/>
      </w:r>
      <w:r w:rsidRPr="00945B51">
        <w:rPr>
          <w:lang w:eastAsia="en-US"/>
        </w:rPr>
        <w:tab/>
      </w:r>
      <w:r w:rsidR="009C2D35" w:rsidRPr="00945B51">
        <w:rPr>
          <w:lang w:eastAsia="en-US"/>
        </w:rPr>
        <w:t xml:space="preserve"> </w:t>
      </w:r>
      <w:r w:rsidRPr="00945B51">
        <w:rPr>
          <w:lang w:eastAsia="en-US"/>
        </w:rPr>
        <w:t>J.Dūklavs</w:t>
      </w:r>
    </w:p>
    <w:p w:rsidR="00945B51" w:rsidRDefault="00945B51" w:rsidP="00232AA2">
      <w:pPr>
        <w:jc w:val="both"/>
        <w:rPr>
          <w:sz w:val="20"/>
          <w:szCs w:val="20"/>
          <w:lang w:eastAsia="en-US"/>
        </w:rPr>
      </w:pPr>
      <w:bookmarkStart w:id="2" w:name="OLE_LINK5"/>
      <w:bookmarkStart w:id="3" w:name="OLE_LINK6"/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6D632E" w:rsidRDefault="006D632E" w:rsidP="00232AA2">
      <w:pPr>
        <w:jc w:val="both"/>
        <w:rPr>
          <w:sz w:val="20"/>
          <w:szCs w:val="20"/>
          <w:lang w:eastAsia="en-US"/>
        </w:rPr>
      </w:pPr>
    </w:p>
    <w:p w:rsidR="00177785" w:rsidRPr="00D30FB2" w:rsidRDefault="00177785" w:rsidP="00232AA2">
      <w:pPr>
        <w:jc w:val="both"/>
        <w:rPr>
          <w:sz w:val="20"/>
          <w:szCs w:val="20"/>
          <w:lang w:eastAsia="en-US"/>
        </w:rPr>
      </w:pPr>
    </w:p>
    <w:bookmarkEnd w:id="2"/>
    <w:bookmarkEnd w:id="3"/>
    <w:p w:rsidR="004209D2" w:rsidRDefault="004209D2" w:rsidP="00AD04FA">
      <w:pPr>
        <w:rPr>
          <w:sz w:val="20"/>
          <w:szCs w:val="20"/>
        </w:rPr>
      </w:pPr>
      <w:r>
        <w:rPr>
          <w:sz w:val="20"/>
          <w:szCs w:val="20"/>
        </w:rPr>
        <w:t>22.05.2015. 10:15</w:t>
      </w:r>
    </w:p>
    <w:p w:rsidR="004209D2" w:rsidRDefault="004209D2" w:rsidP="00AD04FA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983</w:t>
      </w:r>
      <w:r>
        <w:rPr>
          <w:sz w:val="20"/>
          <w:szCs w:val="20"/>
        </w:rPr>
        <w:fldChar w:fldCharType="end"/>
      </w:r>
    </w:p>
    <w:p w:rsidR="00AD04FA" w:rsidRPr="00D30FB2" w:rsidRDefault="00F36064" w:rsidP="00AD04FA">
      <w:pPr>
        <w:rPr>
          <w:sz w:val="20"/>
          <w:szCs w:val="20"/>
        </w:rPr>
      </w:pPr>
      <w:bookmarkStart w:id="4" w:name="_GoBack"/>
      <w:bookmarkEnd w:id="4"/>
      <w:r>
        <w:rPr>
          <w:sz w:val="20"/>
          <w:szCs w:val="20"/>
        </w:rPr>
        <w:t>Bāra</w:t>
      </w:r>
    </w:p>
    <w:p w:rsidR="009117F4" w:rsidRPr="00CF6AF3" w:rsidRDefault="00AD04FA" w:rsidP="00AD04FA">
      <w:pPr>
        <w:jc w:val="both"/>
        <w:rPr>
          <w:lang w:eastAsia="en-US"/>
        </w:rPr>
      </w:pPr>
      <w:r w:rsidRPr="00D30FB2">
        <w:rPr>
          <w:sz w:val="20"/>
          <w:szCs w:val="20"/>
        </w:rPr>
        <w:t>670273</w:t>
      </w:r>
      <w:r w:rsidR="00F36064">
        <w:rPr>
          <w:sz w:val="20"/>
          <w:szCs w:val="20"/>
        </w:rPr>
        <w:t>98</w:t>
      </w:r>
      <w:r w:rsidRPr="00D30FB2">
        <w:rPr>
          <w:sz w:val="20"/>
          <w:szCs w:val="20"/>
        </w:rPr>
        <w:t xml:space="preserve">, </w:t>
      </w:r>
      <w:r w:rsidR="00F36064">
        <w:rPr>
          <w:sz w:val="20"/>
          <w:szCs w:val="20"/>
        </w:rPr>
        <w:t>Gunta.Bara</w:t>
      </w:r>
      <w:r w:rsidRPr="00D30FB2">
        <w:rPr>
          <w:sz w:val="20"/>
          <w:szCs w:val="20"/>
        </w:rPr>
        <w:t>@zm.gov.lv</w:t>
      </w:r>
    </w:p>
    <w:sectPr w:rsidR="009117F4" w:rsidRPr="00CF6AF3" w:rsidSect="00945B51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E4" w:rsidRDefault="00E352E4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E352E4" w:rsidRDefault="00E352E4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C" w:rsidRPr="00FA7D99" w:rsidRDefault="004209D2" w:rsidP="00FA7D99">
    <w:pPr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907F61">
      <w:rPr>
        <w:sz w:val="20"/>
      </w:rPr>
      <w:t>ZMAnot_2</w:t>
    </w:r>
    <w:r w:rsidR="00690BC1">
      <w:rPr>
        <w:sz w:val="20"/>
      </w:rPr>
      <w:t>0</w:t>
    </w:r>
    <w:r w:rsidR="000B0E4C" w:rsidRPr="00F85AEC">
      <w:rPr>
        <w:sz w:val="20"/>
      </w:rPr>
      <w:t>0</w:t>
    </w:r>
    <w:r w:rsidR="000B0E4C">
      <w:rPr>
        <w:sz w:val="20"/>
      </w:rPr>
      <w:t>5</w:t>
    </w:r>
    <w:r w:rsidR="000B0E4C" w:rsidRPr="00F85AEC">
      <w:rPr>
        <w:sz w:val="20"/>
      </w:rPr>
      <w:t>15</w:t>
    </w:r>
    <w:r>
      <w:rPr>
        <w:sz w:val="20"/>
      </w:rPr>
      <w:fldChar w:fldCharType="end"/>
    </w:r>
    <w:r w:rsidR="000B0E4C" w:rsidRPr="00CE62A4">
      <w:rPr>
        <w:sz w:val="20"/>
        <w:szCs w:val="20"/>
      </w:rPr>
      <w:t>_</w:t>
    </w:r>
    <w:r w:rsidR="000B0E4C">
      <w:rPr>
        <w:sz w:val="20"/>
        <w:szCs w:val="20"/>
      </w:rPr>
      <w:t>Gr_</w:t>
    </w:r>
    <w:r w:rsidR="000B0E4C" w:rsidRPr="00CE62A4">
      <w:rPr>
        <w:sz w:val="20"/>
        <w:szCs w:val="20"/>
      </w:rPr>
      <w:t xml:space="preserve">Lauk; </w:t>
    </w:r>
    <w:r w:rsidR="000B0E4C" w:rsidRPr="00BE31CA">
      <w:rPr>
        <w:sz w:val="20"/>
        <w:szCs w:val="20"/>
      </w:rPr>
      <w:t>Grozījumi Ministru kabineta 2015. gada 7. aprīļa noteikumos Nr. 171</w:t>
    </w:r>
    <w:r w:rsidR="000B0E4C">
      <w:rPr>
        <w:sz w:val="20"/>
        <w:szCs w:val="20"/>
      </w:rPr>
      <w:t xml:space="preserve"> „</w:t>
    </w:r>
    <w:r w:rsidR="000B0E4C" w:rsidRPr="00CE62A4">
      <w:rPr>
        <w:sz w:val="20"/>
        <w:szCs w:val="20"/>
      </w:rPr>
      <w:t xml:space="preserve">Noteikumi </w:t>
    </w:r>
    <w:r w:rsidR="000B0E4C">
      <w:rPr>
        <w:sz w:val="20"/>
        <w:szCs w:val="20"/>
      </w:rPr>
      <w:t>par v</w:t>
    </w:r>
    <w:r w:rsidR="000B0E4C" w:rsidRPr="00BE31CA">
      <w:rPr>
        <w:bCs/>
      </w:rPr>
      <w:t xml:space="preserve">alsts un Eiropas Savienības atbalsta </w:t>
    </w:r>
    <w:r w:rsidR="000B0E4C">
      <w:rPr>
        <w:sz w:val="20"/>
        <w:szCs w:val="20"/>
      </w:rPr>
      <w:t xml:space="preserve">piešķiršanu, administrēšanu un uzraudzību </w:t>
    </w:r>
    <w:r w:rsidR="000B0E4C" w:rsidRPr="00BE31CA">
      <w:rPr>
        <w:sz w:val="20"/>
        <w:szCs w:val="20"/>
      </w:rPr>
      <w:t>vides, klimata un lauku ainavas</w:t>
    </w:r>
    <w:r w:rsidR="000B0E4C" w:rsidRPr="00343F35">
      <w:rPr>
        <w:sz w:val="20"/>
      </w:rPr>
      <w:t xml:space="preserve"> uzlabošanai </w:t>
    </w:r>
    <w:r w:rsidR="000B0E4C" w:rsidRPr="00343F35">
      <w:rPr>
        <w:rStyle w:val="Izteiksmgs"/>
        <w:b w:val="0"/>
        <w:sz w:val="20"/>
        <w:szCs w:val="20"/>
      </w:rPr>
      <w:t>2014</w:t>
    </w:r>
    <w:r w:rsidR="000B0E4C">
      <w:rPr>
        <w:rStyle w:val="Izteiksmgs"/>
        <w:b w:val="0"/>
        <w:color w:val="000000"/>
        <w:sz w:val="20"/>
        <w:szCs w:val="20"/>
      </w:rPr>
      <w:t>.-2020.gada plānošanas periodā”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C" w:rsidRPr="00F85AEC" w:rsidRDefault="004209D2" w:rsidP="00FA7D99">
    <w:pPr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860FED">
      <w:rPr>
        <w:sz w:val="20"/>
      </w:rPr>
      <w:t>ZMAnot_2</w:t>
    </w:r>
    <w:r w:rsidR="00690BC1">
      <w:rPr>
        <w:sz w:val="20"/>
      </w:rPr>
      <w:t>0</w:t>
    </w:r>
    <w:r w:rsidR="000B0E4C" w:rsidRPr="00F85AEC">
      <w:rPr>
        <w:sz w:val="20"/>
      </w:rPr>
      <w:t>0</w:t>
    </w:r>
    <w:r w:rsidR="000B0E4C">
      <w:rPr>
        <w:sz w:val="20"/>
      </w:rPr>
      <w:t>5</w:t>
    </w:r>
    <w:r w:rsidR="000B0E4C" w:rsidRPr="00F85AEC">
      <w:rPr>
        <w:sz w:val="20"/>
      </w:rPr>
      <w:t>15</w:t>
    </w:r>
    <w:r>
      <w:rPr>
        <w:sz w:val="20"/>
      </w:rPr>
      <w:fldChar w:fldCharType="end"/>
    </w:r>
    <w:r w:rsidR="000B0E4C" w:rsidRPr="00CE62A4">
      <w:rPr>
        <w:sz w:val="20"/>
        <w:szCs w:val="20"/>
      </w:rPr>
      <w:t>_</w:t>
    </w:r>
    <w:r w:rsidR="000B0E4C">
      <w:rPr>
        <w:sz w:val="20"/>
        <w:szCs w:val="20"/>
      </w:rPr>
      <w:t>Gr_</w:t>
    </w:r>
    <w:r w:rsidR="000B0E4C" w:rsidRPr="00CE62A4">
      <w:rPr>
        <w:sz w:val="20"/>
        <w:szCs w:val="20"/>
      </w:rPr>
      <w:t xml:space="preserve">Lauk; </w:t>
    </w:r>
    <w:r w:rsidR="000B0E4C" w:rsidRPr="00BE31CA">
      <w:rPr>
        <w:sz w:val="20"/>
        <w:szCs w:val="20"/>
      </w:rPr>
      <w:t>Grozījumi Ministru kabineta 2015. gada 7. aprīļa noteikumos Nr. 171</w:t>
    </w:r>
    <w:r w:rsidR="000B0E4C">
      <w:rPr>
        <w:sz w:val="20"/>
        <w:szCs w:val="20"/>
      </w:rPr>
      <w:t xml:space="preserve"> „</w:t>
    </w:r>
    <w:r w:rsidR="000B0E4C" w:rsidRPr="00CE62A4">
      <w:rPr>
        <w:sz w:val="20"/>
        <w:szCs w:val="20"/>
      </w:rPr>
      <w:t xml:space="preserve">Noteikumi </w:t>
    </w:r>
    <w:r w:rsidR="000B0E4C">
      <w:rPr>
        <w:sz w:val="20"/>
        <w:szCs w:val="20"/>
      </w:rPr>
      <w:t>par v</w:t>
    </w:r>
    <w:r w:rsidR="000B0E4C" w:rsidRPr="00BE31CA">
      <w:rPr>
        <w:bCs/>
      </w:rPr>
      <w:t xml:space="preserve">alsts un Eiropas Savienības atbalsta </w:t>
    </w:r>
    <w:r w:rsidR="000B0E4C">
      <w:rPr>
        <w:sz w:val="20"/>
        <w:szCs w:val="20"/>
      </w:rPr>
      <w:t xml:space="preserve">piešķiršanu, administrēšanu un uzraudzību </w:t>
    </w:r>
    <w:r w:rsidR="000B0E4C" w:rsidRPr="00BE31CA">
      <w:rPr>
        <w:sz w:val="20"/>
        <w:szCs w:val="20"/>
      </w:rPr>
      <w:t>vides, klimata un lauku ainavas</w:t>
    </w:r>
    <w:r w:rsidR="000B0E4C" w:rsidRPr="00343F35">
      <w:rPr>
        <w:sz w:val="20"/>
      </w:rPr>
      <w:t xml:space="preserve"> uzlabošanai </w:t>
    </w:r>
    <w:r w:rsidR="000B0E4C" w:rsidRPr="00343F35">
      <w:rPr>
        <w:rStyle w:val="Izteiksmgs"/>
        <w:b w:val="0"/>
        <w:sz w:val="20"/>
        <w:szCs w:val="20"/>
      </w:rPr>
      <w:t>2014</w:t>
    </w:r>
    <w:r w:rsidR="000B0E4C">
      <w:rPr>
        <w:rStyle w:val="Izteiksmgs"/>
        <w:b w:val="0"/>
        <w:color w:val="000000"/>
        <w:sz w:val="20"/>
        <w:szCs w:val="20"/>
      </w:rPr>
      <w:t>.-2020.gada plānošanas periodā”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E4" w:rsidRDefault="00E352E4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E352E4" w:rsidRDefault="00E352E4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C" w:rsidRPr="006B42E1" w:rsidRDefault="007A0EE4" w:rsidP="006B42E1">
    <w:pPr>
      <w:pStyle w:val="Galvene"/>
      <w:jc w:val="center"/>
      <w:rPr>
        <w:rFonts w:ascii="Times New Roman" w:hAnsi="Times New Roman"/>
        <w:sz w:val="24"/>
        <w:szCs w:val="24"/>
      </w:rPr>
    </w:pPr>
    <w:r w:rsidRPr="006B42E1">
      <w:rPr>
        <w:rFonts w:ascii="Times New Roman" w:hAnsi="Times New Roman"/>
        <w:sz w:val="24"/>
        <w:szCs w:val="24"/>
      </w:rPr>
      <w:fldChar w:fldCharType="begin"/>
    </w:r>
    <w:r w:rsidR="000B0E4C" w:rsidRPr="006B42E1">
      <w:rPr>
        <w:rFonts w:ascii="Times New Roman" w:hAnsi="Times New Roman"/>
        <w:sz w:val="24"/>
        <w:szCs w:val="24"/>
      </w:rPr>
      <w:instrText>PAGE   \* MERGEFORMAT</w:instrText>
    </w:r>
    <w:r w:rsidRPr="006B42E1">
      <w:rPr>
        <w:rFonts w:ascii="Times New Roman" w:hAnsi="Times New Roman"/>
        <w:sz w:val="24"/>
        <w:szCs w:val="24"/>
      </w:rPr>
      <w:fldChar w:fldCharType="separate"/>
    </w:r>
    <w:r w:rsidR="004209D2">
      <w:rPr>
        <w:rFonts w:ascii="Times New Roman" w:hAnsi="Times New Roman"/>
        <w:noProof/>
        <w:sz w:val="24"/>
        <w:szCs w:val="24"/>
      </w:rPr>
      <w:t>3</w:t>
    </w:r>
    <w:r w:rsidRPr="006B42E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EC8"/>
    <w:multiLevelType w:val="hybridMultilevel"/>
    <w:tmpl w:val="A33235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DF0"/>
    <w:multiLevelType w:val="hybridMultilevel"/>
    <w:tmpl w:val="576E9F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BD0"/>
    <w:multiLevelType w:val="hybridMultilevel"/>
    <w:tmpl w:val="92F8E092"/>
    <w:lvl w:ilvl="0" w:tplc="0426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3" w:hanging="360"/>
      </w:pPr>
    </w:lvl>
    <w:lvl w:ilvl="2" w:tplc="0426001B" w:tentative="1">
      <w:start w:val="1"/>
      <w:numFmt w:val="lowerRoman"/>
      <w:lvlText w:val="%3."/>
      <w:lvlJc w:val="right"/>
      <w:pPr>
        <w:ind w:left="1803" w:hanging="180"/>
      </w:pPr>
    </w:lvl>
    <w:lvl w:ilvl="3" w:tplc="0426000F" w:tentative="1">
      <w:start w:val="1"/>
      <w:numFmt w:val="decimal"/>
      <w:lvlText w:val="%4."/>
      <w:lvlJc w:val="left"/>
      <w:pPr>
        <w:ind w:left="2523" w:hanging="360"/>
      </w:pPr>
    </w:lvl>
    <w:lvl w:ilvl="4" w:tplc="04260019" w:tentative="1">
      <w:start w:val="1"/>
      <w:numFmt w:val="lowerLetter"/>
      <w:lvlText w:val="%5."/>
      <w:lvlJc w:val="left"/>
      <w:pPr>
        <w:ind w:left="3243" w:hanging="360"/>
      </w:pPr>
    </w:lvl>
    <w:lvl w:ilvl="5" w:tplc="0426001B" w:tentative="1">
      <w:start w:val="1"/>
      <w:numFmt w:val="lowerRoman"/>
      <w:lvlText w:val="%6."/>
      <w:lvlJc w:val="right"/>
      <w:pPr>
        <w:ind w:left="3963" w:hanging="180"/>
      </w:pPr>
    </w:lvl>
    <w:lvl w:ilvl="6" w:tplc="0426000F" w:tentative="1">
      <w:start w:val="1"/>
      <w:numFmt w:val="decimal"/>
      <w:lvlText w:val="%7."/>
      <w:lvlJc w:val="left"/>
      <w:pPr>
        <w:ind w:left="4683" w:hanging="360"/>
      </w:pPr>
    </w:lvl>
    <w:lvl w:ilvl="7" w:tplc="04260019" w:tentative="1">
      <w:start w:val="1"/>
      <w:numFmt w:val="lowerLetter"/>
      <w:lvlText w:val="%8."/>
      <w:lvlJc w:val="left"/>
      <w:pPr>
        <w:ind w:left="5403" w:hanging="360"/>
      </w:pPr>
    </w:lvl>
    <w:lvl w:ilvl="8" w:tplc="042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6881B49"/>
    <w:multiLevelType w:val="hybridMultilevel"/>
    <w:tmpl w:val="45B8FFF2"/>
    <w:lvl w:ilvl="0" w:tplc="920664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C55A11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93D73"/>
    <w:multiLevelType w:val="hybridMultilevel"/>
    <w:tmpl w:val="9D4CF400"/>
    <w:lvl w:ilvl="0" w:tplc="3C7A7C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3A8E"/>
    <w:multiLevelType w:val="hybridMultilevel"/>
    <w:tmpl w:val="B0E83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E1666"/>
    <w:multiLevelType w:val="hybridMultilevel"/>
    <w:tmpl w:val="B636DFCA"/>
    <w:lvl w:ilvl="0" w:tplc="CF7C7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D95DFE"/>
    <w:multiLevelType w:val="hybridMultilevel"/>
    <w:tmpl w:val="507AB2E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7630FE"/>
    <w:multiLevelType w:val="hybridMultilevel"/>
    <w:tmpl w:val="73C48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7091D"/>
    <w:multiLevelType w:val="hybridMultilevel"/>
    <w:tmpl w:val="507AB2E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95423C"/>
    <w:multiLevelType w:val="hybridMultilevel"/>
    <w:tmpl w:val="F7FC0CA2"/>
    <w:lvl w:ilvl="0" w:tplc="21121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6D5A41"/>
    <w:multiLevelType w:val="hybridMultilevel"/>
    <w:tmpl w:val="DFA07D88"/>
    <w:lvl w:ilvl="0" w:tplc="72B054AA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7046C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629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8C3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BAD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122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BAC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661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0A3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66410F18"/>
    <w:multiLevelType w:val="hybridMultilevel"/>
    <w:tmpl w:val="91CEF3D8"/>
    <w:lvl w:ilvl="0" w:tplc="21121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3131A"/>
    <w:multiLevelType w:val="hybridMultilevel"/>
    <w:tmpl w:val="F7FC0CA2"/>
    <w:lvl w:ilvl="0" w:tplc="21121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1"/>
    <w:rsid w:val="00010363"/>
    <w:rsid w:val="000135B1"/>
    <w:rsid w:val="000141C1"/>
    <w:rsid w:val="00021B33"/>
    <w:rsid w:val="00025686"/>
    <w:rsid w:val="00032CCB"/>
    <w:rsid w:val="00033E73"/>
    <w:rsid w:val="000440CD"/>
    <w:rsid w:val="000450F6"/>
    <w:rsid w:val="000454C9"/>
    <w:rsid w:val="00045DC4"/>
    <w:rsid w:val="000504C9"/>
    <w:rsid w:val="00050B22"/>
    <w:rsid w:val="000527E3"/>
    <w:rsid w:val="00054B66"/>
    <w:rsid w:val="00056BFD"/>
    <w:rsid w:val="0006144E"/>
    <w:rsid w:val="00063D28"/>
    <w:rsid w:val="00064782"/>
    <w:rsid w:val="00065414"/>
    <w:rsid w:val="00072232"/>
    <w:rsid w:val="00072919"/>
    <w:rsid w:val="000752E9"/>
    <w:rsid w:val="00075969"/>
    <w:rsid w:val="000801E3"/>
    <w:rsid w:val="00080C6F"/>
    <w:rsid w:val="00081B49"/>
    <w:rsid w:val="000861D8"/>
    <w:rsid w:val="00086361"/>
    <w:rsid w:val="00087088"/>
    <w:rsid w:val="00091CE8"/>
    <w:rsid w:val="00091E42"/>
    <w:rsid w:val="00095F9A"/>
    <w:rsid w:val="000A5E3C"/>
    <w:rsid w:val="000B0071"/>
    <w:rsid w:val="000B0E4C"/>
    <w:rsid w:val="000B16CA"/>
    <w:rsid w:val="000B2414"/>
    <w:rsid w:val="000B53DF"/>
    <w:rsid w:val="000B698E"/>
    <w:rsid w:val="000C0408"/>
    <w:rsid w:val="000C0DAB"/>
    <w:rsid w:val="000C13C1"/>
    <w:rsid w:val="000C1D81"/>
    <w:rsid w:val="000C283D"/>
    <w:rsid w:val="000C3027"/>
    <w:rsid w:val="000C3050"/>
    <w:rsid w:val="000C57DA"/>
    <w:rsid w:val="000D5C8C"/>
    <w:rsid w:val="000E2443"/>
    <w:rsid w:val="000E3C59"/>
    <w:rsid w:val="000E5392"/>
    <w:rsid w:val="000E7B64"/>
    <w:rsid w:val="000F01BE"/>
    <w:rsid w:val="000F442A"/>
    <w:rsid w:val="000F6B11"/>
    <w:rsid w:val="000F6C06"/>
    <w:rsid w:val="000F7756"/>
    <w:rsid w:val="001001E4"/>
    <w:rsid w:val="00106AC9"/>
    <w:rsid w:val="00106FDC"/>
    <w:rsid w:val="00107EAA"/>
    <w:rsid w:val="00110153"/>
    <w:rsid w:val="001130CC"/>
    <w:rsid w:val="00115B9E"/>
    <w:rsid w:val="001166CE"/>
    <w:rsid w:val="00117452"/>
    <w:rsid w:val="001175B7"/>
    <w:rsid w:val="001179D3"/>
    <w:rsid w:val="0012012A"/>
    <w:rsid w:val="00122123"/>
    <w:rsid w:val="001221B8"/>
    <w:rsid w:val="00124391"/>
    <w:rsid w:val="001251F4"/>
    <w:rsid w:val="001305EE"/>
    <w:rsid w:val="001307C8"/>
    <w:rsid w:val="00133BE0"/>
    <w:rsid w:val="00136660"/>
    <w:rsid w:val="00152F9A"/>
    <w:rsid w:val="001543E8"/>
    <w:rsid w:val="00154BF4"/>
    <w:rsid w:val="00155754"/>
    <w:rsid w:val="001569AB"/>
    <w:rsid w:val="00160403"/>
    <w:rsid w:val="0016220B"/>
    <w:rsid w:val="001676A0"/>
    <w:rsid w:val="001702B7"/>
    <w:rsid w:val="00172056"/>
    <w:rsid w:val="00174322"/>
    <w:rsid w:val="001772F8"/>
    <w:rsid w:val="00177785"/>
    <w:rsid w:val="00184D91"/>
    <w:rsid w:val="00187981"/>
    <w:rsid w:val="00196583"/>
    <w:rsid w:val="001A3BFC"/>
    <w:rsid w:val="001A3C80"/>
    <w:rsid w:val="001A50BC"/>
    <w:rsid w:val="001A5C18"/>
    <w:rsid w:val="001A6197"/>
    <w:rsid w:val="001B2CFC"/>
    <w:rsid w:val="001B6789"/>
    <w:rsid w:val="001C074D"/>
    <w:rsid w:val="001D0B8A"/>
    <w:rsid w:val="001D7165"/>
    <w:rsid w:val="001E1FC0"/>
    <w:rsid w:val="001E7D8C"/>
    <w:rsid w:val="001F3B1B"/>
    <w:rsid w:val="001F436B"/>
    <w:rsid w:val="001F574C"/>
    <w:rsid w:val="001F5D71"/>
    <w:rsid w:val="00202987"/>
    <w:rsid w:val="002046BC"/>
    <w:rsid w:val="00205385"/>
    <w:rsid w:val="00207BD9"/>
    <w:rsid w:val="002102BB"/>
    <w:rsid w:val="00210DB4"/>
    <w:rsid w:val="0021371F"/>
    <w:rsid w:val="0021641A"/>
    <w:rsid w:val="00217689"/>
    <w:rsid w:val="00217B23"/>
    <w:rsid w:val="0022441C"/>
    <w:rsid w:val="00227150"/>
    <w:rsid w:val="00232AA2"/>
    <w:rsid w:val="00234811"/>
    <w:rsid w:val="002362AB"/>
    <w:rsid w:val="002407C0"/>
    <w:rsid w:val="00242542"/>
    <w:rsid w:val="00243240"/>
    <w:rsid w:val="00243C17"/>
    <w:rsid w:val="0024414A"/>
    <w:rsid w:val="00252D8B"/>
    <w:rsid w:val="00260D3F"/>
    <w:rsid w:val="00270A74"/>
    <w:rsid w:val="00282674"/>
    <w:rsid w:val="0028376E"/>
    <w:rsid w:val="0028566A"/>
    <w:rsid w:val="00286AD9"/>
    <w:rsid w:val="002878F6"/>
    <w:rsid w:val="00292364"/>
    <w:rsid w:val="0029537C"/>
    <w:rsid w:val="002A72AF"/>
    <w:rsid w:val="002A73B3"/>
    <w:rsid w:val="002A7CC2"/>
    <w:rsid w:val="002A7F17"/>
    <w:rsid w:val="002B103A"/>
    <w:rsid w:val="002B37F4"/>
    <w:rsid w:val="002B42DB"/>
    <w:rsid w:val="002B4EBC"/>
    <w:rsid w:val="002C1F64"/>
    <w:rsid w:val="002C5159"/>
    <w:rsid w:val="002D34BA"/>
    <w:rsid w:val="002D38B2"/>
    <w:rsid w:val="002D6F69"/>
    <w:rsid w:val="002E180D"/>
    <w:rsid w:val="002E58E1"/>
    <w:rsid w:val="002E7998"/>
    <w:rsid w:val="002F20C6"/>
    <w:rsid w:val="002F4C88"/>
    <w:rsid w:val="003017F3"/>
    <w:rsid w:val="003057DA"/>
    <w:rsid w:val="00306ABF"/>
    <w:rsid w:val="00316DF0"/>
    <w:rsid w:val="00322EF9"/>
    <w:rsid w:val="00326540"/>
    <w:rsid w:val="00327FCF"/>
    <w:rsid w:val="0033465E"/>
    <w:rsid w:val="003406F9"/>
    <w:rsid w:val="0035236C"/>
    <w:rsid w:val="00352976"/>
    <w:rsid w:val="0035326A"/>
    <w:rsid w:val="00355E2A"/>
    <w:rsid w:val="0036088B"/>
    <w:rsid w:val="0036380C"/>
    <w:rsid w:val="00365593"/>
    <w:rsid w:val="00371839"/>
    <w:rsid w:val="00374351"/>
    <w:rsid w:val="00383838"/>
    <w:rsid w:val="00385F76"/>
    <w:rsid w:val="00386ACF"/>
    <w:rsid w:val="00386D4D"/>
    <w:rsid w:val="003905FE"/>
    <w:rsid w:val="00391FC6"/>
    <w:rsid w:val="00396B0E"/>
    <w:rsid w:val="003A06E9"/>
    <w:rsid w:val="003A22B1"/>
    <w:rsid w:val="003A3B23"/>
    <w:rsid w:val="003A6498"/>
    <w:rsid w:val="003A6DEF"/>
    <w:rsid w:val="003A7924"/>
    <w:rsid w:val="003C0519"/>
    <w:rsid w:val="003D048C"/>
    <w:rsid w:val="003D3761"/>
    <w:rsid w:val="003D64F2"/>
    <w:rsid w:val="003E2BF5"/>
    <w:rsid w:val="003E4363"/>
    <w:rsid w:val="003E58C9"/>
    <w:rsid w:val="003F0B16"/>
    <w:rsid w:val="003F2EFD"/>
    <w:rsid w:val="003F5A33"/>
    <w:rsid w:val="00400C7A"/>
    <w:rsid w:val="00405C9D"/>
    <w:rsid w:val="00406D01"/>
    <w:rsid w:val="00407235"/>
    <w:rsid w:val="004103AB"/>
    <w:rsid w:val="00410FA7"/>
    <w:rsid w:val="00411EAD"/>
    <w:rsid w:val="00413737"/>
    <w:rsid w:val="00414BFC"/>
    <w:rsid w:val="00414C2F"/>
    <w:rsid w:val="004209D2"/>
    <w:rsid w:val="004234AA"/>
    <w:rsid w:val="0042573E"/>
    <w:rsid w:val="0043387C"/>
    <w:rsid w:val="0043497F"/>
    <w:rsid w:val="004367C7"/>
    <w:rsid w:val="0044165F"/>
    <w:rsid w:val="00442BB6"/>
    <w:rsid w:val="00443EAD"/>
    <w:rsid w:val="004560EA"/>
    <w:rsid w:val="00460BD7"/>
    <w:rsid w:val="00470669"/>
    <w:rsid w:val="00471F64"/>
    <w:rsid w:val="00475220"/>
    <w:rsid w:val="00475F87"/>
    <w:rsid w:val="004851D5"/>
    <w:rsid w:val="00495BDF"/>
    <w:rsid w:val="00495CA0"/>
    <w:rsid w:val="004976B3"/>
    <w:rsid w:val="004976CD"/>
    <w:rsid w:val="004A1446"/>
    <w:rsid w:val="004A3C96"/>
    <w:rsid w:val="004A5480"/>
    <w:rsid w:val="004A64C6"/>
    <w:rsid w:val="004A72C6"/>
    <w:rsid w:val="004A75AD"/>
    <w:rsid w:val="004C1C6B"/>
    <w:rsid w:val="004C259C"/>
    <w:rsid w:val="004C5413"/>
    <w:rsid w:val="004C5A0A"/>
    <w:rsid w:val="004C66C4"/>
    <w:rsid w:val="004C6825"/>
    <w:rsid w:val="004D4ADE"/>
    <w:rsid w:val="004E1B7F"/>
    <w:rsid w:val="004E251A"/>
    <w:rsid w:val="004E5420"/>
    <w:rsid w:val="004E5E63"/>
    <w:rsid w:val="004E78FE"/>
    <w:rsid w:val="004F1369"/>
    <w:rsid w:val="004F1787"/>
    <w:rsid w:val="004F2475"/>
    <w:rsid w:val="004F698B"/>
    <w:rsid w:val="0050329E"/>
    <w:rsid w:val="00507389"/>
    <w:rsid w:val="00515D58"/>
    <w:rsid w:val="00521D14"/>
    <w:rsid w:val="00527442"/>
    <w:rsid w:val="0053040D"/>
    <w:rsid w:val="0053269A"/>
    <w:rsid w:val="00537069"/>
    <w:rsid w:val="005418FF"/>
    <w:rsid w:val="005421CE"/>
    <w:rsid w:val="00561519"/>
    <w:rsid w:val="0057099E"/>
    <w:rsid w:val="0057365C"/>
    <w:rsid w:val="00575D42"/>
    <w:rsid w:val="00583572"/>
    <w:rsid w:val="00590FFC"/>
    <w:rsid w:val="00595C41"/>
    <w:rsid w:val="00597B53"/>
    <w:rsid w:val="005A514F"/>
    <w:rsid w:val="005A7131"/>
    <w:rsid w:val="005C083B"/>
    <w:rsid w:val="005C64B5"/>
    <w:rsid w:val="005D0E1A"/>
    <w:rsid w:val="005D2639"/>
    <w:rsid w:val="005D2B28"/>
    <w:rsid w:val="005D378D"/>
    <w:rsid w:val="005D3DB2"/>
    <w:rsid w:val="005D3E62"/>
    <w:rsid w:val="005D4C64"/>
    <w:rsid w:val="005D5A78"/>
    <w:rsid w:val="005E1126"/>
    <w:rsid w:val="005E2547"/>
    <w:rsid w:val="005E4799"/>
    <w:rsid w:val="005E6328"/>
    <w:rsid w:val="005F1BF2"/>
    <w:rsid w:val="005F2356"/>
    <w:rsid w:val="005F2CAC"/>
    <w:rsid w:val="005F4B05"/>
    <w:rsid w:val="0060161B"/>
    <w:rsid w:val="00603054"/>
    <w:rsid w:val="006058DD"/>
    <w:rsid w:val="00606205"/>
    <w:rsid w:val="00607083"/>
    <w:rsid w:val="006159D9"/>
    <w:rsid w:val="00615D84"/>
    <w:rsid w:val="00624E0D"/>
    <w:rsid w:val="00625FE0"/>
    <w:rsid w:val="00633043"/>
    <w:rsid w:val="00636649"/>
    <w:rsid w:val="00640D7A"/>
    <w:rsid w:val="00642C6C"/>
    <w:rsid w:val="00643FD1"/>
    <w:rsid w:val="0065006A"/>
    <w:rsid w:val="0065213B"/>
    <w:rsid w:val="00652835"/>
    <w:rsid w:val="006531A3"/>
    <w:rsid w:val="00655B01"/>
    <w:rsid w:val="0065724F"/>
    <w:rsid w:val="0065757D"/>
    <w:rsid w:val="006666DC"/>
    <w:rsid w:val="006666EE"/>
    <w:rsid w:val="006667D4"/>
    <w:rsid w:val="00666816"/>
    <w:rsid w:val="0067231D"/>
    <w:rsid w:val="00674FE0"/>
    <w:rsid w:val="00677BC4"/>
    <w:rsid w:val="00681270"/>
    <w:rsid w:val="00682D73"/>
    <w:rsid w:val="006837FD"/>
    <w:rsid w:val="00690BC1"/>
    <w:rsid w:val="006917D6"/>
    <w:rsid w:val="00693DBB"/>
    <w:rsid w:val="00694786"/>
    <w:rsid w:val="00695CA2"/>
    <w:rsid w:val="006A19B6"/>
    <w:rsid w:val="006A7063"/>
    <w:rsid w:val="006B2A3B"/>
    <w:rsid w:val="006B2CEB"/>
    <w:rsid w:val="006B42E1"/>
    <w:rsid w:val="006B46C2"/>
    <w:rsid w:val="006B5EBF"/>
    <w:rsid w:val="006B6490"/>
    <w:rsid w:val="006C1714"/>
    <w:rsid w:val="006C6746"/>
    <w:rsid w:val="006D0A21"/>
    <w:rsid w:val="006D615F"/>
    <w:rsid w:val="006D632E"/>
    <w:rsid w:val="006E1F2C"/>
    <w:rsid w:val="006E63EB"/>
    <w:rsid w:val="006F24FD"/>
    <w:rsid w:val="006F2B65"/>
    <w:rsid w:val="006F7F35"/>
    <w:rsid w:val="00702C5F"/>
    <w:rsid w:val="00712137"/>
    <w:rsid w:val="007131DB"/>
    <w:rsid w:val="00713973"/>
    <w:rsid w:val="00713D07"/>
    <w:rsid w:val="007214B3"/>
    <w:rsid w:val="00724BC3"/>
    <w:rsid w:val="0072667D"/>
    <w:rsid w:val="0072717A"/>
    <w:rsid w:val="00727B86"/>
    <w:rsid w:val="00732892"/>
    <w:rsid w:val="00733C7A"/>
    <w:rsid w:val="00733F64"/>
    <w:rsid w:val="0073404C"/>
    <w:rsid w:val="0073451D"/>
    <w:rsid w:val="00741D7A"/>
    <w:rsid w:val="00744354"/>
    <w:rsid w:val="00744590"/>
    <w:rsid w:val="007460CE"/>
    <w:rsid w:val="00747171"/>
    <w:rsid w:val="00747C75"/>
    <w:rsid w:val="00753454"/>
    <w:rsid w:val="00755774"/>
    <w:rsid w:val="00756595"/>
    <w:rsid w:val="00763F08"/>
    <w:rsid w:val="00764117"/>
    <w:rsid w:val="00764FC1"/>
    <w:rsid w:val="00770A9E"/>
    <w:rsid w:val="00774EE0"/>
    <w:rsid w:val="00776FC9"/>
    <w:rsid w:val="00777B15"/>
    <w:rsid w:val="007818E3"/>
    <w:rsid w:val="00781F19"/>
    <w:rsid w:val="00782128"/>
    <w:rsid w:val="007869F1"/>
    <w:rsid w:val="00791AAF"/>
    <w:rsid w:val="00795587"/>
    <w:rsid w:val="007967E9"/>
    <w:rsid w:val="00796F3A"/>
    <w:rsid w:val="007A011F"/>
    <w:rsid w:val="007A0EE4"/>
    <w:rsid w:val="007A5C52"/>
    <w:rsid w:val="007A6285"/>
    <w:rsid w:val="007B2CFA"/>
    <w:rsid w:val="007B2DBD"/>
    <w:rsid w:val="007B4D5A"/>
    <w:rsid w:val="007B613A"/>
    <w:rsid w:val="007B6FBD"/>
    <w:rsid w:val="007C54A8"/>
    <w:rsid w:val="007C5B5D"/>
    <w:rsid w:val="007D1380"/>
    <w:rsid w:val="007D2EF8"/>
    <w:rsid w:val="007E1E87"/>
    <w:rsid w:val="007E22BA"/>
    <w:rsid w:val="007E5913"/>
    <w:rsid w:val="007E5E0A"/>
    <w:rsid w:val="007E6E49"/>
    <w:rsid w:val="007E7805"/>
    <w:rsid w:val="007F2259"/>
    <w:rsid w:val="007F3D9F"/>
    <w:rsid w:val="007F4058"/>
    <w:rsid w:val="007F4B04"/>
    <w:rsid w:val="007F529A"/>
    <w:rsid w:val="007F6F84"/>
    <w:rsid w:val="00806FBE"/>
    <w:rsid w:val="0081658C"/>
    <w:rsid w:val="0081762F"/>
    <w:rsid w:val="008203CA"/>
    <w:rsid w:val="0082336A"/>
    <w:rsid w:val="008273DA"/>
    <w:rsid w:val="008319F3"/>
    <w:rsid w:val="00833052"/>
    <w:rsid w:val="00833614"/>
    <w:rsid w:val="00835EC1"/>
    <w:rsid w:val="00836B74"/>
    <w:rsid w:val="00844242"/>
    <w:rsid w:val="008446B2"/>
    <w:rsid w:val="00847E40"/>
    <w:rsid w:val="00850E8F"/>
    <w:rsid w:val="00855D1E"/>
    <w:rsid w:val="008602AB"/>
    <w:rsid w:val="00860EE4"/>
    <w:rsid w:val="00860FED"/>
    <w:rsid w:val="00861801"/>
    <w:rsid w:val="00872F1F"/>
    <w:rsid w:val="0087347E"/>
    <w:rsid w:val="00873E30"/>
    <w:rsid w:val="00876A07"/>
    <w:rsid w:val="00877882"/>
    <w:rsid w:val="00880CA8"/>
    <w:rsid w:val="00880F26"/>
    <w:rsid w:val="00882DA1"/>
    <w:rsid w:val="00882E86"/>
    <w:rsid w:val="00885E9A"/>
    <w:rsid w:val="008907EA"/>
    <w:rsid w:val="008946F5"/>
    <w:rsid w:val="00897874"/>
    <w:rsid w:val="008A08A3"/>
    <w:rsid w:val="008A1722"/>
    <w:rsid w:val="008B19A5"/>
    <w:rsid w:val="008B5AA3"/>
    <w:rsid w:val="008B6DFD"/>
    <w:rsid w:val="008C13D6"/>
    <w:rsid w:val="008C2225"/>
    <w:rsid w:val="008C2F4B"/>
    <w:rsid w:val="008C331E"/>
    <w:rsid w:val="008C6032"/>
    <w:rsid w:val="008D02C3"/>
    <w:rsid w:val="008D151E"/>
    <w:rsid w:val="008D4EEA"/>
    <w:rsid w:val="008E079D"/>
    <w:rsid w:val="008E11FB"/>
    <w:rsid w:val="008E38E3"/>
    <w:rsid w:val="008E5AF8"/>
    <w:rsid w:val="008F0704"/>
    <w:rsid w:val="008F68A0"/>
    <w:rsid w:val="008F7ABB"/>
    <w:rsid w:val="009004C1"/>
    <w:rsid w:val="00907F61"/>
    <w:rsid w:val="009117F4"/>
    <w:rsid w:val="00912E77"/>
    <w:rsid w:val="00916218"/>
    <w:rsid w:val="00917B2A"/>
    <w:rsid w:val="009217F0"/>
    <w:rsid w:val="0092241D"/>
    <w:rsid w:val="00925500"/>
    <w:rsid w:val="00927AD8"/>
    <w:rsid w:val="009313EC"/>
    <w:rsid w:val="00934646"/>
    <w:rsid w:val="00935417"/>
    <w:rsid w:val="00942DF1"/>
    <w:rsid w:val="00943E4E"/>
    <w:rsid w:val="00944B51"/>
    <w:rsid w:val="00945B51"/>
    <w:rsid w:val="009512AA"/>
    <w:rsid w:val="009519C6"/>
    <w:rsid w:val="00951C45"/>
    <w:rsid w:val="00955F30"/>
    <w:rsid w:val="00956DC9"/>
    <w:rsid w:val="00957CAC"/>
    <w:rsid w:val="0096145B"/>
    <w:rsid w:val="00963F95"/>
    <w:rsid w:val="009656B0"/>
    <w:rsid w:val="009675DE"/>
    <w:rsid w:val="00970B7E"/>
    <w:rsid w:val="00973A6E"/>
    <w:rsid w:val="009763E1"/>
    <w:rsid w:val="0098329F"/>
    <w:rsid w:val="00986D2E"/>
    <w:rsid w:val="00993017"/>
    <w:rsid w:val="009976A1"/>
    <w:rsid w:val="00997DEC"/>
    <w:rsid w:val="009B13DB"/>
    <w:rsid w:val="009B1885"/>
    <w:rsid w:val="009C0C91"/>
    <w:rsid w:val="009C1F75"/>
    <w:rsid w:val="009C2D35"/>
    <w:rsid w:val="009C4F9C"/>
    <w:rsid w:val="009C5AD5"/>
    <w:rsid w:val="009C5EF5"/>
    <w:rsid w:val="009C769E"/>
    <w:rsid w:val="009D2197"/>
    <w:rsid w:val="009D2FE5"/>
    <w:rsid w:val="009E3299"/>
    <w:rsid w:val="009E3D2F"/>
    <w:rsid w:val="009E42AA"/>
    <w:rsid w:val="009E5AE3"/>
    <w:rsid w:val="009E7E4B"/>
    <w:rsid w:val="009F1E27"/>
    <w:rsid w:val="009F2315"/>
    <w:rsid w:val="009F2A32"/>
    <w:rsid w:val="009F472F"/>
    <w:rsid w:val="009F5434"/>
    <w:rsid w:val="009F55ED"/>
    <w:rsid w:val="009F5F03"/>
    <w:rsid w:val="009F626B"/>
    <w:rsid w:val="009F6F3E"/>
    <w:rsid w:val="009F7902"/>
    <w:rsid w:val="00A039DE"/>
    <w:rsid w:val="00A043BD"/>
    <w:rsid w:val="00A14FFA"/>
    <w:rsid w:val="00A23275"/>
    <w:rsid w:val="00A23590"/>
    <w:rsid w:val="00A24D92"/>
    <w:rsid w:val="00A26902"/>
    <w:rsid w:val="00A32466"/>
    <w:rsid w:val="00A353B5"/>
    <w:rsid w:val="00A403C0"/>
    <w:rsid w:val="00A41C37"/>
    <w:rsid w:val="00A45092"/>
    <w:rsid w:val="00A4607B"/>
    <w:rsid w:val="00A50B78"/>
    <w:rsid w:val="00A52144"/>
    <w:rsid w:val="00A532CA"/>
    <w:rsid w:val="00A5479D"/>
    <w:rsid w:val="00A62FAA"/>
    <w:rsid w:val="00A6516F"/>
    <w:rsid w:val="00A70085"/>
    <w:rsid w:val="00A70143"/>
    <w:rsid w:val="00A71AD1"/>
    <w:rsid w:val="00A71ECB"/>
    <w:rsid w:val="00A8082E"/>
    <w:rsid w:val="00A8465F"/>
    <w:rsid w:val="00A8470A"/>
    <w:rsid w:val="00A9015D"/>
    <w:rsid w:val="00A93AE4"/>
    <w:rsid w:val="00A9468D"/>
    <w:rsid w:val="00AA2F47"/>
    <w:rsid w:val="00AB3893"/>
    <w:rsid w:val="00AB399D"/>
    <w:rsid w:val="00AC1087"/>
    <w:rsid w:val="00AC3D04"/>
    <w:rsid w:val="00AC4409"/>
    <w:rsid w:val="00AD04FA"/>
    <w:rsid w:val="00AD0A35"/>
    <w:rsid w:val="00AD34CA"/>
    <w:rsid w:val="00AD4704"/>
    <w:rsid w:val="00AD7431"/>
    <w:rsid w:val="00AE2F44"/>
    <w:rsid w:val="00AE3F48"/>
    <w:rsid w:val="00AE5AA6"/>
    <w:rsid w:val="00AF13DB"/>
    <w:rsid w:val="00AF31EF"/>
    <w:rsid w:val="00B035A0"/>
    <w:rsid w:val="00B06D15"/>
    <w:rsid w:val="00B1446E"/>
    <w:rsid w:val="00B15AFF"/>
    <w:rsid w:val="00B16ADF"/>
    <w:rsid w:val="00B242F3"/>
    <w:rsid w:val="00B265FE"/>
    <w:rsid w:val="00B27603"/>
    <w:rsid w:val="00B31554"/>
    <w:rsid w:val="00B375A8"/>
    <w:rsid w:val="00B375C3"/>
    <w:rsid w:val="00B438B5"/>
    <w:rsid w:val="00B44F22"/>
    <w:rsid w:val="00B469BF"/>
    <w:rsid w:val="00B5096A"/>
    <w:rsid w:val="00B514F8"/>
    <w:rsid w:val="00B64EC7"/>
    <w:rsid w:val="00B65B94"/>
    <w:rsid w:val="00B703BE"/>
    <w:rsid w:val="00B718EB"/>
    <w:rsid w:val="00B73219"/>
    <w:rsid w:val="00B7432B"/>
    <w:rsid w:val="00B765C2"/>
    <w:rsid w:val="00B82F0B"/>
    <w:rsid w:val="00B83C5F"/>
    <w:rsid w:val="00B90531"/>
    <w:rsid w:val="00B919FF"/>
    <w:rsid w:val="00B91F22"/>
    <w:rsid w:val="00B96AD4"/>
    <w:rsid w:val="00BB6F77"/>
    <w:rsid w:val="00BB7EDD"/>
    <w:rsid w:val="00BC2483"/>
    <w:rsid w:val="00BC5598"/>
    <w:rsid w:val="00BD066F"/>
    <w:rsid w:val="00BD15F3"/>
    <w:rsid w:val="00BD4114"/>
    <w:rsid w:val="00BD4816"/>
    <w:rsid w:val="00BF5C3C"/>
    <w:rsid w:val="00BF6DA5"/>
    <w:rsid w:val="00C06D3E"/>
    <w:rsid w:val="00C0768E"/>
    <w:rsid w:val="00C20A0E"/>
    <w:rsid w:val="00C248C4"/>
    <w:rsid w:val="00C27277"/>
    <w:rsid w:val="00C27737"/>
    <w:rsid w:val="00C2779A"/>
    <w:rsid w:val="00C30B54"/>
    <w:rsid w:val="00C33321"/>
    <w:rsid w:val="00C344BB"/>
    <w:rsid w:val="00C37B5C"/>
    <w:rsid w:val="00C37FF1"/>
    <w:rsid w:val="00C437F4"/>
    <w:rsid w:val="00C439CA"/>
    <w:rsid w:val="00C43D6F"/>
    <w:rsid w:val="00C50362"/>
    <w:rsid w:val="00C503E7"/>
    <w:rsid w:val="00C66503"/>
    <w:rsid w:val="00C66DFC"/>
    <w:rsid w:val="00C72789"/>
    <w:rsid w:val="00C771E8"/>
    <w:rsid w:val="00C80105"/>
    <w:rsid w:val="00C80D34"/>
    <w:rsid w:val="00C833F4"/>
    <w:rsid w:val="00C851CF"/>
    <w:rsid w:val="00C91D6B"/>
    <w:rsid w:val="00C969B2"/>
    <w:rsid w:val="00CA1799"/>
    <w:rsid w:val="00CA4F09"/>
    <w:rsid w:val="00CB0A2C"/>
    <w:rsid w:val="00CB2233"/>
    <w:rsid w:val="00CB754A"/>
    <w:rsid w:val="00CC1A38"/>
    <w:rsid w:val="00CC22CD"/>
    <w:rsid w:val="00CC43FF"/>
    <w:rsid w:val="00CD1BE7"/>
    <w:rsid w:val="00CD1F4E"/>
    <w:rsid w:val="00CD62E9"/>
    <w:rsid w:val="00CF2E64"/>
    <w:rsid w:val="00CF4526"/>
    <w:rsid w:val="00CF52D5"/>
    <w:rsid w:val="00CF6AF3"/>
    <w:rsid w:val="00CF7862"/>
    <w:rsid w:val="00D056EF"/>
    <w:rsid w:val="00D124D2"/>
    <w:rsid w:val="00D150E7"/>
    <w:rsid w:val="00D21DAB"/>
    <w:rsid w:val="00D22DDB"/>
    <w:rsid w:val="00D2317A"/>
    <w:rsid w:val="00D24251"/>
    <w:rsid w:val="00D258AD"/>
    <w:rsid w:val="00D25AE2"/>
    <w:rsid w:val="00D2622C"/>
    <w:rsid w:val="00D304AF"/>
    <w:rsid w:val="00D30C85"/>
    <w:rsid w:val="00D30FB2"/>
    <w:rsid w:val="00D32E48"/>
    <w:rsid w:val="00D378C7"/>
    <w:rsid w:val="00D40ADE"/>
    <w:rsid w:val="00D41D11"/>
    <w:rsid w:val="00D429E6"/>
    <w:rsid w:val="00D47335"/>
    <w:rsid w:val="00D51BF8"/>
    <w:rsid w:val="00D53344"/>
    <w:rsid w:val="00D542F8"/>
    <w:rsid w:val="00D5623C"/>
    <w:rsid w:val="00D56BAA"/>
    <w:rsid w:val="00D57959"/>
    <w:rsid w:val="00D6790A"/>
    <w:rsid w:val="00D71DD5"/>
    <w:rsid w:val="00D73309"/>
    <w:rsid w:val="00D76D29"/>
    <w:rsid w:val="00D81B78"/>
    <w:rsid w:val="00D83F1D"/>
    <w:rsid w:val="00D842CC"/>
    <w:rsid w:val="00D93092"/>
    <w:rsid w:val="00D933F7"/>
    <w:rsid w:val="00D934C6"/>
    <w:rsid w:val="00D93AB5"/>
    <w:rsid w:val="00D94886"/>
    <w:rsid w:val="00D9493C"/>
    <w:rsid w:val="00D967CA"/>
    <w:rsid w:val="00D96FF7"/>
    <w:rsid w:val="00DB0C8F"/>
    <w:rsid w:val="00DB69D7"/>
    <w:rsid w:val="00DC0E1E"/>
    <w:rsid w:val="00DC2F13"/>
    <w:rsid w:val="00DC4083"/>
    <w:rsid w:val="00DC5758"/>
    <w:rsid w:val="00DC779E"/>
    <w:rsid w:val="00DD0CF7"/>
    <w:rsid w:val="00DD39C3"/>
    <w:rsid w:val="00DD5584"/>
    <w:rsid w:val="00DE27B1"/>
    <w:rsid w:val="00E00A5A"/>
    <w:rsid w:val="00E01659"/>
    <w:rsid w:val="00E016C1"/>
    <w:rsid w:val="00E01BFE"/>
    <w:rsid w:val="00E0296B"/>
    <w:rsid w:val="00E02A4F"/>
    <w:rsid w:val="00E06138"/>
    <w:rsid w:val="00E07A17"/>
    <w:rsid w:val="00E13BD4"/>
    <w:rsid w:val="00E15398"/>
    <w:rsid w:val="00E155B2"/>
    <w:rsid w:val="00E17999"/>
    <w:rsid w:val="00E2184E"/>
    <w:rsid w:val="00E2575D"/>
    <w:rsid w:val="00E279A4"/>
    <w:rsid w:val="00E27AF0"/>
    <w:rsid w:val="00E331AB"/>
    <w:rsid w:val="00E352E4"/>
    <w:rsid w:val="00E3687A"/>
    <w:rsid w:val="00E413E4"/>
    <w:rsid w:val="00E424D5"/>
    <w:rsid w:val="00E45237"/>
    <w:rsid w:val="00E54555"/>
    <w:rsid w:val="00E55213"/>
    <w:rsid w:val="00E56EA5"/>
    <w:rsid w:val="00E64126"/>
    <w:rsid w:val="00E64478"/>
    <w:rsid w:val="00E664D9"/>
    <w:rsid w:val="00E6707A"/>
    <w:rsid w:val="00E67821"/>
    <w:rsid w:val="00E702BC"/>
    <w:rsid w:val="00E74460"/>
    <w:rsid w:val="00E748C2"/>
    <w:rsid w:val="00E76083"/>
    <w:rsid w:val="00E80BB3"/>
    <w:rsid w:val="00E82FC8"/>
    <w:rsid w:val="00E85507"/>
    <w:rsid w:val="00E85E43"/>
    <w:rsid w:val="00E875F0"/>
    <w:rsid w:val="00E87D84"/>
    <w:rsid w:val="00E920F7"/>
    <w:rsid w:val="00E9256A"/>
    <w:rsid w:val="00E952EC"/>
    <w:rsid w:val="00EA2FC5"/>
    <w:rsid w:val="00EB1D20"/>
    <w:rsid w:val="00EB27A2"/>
    <w:rsid w:val="00EB3F83"/>
    <w:rsid w:val="00EB6C86"/>
    <w:rsid w:val="00EB7480"/>
    <w:rsid w:val="00EB755A"/>
    <w:rsid w:val="00EC484A"/>
    <w:rsid w:val="00EC4FF3"/>
    <w:rsid w:val="00EC7653"/>
    <w:rsid w:val="00ED1EA4"/>
    <w:rsid w:val="00ED5B3C"/>
    <w:rsid w:val="00EE219B"/>
    <w:rsid w:val="00EE576A"/>
    <w:rsid w:val="00EF0236"/>
    <w:rsid w:val="00EF06E9"/>
    <w:rsid w:val="00EF1AC2"/>
    <w:rsid w:val="00EF4DDE"/>
    <w:rsid w:val="00F0248B"/>
    <w:rsid w:val="00F040D5"/>
    <w:rsid w:val="00F043DB"/>
    <w:rsid w:val="00F0537D"/>
    <w:rsid w:val="00F069C1"/>
    <w:rsid w:val="00F10C91"/>
    <w:rsid w:val="00F15613"/>
    <w:rsid w:val="00F17334"/>
    <w:rsid w:val="00F20A52"/>
    <w:rsid w:val="00F23FF6"/>
    <w:rsid w:val="00F23FFF"/>
    <w:rsid w:val="00F268A3"/>
    <w:rsid w:val="00F269EE"/>
    <w:rsid w:val="00F36064"/>
    <w:rsid w:val="00F40A5B"/>
    <w:rsid w:val="00F433CB"/>
    <w:rsid w:val="00F449F4"/>
    <w:rsid w:val="00F4551F"/>
    <w:rsid w:val="00F474F2"/>
    <w:rsid w:val="00F61F22"/>
    <w:rsid w:val="00F7145E"/>
    <w:rsid w:val="00F71EBE"/>
    <w:rsid w:val="00F73D33"/>
    <w:rsid w:val="00F74BD5"/>
    <w:rsid w:val="00F75912"/>
    <w:rsid w:val="00F77674"/>
    <w:rsid w:val="00F8292E"/>
    <w:rsid w:val="00F8527F"/>
    <w:rsid w:val="00F85AEC"/>
    <w:rsid w:val="00F86000"/>
    <w:rsid w:val="00F86060"/>
    <w:rsid w:val="00F90730"/>
    <w:rsid w:val="00F92499"/>
    <w:rsid w:val="00F92EA5"/>
    <w:rsid w:val="00FA3CCB"/>
    <w:rsid w:val="00FA7D99"/>
    <w:rsid w:val="00FB04A9"/>
    <w:rsid w:val="00FB1AAC"/>
    <w:rsid w:val="00FB5AF1"/>
    <w:rsid w:val="00FB64F5"/>
    <w:rsid w:val="00FC12B3"/>
    <w:rsid w:val="00FC3030"/>
    <w:rsid w:val="00FC566E"/>
    <w:rsid w:val="00FC682B"/>
    <w:rsid w:val="00FC6B2F"/>
    <w:rsid w:val="00FD3369"/>
    <w:rsid w:val="00FE033E"/>
    <w:rsid w:val="00FE0A12"/>
    <w:rsid w:val="00FE0DF4"/>
    <w:rsid w:val="00FE35E5"/>
    <w:rsid w:val="00FE66CF"/>
    <w:rsid w:val="00FE7C72"/>
    <w:rsid w:val="00FE7CA0"/>
    <w:rsid w:val="00FE7FC6"/>
    <w:rsid w:val="00FF498B"/>
    <w:rsid w:val="00FF545E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5:docId w15:val="{E077B2B8-8978-4E6D-9674-2B6723C3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A78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410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F23FFF"/>
    <w:pPr>
      <w:keepNext/>
      <w:keepLines/>
      <w:spacing w:before="200" w:line="259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232AA2"/>
    <w:pPr>
      <w:suppressAutoHyphens/>
      <w:spacing w:before="240" w:after="60"/>
      <w:outlineLvl w:val="4"/>
    </w:pPr>
    <w:rPr>
      <w:b/>
      <w:bCs/>
      <w:i/>
      <w:iCs/>
      <w:kern w:val="1"/>
      <w:sz w:val="26"/>
      <w:szCs w:val="26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9"/>
    <w:semiHidden/>
    <w:locked/>
    <w:rsid w:val="00F23FFF"/>
    <w:rPr>
      <w:rFonts w:ascii="Calibri Light" w:hAnsi="Calibri Light" w:cs="Times New Roman"/>
      <w:b/>
      <w:bCs/>
      <w:i/>
      <w:iCs/>
      <w:color w:val="5B9BD5"/>
    </w:rPr>
  </w:style>
  <w:style w:type="character" w:customStyle="1" w:styleId="Virsraksts5Rakstz">
    <w:name w:val="Virsraksts 5 Rakstz."/>
    <w:link w:val="Virsraksts5"/>
    <w:uiPriority w:val="99"/>
    <w:locked/>
    <w:rsid w:val="00232AA2"/>
    <w:rPr>
      <w:rFonts w:ascii="Times New Roman" w:hAnsi="Times New Roman" w:cs="Times New Roman"/>
      <w:b/>
      <w:bCs/>
      <w:i/>
      <w:iCs/>
      <w:kern w:val="1"/>
      <w:sz w:val="26"/>
      <w:szCs w:val="26"/>
      <w:lang w:eastAsia="ar-SA" w:bidi="ar-SA"/>
    </w:rPr>
  </w:style>
  <w:style w:type="paragraph" w:customStyle="1" w:styleId="labojumupamats1">
    <w:name w:val="labojumu_pamats1"/>
    <w:basedOn w:val="Parasts"/>
    <w:uiPriority w:val="99"/>
    <w:rsid w:val="006B42E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6B42E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link w:val="Galvene"/>
    <w:uiPriority w:val="99"/>
    <w:locked/>
    <w:rsid w:val="006B42E1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6B42E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locked/>
    <w:rsid w:val="006B42E1"/>
    <w:rPr>
      <w:rFonts w:cs="Times New Roman"/>
    </w:rPr>
  </w:style>
  <w:style w:type="table" w:styleId="Reatabula">
    <w:name w:val="Table Grid"/>
    <w:basedOn w:val="Parastatabula"/>
    <w:uiPriority w:val="99"/>
    <w:rsid w:val="00EE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EB3F8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main1">
    <w:name w:val="main1"/>
    <w:uiPriority w:val="99"/>
    <w:rsid w:val="006837FD"/>
    <w:rPr>
      <w:rFonts w:ascii="Verdana" w:hAnsi="Verdana" w:cs="Times New Roman"/>
      <w:color w:val="333333"/>
      <w:sz w:val="17"/>
      <w:szCs w:val="17"/>
    </w:rPr>
  </w:style>
  <w:style w:type="paragraph" w:customStyle="1" w:styleId="tv2131">
    <w:name w:val="tv2131"/>
    <w:basedOn w:val="Parasts"/>
    <w:uiPriority w:val="99"/>
    <w:rsid w:val="006837FD"/>
    <w:pPr>
      <w:spacing w:line="360" w:lineRule="auto"/>
      <w:ind w:firstLine="300"/>
    </w:pPr>
    <w:rPr>
      <w:color w:val="414142"/>
      <w:sz w:val="20"/>
      <w:szCs w:val="20"/>
    </w:rPr>
  </w:style>
  <w:style w:type="paragraph" w:styleId="Parakstszemobjekta">
    <w:name w:val="caption"/>
    <w:basedOn w:val="Parasts"/>
    <w:next w:val="Parasts"/>
    <w:uiPriority w:val="99"/>
    <w:qFormat/>
    <w:rsid w:val="005D5A78"/>
    <w:rPr>
      <w:sz w:val="28"/>
      <w:szCs w:val="28"/>
      <w:lang w:val="en-GB" w:eastAsia="en-US"/>
    </w:rPr>
  </w:style>
  <w:style w:type="character" w:styleId="Hipersaite">
    <w:name w:val="Hyperlink"/>
    <w:uiPriority w:val="99"/>
    <w:rsid w:val="005D5A78"/>
    <w:rPr>
      <w:rFonts w:cs="Times New Roman"/>
      <w:color w:val="0000FF"/>
      <w:u w:val="single"/>
    </w:rPr>
  </w:style>
  <w:style w:type="paragraph" w:customStyle="1" w:styleId="CM1">
    <w:name w:val="CM1"/>
    <w:basedOn w:val="Parasts"/>
    <w:next w:val="Parasts"/>
    <w:uiPriority w:val="99"/>
    <w:rsid w:val="005D5A7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2407C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407C0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407C0"/>
    <w:rPr>
      <w:rFonts w:cs="Times New Roman"/>
      <w:color w:val="auto"/>
    </w:rPr>
  </w:style>
  <w:style w:type="paragraph" w:styleId="Balonteksts">
    <w:name w:val="Balloon Text"/>
    <w:basedOn w:val="Parasts"/>
    <w:link w:val="BalontekstsRakstz"/>
    <w:uiPriority w:val="99"/>
    <w:semiHidden/>
    <w:rsid w:val="000F775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ontekstsRakstz">
    <w:name w:val="Balonteksts Rakstz."/>
    <w:link w:val="Balonteksts"/>
    <w:uiPriority w:val="99"/>
    <w:semiHidden/>
    <w:locked/>
    <w:rsid w:val="000F7756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Parasts"/>
    <w:uiPriority w:val="99"/>
    <w:rsid w:val="00C80D34"/>
    <w:pPr>
      <w:spacing w:before="100" w:after="100"/>
      <w:jc w:val="right"/>
    </w:pPr>
    <w:rPr>
      <w:rFonts w:eastAsia="Calibri"/>
    </w:rPr>
  </w:style>
  <w:style w:type="character" w:styleId="Komentraatsauce">
    <w:name w:val="annotation reference"/>
    <w:uiPriority w:val="99"/>
    <w:semiHidden/>
    <w:rsid w:val="00CD62E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D62E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F1DE4"/>
    <w:rPr>
      <w:rFonts w:ascii="Times New Roman" w:eastAsia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D62E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F1DE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semiHidden/>
    <w:rsid w:val="00410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F626B"/>
    <w:rPr>
      <w:color w:val="800080" w:themeColor="followedHyperlink"/>
      <w:u w:val="single"/>
    </w:rPr>
  </w:style>
  <w:style w:type="paragraph" w:customStyle="1" w:styleId="tv213">
    <w:name w:val="tv213"/>
    <w:basedOn w:val="Parasts"/>
    <w:rsid w:val="009F62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9F626B"/>
  </w:style>
  <w:style w:type="paragraph" w:styleId="Bezatstarpm">
    <w:name w:val="No Spacing"/>
    <w:uiPriority w:val="1"/>
    <w:qFormat/>
    <w:rsid w:val="008C2F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E82FC8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Noklusjumarindkopasfonts"/>
    <w:uiPriority w:val="99"/>
    <w:semiHidden/>
    <w:rsid w:val="00E82FC8"/>
    <w:rPr>
      <w:rFonts w:ascii="Times New Roman" w:eastAsia="Times New Roman" w:hAnsi="Times New Roman"/>
      <w:sz w:val="24"/>
      <w:szCs w:val="24"/>
    </w:rPr>
  </w:style>
  <w:style w:type="character" w:customStyle="1" w:styleId="PamattekstsaratkpiRakstz">
    <w:name w:val="Pamatteksts ar atkāpi Rakstz."/>
    <w:link w:val="Pamattekstsaratkpi"/>
    <w:rsid w:val="00E82FC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Izteiksmgs">
    <w:name w:val="Strong"/>
    <w:uiPriority w:val="22"/>
    <w:qFormat/>
    <w:locked/>
    <w:rsid w:val="00227150"/>
    <w:rPr>
      <w:b/>
      <w:bCs/>
    </w:rPr>
  </w:style>
  <w:style w:type="paragraph" w:customStyle="1" w:styleId="Punkts">
    <w:name w:val="Punkts"/>
    <w:basedOn w:val="Pamatteksts"/>
    <w:next w:val="Parasts"/>
    <w:autoRedefine/>
    <w:qFormat/>
    <w:rsid w:val="0036088B"/>
    <w:pPr>
      <w:spacing w:before="120"/>
      <w:jc w:val="both"/>
    </w:pPr>
  </w:style>
  <w:style w:type="paragraph" w:styleId="Pamatteksts">
    <w:name w:val="Body Text"/>
    <w:basedOn w:val="Parasts"/>
    <w:link w:val="PamattekstsRakstz"/>
    <w:uiPriority w:val="99"/>
    <w:semiHidden/>
    <w:unhideWhenUsed/>
    <w:rsid w:val="0036088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088B"/>
    <w:rPr>
      <w:rFonts w:ascii="Times New Roman" w:eastAsia="Times New Roman" w:hAnsi="Times New Roman"/>
      <w:sz w:val="24"/>
      <w:szCs w:val="24"/>
    </w:rPr>
  </w:style>
  <w:style w:type="character" w:styleId="Izclums">
    <w:name w:val="Emphasis"/>
    <w:qFormat/>
    <w:locked/>
    <w:rsid w:val="00603054"/>
    <w:rPr>
      <w:i/>
      <w:iCs/>
    </w:rPr>
  </w:style>
  <w:style w:type="character" w:customStyle="1" w:styleId="st">
    <w:name w:val="st"/>
    <w:basedOn w:val="Noklusjumarindkopasfonts"/>
    <w:rsid w:val="006D0A21"/>
  </w:style>
  <w:style w:type="paragraph" w:customStyle="1" w:styleId="naiskr">
    <w:name w:val="naiskr"/>
    <w:basedOn w:val="Parasts"/>
    <w:rsid w:val="00260D3F"/>
    <w:pPr>
      <w:spacing w:before="75" w:after="75"/>
    </w:pPr>
  </w:style>
  <w:style w:type="paragraph" w:customStyle="1" w:styleId="naisnod">
    <w:name w:val="naisnod"/>
    <w:basedOn w:val="Parasts"/>
    <w:rsid w:val="009F5F03"/>
    <w:pPr>
      <w:spacing w:before="150" w:after="150"/>
      <w:jc w:val="center"/>
    </w:pPr>
    <w:rPr>
      <w:b/>
      <w:bCs/>
    </w:rPr>
  </w:style>
  <w:style w:type="paragraph" w:customStyle="1" w:styleId="a">
    <w:basedOn w:val="Parasts"/>
    <w:next w:val="Paraststmeklis"/>
    <w:uiPriority w:val="99"/>
    <w:rsid w:val="00777B1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semiHidden/>
    <w:unhideWhenUsed/>
    <w:rsid w:val="00777B15"/>
  </w:style>
  <w:style w:type="paragraph" w:customStyle="1" w:styleId="naisf">
    <w:name w:val="naisf"/>
    <w:basedOn w:val="Parasts"/>
    <w:rsid w:val="007641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6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27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5340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7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7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7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3532-noteikumi-par-valsts-un-eiropas-savienibas-atbalsta-pieskirsanu-administresanu-un-uzraudzibu-vides-klimata-un-lauku-ainav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E004-A208-4FBC-A92E-2E5E7F8E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7598</Characters>
  <Application>Microsoft Office Word</Application>
  <DocSecurity>0</DocSecurity>
  <Lines>271</Lines>
  <Paragraphs>84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Sākotnējās ietekmes novērtējuma ziņojums (anotācija)</vt:lpstr>
      <vt:lpstr>Sākotnējās ietekmes novērtējuma ziņojums (anotācija)</vt:lpstr>
    </vt:vector>
  </TitlesOfParts>
  <Company>ZM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 (anotācija)</dc:title>
  <dc:subject>Ministru kabineta noteikumu projekta „Grozījumi Ministru kabineta 2009.gada 17.jūnija noteikumos Nr.573 „Kārtība, kādā administrē Eiropas Lauksaimniecības garantiju fondu, Eiropas Lauksaimniecības fondu lauku attīstībai un Eiropas Zivsaimniecības fondu, k</dc:subject>
  <dc:creator>Andris.Orlovskis@zm.gov.lv</dc:creator>
  <cp:lastModifiedBy>Renārs Žagars</cp:lastModifiedBy>
  <cp:revision>5</cp:revision>
  <cp:lastPrinted>2015-02-05T08:51:00Z</cp:lastPrinted>
  <dcterms:created xsi:type="dcterms:W3CDTF">2015-05-20T10:57:00Z</dcterms:created>
  <dcterms:modified xsi:type="dcterms:W3CDTF">2015-05-22T07:15:00Z</dcterms:modified>
</cp:coreProperties>
</file>