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43" w:rsidRPr="004A35FA" w:rsidRDefault="00EF4F43" w:rsidP="00E56D56">
      <w:pPr>
        <w:jc w:val="center"/>
        <w:rPr>
          <w:b/>
          <w:sz w:val="24"/>
          <w:szCs w:val="24"/>
        </w:rPr>
      </w:pPr>
      <w:r w:rsidRPr="004A35FA">
        <w:rPr>
          <w:b/>
          <w:sz w:val="24"/>
          <w:szCs w:val="24"/>
        </w:rPr>
        <w:t xml:space="preserve">Ministru kabineta </w:t>
      </w:r>
      <w:r w:rsidR="00FD4D23" w:rsidRPr="004A35FA">
        <w:rPr>
          <w:b/>
          <w:sz w:val="24"/>
          <w:szCs w:val="24"/>
        </w:rPr>
        <w:t>rīkojum</w:t>
      </w:r>
      <w:r w:rsidR="00FE5272">
        <w:rPr>
          <w:b/>
          <w:sz w:val="24"/>
          <w:szCs w:val="24"/>
        </w:rPr>
        <w:t>a</w:t>
      </w:r>
      <w:r w:rsidR="00FD4D23" w:rsidRPr="004A35FA">
        <w:rPr>
          <w:b/>
          <w:sz w:val="24"/>
          <w:szCs w:val="24"/>
        </w:rPr>
        <w:t xml:space="preserve"> </w:t>
      </w:r>
      <w:r w:rsidR="004D114D" w:rsidRPr="004A35FA">
        <w:rPr>
          <w:b/>
          <w:sz w:val="24"/>
          <w:szCs w:val="24"/>
        </w:rPr>
        <w:t>„Par Latvijas prezidentūras Eiropas Savienības Padomē sekretariāt</w:t>
      </w:r>
      <w:r w:rsidR="008473EF">
        <w:rPr>
          <w:b/>
          <w:sz w:val="24"/>
          <w:szCs w:val="24"/>
        </w:rPr>
        <w:t>a likvidāciju</w:t>
      </w:r>
      <w:r w:rsidR="004D114D" w:rsidRPr="004A35FA">
        <w:rPr>
          <w:b/>
          <w:sz w:val="24"/>
          <w:szCs w:val="24"/>
        </w:rPr>
        <w:t xml:space="preserve">” </w:t>
      </w:r>
      <w:r w:rsidRPr="004A35FA">
        <w:rPr>
          <w:rFonts w:eastAsia="SimSun"/>
          <w:b/>
          <w:bCs/>
          <w:kern w:val="2"/>
          <w:sz w:val="24"/>
          <w:szCs w:val="24"/>
          <w:lang w:eastAsia="ar-SA"/>
        </w:rPr>
        <w:t>projekta</w:t>
      </w:r>
      <w:r w:rsidRPr="004A35FA">
        <w:rPr>
          <w:b/>
          <w:sz w:val="24"/>
          <w:szCs w:val="24"/>
        </w:rPr>
        <w:t xml:space="preserve"> sākotnējās ietekmes novērtējuma ziņojums (anotācija)</w:t>
      </w:r>
    </w:p>
    <w:p w:rsidR="0048563A" w:rsidRPr="009262F3" w:rsidRDefault="0048563A" w:rsidP="000E4FD2">
      <w:pPr>
        <w:jc w:val="center"/>
        <w:rPr>
          <w:rFonts w:eastAsia="SimSun"/>
          <w:b/>
          <w:bCs/>
          <w:kern w:val="2"/>
          <w:sz w:val="16"/>
          <w:szCs w:val="16"/>
          <w:lang w:eastAsia="ar-SA"/>
        </w:rPr>
      </w:pPr>
    </w:p>
    <w:tbl>
      <w:tblPr>
        <w:tblpPr w:leftFromText="180" w:rightFromText="180" w:bottomFromText="200" w:vertAnchor="text" w:horzAnchor="margin" w:tblpXSpec="center" w:tblpY="149"/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434"/>
        <w:gridCol w:w="6250"/>
      </w:tblGrid>
      <w:tr w:rsidR="001E4925" w:rsidRPr="0068038C" w:rsidTr="00E3648B">
        <w:trPr>
          <w:trHeight w:val="4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25" w:rsidRPr="004A35FA" w:rsidRDefault="001E4925" w:rsidP="004A35FA">
            <w:pPr>
              <w:pStyle w:val="naisnod"/>
              <w:spacing w:before="0" w:beforeAutospacing="0" w:after="0" w:afterAutospacing="0" w:line="360" w:lineRule="auto"/>
              <w:ind w:left="57" w:right="57"/>
              <w:jc w:val="center"/>
              <w:rPr>
                <w:b/>
                <w:lang w:eastAsia="en-US"/>
              </w:rPr>
            </w:pPr>
            <w:r w:rsidRPr="004A35FA">
              <w:rPr>
                <w:b/>
                <w:lang w:eastAsia="en-US"/>
              </w:rPr>
              <w:t>I. Tiesību akta projekta izstrādes nepieciešamība</w:t>
            </w:r>
          </w:p>
        </w:tc>
      </w:tr>
      <w:tr w:rsidR="001E4925" w:rsidRPr="0068038C" w:rsidTr="004A35FA">
        <w:trPr>
          <w:trHeight w:val="42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25" w:rsidRPr="009742E7" w:rsidRDefault="001E4925" w:rsidP="0048563A">
            <w:pPr>
              <w:pStyle w:val="naiskr"/>
              <w:spacing w:before="60" w:beforeAutospacing="0" w:after="60" w:afterAutospacing="0"/>
              <w:ind w:left="57" w:right="57"/>
              <w:jc w:val="center"/>
              <w:rPr>
                <w:lang w:eastAsia="en-US"/>
              </w:rPr>
            </w:pPr>
            <w:r w:rsidRPr="009742E7">
              <w:rPr>
                <w:lang w:eastAsia="en-US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25" w:rsidRPr="009742E7" w:rsidRDefault="001E4925" w:rsidP="0048563A">
            <w:pPr>
              <w:pStyle w:val="naiskr"/>
              <w:spacing w:before="60" w:beforeAutospacing="0" w:after="60" w:afterAutospacing="0"/>
              <w:ind w:left="57" w:right="57"/>
              <w:jc w:val="both"/>
              <w:rPr>
                <w:lang w:eastAsia="en-US"/>
              </w:rPr>
            </w:pPr>
            <w:r w:rsidRPr="009742E7">
              <w:rPr>
                <w:lang w:eastAsia="en-US"/>
              </w:rPr>
              <w:t>Pamatojums</w:t>
            </w:r>
          </w:p>
        </w:tc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25" w:rsidRDefault="0086743B" w:rsidP="00E764C4">
            <w:pPr>
              <w:ind w:left="153" w:right="155" w:firstLine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9742E7">
              <w:rPr>
                <w:sz w:val="24"/>
                <w:szCs w:val="24"/>
                <w:shd w:val="clear" w:color="auto" w:fill="FFFFFF"/>
                <w:lang w:eastAsia="en-US"/>
              </w:rPr>
              <w:t>Valsts pārvaldes iekārtas likuma 15.panta pirmā daļa</w:t>
            </w:r>
            <w:r w:rsidR="00FE5272">
              <w:rPr>
                <w:sz w:val="24"/>
                <w:szCs w:val="24"/>
                <w:shd w:val="clear" w:color="auto" w:fill="FFFFFF"/>
                <w:lang w:eastAsia="en-US"/>
              </w:rPr>
              <w:t xml:space="preserve"> un ceturtās daļas 3.punkts,</w:t>
            </w:r>
            <w:r w:rsidRPr="009742E7">
              <w:rPr>
                <w:sz w:val="24"/>
                <w:szCs w:val="24"/>
                <w:shd w:val="clear" w:color="auto" w:fill="FFFFFF"/>
                <w:lang w:eastAsia="en-US"/>
              </w:rPr>
              <w:t xml:space="preserve"> un Ministru kabineta 2012.gada 17.janvāra </w:t>
            </w:r>
            <w:r w:rsidR="008473EF" w:rsidRPr="009742E7">
              <w:rPr>
                <w:sz w:val="24"/>
                <w:szCs w:val="24"/>
                <w:shd w:val="clear" w:color="auto" w:fill="FFFFFF"/>
                <w:lang w:eastAsia="en-US"/>
              </w:rPr>
              <w:t>noteikum</w:t>
            </w:r>
            <w:r w:rsidR="008473EF">
              <w:rPr>
                <w:sz w:val="24"/>
                <w:szCs w:val="24"/>
                <w:shd w:val="clear" w:color="auto" w:fill="FFFFFF"/>
                <w:lang w:eastAsia="en-US"/>
              </w:rPr>
              <w:t>u</w:t>
            </w:r>
            <w:r w:rsidR="008473EF" w:rsidRPr="009742E7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9742E7">
              <w:rPr>
                <w:sz w:val="24"/>
                <w:szCs w:val="24"/>
                <w:shd w:val="clear" w:color="auto" w:fill="FFFFFF"/>
                <w:lang w:eastAsia="en-US"/>
              </w:rPr>
              <w:t>Nr.65 „Latvijas prezidentūras Eiropas Savienības Padomē sekretariāta nolikums” 4.punkts.</w:t>
            </w:r>
          </w:p>
          <w:p w:rsidR="00A450B8" w:rsidRPr="009742E7" w:rsidRDefault="00A450B8" w:rsidP="00E764C4">
            <w:pPr>
              <w:ind w:left="153" w:right="155" w:firstLine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1E4925" w:rsidRPr="0068038C" w:rsidTr="004A35FA">
        <w:trPr>
          <w:trHeight w:val="27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25" w:rsidRPr="009742E7" w:rsidRDefault="001E4925" w:rsidP="0048563A">
            <w:pPr>
              <w:pStyle w:val="naiskr"/>
              <w:spacing w:before="60" w:beforeAutospacing="0" w:after="60" w:afterAutospacing="0"/>
              <w:ind w:left="57" w:right="57"/>
              <w:jc w:val="center"/>
              <w:rPr>
                <w:lang w:eastAsia="en-US"/>
              </w:rPr>
            </w:pPr>
            <w:r w:rsidRPr="009742E7">
              <w:rPr>
                <w:lang w:eastAsia="en-US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25" w:rsidRPr="009742E7" w:rsidRDefault="001E4925" w:rsidP="0048563A">
            <w:pPr>
              <w:pStyle w:val="naiskr"/>
              <w:tabs>
                <w:tab w:val="left" w:pos="170"/>
              </w:tabs>
              <w:spacing w:before="60" w:beforeAutospacing="0" w:after="60" w:afterAutospacing="0"/>
              <w:ind w:left="57" w:right="57"/>
              <w:rPr>
                <w:lang w:eastAsia="en-US"/>
              </w:rPr>
            </w:pPr>
            <w:r w:rsidRPr="009742E7">
              <w:rPr>
                <w:lang w:eastAsia="en-US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4" w:rsidRPr="009742E7" w:rsidRDefault="00B35EED" w:rsidP="00E764C4">
            <w:pPr>
              <w:keepNext/>
              <w:keepLines/>
              <w:ind w:left="153" w:right="153" w:firstLine="0"/>
              <w:jc w:val="both"/>
              <w:outlineLvl w:val="2"/>
              <w:rPr>
                <w:rFonts w:eastAsiaTheme="majorEastAsia"/>
                <w:bCs/>
                <w:sz w:val="24"/>
                <w:szCs w:val="24"/>
                <w:lang w:eastAsia="en-US"/>
              </w:rPr>
            </w:pPr>
            <w:r w:rsidRPr="009742E7">
              <w:rPr>
                <w:rFonts w:eastAsiaTheme="majorEastAsia"/>
                <w:bCs/>
                <w:sz w:val="24"/>
                <w:szCs w:val="24"/>
                <w:lang w:eastAsia="en-US"/>
              </w:rPr>
              <w:t>Saskaņā ar Ministru kabineta 2012.gada 24.janvāra rīkojumu Nr.39 „</w:t>
            </w:r>
            <w:r w:rsidRPr="009742E7">
              <w:rPr>
                <w:bCs/>
                <w:sz w:val="24"/>
                <w:szCs w:val="24"/>
              </w:rPr>
              <w:t>Par tiešās pārvaldes iestādes „Latvijas prezidentūras Eiropas Savienības Padomē sekretariāts</w:t>
            </w:r>
            <w:r w:rsidR="001C67BF" w:rsidRPr="009742E7">
              <w:rPr>
                <w:bCs/>
                <w:sz w:val="24"/>
                <w:szCs w:val="24"/>
              </w:rPr>
              <w:t>”</w:t>
            </w:r>
            <w:r w:rsidRPr="009742E7">
              <w:rPr>
                <w:bCs/>
                <w:sz w:val="24"/>
                <w:szCs w:val="24"/>
              </w:rPr>
              <w:t xml:space="preserve"> izveidošanu” ar 2012.gada 1.februāri tika </w:t>
            </w:r>
            <w:r w:rsidR="008473EF" w:rsidRPr="009742E7">
              <w:rPr>
                <w:bCs/>
                <w:sz w:val="24"/>
                <w:szCs w:val="24"/>
              </w:rPr>
              <w:t>izveidot</w:t>
            </w:r>
            <w:r w:rsidR="008473EF">
              <w:rPr>
                <w:bCs/>
                <w:sz w:val="24"/>
                <w:szCs w:val="24"/>
              </w:rPr>
              <w:t>s</w:t>
            </w:r>
            <w:r w:rsidR="008473EF" w:rsidRPr="009742E7">
              <w:rPr>
                <w:bCs/>
                <w:sz w:val="24"/>
                <w:szCs w:val="24"/>
              </w:rPr>
              <w:t xml:space="preserve"> </w:t>
            </w:r>
            <w:r w:rsidRPr="009742E7">
              <w:rPr>
                <w:rFonts w:eastAsiaTheme="majorEastAsia"/>
                <w:bCs/>
                <w:sz w:val="24"/>
                <w:szCs w:val="24"/>
                <w:lang w:eastAsia="en-US"/>
              </w:rPr>
              <w:t>Latvijas prezidentūras Eiropas Savienības Padomē sekretariāts (turpmāk – sekretariāts). Sekretariāta darbības mērķis ir nodrošināt savlaicīgu un kvalitatīvu Latvijas sagatavošanos prezidentūrai Eiropas Savienības Padomē (turpmāk – prezidentūra) un atbilstoši kompetencei koordinēt darbu prezidentūras laikā.</w:t>
            </w:r>
          </w:p>
          <w:p w:rsidR="00EA4938" w:rsidRDefault="006D42A5" w:rsidP="00E91871">
            <w:pPr>
              <w:keepNext/>
              <w:keepLines/>
              <w:ind w:left="153" w:right="153" w:firstLine="0"/>
              <w:jc w:val="both"/>
              <w:outlineLvl w:val="2"/>
              <w:rPr>
                <w:rFonts w:eastAsiaTheme="majorEastAsia"/>
                <w:bCs/>
                <w:sz w:val="24"/>
                <w:szCs w:val="24"/>
                <w:lang w:eastAsia="en-US"/>
              </w:rPr>
            </w:pPr>
            <w:r w:rsidRPr="009742E7"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Ņemot vērā sekretariāta izveidošanas mērķi, sekretariāts atbilstoši </w:t>
            </w:r>
            <w:r w:rsidR="00B35EED" w:rsidRPr="009742E7">
              <w:rPr>
                <w:rFonts w:eastAsiaTheme="majorEastAsia"/>
                <w:bCs/>
                <w:sz w:val="24"/>
                <w:szCs w:val="24"/>
                <w:lang w:eastAsia="en-US"/>
              </w:rPr>
              <w:t>Ministru kabineta 2012.gada 17.janvāra noteikumu Nr.65 „Latvijas prezidentūras Eiropas Savienības Padomē sekretariāta nolikums”</w:t>
            </w:r>
            <w:r w:rsidRPr="009742E7"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 (turpmāk – Nolikums)</w:t>
            </w:r>
            <w:r w:rsidR="00B35EED" w:rsidRPr="009742E7"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 4.punktā noteikt</w:t>
            </w:r>
            <w:r w:rsidRPr="009742E7">
              <w:rPr>
                <w:rFonts w:eastAsiaTheme="majorEastAsia"/>
                <w:bCs/>
                <w:sz w:val="24"/>
                <w:szCs w:val="24"/>
                <w:lang w:eastAsia="en-US"/>
              </w:rPr>
              <w:t>ajam</w:t>
            </w:r>
            <w:r w:rsidR="00B35EED" w:rsidRPr="009742E7"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 2015.gada 31.decembr</w:t>
            </w:r>
            <w:r w:rsidRPr="009742E7">
              <w:rPr>
                <w:rFonts w:eastAsiaTheme="majorEastAsia"/>
                <w:bCs/>
                <w:sz w:val="24"/>
                <w:szCs w:val="24"/>
                <w:lang w:eastAsia="en-US"/>
              </w:rPr>
              <w:t>ī beidz pastāvēt.</w:t>
            </w:r>
          </w:p>
          <w:p w:rsidR="00FD4D23" w:rsidRDefault="00FD4D23" w:rsidP="00E764C4">
            <w:pPr>
              <w:keepNext/>
              <w:keepLines/>
              <w:ind w:left="153" w:right="153" w:firstLine="0"/>
              <w:jc w:val="both"/>
              <w:outlineLvl w:val="2"/>
              <w:rPr>
                <w:rFonts w:eastAsiaTheme="maj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ajorEastAsia"/>
                <w:bCs/>
                <w:sz w:val="24"/>
                <w:szCs w:val="24"/>
                <w:lang w:eastAsia="en-US"/>
              </w:rPr>
              <w:t>2011.gada 15.februār</w:t>
            </w:r>
            <w:r w:rsidR="003B2D68">
              <w:rPr>
                <w:rFonts w:eastAsiaTheme="majorEastAsia"/>
                <w:bCs/>
                <w:sz w:val="24"/>
                <w:szCs w:val="24"/>
                <w:lang w:eastAsia="en-US"/>
              </w:rPr>
              <w:t>ī Ministru kabinets k</w:t>
            </w:r>
            <w:r w:rsidRPr="00FD4D23"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onceptuāli </w:t>
            </w:r>
            <w:r w:rsidR="003B2D68"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atbalstīja </w:t>
            </w:r>
            <w:r w:rsidRPr="00FD4D23">
              <w:rPr>
                <w:rFonts w:eastAsiaTheme="majorEastAsia"/>
                <w:bCs/>
                <w:sz w:val="24"/>
                <w:szCs w:val="24"/>
                <w:lang w:eastAsia="en-US"/>
              </w:rPr>
              <w:t>priekšlikumu par to, ka Latvijas Nacionālā bibliotēka ir galvenā</w:t>
            </w:r>
            <w:r w:rsidR="003B2D68"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 Latvijas</w:t>
            </w:r>
            <w:r w:rsidRPr="00FD4D23"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 prezidentūras sanāksmju norises vieta.</w:t>
            </w:r>
          </w:p>
          <w:p w:rsidR="002E5A9D" w:rsidRPr="009742E7" w:rsidRDefault="008473EF" w:rsidP="00E764C4">
            <w:pPr>
              <w:keepNext/>
              <w:keepLines/>
              <w:ind w:left="153" w:right="153" w:firstLine="0"/>
              <w:jc w:val="both"/>
              <w:outlineLvl w:val="2"/>
              <w:rPr>
                <w:rFonts w:eastAsiaTheme="maj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Ievērojot minēto, </w:t>
            </w:r>
            <w:r w:rsidR="003B2D68">
              <w:rPr>
                <w:rFonts w:eastAsiaTheme="majorEastAsia"/>
                <w:bCs/>
                <w:sz w:val="24"/>
                <w:szCs w:val="24"/>
                <w:lang w:eastAsia="en-US"/>
              </w:rPr>
              <w:t>a</w:t>
            </w:r>
            <w:r w:rsidR="007F7F17">
              <w:rPr>
                <w:rFonts w:eastAsiaTheme="majorEastAsia"/>
                <w:bCs/>
                <w:sz w:val="24"/>
                <w:szCs w:val="24"/>
                <w:lang w:eastAsia="en-US"/>
              </w:rPr>
              <w:t>tbilstoši</w:t>
            </w:r>
            <w:r w:rsidR="002E5A9D"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 starp sekretariātu un Latvijas Nacionālo bibliotēku </w:t>
            </w:r>
            <w:r w:rsidR="00A450B8"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2014.gada 2.decembrī </w:t>
            </w:r>
            <w:r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noslēgtā </w:t>
            </w:r>
            <w:r w:rsidR="002E5A9D">
              <w:rPr>
                <w:rFonts w:eastAsiaTheme="majorEastAsia"/>
                <w:bCs/>
                <w:sz w:val="24"/>
                <w:szCs w:val="24"/>
                <w:lang w:eastAsia="en-US"/>
              </w:rPr>
              <w:t>patapinājuma līguma</w:t>
            </w:r>
            <w:r w:rsidR="00A450B8"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450B8">
              <w:rPr>
                <w:rFonts w:eastAsiaTheme="majorEastAsia"/>
                <w:bCs/>
                <w:sz w:val="24"/>
                <w:szCs w:val="24"/>
                <w:lang w:eastAsia="en-US"/>
              </w:rPr>
              <w:t>Nr.PREZ-SEKR</w:t>
            </w:r>
            <w:proofErr w:type="spellEnd"/>
            <w:r w:rsidR="00A450B8">
              <w:rPr>
                <w:rFonts w:eastAsiaTheme="majorEastAsia"/>
                <w:bCs/>
                <w:sz w:val="24"/>
                <w:szCs w:val="24"/>
                <w:lang w:eastAsia="en-US"/>
              </w:rPr>
              <w:t>/2014/437 (Latvijas Nacionālās bibliotēkas reģistrācijas numurs 1.1.-15.5/139)</w:t>
            </w:r>
            <w:r w:rsidR="00EF49F1"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 </w:t>
            </w:r>
            <w:r w:rsidR="00ED1CDC"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(turpmāk – patapinājuma līgums) </w:t>
            </w:r>
            <w:r w:rsidR="00EF49F1"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4.1.apakšpunktam sekretariātam </w:t>
            </w:r>
            <w:r w:rsidR="002366A6"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Latvijas Nacionālās bibliotēkas </w:t>
            </w:r>
            <w:r w:rsidR="00EF49F1">
              <w:rPr>
                <w:rFonts w:eastAsiaTheme="majorEastAsia"/>
                <w:bCs/>
                <w:sz w:val="24"/>
                <w:szCs w:val="24"/>
                <w:lang w:eastAsia="en-US"/>
              </w:rPr>
              <w:t>telpas nodotas lietošanā līdz 2015.gada 7.jūlijam</w:t>
            </w:r>
            <w:r w:rsidR="00ED1CDC">
              <w:rPr>
                <w:rFonts w:eastAsiaTheme="majorEastAsia"/>
                <w:bCs/>
                <w:sz w:val="24"/>
                <w:szCs w:val="24"/>
                <w:lang w:eastAsia="en-US"/>
              </w:rPr>
              <w:t>.</w:t>
            </w:r>
            <w:r w:rsidR="00EF49F1"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 </w:t>
            </w:r>
            <w:r w:rsidR="00FC52CC"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Patapinājuma līguma 3.5.apakšpunkts paredz, ka sekretariātam ir tiesības </w:t>
            </w:r>
            <w:r w:rsidR="00455E3B"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aprīkot </w:t>
            </w:r>
            <w:r w:rsidR="00480FA2"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Telpas </w:t>
            </w:r>
            <w:r w:rsidR="00455E3B">
              <w:rPr>
                <w:rFonts w:eastAsiaTheme="majorEastAsia"/>
                <w:bCs/>
                <w:sz w:val="24"/>
                <w:szCs w:val="24"/>
                <w:lang w:eastAsia="en-US"/>
              </w:rPr>
              <w:t>ar papildus t</w:t>
            </w:r>
            <w:r w:rsidR="00480FA2"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ehnisko un materiālo nodrošinājumu, izņemto neatdalāmos uzlabojumus. </w:t>
            </w:r>
            <w:r w:rsidR="002E5A9D"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 Līdz ar to prezidentūras nodrošināšanai iegādātā manta (pamatlīdzekļi un inventārs), kas atrodas Latvijas Nacionālajā bibliotēkā, būtu nododama </w:t>
            </w:r>
            <w:r w:rsidR="00EF49F1">
              <w:rPr>
                <w:rFonts w:eastAsiaTheme="majorEastAsia"/>
                <w:bCs/>
                <w:sz w:val="24"/>
                <w:szCs w:val="24"/>
                <w:lang w:eastAsia="en-US"/>
              </w:rPr>
              <w:t>Latvijas Nacionālajai bibliotēkai</w:t>
            </w:r>
            <w:r w:rsidR="002E5A9D">
              <w:rPr>
                <w:rFonts w:eastAsiaTheme="majorEastAsia"/>
                <w:bCs/>
                <w:sz w:val="24"/>
                <w:szCs w:val="24"/>
                <w:lang w:eastAsia="en-US"/>
              </w:rPr>
              <w:t>. Minētā manta nododama līdz 2015.gada 7.jūlijam (līdz Latvijas Nacionālās bibliotēkas atbrīvošanas brīdim)</w:t>
            </w:r>
            <w:r w:rsidR="00480FA2">
              <w:rPr>
                <w:rFonts w:eastAsiaTheme="majorEastAsia"/>
                <w:bCs/>
                <w:sz w:val="24"/>
                <w:szCs w:val="24"/>
                <w:lang w:eastAsia="en-US"/>
              </w:rPr>
              <w:t>, tādējādi nodrošinot operatīvu mantu nodošanu</w:t>
            </w:r>
            <w:r w:rsidR="002E5A9D">
              <w:rPr>
                <w:rFonts w:eastAsiaTheme="majorEastAsia"/>
                <w:bCs/>
                <w:sz w:val="24"/>
                <w:szCs w:val="24"/>
                <w:lang w:eastAsia="en-US"/>
              </w:rPr>
              <w:t>.</w:t>
            </w:r>
          </w:p>
          <w:p w:rsidR="003B2A09" w:rsidRPr="009742E7" w:rsidRDefault="004B3789" w:rsidP="008D6587">
            <w:pPr>
              <w:keepNext/>
              <w:keepLines/>
              <w:ind w:left="153" w:right="153" w:firstLine="0"/>
              <w:jc w:val="both"/>
              <w:outlineLvl w:val="2"/>
              <w:rPr>
                <w:rFonts w:eastAsiaTheme="minorHAnsi"/>
                <w:sz w:val="24"/>
                <w:szCs w:val="24"/>
              </w:rPr>
            </w:pPr>
            <w:r w:rsidRPr="009742E7"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Nosakot </w:t>
            </w:r>
            <w:r w:rsidR="008D6587" w:rsidRPr="009742E7">
              <w:rPr>
                <w:rFonts w:eastAsiaTheme="majorEastAsia"/>
                <w:bCs/>
                <w:sz w:val="24"/>
                <w:szCs w:val="24"/>
                <w:lang w:eastAsia="en-US"/>
              </w:rPr>
              <w:t>saistību un tiesību pārņēmēju jau šobrīd, sekretariāta lietas</w:t>
            </w:r>
            <w:r w:rsidR="0046384C">
              <w:rPr>
                <w:rFonts w:eastAsiaTheme="majorEastAsia"/>
                <w:bCs/>
                <w:sz w:val="24"/>
                <w:szCs w:val="24"/>
                <w:lang w:eastAsia="en-US"/>
              </w:rPr>
              <w:t>, arī daļu no prezidentūrai iegādātajām mantiskajām vērtībām</w:t>
            </w:r>
            <w:r w:rsidR="008D6587" w:rsidRPr="009742E7"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 būtu iespējams nodot pakāpeniski, </w:t>
            </w:r>
            <w:r w:rsidR="007460A1" w:rsidRPr="009742E7">
              <w:rPr>
                <w:rFonts w:eastAsiaTheme="minorHAnsi"/>
                <w:sz w:val="24"/>
                <w:szCs w:val="24"/>
              </w:rPr>
              <w:t>tādējādi šo procesu padarot vieglāk organizējamu un efektī</w:t>
            </w:r>
            <w:r w:rsidR="00FF6D32" w:rsidRPr="009742E7">
              <w:rPr>
                <w:rFonts w:eastAsiaTheme="minorHAnsi"/>
                <w:sz w:val="24"/>
                <w:szCs w:val="24"/>
              </w:rPr>
              <w:t>vāku</w:t>
            </w:r>
            <w:r w:rsidR="007460A1" w:rsidRPr="009742E7">
              <w:rPr>
                <w:rFonts w:eastAsiaTheme="minorHAnsi"/>
                <w:sz w:val="24"/>
                <w:szCs w:val="24"/>
              </w:rPr>
              <w:t xml:space="preserve">. </w:t>
            </w:r>
            <w:r w:rsidR="00265C7A" w:rsidRPr="009742E7">
              <w:rPr>
                <w:rFonts w:eastAsiaTheme="minorHAnsi"/>
                <w:sz w:val="24"/>
                <w:szCs w:val="24"/>
              </w:rPr>
              <w:t>A</w:t>
            </w:r>
            <w:r w:rsidR="007460A1" w:rsidRPr="009742E7">
              <w:rPr>
                <w:rFonts w:eastAsiaTheme="minorHAnsi"/>
                <w:sz w:val="24"/>
                <w:szCs w:val="24"/>
              </w:rPr>
              <w:t>rī saistību un tiesību pārņēmējam pakāpeniska lietu</w:t>
            </w:r>
            <w:r w:rsidR="0046384C">
              <w:rPr>
                <w:rFonts w:eastAsiaTheme="minorHAnsi"/>
                <w:sz w:val="24"/>
                <w:szCs w:val="24"/>
              </w:rPr>
              <w:t xml:space="preserve"> un mantas </w:t>
            </w:r>
            <w:r w:rsidR="007460A1" w:rsidRPr="009742E7">
              <w:rPr>
                <w:rFonts w:eastAsiaTheme="minorHAnsi"/>
                <w:sz w:val="24"/>
                <w:szCs w:val="24"/>
              </w:rPr>
              <w:lastRenderedPageBreak/>
              <w:t xml:space="preserve">pārņemšana ļautu </w:t>
            </w:r>
            <w:r w:rsidR="00265C7A" w:rsidRPr="009742E7">
              <w:rPr>
                <w:rFonts w:eastAsiaTheme="minorHAnsi"/>
                <w:sz w:val="24"/>
                <w:szCs w:val="24"/>
              </w:rPr>
              <w:t xml:space="preserve">šos procesus efektīvāk </w:t>
            </w:r>
            <w:r w:rsidR="007460A1" w:rsidRPr="009742E7">
              <w:rPr>
                <w:rFonts w:eastAsiaTheme="minorHAnsi"/>
                <w:sz w:val="24"/>
                <w:szCs w:val="24"/>
              </w:rPr>
              <w:t>plānot un īstenot</w:t>
            </w:r>
            <w:r w:rsidR="00265C7A" w:rsidRPr="009742E7">
              <w:rPr>
                <w:rFonts w:eastAsiaTheme="minorHAnsi"/>
                <w:sz w:val="24"/>
                <w:szCs w:val="24"/>
              </w:rPr>
              <w:t>,</w:t>
            </w:r>
            <w:r w:rsidR="00FF6D32" w:rsidRPr="009742E7">
              <w:rPr>
                <w:rFonts w:eastAsiaTheme="minorHAnsi"/>
                <w:sz w:val="24"/>
                <w:szCs w:val="24"/>
              </w:rPr>
              <w:t xml:space="preserve"> apvienojot ar </w:t>
            </w:r>
            <w:r w:rsidR="00265C7A" w:rsidRPr="009742E7">
              <w:rPr>
                <w:rFonts w:eastAsiaTheme="minorHAnsi"/>
                <w:sz w:val="24"/>
                <w:szCs w:val="24"/>
              </w:rPr>
              <w:t>esošo iestādes funkciju izpildi</w:t>
            </w:r>
            <w:r w:rsidR="002E5A9D">
              <w:rPr>
                <w:rFonts w:eastAsiaTheme="minorHAnsi"/>
                <w:sz w:val="24"/>
                <w:szCs w:val="24"/>
              </w:rPr>
              <w:t>.</w:t>
            </w:r>
            <w:r w:rsidR="002E5A9D" w:rsidRPr="009742E7">
              <w:rPr>
                <w:rFonts w:eastAsiaTheme="minorHAnsi"/>
                <w:sz w:val="24"/>
                <w:szCs w:val="24"/>
              </w:rPr>
              <w:t xml:space="preserve"> Rīkojuma projekts paredz noteikt Ārlietu ministriju kā sekretariāta tiesību, saistību, mantas, finanšu līdzekļu</w:t>
            </w:r>
            <w:r w:rsidR="00E91871">
              <w:rPr>
                <w:rFonts w:eastAsiaTheme="minorHAnsi"/>
                <w:sz w:val="24"/>
                <w:szCs w:val="24"/>
              </w:rPr>
              <w:t xml:space="preserve"> un</w:t>
            </w:r>
            <w:r w:rsidR="002E5A9D" w:rsidRPr="009742E7">
              <w:rPr>
                <w:rFonts w:eastAsiaTheme="minorHAnsi"/>
                <w:sz w:val="24"/>
                <w:szCs w:val="24"/>
              </w:rPr>
              <w:t xml:space="preserve"> lietvedības pārņēmēju, </w:t>
            </w:r>
            <w:r w:rsidR="002E5A9D">
              <w:rPr>
                <w:rFonts w:eastAsiaTheme="minorHAnsi"/>
                <w:sz w:val="24"/>
                <w:szCs w:val="24"/>
              </w:rPr>
              <w:t xml:space="preserve">un Latvijas Nacionālo bibliotēku tiesību un saistību daļā par pamatlīdzekļu un inventāra, kas atrodas Latvijas Nacionālajā bibliotēkā, pārņēmēju, </w:t>
            </w:r>
            <w:r w:rsidR="002E5A9D" w:rsidRPr="009742E7">
              <w:rPr>
                <w:rFonts w:eastAsiaTheme="minorHAnsi"/>
                <w:sz w:val="24"/>
                <w:szCs w:val="24"/>
              </w:rPr>
              <w:t>kā arī Ārlietu ministrijai izveidot sekretariāta likvidācijas komisiju, kurai veicami noteikti uzdevumi. Rezultātā tiks lietderīgi izlietoti finanšu līdzekļi par sekretariāta lietu pirmstermiņa nodošanu Latvijas Nacionālajā arhīvā</w:t>
            </w:r>
            <w:r w:rsidR="002E5A9D">
              <w:rPr>
                <w:rFonts w:eastAsiaTheme="minorHAnsi"/>
                <w:sz w:val="24"/>
                <w:szCs w:val="24"/>
              </w:rPr>
              <w:t>, kā arī nodrošināta prezidentūrai iegādātās mantas efektīva izmantošana</w:t>
            </w:r>
            <w:r w:rsidR="002E5A9D" w:rsidRPr="009742E7">
              <w:rPr>
                <w:rFonts w:eastAsiaTheme="minorHAnsi"/>
                <w:sz w:val="24"/>
                <w:szCs w:val="24"/>
              </w:rPr>
              <w:t>.</w:t>
            </w:r>
          </w:p>
          <w:p w:rsidR="00A15F4C" w:rsidRPr="009742E7" w:rsidRDefault="00A905B7" w:rsidP="00A905B7">
            <w:pPr>
              <w:ind w:left="142" w:right="153" w:firstLine="0"/>
              <w:jc w:val="both"/>
              <w:rPr>
                <w:sz w:val="24"/>
                <w:szCs w:val="24"/>
              </w:rPr>
            </w:pPr>
            <w:r w:rsidRPr="00E56D56">
              <w:rPr>
                <w:rFonts w:eastAsiaTheme="minorHAnsi"/>
                <w:sz w:val="24"/>
                <w:szCs w:val="24"/>
              </w:rPr>
              <w:t>Tāpat rīkojums paredz līdzekļus izdevumu segšanai 2016.gada janvārī – martā iestādes darbības slēguma pārskata sagatavošanai saskaņā ar kārtību, kāda noteikta normatīvajos aktos par gada pārskatiem.</w:t>
            </w:r>
          </w:p>
        </w:tc>
      </w:tr>
      <w:tr w:rsidR="001E4925" w:rsidRPr="0068038C" w:rsidTr="004A35FA">
        <w:trPr>
          <w:trHeight w:val="43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25" w:rsidRPr="009742E7" w:rsidRDefault="001E4925" w:rsidP="0048563A">
            <w:pPr>
              <w:pStyle w:val="naiskr"/>
              <w:spacing w:before="60" w:beforeAutospacing="0" w:after="60" w:afterAutospacing="0"/>
              <w:ind w:left="57" w:right="57"/>
              <w:jc w:val="center"/>
              <w:rPr>
                <w:lang w:eastAsia="en-US"/>
              </w:rPr>
            </w:pPr>
            <w:r w:rsidRPr="009742E7">
              <w:rPr>
                <w:lang w:eastAsia="en-US"/>
              </w:rPr>
              <w:lastRenderedPageBreak/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25" w:rsidRPr="009742E7" w:rsidRDefault="001E4925" w:rsidP="0068038C">
            <w:pPr>
              <w:pStyle w:val="naiskr"/>
              <w:spacing w:before="60" w:beforeAutospacing="0" w:after="0" w:afterAutospacing="0"/>
              <w:ind w:left="57" w:right="57"/>
              <w:rPr>
                <w:lang w:eastAsia="en-US"/>
              </w:rPr>
            </w:pPr>
            <w:r w:rsidRPr="009742E7">
              <w:rPr>
                <w:lang w:eastAsia="en-US"/>
              </w:rPr>
              <w:t>Projekta izstrādē iesaistītās institūcijas</w:t>
            </w:r>
          </w:p>
        </w:tc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25" w:rsidRDefault="00EF4F43" w:rsidP="00E764C4">
            <w:pPr>
              <w:ind w:left="153" w:right="153" w:firstLine="0"/>
              <w:jc w:val="both"/>
              <w:rPr>
                <w:sz w:val="24"/>
                <w:szCs w:val="24"/>
                <w:lang w:eastAsia="en-US"/>
              </w:rPr>
            </w:pPr>
            <w:r w:rsidRPr="009742E7">
              <w:rPr>
                <w:sz w:val="24"/>
                <w:szCs w:val="24"/>
                <w:lang w:eastAsia="en-US"/>
              </w:rPr>
              <w:t>Latvijas prezidentūras Eiropas Savienības Padomē sekretariāts.</w:t>
            </w:r>
          </w:p>
          <w:p w:rsidR="00A450B8" w:rsidRPr="009742E7" w:rsidRDefault="00A450B8" w:rsidP="00E764C4">
            <w:pPr>
              <w:ind w:left="153" w:right="153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E4925" w:rsidRPr="0068038C" w:rsidTr="004A35FA">
        <w:trPr>
          <w:trHeight w:val="31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C" w:rsidRPr="009742E7" w:rsidRDefault="00BA0CBC" w:rsidP="0048563A">
            <w:pPr>
              <w:pStyle w:val="naiskr"/>
              <w:spacing w:before="60" w:beforeAutospacing="0" w:after="60" w:afterAutospacing="0"/>
              <w:ind w:right="57"/>
              <w:rPr>
                <w:lang w:eastAsia="en-US"/>
              </w:rPr>
            </w:pPr>
            <w:r w:rsidRPr="009742E7">
              <w:rPr>
                <w:lang w:eastAsia="en-US"/>
              </w:rPr>
              <w:t xml:space="preserve">   4.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25" w:rsidRPr="009742E7" w:rsidRDefault="001E4925" w:rsidP="0068038C">
            <w:pPr>
              <w:pStyle w:val="naiskr"/>
              <w:spacing w:before="60" w:beforeAutospacing="0" w:after="0" w:afterAutospacing="0"/>
              <w:ind w:left="57" w:right="57"/>
              <w:rPr>
                <w:lang w:eastAsia="en-US"/>
              </w:rPr>
            </w:pPr>
            <w:r w:rsidRPr="009742E7">
              <w:rPr>
                <w:lang w:eastAsia="en-US"/>
              </w:rPr>
              <w:t>Cita informācija</w:t>
            </w:r>
          </w:p>
        </w:tc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25" w:rsidRPr="009742E7" w:rsidRDefault="00B338E8" w:rsidP="0068038C">
            <w:pPr>
              <w:pStyle w:val="naiskr"/>
              <w:spacing w:before="0" w:beforeAutospacing="0" w:after="0" w:afterAutospacing="0"/>
              <w:ind w:left="153" w:right="155"/>
              <w:rPr>
                <w:lang w:eastAsia="en-US"/>
              </w:rPr>
            </w:pPr>
            <w:r w:rsidRPr="009742E7">
              <w:rPr>
                <w:lang w:eastAsia="en-US"/>
              </w:rPr>
              <w:t>Nav.</w:t>
            </w:r>
          </w:p>
        </w:tc>
      </w:tr>
    </w:tbl>
    <w:tbl>
      <w:tblPr>
        <w:tblW w:w="925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"/>
        <w:gridCol w:w="3367"/>
        <w:gridCol w:w="5285"/>
      </w:tblGrid>
      <w:tr w:rsidR="008473EF" w:rsidRPr="0068038C" w:rsidTr="00D554AC">
        <w:trPr>
          <w:trHeight w:val="381"/>
          <w:jc w:val="center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88"/>
              <w:gridCol w:w="1189"/>
              <w:gridCol w:w="1548"/>
              <w:gridCol w:w="1100"/>
              <w:gridCol w:w="1189"/>
              <w:gridCol w:w="1069"/>
            </w:tblGrid>
            <w:tr w:rsidR="00E8534C" w:rsidRPr="00E8534C" w:rsidTr="008473EF">
              <w:trPr>
                <w:trHeight w:val="360"/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spacing w:before="100" w:beforeAutospacing="1" w:after="100" w:afterAutospacing="1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534C">
                    <w:rPr>
                      <w:b/>
                      <w:bCs/>
                      <w:sz w:val="24"/>
                      <w:szCs w:val="24"/>
                    </w:rPr>
                    <w:t>III. Tiesību akta projekta ietekme uz valsts budžetu un pašvaldību budžetiem</w:t>
                  </w: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17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spacing w:before="100" w:beforeAutospacing="1" w:after="100" w:afterAutospacing="1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534C">
                    <w:rPr>
                      <w:b/>
                      <w:bCs/>
                      <w:sz w:val="24"/>
                      <w:szCs w:val="24"/>
                    </w:rPr>
                    <w:t>Rādītāji</w:t>
                  </w:r>
                </w:p>
              </w:tc>
              <w:tc>
                <w:tcPr>
                  <w:tcW w:w="1500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spacing w:before="100" w:beforeAutospacing="1" w:after="100" w:afterAutospacing="1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534C">
                    <w:rPr>
                      <w:b/>
                      <w:bCs/>
                      <w:sz w:val="24"/>
                      <w:szCs w:val="24"/>
                    </w:rPr>
                    <w:t>n-tais gads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spacing w:before="100" w:beforeAutospacing="1" w:after="100" w:afterAutospacing="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Turpmākie trīs gadi (</w:t>
                  </w:r>
                  <w:proofErr w:type="spellStart"/>
                  <w:r w:rsidRPr="00E8534C">
                    <w:rPr>
                      <w:i/>
                      <w:iCs/>
                      <w:sz w:val="24"/>
                      <w:szCs w:val="24"/>
                    </w:rPr>
                    <w:t>euro</w:t>
                  </w:r>
                  <w:proofErr w:type="spellEnd"/>
                  <w:r w:rsidRPr="00E8534C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spacing w:before="100" w:beforeAutospacing="1" w:after="100" w:afterAutospacing="1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534C">
                    <w:rPr>
                      <w:b/>
                      <w:bCs/>
                      <w:sz w:val="24"/>
                      <w:szCs w:val="24"/>
                    </w:rPr>
                    <w:t>n+1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spacing w:before="100" w:beforeAutospacing="1" w:after="100" w:afterAutospacing="1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534C">
                    <w:rPr>
                      <w:b/>
                      <w:bCs/>
                      <w:sz w:val="24"/>
                      <w:szCs w:val="24"/>
                    </w:rPr>
                    <w:t>n+2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spacing w:before="100" w:beforeAutospacing="1" w:after="100" w:afterAutospacing="1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534C">
                    <w:rPr>
                      <w:b/>
                      <w:bCs/>
                      <w:sz w:val="24"/>
                      <w:szCs w:val="24"/>
                    </w:rPr>
                    <w:t>n+3</w:t>
                  </w: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spacing w:before="100" w:beforeAutospacing="1" w:after="100" w:afterAutospacing="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saskaņā ar valsts budžetu kārtējam gadam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spacing w:before="100" w:beforeAutospacing="1" w:after="100" w:afterAutospacing="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izmaiņas kārtējā gadā, salīdzinot ar valsts budžetu kārtējam gadam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spacing w:before="100" w:beforeAutospacing="1" w:after="100" w:afterAutospacing="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izmaiņas, salīdzinot ar kārtējo (n) gadu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spacing w:before="100" w:beforeAutospacing="1" w:after="100" w:afterAutospacing="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izmaiņas, salīdzinot ar kārtējo (n) gadu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spacing w:before="100" w:beforeAutospacing="1" w:after="100" w:afterAutospacing="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izmaiņas, salīdzinot ar kārtējo (n) gadu</w:t>
                  </w: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spacing w:before="100" w:beforeAutospacing="1" w:after="100" w:afterAutospacing="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spacing w:before="100" w:beforeAutospacing="1" w:after="100" w:afterAutospacing="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spacing w:before="100" w:beforeAutospacing="1" w:after="100" w:afterAutospacing="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spacing w:before="100" w:beforeAutospacing="1" w:after="100" w:afterAutospacing="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spacing w:before="100" w:beforeAutospacing="1" w:after="100" w:afterAutospacing="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spacing w:before="100" w:beforeAutospacing="1" w:after="100" w:afterAutospacing="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1. Budžeta ieņēmumi: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1.1. valsts pamatbudžets, tai skaitā ieņēmumi no maksas pakalpojumiem un citi pašu ieņēmumi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1.2. valsts speciālais budžets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1.3. pašvaldību budžets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2. Budžeta izdevumi: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2.1. valsts pamatbudžets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2.2. valsts speciālais budžets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2.3. pašvaldību budžets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lastRenderedPageBreak/>
                    <w:t>3. Finansiālā ietekme: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3.1. valsts pamatbudžets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3.2. speciālais budžets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3.3. pašvaldību budžets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17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4. Finanšu līdzekļi papildu izdevumu finansēšanai (kompensējošu izdevumu samazinājumu norāda ar "+" zīmi)</w:t>
                  </w:r>
                </w:p>
              </w:tc>
              <w:tc>
                <w:tcPr>
                  <w:tcW w:w="6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spacing w:before="100" w:beforeAutospacing="1" w:after="100" w:afterAutospacing="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5. Precizēta finansiālā ietekme:</w:t>
                  </w:r>
                </w:p>
              </w:tc>
              <w:tc>
                <w:tcPr>
                  <w:tcW w:w="6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spacing w:before="100" w:beforeAutospacing="1" w:after="100" w:afterAutospacing="1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5.1. valsts pamatbudžets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5.2. speciālais budžets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5.3. pašvaldību budžets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6. Detalizēts ieņēmumu un izdevumu aprēķins (ja nepieciešams, detalizētu ieņēmumu un izdevumu aprēķinu var pievienot anotācijas pielikumā):</w:t>
                  </w:r>
                </w:p>
              </w:tc>
              <w:tc>
                <w:tcPr>
                  <w:tcW w:w="3300" w:type="pct"/>
                  <w:gridSpan w:val="5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6.1. detalizēts ieņēmumu aprēķins</w:t>
                  </w: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8534C" w:rsidRPr="00E8534C" w:rsidTr="008473EF">
              <w:trPr>
                <w:tblCellSpacing w:w="15" w:type="dxa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6.2. detalizēts izdevumu aprēķins</w:t>
                  </w: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E8534C" w:rsidRPr="00E8534C" w:rsidTr="008473EF">
              <w:trPr>
                <w:trHeight w:val="555"/>
                <w:tblCellSpacing w:w="15" w:type="dxa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8473EF">
                  <w:pPr>
                    <w:ind w:firstLine="0"/>
                    <w:rPr>
                      <w:sz w:val="24"/>
                      <w:szCs w:val="24"/>
                    </w:rPr>
                  </w:pPr>
                  <w:r w:rsidRPr="00E8534C">
                    <w:rPr>
                      <w:sz w:val="24"/>
                      <w:szCs w:val="24"/>
                    </w:rPr>
                    <w:t>7. Cita informācija</w:t>
                  </w:r>
                </w:p>
              </w:tc>
              <w:tc>
                <w:tcPr>
                  <w:tcW w:w="33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3EF" w:rsidRPr="00E8534C" w:rsidRDefault="008473EF" w:rsidP="00FE5272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473EF" w:rsidRPr="0068038C" w:rsidRDefault="008473EF" w:rsidP="00D554AC">
            <w:pPr>
              <w:spacing w:line="276" w:lineRule="auto"/>
              <w:ind w:left="57" w:right="57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554AC" w:rsidRPr="0068038C" w:rsidTr="00D554AC">
        <w:trPr>
          <w:trHeight w:val="381"/>
          <w:jc w:val="center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AC" w:rsidRPr="0068038C" w:rsidRDefault="00D554AC" w:rsidP="00D554AC">
            <w:pPr>
              <w:spacing w:line="276" w:lineRule="auto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 w:rsidRPr="0068038C">
              <w:rPr>
                <w:b/>
                <w:sz w:val="24"/>
                <w:szCs w:val="24"/>
                <w:lang w:eastAsia="en-US"/>
              </w:rPr>
              <w:lastRenderedPageBreak/>
              <w:t>VII. Tiesību akta projekta izpildes nodrošināšana un tās ietekme uz institūcijām</w:t>
            </w:r>
          </w:p>
        </w:tc>
      </w:tr>
      <w:tr w:rsidR="00D554AC" w:rsidRPr="0068038C" w:rsidTr="00D554AC">
        <w:trPr>
          <w:trHeight w:val="4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C" w:rsidRPr="0068038C" w:rsidRDefault="00D554AC" w:rsidP="0068038C">
            <w:pPr>
              <w:ind w:left="57" w:right="57" w:firstLine="0"/>
              <w:jc w:val="both"/>
              <w:rPr>
                <w:sz w:val="24"/>
                <w:szCs w:val="24"/>
                <w:lang w:eastAsia="en-US"/>
              </w:rPr>
            </w:pPr>
            <w:r w:rsidRPr="0068038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C" w:rsidRPr="0068038C" w:rsidRDefault="00D554AC" w:rsidP="0068038C">
            <w:pPr>
              <w:ind w:left="57" w:right="57" w:firstLine="0"/>
              <w:rPr>
                <w:sz w:val="24"/>
                <w:szCs w:val="24"/>
                <w:lang w:eastAsia="en-US"/>
              </w:rPr>
            </w:pPr>
            <w:r w:rsidRPr="0068038C">
              <w:rPr>
                <w:sz w:val="24"/>
                <w:szCs w:val="24"/>
                <w:lang w:eastAsia="en-US"/>
              </w:rPr>
              <w:t>Projekta izpildē iesaistītās institūcijas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C" w:rsidRPr="0068038C" w:rsidRDefault="00D554AC" w:rsidP="0068038C">
            <w:pPr>
              <w:shd w:val="clear" w:color="auto" w:fill="FFFFFF"/>
              <w:ind w:firstLine="0"/>
              <w:jc w:val="both"/>
              <w:rPr>
                <w:rFonts w:eastAsiaTheme="minorHAnsi"/>
                <w:sz w:val="24"/>
                <w:szCs w:val="24"/>
              </w:rPr>
            </w:pPr>
            <w:bookmarkStart w:id="0" w:name="p69"/>
            <w:bookmarkStart w:id="1" w:name="p68"/>
            <w:bookmarkStart w:id="2" w:name="p67"/>
            <w:bookmarkStart w:id="3" w:name="p66"/>
            <w:bookmarkEnd w:id="0"/>
            <w:bookmarkEnd w:id="1"/>
            <w:bookmarkEnd w:id="2"/>
            <w:bookmarkEnd w:id="3"/>
            <w:r w:rsidRPr="0068038C">
              <w:rPr>
                <w:rFonts w:eastAsiaTheme="minorHAnsi"/>
                <w:sz w:val="24"/>
                <w:szCs w:val="24"/>
                <w:lang w:eastAsia="en-US"/>
              </w:rPr>
              <w:t>Ārlietu ministrija un Latvijas prezidentūras Eiropas Savienības Padomē sekretariāts</w:t>
            </w:r>
          </w:p>
        </w:tc>
      </w:tr>
      <w:tr w:rsidR="00D554AC" w:rsidRPr="0068038C" w:rsidTr="00D554AC">
        <w:trPr>
          <w:trHeight w:val="46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C" w:rsidRPr="0068038C" w:rsidRDefault="00D554AC" w:rsidP="0068038C">
            <w:pPr>
              <w:ind w:left="57" w:right="57" w:firstLine="0"/>
              <w:jc w:val="both"/>
              <w:rPr>
                <w:sz w:val="24"/>
                <w:szCs w:val="24"/>
                <w:lang w:eastAsia="en-US"/>
              </w:rPr>
            </w:pPr>
            <w:r w:rsidRPr="0068038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C" w:rsidRPr="0068038C" w:rsidRDefault="00D554AC" w:rsidP="0068038C">
            <w:pPr>
              <w:ind w:left="57" w:right="57" w:firstLine="0"/>
              <w:rPr>
                <w:sz w:val="24"/>
                <w:szCs w:val="24"/>
                <w:lang w:eastAsia="en-US"/>
              </w:rPr>
            </w:pPr>
            <w:r w:rsidRPr="0068038C">
              <w:rPr>
                <w:sz w:val="24"/>
                <w:szCs w:val="24"/>
                <w:lang w:eastAsia="en-US"/>
              </w:rPr>
              <w:t>Projekta izpildes ietekme uz pār</w:t>
            </w:r>
            <w:r w:rsidRPr="0068038C">
              <w:rPr>
                <w:sz w:val="24"/>
                <w:szCs w:val="24"/>
                <w:lang w:eastAsia="en-US"/>
              </w:rPr>
              <w:softHyphen/>
              <w:t>valdes funkcijām un institucionālo struktūru.</w:t>
            </w:r>
          </w:p>
          <w:p w:rsidR="00D554AC" w:rsidRPr="0068038C" w:rsidRDefault="00D554AC" w:rsidP="0068038C">
            <w:pPr>
              <w:ind w:left="57" w:right="57" w:firstLine="0"/>
              <w:rPr>
                <w:sz w:val="24"/>
                <w:szCs w:val="24"/>
                <w:lang w:eastAsia="en-US"/>
              </w:rPr>
            </w:pPr>
            <w:r w:rsidRPr="0068038C">
              <w:rPr>
                <w:sz w:val="24"/>
                <w:szCs w:val="24"/>
                <w:lang w:eastAsia="en-US"/>
              </w:rPr>
              <w:t>Jaunu institūciju izveide, esošu institūciju likvidācija vai reorga</w:t>
            </w:r>
            <w:r w:rsidRPr="0068038C">
              <w:rPr>
                <w:sz w:val="24"/>
                <w:szCs w:val="24"/>
                <w:lang w:eastAsia="en-US"/>
              </w:rPr>
              <w:softHyphen/>
              <w:t>nizācija, to ietekme uz institūcijas cilvēkresursiem.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C" w:rsidRPr="0068038C" w:rsidRDefault="00F52897" w:rsidP="0068038C">
            <w:pPr>
              <w:shd w:val="clear" w:color="auto" w:fill="FFFFFF"/>
              <w:ind w:firstLine="0"/>
              <w:jc w:val="both"/>
              <w:rPr>
                <w:rFonts w:eastAsiaTheme="minorHAnsi"/>
                <w:sz w:val="24"/>
                <w:szCs w:val="24"/>
              </w:rPr>
            </w:pPr>
            <w:r w:rsidRPr="0068038C">
              <w:rPr>
                <w:rFonts w:eastAsia="Calibri"/>
                <w:sz w:val="24"/>
                <w:szCs w:val="24"/>
                <w:lang w:eastAsia="en-US"/>
              </w:rPr>
              <w:t>Projekta izpilde notiks esošo pārvaldes funkciju ietvaros.</w:t>
            </w:r>
          </w:p>
        </w:tc>
      </w:tr>
      <w:tr w:rsidR="00D554AC" w:rsidRPr="0068038C" w:rsidTr="00E67622">
        <w:trPr>
          <w:trHeight w:val="14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C" w:rsidRPr="0068038C" w:rsidRDefault="00D554AC" w:rsidP="00D554AC">
            <w:pPr>
              <w:spacing w:line="276" w:lineRule="auto"/>
              <w:ind w:left="57" w:right="57" w:firstLine="0"/>
              <w:jc w:val="both"/>
              <w:rPr>
                <w:sz w:val="24"/>
                <w:szCs w:val="24"/>
                <w:lang w:eastAsia="en-US"/>
              </w:rPr>
            </w:pPr>
            <w:r w:rsidRPr="0068038C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C" w:rsidRPr="0068038C" w:rsidRDefault="00D554AC" w:rsidP="00D554AC">
            <w:pPr>
              <w:spacing w:line="276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68038C">
              <w:rPr>
                <w:sz w:val="24"/>
                <w:szCs w:val="24"/>
                <w:lang w:eastAsia="en-US"/>
              </w:rPr>
              <w:t>Cita informācija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C" w:rsidRPr="0068038C" w:rsidRDefault="00D554AC" w:rsidP="00D554AC">
            <w:pPr>
              <w:ind w:left="57" w:right="57" w:firstLine="0"/>
              <w:jc w:val="both"/>
              <w:rPr>
                <w:rFonts w:eastAsiaTheme="minorHAnsi"/>
                <w:sz w:val="24"/>
                <w:szCs w:val="24"/>
              </w:rPr>
            </w:pPr>
            <w:r w:rsidRPr="0068038C">
              <w:rPr>
                <w:rFonts w:eastAsiaTheme="minorHAnsi"/>
                <w:sz w:val="24"/>
                <w:szCs w:val="24"/>
                <w:lang w:eastAsia="en-US"/>
              </w:rPr>
              <w:t>Nav.</w:t>
            </w:r>
          </w:p>
        </w:tc>
      </w:tr>
    </w:tbl>
    <w:p w:rsidR="001E4925" w:rsidRPr="00C24CD9" w:rsidRDefault="001E4925" w:rsidP="00E3648B">
      <w:pPr>
        <w:ind w:firstLine="0"/>
        <w:rPr>
          <w:sz w:val="18"/>
          <w:szCs w:val="18"/>
          <w:lang w:eastAsia="en-US"/>
        </w:rPr>
      </w:pPr>
    </w:p>
    <w:p w:rsidR="00150BFD" w:rsidRPr="0068038C" w:rsidRDefault="00150BFD" w:rsidP="00603736">
      <w:pPr>
        <w:ind w:firstLine="0"/>
        <w:jc w:val="both"/>
        <w:rPr>
          <w:sz w:val="24"/>
          <w:szCs w:val="24"/>
        </w:rPr>
      </w:pPr>
      <w:r w:rsidRPr="0068038C">
        <w:rPr>
          <w:sz w:val="24"/>
          <w:szCs w:val="24"/>
        </w:rPr>
        <w:t>Anotācijas II, IV, V</w:t>
      </w:r>
      <w:r w:rsidR="00D554AC" w:rsidRPr="0068038C">
        <w:rPr>
          <w:sz w:val="24"/>
          <w:szCs w:val="24"/>
        </w:rPr>
        <w:t xml:space="preserve"> un</w:t>
      </w:r>
      <w:r w:rsidR="00E043D2" w:rsidRPr="0068038C">
        <w:rPr>
          <w:sz w:val="24"/>
          <w:szCs w:val="24"/>
        </w:rPr>
        <w:t xml:space="preserve"> </w:t>
      </w:r>
      <w:r w:rsidRPr="0068038C">
        <w:rPr>
          <w:sz w:val="24"/>
          <w:szCs w:val="24"/>
        </w:rPr>
        <w:t xml:space="preserve">VI sadaļa </w:t>
      </w:r>
      <w:r w:rsidR="00E043D2" w:rsidRPr="0068038C">
        <w:rPr>
          <w:sz w:val="24"/>
          <w:szCs w:val="24"/>
        </w:rPr>
        <w:t>– projekts šīs jomas neskar.</w:t>
      </w:r>
    </w:p>
    <w:p w:rsidR="001E4925" w:rsidRPr="009742E7" w:rsidRDefault="001E4925" w:rsidP="001E4925">
      <w:pPr>
        <w:ind w:firstLine="0"/>
        <w:jc w:val="both"/>
        <w:rPr>
          <w:sz w:val="16"/>
          <w:szCs w:val="16"/>
        </w:rPr>
      </w:pPr>
    </w:p>
    <w:p w:rsidR="00D571D9" w:rsidRPr="0068038C" w:rsidRDefault="00D571D9" w:rsidP="00DF1D48">
      <w:pPr>
        <w:tabs>
          <w:tab w:val="right" w:pos="9072"/>
        </w:tabs>
        <w:ind w:firstLine="0"/>
        <w:jc w:val="both"/>
        <w:rPr>
          <w:sz w:val="24"/>
          <w:szCs w:val="24"/>
        </w:rPr>
      </w:pPr>
      <w:r w:rsidRPr="0068038C">
        <w:rPr>
          <w:sz w:val="24"/>
          <w:szCs w:val="24"/>
        </w:rPr>
        <w:t>Ārlietu ministr</w:t>
      </w:r>
      <w:r w:rsidR="002A4173">
        <w:rPr>
          <w:sz w:val="24"/>
          <w:szCs w:val="24"/>
        </w:rPr>
        <w:t>a vietā aizsardzības ministrs</w:t>
      </w:r>
      <w:r w:rsidRPr="0068038C">
        <w:rPr>
          <w:sz w:val="24"/>
          <w:szCs w:val="24"/>
        </w:rPr>
        <w:t xml:space="preserve"> </w:t>
      </w:r>
      <w:r w:rsidRPr="0068038C">
        <w:rPr>
          <w:sz w:val="24"/>
          <w:szCs w:val="24"/>
        </w:rPr>
        <w:tab/>
      </w:r>
      <w:proofErr w:type="spellStart"/>
      <w:r w:rsidR="002A4173">
        <w:rPr>
          <w:sz w:val="24"/>
          <w:szCs w:val="24"/>
        </w:rPr>
        <w:t>R.Vējonis</w:t>
      </w:r>
      <w:proofErr w:type="spellEnd"/>
    </w:p>
    <w:p w:rsidR="00D571D9" w:rsidRPr="0068038C" w:rsidRDefault="00D571D9" w:rsidP="00C24CD9">
      <w:pPr>
        <w:ind w:firstLine="0"/>
        <w:jc w:val="both"/>
        <w:rPr>
          <w:sz w:val="24"/>
          <w:szCs w:val="24"/>
        </w:rPr>
      </w:pPr>
    </w:p>
    <w:p w:rsidR="00D571D9" w:rsidRPr="0068038C" w:rsidRDefault="00D571D9" w:rsidP="00D571D9">
      <w:pPr>
        <w:ind w:firstLine="0"/>
        <w:jc w:val="both"/>
        <w:rPr>
          <w:sz w:val="24"/>
          <w:szCs w:val="24"/>
        </w:rPr>
      </w:pPr>
      <w:r w:rsidRPr="0068038C">
        <w:rPr>
          <w:sz w:val="24"/>
          <w:szCs w:val="24"/>
        </w:rPr>
        <w:t>Vīzas:</w:t>
      </w:r>
    </w:p>
    <w:p w:rsidR="00D571D9" w:rsidRPr="0068038C" w:rsidRDefault="002C4026" w:rsidP="00DF1D48">
      <w:pPr>
        <w:tabs>
          <w:tab w:val="right" w:pos="9072"/>
        </w:tabs>
        <w:ind w:firstLine="0"/>
        <w:jc w:val="both"/>
        <w:rPr>
          <w:sz w:val="24"/>
          <w:szCs w:val="24"/>
        </w:rPr>
      </w:pPr>
      <w:r w:rsidRPr="0068038C">
        <w:rPr>
          <w:sz w:val="24"/>
          <w:szCs w:val="24"/>
        </w:rPr>
        <w:t>valsts sekretārs</w:t>
      </w:r>
      <w:r w:rsidR="00E21395" w:rsidRPr="0068038C">
        <w:rPr>
          <w:sz w:val="24"/>
          <w:szCs w:val="24"/>
        </w:rPr>
        <w:t xml:space="preserve"> </w:t>
      </w:r>
      <w:r w:rsidR="00D571D9" w:rsidRPr="0068038C">
        <w:rPr>
          <w:sz w:val="24"/>
          <w:szCs w:val="24"/>
        </w:rPr>
        <w:t xml:space="preserve"> </w:t>
      </w:r>
      <w:r w:rsidR="00D571D9" w:rsidRPr="0068038C">
        <w:rPr>
          <w:sz w:val="24"/>
          <w:szCs w:val="24"/>
        </w:rPr>
        <w:tab/>
      </w:r>
      <w:proofErr w:type="spellStart"/>
      <w:r w:rsidRPr="0068038C">
        <w:rPr>
          <w:sz w:val="24"/>
          <w:szCs w:val="24"/>
        </w:rPr>
        <w:t>A.Pildegovičs</w:t>
      </w:r>
      <w:proofErr w:type="spellEnd"/>
    </w:p>
    <w:p w:rsidR="00D571D9" w:rsidRPr="0068038C" w:rsidRDefault="00D571D9" w:rsidP="00D571D9">
      <w:pPr>
        <w:ind w:firstLine="0"/>
        <w:jc w:val="both"/>
        <w:rPr>
          <w:sz w:val="24"/>
          <w:szCs w:val="24"/>
        </w:rPr>
      </w:pPr>
    </w:p>
    <w:p w:rsidR="00D571D9" w:rsidRPr="0068038C" w:rsidRDefault="00D571D9" w:rsidP="00D571D9">
      <w:pPr>
        <w:ind w:firstLine="0"/>
        <w:jc w:val="both"/>
        <w:rPr>
          <w:sz w:val="24"/>
          <w:szCs w:val="24"/>
        </w:rPr>
      </w:pPr>
      <w:r w:rsidRPr="0068038C">
        <w:rPr>
          <w:sz w:val="24"/>
          <w:szCs w:val="24"/>
        </w:rPr>
        <w:t>Latvijas prezidentūras Eiropas Savienības Padomē</w:t>
      </w:r>
    </w:p>
    <w:p w:rsidR="00D571D9" w:rsidRPr="0068038C" w:rsidRDefault="00D571D9" w:rsidP="00DF1D48">
      <w:pPr>
        <w:tabs>
          <w:tab w:val="right" w:pos="9072"/>
        </w:tabs>
        <w:ind w:firstLine="0"/>
        <w:jc w:val="both"/>
        <w:rPr>
          <w:sz w:val="24"/>
          <w:szCs w:val="24"/>
        </w:rPr>
      </w:pPr>
      <w:r w:rsidRPr="0068038C">
        <w:rPr>
          <w:sz w:val="24"/>
          <w:szCs w:val="24"/>
        </w:rPr>
        <w:t xml:space="preserve">sekretariāta direktore </w:t>
      </w:r>
      <w:r w:rsidRPr="0068038C">
        <w:rPr>
          <w:sz w:val="24"/>
          <w:szCs w:val="24"/>
        </w:rPr>
        <w:tab/>
      </w:r>
      <w:r w:rsidR="007153A5" w:rsidRPr="0068038C">
        <w:rPr>
          <w:sz w:val="24"/>
          <w:szCs w:val="24"/>
        </w:rPr>
        <w:t>K.Pommere</w:t>
      </w:r>
    </w:p>
    <w:p w:rsidR="00D571D9" w:rsidRPr="0068038C" w:rsidRDefault="00D571D9" w:rsidP="00D571D9">
      <w:pPr>
        <w:ind w:firstLine="0"/>
        <w:rPr>
          <w:sz w:val="24"/>
          <w:szCs w:val="24"/>
        </w:rPr>
      </w:pPr>
    </w:p>
    <w:p w:rsidR="00D571D9" w:rsidRPr="00550CD4" w:rsidRDefault="00C7681D" w:rsidP="00D571D9">
      <w:pPr>
        <w:ind w:firstLine="0"/>
        <w:rPr>
          <w:sz w:val="18"/>
          <w:szCs w:val="18"/>
        </w:rPr>
      </w:pPr>
      <w:r>
        <w:rPr>
          <w:sz w:val="18"/>
          <w:szCs w:val="18"/>
        </w:rPr>
        <w:t>25</w:t>
      </w:r>
      <w:r w:rsidR="00E043D2" w:rsidRPr="00550CD4">
        <w:rPr>
          <w:sz w:val="18"/>
          <w:szCs w:val="18"/>
        </w:rPr>
        <w:t>.</w:t>
      </w:r>
      <w:r w:rsidR="00571BF1" w:rsidRPr="00550CD4">
        <w:rPr>
          <w:sz w:val="18"/>
          <w:szCs w:val="18"/>
        </w:rPr>
        <w:t>0</w:t>
      </w:r>
      <w:r w:rsidR="008034C6">
        <w:rPr>
          <w:sz w:val="18"/>
          <w:szCs w:val="18"/>
        </w:rPr>
        <w:t>6</w:t>
      </w:r>
      <w:r w:rsidR="00D571D9" w:rsidRPr="00550CD4">
        <w:rPr>
          <w:sz w:val="18"/>
          <w:szCs w:val="18"/>
        </w:rPr>
        <w:t>.201</w:t>
      </w:r>
      <w:r w:rsidR="00F52897" w:rsidRPr="00550CD4">
        <w:rPr>
          <w:sz w:val="18"/>
          <w:szCs w:val="18"/>
        </w:rPr>
        <w:t>5</w:t>
      </w:r>
      <w:r w:rsidR="00D571D9" w:rsidRPr="00550CD4">
        <w:rPr>
          <w:sz w:val="18"/>
          <w:szCs w:val="18"/>
        </w:rPr>
        <w:t xml:space="preserve">. </w:t>
      </w:r>
      <w:r>
        <w:rPr>
          <w:sz w:val="18"/>
          <w:szCs w:val="18"/>
        </w:rPr>
        <w:t>9</w:t>
      </w:r>
      <w:r w:rsidR="004821C7" w:rsidRPr="00550CD4">
        <w:rPr>
          <w:sz w:val="18"/>
          <w:szCs w:val="18"/>
        </w:rPr>
        <w:t>:</w:t>
      </w:r>
      <w:r>
        <w:rPr>
          <w:sz w:val="18"/>
          <w:szCs w:val="18"/>
        </w:rPr>
        <w:t>1</w:t>
      </w:r>
      <w:r w:rsidR="002B18E5" w:rsidRPr="00550CD4">
        <w:rPr>
          <w:sz w:val="18"/>
          <w:szCs w:val="18"/>
        </w:rPr>
        <w:t>4</w:t>
      </w:r>
    </w:p>
    <w:p w:rsidR="00D571D9" w:rsidRPr="00550CD4" w:rsidRDefault="00C7681D" w:rsidP="00D571D9">
      <w:pPr>
        <w:ind w:firstLine="0"/>
        <w:rPr>
          <w:sz w:val="18"/>
          <w:szCs w:val="18"/>
        </w:rPr>
      </w:pPr>
      <w:r>
        <w:rPr>
          <w:sz w:val="18"/>
          <w:szCs w:val="18"/>
        </w:rPr>
        <w:t>67</w:t>
      </w:r>
      <w:r w:rsidR="00535581">
        <w:rPr>
          <w:sz w:val="18"/>
          <w:szCs w:val="18"/>
        </w:rPr>
        <w:t>7</w:t>
      </w:r>
      <w:bookmarkStart w:id="4" w:name="_GoBack"/>
      <w:bookmarkEnd w:id="4"/>
    </w:p>
    <w:p w:rsidR="00D571D9" w:rsidRPr="00550CD4" w:rsidRDefault="00BD69A6" w:rsidP="00D571D9">
      <w:pPr>
        <w:ind w:firstLine="0"/>
        <w:rPr>
          <w:sz w:val="18"/>
          <w:szCs w:val="18"/>
        </w:rPr>
      </w:pPr>
      <w:r>
        <w:rPr>
          <w:sz w:val="18"/>
          <w:szCs w:val="18"/>
        </w:rPr>
        <w:t>A.Senčilo</w:t>
      </w:r>
    </w:p>
    <w:p w:rsidR="006A3F54" w:rsidRPr="00550CD4" w:rsidRDefault="00D571D9" w:rsidP="009742E7">
      <w:pPr>
        <w:ind w:firstLine="0"/>
        <w:rPr>
          <w:sz w:val="18"/>
          <w:szCs w:val="18"/>
        </w:rPr>
      </w:pPr>
      <w:r w:rsidRPr="00550CD4">
        <w:rPr>
          <w:sz w:val="18"/>
          <w:szCs w:val="18"/>
        </w:rPr>
        <w:t>670117</w:t>
      </w:r>
      <w:r w:rsidR="00BD69A6">
        <w:rPr>
          <w:sz w:val="18"/>
          <w:szCs w:val="18"/>
        </w:rPr>
        <w:t>91</w:t>
      </w:r>
      <w:r w:rsidRPr="00550CD4">
        <w:rPr>
          <w:sz w:val="18"/>
          <w:szCs w:val="18"/>
        </w:rPr>
        <w:t xml:space="preserve">, </w:t>
      </w:r>
      <w:r w:rsidR="00BD69A6" w:rsidRPr="00EF49F1">
        <w:rPr>
          <w:sz w:val="18"/>
          <w:szCs w:val="18"/>
        </w:rPr>
        <w:t>agnese.sencilo@es2015.lv</w:t>
      </w:r>
      <w:r w:rsidR="009742E7">
        <w:rPr>
          <w:sz w:val="18"/>
          <w:szCs w:val="18"/>
        </w:rPr>
        <w:t xml:space="preserve"> </w:t>
      </w:r>
    </w:p>
    <w:sectPr w:rsidR="006A3F54" w:rsidRPr="00550CD4" w:rsidSect="00A967B5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113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E1" w:rsidRDefault="009174E1" w:rsidP="00BA0CBC">
      <w:r>
        <w:separator/>
      </w:r>
    </w:p>
  </w:endnote>
  <w:endnote w:type="continuationSeparator" w:id="0">
    <w:p w:rsidR="009174E1" w:rsidRDefault="009174E1" w:rsidP="00BA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BC" w:rsidRPr="002C4026" w:rsidRDefault="002C4026" w:rsidP="002C4026">
    <w:pPr>
      <w:pStyle w:val="Footer"/>
      <w:ind w:firstLine="0"/>
      <w:rPr>
        <w:rFonts w:eastAsia="SimSun"/>
      </w:rPr>
    </w:pPr>
    <w:r w:rsidRPr="002C4026">
      <w:t>AMAnot_</w:t>
    </w:r>
    <w:r w:rsidR="00E91871">
      <w:t>25</w:t>
    </w:r>
    <w:r w:rsidR="008034C6">
      <w:t>06</w:t>
    </w:r>
    <w:r w:rsidR="00BD69A6" w:rsidRPr="002C4026">
      <w:t>1</w:t>
    </w:r>
    <w:r w:rsidR="00BD69A6">
      <w:t>5</w:t>
    </w:r>
    <w:r w:rsidRPr="002C4026">
      <w:t>_</w:t>
    </w:r>
    <w:r w:rsidR="006E0756">
      <w:t>sekretariats</w:t>
    </w:r>
    <w:r w:rsidRPr="002C4026">
      <w:t xml:space="preserve">; Ministru kabineta </w:t>
    </w:r>
    <w:r w:rsidR="003B2D68" w:rsidRPr="002C4026">
      <w:t>rīkojum</w:t>
    </w:r>
    <w:r w:rsidR="00FE5272">
      <w:t>a</w:t>
    </w:r>
    <w:r w:rsidR="003B2D68">
      <w:t xml:space="preserve"> </w:t>
    </w:r>
    <w:r w:rsidR="008473EF" w:rsidRPr="002C4026">
      <w:t>„Par Latvijas prezidentūras Eiropas Savienības Padomē sekretariāt</w:t>
    </w:r>
    <w:r w:rsidR="008473EF">
      <w:t>a likvidāciju</w:t>
    </w:r>
    <w:r w:rsidR="008473EF" w:rsidRPr="002C4026">
      <w:t>”</w:t>
    </w:r>
    <w:r w:rsidRPr="002C4026">
      <w:t xml:space="preserve"> projekta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BC" w:rsidRPr="00A967B5" w:rsidRDefault="003B2D68" w:rsidP="00A967B5">
    <w:pPr>
      <w:pStyle w:val="Footer"/>
      <w:ind w:firstLine="0"/>
      <w:rPr>
        <w:rFonts w:eastAsia="SimSun"/>
      </w:rPr>
    </w:pPr>
    <w:r w:rsidRPr="002C4026">
      <w:t>AMAnot_</w:t>
    </w:r>
    <w:r w:rsidR="00E91871">
      <w:t>25</w:t>
    </w:r>
    <w:r w:rsidR="008034C6">
      <w:t>06</w:t>
    </w:r>
    <w:r w:rsidR="00E8534C" w:rsidRPr="002C4026">
      <w:t>1</w:t>
    </w:r>
    <w:r w:rsidR="00E8534C">
      <w:t>5</w:t>
    </w:r>
    <w:r w:rsidRPr="002C4026">
      <w:t>_</w:t>
    </w:r>
    <w:r>
      <w:t>sekretariats</w:t>
    </w:r>
    <w:r w:rsidRPr="002C4026">
      <w:t>; Ministru kabineta rīkojum</w:t>
    </w:r>
    <w:r w:rsidR="00FE5272">
      <w:t>a</w:t>
    </w:r>
    <w:r>
      <w:t xml:space="preserve"> </w:t>
    </w:r>
    <w:r w:rsidRPr="002C4026">
      <w:t>„Par Latvijas prezidentūras Eiropas Savienības Padomē sekretariāt</w:t>
    </w:r>
    <w:r w:rsidR="008473EF">
      <w:t>a likvidāciju</w:t>
    </w:r>
    <w:r w:rsidRPr="002C4026">
      <w:t>” projekta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E1" w:rsidRDefault="009174E1" w:rsidP="00BA0CBC">
      <w:r>
        <w:separator/>
      </w:r>
    </w:p>
  </w:footnote>
  <w:footnote w:type="continuationSeparator" w:id="0">
    <w:p w:rsidR="009174E1" w:rsidRDefault="009174E1" w:rsidP="00BA0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772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BA0CBC" w:rsidRPr="009374E6" w:rsidRDefault="00BA0CBC">
        <w:pPr>
          <w:pStyle w:val="Header"/>
          <w:jc w:val="center"/>
          <w:rPr>
            <w:sz w:val="24"/>
            <w:szCs w:val="24"/>
          </w:rPr>
        </w:pPr>
        <w:r w:rsidRPr="009374E6">
          <w:rPr>
            <w:sz w:val="24"/>
            <w:szCs w:val="24"/>
          </w:rPr>
          <w:fldChar w:fldCharType="begin"/>
        </w:r>
        <w:r w:rsidRPr="009374E6">
          <w:rPr>
            <w:sz w:val="24"/>
            <w:szCs w:val="24"/>
          </w:rPr>
          <w:instrText xml:space="preserve"> PAGE   \* MERGEFORMAT </w:instrText>
        </w:r>
        <w:r w:rsidRPr="009374E6">
          <w:rPr>
            <w:sz w:val="24"/>
            <w:szCs w:val="24"/>
          </w:rPr>
          <w:fldChar w:fldCharType="separate"/>
        </w:r>
        <w:r w:rsidR="00535581">
          <w:rPr>
            <w:noProof/>
            <w:sz w:val="24"/>
            <w:szCs w:val="24"/>
          </w:rPr>
          <w:t>4</w:t>
        </w:r>
        <w:r w:rsidRPr="009374E6">
          <w:rPr>
            <w:noProof/>
            <w:sz w:val="24"/>
            <w:szCs w:val="24"/>
          </w:rPr>
          <w:fldChar w:fldCharType="end"/>
        </w:r>
      </w:p>
    </w:sdtContent>
  </w:sdt>
  <w:p w:rsidR="00BA0CBC" w:rsidRDefault="00BA0C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564"/>
    <w:multiLevelType w:val="hybridMultilevel"/>
    <w:tmpl w:val="EE3875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D5252"/>
    <w:multiLevelType w:val="hybridMultilevel"/>
    <w:tmpl w:val="AA90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25"/>
    <w:rsid w:val="0000702F"/>
    <w:rsid w:val="00031731"/>
    <w:rsid w:val="0005112F"/>
    <w:rsid w:val="000517DC"/>
    <w:rsid w:val="00055416"/>
    <w:rsid w:val="000673C8"/>
    <w:rsid w:val="000A4350"/>
    <w:rsid w:val="000A6FFD"/>
    <w:rsid w:val="000B299E"/>
    <w:rsid w:val="000C7A8A"/>
    <w:rsid w:val="000D7EE0"/>
    <w:rsid w:val="000E1BD6"/>
    <w:rsid w:val="000E4FD2"/>
    <w:rsid w:val="000F678F"/>
    <w:rsid w:val="00101FC9"/>
    <w:rsid w:val="00103A8A"/>
    <w:rsid w:val="00133848"/>
    <w:rsid w:val="00137801"/>
    <w:rsid w:val="00141488"/>
    <w:rsid w:val="00150BFD"/>
    <w:rsid w:val="00157728"/>
    <w:rsid w:val="00162B27"/>
    <w:rsid w:val="00170C69"/>
    <w:rsid w:val="001804CC"/>
    <w:rsid w:val="00180AE6"/>
    <w:rsid w:val="00181B03"/>
    <w:rsid w:val="001830D3"/>
    <w:rsid w:val="00196662"/>
    <w:rsid w:val="001A277C"/>
    <w:rsid w:val="001A609D"/>
    <w:rsid w:val="001B5A8B"/>
    <w:rsid w:val="001C0C3F"/>
    <w:rsid w:val="001C67BF"/>
    <w:rsid w:val="001D1206"/>
    <w:rsid w:val="001E4925"/>
    <w:rsid w:val="001E54FF"/>
    <w:rsid w:val="001F480C"/>
    <w:rsid w:val="001F59FF"/>
    <w:rsid w:val="001F6358"/>
    <w:rsid w:val="001F6BA3"/>
    <w:rsid w:val="0022102F"/>
    <w:rsid w:val="002366A6"/>
    <w:rsid w:val="00240EA2"/>
    <w:rsid w:val="002520EA"/>
    <w:rsid w:val="00265C7A"/>
    <w:rsid w:val="002A4173"/>
    <w:rsid w:val="002B18E5"/>
    <w:rsid w:val="002C4026"/>
    <w:rsid w:val="002D6D7C"/>
    <w:rsid w:val="002E5A9D"/>
    <w:rsid w:val="003209D1"/>
    <w:rsid w:val="003350C4"/>
    <w:rsid w:val="00336A12"/>
    <w:rsid w:val="00337EBE"/>
    <w:rsid w:val="00347E6A"/>
    <w:rsid w:val="00366DF7"/>
    <w:rsid w:val="00374DEF"/>
    <w:rsid w:val="003927B2"/>
    <w:rsid w:val="003A21E2"/>
    <w:rsid w:val="003B039E"/>
    <w:rsid w:val="003B2A09"/>
    <w:rsid w:val="003B2D68"/>
    <w:rsid w:val="003C16DD"/>
    <w:rsid w:val="003E31BE"/>
    <w:rsid w:val="00401C6F"/>
    <w:rsid w:val="00431519"/>
    <w:rsid w:val="00433792"/>
    <w:rsid w:val="00445600"/>
    <w:rsid w:val="00446A27"/>
    <w:rsid w:val="00455E3B"/>
    <w:rsid w:val="0046384C"/>
    <w:rsid w:val="004802B5"/>
    <w:rsid w:val="00480FA2"/>
    <w:rsid w:val="004821C7"/>
    <w:rsid w:val="0048563A"/>
    <w:rsid w:val="004922E4"/>
    <w:rsid w:val="00492861"/>
    <w:rsid w:val="00497CCF"/>
    <w:rsid w:val="004A35FA"/>
    <w:rsid w:val="004B3789"/>
    <w:rsid w:val="004D114D"/>
    <w:rsid w:val="004F0BF3"/>
    <w:rsid w:val="00501257"/>
    <w:rsid w:val="005029E9"/>
    <w:rsid w:val="00502AA1"/>
    <w:rsid w:val="00535581"/>
    <w:rsid w:val="00545E74"/>
    <w:rsid w:val="00550CD4"/>
    <w:rsid w:val="00552CA2"/>
    <w:rsid w:val="00554D48"/>
    <w:rsid w:val="0057040B"/>
    <w:rsid w:val="00571BF1"/>
    <w:rsid w:val="00592C4A"/>
    <w:rsid w:val="005977CE"/>
    <w:rsid w:val="005A7742"/>
    <w:rsid w:val="005B721A"/>
    <w:rsid w:val="005D479B"/>
    <w:rsid w:val="005E35BC"/>
    <w:rsid w:val="00603736"/>
    <w:rsid w:val="00611D65"/>
    <w:rsid w:val="00630BEA"/>
    <w:rsid w:val="00630E58"/>
    <w:rsid w:val="00642394"/>
    <w:rsid w:val="006434CB"/>
    <w:rsid w:val="006435EA"/>
    <w:rsid w:val="006748D6"/>
    <w:rsid w:val="00676191"/>
    <w:rsid w:val="0068038C"/>
    <w:rsid w:val="0069090B"/>
    <w:rsid w:val="0069364A"/>
    <w:rsid w:val="00694390"/>
    <w:rsid w:val="00694761"/>
    <w:rsid w:val="00695B8F"/>
    <w:rsid w:val="006A3F54"/>
    <w:rsid w:val="006D15C3"/>
    <w:rsid w:val="006D42A5"/>
    <w:rsid w:val="006E0756"/>
    <w:rsid w:val="006F742C"/>
    <w:rsid w:val="007153A5"/>
    <w:rsid w:val="0071762D"/>
    <w:rsid w:val="00730A0D"/>
    <w:rsid w:val="00745455"/>
    <w:rsid w:val="007460A1"/>
    <w:rsid w:val="00754291"/>
    <w:rsid w:val="0077287C"/>
    <w:rsid w:val="00791C3C"/>
    <w:rsid w:val="007941D5"/>
    <w:rsid w:val="007B694D"/>
    <w:rsid w:val="007F63FF"/>
    <w:rsid w:val="007F7F17"/>
    <w:rsid w:val="008034C6"/>
    <w:rsid w:val="00805E28"/>
    <w:rsid w:val="0081319F"/>
    <w:rsid w:val="008473EF"/>
    <w:rsid w:val="008522AC"/>
    <w:rsid w:val="0086743B"/>
    <w:rsid w:val="00873B0B"/>
    <w:rsid w:val="008B303E"/>
    <w:rsid w:val="008C245A"/>
    <w:rsid w:val="008D6587"/>
    <w:rsid w:val="008D6615"/>
    <w:rsid w:val="008F59AA"/>
    <w:rsid w:val="009004DF"/>
    <w:rsid w:val="00912E22"/>
    <w:rsid w:val="00914FF9"/>
    <w:rsid w:val="009174E1"/>
    <w:rsid w:val="00922BF7"/>
    <w:rsid w:val="009262F3"/>
    <w:rsid w:val="00930FF6"/>
    <w:rsid w:val="00932687"/>
    <w:rsid w:val="00932E95"/>
    <w:rsid w:val="009374E6"/>
    <w:rsid w:val="00964C2E"/>
    <w:rsid w:val="00966C5E"/>
    <w:rsid w:val="009742E7"/>
    <w:rsid w:val="009B16DB"/>
    <w:rsid w:val="009D17C8"/>
    <w:rsid w:val="009F0348"/>
    <w:rsid w:val="00A00516"/>
    <w:rsid w:val="00A03C5B"/>
    <w:rsid w:val="00A0404C"/>
    <w:rsid w:val="00A15F4C"/>
    <w:rsid w:val="00A31A85"/>
    <w:rsid w:val="00A351AB"/>
    <w:rsid w:val="00A450B8"/>
    <w:rsid w:val="00A513E7"/>
    <w:rsid w:val="00A550E7"/>
    <w:rsid w:val="00A77484"/>
    <w:rsid w:val="00A82102"/>
    <w:rsid w:val="00A905B7"/>
    <w:rsid w:val="00A90634"/>
    <w:rsid w:val="00A967B5"/>
    <w:rsid w:val="00AA0CFC"/>
    <w:rsid w:val="00AA6756"/>
    <w:rsid w:val="00AB663D"/>
    <w:rsid w:val="00AB7D2B"/>
    <w:rsid w:val="00AD64FA"/>
    <w:rsid w:val="00AF3202"/>
    <w:rsid w:val="00AF3C68"/>
    <w:rsid w:val="00B338E8"/>
    <w:rsid w:val="00B34DDF"/>
    <w:rsid w:val="00B35EED"/>
    <w:rsid w:val="00B4607A"/>
    <w:rsid w:val="00B50832"/>
    <w:rsid w:val="00B5137F"/>
    <w:rsid w:val="00B54A81"/>
    <w:rsid w:val="00B761B9"/>
    <w:rsid w:val="00B77401"/>
    <w:rsid w:val="00B92EC8"/>
    <w:rsid w:val="00B96473"/>
    <w:rsid w:val="00BA0CBC"/>
    <w:rsid w:val="00BA257D"/>
    <w:rsid w:val="00BD2851"/>
    <w:rsid w:val="00BD3E2B"/>
    <w:rsid w:val="00BD69A6"/>
    <w:rsid w:val="00BE1887"/>
    <w:rsid w:val="00BF48E2"/>
    <w:rsid w:val="00C13B04"/>
    <w:rsid w:val="00C16008"/>
    <w:rsid w:val="00C20388"/>
    <w:rsid w:val="00C24CD9"/>
    <w:rsid w:val="00C32AE7"/>
    <w:rsid w:val="00C363A4"/>
    <w:rsid w:val="00C45727"/>
    <w:rsid w:val="00C47097"/>
    <w:rsid w:val="00C50572"/>
    <w:rsid w:val="00C54512"/>
    <w:rsid w:val="00C56B3F"/>
    <w:rsid w:val="00C66AAF"/>
    <w:rsid w:val="00C7554C"/>
    <w:rsid w:val="00C7681D"/>
    <w:rsid w:val="00C932EB"/>
    <w:rsid w:val="00CD0333"/>
    <w:rsid w:val="00CE2759"/>
    <w:rsid w:val="00D05229"/>
    <w:rsid w:val="00D07517"/>
    <w:rsid w:val="00D1293D"/>
    <w:rsid w:val="00D1543E"/>
    <w:rsid w:val="00D43008"/>
    <w:rsid w:val="00D46BBC"/>
    <w:rsid w:val="00D554AC"/>
    <w:rsid w:val="00D571D9"/>
    <w:rsid w:val="00D707A3"/>
    <w:rsid w:val="00D748DB"/>
    <w:rsid w:val="00D94002"/>
    <w:rsid w:val="00DA5D92"/>
    <w:rsid w:val="00DB0F31"/>
    <w:rsid w:val="00DB1D92"/>
    <w:rsid w:val="00DE1CC9"/>
    <w:rsid w:val="00DE42D4"/>
    <w:rsid w:val="00DE53B8"/>
    <w:rsid w:val="00DF1D48"/>
    <w:rsid w:val="00E043D2"/>
    <w:rsid w:val="00E11FDE"/>
    <w:rsid w:val="00E21395"/>
    <w:rsid w:val="00E21C00"/>
    <w:rsid w:val="00E3648B"/>
    <w:rsid w:val="00E416D4"/>
    <w:rsid w:val="00E41E88"/>
    <w:rsid w:val="00E44ED2"/>
    <w:rsid w:val="00E56D56"/>
    <w:rsid w:val="00E67622"/>
    <w:rsid w:val="00E71D2B"/>
    <w:rsid w:val="00E7203E"/>
    <w:rsid w:val="00E764C4"/>
    <w:rsid w:val="00E8534C"/>
    <w:rsid w:val="00E91871"/>
    <w:rsid w:val="00E923ED"/>
    <w:rsid w:val="00E94400"/>
    <w:rsid w:val="00E97466"/>
    <w:rsid w:val="00EA4938"/>
    <w:rsid w:val="00ED1CDC"/>
    <w:rsid w:val="00EF49F1"/>
    <w:rsid w:val="00EF4F43"/>
    <w:rsid w:val="00F0102B"/>
    <w:rsid w:val="00F057CA"/>
    <w:rsid w:val="00F17769"/>
    <w:rsid w:val="00F25617"/>
    <w:rsid w:val="00F52897"/>
    <w:rsid w:val="00F64139"/>
    <w:rsid w:val="00F66764"/>
    <w:rsid w:val="00F74971"/>
    <w:rsid w:val="00F95C8E"/>
    <w:rsid w:val="00FA0846"/>
    <w:rsid w:val="00FC085B"/>
    <w:rsid w:val="00FC52CC"/>
    <w:rsid w:val="00FD4D23"/>
    <w:rsid w:val="00FE5272"/>
    <w:rsid w:val="00FF459C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40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lv-LV"/>
    </w:rPr>
  </w:style>
  <w:style w:type="paragraph" w:styleId="Heading3">
    <w:name w:val="heading 3"/>
    <w:basedOn w:val="Normal"/>
    <w:link w:val="Heading3Char"/>
    <w:uiPriority w:val="9"/>
    <w:unhideWhenUsed/>
    <w:qFormat/>
    <w:rsid w:val="001E4925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4925"/>
    <w:rPr>
      <w:b/>
      <w:bCs/>
      <w:sz w:val="27"/>
      <w:szCs w:val="27"/>
      <w:lang w:eastAsia="lv-LV"/>
    </w:rPr>
  </w:style>
  <w:style w:type="paragraph" w:customStyle="1" w:styleId="naisf">
    <w:name w:val="naisf"/>
    <w:basedOn w:val="Normal"/>
    <w:rsid w:val="001E492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naisnod">
    <w:name w:val="naisnod"/>
    <w:basedOn w:val="Normal"/>
    <w:rsid w:val="001E492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naiskr">
    <w:name w:val="naiskr"/>
    <w:basedOn w:val="Normal"/>
    <w:rsid w:val="001E4925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17DC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A0C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CBC"/>
    <w:rPr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A0C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CBC"/>
    <w:rPr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BC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55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4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4AC"/>
    <w:rPr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4AC"/>
    <w:rPr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9742E7"/>
    <w:rPr>
      <w:color w:val="0000FF" w:themeColor="hyperlink"/>
      <w:u w:val="single"/>
    </w:rPr>
  </w:style>
  <w:style w:type="paragraph" w:customStyle="1" w:styleId="tvhtml">
    <w:name w:val="tv_html"/>
    <w:basedOn w:val="Normal"/>
    <w:rsid w:val="008473EF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40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lv-LV"/>
    </w:rPr>
  </w:style>
  <w:style w:type="paragraph" w:styleId="Heading3">
    <w:name w:val="heading 3"/>
    <w:basedOn w:val="Normal"/>
    <w:link w:val="Heading3Char"/>
    <w:uiPriority w:val="9"/>
    <w:unhideWhenUsed/>
    <w:qFormat/>
    <w:rsid w:val="001E4925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4925"/>
    <w:rPr>
      <w:b/>
      <w:bCs/>
      <w:sz w:val="27"/>
      <w:szCs w:val="27"/>
      <w:lang w:eastAsia="lv-LV"/>
    </w:rPr>
  </w:style>
  <w:style w:type="paragraph" w:customStyle="1" w:styleId="naisf">
    <w:name w:val="naisf"/>
    <w:basedOn w:val="Normal"/>
    <w:rsid w:val="001E492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naisnod">
    <w:name w:val="naisnod"/>
    <w:basedOn w:val="Normal"/>
    <w:rsid w:val="001E492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naiskr">
    <w:name w:val="naiskr"/>
    <w:basedOn w:val="Normal"/>
    <w:rsid w:val="001E4925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17DC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A0C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CBC"/>
    <w:rPr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A0C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CBC"/>
    <w:rPr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BC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55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4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4AC"/>
    <w:rPr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4AC"/>
    <w:rPr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9742E7"/>
    <w:rPr>
      <w:color w:val="0000FF" w:themeColor="hyperlink"/>
      <w:u w:val="single"/>
    </w:rPr>
  </w:style>
  <w:style w:type="paragraph" w:customStyle="1" w:styleId="tvhtml">
    <w:name w:val="tv_html"/>
    <w:basedOn w:val="Normal"/>
    <w:rsid w:val="008473EF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A2B1-582A-4975-B00B-64AF98AB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3808</Words>
  <Characters>2171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dzidra.liepina@es2015.lv</dc:creator>
  <cp:lastModifiedBy>Agnese Sencilo</cp:lastModifiedBy>
  <cp:revision>14</cp:revision>
  <dcterms:created xsi:type="dcterms:W3CDTF">2015-05-06T11:14:00Z</dcterms:created>
  <dcterms:modified xsi:type="dcterms:W3CDTF">2015-06-26T06:25:00Z</dcterms:modified>
</cp:coreProperties>
</file>