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Default="003469A0" w:rsidP="003469A0">
      <w:pPr>
        <w:pStyle w:val="BodyText"/>
        <w:jc w:val="center"/>
        <w:rPr>
          <w:rFonts w:eastAsia="Calibri"/>
          <w:b/>
          <w:sz w:val="26"/>
          <w:szCs w:val="26"/>
          <w:lang w:eastAsia="en-US"/>
        </w:rPr>
      </w:pPr>
      <w:bookmarkStart w:id="0" w:name="OLE_LINK3"/>
      <w:bookmarkStart w:id="1" w:name="OLE_LINK1"/>
      <w:bookmarkStart w:id="2" w:name="OLE_LINK2"/>
      <w:r w:rsidRPr="003469A0">
        <w:rPr>
          <w:rFonts w:eastAsia="Calibri"/>
          <w:b/>
          <w:sz w:val="26"/>
          <w:szCs w:val="26"/>
          <w:lang w:eastAsia="en-US"/>
        </w:rPr>
        <w:t>Ministru kabineta noteikumu projekta „Grozījumi Ministru kabineta 2009.gada 12.maija noteikumos Nr.436 „Īstermiņa eksporta kredītu garantēšanas noteikumi”” sākotnējās ietekmes novērtējuma ziņojums (anotācija)</w:t>
      </w:r>
    </w:p>
    <w:p w:rsidR="003469A0" w:rsidRPr="00FB311D" w:rsidRDefault="003469A0"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FB311D"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FB311D" w:rsidRDefault="00EA6CD3" w:rsidP="00CB6AC4">
            <w:pPr>
              <w:ind w:firstLine="720"/>
              <w:jc w:val="center"/>
              <w:rPr>
                <w:rFonts w:eastAsia="Times New Roman"/>
                <w:b/>
                <w:sz w:val="26"/>
                <w:szCs w:val="26"/>
                <w:lang w:val="lv-LV" w:eastAsia="lv-LV"/>
              </w:rPr>
            </w:pPr>
            <w:r w:rsidRPr="00FB311D">
              <w:rPr>
                <w:rFonts w:eastAsia="Times New Roman"/>
                <w:b/>
                <w:sz w:val="26"/>
                <w:szCs w:val="26"/>
                <w:lang w:val="lv-LV" w:eastAsia="lv-LV"/>
              </w:rPr>
              <w:t>I.Tiesību akta projekta izstrādes nepieciešamība</w:t>
            </w:r>
          </w:p>
        </w:tc>
      </w:tr>
      <w:tr w:rsidR="00EA6CD3" w:rsidRPr="00FB311D"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64E60" w:rsidRDefault="00CA0BCB" w:rsidP="006559F5">
            <w:pPr>
              <w:ind w:firstLine="709"/>
              <w:jc w:val="both"/>
              <w:rPr>
                <w:sz w:val="26"/>
                <w:szCs w:val="26"/>
                <w:lang w:val="lv-LV"/>
              </w:rPr>
            </w:pPr>
            <w:r w:rsidRPr="00FB311D">
              <w:rPr>
                <w:sz w:val="26"/>
                <w:szCs w:val="26"/>
                <w:lang w:val="lv-LV"/>
              </w:rPr>
              <w:t>Noteikumu projekts sagatavots, pamatojoties uz</w:t>
            </w:r>
            <w:r w:rsidR="00164E60">
              <w:rPr>
                <w:sz w:val="26"/>
                <w:szCs w:val="26"/>
                <w:lang w:val="lv-LV"/>
              </w:rPr>
              <w:t>:</w:t>
            </w:r>
          </w:p>
          <w:p w:rsidR="00EA6CD3" w:rsidRDefault="00164E60" w:rsidP="00164E60">
            <w:pPr>
              <w:ind w:firstLine="709"/>
              <w:jc w:val="both"/>
              <w:rPr>
                <w:sz w:val="26"/>
                <w:szCs w:val="26"/>
                <w:lang w:val="lv-LV"/>
              </w:rPr>
            </w:pPr>
            <w:r>
              <w:rPr>
                <w:sz w:val="26"/>
                <w:szCs w:val="26"/>
                <w:lang w:val="lv-LV"/>
              </w:rPr>
              <w:t>1)</w:t>
            </w:r>
            <w:r w:rsidR="00CA0BCB" w:rsidRPr="00FB311D">
              <w:rPr>
                <w:sz w:val="26"/>
                <w:szCs w:val="26"/>
                <w:lang w:val="lv-LV"/>
              </w:rPr>
              <w:t xml:space="preserve"> Ministru kabineta iekārtas likuma 31.panta pirmās daļas 3.punktu</w:t>
            </w:r>
            <w:r>
              <w:rPr>
                <w:sz w:val="26"/>
                <w:szCs w:val="26"/>
                <w:lang w:val="lv-LV"/>
              </w:rPr>
              <w:t>;</w:t>
            </w:r>
          </w:p>
          <w:p w:rsidR="00164E60" w:rsidRDefault="00164E60" w:rsidP="00164E60">
            <w:pPr>
              <w:ind w:firstLine="709"/>
              <w:jc w:val="both"/>
              <w:rPr>
                <w:sz w:val="26"/>
                <w:szCs w:val="26"/>
                <w:lang w:val="lv-LV"/>
              </w:rPr>
            </w:pPr>
            <w:r>
              <w:rPr>
                <w:sz w:val="26"/>
                <w:szCs w:val="26"/>
                <w:lang w:val="lv-LV"/>
              </w:rPr>
              <w:t xml:space="preserve">2) </w:t>
            </w:r>
            <w:r w:rsidRPr="00A1351D">
              <w:rPr>
                <w:i/>
                <w:sz w:val="26"/>
                <w:szCs w:val="26"/>
                <w:lang w:val="lv-LV"/>
              </w:rPr>
              <w:t>Euro</w:t>
            </w:r>
            <w:r w:rsidRPr="00164E60">
              <w:rPr>
                <w:sz w:val="26"/>
                <w:szCs w:val="26"/>
                <w:lang w:val="lv-LV"/>
              </w:rPr>
              <w:t xml:space="preserve"> ieviešanas kārtības likuma 30.panta pirmo daļu</w:t>
            </w:r>
            <w:r>
              <w:rPr>
                <w:sz w:val="26"/>
                <w:szCs w:val="26"/>
                <w:lang w:val="lv-LV"/>
              </w:rPr>
              <w:t>;</w:t>
            </w:r>
          </w:p>
          <w:p w:rsidR="00164E60" w:rsidRPr="00FB311D" w:rsidRDefault="00164E60" w:rsidP="00164E60">
            <w:pPr>
              <w:ind w:firstLine="709"/>
              <w:jc w:val="both"/>
              <w:rPr>
                <w:sz w:val="26"/>
                <w:szCs w:val="26"/>
                <w:lang w:val="lv-LV"/>
              </w:rPr>
            </w:pPr>
            <w:r>
              <w:rPr>
                <w:sz w:val="26"/>
                <w:szCs w:val="26"/>
                <w:lang w:val="lv-LV"/>
              </w:rPr>
              <w:t>3)</w:t>
            </w:r>
            <w:r w:rsidRPr="00164E60">
              <w:rPr>
                <w:sz w:val="26"/>
                <w:szCs w:val="26"/>
                <w:lang w:val="lv-LV"/>
              </w:rPr>
              <w:t xml:space="preserve"> Ministru kabineta 2012.gada 27.jūnija rīkojuma Nr.282 „Par „Koncepciju par normatīvo aktu sakārtošanu saistībā ar eiro ieviešanu Latvijā”” 7.1.apakšpunktu.</w:t>
            </w:r>
          </w:p>
        </w:tc>
      </w:tr>
      <w:tr w:rsidR="00EA6CD3" w:rsidRPr="00FB311D"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Pašreizējā situācija un problēmas</w:t>
            </w:r>
            <w:r w:rsidR="00186A4D" w:rsidRPr="00FB311D">
              <w:rPr>
                <w:rFonts w:eastAsia="Times New Roman"/>
                <w:sz w:val="26"/>
                <w:szCs w:val="26"/>
                <w:lang w:val="lv-LV" w:eastAsia="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C5F" w:rsidRDefault="00A229AC" w:rsidP="00271003">
            <w:pPr>
              <w:ind w:firstLine="709"/>
              <w:jc w:val="both"/>
              <w:rPr>
                <w:sz w:val="26"/>
                <w:szCs w:val="26"/>
                <w:lang w:val="lv-LV"/>
              </w:rPr>
            </w:pPr>
            <w:r w:rsidRPr="00FB311D">
              <w:rPr>
                <w:sz w:val="26"/>
                <w:szCs w:val="26"/>
                <w:lang w:val="lv-LV"/>
              </w:rPr>
              <w:t xml:space="preserve">Ministru kabineta </w:t>
            </w:r>
            <w:r w:rsidR="004E6F05" w:rsidRPr="004E6F05">
              <w:rPr>
                <w:sz w:val="26"/>
                <w:szCs w:val="26"/>
                <w:lang w:val="lv-LV"/>
              </w:rPr>
              <w:t>2009.gada 12.maija noteikum</w:t>
            </w:r>
            <w:r w:rsidR="004E6F05">
              <w:rPr>
                <w:sz w:val="26"/>
                <w:szCs w:val="26"/>
                <w:lang w:val="lv-LV"/>
              </w:rPr>
              <w:t xml:space="preserve">i </w:t>
            </w:r>
            <w:r w:rsidR="004E6F05" w:rsidRPr="004E6F05">
              <w:rPr>
                <w:sz w:val="26"/>
                <w:szCs w:val="26"/>
                <w:lang w:val="lv-LV"/>
              </w:rPr>
              <w:t xml:space="preserve">Nr.436 „Īstermiņa eksporta kredītu garantēšanas noteikumi” </w:t>
            </w:r>
            <w:r w:rsidRPr="00FB311D">
              <w:rPr>
                <w:sz w:val="26"/>
                <w:szCs w:val="26"/>
                <w:lang w:val="lv-LV"/>
              </w:rPr>
              <w:t>(turpmāk - MK noteikumi Nr.</w:t>
            </w:r>
            <w:r w:rsidR="004E6F05">
              <w:rPr>
                <w:sz w:val="26"/>
                <w:szCs w:val="26"/>
                <w:lang w:val="lv-LV"/>
              </w:rPr>
              <w:t>436</w:t>
            </w:r>
            <w:r w:rsidRPr="00FB311D">
              <w:rPr>
                <w:sz w:val="26"/>
                <w:szCs w:val="26"/>
                <w:lang w:val="lv-LV"/>
              </w:rPr>
              <w:t xml:space="preserve">) nosaka </w:t>
            </w:r>
            <w:r w:rsidR="004E6F05">
              <w:rPr>
                <w:sz w:val="26"/>
                <w:szCs w:val="26"/>
                <w:lang w:val="lv-LV"/>
              </w:rPr>
              <w:t xml:space="preserve">īstermiņa eksporta </w:t>
            </w:r>
            <w:r w:rsidR="00F30608" w:rsidRPr="00FB311D">
              <w:rPr>
                <w:sz w:val="26"/>
                <w:szCs w:val="26"/>
                <w:lang w:val="lv-LV"/>
              </w:rPr>
              <w:t xml:space="preserve"> </w:t>
            </w:r>
            <w:r w:rsidR="004E6F05">
              <w:rPr>
                <w:sz w:val="26"/>
                <w:szCs w:val="26"/>
                <w:lang w:val="lv-LV"/>
              </w:rPr>
              <w:t xml:space="preserve">kredītu garantiju piešķiršanas nosacījumus </w:t>
            </w:r>
            <w:r w:rsidRPr="00FB311D">
              <w:rPr>
                <w:sz w:val="26"/>
                <w:szCs w:val="26"/>
                <w:lang w:val="lv-LV"/>
              </w:rPr>
              <w:t>saimnieciskās darbības veicēj</w:t>
            </w:r>
            <w:r w:rsidR="004E6F05">
              <w:rPr>
                <w:sz w:val="26"/>
                <w:szCs w:val="26"/>
                <w:lang w:val="lv-LV"/>
              </w:rPr>
              <w:t>iem, lai</w:t>
            </w:r>
            <w:r w:rsidR="004E6F05" w:rsidRPr="004E6F05">
              <w:rPr>
                <w:sz w:val="26"/>
                <w:szCs w:val="26"/>
                <w:lang w:val="lv-LV"/>
              </w:rPr>
              <w:t xml:space="preserve"> atbalstīt</w:t>
            </w:r>
            <w:r w:rsidR="004E6F05">
              <w:rPr>
                <w:sz w:val="26"/>
                <w:szCs w:val="26"/>
                <w:lang w:val="lv-LV"/>
              </w:rPr>
              <w:t>u uz eksportu orientētu</w:t>
            </w:r>
            <w:r w:rsidR="004E6F05" w:rsidRPr="004E6F05">
              <w:rPr>
                <w:sz w:val="26"/>
                <w:szCs w:val="26"/>
                <w:lang w:val="lv-LV"/>
              </w:rPr>
              <w:t xml:space="preserve"> </w:t>
            </w:r>
            <w:r w:rsidR="004E6F05">
              <w:rPr>
                <w:sz w:val="26"/>
                <w:szCs w:val="26"/>
                <w:lang w:val="lv-LV"/>
              </w:rPr>
              <w:t xml:space="preserve">saimnieciskās darbības veicēju attīstību, </w:t>
            </w:r>
            <w:r w:rsidR="004E6F05" w:rsidRPr="004E6F05">
              <w:rPr>
                <w:sz w:val="26"/>
                <w:szCs w:val="26"/>
                <w:lang w:val="lv-LV"/>
              </w:rPr>
              <w:t xml:space="preserve"> sedzot ar </w:t>
            </w:r>
            <w:r w:rsidR="004E6F05">
              <w:rPr>
                <w:sz w:val="26"/>
                <w:szCs w:val="26"/>
                <w:lang w:val="lv-LV"/>
              </w:rPr>
              <w:t xml:space="preserve">īstermiņa </w:t>
            </w:r>
            <w:r w:rsidR="004E6F05" w:rsidRPr="004E6F05">
              <w:rPr>
                <w:sz w:val="26"/>
                <w:szCs w:val="26"/>
                <w:lang w:val="lv-LV"/>
              </w:rPr>
              <w:t xml:space="preserve">eksporta darījumiem saistītos </w:t>
            </w:r>
            <w:r w:rsidR="004E6F05">
              <w:rPr>
                <w:sz w:val="26"/>
                <w:szCs w:val="26"/>
                <w:lang w:val="lv-LV"/>
              </w:rPr>
              <w:t xml:space="preserve">politiskos un ekonomiskos </w:t>
            </w:r>
            <w:r w:rsidR="004E6F05" w:rsidRPr="004E6F05">
              <w:rPr>
                <w:sz w:val="26"/>
                <w:szCs w:val="26"/>
                <w:lang w:val="lv-LV"/>
              </w:rPr>
              <w:t>riskus un kalpojot par nodrošinājumu finansējuma saņemšanai eksporta darījumiem</w:t>
            </w:r>
            <w:r w:rsidR="004E6F05">
              <w:rPr>
                <w:sz w:val="26"/>
                <w:szCs w:val="26"/>
                <w:lang w:val="lv-LV"/>
              </w:rPr>
              <w:t xml:space="preserve"> </w:t>
            </w:r>
            <w:r w:rsidR="00271003">
              <w:rPr>
                <w:sz w:val="26"/>
                <w:szCs w:val="26"/>
                <w:lang w:val="lv-LV"/>
              </w:rPr>
              <w:t xml:space="preserve">ar </w:t>
            </w:r>
            <w:r w:rsidR="004E6F05">
              <w:rPr>
                <w:sz w:val="26"/>
                <w:szCs w:val="26"/>
                <w:lang w:val="lv-LV"/>
              </w:rPr>
              <w:t>atliktā maksājuma period</w:t>
            </w:r>
            <w:r w:rsidR="00271003">
              <w:rPr>
                <w:sz w:val="26"/>
                <w:szCs w:val="26"/>
                <w:lang w:val="lv-LV"/>
              </w:rPr>
              <w:t xml:space="preserve">u </w:t>
            </w:r>
            <w:r w:rsidR="004E6F05">
              <w:rPr>
                <w:sz w:val="26"/>
                <w:szCs w:val="26"/>
                <w:lang w:val="lv-LV"/>
              </w:rPr>
              <w:t xml:space="preserve"> līdz diviem gadiem</w:t>
            </w:r>
            <w:r w:rsidR="004E6F05" w:rsidRPr="004E6F05">
              <w:rPr>
                <w:sz w:val="26"/>
                <w:szCs w:val="26"/>
                <w:lang w:val="lv-LV"/>
              </w:rPr>
              <w:t>.</w:t>
            </w:r>
            <w:r w:rsidR="004E6F05">
              <w:rPr>
                <w:sz w:val="26"/>
                <w:szCs w:val="26"/>
                <w:lang w:val="lv-LV"/>
              </w:rPr>
              <w:t xml:space="preserve"> </w:t>
            </w:r>
          </w:p>
          <w:p w:rsidR="00F30608" w:rsidRDefault="004E6F05" w:rsidP="00271003">
            <w:pPr>
              <w:ind w:firstLine="709"/>
              <w:jc w:val="both"/>
              <w:rPr>
                <w:sz w:val="26"/>
                <w:szCs w:val="26"/>
                <w:lang w:val="lv-LV"/>
              </w:rPr>
            </w:pPr>
            <w:r w:rsidRPr="00FB311D">
              <w:rPr>
                <w:sz w:val="26"/>
                <w:szCs w:val="26"/>
                <w:lang w:val="lv-LV"/>
              </w:rPr>
              <w:t>Ekonomikas ministrijas (turpmāk – EM) 2014.gada 2.</w:t>
            </w:r>
            <w:r>
              <w:rPr>
                <w:sz w:val="26"/>
                <w:szCs w:val="26"/>
                <w:lang w:val="lv-LV"/>
              </w:rPr>
              <w:t xml:space="preserve">pusgadā </w:t>
            </w:r>
            <w:r w:rsidRPr="00FB311D">
              <w:rPr>
                <w:sz w:val="26"/>
                <w:szCs w:val="26"/>
                <w:lang w:val="lv-LV"/>
              </w:rPr>
              <w:t>veikt</w:t>
            </w:r>
            <w:r w:rsidR="00D51C5F">
              <w:rPr>
                <w:sz w:val="26"/>
                <w:szCs w:val="26"/>
                <w:lang w:val="lv-LV"/>
              </w:rPr>
              <w:t>ais</w:t>
            </w:r>
            <w:r w:rsidRPr="00FB311D">
              <w:rPr>
                <w:sz w:val="26"/>
                <w:szCs w:val="26"/>
                <w:lang w:val="lv-LV"/>
              </w:rPr>
              <w:t xml:space="preserve"> tirgus nepilnību </w:t>
            </w:r>
            <w:r w:rsidR="00D51C5F">
              <w:rPr>
                <w:sz w:val="26"/>
                <w:szCs w:val="26"/>
                <w:lang w:val="lv-LV"/>
              </w:rPr>
              <w:t>izvērtējums</w:t>
            </w:r>
            <w:r>
              <w:rPr>
                <w:sz w:val="26"/>
                <w:szCs w:val="26"/>
                <w:lang w:val="lv-LV"/>
              </w:rPr>
              <w:t xml:space="preserve"> </w:t>
            </w:r>
            <w:r w:rsidR="00637793">
              <w:rPr>
                <w:sz w:val="26"/>
                <w:szCs w:val="26"/>
                <w:lang w:val="lv-LV"/>
              </w:rPr>
              <w:t xml:space="preserve">nosaka, ka </w:t>
            </w:r>
            <w:r w:rsidR="00637793" w:rsidRPr="00271003">
              <w:rPr>
                <w:sz w:val="26"/>
                <w:szCs w:val="26"/>
                <w:lang w:val="lv-LV"/>
              </w:rPr>
              <w:t xml:space="preserve">Latvijas tirgū </w:t>
            </w:r>
            <w:r w:rsidR="00637793">
              <w:rPr>
                <w:sz w:val="26"/>
                <w:szCs w:val="26"/>
                <w:lang w:val="lv-LV"/>
              </w:rPr>
              <w:t>privātie apdrošinātāji nepiedāvā saimnieciskās darbības veicējiem apdrošināšanas pakalpojumus eksporta</w:t>
            </w:r>
            <w:r w:rsidR="00637793" w:rsidRPr="00271003">
              <w:rPr>
                <w:sz w:val="26"/>
                <w:szCs w:val="26"/>
                <w:lang w:val="lv-LV"/>
              </w:rPr>
              <w:t xml:space="preserve"> darījumiem </w:t>
            </w:r>
            <w:r w:rsidR="00637793">
              <w:rPr>
                <w:sz w:val="26"/>
                <w:szCs w:val="26"/>
                <w:lang w:val="lv-LV"/>
              </w:rPr>
              <w:t xml:space="preserve">uz augsta riska tirgiem </w:t>
            </w:r>
            <w:r w:rsidR="00637793" w:rsidRPr="00271003">
              <w:rPr>
                <w:sz w:val="26"/>
                <w:szCs w:val="26"/>
                <w:lang w:val="lv-LV"/>
              </w:rPr>
              <w:t xml:space="preserve">ar </w:t>
            </w:r>
            <w:r w:rsidR="00637793">
              <w:rPr>
                <w:sz w:val="26"/>
                <w:szCs w:val="26"/>
                <w:lang w:val="lv-LV"/>
              </w:rPr>
              <w:t xml:space="preserve">kredīta </w:t>
            </w:r>
            <w:r w:rsidR="0041609A">
              <w:rPr>
                <w:sz w:val="26"/>
                <w:szCs w:val="26"/>
                <w:lang w:val="lv-LV"/>
              </w:rPr>
              <w:t>period</w:t>
            </w:r>
            <w:r w:rsidR="0041609A">
              <w:rPr>
                <w:sz w:val="26"/>
                <w:szCs w:val="26"/>
                <w:lang w:val="lv-LV"/>
              </w:rPr>
              <w:t xml:space="preserve">u </w:t>
            </w:r>
            <w:r w:rsidR="00637793">
              <w:rPr>
                <w:sz w:val="26"/>
                <w:szCs w:val="26"/>
                <w:lang w:val="lv-LV"/>
              </w:rPr>
              <w:t>virs</w:t>
            </w:r>
            <w:r w:rsidR="00637793" w:rsidRPr="00271003">
              <w:rPr>
                <w:sz w:val="26"/>
                <w:szCs w:val="26"/>
                <w:lang w:val="lv-LV"/>
              </w:rPr>
              <w:t xml:space="preserve"> 180 dienām</w:t>
            </w:r>
            <w:r w:rsidR="00637793">
              <w:rPr>
                <w:sz w:val="26"/>
                <w:szCs w:val="26"/>
                <w:lang w:val="lv-LV"/>
              </w:rPr>
              <w:t xml:space="preserve">, tādejādi </w:t>
            </w:r>
            <w:r>
              <w:rPr>
                <w:sz w:val="26"/>
                <w:szCs w:val="26"/>
                <w:lang w:val="lv-LV"/>
              </w:rPr>
              <w:t>pamato</w:t>
            </w:r>
            <w:r w:rsidR="00637793">
              <w:rPr>
                <w:sz w:val="26"/>
                <w:szCs w:val="26"/>
                <w:lang w:val="lv-LV"/>
              </w:rPr>
              <w:t>jot</w:t>
            </w:r>
            <w:r>
              <w:rPr>
                <w:sz w:val="26"/>
                <w:szCs w:val="26"/>
                <w:lang w:val="lv-LV"/>
              </w:rPr>
              <w:t xml:space="preserve"> </w:t>
            </w:r>
            <w:r w:rsidR="00D51C5F">
              <w:rPr>
                <w:sz w:val="26"/>
                <w:szCs w:val="26"/>
                <w:lang w:val="lv-LV"/>
              </w:rPr>
              <w:t xml:space="preserve">nepieciešamību arī turpmāk </w:t>
            </w:r>
            <w:r w:rsidR="00637793">
              <w:rPr>
                <w:sz w:val="26"/>
                <w:szCs w:val="26"/>
                <w:lang w:val="lv-LV"/>
              </w:rPr>
              <w:t xml:space="preserve">nodrošināt pieejamību </w:t>
            </w:r>
            <w:r>
              <w:rPr>
                <w:sz w:val="26"/>
                <w:szCs w:val="26"/>
                <w:lang w:val="lv-LV"/>
              </w:rPr>
              <w:t xml:space="preserve">īstermiņa eksporta kredītu </w:t>
            </w:r>
            <w:r w:rsidR="00637793">
              <w:rPr>
                <w:sz w:val="26"/>
                <w:szCs w:val="26"/>
                <w:lang w:val="lv-LV"/>
              </w:rPr>
              <w:t>garantijām MK noteikumu Nr.436 ietvaros.</w:t>
            </w:r>
          </w:p>
          <w:p w:rsidR="0054402D" w:rsidRDefault="00C30704" w:rsidP="006B2536">
            <w:pPr>
              <w:ind w:firstLine="709"/>
              <w:jc w:val="both"/>
              <w:rPr>
                <w:sz w:val="26"/>
                <w:szCs w:val="26"/>
                <w:lang w:val="lv-LV"/>
              </w:rPr>
            </w:pPr>
            <w:r>
              <w:rPr>
                <w:sz w:val="26"/>
                <w:szCs w:val="26"/>
                <w:lang w:val="lv-LV"/>
              </w:rPr>
              <w:t>Īstermiņa eksporta kredīta garantijas</w:t>
            </w:r>
            <w:r w:rsidR="00661782" w:rsidRPr="00FB311D">
              <w:rPr>
                <w:sz w:val="26"/>
                <w:szCs w:val="26"/>
                <w:lang w:val="lv-LV"/>
              </w:rPr>
              <w:t xml:space="preserve"> </w:t>
            </w:r>
            <w:r>
              <w:rPr>
                <w:sz w:val="26"/>
                <w:szCs w:val="26"/>
                <w:lang w:val="lv-LV"/>
              </w:rPr>
              <w:t>tiek finansēt</w:t>
            </w:r>
            <w:r w:rsidR="00637793">
              <w:rPr>
                <w:sz w:val="26"/>
                <w:szCs w:val="26"/>
                <w:lang w:val="lv-LV"/>
              </w:rPr>
              <w:t>a</w:t>
            </w:r>
            <w:r>
              <w:rPr>
                <w:sz w:val="26"/>
                <w:szCs w:val="26"/>
                <w:lang w:val="lv-LV"/>
              </w:rPr>
              <w:t>s</w:t>
            </w:r>
            <w:r w:rsidR="00661782" w:rsidRPr="00FB311D">
              <w:rPr>
                <w:sz w:val="26"/>
                <w:szCs w:val="26"/>
                <w:lang w:val="lv-LV"/>
              </w:rPr>
              <w:t xml:space="preserve"> no </w:t>
            </w:r>
            <w:r w:rsidR="00AE0055" w:rsidRPr="00FB311D">
              <w:rPr>
                <w:sz w:val="26"/>
                <w:szCs w:val="26"/>
                <w:lang w:val="lv-LV"/>
              </w:rPr>
              <w:t xml:space="preserve">2007.-2013.gada plānošanas perioda </w:t>
            </w:r>
            <w:r w:rsidR="00661782" w:rsidRPr="00FB311D">
              <w:rPr>
                <w:sz w:val="26"/>
                <w:szCs w:val="26"/>
                <w:lang w:val="lv-LV"/>
              </w:rPr>
              <w:t xml:space="preserve">Eiropas Reģionālā attīstības fonda finansējuma. </w:t>
            </w:r>
            <w:r w:rsidR="00164E60">
              <w:rPr>
                <w:sz w:val="26"/>
                <w:szCs w:val="26"/>
                <w:lang w:val="lv-LV"/>
              </w:rPr>
              <w:t xml:space="preserve">Komisijas 2006.gada </w:t>
            </w:r>
            <w:r w:rsidR="00164E60" w:rsidRPr="00164E60">
              <w:rPr>
                <w:sz w:val="26"/>
                <w:szCs w:val="26"/>
                <w:lang w:val="lv-LV"/>
              </w:rPr>
              <w:t>8.decembra Regula (EK) Nr.1828/2006</w:t>
            </w:r>
            <w:r w:rsidR="00BD7AE1" w:rsidRPr="00FB311D">
              <w:rPr>
                <w:sz w:val="26"/>
                <w:szCs w:val="26"/>
                <w:lang w:val="lv-LV"/>
              </w:rPr>
              <w:t xml:space="preserve">,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w:t>
            </w:r>
            <w:r w:rsidR="00661782" w:rsidRPr="00FB311D">
              <w:rPr>
                <w:sz w:val="26"/>
                <w:szCs w:val="26"/>
                <w:lang w:val="lv-LV"/>
              </w:rPr>
              <w:t xml:space="preserve">Komisijas </w:t>
            </w:r>
            <w:r w:rsidR="00BD7AE1" w:rsidRPr="00FB311D">
              <w:rPr>
                <w:sz w:val="26"/>
                <w:szCs w:val="26"/>
                <w:lang w:val="lv-LV"/>
              </w:rPr>
              <w:t>Regula Nr.1828/2006)</w:t>
            </w:r>
            <w:r w:rsidR="00672822" w:rsidRPr="00FB311D">
              <w:rPr>
                <w:sz w:val="26"/>
                <w:szCs w:val="26"/>
                <w:lang w:val="lv-LV"/>
              </w:rPr>
              <w:t xml:space="preserve"> </w:t>
            </w:r>
            <w:r w:rsidRPr="00FB311D">
              <w:rPr>
                <w:sz w:val="26"/>
                <w:szCs w:val="26"/>
                <w:lang w:val="lv-LV"/>
              </w:rPr>
              <w:t>45.pants nosaka</w:t>
            </w:r>
            <w:r>
              <w:rPr>
                <w:sz w:val="26"/>
                <w:szCs w:val="26"/>
                <w:lang w:val="lv-LV"/>
              </w:rPr>
              <w:t xml:space="preserve">, </w:t>
            </w:r>
            <w:r w:rsidR="00661782" w:rsidRPr="00FB311D">
              <w:rPr>
                <w:sz w:val="26"/>
                <w:szCs w:val="26"/>
                <w:lang w:val="lv-LV"/>
              </w:rPr>
              <w:t xml:space="preserve">ka </w:t>
            </w:r>
            <w:r w:rsidR="00AE0055" w:rsidRPr="00FB311D">
              <w:rPr>
                <w:sz w:val="26"/>
                <w:szCs w:val="26"/>
                <w:lang w:val="lv-LV"/>
              </w:rPr>
              <w:t xml:space="preserve">finanšu instrumentu ietvaros </w:t>
            </w:r>
            <w:r w:rsidR="00637793">
              <w:rPr>
                <w:sz w:val="26"/>
                <w:szCs w:val="26"/>
                <w:lang w:val="lv-LV"/>
              </w:rPr>
              <w:t>atbalstu</w:t>
            </w:r>
            <w:r w:rsidR="00661782" w:rsidRPr="00FB311D">
              <w:rPr>
                <w:sz w:val="26"/>
                <w:szCs w:val="26"/>
                <w:lang w:val="lv-LV"/>
              </w:rPr>
              <w:t xml:space="preserve"> nedrīkst</w:t>
            </w:r>
            <w:r w:rsidR="00BD7AE1" w:rsidRPr="00FB311D">
              <w:rPr>
                <w:sz w:val="26"/>
                <w:szCs w:val="26"/>
                <w:lang w:val="lv-LV"/>
              </w:rPr>
              <w:t xml:space="preserve"> </w:t>
            </w:r>
            <w:r w:rsidR="00637793">
              <w:rPr>
                <w:sz w:val="26"/>
                <w:szCs w:val="26"/>
                <w:lang w:val="lv-LV"/>
              </w:rPr>
              <w:t>piešķirt</w:t>
            </w:r>
            <w:r w:rsidR="00BD7AE1" w:rsidRPr="00FB311D">
              <w:rPr>
                <w:sz w:val="26"/>
                <w:szCs w:val="26"/>
                <w:lang w:val="lv-LV"/>
              </w:rPr>
              <w:t xml:space="preserve"> grūtībās nonākuš</w:t>
            </w:r>
            <w:r w:rsidR="00637793">
              <w:rPr>
                <w:sz w:val="26"/>
                <w:szCs w:val="26"/>
                <w:lang w:val="lv-LV"/>
              </w:rPr>
              <w:t>iem</w:t>
            </w:r>
            <w:r w:rsidR="00BD7AE1" w:rsidRPr="00FB311D">
              <w:rPr>
                <w:sz w:val="26"/>
                <w:szCs w:val="26"/>
                <w:lang w:val="lv-LV"/>
              </w:rPr>
              <w:t xml:space="preserve"> </w:t>
            </w:r>
            <w:r w:rsidR="00637793">
              <w:rPr>
                <w:sz w:val="26"/>
                <w:szCs w:val="26"/>
                <w:lang w:val="lv-LV"/>
              </w:rPr>
              <w:t>saimnieciskās darbības veicējiem</w:t>
            </w:r>
            <w:r w:rsidR="00661782" w:rsidRPr="00FB311D">
              <w:rPr>
                <w:sz w:val="26"/>
                <w:szCs w:val="26"/>
                <w:lang w:val="lv-LV"/>
              </w:rPr>
              <w:t xml:space="preserve"> saskaņā ar</w:t>
            </w:r>
            <w:r w:rsidR="006B2536">
              <w:rPr>
                <w:sz w:val="26"/>
                <w:szCs w:val="26"/>
                <w:lang w:val="lv-LV"/>
              </w:rPr>
              <w:t xml:space="preserve"> Kopienas 2004.gada 10.oktobra P</w:t>
            </w:r>
            <w:r w:rsidR="00BD7AE1" w:rsidRPr="00FB311D">
              <w:rPr>
                <w:sz w:val="26"/>
                <w:szCs w:val="26"/>
                <w:lang w:val="lv-LV"/>
              </w:rPr>
              <w:t>amatnostādn</w:t>
            </w:r>
            <w:r w:rsidR="00661782" w:rsidRPr="00FB311D">
              <w:rPr>
                <w:sz w:val="26"/>
                <w:szCs w:val="26"/>
                <w:lang w:val="lv-LV"/>
              </w:rPr>
              <w:t>ēm</w:t>
            </w:r>
            <w:r w:rsidR="00BD7AE1" w:rsidRPr="00FB311D">
              <w:rPr>
                <w:sz w:val="26"/>
                <w:szCs w:val="26"/>
                <w:lang w:val="lv-LV"/>
              </w:rPr>
              <w:t xml:space="preserve"> par valsts atbalstu grūtībās nonākušu uzņēmumu glābšanai</w:t>
            </w:r>
            <w:r w:rsidR="00E539B3" w:rsidRPr="00FB311D">
              <w:rPr>
                <w:sz w:val="26"/>
                <w:szCs w:val="26"/>
                <w:lang w:val="lv-LV"/>
              </w:rPr>
              <w:t xml:space="preserve"> (turpmāk –</w:t>
            </w:r>
            <w:r w:rsidR="006B2536">
              <w:rPr>
                <w:sz w:val="26"/>
                <w:szCs w:val="26"/>
                <w:lang w:val="lv-LV"/>
              </w:rPr>
              <w:t xml:space="preserve"> Kopienas </w:t>
            </w:r>
            <w:r w:rsidR="0054402D">
              <w:rPr>
                <w:sz w:val="26"/>
                <w:szCs w:val="26"/>
                <w:lang w:val="lv-LV"/>
              </w:rPr>
              <w:t xml:space="preserve">2004.gada 10.oktobra </w:t>
            </w:r>
            <w:r w:rsidR="006B2536">
              <w:rPr>
                <w:sz w:val="26"/>
                <w:szCs w:val="26"/>
                <w:lang w:val="lv-LV"/>
              </w:rPr>
              <w:t>P</w:t>
            </w:r>
            <w:r w:rsidR="00E539B3" w:rsidRPr="00FB311D">
              <w:rPr>
                <w:sz w:val="26"/>
                <w:szCs w:val="26"/>
                <w:lang w:val="lv-LV"/>
              </w:rPr>
              <w:t>amatnostādnes)</w:t>
            </w:r>
            <w:r w:rsidR="00661782" w:rsidRPr="00FB311D">
              <w:rPr>
                <w:sz w:val="26"/>
                <w:szCs w:val="26"/>
                <w:lang w:val="lv-LV"/>
              </w:rPr>
              <w:t xml:space="preserve">. </w:t>
            </w:r>
            <w:r w:rsidR="006B2536" w:rsidRPr="00637793">
              <w:rPr>
                <w:sz w:val="26"/>
                <w:szCs w:val="26"/>
                <w:lang w:val="lv-LV"/>
              </w:rPr>
              <w:t xml:space="preserve">2014.gada 1.augustā spēkā </w:t>
            </w:r>
            <w:r w:rsidR="006B2536" w:rsidRPr="005316A7">
              <w:rPr>
                <w:sz w:val="26"/>
                <w:szCs w:val="26"/>
                <w:lang w:val="lv-LV"/>
              </w:rPr>
              <w:t xml:space="preserve">stājās Kopienas 2014.gada 31.jūlija </w:t>
            </w:r>
            <w:r w:rsidR="0054402D" w:rsidRPr="0054402D">
              <w:rPr>
                <w:sz w:val="26"/>
                <w:szCs w:val="26"/>
                <w:lang w:val="lv-LV"/>
              </w:rPr>
              <w:t>Pamatnostādnes par valsts atbalstu grūtībās nonākušu nefinanšu uzņēmumu glābšanai un pārstrukturēšanai (OV C 249, 31.7.2014)</w:t>
            </w:r>
            <w:r w:rsidR="006B2536" w:rsidRPr="005316A7">
              <w:rPr>
                <w:sz w:val="26"/>
                <w:szCs w:val="26"/>
                <w:lang w:val="lv-LV"/>
              </w:rPr>
              <w:t xml:space="preserve"> </w:t>
            </w:r>
            <w:r w:rsidR="006B2536" w:rsidRPr="005316A7">
              <w:rPr>
                <w:sz w:val="26"/>
                <w:szCs w:val="26"/>
                <w:lang w:val="lv-LV"/>
              </w:rPr>
              <w:lastRenderedPageBreak/>
              <w:t xml:space="preserve">(pieejamas saitē: http://eur-lex.europa.eu/legal-content/LV/TXT/PDF/?uri=OJ:C:2014:249:FULL&amp;from=EN) </w:t>
            </w:r>
            <w:r w:rsidR="0054402D" w:rsidRPr="0054402D">
              <w:rPr>
                <w:sz w:val="26"/>
                <w:szCs w:val="26"/>
                <w:lang w:val="lv-LV"/>
              </w:rPr>
              <w:t xml:space="preserve"> (turpmāk –</w:t>
            </w:r>
            <w:r w:rsidR="00C033EE">
              <w:rPr>
                <w:sz w:val="26"/>
                <w:szCs w:val="26"/>
                <w:lang w:val="lv-LV"/>
              </w:rPr>
              <w:t xml:space="preserve"> </w:t>
            </w:r>
            <w:r w:rsidR="006B2536" w:rsidRPr="005316A7">
              <w:rPr>
                <w:sz w:val="26"/>
                <w:szCs w:val="26"/>
                <w:lang w:val="lv-LV"/>
              </w:rPr>
              <w:t>Kopienas 2014.gada 31.jūlija P</w:t>
            </w:r>
            <w:r w:rsidR="0054402D" w:rsidRPr="0054402D">
              <w:rPr>
                <w:sz w:val="26"/>
                <w:szCs w:val="26"/>
                <w:lang w:val="lv-LV"/>
              </w:rPr>
              <w:t>amatnostādnes)</w:t>
            </w:r>
            <w:r w:rsidR="00637793">
              <w:rPr>
                <w:sz w:val="26"/>
                <w:szCs w:val="26"/>
                <w:lang w:val="lv-LV"/>
              </w:rPr>
              <w:t xml:space="preserve"> -</w:t>
            </w:r>
            <w:r w:rsidR="0054402D" w:rsidRPr="0054402D">
              <w:rPr>
                <w:sz w:val="26"/>
                <w:szCs w:val="26"/>
                <w:lang w:val="lv-LV"/>
              </w:rPr>
              <w:t>,</w:t>
            </w:r>
            <w:r w:rsidR="006B2536" w:rsidRPr="005316A7">
              <w:rPr>
                <w:sz w:val="26"/>
                <w:szCs w:val="26"/>
                <w:lang w:val="lv-LV"/>
              </w:rPr>
              <w:t xml:space="preserve"> kas aizstāj Kopienas 2004.gada 10.oktobra Pamatnostādnes</w:t>
            </w:r>
            <w:r w:rsidR="00C033EE">
              <w:rPr>
                <w:sz w:val="26"/>
                <w:szCs w:val="26"/>
                <w:lang w:val="lv-LV"/>
              </w:rPr>
              <w:t xml:space="preserve">. </w:t>
            </w:r>
            <w:r w:rsidR="00637793">
              <w:rPr>
                <w:sz w:val="26"/>
                <w:szCs w:val="26"/>
                <w:lang w:val="lv-LV"/>
              </w:rPr>
              <w:t xml:space="preserve">Atbilstoši </w:t>
            </w:r>
            <w:r w:rsidR="006B2536" w:rsidRPr="005316A7">
              <w:rPr>
                <w:sz w:val="26"/>
                <w:szCs w:val="26"/>
                <w:lang w:val="lv-LV"/>
              </w:rPr>
              <w:t>Kopienas 2014.gada 31.jūlija Pamatnost</w:t>
            </w:r>
            <w:r w:rsidR="00637793">
              <w:rPr>
                <w:sz w:val="26"/>
                <w:szCs w:val="26"/>
                <w:lang w:val="lv-LV"/>
              </w:rPr>
              <w:t xml:space="preserve">ādņu 133.punktam dalībvalstīm </w:t>
            </w:r>
            <w:r w:rsidR="006B2536" w:rsidRPr="005316A7">
              <w:rPr>
                <w:sz w:val="26"/>
                <w:szCs w:val="26"/>
                <w:lang w:val="lv-LV"/>
              </w:rPr>
              <w:t xml:space="preserve">līdz 2015. gada 1. februārim </w:t>
            </w:r>
            <w:r w:rsidR="00637793">
              <w:rPr>
                <w:sz w:val="26"/>
                <w:szCs w:val="26"/>
                <w:lang w:val="lv-LV"/>
              </w:rPr>
              <w:t>atbalsta shēmas ir jāpielāgo</w:t>
            </w:r>
            <w:r w:rsidR="006B2536" w:rsidRPr="005316A7">
              <w:rPr>
                <w:sz w:val="26"/>
                <w:szCs w:val="26"/>
                <w:lang w:val="lv-LV"/>
              </w:rPr>
              <w:t xml:space="preserve"> Kopienas 2014.gada 31.jūlija </w:t>
            </w:r>
            <w:r w:rsidR="00C033EE">
              <w:rPr>
                <w:sz w:val="26"/>
                <w:szCs w:val="26"/>
                <w:lang w:val="lv-LV"/>
              </w:rPr>
              <w:t>Pamatnostādnēm.</w:t>
            </w:r>
            <w:r w:rsidR="006B2536" w:rsidRPr="005316A7">
              <w:rPr>
                <w:sz w:val="26"/>
                <w:szCs w:val="26"/>
                <w:lang w:val="lv-LV"/>
              </w:rPr>
              <w:t xml:space="preserve"> </w:t>
            </w:r>
            <w:r w:rsidR="00BF32FA">
              <w:rPr>
                <w:sz w:val="26"/>
                <w:szCs w:val="26"/>
                <w:lang w:val="lv-LV"/>
              </w:rPr>
              <w:t>Ņemot vērā minēto, un</w:t>
            </w:r>
            <w:r w:rsidR="00637793">
              <w:rPr>
                <w:sz w:val="26"/>
                <w:szCs w:val="26"/>
                <w:lang w:val="lv-LV"/>
              </w:rPr>
              <w:t>,</w:t>
            </w:r>
            <w:r w:rsidR="00BF32FA">
              <w:rPr>
                <w:sz w:val="26"/>
                <w:szCs w:val="26"/>
                <w:lang w:val="lv-LV"/>
              </w:rPr>
              <w:t xml:space="preserve"> </w:t>
            </w:r>
            <w:r w:rsidR="00637793">
              <w:rPr>
                <w:sz w:val="26"/>
                <w:szCs w:val="26"/>
                <w:lang w:val="lv-LV"/>
              </w:rPr>
              <w:t>l</w:t>
            </w:r>
            <w:r w:rsidR="006B2536" w:rsidRPr="005316A7">
              <w:rPr>
                <w:sz w:val="26"/>
                <w:szCs w:val="26"/>
                <w:lang w:val="lv-LV"/>
              </w:rPr>
              <w:t>ai nodrošinātu eksporta kredīta garantiju pieejamību saimnieciskās darbības veicējiem pēc 2015.gada 31.janvāra, noteikumu projekts paredz MK noteikumu Nr.4</w:t>
            </w:r>
            <w:r w:rsidR="00BF32FA">
              <w:rPr>
                <w:sz w:val="26"/>
                <w:szCs w:val="26"/>
                <w:lang w:val="lv-LV"/>
              </w:rPr>
              <w:t>36</w:t>
            </w:r>
            <w:r w:rsidR="006B2536" w:rsidRPr="005316A7">
              <w:rPr>
                <w:sz w:val="26"/>
                <w:szCs w:val="26"/>
                <w:lang w:val="lv-LV"/>
              </w:rPr>
              <w:t xml:space="preserve"> </w:t>
            </w:r>
            <w:r w:rsidR="00C033EE">
              <w:rPr>
                <w:sz w:val="26"/>
                <w:szCs w:val="26"/>
                <w:lang w:val="lv-LV"/>
              </w:rPr>
              <w:t>grūtībās nonākuša uzņēmuma definīciju</w:t>
            </w:r>
            <w:r w:rsidR="006B2536" w:rsidRPr="005316A7">
              <w:rPr>
                <w:sz w:val="26"/>
                <w:szCs w:val="26"/>
                <w:lang w:val="lv-LV"/>
              </w:rPr>
              <w:t xml:space="preserve"> </w:t>
            </w:r>
            <w:r w:rsidR="00637793">
              <w:rPr>
                <w:sz w:val="26"/>
                <w:szCs w:val="26"/>
                <w:lang w:val="lv-LV"/>
              </w:rPr>
              <w:t xml:space="preserve">pielāgot </w:t>
            </w:r>
            <w:r w:rsidR="006B2536" w:rsidRPr="005316A7">
              <w:rPr>
                <w:sz w:val="26"/>
                <w:szCs w:val="26"/>
                <w:lang w:val="lv-LV"/>
              </w:rPr>
              <w:t>Kopienas 2014.gada 31.jūlija Pamatnostādnē</w:t>
            </w:r>
            <w:r w:rsidR="00C033EE">
              <w:rPr>
                <w:sz w:val="26"/>
                <w:szCs w:val="26"/>
                <w:lang w:val="lv-LV"/>
              </w:rPr>
              <w:t>m.</w:t>
            </w:r>
            <w:r w:rsidR="00BA1CB7">
              <w:rPr>
                <w:sz w:val="26"/>
                <w:szCs w:val="26"/>
                <w:lang w:val="lv-LV"/>
              </w:rPr>
              <w:t xml:space="preserve"> </w:t>
            </w:r>
          </w:p>
          <w:p w:rsidR="00857F7B" w:rsidRPr="0041609A" w:rsidRDefault="00D7230F" w:rsidP="00AC1819">
            <w:pPr>
              <w:ind w:firstLine="709"/>
              <w:jc w:val="both"/>
              <w:rPr>
                <w:sz w:val="26"/>
                <w:szCs w:val="26"/>
                <w:lang w:val="lv-LV"/>
              </w:rPr>
            </w:pPr>
            <w:r w:rsidRPr="0041609A">
              <w:rPr>
                <w:sz w:val="26"/>
                <w:szCs w:val="26"/>
                <w:lang w:val="lv-LV"/>
              </w:rPr>
              <w:t xml:space="preserve">MK noteikumu Nr.436 ietvaros līdzšinēji nav </w:t>
            </w:r>
            <w:r w:rsidR="00AC1819" w:rsidRPr="0041609A">
              <w:rPr>
                <w:sz w:val="26"/>
                <w:szCs w:val="26"/>
                <w:lang w:val="lv-LV"/>
              </w:rPr>
              <w:t xml:space="preserve">iestrādāta </w:t>
            </w:r>
            <w:r w:rsidRPr="0041609A">
              <w:rPr>
                <w:sz w:val="26"/>
                <w:szCs w:val="26"/>
                <w:lang w:val="lv-LV"/>
              </w:rPr>
              <w:t xml:space="preserve">norma, kas </w:t>
            </w:r>
            <w:r w:rsidR="006531FE" w:rsidRPr="0041609A">
              <w:rPr>
                <w:sz w:val="26"/>
                <w:szCs w:val="26"/>
                <w:lang w:val="lv-LV"/>
              </w:rPr>
              <w:t>ietvertu sīka (mikro), maza, vidēja un liela komersanta un lauksaimniecības pakalpojumu kooperatīvās sabiedrības apzīmējumu</w:t>
            </w:r>
            <w:r w:rsidR="00BA1CB7" w:rsidRPr="0041609A">
              <w:rPr>
                <w:sz w:val="26"/>
                <w:szCs w:val="26"/>
                <w:lang w:val="lv-LV"/>
              </w:rPr>
              <w:t xml:space="preserve">. Ņemot vērā, ka noteikumu projekts paredz grūtībās nonākuša </w:t>
            </w:r>
            <w:r w:rsidR="00730DDA" w:rsidRPr="0041609A">
              <w:rPr>
                <w:sz w:val="26"/>
                <w:szCs w:val="26"/>
                <w:lang w:val="lv-LV"/>
              </w:rPr>
              <w:t>garantijas ņēmēja</w:t>
            </w:r>
            <w:r w:rsidR="00BA1CB7" w:rsidRPr="0041609A">
              <w:rPr>
                <w:sz w:val="26"/>
                <w:szCs w:val="26"/>
                <w:lang w:val="lv-LV"/>
              </w:rPr>
              <w:t xml:space="preserve"> definīciju pielāgot Kopienas 2014.gada 31.jūlija Pamatnostādnēm, </w:t>
            </w:r>
            <w:r w:rsidR="008D67EB" w:rsidRPr="0041609A">
              <w:rPr>
                <w:sz w:val="26"/>
                <w:szCs w:val="26"/>
                <w:lang w:val="lv-LV"/>
              </w:rPr>
              <w:t>attiecīgi paredz atsevišķus nosacījumus</w:t>
            </w:r>
            <w:r w:rsidR="00BA1CB7" w:rsidRPr="0041609A">
              <w:rPr>
                <w:sz w:val="26"/>
                <w:szCs w:val="26"/>
                <w:lang w:val="lv-LV"/>
              </w:rPr>
              <w:t xml:space="preserve"> liela komersanta un lauksaimniecības pakalpojumu kooperatīvās sabiedrības </w:t>
            </w:r>
            <w:r w:rsidR="008D67EB" w:rsidRPr="0041609A">
              <w:rPr>
                <w:sz w:val="26"/>
                <w:szCs w:val="26"/>
                <w:lang w:val="lv-LV"/>
              </w:rPr>
              <w:t>gadījumā</w:t>
            </w:r>
            <w:r w:rsidR="00CE4A24" w:rsidRPr="0041609A">
              <w:rPr>
                <w:sz w:val="26"/>
                <w:szCs w:val="26"/>
                <w:lang w:val="lv-LV"/>
              </w:rPr>
              <w:t xml:space="preserve">, </w:t>
            </w:r>
            <w:r w:rsidR="00730DDA" w:rsidRPr="0041609A">
              <w:rPr>
                <w:sz w:val="26"/>
                <w:szCs w:val="26"/>
                <w:lang w:val="lv-LV"/>
              </w:rPr>
              <w:t>lai nodrošinātu, ka 2014.gada 31.jūlija Pamatnostādņu 20.punkta (d) apakšpunktā minēt</w:t>
            </w:r>
            <w:r w:rsidR="00411733" w:rsidRPr="0041609A">
              <w:rPr>
                <w:sz w:val="26"/>
                <w:szCs w:val="26"/>
                <w:lang w:val="lv-LV"/>
              </w:rPr>
              <w:t xml:space="preserve">ais nosacījums ir  </w:t>
            </w:r>
            <w:r w:rsidR="00730DDA" w:rsidRPr="0041609A">
              <w:rPr>
                <w:sz w:val="26"/>
                <w:szCs w:val="26"/>
                <w:lang w:val="lv-LV"/>
              </w:rPr>
              <w:t>piemērojams</w:t>
            </w:r>
            <w:r w:rsidR="00411733" w:rsidRPr="0041609A">
              <w:rPr>
                <w:sz w:val="26"/>
                <w:szCs w:val="26"/>
                <w:lang w:val="lv-LV"/>
              </w:rPr>
              <w:t xml:space="preserve"> un attiecināms uz lieliem komersantiem un lauksaimniecības </w:t>
            </w:r>
            <w:r w:rsidR="00BD220F" w:rsidRPr="0041609A">
              <w:rPr>
                <w:sz w:val="26"/>
                <w:szCs w:val="26"/>
                <w:lang w:val="lv-LV"/>
              </w:rPr>
              <w:t xml:space="preserve">pakalpojumu kooperatīvajām sabiedrībām, noteikumu projekts paredz </w:t>
            </w:r>
            <w:r w:rsidR="006531FE" w:rsidRPr="0041609A">
              <w:rPr>
                <w:sz w:val="26"/>
                <w:szCs w:val="26"/>
                <w:lang w:val="lv-LV"/>
              </w:rPr>
              <w:t>komersantu un lauksaimniecības pakalpojumu kooperatīvo sabiedrību klasifikācij</w:t>
            </w:r>
            <w:r w:rsidR="00730DDA" w:rsidRPr="0041609A">
              <w:rPr>
                <w:sz w:val="26"/>
                <w:szCs w:val="26"/>
                <w:lang w:val="lv-LV"/>
              </w:rPr>
              <w:t>u</w:t>
            </w:r>
            <w:r w:rsidR="006531FE" w:rsidRPr="0041609A">
              <w:rPr>
                <w:sz w:val="26"/>
                <w:szCs w:val="26"/>
                <w:lang w:val="lv-LV"/>
              </w:rPr>
              <w:t xml:space="preserve"> </w:t>
            </w:r>
            <w:r w:rsidR="00BD0970" w:rsidRPr="0041609A">
              <w:rPr>
                <w:sz w:val="26"/>
                <w:szCs w:val="26"/>
                <w:lang w:val="lv-LV"/>
              </w:rPr>
              <w:t xml:space="preserve">noteikt </w:t>
            </w:r>
            <w:r w:rsidR="00BD220F" w:rsidRPr="0041609A">
              <w:rPr>
                <w:sz w:val="26"/>
                <w:szCs w:val="26"/>
                <w:lang w:val="lv-LV"/>
              </w:rPr>
              <w:t>atbilstoši Komisijas 2014.gada 17.jūnija Regulas (ES) Nr.651/2014, ar ko noteiktas atbalsta kategorijas atzīst par saderīgām ar iekšējo tirgu, piemērojot Līguma 107. un 108. pantu (vispārējā grupu atbrīvojuma regula) (Eiropas Savienības Oficiālais Vēstnesis, 2014. gada 26. jūnijs, L 187) (turpmāk – Komisijas Regula Nr.651/2014) 1.pielikumā minētajām definīcijām</w:t>
            </w:r>
            <w:r w:rsidR="00BD0970" w:rsidRPr="0041609A">
              <w:rPr>
                <w:sz w:val="26"/>
                <w:szCs w:val="26"/>
                <w:lang w:val="lv-LV"/>
              </w:rPr>
              <w:t xml:space="preserve">. </w:t>
            </w:r>
          </w:p>
          <w:p w:rsidR="005316A7" w:rsidRDefault="00C033EE" w:rsidP="005316A7">
            <w:pPr>
              <w:ind w:firstLine="709"/>
              <w:jc w:val="both"/>
              <w:rPr>
                <w:sz w:val="26"/>
                <w:szCs w:val="26"/>
                <w:lang w:val="lv-LV"/>
              </w:rPr>
            </w:pPr>
            <w:r>
              <w:rPr>
                <w:sz w:val="26"/>
                <w:szCs w:val="26"/>
                <w:lang w:val="lv-LV"/>
              </w:rPr>
              <w:t>P</w:t>
            </w:r>
            <w:r w:rsidRPr="005316A7">
              <w:rPr>
                <w:sz w:val="26"/>
                <w:szCs w:val="26"/>
                <w:lang w:val="lv-LV"/>
              </w:rPr>
              <w:t xml:space="preserve">amatojoties uz </w:t>
            </w:r>
            <w:proofErr w:type="spellStart"/>
            <w:r w:rsidRPr="00B87819">
              <w:rPr>
                <w:i/>
                <w:sz w:val="26"/>
                <w:szCs w:val="26"/>
                <w:lang w:val="lv-LV"/>
              </w:rPr>
              <w:t>Euro</w:t>
            </w:r>
            <w:proofErr w:type="spellEnd"/>
            <w:r w:rsidRPr="005316A7">
              <w:rPr>
                <w:sz w:val="26"/>
                <w:szCs w:val="26"/>
                <w:lang w:val="lv-LV"/>
              </w:rPr>
              <w:t xml:space="preserve"> ieviešanas kārtības likuma 30.panta </w:t>
            </w:r>
            <w:r>
              <w:rPr>
                <w:sz w:val="26"/>
                <w:szCs w:val="26"/>
                <w:lang w:val="lv-LV"/>
              </w:rPr>
              <w:t>pirmo daļu</w:t>
            </w:r>
            <w:r w:rsidRPr="005316A7">
              <w:rPr>
                <w:sz w:val="26"/>
                <w:szCs w:val="26"/>
                <w:lang w:val="lv-LV"/>
              </w:rPr>
              <w:t xml:space="preserve"> un Ministru kabineta 2012.gada 27.jūnija rīkojuma Nr.282 „Par „Koncepciju par normatīvo aktu sakārtošanu saistībā ar eiro ieviešanu Latvijā”” 7.1.apakšpunktu</w:t>
            </w:r>
            <w:r>
              <w:rPr>
                <w:sz w:val="26"/>
                <w:szCs w:val="26"/>
                <w:lang w:val="lv-LV"/>
              </w:rPr>
              <w:t>, n</w:t>
            </w:r>
            <w:r w:rsidR="006B2536">
              <w:rPr>
                <w:sz w:val="26"/>
                <w:szCs w:val="26"/>
                <w:lang w:val="lv-LV"/>
              </w:rPr>
              <w:t xml:space="preserve">oteikumu projekts paredz </w:t>
            </w:r>
            <w:r>
              <w:rPr>
                <w:sz w:val="26"/>
                <w:szCs w:val="26"/>
                <w:lang w:val="lv-LV"/>
              </w:rPr>
              <w:t xml:space="preserve">pielāgot MK noteikumus Nr.436 </w:t>
            </w:r>
            <w:proofErr w:type="spellStart"/>
            <w:r w:rsidRPr="00C033EE">
              <w:rPr>
                <w:i/>
                <w:sz w:val="26"/>
                <w:szCs w:val="26"/>
                <w:lang w:val="lv-LV"/>
              </w:rPr>
              <w:t>euro</w:t>
            </w:r>
            <w:proofErr w:type="spellEnd"/>
            <w:r>
              <w:rPr>
                <w:sz w:val="26"/>
                <w:szCs w:val="26"/>
                <w:lang w:val="lv-LV"/>
              </w:rPr>
              <w:t xml:space="preserve"> ieviešanai</w:t>
            </w:r>
            <w:r w:rsidR="005316A7">
              <w:rPr>
                <w:sz w:val="26"/>
                <w:szCs w:val="26"/>
                <w:lang w:val="lv-LV"/>
              </w:rPr>
              <w:t xml:space="preserve">, </w:t>
            </w:r>
            <w:r>
              <w:rPr>
                <w:sz w:val="26"/>
                <w:szCs w:val="26"/>
                <w:lang w:val="lv-LV"/>
              </w:rPr>
              <w:t xml:space="preserve">svītrojot atsauci </w:t>
            </w:r>
            <w:r w:rsidR="005316A7">
              <w:rPr>
                <w:sz w:val="26"/>
                <w:szCs w:val="26"/>
                <w:lang w:val="lv-LV"/>
              </w:rPr>
              <w:t xml:space="preserve"> uz atbalsta subsīdijas ekvivalenta noteikšanu latos</w:t>
            </w:r>
            <w:r>
              <w:rPr>
                <w:sz w:val="26"/>
                <w:szCs w:val="26"/>
                <w:lang w:val="lv-LV"/>
              </w:rPr>
              <w:t>.</w:t>
            </w:r>
            <w:r w:rsidR="005316A7">
              <w:rPr>
                <w:sz w:val="26"/>
                <w:szCs w:val="26"/>
                <w:lang w:val="lv-LV"/>
              </w:rPr>
              <w:t xml:space="preserve"> </w:t>
            </w:r>
          </w:p>
          <w:p w:rsidR="00D455A4" w:rsidRPr="00FB311D" w:rsidRDefault="00405C2D" w:rsidP="0041609A">
            <w:pPr>
              <w:ind w:firstLine="708"/>
              <w:jc w:val="both"/>
              <w:rPr>
                <w:sz w:val="26"/>
                <w:szCs w:val="26"/>
                <w:lang w:val="lv-LV"/>
              </w:rPr>
            </w:pPr>
            <w:r>
              <w:rPr>
                <w:sz w:val="26"/>
                <w:szCs w:val="26"/>
                <w:lang w:val="lv-LV"/>
              </w:rPr>
              <w:t>Lai neizlēgtu iespēju, ka ārvalstu debitors ir individuālais komersants, tiek precizēta līdzšinējā 18.7.apakšpunkta redakcija, nosakot, ka garantiju nepiešķirt tikai tādos gadījumos, ja ārvalstu debitors ir fiziska persona, kas  nav reģistrēta attiecīgās valsts komercreģistrā.</w:t>
            </w:r>
          </w:p>
        </w:tc>
      </w:tr>
      <w:tr w:rsidR="00EA6CD3" w:rsidRPr="00FB311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255BAC" w:rsidP="00CB6AC4">
            <w:pPr>
              <w:jc w:val="both"/>
              <w:rPr>
                <w:rFonts w:eastAsia="Times New Roman"/>
                <w:sz w:val="26"/>
                <w:szCs w:val="26"/>
                <w:lang w:val="lv-LV" w:eastAsia="lv-LV"/>
              </w:rPr>
            </w:pPr>
            <w:r w:rsidRPr="00FB311D">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C033EE" w:rsidP="00CB6AC4">
            <w:pPr>
              <w:ind w:firstLine="720"/>
              <w:jc w:val="both"/>
              <w:rPr>
                <w:bCs/>
                <w:sz w:val="26"/>
                <w:szCs w:val="26"/>
                <w:lang w:val="lv-LV"/>
              </w:rPr>
            </w:pPr>
            <w:r>
              <w:rPr>
                <w:iCs/>
                <w:sz w:val="26"/>
                <w:szCs w:val="26"/>
                <w:lang w:val="lv-LV"/>
              </w:rPr>
              <w:t>Sabiedrība ar ierobežotu atbildību „</w:t>
            </w:r>
            <w:r w:rsidR="00B868AD" w:rsidRPr="00FB311D">
              <w:rPr>
                <w:iCs/>
                <w:sz w:val="26"/>
                <w:szCs w:val="26"/>
                <w:lang w:val="lv-LV"/>
              </w:rPr>
              <w:t>Latvijas Garantiju aģentūra</w:t>
            </w:r>
            <w:r>
              <w:rPr>
                <w:color w:val="000000"/>
                <w:sz w:val="26"/>
                <w:szCs w:val="26"/>
                <w:lang w:val="lv-LV"/>
              </w:rPr>
              <w:t>” (turpmāk – LGA).</w:t>
            </w:r>
          </w:p>
        </w:tc>
      </w:tr>
      <w:tr w:rsidR="00B300C7" w:rsidRPr="00FB311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FB311D" w:rsidRDefault="00B300C7" w:rsidP="00CB6AC4">
            <w:pPr>
              <w:jc w:val="both"/>
              <w:rPr>
                <w:rFonts w:eastAsia="Times New Roman"/>
                <w:sz w:val="26"/>
                <w:szCs w:val="26"/>
                <w:lang w:val="lv-LV" w:eastAsia="lv-LV"/>
              </w:rPr>
            </w:pPr>
            <w:r w:rsidRPr="00FB311D">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FB311D" w:rsidRDefault="00B300C7" w:rsidP="00CB6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FB311D" w:rsidRDefault="00B300C7" w:rsidP="00CB6AC4">
            <w:pPr>
              <w:ind w:firstLine="720"/>
              <w:jc w:val="both"/>
              <w:rPr>
                <w:iCs/>
                <w:sz w:val="26"/>
                <w:szCs w:val="26"/>
                <w:lang w:val="lv-LV"/>
              </w:rPr>
            </w:pPr>
            <w:r w:rsidRPr="00FB311D">
              <w:rPr>
                <w:iCs/>
                <w:sz w:val="26"/>
                <w:szCs w:val="26"/>
                <w:lang w:val="lv-LV"/>
              </w:rPr>
              <w:t>Nav</w:t>
            </w:r>
          </w:p>
        </w:tc>
      </w:tr>
    </w:tbl>
    <w:p w:rsidR="00EA6CD3" w:rsidRPr="00FB311D" w:rsidRDefault="00EA6CD3" w:rsidP="00EA6CD3">
      <w:pPr>
        <w:jc w:val="both"/>
        <w:rPr>
          <w:rFonts w:eastAsia="Times New Roman"/>
          <w:sz w:val="26"/>
          <w:szCs w:val="26"/>
          <w:lang w:val="lv-LV" w:eastAsia="lv-LV"/>
        </w:rPr>
        <w:sectPr w:rsidR="00EA6CD3" w:rsidRPr="00FB311D" w:rsidSect="00CB6AC4">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ED4255" w:rsidRPr="00FB311D" w:rsidRDefault="00ED4255" w:rsidP="00A23E8B">
      <w:pPr>
        <w:pStyle w:val="naisf"/>
        <w:spacing w:before="0" w:after="0"/>
        <w:ind w:firstLine="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FB311D"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ind w:firstLine="720"/>
              <w:jc w:val="center"/>
              <w:rPr>
                <w:rFonts w:eastAsia="Times New Roman"/>
                <w:b/>
                <w:sz w:val="26"/>
                <w:szCs w:val="26"/>
                <w:lang w:val="lv-LV" w:eastAsia="lv-LV"/>
              </w:rPr>
            </w:pPr>
            <w:r w:rsidRPr="00FB311D">
              <w:rPr>
                <w:rFonts w:eastAsia="Times New Roman"/>
                <w:b/>
                <w:sz w:val="26"/>
                <w:szCs w:val="26"/>
                <w:lang w:val="lv-LV" w:eastAsia="lv-LV"/>
              </w:rPr>
              <w:t>II. Tiesību akta projekta ietekme uz sabiedrību</w:t>
            </w:r>
            <w:r w:rsidR="00255BAC" w:rsidRPr="00FB311D">
              <w:rPr>
                <w:rFonts w:eastAsia="Times New Roman"/>
                <w:b/>
                <w:sz w:val="26"/>
                <w:szCs w:val="26"/>
                <w:lang w:val="lv-LV" w:eastAsia="lv-LV"/>
              </w:rPr>
              <w:t>, tautsaimniecības attīstību un administratīvo slogu</w:t>
            </w:r>
          </w:p>
        </w:tc>
      </w:tr>
      <w:tr w:rsidR="00EA6CD3" w:rsidRPr="00FB311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Sabiedrības mērķgrupa</w:t>
            </w:r>
            <w:r w:rsidR="00255BAC" w:rsidRPr="00FB311D">
              <w:rPr>
                <w:rFonts w:eastAsia="Times New Roman"/>
                <w:sz w:val="26"/>
                <w:szCs w:val="26"/>
                <w:lang w:val="lv-LV" w:eastAsia="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646A6F" w:rsidP="00E7567F">
            <w:pPr>
              <w:ind w:firstLine="720"/>
              <w:jc w:val="both"/>
              <w:rPr>
                <w:sz w:val="26"/>
                <w:szCs w:val="26"/>
                <w:lang w:val="lv-LV"/>
              </w:rPr>
            </w:pPr>
            <w:r w:rsidRPr="00FB311D">
              <w:rPr>
                <w:sz w:val="26"/>
                <w:szCs w:val="26"/>
                <w:lang w:val="lv-LV"/>
              </w:rPr>
              <w:t>Latvijā reģistrēti saimnieciskās darbības veicēji</w:t>
            </w:r>
            <w:r w:rsidR="00C033EE">
              <w:rPr>
                <w:sz w:val="26"/>
                <w:szCs w:val="26"/>
                <w:lang w:val="lv-LV"/>
              </w:rPr>
              <w:t>.</w:t>
            </w:r>
          </w:p>
        </w:tc>
      </w:tr>
      <w:tr w:rsidR="00EA6CD3" w:rsidRPr="00FB311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255BAC" w:rsidP="00CB6AC4">
            <w:pPr>
              <w:jc w:val="both"/>
              <w:rPr>
                <w:rFonts w:eastAsia="Times New Roman"/>
                <w:sz w:val="26"/>
                <w:szCs w:val="26"/>
                <w:lang w:val="lv-LV" w:eastAsia="lv-LV"/>
              </w:rPr>
            </w:pPr>
            <w:r w:rsidRPr="00FB311D">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7567F" w:rsidP="00A23E8B">
            <w:pPr>
              <w:pStyle w:val="BodyText"/>
              <w:ind w:right="142" w:firstLine="720"/>
              <w:rPr>
                <w:iCs/>
                <w:sz w:val="26"/>
                <w:szCs w:val="26"/>
              </w:rPr>
            </w:pPr>
            <w:r w:rsidRPr="00FB311D">
              <w:rPr>
                <w:iCs/>
                <w:sz w:val="26"/>
                <w:szCs w:val="26"/>
              </w:rPr>
              <w:t>Noteikumu projekts neparedz ietekmi uz administratīvo slogu.</w:t>
            </w:r>
          </w:p>
          <w:p w:rsidR="00E7567F" w:rsidRPr="00FB311D" w:rsidRDefault="00E7567F" w:rsidP="00C033EE">
            <w:pPr>
              <w:pStyle w:val="BodyText"/>
              <w:ind w:right="142" w:firstLine="720"/>
              <w:rPr>
                <w:iCs/>
                <w:sz w:val="26"/>
                <w:szCs w:val="26"/>
              </w:rPr>
            </w:pPr>
            <w:r w:rsidRPr="00FB311D">
              <w:rPr>
                <w:iCs/>
                <w:sz w:val="26"/>
                <w:szCs w:val="26"/>
              </w:rPr>
              <w:t xml:space="preserve">Noteikumu projekts sniedz ieguldījumu tautsaimniecībā, nodrošinot </w:t>
            </w:r>
            <w:r w:rsidR="00DD3CA0">
              <w:rPr>
                <w:iCs/>
                <w:sz w:val="26"/>
                <w:szCs w:val="26"/>
              </w:rPr>
              <w:t xml:space="preserve">eksporta kredīta garantiju </w:t>
            </w:r>
            <w:r w:rsidRPr="00FB311D">
              <w:rPr>
                <w:iCs/>
                <w:sz w:val="26"/>
                <w:szCs w:val="26"/>
              </w:rPr>
              <w:t>pieejamību saimnieciskās darbības veicējiem</w:t>
            </w:r>
            <w:r w:rsidR="00DD3CA0">
              <w:rPr>
                <w:iCs/>
                <w:sz w:val="26"/>
                <w:szCs w:val="26"/>
              </w:rPr>
              <w:t xml:space="preserve"> pēc 2015.gada 31.janvāra.</w:t>
            </w:r>
            <w:r w:rsidRPr="00FB311D">
              <w:rPr>
                <w:iCs/>
                <w:sz w:val="26"/>
                <w:szCs w:val="26"/>
              </w:rPr>
              <w:t xml:space="preserve"> </w:t>
            </w:r>
          </w:p>
        </w:tc>
      </w:tr>
      <w:tr w:rsidR="00EA6CD3" w:rsidRPr="00FB311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255BAC" w:rsidP="00CB6AC4">
            <w:pPr>
              <w:jc w:val="both"/>
              <w:rPr>
                <w:rFonts w:eastAsia="Times New Roman"/>
                <w:sz w:val="26"/>
                <w:szCs w:val="26"/>
                <w:lang w:val="lv-LV" w:eastAsia="lv-LV"/>
              </w:rPr>
            </w:pPr>
            <w:r w:rsidRPr="00FB311D">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FB311D" w:rsidRDefault="00255BAC" w:rsidP="001D0800">
            <w:pPr>
              <w:pStyle w:val="BodyText"/>
              <w:ind w:right="142" w:firstLine="720"/>
              <w:rPr>
                <w:sz w:val="26"/>
                <w:szCs w:val="26"/>
              </w:rPr>
            </w:pPr>
            <w:r w:rsidRPr="00FB311D">
              <w:rPr>
                <w:sz w:val="26"/>
                <w:szCs w:val="26"/>
              </w:rPr>
              <w:t>Projekts šo jomu neskar</w:t>
            </w:r>
          </w:p>
        </w:tc>
      </w:tr>
      <w:tr w:rsidR="00EA6CD3" w:rsidRPr="00FB311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2A0BC1" w:rsidP="00CB6AC4">
            <w:pPr>
              <w:jc w:val="both"/>
              <w:rPr>
                <w:rFonts w:eastAsia="Times New Roman"/>
                <w:sz w:val="26"/>
                <w:szCs w:val="26"/>
                <w:lang w:val="lv-LV" w:eastAsia="lv-LV"/>
              </w:rPr>
            </w:pPr>
            <w:r w:rsidRPr="00FB311D">
              <w:rPr>
                <w:rFonts w:eastAsia="Times New Roman"/>
                <w:sz w:val="26"/>
                <w:szCs w:val="26"/>
                <w:lang w:val="lv-LV" w:eastAsia="lv-LV"/>
              </w:rPr>
              <w:t>4</w:t>
            </w:r>
            <w:r w:rsidR="00EA6CD3" w:rsidRPr="00FB311D">
              <w:rPr>
                <w:rFonts w:eastAsia="Times New Roman"/>
                <w:sz w:val="26"/>
                <w:szCs w:val="26"/>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B300C7" w:rsidP="00CB6AC4">
            <w:pPr>
              <w:ind w:firstLine="720"/>
              <w:jc w:val="both"/>
              <w:rPr>
                <w:rFonts w:eastAsia="Times New Roman"/>
                <w:sz w:val="26"/>
                <w:szCs w:val="26"/>
                <w:lang w:val="lv-LV" w:eastAsia="lv-LV"/>
              </w:rPr>
            </w:pPr>
            <w:r w:rsidRPr="00FB311D">
              <w:rPr>
                <w:rFonts w:eastAsia="Times New Roman"/>
                <w:sz w:val="26"/>
                <w:szCs w:val="26"/>
                <w:lang w:val="lv-LV" w:eastAsia="lv-LV"/>
              </w:rPr>
              <w:t>Nav</w:t>
            </w:r>
          </w:p>
        </w:tc>
      </w:tr>
    </w:tbl>
    <w:p w:rsidR="00C7251E" w:rsidRPr="00FB311D" w:rsidRDefault="00C7251E">
      <w:pPr>
        <w:rPr>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FB311D"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ind w:firstLine="720"/>
              <w:jc w:val="both"/>
              <w:rPr>
                <w:rFonts w:eastAsia="Times New Roman"/>
                <w:b/>
                <w:sz w:val="26"/>
                <w:szCs w:val="26"/>
                <w:lang w:val="lv-LV" w:eastAsia="lv-LV"/>
              </w:rPr>
            </w:pPr>
            <w:r w:rsidRPr="00FB311D">
              <w:rPr>
                <w:rFonts w:eastAsia="Times New Roman"/>
                <w:b/>
                <w:sz w:val="26"/>
                <w:szCs w:val="26"/>
                <w:lang w:val="lv-LV" w:eastAsia="lv-LV"/>
              </w:rPr>
              <w:t>IV. Tiesību akta projekta ietekme uz spēkā esošo tiesību normu sistēmu</w:t>
            </w:r>
          </w:p>
        </w:tc>
      </w:tr>
      <w:tr w:rsidR="00EA6CD3" w:rsidRPr="00FB311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7567F" w:rsidP="00E7567F">
            <w:pPr>
              <w:pStyle w:val="BodyText"/>
              <w:ind w:right="142" w:firstLine="720"/>
              <w:rPr>
                <w:sz w:val="26"/>
                <w:szCs w:val="26"/>
              </w:rPr>
            </w:pPr>
            <w:r w:rsidRPr="00FB311D">
              <w:rPr>
                <w:sz w:val="26"/>
                <w:szCs w:val="26"/>
              </w:rPr>
              <w:t>Noteikumu projekts šo jomu neskar</w:t>
            </w:r>
            <w:r w:rsidR="00C033EE">
              <w:rPr>
                <w:sz w:val="26"/>
                <w:szCs w:val="26"/>
              </w:rPr>
              <w:t>.</w:t>
            </w:r>
          </w:p>
        </w:tc>
      </w:tr>
      <w:tr w:rsidR="002A0BC1" w:rsidRPr="00FB311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FB311D" w:rsidRDefault="002A0BC1" w:rsidP="00CB6AC4">
            <w:pPr>
              <w:jc w:val="both"/>
              <w:rPr>
                <w:rFonts w:eastAsia="Times New Roman"/>
                <w:sz w:val="26"/>
                <w:szCs w:val="26"/>
                <w:lang w:val="lv-LV" w:eastAsia="lv-LV"/>
              </w:rPr>
            </w:pPr>
            <w:r w:rsidRPr="00FB311D">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FB311D" w:rsidRDefault="002A0BC1" w:rsidP="00CB6AC4">
            <w:pPr>
              <w:jc w:val="both"/>
              <w:rPr>
                <w:rFonts w:eastAsia="Times New Roman"/>
                <w:sz w:val="26"/>
                <w:szCs w:val="26"/>
                <w:lang w:val="lv-LV" w:eastAsia="lv-LV"/>
              </w:rPr>
            </w:pPr>
            <w:r w:rsidRPr="00FB311D">
              <w:rPr>
                <w:rFonts w:eastAsia="Times New Roman"/>
                <w:sz w:val="26"/>
                <w:szCs w:val="26"/>
                <w:lang w:val="lv-LV" w:eastAsia="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FB311D" w:rsidRDefault="00DD3CA0" w:rsidP="00D217AC">
            <w:pPr>
              <w:pStyle w:val="BodyText"/>
              <w:ind w:right="142" w:firstLine="720"/>
              <w:rPr>
                <w:sz w:val="26"/>
                <w:szCs w:val="26"/>
              </w:rPr>
            </w:pPr>
            <w:r>
              <w:rPr>
                <w:sz w:val="26"/>
                <w:szCs w:val="26"/>
              </w:rPr>
              <w:t>EM</w:t>
            </w:r>
          </w:p>
        </w:tc>
      </w:tr>
      <w:tr w:rsidR="00EA6CD3" w:rsidRPr="00FB311D"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2A0BC1" w:rsidP="00CB6AC4">
            <w:pPr>
              <w:jc w:val="both"/>
              <w:rPr>
                <w:rFonts w:eastAsia="Times New Roman"/>
                <w:sz w:val="26"/>
                <w:szCs w:val="26"/>
                <w:lang w:val="lv-LV" w:eastAsia="lv-LV"/>
              </w:rPr>
            </w:pPr>
            <w:r w:rsidRPr="00FB311D">
              <w:rPr>
                <w:rFonts w:eastAsia="Times New Roman"/>
                <w:sz w:val="26"/>
                <w:szCs w:val="26"/>
                <w:lang w:val="lv-LV" w:eastAsia="lv-LV"/>
              </w:rPr>
              <w:t>3</w:t>
            </w:r>
            <w:r w:rsidR="00EA6CD3" w:rsidRPr="00FB311D">
              <w:rPr>
                <w:rFonts w:eastAsia="Times New Roman"/>
                <w:sz w:val="26"/>
                <w:szCs w:val="26"/>
                <w:lang w:val="lv-LV" w:eastAsia="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6233E7" w:rsidP="00D455A4">
            <w:pPr>
              <w:ind w:firstLine="720"/>
              <w:jc w:val="both"/>
              <w:rPr>
                <w:rFonts w:eastAsia="Times New Roman"/>
                <w:sz w:val="26"/>
                <w:szCs w:val="26"/>
                <w:lang w:val="lv-LV" w:eastAsia="lv-LV"/>
              </w:rPr>
            </w:pPr>
            <w:r w:rsidRPr="0041609A">
              <w:rPr>
                <w:rFonts w:eastAsia="Times New Roman"/>
                <w:sz w:val="26"/>
                <w:szCs w:val="26"/>
                <w:lang w:val="lv-LV" w:eastAsia="lv-LV"/>
              </w:rPr>
              <w:t>Nav</w:t>
            </w:r>
          </w:p>
        </w:tc>
      </w:tr>
    </w:tbl>
    <w:p w:rsidR="00ED4255" w:rsidRDefault="00ED4255" w:rsidP="00EA6CD3">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681"/>
        <w:gridCol w:w="431"/>
        <w:gridCol w:w="1277"/>
        <w:gridCol w:w="1485"/>
        <w:gridCol w:w="3694"/>
      </w:tblGrid>
      <w:tr w:rsidR="00C7251E" w:rsidRPr="00C7251E" w:rsidTr="00153E0E">
        <w:trPr>
          <w:tblCellSpacing w:w="15" w:type="dxa"/>
        </w:trPr>
        <w:tc>
          <w:tcPr>
            <w:tcW w:w="4966" w:type="pct"/>
            <w:gridSpan w:val="6"/>
            <w:shd w:val="clear" w:color="auto" w:fill="auto"/>
            <w:hideMark/>
          </w:tcPr>
          <w:p w:rsidR="00C7251E" w:rsidRPr="00C7251E" w:rsidRDefault="00C7251E" w:rsidP="00C7251E">
            <w:pPr>
              <w:jc w:val="center"/>
              <w:rPr>
                <w:rFonts w:eastAsia="Times New Roman"/>
                <w:b/>
                <w:bCs/>
                <w:sz w:val="26"/>
                <w:szCs w:val="26"/>
                <w:lang w:val="lv-LV" w:eastAsia="lv-LV"/>
              </w:rPr>
            </w:pPr>
            <w:r w:rsidRPr="00C7251E">
              <w:rPr>
                <w:rFonts w:eastAsia="Times New Roman"/>
                <w:b/>
                <w:bCs/>
                <w:sz w:val="26"/>
                <w:szCs w:val="26"/>
                <w:lang w:val="lv-LV" w:eastAsia="lv-LV"/>
              </w:rPr>
              <w:t>V. Tiesību akta projekta atbilstība Latvijas Republikas starptautiskajām saistībām</w:t>
            </w:r>
          </w:p>
        </w:tc>
      </w:tr>
      <w:tr w:rsidR="00C7251E" w:rsidRPr="00C7251E" w:rsidTr="00C7251E">
        <w:trPr>
          <w:tblCellSpacing w:w="15" w:type="dxa"/>
        </w:trPr>
        <w:tc>
          <w:tcPr>
            <w:tcW w:w="185" w:type="pct"/>
            <w:shd w:val="clear" w:color="auto" w:fill="auto"/>
            <w:hideMark/>
          </w:tcPr>
          <w:p w:rsidR="00C7251E" w:rsidRPr="00C7251E" w:rsidRDefault="00C7251E" w:rsidP="00C7251E">
            <w:pPr>
              <w:jc w:val="center"/>
              <w:rPr>
                <w:rFonts w:eastAsia="Times New Roman"/>
                <w:sz w:val="26"/>
                <w:szCs w:val="26"/>
                <w:lang w:val="lv-LV" w:eastAsia="lv-LV"/>
              </w:rPr>
            </w:pPr>
            <w:r w:rsidRPr="00C7251E">
              <w:rPr>
                <w:rFonts w:eastAsia="Times New Roman"/>
                <w:sz w:val="26"/>
                <w:szCs w:val="26"/>
                <w:lang w:val="lv-LV" w:eastAsia="lv-LV"/>
              </w:rPr>
              <w:t>1.</w:t>
            </w:r>
          </w:p>
        </w:tc>
        <w:tc>
          <w:tcPr>
            <w:tcW w:w="1176" w:type="pct"/>
            <w:gridSpan w:val="2"/>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Saistības pret Eiropas Savienību</w:t>
            </w:r>
          </w:p>
        </w:tc>
        <w:tc>
          <w:tcPr>
            <w:tcW w:w="3572" w:type="pct"/>
            <w:gridSpan w:val="3"/>
            <w:shd w:val="clear" w:color="auto" w:fill="auto"/>
            <w:hideMark/>
          </w:tcPr>
          <w:p w:rsidR="00C7251E" w:rsidRPr="00C7251E" w:rsidRDefault="00C7251E" w:rsidP="00C7251E">
            <w:pPr>
              <w:ind w:firstLine="364"/>
              <w:jc w:val="both"/>
              <w:rPr>
                <w:sz w:val="26"/>
                <w:szCs w:val="26"/>
                <w:lang w:val="lv-LV"/>
              </w:rPr>
            </w:pPr>
            <w:r>
              <w:rPr>
                <w:sz w:val="26"/>
                <w:szCs w:val="26"/>
                <w:lang w:val="lv-LV"/>
              </w:rPr>
              <w:t xml:space="preserve">Sīko (mikro), mazo un vidējo saimnieciskās darbības veicēju definīcija ir noteikta atbilstoši </w:t>
            </w:r>
            <w:r w:rsidRPr="00C7251E">
              <w:rPr>
                <w:sz w:val="26"/>
                <w:szCs w:val="26"/>
                <w:lang w:val="lv-LV"/>
              </w:rPr>
              <w:t>Komisijas 2014.gada 17.jūnija Regula</w:t>
            </w:r>
            <w:r>
              <w:rPr>
                <w:sz w:val="26"/>
                <w:szCs w:val="26"/>
                <w:lang w:val="lv-LV"/>
              </w:rPr>
              <w:t>s</w:t>
            </w:r>
            <w:r w:rsidRPr="00C7251E">
              <w:rPr>
                <w:sz w:val="26"/>
                <w:szCs w:val="26"/>
                <w:lang w:val="lv-LV"/>
              </w:rPr>
              <w:t xml:space="preserve"> (ES) Nr.651/2014, ar ko noteiktas atbalsta kategorijas atzīst par saderīgām ar iekšējo tirgu, piemērojot Līguma 107. un 108. pantu (vispārējā grupu atbrīvojuma regula) (Eiropas Savienības Oficiālais Vēstnesis</w:t>
            </w:r>
            <w:r>
              <w:rPr>
                <w:sz w:val="26"/>
                <w:szCs w:val="26"/>
                <w:lang w:val="lv-LV"/>
              </w:rPr>
              <w:t>, 2014. gada 26. jūnijs, L 187) 1.pielikumam.</w:t>
            </w:r>
          </w:p>
        </w:tc>
      </w:tr>
      <w:tr w:rsidR="00C7251E" w:rsidRPr="00C7251E" w:rsidTr="00C7251E">
        <w:trPr>
          <w:tblCellSpacing w:w="15" w:type="dxa"/>
        </w:trPr>
        <w:tc>
          <w:tcPr>
            <w:tcW w:w="185" w:type="pct"/>
            <w:shd w:val="clear" w:color="auto" w:fill="auto"/>
            <w:hideMark/>
          </w:tcPr>
          <w:p w:rsidR="00C7251E" w:rsidRPr="00C7251E" w:rsidRDefault="00C7251E" w:rsidP="00C7251E">
            <w:pPr>
              <w:jc w:val="center"/>
              <w:rPr>
                <w:rFonts w:eastAsia="Times New Roman"/>
                <w:sz w:val="26"/>
                <w:szCs w:val="26"/>
                <w:lang w:val="lv-LV" w:eastAsia="lv-LV"/>
              </w:rPr>
            </w:pPr>
            <w:r w:rsidRPr="00C7251E">
              <w:rPr>
                <w:rFonts w:eastAsia="Times New Roman"/>
                <w:sz w:val="26"/>
                <w:szCs w:val="26"/>
                <w:lang w:val="lv-LV" w:eastAsia="lv-LV"/>
              </w:rPr>
              <w:t>2.</w:t>
            </w:r>
          </w:p>
        </w:tc>
        <w:tc>
          <w:tcPr>
            <w:tcW w:w="1176" w:type="pct"/>
            <w:gridSpan w:val="2"/>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Citas starptautiskās saistības</w:t>
            </w:r>
          </w:p>
        </w:tc>
        <w:tc>
          <w:tcPr>
            <w:tcW w:w="3572" w:type="pct"/>
            <w:gridSpan w:val="3"/>
            <w:shd w:val="clear" w:color="auto" w:fill="auto"/>
            <w:hideMark/>
          </w:tcPr>
          <w:p w:rsidR="00C7251E" w:rsidRPr="00C7251E" w:rsidRDefault="00C7251E" w:rsidP="00C7251E">
            <w:pPr>
              <w:ind w:firstLine="341"/>
              <w:jc w:val="both"/>
              <w:rPr>
                <w:rFonts w:eastAsia="Times New Roman"/>
                <w:sz w:val="26"/>
                <w:szCs w:val="26"/>
                <w:lang w:val="lv-LV" w:eastAsia="lv-LV"/>
              </w:rPr>
            </w:pPr>
            <w:r w:rsidRPr="00C7251E">
              <w:rPr>
                <w:rFonts w:eastAsia="Times New Roman"/>
                <w:sz w:val="26"/>
                <w:szCs w:val="26"/>
                <w:lang w:val="lv-LV" w:eastAsia="lv-LV"/>
              </w:rPr>
              <w:t>Projekts šo jomu neskar.</w:t>
            </w:r>
          </w:p>
        </w:tc>
      </w:tr>
      <w:tr w:rsidR="00C7251E" w:rsidRPr="00C7251E" w:rsidTr="00C7251E">
        <w:trPr>
          <w:tblCellSpacing w:w="15" w:type="dxa"/>
        </w:trPr>
        <w:tc>
          <w:tcPr>
            <w:tcW w:w="185" w:type="pct"/>
            <w:shd w:val="clear" w:color="auto" w:fill="auto"/>
            <w:hideMark/>
          </w:tcPr>
          <w:p w:rsidR="00C7251E" w:rsidRPr="00C7251E" w:rsidRDefault="00C7251E" w:rsidP="00C7251E">
            <w:pPr>
              <w:jc w:val="center"/>
              <w:rPr>
                <w:rFonts w:eastAsia="Times New Roman"/>
                <w:sz w:val="26"/>
                <w:szCs w:val="26"/>
                <w:lang w:val="lv-LV" w:eastAsia="lv-LV"/>
              </w:rPr>
            </w:pPr>
            <w:r w:rsidRPr="00C7251E">
              <w:rPr>
                <w:rFonts w:eastAsia="Times New Roman"/>
                <w:sz w:val="26"/>
                <w:szCs w:val="26"/>
                <w:lang w:val="lv-LV" w:eastAsia="lv-LV"/>
              </w:rPr>
              <w:t>3.</w:t>
            </w:r>
          </w:p>
        </w:tc>
        <w:tc>
          <w:tcPr>
            <w:tcW w:w="1176" w:type="pct"/>
            <w:gridSpan w:val="2"/>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Cita informācija</w:t>
            </w:r>
          </w:p>
        </w:tc>
        <w:tc>
          <w:tcPr>
            <w:tcW w:w="3572" w:type="pct"/>
            <w:gridSpan w:val="3"/>
            <w:shd w:val="clear" w:color="auto" w:fill="auto"/>
            <w:hideMark/>
          </w:tcPr>
          <w:p w:rsidR="00C7251E" w:rsidRDefault="00630E17" w:rsidP="0037021D">
            <w:pPr>
              <w:ind w:firstLine="341"/>
              <w:jc w:val="both"/>
              <w:rPr>
                <w:rFonts w:eastAsia="Times New Roman"/>
                <w:sz w:val="26"/>
                <w:szCs w:val="26"/>
                <w:lang w:val="lv-LV" w:eastAsia="lv-LV"/>
              </w:rPr>
            </w:pPr>
            <w:r>
              <w:rPr>
                <w:rFonts w:eastAsia="Times New Roman"/>
                <w:sz w:val="26"/>
                <w:szCs w:val="26"/>
                <w:lang w:val="lv-LV" w:eastAsia="lv-LV"/>
              </w:rPr>
              <w:t xml:space="preserve">Noteikumu projekta </w:t>
            </w:r>
            <w:r w:rsidR="0037021D">
              <w:rPr>
                <w:rFonts w:eastAsia="Times New Roman"/>
                <w:sz w:val="26"/>
                <w:szCs w:val="26"/>
                <w:lang w:val="lv-LV" w:eastAsia="lv-LV"/>
              </w:rPr>
              <w:t>3</w:t>
            </w:r>
            <w:r>
              <w:rPr>
                <w:rFonts w:eastAsia="Times New Roman"/>
                <w:sz w:val="26"/>
                <w:szCs w:val="26"/>
                <w:lang w:val="lv-LV" w:eastAsia="lv-LV"/>
              </w:rPr>
              <w:t xml:space="preserve">.punkts ir izstrādāts atbilstoši </w:t>
            </w:r>
            <w:r w:rsidRPr="00630E17">
              <w:rPr>
                <w:rFonts w:eastAsia="Times New Roman"/>
                <w:sz w:val="26"/>
                <w:szCs w:val="26"/>
                <w:lang w:val="lv-LV" w:eastAsia="lv-LV"/>
              </w:rPr>
              <w:t>Kopienas 2014.gada 31.jūlija Pamatnostād</w:t>
            </w:r>
            <w:r>
              <w:rPr>
                <w:rFonts w:eastAsia="Times New Roman"/>
                <w:sz w:val="26"/>
                <w:szCs w:val="26"/>
                <w:lang w:val="lv-LV" w:eastAsia="lv-LV"/>
              </w:rPr>
              <w:t>ņu</w:t>
            </w:r>
            <w:r w:rsidRPr="00630E17">
              <w:rPr>
                <w:rFonts w:eastAsia="Times New Roman"/>
                <w:sz w:val="26"/>
                <w:szCs w:val="26"/>
                <w:lang w:val="lv-LV" w:eastAsia="lv-LV"/>
              </w:rPr>
              <w:t xml:space="preserve"> par valsts atbalstu grūtībās nonākušu nefinanšu uzņēmumu glābšanai un pārstrukturēšanai (OV C 249, 31.7.2014) 20.punktam.</w:t>
            </w:r>
          </w:p>
          <w:p w:rsidR="00BD0970" w:rsidRPr="00C7251E" w:rsidRDefault="009614FC" w:rsidP="009614FC">
            <w:pPr>
              <w:ind w:firstLine="341"/>
              <w:jc w:val="both"/>
              <w:rPr>
                <w:rFonts w:eastAsia="Times New Roman"/>
                <w:sz w:val="26"/>
                <w:szCs w:val="26"/>
                <w:lang w:val="lv-LV" w:eastAsia="lv-LV"/>
              </w:rPr>
            </w:pPr>
            <w:r w:rsidRPr="0041609A">
              <w:rPr>
                <w:rFonts w:eastAsia="Times New Roman"/>
                <w:sz w:val="26"/>
                <w:szCs w:val="26"/>
                <w:lang w:val="lv-LV" w:eastAsia="lv-LV"/>
              </w:rPr>
              <w:lastRenderedPageBreak/>
              <w:t>MK noteikumu Nr.436 ietvaros</w:t>
            </w:r>
            <w:r w:rsidR="00BD0970" w:rsidRPr="0041609A">
              <w:rPr>
                <w:rFonts w:eastAsia="Times New Roman"/>
                <w:sz w:val="26"/>
                <w:szCs w:val="26"/>
                <w:lang w:val="lv-LV" w:eastAsia="lv-LV"/>
              </w:rPr>
              <w:t xml:space="preserve"> atbalst</w:t>
            </w:r>
            <w:r w:rsidRPr="0041609A">
              <w:rPr>
                <w:rFonts w:eastAsia="Times New Roman"/>
                <w:sz w:val="26"/>
                <w:szCs w:val="26"/>
                <w:lang w:val="lv-LV" w:eastAsia="lv-LV"/>
              </w:rPr>
              <w:t>s</w:t>
            </w:r>
            <w:r w:rsidR="00BD0970" w:rsidRPr="0041609A">
              <w:rPr>
                <w:rFonts w:eastAsia="Times New Roman"/>
                <w:sz w:val="26"/>
                <w:szCs w:val="26"/>
                <w:lang w:val="lv-LV" w:eastAsia="lv-LV"/>
              </w:rPr>
              <w:t xml:space="preserve"> </w:t>
            </w:r>
            <w:r w:rsidRPr="0041609A">
              <w:rPr>
                <w:rFonts w:eastAsia="Times New Roman"/>
                <w:sz w:val="26"/>
                <w:szCs w:val="26"/>
                <w:lang w:val="lv-LV" w:eastAsia="lv-LV"/>
              </w:rPr>
              <w:t xml:space="preserve">tiek sniegts </w:t>
            </w:r>
            <w:r w:rsidR="00BD0970" w:rsidRPr="0041609A">
              <w:rPr>
                <w:rFonts w:eastAsia="Times New Roman"/>
                <w:sz w:val="26"/>
                <w:szCs w:val="26"/>
                <w:lang w:val="lv-LV" w:eastAsia="lv-LV"/>
              </w:rPr>
              <w:t xml:space="preserve">saskaņā ar Komisijas Paziņojumā dalībvalstīm par Līguma par Eiropas Savienības darbību 107. un 108. panta piemērošanu īstermiņa eksporta kredīta apdrošināšanai (2012/C 392/01) noteikto, attiecīgi </w:t>
            </w:r>
            <w:r w:rsidRPr="0041609A">
              <w:rPr>
                <w:rFonts w:eastAsia="Times New Roman"/>
                <w:sz w:val="26"/>
                <w:szCs w:val="26"/>
                <w:lang w:val="lv-LV" w:eastAsia="lv-LV"/>
              </w:rPr>
              <w:t>par noteikumu projektā ietverto nav nepieciešams sniegt</w:t>
            </w:r>
            <w:r w:rsidR="00BD0970" w:rsidRPr="0041609A">
              <w:rPr>
                <w:rFonts w:eastAsia="Times New Roman"/>
                <w:sz w:val="26"/>
                <w:szCs w:val="26"/>
                <w:lang w:val="lv-LV" w:eastAsia="lv-LV"/>
              </w:rPr>
              <w:t xml:space="preserve"> </w:t>
            </w:r>
            <w:r w:rsidRPr="0041609A">
              <w:rPr>
                <w:rFonts w:eastAsia="Times New Roman"/>
                <w:sz w:val="26"/>
                <w:szCs w:val="26"/>
                <w:lang w:val="lv-LV" w:eastAsia="lv-LV"/>
              </w:rPr>
              <w:t>paziņojumu Eiropas Komisijai.</w:t>
            </w:r>
          </w:p>
        </w:tc>
      </w:tr>
      <w:tr w:rsidR="00C7251E" w:rsidRPr="00C7251E" w:rsidTr="00153E0E">
        <w:trPr>
          <w:tblCellSpacing w:w="15" w:type="dxa"/>
        </w:trPr>
        <w:tc>
          <w:tcPr>
            <w:tcW w:w="4966" w:type="pct"/>
            <w:gridSpan w:val="6"/>
            <w:shd w:val="clear" w:color="auto" w:fill="auto"/>
            <w:vAlign w:val="center"/>
            <w:hideMark/>
          </w:tcPr>
          <w:p w:rsidR="00C7251E" w:rsidRPr="00C7251E" w:rsidRDefault="00C7251E" w:rsidP="00C7251E">
            <w:pPr>
              <w:jc w:val="center"/>
              <w:rPr>
                <w:rFonts w:eastAsia="Times New Roman"/>
                <w:b/>
                <w:bCs/>
                <w:sz w:val="26"/>
                <w:szCs w:val="26"/>
                <w:lang w:val="lv-LV" w:eastAsia="lv-LV"/>
              </w:rPr>
            </w:pPr>
            <w:r w:rsidRPr="00C7251E">
              <w:rPr>
                <w:rFonts w:eastAsia="Times New Roman"/>
                <w:b/>
                <w:bCs/>
                <w:sz w:val="26"/>
                <w:szCs w:val="26"/>
                <w:lang w:val="lv-LV" w:eastAsia="lv-LV"/>
              </w:rPr>
              <w:lastRenderedPageBreak/>
              <w:t>1.tabula</w:t>
            </w:r>
            <w:r w:rsidRPr="00C7251E">
              <w:rPr>
                <w:rFonts w:eastAsia="Times New Roman"/>
                <w:b/>
                <w:bCs/>
                <w:sz w:val="26"/>
                <w:szCs w:val="26"/>
                <w:lang w:val="lv-LV" w:eastAsia="lv-LV"/>
              </w:rPr>
              <w:br/>
              <w:t>Tiesību akta projekta atbilstība ES tiesību aktiem</w:t>
            </w:r>
          </w:p>
        </w:tc>
      </w:tr>
      <w:tr w:rsidR="00C7251E" w:rsidRPr="00C7251E" w:rsidTr="00C7251E">
        <w:trPr>
          <w:tblCellSpacing w:w="15" w:type="dxa"/>
        </w:trPr>
        <w:tc>
          <w:tcPr>
            <w:tcW w:w="1129" w:type="pct"/>
            <w:gridSpan w:val="2"/>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Attiecīgā ES tiesību akta datums, numurs un nosaukums</w:t>
            </w:r>
          </w:p>
        </w:tc>
        <w:tc>
          <w:tcPr>
            <w:tcW w:w="3820" w:type="pct"/>
            <w:gridSpan w:val="4"/>
            <w:shd w:val="clear" w:color="auto" w:fill="auto"/>
            <w:vAlign w:val="center"/>
            <w:hideMark/>
          </w:tcPr>
          <w:p w:rsidR="00C7251E" w:rsidRPr="00C7251E" w:rsidRDefault="00C7251E" w:rsidP="00C7251E">
            <w:pPr>
              <w:spacing w:after="120"/>
              <w:jc w:val="both"/>
              <w:rPr>
                <w:sz w:val="26"/>
                <w:szCs w:val="26"/>
                <w:lang w:val="lv-LV"/>
              </w:rPr>
            </w:pPr>
            <w:r w:rsidRPr="00C7251E">
              <w:rPr>
                <w:sz w:val="26"/>
                <w:szCs w:val="26"/>
                <w:lang w:val="lv-LV"/>
              </w:rPr>
              <w:t>Komisijas 2014.gada 17.jūnija Regula (ES) Nr.651/2014, ar ko noteiktas atbalsta kategorijas atzīst par saderīgām ar iekšējo tirgu, piemērojot Līguma 107. un 108. pantu (vispārējā grupu atbrīvojuma regula) (Eiropas Savienības Oficiālais Vēstnesis, 2014. gada 26. jūnijs, L 187).</w:t>
            </w:r>
          </w:p>
        </w:tc>
      </w:tr>
      <w:tr w:rsidR="00C7251E" w:rsidRPr="00C7251E" w:rsidTr="00C7251E">
        <w:trPr>
          <w:tblCellSpacing w:w="15" w:type="dxa"/>
        </w:trPr>
        <w:tc>
          <w:tcPr>
            <w:tcW w:w="1129" w:type="pct"/>
            <w:gridSpan w:val="2"/>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A</w:t>
            </w:r>
          </w:p>
        </w:tc>
        <w:tc>
          <w:tcPr>
            <w:tcW w:w="945" w:type="pct"/>
            <w:gridSpan w:val="2"/>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B</w:t>
            </w:r>
          </w:p>
        </w:tc>
        <w:tc>
          <w:tcPr>
            <w:tcW w:w="813" w:type="pct"/>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C</w:t>
            </w:r>
          </w:p>
        </w:tc>
        <w:tc>
          <w:tcPr>
            <w:tcW w:w="2028" w:type="pct"/>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D</w:t>
            </w:r>
          </w:p>
        </w:tc>
      </w:tr>
      <w:tr w:rsidR="00C7251E" w:rsidRPr="00C7251E" w:rsidTr="00C7251E">
        <w:trPr>
          <w:tblCellSpacing w:w="15" w:type="dxa"/>
        </w:trPr>
        <w:tc>
          <w:tcPr>
            <w:tcW w:w="1129" w:type="pct"/>
            <w:gridSpan w:val="2"/>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 xml:space="preserve">Attiecīgā ES tiesību akta panta numurs (uzskaitot katru tiesību akta </w:t>
            </w:r>
            <w:r w:rsidRPr="00C7251E">
              <w:rPr>
                <w:rFonts w:eastAsia="Times New Roman"/>
                <w:sz w:val="26"/>
                <w:szCs w:val="26"/>
                <w:lang w:val="lv-LV" w:eastAsia="lv-LV"/>
              </w:rPr>
              <w:br/>
              <w:t>vienību – pantu, daļu, punktu, apakšpunktu)</w:t>
            </w:r>
          </w:p>
        </w:tc>
        <w:tc>
          <w:tcPr>
            <w:tcW w:w="945" w:type="pct"/>
            <w:gridSpan w:val="2"/>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Projekta vienība, kas pārņem vai ievieš katru šīs tabulas A ailē minēto ES tiesību akta vienību</w:t>
            </w:r>
          </w:p>
        </w:tc>
        <w:tc>
          <w:tcPr>
            <w:tcW w:w="813" w:type="pct"/>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Informācija par to, vai šīs tabulas A ailē minētās ES tiesību akta vienības tiek pārņemtas vai ieviestas pilnībā vai daļēji.</w:t>
            </w:r>
          </w:p>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 xml:space="preserve">Ja attiecīgā ES tiesību akta vienība tiek pārņemta vai ieviesta daļēji, – sniedz attiecīgu skaidrojumu, kā arī precīzi norāda, kad un kādā veidā ES tiesību akta vienība tiks pārņemta vai ieviesta </w:t>
            </w:r>
            <w:r w:rsidRPr="00C7251E">
              <w:rPr>
                <w:rFonts w:eastAsia="Times New Roman"/>
                <w:sz w:val="26"/>
                <w:szCs w:val="26"/>
                <w:lang w:val="lv-LV" w:eastAsia="lv-LV"/>
              </w:rPr>
              <w:lastRenderedPageBreak/>
              <w:t>pilnībā.</w:t>
            </w:r>
          </w:p>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Norāda institūciju, kas ir atbildīga par šo saistību izpildi pilnībā</w:t>
            </w:r>
          </w:p>
        </w:tc>
        <w:tc>
          <w:tcPr>
            <w:tcW w:w="2028" w:type="pct"/>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lastRenderedPageBreak/>
              <w:t>Informācija par to, vai šīs tabulas B ailē minētās projekta vienības paredz stingrākas prasības nekā šīs tabulas A ailē minētās ES tiesību akta vienības.</w:t>
            </w:r>
          </w:p>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C7251E">
                <w:rPr>
                  <w:rFonts w:eastAsia="Times New Roman"/>
                  <w:sz w:val="26"/>
                  <w:szCs w:val="26"/>
                  <w:lang w:val="lv-LV" w:eastAsia="lv-LV"/>
                </w:rPr>
                <w:t>akts</w:t>
              </w:r>
            </w:smartTag>
            <w:r w:rsidRPr="00C7251E">
              <w:rPr>
                <w:rFonts w:eastAsia="Times New Roman"/>
                <w:sz w:val="26"/>
                <w:szCs w:val="26"/>
                <w:lang w:val="lv-LV" w:eastAsia="lv-LV"/>
              </w:rPr>
              <w:t>, – norāda pamatojumu un samērīgumu.</w:t>
            </w:r>
          </w:p>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Norāda iespējamās alternatīvas (</w:t>
            </w:r>
            <w:proofErr w:type="spellStart"/>
            <w:r w:rsidRPr="00C7251E">
              <w:rPr>
                <w:rFonts w:eastAsia="Times New Roman"/>
                <w:sz w:val="26"/>
                <w:szCs w:val="26"/>
                <w:lang w:val="lv-LV" w:eastAsia="lv-LV"/>
              </w:rPr>
              <w:t>t.sk</w:t>
            </w:r>
            <w:proofErr w:type="spellEnd"/>
            <w:r w:rsidRPr="00C7251E">
              <w:rPr>
                <w:rFonts w:eastAsia="Times New Roman"/>
                <w:sz w:val="26"/>
                <w:szCs w:val="26"/>
                <w:lang w:val="lv-LV" w:eastAsia="lv-LV"/>
              </w:rPr>
              <w:t>. alternatīvas, kas neparedz tiesiskā regulējuma izstrādi) – kādos gadījumos būtu iespējams izvairīties no stingrāku prasību noteikšanas, nekā paredzēts attiecīgajos ES tiesību aktos</w:t>
            </w:r>
          </w:p>
        </w:tc>
      </w:tr>
      <w:tr w:rsidR="00C7251E" w:rsidRPr="00C7251E" w:rsidTr="00C7251E">
        <w:trPr>
          <w:tblCellSpacing w:w="15" w:type="dxa"/>
        </w:trPr>
        <w:tc>
          <w:tcPr>
            <w:tcW w:w="1129" w:type="pct"/>
            <w:gridSpan w:val="2"/>
            <w:shd w:val="clear" w:color="auto" w:fill="auto"/>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lastRenderedPageBreak/>
              <w:t>Komisijas Regulas Nr.651/2014 1.pielikum</w:t>
            </w:r>
            <w:r>
              <w:rPr>
                <w:rFonts w:eastAsia="Times New Roman"/>
                <w:sz w:val="26"/>
                <w:szCs w:val="26"/>
                <w:lang w:val="lv-LV" w:eastAsia="lv-LV"/>
              </w:rPr>
              <w:t>s</w:t>
            </w:r>
          </w:p>
        </w:tc>
        <w:tc>
          <w:tcPr>
            <w:tcW w:w="945" w:type="pct"/>
            <w:gridSpan w:val="2"/>
            <w:shd w:val="clear" w:color="auto" w:fill="auto"/>
          </w:tcPr>
          <w:p w:rsidR="00C7251E" w:rsidRPr="00C7251E" w:rsidRDefault="00C7251E" w:rsidP="00A134AA">
            <w:pPr>
              <w:jc w:val="both"/>
              <w:rPr>
                <w:rFonts w:eastAsia="Times New Roman"/>
                <w:sz w:val="26"/>
                <w:szCs w:val="26"/>
                <w:lang w:val="lv-LV" w:eastAsia="lv-LV"/>
              </w:rPr>
            </w:pPr>
            <w:r w:rsidRPr="00C7251E">
              <w:rPr>
                <w:rFonts w:eastAsia="Times New Roman"/>
                <w:sz w:val="26"/>
                <w:szCs w:val="26"/>
                <w:lang w:val="lv-LV" w:eastAsia="lv-LV"/>
              </w:rPr>
              <w:t xml:space="preserve">Noteikumu projekta </w:t>
            </w:r>
            <w:r w:rsidR="00A134AA">
              <w:rPr>
                <w:rFonts w:eastAsia="Times New Roman"/>
                <w:sz w:val="26"/>
                <w:szCs w:val="26"/>
                <w:lang w:val="lv-LV" w:eastAsia="lv-LV"/>
              </w:rPr>
              <w:t>2</w:t>
            </w:r>
            <w:r w:rsidRPr="00C7251E">
              <w:rPr>
                <w:rFonts w:eastAsia="Times New Roman"/>
                <w:sz w:val="26"/>
                <w:szCs w:val="26"/>
                <w:lang w:val="lv-LV" w:eastAsia="lv-LV"/>
              </w:rPr>
              <w:t xml:space="preserve">.punkts </w:t>
            </w:r>
          </w:p>
        </w:tc>
        <w:tc>
          <w:tcPr>
            <w:tcW w:w="813" w:type="pct"/>
            <w:shd w:val="clear" w:color="auto" w:fill="auto"/>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Ieviests pilnībā</w:t>
            </w:r>
          </w:p>
        </w:tc>
        <w:tc>
          <w:tcPr>
            <w:tcW w:w="2028" w:type="pct"/>
            <w:shd w:val="clear" w:color="auto" w:fill="auto"/>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Neparedz stingrākas prasības</w:t>
            </w:r>
          </w:p>
        </w:tc>
      </w:tr>
      <w:tr w:rsidR="00C7251E" w:rsidRPr="00C7251E" w:rsidTr="00C7251E">
        <w:trPr>
          <w:tblCellSpacing w:w="15" w:type="dxa"/>
        </w:trPr>
        <w:tc>
          <w:tcPr>
            <w:tcW w:w="1129" w:type="pct"/>
            <w:gridSpan w:val="2"/>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Kā ir izmantota ES tiesību aktā paredzētā rīcības brīvība dalībvalstij pārņemt vai ieviest noteiktas ES tiesību akta normas.</w:t>
            </w:r>
          </w:p>
        </w:tc>
        <w:tc>
          <w:tcPr>
            <w:tcW w:w="3820" w:type="pct"/>
            <w:gridSpan w:val="4"/>
            <w:shd w:val="clear" w:color="auto" w:fill="auto"/>
            <w:hideMark/>
          </w:tcPr>
          <w:p w:rsidR="00C7251E" w:rsidRPr="00C7251E" w:rsidRDefault="00A134AA" w:rsidP="00C7251E">
            <w:pPr>
              <w:autoSpaceDE w:val="0"/>
              <w:autoSpaceDN w:val="0"/>
              <w:adjustRightInd w:val="0"/>
              <w:jc w:val="both"/>
              <w:rPr>
                <w:rFonts w:eastAsia="Times New Roman"/>
                <w:sz w:val="26"/>
                <w:szCs w:val="26"/>
                <w:lang w:val="lv-LV" w:eastAsia="lv-LV"/>
              </w:rPr>
            </w:pPr>
            <w:r>
              <w:rPr>
                <w:rFonts w:eastAsia="Times New Roman"/>
                <w:sz w:val="26"/>
                <w:szCs w:val="26"/>
                <w:lang w:val="lv-LV" w:eastAsia="lv-LV"/>
              </w:rPr>
              <w:t xml:space="preserve">Projekts </w:t>
            </w:r>
            <w:r w:rsidR="00430849">
              <w:rPr>
                <w:rFonts w:eastAsia="Times New Roman"/>
                <w:sz w:val="26"/>
                <w:szCs w:val="26"/>
                <w:lang w:val="lv-LV" w:eastAsia="lv-LV"/>
              </w:rPr>
              <w:t>šo jomu neskar.</w:t>
            </w:r>
          </w:p>
        </w:tc>
      </w:tr>
      <w:tr w:rsidR="00C7251E" w:rsidRPr="00C7251E" w:rsidTr="00C7251E">
        <w:trPr>
          <w:tblCellSpacing w:w="15" w:type="dxa"/>
        </w:trPr>
        <w:tc>
          <w:tcPr>
            <w:tcW w:w="1129" w:type="pct"/>
            <w:gridSpan w:val="2"/>
            <w:shd w:val="clear" w:color="auto" w:fill="auto"/>
            <w:vAlign w:val="center"/>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0" w:type="pct"/>
            <w:gridSpan w:val="4"/>
            <w:shd w:val="clear" w:color="auto" w:fill="auto"/>
            <w:hideMark/>
          </w:tcPr>
          <w:p w:rsidR="00C7251E" w:rsidRPr="00C7251E" w:rsidRDefault="00A134AA" w:rsidP="00C7251E">
            <w:pPr>
              <w:jc w:val="both"/>
              <w:rPr>
                <w:rFonts w:eastAsia="Times New Roman"/>
                <w:sz w:val="26"/>
                <w:szCs w:val="26"/>
                <w:lang w:val="lv-LV" w:eastAsia="lv-LV"/>
              </w:rPr>
            </w:pPr>
            <w:r>
              <w:rPr>
                <w:rFonts w:eastAsia="Times New Roman"/>
                <w:sz w:val="26"/>
                <w:szCs w:val="26"/>
                <w:lang w:val="lv-LV" w:eastAsia="lv-LV"/>
              </w:rPr>
              <w:t>Projekts šo jomu neskar.</w:t>
            </w:r>
          </w:p>
        </w:tc>
      </w:tr>
      <w:tr w:rsidR="00C7251E" w:rsidRPr="00C7251E" w:rsidTr="00C7251E">
        <w:trPr>
          <w:tblCellSpacing w:w="15" w:type="dxa"/>
        </w:trPr>
        <w:tc>
          <w:tcPr>
            <w:tcW w:w="1129" w:type="pct"/>
            <w:gridSpan w:val="2"/>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Cita informācija</w:t>
            </w:r>
          </w:p>
        </w:tc>
        <w:tc>
          <w:tcPr>
            <w:tcW w:w="3820" w:type="pct"/>
            <w:gridSpan w:val="4"/>
            <w:shd w:val="clear" w:color="auto" w:fill="auto"/>
            <w:hideMark/>
          </w:tcPr>
          <w:p w:rsidR="00C7251E" w:rsidRPr="00C7251E" w:rsidRDefault="00C7251E" w:rsidP="00C7251E">
            <w:pPr>
              <w:jc w:val="both"/>
              <w:rPr>
                <w:rFonts w:eastAsia="Times New Roman"/>
                <w:sz w:val="26"/>
                <w:szCs w:val="26"/>
                <w:lang w:val="lv-LV" w:eastAsia="lv-LV"/>
              </w:rPr>
            </w:pPr>
            <w:r w:rsidRPr="00C7251E">
              <w:rPr>
                <w:rFonts w:eastAsia="Times New Roman"/>
                <w:sz w:val="26"/>
                <w:szCs w:val="26"/>
                <w:lang w:val="lv-LV" w:eastAsia="lv-LV"/>
              </w:rPr>
              <w:t>Nav</w:t>
            </w:r>
          </w:p>
        </w:tc>
      </w:tr>
    </w:tbl>
    <w:p w:rsidR="00ED4255" w:rsidRPr="00FB311D" w:rsidRDefault="00ED4255" w:rsidP="00EA6CD3">
      <w:pPr>
        <w:rPr>
          <w:sz w:val="26"/>
          <w:szCs w:val="26"/>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FB311D"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B311D" w:rsidRDefault="002A0BC1" w:rsidP="006D1520">
            <w:pPr>
              <w:jc w:val="center"/>
              <w:rPr>
                <w:rFonts w:eastAsia="Times New Roman"/>
                <w:b/>
                <w:sz w:val="26"/>
                <w:szCs w:val="26"/>
                <w:lang w:val="lv-LV" w:eastAsia="lv-LV"/>
              </w:rPr>
            </w:pPr>
            <w:r w:rsidRPr="00FB311D">
              <w:rPr>
                <w:b/>
                <w:bCs/>
                <w:sz w:val="26"/>
                <w:szCs w:val="26"/>
                <w:lang w:val="lv-LV"/>
              </w:rPr>
              <w:lastRenderedPageBreak/>
              <w:t>VI. Sabiedrības līdzdalība un komunikācijas aktivitātes</w:t>
            </w:r>
          </w:p>
        </w:tc>
      </w:tr>
      <w:tr w:rsidR="006233E7" w:rsidRPr="00FB311D"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FB311D" w:rsidRDefault="006233E7" w:rsidP="006D1520">
            <w:pPr>
              <w:rPr>
                <w:rFonts w:eastAsia="Times New Roman"/>
                <w:sz w:val="26"/>
                <w:szCs w:val="26"/>
                <w:lang w:val="lv-LV" w:eastAsia="lv-LV"/>
              </w:rPr>
            </w:pPr>
            <w:r w:rsidRPr="00FB311D">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FB311D" w:rsidRDefault="006233E7" w:rsidP="006D1520">
            <w:pPr>
              <w:rPr>
                <w:rFonts w:eastAsia="Times New Roman"/>
                <w:sz w:val="26"/>
                <w:szCs w:val="26"/>
                <w:lang w:val="lv-LV" w:eastAsia="lv-LV"/>
              </w:rPr>
            </w:pPr>
            <w:r w:rsidRPr="00FB311D">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B87819" w:rsidRDefault="006233E7" w:rsidP="006233E7">
            <w:pPr>
              <w:ind w:left="124"/>
              <w:jc w:val="both"/>
              <w:rPr>
                <w:sz w:val="26"/>
                <w:szCs w:val="26"/>
                <w:highlight w:val="yellow"/>
                <w:lang w:val="lv-LV"/>
              </w:rPr>
            </w:pPr>
            <w:r w:rsidRPr="0041609A">
              <w:rPr>
                <w:sz w:val="26"/>
                <w:szCs w:val="26"/>
                <w:lang w:val="lv-LV"/>
              </w:rPr>
              <w:t xml:space="preserve">Sabiedrības līdzdalības un komunikācijas aktivitātes nav nepieciešamas, jo noteikumu projekts paredz ieviest Kopienas 2014.gada Pamatnostādņu 20.punkta nosacījumus. </w:t>
            </w:r>
          </w:p>
        </w:tc>
      </w:tr>
      <w:tr w:rsidR="006233E7" w:rsidRPr="00FB311D"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FB311D" w:rsidRDefault="006233E7" w:rsidP="006D1520">
            <w:pPr>
              <w:rPr>
                <w:rFonts w:eastAsia="Times New Roman"/>
                <w:sz w:val="26"/>
                <w:szCs w:val="26"/>
                <w:lang w:val="lv-LV" w:eastAsia="lv-LV"/>
              </w:rPr>
            </w:pPr>
            <w:r w:rsidRPr="00FB311D">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FB311D" w:rsidRDefault="006233E7" w:rsidP="006D1520">
            <w:pPr>
              <w:rPr>
                <w:rFonts w:eastAsia="Times New Roman"/>
                <w:sz w:val="26"/>
                <w:szCs w:val="26"/>
                <w:lang w:val="lv-LV" w:eastAsia="lv-LV"/>
              </w:rPr>
            </w:pPr>
            <w:r w:rsidRPr="00FB311D">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B87819" w:rsidRDefault="006233E7" w:rsidP="006233E7">
            <w:pPr>
              <w:ind w:left="124"/>
              <w:jc w:val="both"/>
              <w:rPr>
                <w:sz w:val="26"/>
                <w:szCs w:val="26"/>
                <w:highlight w:val="yellow"/>
                <w:lang w:val="lv-LV"/>
              </w:rPr>
            </w:pPr>
            <w:r w:rsidRPr="0041609A">
              <w:rPr>
                <w:sz w:val="26"/>
                <w:szCs w:val="26"/>
                <w:lang w:val="lv-LV"/>
              </w:rPr>
              <w:t xml:space="preserve">Sabiedrības līdzdalība noteikumu projekta izstrādē nav nepieciešama, jo noteikumu projekts paredz ieviest Kopienas 2014.gada Pamatnostādņu 20.punkta nosacījumus. </w:t>
            </w:r>
          </w:p>
        </w:tc>
      </w:tr>
      <w:tr w:rsidR="006233E7" w:rsidRPr="00FB311D" w:rsidTr="002A0BC1">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FB311D" w:rsidRDefault="006233E7" w:rsidP="006D1520">
            <w:pPr>
              <w:rPr>
                <w:rFonts w:eastAsia="Times New Roman"/>
                <w:sz w:val="26"/>
                <w:szCs w:val="26"/>
                <w:lang w:val="lv-LV" w:eastAsia="lv-LV"/>
              </w:rPr>
            </w:pPr>
            <w:r w:rsidRPr="00FB311D">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FB311D" w:rsidRDefault="006233E7" w:rsidP="006D1520">
            <w:pPr>
              <w:rPr>
                <w:rFonts w:eastAsia="Times New Roman"/>
                <w:sz w:val="26"/>
                <w:szCs w:val="26"/>
                <w:lang w:val="lv-LV" w:eastAsia="lv-LV"/>
              </w:rPr>
            </w:pPr>
            <w:r w:rsidRPr="00FB311D">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233E7" w:rsidRPr="00B87819" w:rsidRDefault="006233E7" w:rsidP="00254901">
            <w:pPr>
              <w:ind w:left="124"/>
              <w:jc w:val="both"/>
              <w:rPr>
                <w:sz w:val="26"/>
                <w:szCs w:val="26"/>
                <w:highlight w:val="yellow"/>
                <w:lang w:val="lv-LV"/>
              </w:rPr>
            </w:pPr>
            <w:r w:rsidRPr="0041609A">
              <w:rPr>
                <w:sz w:val="26"/>
                <w:szCs w:val="26"/>
                <w:lang w:val="lv-LV"/>
              </w:rPr>
              <w:t xml:space="preserve">Nav, jo sabiedrības līdzdalība noteikumu projekta izstrādē netika nodrošināta. </w:t>
            </w:r>
          </w:p>
        </w:tc>
      </w:tr>
      <w:tr w:rsidR="002A0BC1" w:rsidRPr="00FB311D"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B311D" w:rsidRDefault="002A0BC1" w:rsidP="006D1520">
            <w:pPr>
              <w:rPr>
                <w:rFonts w:eastAsia="Times New Roman"/>
                <w:sz w:val="26"/>
                <w:szCs w:val="26"/>
                <w:lang w:val="lv-LV" w:eastAsia="lv-LV"/>
              </w:rPr>
            </w:pPr>
            <w:r w:rsidRPr="00FB311D">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B311D" w:rsidRDefault="002A0BC1" w:rsidP="006D1520">
            <w:pPr>
              <w:rPr>
                <w:rFonts w:eastAsia="Times New Roman"/>
                <w:sz w:val="26"/>
                <w:szCs w:val="26"/>
                <w:lang w:val="lv-LV" w:eastAsia="lv-LV"/>
              </w:rPr>
            </w:pPr>
            <w:r w:rsidRPr="00FB311D">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B311D" w:rsidRDefault="002A0BC1" w:rsidP="006D1520">
            <w:pPr>
              <w:ind w:firstLine="284"/>
              <w:jc w:val="both"/>
              <w:rPr>
                <w:rFonts w:eastAsia="Times New Roman"/>
                <w:sz w:val="26"/>
                <w:szCs w:val="26"/>
                <w:lang w:val="lv-LV" w:eastAsia="lv-LV"/>
              </w:rPr>
            </w:pPr>
            <w:r w:rsidRPr="00FB311D">
              <w:rPr>
                <w:rFonts w:eastAsia="Times New Roman"/>
                <w:iCs/>
                <w:sz w:val="26"/>
                <w:szCs w:val="26"/>
                <w:lang w:val="lv-LV" w:eastAsia="lv-LV"/>
              </w:rPr>
              <w:t>Nav</w:t>
            </w:r>
          </w:p>
        </w:tc>
      </w:tr>
    </w:tbl>
    <w:p w:rsidR="00ED4255" w:rsidRPr="00FB311D" w:rsidRDefault="00ED4255">
      <w:pPr>
        <w:rPr>
          <w:sz w:val="26"/>
          <w:szCs w:val="26"/>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EA6CD3" w:rsidRPr="00FB311D"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ind w:firstLine="720"/>
              <w:jc w:val="both"/>
              <w:rPr>
                <w:rFonts w:eastAsia="Times New Roman"/>
                <w:b/>
                <w:sz w:val="26"/>
                <w:szCs w:val="26"/>
                <w:lang w:val="lv-LV" w:eastAsia="lv-LV"/>
              </w:rPr>
            </w:pPr>
            <w:r w:rsidRPr="00FB311D">
              <w:rPr>
                <w:rFonts w:eastAsia="Times New Roman"/>
                <w:b/>
                <w:sz w:val="26"/>
                <w:szCs w:val="26"/>
                <w:lang w:val="lv-LV" w:eastAsia="lv-LV"/>
              </w:rPr>
              <w:t>VII. Tiesību akta projekta izpildes nodrošināšana un tās ietekme uz institūcijām</w:t>
            </w:r>
          </w:p>
        </w:tc>
      </w:tr>
      <w:tr w:rsidR="00EA6CD3" w:rsidRPr="00FB311D" w:rsidTr="002A0BC1">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ind w:firstLine="720"/>
              <w:jc w:val="both"/>
              <w:rPr>
                <w:rFonts w:eastAsia="Times New Roman"/>
                <w:sz w:val="26"/>
                <w:szCs w:val="26"/>
                <w:lang w:val="lv-LV" w:eastAsia="lv-LV"/>
              </w:rPr>
            </w:pPr>
            <w:r w:rsidRPr="00FB311D">
              <w:rPr>
                <w:rFonts w:eastAsia="Times New Roman"/>
                <w:sz w:val="26"/>
                <w:szCs w:val="26"/>
                <w:lang w:val="lv-LV" w:eastAsia="lv-LV"/>
              </w:rPr>
              <w:t xml:space="preserve">Ministru kabineta </w:t>
            </w:r>
            <w:r w:rsidRPr="00FB311D">
              <w:rPr>
                <w:sz w:val="26"/>
                <w:szCs w:val="26"/>
                <w:lang w:val="lv-LV"/>
              </w:rPr>
              <w:t>noteikumu</w:t>
            </w:r>
            <w:r w:rsidRPr="00FB311D">
              <w:rPr>
                <w:rFonts w:eastAsia="Times New Roman"/>
                <w:sz w:val="26"/>
                <w:szCs w:val="26"/>
                <w:lang w:val="lv-LV" w:eastAsia="lv-LV"/>
              </w:rPr>
              <w:t xml:space="preserve"> projekta izpildi nodrošinās </w:t>
            </w:r>
            <w:r w:rsidR="00DD3CA0">
              <w:rPr>
                <w:rFonts w:eastAsia="Times New Roman"/>
                <w:sz w:val="26"/>
                <w:szCs w:val="26"/>
                <w:lang w:val="lv-LV" w:eastAsia="lv-LV"/>
              </w:rPr>
              <w:t>EM</w:t>
            </w:r>
            <w:r w:rsidRPr="00FB311D">
              <w:rPr>
                <w:rFonts w:eastAsia="Times New Roman"/>
                <w:sz w:val="26"/>
                <w:szCs w:val="26"/>
                <w:lang w:val="lv-LV" w:eastAsia="lv-LV"/>
              </w:rPr>
              <w:t xml:space="preserve"> un </w:t>
            </w:r>
            <w:r w:rsidR="00C033EE">
              <w:rPr>
                <w:rFonts w:eastAsia="Times New Roman"/>
                <w:sz w:val="26"/>
                <w:szCs w:val="26"/>
                <w:lang w:val="lv-LV" w:eastAsia="lv-LV"/>
              </w:rPr>
              <w:t>LGA.</w:t>
            </w:r>
          </w:p>
          <w:p w:rsidR="00EA6CD3" w:rsidRPr="00FB311D" w:rsidRDefault="00EA6CD3" w:rsidP="00CB6AC4">
            <w:pPr>
              <w:ind w:firstLine="720"/>
              <w:jc w:val="both"/>
              <w:rPr>
                <w:rFonts w:eastAsia="Times New Roman"/>
                <w:sz w:val="26"/>
                <w:szCs w:val="26"/>
                <w:lang w:val="lv-LV" w:eastAsia="lv-LV"/>
              </w:rPr>
            </w:pPr>
          </w:p>
        </w:tc>
      </w:tr>
      <w:tr w:rsidR="00EA6CD3" w:rsidRPr="00FB311D" w:rsidTr="002A0BC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Projekta izpildes ietekme uz pārvaldes funkcijām</w:t>
            </w:r>
            <w:r w:rsidR="00254901" w:rsidRPr="00FB311D">
              <w:rPr>
                <w:rFonts w:eastAsia="Times New Roman"/>
                <w:sz w:val="26"/>
                <w:szCs w:val="26"/>
                <w:lang w:val="lv-LV" w:eastAsia="lv-LV"/>
              </w:rPr>
              <w:t xml:space="preserve">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ind w:firstLine="720"/>
              <w:jc w:val="both"/>
              <w:rPr>
                <w:rFonts w:eastAsia="Times New Roman"/>
                <w:sz w:val="26"/>
                <w:szCs w:val="26"/>
                <w:lang w:val="lv-LV" w:eastAsia="lv-LV"/>
              </w:rPr>
            </w:pPr>
            <w:r w:rsidRPr="00FB311D">
              <w:rPr>
                <w:rFonts w:eastAsia="Times New Roman"/>
                <w:sz w:val="26"/>
                <w:szCs w:val="26"/>
                <w:lang w:val="lv-LV" w:eastAsia="lv-LV"/>
              </w:rPr>
              <w:t xml:space="preserve">Ministru kabineta </w:t>
            </w:r>
            <w:r w:rsidRPr="00FB311D">
              <w:rPr>
                <w:sz w:val="26"/>
                <w:szCs w:val="26"/>
                <w:lang w:val="lv-LV"/>
              </w:rPr>
              <w:t>noteikumu</w:t>
            </w:r>
            <w:r w:rsidRPr="00FB311D">
              <w:rPr>
                <w:rFonts w:eastAsia="Times New Roman"/>
                <w:sz w:val="26"/>
                <w:szCs w:val="26"/>
                <w:lang w:val="lv-LV" w:eastAsia="lv-LV"/>
              </w:rPr>
              <w:t xml:space="preserve"> projekta izpilde tiks nodrošināta </w:t>
            </w:r>
            <w:r w:rsidR="00DD3CA0">
              <w:rPr>
                <w:rFonts w:eastAsia="Times New Roman"/>
                <w:sz w:val="26"/>
                <w:szCs w:val="26"/>
                <w:lang w:val="lv-LV" w:eastAsia="lv-LV"/>
              </w:rPr>
              <w:t>EM un LGA</w:t>
            </w:r>
            <w:r w:rsidRPr="00FB311D">
              <w:rPr>
                <w:rFonts w:eastAsia="Times New Roman"/>
                <w:sz w:val="26"/>
                <w:szCs w:val="26"/>
                <w:lang w:val="lv-LV" w:eastAsia="lv-LV"/>
              </w:rPr>
              <w:t xml:space="preserve"> esošo funkciju ietvaros.</w:t>
            </w:r>
          </w:p>
          <w:p w:rsidR="00EA6CD3" w:rsidRPr="00FB311D" w:rsidRDefault="00EA6CD3" w:rsidP="00CB6AC4">
            <w:pPr>
              <w:ind w:firstLine="720"/>
              <w:jc w:val="both"/>
              <w:rPr>
                <w:rFonts w:eastAsia="Times New Roman"/>
                <w:sz w:val="26"/>
                <w:szCs w:val="26"/>
                <w:lang w:val="lv-LV" w:eastAsia="lv-LV"/>
              </w:rPr>
            </w:pPr>
          </w:p>
        </w:tc>
      </w:tr>
      <w:tr w:rsidR="00EA6CD3" w:rsidRPr="00FB311D" w:rsidTr="002A0BC1">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B311D" w:rsidRDefault="00254901" w:rsidP="00CB6AC4">
            <w:pPr>
              <w:jc w:val="both"/>
              <w:rPr>
                <w:rFonts w:eastAsia="Times New Roman"/>
                <w:sz w:val="26"/>
                <w:szCs w:val="26"/>
                <w:lang w:val="lv-LV" w:eastAsia="lv-LV"/>
              </w:rPr>
            </w:pPr>
            <w:r w:rsidRPr="00FB311D">
              <w:rPr>
                <w:rFonts w:eastAsia="Times New Roman"/>
                <w:sz w:val="26"/>
                <w:szCs w:val="26"/>
                <w:lang w:val="lv-LV" w:eastAsia="lv-LV"/>
              </w:rPr>
              <w:t>3</w:t>
            </w:r>
            <w:r w:rsidR="00EA6CD3" w:rsidRPr="00FB311D">
              <w:rPr>
                <w:rFonts w:eastAsia="Times New Roman"/>
                <w:sz w:val="26"/>
                <w:szCs w:val="26"/>
                <w:lang w:val="lv-LV" w:eastAsia="lv-LV"/>
              </w:rPr>
              <w:t>.</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A6CD3" w:rsidP="00CB6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B311D" w:rsidRDefault="00EE61BD" w:rsidP="00CB6AC4">
            <w:pPr>
              <w:ind w:firstLine="720"/>
              <w:jc w:val="both"/>
              <w:rPr>
                <w:rFonts w:eastAsia="Times New Roman"/>
                <w:sz w:val="26"/>
                <w:szCs w:val="26"/>
                <w:lang w:val="lv-LV" w:eastAsia="lv-LV"/>
              </w:rPr>
            </w:pPr>
            <w:r w:rsidRPr="00FB311D">
              <w:rPr>
                <w:rFonts w:eastAsia="Times New Roman"/>
                <w:sz w:val="26"/>
                <w:szCs w:val="26"/>
                <w:lang w:val="lv-LV" w:eastAsia="lv-LV"/>
              </w:rPr>
              <w:t>Nav</w:t>
            </w:r>
          </w:p>
        </w:tc>
      </w:tr>
    </w:tbl>
    <w:p w:rsidR="00F53217" w:rsidRPr="00FB311D" w:rsidRDefault="00F53217" w:rsidP="00EA6CD3">
      <w:pPr>
        <w:tabs>
          <w:tab w:val="left" w:pos="7655"/>
        </w:tabs>
        <w:jc w:val="both"/>
        <w:rPr>
          <w:sz w:val="26"/>
          <w:szCs w:val="26"/>
          <w:lang w:val="lv-LV"/>
        </w:rPr>
      </w:pPr>
    </w:p>
    <w:p w:rsidR="00EA6CD3" w:rsidRPr="00FB311D" w:rsidRDefault="00EA6CD3" w:rsidP="00EA6CD3">
      <w:pPr>
        <w:tabs>
          <w:tab w:val="left" w:pos="7655"/>
        </w:tabs>
        <w:jc w:val="both"/>
        <w:rPr>
          <w:sz w:val="26"/>
          <w:szCs w:val="26"/>
          <w:lang w:val="lv-LV"/>
        </w:rPr>
      </w:pPr>
      <w:r w:rsidRPr="00FB311D">
        <w:rPr>
          <w:sz w:val="26"/>
          <w:szCs w:val="26"/>
          <w:lang w:val="lv-LV"/>
        </w:rPr>
        <w:t>Anotācijas III</w:t>
      </w:r>
      <w:r w:rsidR="0031311C">
        <w:rPr>
          <w:sz w:val="26"/>
          <w:szCs w:val="26"/>
          <w:lang w:val="lv-LV"/>
        </w:rPr>
        <w:t>.</w:t>
      </w:r>
      <w:r w:rsidR="00013481">
        <w:rPr>
          <w:sz w:val="26"/>
          <w:szCs w:val="26"/>
          <w:lang w:val="lv-LV"/>
        </w:rPr>
        <w:t xml:space="preserve"> </w:t>
      </w:r>
      <w:r w:rsidR="00A134AA">
        <w:rPr>
          <w:rFonts w:ascii="Times" w:hAnsi="Times"/>
          <w:sz w:val="26"/>
          <w:szCs w:val="26"/>
          <w:lang w:val="lv-LV"/>
        </w:rPr>
        <w:t>sadaļa</w:t>
      </w:r>
      <w:r w:rsidRPr="00FB311D">
        <w:rPr>
          <w:sz w:val="26"/>
          <w:szCs w:val="26"/>
          <w:lang w:val="lv-LV"/>
        </w:rPr>
        <w:t>–</w:t>
      </w:r>
      <w:r w:rsidR="00EE61BD" w:rsidRPr="00FB311D">
        <w:rPr>
          <w:sz w:val="26"/>
          <w:szCs w:val="26"/>
          <w:lang w:val="lv-LV"/>
        </w:rPr>
        <w:t xml:space="preserve"> noteikumu</w:t>
      </w:r>
      <w:r w:rsidRPr="00FB311D">
        <w:rPr>
          <w:sz w:val="26"/>
          <w:szCs w:val="26"/>
          <w:lang w:val="lv-LV"/>
        </w:rPr>
        <w:t xml:space="preserve"> </w:t>
      </w:r>
      <w:r w:rsidRPr="00FB311D">
        <w:rPr>
          <w:iCs/>
          <w:sz w:val="26"/>
          <w:szCs w:val="26"/>
          <w:lang w:val="lv-LV"/>
        </w:rPr>
        <w:t>projekts š</w:t>
      </w:r>
      <w:r w:rsidR="00254901" w:rsidRPr="00FB311D">
        <w:rPr>
          <w:iCs/>
          <w:sz w:val="26"/>
          <w:szCs w:val="26"/>
          <w:lang w:val="lv-LV"/>
        </w:rPr>
        <w:t xml:space="preserve">o </w:t>
      </w:r>
      <w:r w:rsidRPr="00FB311D">
        <w:rPr>
          <w:iCs/>
          <w:sz w:val="26"/>
          <w:szCs w:val="26"/>
          <w:lang w:val="lv-LV"/>
        </w:rPr>
        <w:t>jom</w:t>
      </w:r>
      <w:r w:rsidR="00254901" w:rsidRPr="00FB311D">
        <w:rPr>
          <w:iCs/>
          <w:sz w:val="26"/>
          <w:szCs w:val="26"/>
          <w:lang w:val="lv-LV"/>
        </w:rPr>
        <w:t>u</w:t>
      </w:r>
      <w:r w:rsidRPr="00FB311D">
        <w:rPr>
          <w:iCs/>
          <w:sz w:val="26"/>
          <w:szCs w:val="26"/>
          <w:lang w:val="lv-LV"/>
        </w:rPr>
        <w:t xml:space="preserve"> neskar</w:t>
      </w:r>
      <w:r w:rsidRPr="00FB311D">
        <w:rPr>
          <w:sz w:val="26"/>
          <w:szCs w:val="26"/>
          <w:lang w:val="lv-LV"/>
        </w:rPr>
        <w:t>.</w:t>
      </w:r>
    </w:p>
    <w:p w:rsidR="00A32A3F" w:rsidRPr="00FB311D" w:rsidRDefault="00A32A3F" w:rsidP="00EA6CD3">
      <w:pPr>
        <w:tabs>
          <w:tab w:val="right" w:pos="9072"/>
        </w:tabs>
        <w:rPr>
          <w:sz w:val="26"/>
          <w:szCs w:val="26"/>
          <w:lang w:val="lv-LV"/>
        </w:rPr>
      </w:pPr>
    </w:p>
    <w:p w:rsidR="005464E6" w:rsidRPr="00FB311D" w:rsidRDefault="005464E6" w:rsidP="00EA6CD3">
      <w:pPr>
        <w:tabs>
          <w:tab w:val="right" w:pos="9072"/>
        </w:tabs>
        <w:rPr>
          <w:sz w:val="26"/>
          <w:szCs w:val="26"/>
          <w:lang w:val="lv-LV"/>
        </w:rPr>
      </w:pPr>
    </w:p>
    <w:p w:rsidR="00EA6CD3" w:rsidRPr="00FB311D" w:rsidRDefault="00EA6CD3" w:rsidP="00EA6CD3">
      <w:pPr>
        <w:tabs>
          <w:tab w:val="right" w:pos="9072"/>
        </w:tabs>
        <w:rPr>
          <w:sz w:val="26"/>
          <w:szCs w:val="26"/>
          <w:lang w:val="lv-LV"/>
        </w:rPr>
      </w:pPr>
      <w:r w:rsidRPr="00FB311D">
        <w:rPr>
          <w:sz w:val="26"/>
          <w:szCs w:val="26"/>
          <w:lang w:val="lv-LV"/>
        </w:rPr>
        <w:t xml:space="preserve">Ekonomikas </w:t>
      </w:r>
      <w:r w:rsidR="00A134AA" w:rsidRPr="00FB311D">
        <w:rPr>
          <w:sz w:val="26"/>
          <w:szCs w:val="26"/>
          <w:lang w:val="lv-LV"/>
        </w:rPr>
        <w:t>ministr</w:t>
      </w:r>
      <w:r w:rsidR="00A134AA">
        <w:rPr>
          <w:sz w:val="26"/>
          <w:szCs w:val="26"/>
          <w:lang w:val="lv-LV"/>
        </w:rPr>
        <w:t>e</w:t>
      </w:r>
      <w:r w:rsidRPr="00FB311D">
        <w:rPr>
          <w:sz w:val="26"/>
          <w:szCs w:val="26"/>
          <w:lang w:val="lv-LV"/>
        </w:rPr>
        <w:tab/>
      </w:r>
      <w:r w:rsidR="00A134AA">
        <w:rPr>
          <w:sz w:val="26"/>
          <w:szCs w:val="26"/>
          <w:lang w:val="lv-LV"/>
        </w:rPr>
        <w:t>D.Reizniece-Ozola</w:t>
      </w:r>
      <w:r w:rsidRPr="00FB311D">
        <w:rPr>
          <w:sz w:val="26"/>
          <w:szCs w:val="26"/>
          <w:lang w:val="lv-LV"/>
        </w:rPr>
        <w:tab/>
      </w:r>
      <w:r w:rsidRPr="00FB311D">
        <w:rPr>
          <w:sz w:val="26"/>
          <w:szCs w:val="26"/>
          <w:lang w:val="lv-LV"/>
        </w:rPr>
        <w:tab/>
      </w:r>
      <w:r w:rsidRPr="00FB311D">
        <w:rPr>
          <w:sz w:val="26"/>
          <w:szCs w:val="26"/>
          <w:lang w:val="lv-LV"/>
        </w:rPr>
        <w:tab/>
      </w:r>
      <w:r w:rsidRPr="00FB311D">
        <w:rPr>
          <w:sz w:val="26"/>
          <w:szCs w:val="26"/>
          <w:lang w:val="lv-LV"/>
        </w:rPr>
        <w:tab/>
      </w:r>
      <w:r w:rsidRPr="00FB311D">
        <w:rPr>
          <w:sz w:val="26"/>
          <w:szCs w:val="26"/>
          <w:lang w:val="lv-LV"/>
        </w:rPr>
        <w:tab/>
      </w:r>
      <w:r w:rsidRPr="00FB311D">
        <w:rPr>
          <w:sz w:val="26"/>
          <w:szCs w:val="26"/>
          <w:lang w:val="lv-LV"/>
        </w:rPr>
        <w:tab/>
      </w:r>
    </w:p>
    <w:p w:rsidR="00EA6CD3" w:rsidRPr="00FB311D" w:rsidRDefault="00EA6CD3" w:rsidP="00EA6CD3">
      <w:pPr>
        <w:tabs>
          <w:tab w:val="left" w:pos="8222"/>
        </w:tabs>
        <w:rPr>
          <w:sz w:val="26"/>
          <w:szCs w:val="26"/>
          <w:lang w:val="lv-LV"/>
        </w:rPr>
      </w:pPr>
    </w:p>
    <w:p w:rsidR="00EA6CD3" w:rsidRPr="00FB311D" w:rsidRDefault="00EA6CD3" w:rsidP="00EA6CD3">
      <w:pPr>
        <w:tabs>
          <w:tab w:val="right" w:pos="9072"/>
        </w:tabs>
        <w:rPr>
          <w:sz w:val="26"/>
          <w:szCs w:val="26"/>
          <w:lang w:val="lv-LV"/>
        </w:rPr>
      </w:pPr>
    </w:p>
    <w:p w:rsidR="00EA6CD3" w:rsidRPr="00FB311D" w:rsidRDefault="00EA6CD3" w:rsidP="007A5C51">
      <w:pPr>
        <w:tabs>
          <w:tab w:val="right" w:pos="9072"/>
        </w:tabs>
        <w:rPr>
          <w:sz w:val="26"/>
          <w:szCs w:val="26"/>
          <w:lang w:val="lv-LV"/>
        </w:rPr>
      </w:pPr>
      <w:r w:rsidRPr="00FB311D">
        <w:rPr>
          <w:sz w:val="26"/>
          <w:szCs w:val="26"/>
          <w:lang w:val="lv-LV"/>
        </w:rPr>
        <w:t>Vīza: Valsts sekretār</w:t>
      </w:r>
      <w:r w:rsidR="007A5C51" w:rsidRPr="00FB311D">
        <w:rPr>
          <w:sz w:val="26"/>
          <w:szCs w:val="26"/>
          <w:lang w:val="lv-LV"/>
        </w:rPr>
        <w:t>s</w:t>
      </w:r>
      <w:r w:rsidRPr="00FB311D">
        <w:rPr>
          <w:sz w:val="26"/>
          <w:szCs w:val="26"/>
          <w:lang w:val="lv-LV"/>
        </w:rPr>
        <w:tab/>
      </w:r>
      <w:r w:rsidR="007A5C51" w:rsidRPr="00FB311D">
        <w:rPr>
          <w:sz w:val="26"/>
          <w:szCs w:val="26"/>
          <w:lang w:val="lv-LV"/>
        </w:rPr>
        <w:t>M.Lazdovskis</w:t>
      </w:r>
    </w:p>
    <w:p w:rsidR="00EA6CD3" w:rsidRPr="00FB311D" w:rsidRDefault="00EA6CD3" w:rsidP="00EA6CD3">
      <w:pPr>
        <w:jc w:val="both"/>
        <w:rPr>
          <w:color w:val="000000"/>
          <w:sz w:val="26"/>
          <w:szCs w:val="26"/>
          <w:lang w:val="lv-LV"/>
        </w:rPr>
      </w:pPr>
    </w:p>
    <w:p w:rsidR="00D64FFD" w:rsidRPr="00EE57C3" w:rsidRDefault="00D64FFD" w:rsidP="00EA6CD3">
      <w:pPr>
        <w:jc w:val="both"/>
        <w:rPr>
          <w:color w:val="000000"/>
          <w:sz w:val="22"/>
          <w:szCs w:val="22"/>
          <w:lang w:val="lv-LV"/>
        </w:rPr>
      </w:pPr>
    </w:p>
    <w:p w:rsidR="00EA6CD3" w:rsidRPr="005464E6" w:rsidRDefault="00C81679" w:rsidP="00EA6CD3">
      <w:pPr>
        <w:jc w:val="both"/>
        <w:rPr>
          <w:lang w:val="lv-LV"/>
        </w:rPr>
      </w:pPr>
      <w:r>
        <w:rPr>
          <w:lang w:val="lv-LV"/>
        </w:rPr>
        <w:t>02</w:t>
      </w:r>
      <w:r w:rsidR="00DD3CA0">
        <w:rPr>
          <w:lang w:val="lv-LV"/>
        </w:rPr>
        <w:t>.</w:t>
      </w:r>
      <w:r>
        <w:rPr>
          <w:lang w:val="lv-LV"/>
        </w:rPr>
        <w:t>02</w:t>
      </w:r>
      <w:r w:rsidR="00026F18">
        <w:rPr>
          <w:lang w:val="lv-LV"/>
        </w:rPr>
        <w:t>.201</w:t>
      </w:r>
      <w:r>
        <w:rPr>
          <w:lang w:val="lv-LV"/>
        </w:rPr>
        <w:t>5</w:t>
      </w:r>
      <w:r w:rsidR="00DD3CA0">
        <w:rPr>
          <w:lang w:val="lv-LV"/>
        </w:rPr>
        <w:t xml:space="preserve"> </w:t>
      </w:r>
      <w:r>
        <w:rPr>
          <w:lang w:val="lv-LV"/>
        </w:rPr>
        <w:t>10:2</w:t>
      </w:r>
      <w:r w:rsidR="00B87819">
        <w:rPr>
          <w:lang w:val="lv-LV"/>
        </w:rPr>
        <w:t>6</w:t>
      </w:r>
      <w:bookmarkStart w:id="3" w:name="_GoBack"/>
      <w:bookmarkEnd w:id="3"/>
    </w:p>
    <w:p w:rsidR="00D04299" w:rsidRDefault="00C81679" w:rsidP="00EA6CD3">
      <w:pPr>
        <w:jc w:val="both"/>
        <w:rPr>
          <w:color w:val="000000"/>
          <w:lang w:val="lv-LV"/>
        </w:rPr>
      </w:pPr>
      <w:r>
        <w:rPr>
          <w:color w:val="000000"/>
          <w:lang w:val="lv-LV"/>
        </w:rPr>
        <w:t>1288</w:t>
      </w:r>
    </w:p>
    <w:p w:rsidR="00EA6CD3" w:rsidRPr="005464E6" w:rsidRDefault="00EA6CD3" w:rsidP="00EA6CD3">
      <w:pPr>
        <w:jc w:val="both"/>
        <w:rPr>
          <w:color w:val="000000"/>
          <w:lang w:val="lv-LV"/>
        </w:rPr>
      </w:pPr>
      <w:r w:rsidRPr="005464E6">
        <w:rPr>
          <w:color w:val="000000"/>
          <w:lang w:val="lv-LV"/>
        </w:rPr>
        <w:t>A.Nicmane</w:t>
      </w:r>
    </w:p>
    <w:p w:rsidR="00EA6CD3" w:rsidRPr="005464E6" w:rsidRDefault="00EA6CD3" w:rsidP="00EA6CD3">
      <w:pPr>
        <w:jc w:val="both"/>
        <w:rPr>
          <w:color w:val="000000"/>
          <w:lang w:val="lv-LV"/>
        </w:rPr>
      </w:pPr>
      <w:r w:rsidRPr="005464E6">
        <w:rPr>
          <w:lang w:val="lv-LV"/>
        </w:rPr>
        <w:t>67013203,</w:t>
      </w:r>
      <w:r w:rsidR="00D04299">
        <w:rPr>
          <w:lang w:val="lv-LV"/>
        </w:rPr>
        <w:t xml:space="preserve"> </w:t>
      </w:r>
      <w:r w:rsidRPr="005464E6">
        <w:rPr>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sidP="006B2FEF">
      <w:r>
        <w:separator/>
      </w:r>
    </w:p>
  </w:endnote>
  <w:endnote w:type="continuationSeparator" w:id="0">
    <w:p w:rsidR="001B3398" w:rsidRDefault="001B3398"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4E6F05" w:rsidRDefault="004E6F05" w:rsidP="004E6F05">
    <w:pPr>
      <w:jc w:val="both"/>
      <w:rPr>
        <w:rFonts w:eastAsia="Times New Roman"/>
        <w:lang w:val="lv-LV" w:eastAsia="lv-LV"/>
      </w:rPr>
    </w:pPr>
    <w:r w:rsidRPr="004E6F05">
      <w:rPr>
        <w:rFonts w:eastAsia="Times New Roman"/>
        <w:lang w:val="lv-LV" w:eastAsia="lv-LV"/>
      </w:rPr>
      <w:t>EMANOT_</w:t>
    </w:r>
    <w:r w:rsidR="00B87819">
      <w:rPr>
        <w:rFonts w:eastAsia="Times New Roman"/>
        <w:lang w:val="lv-LV" w:eastAsia="lv-LV"/>
      </w:rPr>
      <w:t>0202</w:t>
    </w:r>
    <w:r w:rsidR="00A134AA" w:rsidRPr="004E6F05">
      <w:rPr>
        <w:rFonts w:eastAsia="Times New Roman"/>
        <w:lang w:val="lv-LV" w:eastAsia="lv-LV"/>
      </w:rPr>
      <w:t>1</w:t>
    </w:r>
    <w:r w:rsidR="00A134AA">
      <w:rPr>
        <w:rFonts w:eastAsia="Times New Roman"/>
        <w:lang w:val="lv-LV" w:eastAsia="lv-LV"/>
      </w:rPr>
      <w:t>5</w:t>
    </w:r>
    <w:r w:rsidRPr="004E6F05">
      <w:rPr>
        <w:rFonts w:eastAsia="Times New Roman"/>
        <w:lang w:val="lv-LV" w:eastAsia="lv-LV"/>
      </w:rPr>
      <w:t>_GROZ436; Ministru kabineta noteikumu projekta „Grozījumi Ministru kabineta 2009.gada 12.maija noteikumos Nr.436 „Īstermiņa eksporta kredītu garantēšanas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4E6F05" w:rsidRDefault="004E6F05" w:rsidP="00B87819">
    <w:pPr>
      <w:pStyle w:val="Footer"/>
      <w:jc w:val="both"/>
    </w:pPr>
    <w:r w:rsidRPr="004E6F05">
      <w:rPr>
        <w:rFonts w:eastAsia="Times New Roman"/>
        <w:lang w:val="lv-LV" w:eastAsia="lv-LV"/>
      </w:rPr>
      <w:t>EMANOT_</w:t>
    </w:r>
    <w:r w:rsidR="00B87819">
      <w:rPr>
        <w:rFonts w:eastAsia="Times New Roman"/>
        <w:lang w:val="lv-LV" w:eastAsia="lv-LV"/>
      </w:rPr>
      <w:t>020215</w:t>
    </w:r>
    <w:r w:rsidRPr="004E6F05">
      <w:rPr>
        <w:rFonts w:eastAsia="Times New Roman"/>
        <w:lang w:val="lv-LV" w:eastAsia="lv-LV"/>
      </w:rPr>
      <w:t>_GROZ436; Ministru kabineta noteikumu projekta „Grozījumi Ministru kabineta 2009.gada 12.maija noteikumos Nr.436 „Īstermiņa eksporta kredītu garantēšanas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sidP="006B2FEF">
      <w:r>
        <w:separator/>
      </w:r>
    </w:p>
  </w:footnote>
  <w:footnote w:type="continuationSeparator" w:id="0">
    <w:p w:rsidR="001B3398" w:rsidRDefault="001B3398"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6D1520" w:rsidRPr="00B014C2" w:rsidRDefault="006D1520">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B87819">
          <w:rPr>
            <w:noProof/>
            <w:sz w:val="24"/>
            <w:szCs w:val="24"/>
          </w:rPr>
          <w:t>6</w:t>
        </w:r>
        <w:r w:rsidRPr="00B014C2">
          <w:rPr>
            <w:sz w:val="24"/>
            <w:szCs w:val="24"/>
          </w:rPr>
          <w:fldChar w:fldCharType="end"/>
        </w:r>
      </w:p>
    </w:sdtContent>
  </w:sdt>
  <w:p w:rsidR="006D1520" w:rsidRDefault="006D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58AA"/>
    <w:rsid w:val="0001048C"/>
    <w:rsid w:val="00013481"/>
    <w:rsid w:val="00013B61"/>
    <w:rsid w:val="0002003C"/>
    <w:rsid w:val="00026F18"/>
    <w:rsid w:val="0004027B"/>
    <w:rsid w:val="000527A4"/>
    <w:rsid w:val="000678CD"/>
    <w:rsid w:val="00071082"/>
    <w:rsid w:val="0007330D"/>
    <w:rsid w:val="00074090"/>
    <w:rsid w:val="00080352"/>
    <w:rsid w:val="00094B1E"/>
    <w:rsid w:val="00095280"/>
    <w:rsid w:val="00096060"/>
    <w:rsid w:val="000964C6"/>
    <w:rsid w:val="000B3449"/>
    <w:rsid w:val="000B492B"/>
    <w:rsid w:val="000C33C1"/>
    <w:rsid w:val="000D3D56"/>
    <w:rsid w:val="000D43D9"/>
    <w:rsid w:val="000D74B9"/>
    <w:rsid w:val="000E53C3"/>
    <w:rsid w:val="00164E60"/>
    <w:rsid w:val="001655DD"/>
    <w:rsid w:val="00165747"/>
    <w:rsid w:val="00166A8B"/>
    <w:rsid w:val="00171E97"/>
    <w:rsid w:val="00172082"/>
    <w:rsid w:val="00177882"/>
    <w:rsid w:val="00186A4D"/>
    <w:rsid w:val="00187140"/>
    <w:rsid w:val="001935C8"/>
    <w:rsid w:val="001A3ED2"/>
    <w:rsid w:val="001A7C3A"/>
    <w:rsid w:val="001B3398"/>
    <w:rsid w:val="001C0801"/>
    <w:rsid w:val="001C68A2"/>
    <w:rsid w:val="001D0800"/>
    <w:rsid w:val="001D7DC1"/>
    <w:rsid w:val="001F7AAD"/>
    <w:rsid w:val="0020468C"/>
    <w:rsid w:val="00217F5B"/>
    <w:rsid w:val="002267E7"/>
    <w:rsid w:val="0025023B"/>
    <w:rsid w:val="00254901"/>
    <w:rsid w:val="00255BAC"/>
    <w:rsid w:val="00261B97"/>
    <w:rsid w:val="00271003"/>
    <w:rsid w:val="002A0435"/>
    <w:rsid w:val="002A0BC1"/>
    <w:rsid w:val="002A166A"/>
    <w:rsid w:val="002E1075"/>
    <w:rsid w:val="002E678E"/>
    <w:rsid w:val="002E708A"/>
    <w:rsid w:val="002F741D"/>
    <w:rsid w:val="00304810"/>
    <w:rsid w:val="003061FB"/>
    <w:rsid w:val="0031259B"/>
    <w:rsid w:val="0031311C"/>
    <w:rsid w:val="003228DE"/>
    <w:rsid w:val="00326096"/>
    <w:rsid w:val="00337AC6"/>
    <w:rsid w:val="003469A0"/>
    <w:rsid w:val="00346CE0"/>
    <w:rsid w:val="00354ABE"/>
    <w:rsid w:val="00366AFE"/>
    <w:rsid w:val="0037021D"/>
    <w:rsid w:val="00374F73"/>
    <w:rsid w:val="00380AC5"/>
    <w:rsid w:val="003814A5"/>
    <w:rsid w:val="00387734"/>
    <w:rsid w:val="00392998"/>
    <w:rsid w:val="00395460"/>
    <w:rsid w:val="00396152"/>
    <w:rsid w:val="003B32EC"/>
    <w:rsid w:val="003B5F6A"/>
    <w:rsid w:val="003B63BE"/>
    <w:rsid w:val="003C3D3D"/>
    <w:rsid w:val="003D1A86"/>
    <w:rsid w:val="003E4132"/>
    <w:rsid w:val="003E58C7"/>
    <w:rsid w:val="003E5A6D"/>
    <w:rsid w:val="003F2B20"/>
    <w:rsid w:val="003F2C34"/>
    <w:rsid w:val="003F30FC"/>
    <w:rsid w:val="004038BC"/>
    <w:rsid w:val="00405C2D"/>
    <w:rsid w:val="00411733"/>
    <w:rsid w:val="0041609A"/>
    <w:rsid w:val="00416A31"/>
    <w:rsid w:val="00417136"/>
    <w:rsid w:val="00423B46"/>
    <w:rsid w:val="00425AA9"/>
    <w:rsid w:val="00426250"/>
    <w:rsid w:val="00430849"/>
    <w:rsid w:val="00431019"/>
    <w:rsid w:val="00431A76"/>
    <w:rsid w:val="004352F7"/>
    <w:rsid w:val="0043554A"/>
    <w:rsid w:val="00442D1E"/>
    <w:rsid w:val="00443016"/>
    <w:rsid w:val="00445945"/>
    <w:rsid w:val="00452140"/>
    <w:rsid w:val="00467343"/>
    <w:rsid w:val="0047031A"/>
    <w:rsid w:val="00483B86"/>
    <w:rsid w:val="004A5EEF"/>
    <w:rsid w:val="004B0B1D"/>
    <w:rsid w:val="004C0738"/>
    <w:rsid w:val="004E6F05"/>
    <w:rsid w:val="005316A7"/>
    <w:rsid w:val="00531AFF"/>
    <w:rsid w:val="00534305"/>
    <w:rsid w:val="0054402D"/>
    <w:rsid w:val="005464E6"/>
    <w:rsid w:val="00555557"/>
    <w:rsid w:val="00567FC5"/>
    <w:rsid w:val="00571CCF"/>
    <w:rsid w:val="00572180"/>
    <w:rsid w:val="005771D5"/>
    <w:rsid w:val="00592809"/>
    <w:rsid w:val="00593343"/>
    <w:rsid w:val="005A5A80"/>
    <w:rsid w:val="005B2DA5"/>
    <w:rsid w:val="005B476F"/>
    <w:rsid w:val="005B6095"/>
    <w:rsid w:val="005B65B8"/>
    <w:rsid w:val="005C63C7"/>
    <w:rsid w:val="005C6B2C"/>
    <w:rsid w:val="005D06E8"/>
    <w:rsid w:val="005D1195"/>
    <w:rsid w:val="005D688E"/>
    <w:rsid w:val="005E4164"/>
    <w:rsid w:val="005F0ABD"/>
    <w:rsid w:val="005F3FC6"/>
    <w:rsid w:val="00614ECD"/>
    <w:rsid w:val="006231D7"/>
    <w:rsid w:val="006233E7"/>
    <w:rsid w:val="00626031"/>
    <w:rsid w:val="00630E17"/>
    <w:rsid w:val="006373FF"/>
    <w:rsid w:val="00637793"/>
    <w:rsid w:val="00646A6F"/>
    <w:rsid w:val="006531FE"/>
    <w:rsid w:val="006559F5"/>
    <w:rsid w:val="00661782"/>
    <w:rsid w:val="00672822"/>
    <w:rsid w:val="006729D2"/>
    <w:rsid w:val="00673BC6"/>
    <w:rsid w:val="006775B3"/>
    <w:rsid w:val="00684808"/>
    <w:rsid w:val="006B2536"/>
    <w:rsid w:val="006B2FEF"/>
    <w:rsid w:val="006B6D6C"/>
    <w:rsid w:val="006C5ECD"/>
    <w:rsid w:val="006D1520"/>
    <w:rsid w:val="006D2F0C"/>
    <w:rsid w:val="006D3604"/>
    <w:rsid w:val="006E2082"/>
    <w:rsid w:val="006F1DD7"/>
    <w:rsid w:val="006F2362"/>
    <w:rsid w:val="006F47EB"/>
    <w:rsid w:val="006F4DE9"/>
    <w:rsid w:val="006F71C2"/>
    <w:rsid w:val="00700AC3"/>
    <w:rsid w:val="00700E68"/>
    <w:rsid w:val="007161D3"/>
    <w:rsid w:val="00730DDA"/>
    <w:rsid w:val="00752DBC"/>
    <w:rsid w:val="0075411D"/>
    <w:rsid w:val="00756F8A"/>
    <w:rsid w:val="00762675"/>
    <w:rsid w:val="00762FC8"/>
    <w:rsid w:val="0077534E"/>
    <w:rsid w:val="0078045E"/>
    <w:rsid w:val="00780B70"/>
    <w:rsid w:val="00782847"/>
    <w:rsid w:val="00783641"/>
    <w:rsid w:val="00783D20"/>
    <w:rsid w:val="007954D3"/>
    <w:rsid w:val="007A2F02"/>
    <w:rsid w:val="007A5C51"/>
    <w:rsid w:val="007B41D7"/>
    <w:rsid w:val="007C1A7D"/>
    <w:rsid w:val="007E2FDE"/>
    <w:rsid w:val="007E4C1F"/>
    <w:rsid w:val="007F0204"/>
    <w:rsid w:val="00814AFC"/>
    <w:rsid w:val="0082350A"/>
    <w:rsid w:val="00831A5D"/>
    <w:rsid w:val="00857F7B"/>
    <w:rsid w:val="008764DD"/>
    <w:rsid w:val="008841EB"/>
    <w:rsid w:val="00891C00"/>
    <w:rsid w:val="00895E41"/>
    <w:rsid w:val="008B206C"/>
    <w:rsid w:val="008B56DF"/>
    <w:rsid w:val="008B5EFB"/>
    <w:rsid w:val="008D65D5"/>
    <w:rsid w:val="008D67EB"/>
    <w:rsid w:val="008D7F23"/>
    <w:rsid w:val="009165D6"/>
    <w:rsid w:val="00921504"/>
    <w:rsid w:val="00954428"/>
    <w:rsid w:val="00954C0F"/>
    <w:rsid w:val="00956C4B"/>
    <w:rsid w:val="00957E64"/>
    <w:rsid w:val="009614FC"/>
    <w:rsid w:val="00961605"/>
    <w:rsid w:val="00963C88"/>
    <w:rsid w:val="00966814"/>
    <w:rsid w:val="009A692C"/>
    <w:rsid w:val="009B584C"/>
    <w:rsid w:val="009B75D4"/>
    <w:rsid w:val="009D0A96"/>
    <w:rsid w:val="009F0FC9"/>
    <w:rsid w:val="00A03E32"/>
    <w:rsid w:val="00A134AA"/>
    <w:rsid w:val="00A1351D"/>
    <w:rsid w:val="00A14369"/>
    <w:rsid w:val="00A229AC"/>
    <w:rsid w:val="00A23E8B"/>
    <w:rsid w:val="00A25225"/>
    <w:rsid w:val="00A26676"/>
    <w:rsid w:val="00A27A02"/>
    <w:rsid w:val="00A32A3F"/>
    <w:rsid w:val="00A337C5"/>
    <w:rsid w:val="00A33B10"/>
    <w:rsid w:val="00A56E9B"/>
    <w:rsid w:val="00A969CC"/>
    <w:rsid w:val="00A96C8D"/>
    <w:rsid w:val="00AC1819"/>
    <w:rsid w:val="00AD5C75"/>
    <w:rsid w:val="00AE0055"/>
    <w:rsid w:val="00B15DBA"/>
    <w:rsid w:val="00B2297A"/>
    <w:rsid w:val="00B300C7"/>
    <w:rsid w:val="00B32793"/>
    <w:rsid w:val="00B4164D"/>
    <w:rsid w:val="00B462F7"/>
    <w:rsid w:val="00B51427"/>
    <w:rsid w:val="00B5564B"/>
    <w:rsid w:val="00B65CF6"/>
    <w:rsid w:val="00B700CC"/>
    <w:rsid w:val="00B80371"/>
    <w:rsid w:val="00B837AE"/>
    <w:rsid w:val="00B868AD"/>
    <w:rsid w:val="00B87819"/>
    <w:rsid w:val="00B9742D"/>
    <w:rsid w:val="00BA1CB7"/>
    <w:rsid w:val="00BB0BAA"/>
    <w:rsid w:val="00BC608E"/>
    <w:rsid w:val="00BC69DC"/>
    <w:rsid w:val="00BD0970"/>
    <w:rsid w:val="00BD220F"/>
    <w:rsid w:val="00BD7AE1"/>
    <w:rsid w:val="00BE15E4"/>
    <w:rsid w:val="00BE76D9"/>
    <w:rsid w:val="00BF15B9"/>
    <w:rsid w:val="00BF32FA"/>
    <w:rsid w:val="00C033EE"/>
    <w:rsid w:val="00C0447C"/>
    <w:rsid w:val="00C05EF2"/>
    <w:rsid w:val="00C12CF8"/>
    <w:rsid w:val="00C25016"/>
    <w:rsid w:val="00C26333"/>
    <w:rsid w:val="00C264E6"/>
    <w:rsid w:val="00C26E37"/>
    <w:rsid w:val="00C30704"/>
    <w:rsid w:val="00C42ACD"/>
    <w:rsid w:val="00C52004"/>
    <w:rsid w:val="00C66A4D"/>
    <w:rsid w:val="00C67180"/>
    <w:rsid w:val="00C7251E"/>
    <w:rsid w:val="00C77C68"/>
    <w:rsid w:val="00C81679"/>
    <w:rsid w:val="00C85115"/>
    <w:rsid w:val="00CA0BCB"/>
    <w:rsid w:val="00CB6AC4"/>
    <w:rsid w:val="00CE4A24"/>
    <w:rsid w:val="00CE5541"/>
    <w:rsid w:val="00CF1E79"/>
    <w:rsid w:val="00CF4607"/>
    <w:rsid w:val="00D04299"/>
    <w:rsid w:val="00D05A7A"/>
    <w:rsid w:val="00D20CC5"/>
    <w:rsid w:val="00D217AC"/>
    <w:rsid w:val="00D41F46"/>
    <w:rsid w:val="00D455A4"/>
    <w:rsid w:val="00D51C5F"/>
    <w:rsid w:val="00D5265D"/>
    <w:rsid w:val="00D62E09"/>
    <w:rsid w:val="00D64FFD"/>
    <w:rsid w:val="00D7230F"/>
    <w:rsid w:val="00D84DE0"/>
    <w:rsid w:val="00DA239C"/>
    <w:rsid w:val="00DB3721"/>
    <w:rsid w:val="00DB3D04"/>
    <w:rsid w:val="00DC72F1"/>
    <w:rsid w:val="00DD0953"/>
    <w:rsid w:val="00DD1F77"/>
    <w:rsid w:val="00DD3CA0"/>
    <w:rsid w:val="00DE16C1"/>
    <w:rsid w:val="00DF6E16"/>
    <w:rsid w:val="00E00218"/>
    <w:rsid w:val="00E018E1"/>
    <w:rsid w:val="00E116BA"/>
    <w:rsid w:val="00E15447"/>
    <w:rsid w:val="00E23059"/>
    <w:rsid w:val="00E40942"/>
    <w:rsid w:val="00E50E6F"/>
    <w:rsid w:val="00E539B3"/>
    <w:rsid w:val="00E55EC8"/>
    <w:rsid w:val="00E72404"/>
    <w:rsid w:val="00E74A15"/>
    <w:rsid w:val="00E7567F"/>
    <w:rsid w:val="00E93CFE"/>
    <w:rsid w:val="00EA0EBB"/>
    <w:rsid w:val="00EA6CD3"/>
    <w:rsid w:val="00EC03E6"/>
    <w:rsid w:val="00EC3CE5"/>
    <w:rsid w:val="00ED053C"/>
    <w:rsid w:val="00ED18C9"/>
    <w:rsid w:val="00ED377A"/>
    <w:rsid w:val="00ED4255"/>
    <w:rsid w:val="00ED5CF7"/>
    <w:rsid w:val="00EE4A54"/>
    <w:rsid w:val="00EE61BD"/>
    <w:rsid w:val="00F02B01"/>
    <w:rsid w:val="00F066C5"/>
    <w:rsid w:val="00F30608"/>
    <w:rsid w:val="00F32822"/>
    <w:rsid w:val="00F352DD"/>
    <w:rsid w:val="00F40F20"/>
    <w:rsid w:val="00F44B3E"/>
    <w:rsid w:val="00F53217"/>
    <w:rsid w:val="00F70443"/>
    <w:rsid w:val="00F7097D"/>
    <w:rsid w:val="00F716EF"/>
    <w:rsid w:val="00F9016C"/>
    <w:rsid w:val="00F9305D"/>
    <w:rsid w:val="00F9522F"/>
    <w:rsid w:val="00FB311D"/>
    <w:rsid w:val="00FC3C7A"/>
    <w:rsid w:val="00FD061B"/>
    <w:rsid w:val="00FD5F34"/>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8322-43FF-49A3-9823-47088A02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6870</Words>
  <Characters>3917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12.maija noteikumos Nr.436 „Īstermiņa eksporta kredītu garantēšanas noteikumi”” sākotnējās ietekmes novērtējuma ziņojums (anotācija)</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12.maija noteikumos Nr.436 „Īstermiņa eksporta kredītu garantēšanas noteikumi”” sākotnējās ietekmes novērtējuma ziņojums (anotācija)</dc:title>
  <dc:subject>Noteikumu projekta sākotnējas ietekmes novērtējuma ziņojums (anotācija)</dc:subject>
  <dc:creator>Agita Nicmane</dc:creator>
  <dc:description>Agita.Nicmane@em.gov.lv</dc:description>
  <cp:lastModifiedBy>Agita Nicmane</cp:lastModifiedBy>
  <cp:revision>3</cp:revision>
  <cp:lastPrinted>2014-07-25T11:11:00Z</cp:lastPrinted>
  <dcterms:created xsi:type="dcterms:W3CDTF">2015-02-02T08:24:00Z</dcterms:created>
  <dcterms:modified xsi:type="dcterms:W3CDTF">2015-02-02T08:26:00Z</dcterms:modified>
</cp:coreProperties>
</file>