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88C" w:rsidRDefault="0016588C" w:rsidP="0016588C">
      <w:pPr>
        <w:jc w:val="center"/>
        <w:rPr>
          <w:b/>
          <w:sz w:val="28"/>
          <w:szCs w:val="28"/>
        </w:rPr>
      </w:pPr>
    </w:p>
    <w:p w:rsidR="00193E45" w:rsidRPr="00973B75" w:rsidRDefault="00193E45" w:rsidP="00193E45">
      <w:pPr>
        <w:ind w:firstLine="720"/>
        <w:jc w:val="center"/>
        <w:rPr>
          <w:b/>
          <w:sz w:val="28"/>
          <w:szCs w:val="28"/>
        </w:rPr>
      </w:pPr>
      <w:bookmarkStart w:id="0" w:name="OLE_LINK3"/>
      <w:bookmarkStart w:id="1" w:name="OLE_LINK4"/>
      <w:bookmarkStart w:id="2" w:name="OLE_LINK5"/>
      <w:bookmarkStart w:id="3" w:name="OLE_LINK1"/>
      <w:bookmarkStart w:id="4" w:name="OLE_LINK2"/>
      <w:r w:rsidRPr="00973B75">
        <w:rPr>
          <w:b/>
          <w:sz w:val="28"/>
          <w:szCs w:val="28"/>
        </w:rPr>
        <w:t xml:space="preserve">Ministru kabineta noteikumu projekta </w:t>
      </w:r>
    </w:p>
    <w:p w:rsidR="00193E45" w:rsidRPr="00973B75" w:rsidRDefault="00193E45" w:rsidP="00193E45">
      <w:pPr>
        <w:ind w:firstLine="720"/>
        <w:jc w:val="center"/>
        <w:rPr>
          <w:b/>
          <w:bCs/>
          <w:sz w:val="28"/>
          <w:szCs w:val="28"/>
        </w:rPr>
      </w:pPr>
      <w:r w:rsidRPr="00973B75">
        <w:rPr>
          <w:b/>
          <w:sz w:val="28"/>
          <w:szCs w:val="28"/>
        </w:rPr>
        <w:t xml:space="preserve">„Noteikumi par Latvijas būvnormatīvu LBN </w:t>
      </w:r>
      <w:r w:rsidR="004009B5" w:rsidRPr="00973B75">
        <w:rPr>
          <w:b/>
          <w:sz w:val="28"/>
          <w:szCs w:val="28"/>
        </w:rPr>
        <w:t>241</w:t>
      </w:r>
      <w:r w:rsidRPr="00973B75">
        <w:rPr>
          <w:b/>
          <w:sz w:val="28"/>
          <w:szCs w:val="28"/>
        </w:rPr>
        <w:t>-15 „</w:t>
      </w:r>
      <w:r w:rsidR="0032711D" w:rsidRPr="00973B75">
        <w:rPr>
          <w:b/>
          <w:sz w:val="28"/>
          <w:szCs w:val="28"/>
        </w:rPr>
        <w:t>Dabasgāzes iekšējo gāzesvadu sistēma</w:t>
      </w:r>
      <w:r w:rsidRPr="00973B75">
        <w:rPr>
          <w:b/>
          <w:sz w:val="28"/>
          <w:szCs w:val="28"/>
        </w:rPr>
        <w:t xml:space="preserve">”” sākotnējās ietekmes novērtējuma </w:t>
      </w:r>
      <w:smartTag w:uri="schemas-tilde-lv/tildestengine" w:element="veidnes">
        <w:smartTagPr>
          <w:attr w:name="text" w:val="ziņojums"/>
          <w:attr w:name="baseform" w:val="ziņojums"/>
          <w:attr w:name="id" w:val="-1"/>
        </w:smartTagPr>
        <w:r w:rsidRPr="00973B75">
          <w:rPr>
            <w:b/>
            <w:sz w:val="28"/>
            <w:szCs w:val="28"/>
          </w:rPr>
          <w:t>ziņojums</w:t>
        </w:r>
      </w:smartTag>
      <w:r w:rsidRPr="00973B75">
        <w:rPr>
          <w:b/>
          <w:sz w:val="28"/>
          <w:szCs w:val="28"/>
        </w:rPr>
        <w:t xml:space="preserve"> (</w:t>
      </w:r>
      <w:r w:rsidRPr="00973B75">
        <w:rPr>
          <w:b/>
          <w:bCs/>
          <w:sz w:val="28"/>
          <w:szCs w:val="28"/>
        </w:rPr>
        <w:t>anotācija)</w:t>
      </w:r>
      <w:bookmarkEnd w:id="0"/>
      <w:bookmarkEnd w:id="1"/>
      <w:bookmarkEnd w:id="2"/>
      <w:bookmarkEnd w:id="3"/>
      <w:bookmarkEnd w:id="4"/>
    </w:p>
    <w:p w:rsidR="00193E45" w:rsidRPr="00973B75" w:rsidRDefault="00193E45" w:rsidP="00193E45">
      <w:pPr>
        <w:tabs>
          <w:tab w:val="left" w:pos="7230"/>
        </w:tabs>
        <w:rPr>
          <w:color w:val="FF0000"/>
          <w:sz w:val="28"/>
          <w:szCs w:val="28"/>
        </w:rPr>
      </w:pP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"/>
        <w:gridCol w:w="3177"/>
        <w:gridCol w:w="5361"/>
      </w:tblGrid>
      <w:tr w:rsidR="00193E45" w:rsidRPr="00973B75" w:rsidTr="00FD76CC">
        <w:tc>
          <w:tcPr>
            <w:tcW w:w="9062" w:type="dxa"/>
            <w:gridSpan w:val="3"/>
            <w:vAlign w:val="center"/>
          </w:tcPr>
          <w:p w:rsidR="00193E45" w:rsidRPr="00973B75" w:rsidRDefault="00193E45" w:rsidP="00FD76CC">
            <w:pPr>
              <w:jc w:val="center"/>
              <w:rPr>
                <w:sz w:val="28"/>
                <w:szCs w:val="28"/>
              </w:rPr>
            </w:pPr>
            <w:r w:rsidRPr="00973B75">
              <w:rPr>
                <w:b/>
                <w:sz w:val="28"/>
                <w:szCs w:val="28"/>
              </w:rPr>
              <w:t>I. Tiesību akta projekta izstrādes nepieciešamība</w:t>
            </w:r>
          </w:p>
        </w:tc>
      </w:tr>
      <w:tr w:rsidR="00193E45" w:rsidRPr="00973B75" w:rsidTr="00FD76CC">
        <w:trPr>
          <w:trHeight w:val="439"/>
        </w:trPr>
        <w:tc>
          <w:tcPr>
            <w:tcW w:w="524" w:type="dxa"/>
          </w:tcPr>
          <w:p w:rsidR="00193E45" w:rsidRPr="00973B75" w:rsidRDefault="00193E45" w:rsidP="00FD76CC">
            <w:pPr>
              <w:ind w:left="57" w:right="57"/>
              <w:rPr>
                <w:sz w:val="28"/>
                <w:szCs w:val="28"/>
              </w:rPr>
            </w:pPr>
            <w:r w:rsidRPr="00973B75">
              <w:rPr>
                <w:sz w:val="28"/>
                <w:szCs w:val="28"/>
              </w:rPr>
              <w:t> 1.</w:t>
            </w:r>
          </w:p>
        </w:tc>
        <w:tc>
          <w:tcPr>
            <w:tcW w:w="3177" w:type="dxa"/>
          </w:tcPr>
          <w:p w:rsidR="00193E45" w:rsidRPr="00973B75" w:rsidRDefault="00193E45" w:rsidP="00FD76CC">
            <w:pPr>
              <w:ind w:left="57" w:right="57"/>
              <w:rPr>
                <w:sz w:val="28"/>
                <w:szCs w:val="28"/>
              </w:rPr>
            </w:pPr>
            <w:r w:rsidRPr="00973B75">
              <w:rPr>
                <w:sz w:val="28"/>
                <w:szCs w:val="28"/>
              </w:rPr>
              <w:t>Pamatojums</w:t>
            </w:r>
          </w:p>
        </w:tc>
        <w:tc>
          <w:tcPr>
            <w:tcW w:w="5361" w:type="dxa"/>
          </w:tcPr>
          <w:p w:rsidR="00193E45" w:rsidRPr="00973B75" w:rsidRDefault="00193E45" w:rsidP="00FD76CC">
            <w:pPr>
              <w:ind w:left="57" w:right="57" w:firstLine="284"/>
              <w:jc w:val="both"/>
              <w:rPr>
                <w:sz w:val="28"/>
                <w:szCs w:val="28"/>
              </w:rPr>
            </w:pPr>
            <w:r w:rsidRPr="00973B75">
              <w:rPr>
                <w:sz w:val="28"/>
                <w:szCs w:val="28"/>
              </w:rPr>
              <w:t xml:space="preserve">Ministru kabineta noteikumu projekts </w:t>
            </w:r>
            <w:r w:rsidR="0032711D" w:rsidRPr="00973B75">
              <w:rPr>
                <w:sz w:val="28"/>
                <w:szCs w:val="28"/>
              </w:rPr>
              <w:t xml:space="preserve">„Noteikumi par Latvijas būvnormatīvu LBN 241-15 „Dabasgāzes iekšējo gāzesvadu sistēma”” </w:t>
            </w:r>
            <w:r w:rsidRPr="00973B75">
              <w:rPr>
                <w:sz w:val="28"/>
                <w:szCs w:val="28"/>
              </w:rPr>
              <w:t xml:space="preserve">(turpmāk – būvnormatīvs) tiek izdots saskaņā ar </w:t>
            </w:r>
            <w:r w:rsidRPr="00973B75">
              <w:rPr>
                <w:rFonts w:eastAsia="SimSun"/>
                <w:sz w:val="28"/>
                <w:szCs w:val="28"/>
                <w:lang w:eastAsia="zh-CN"/>
              </w:rPr>
              <w:t>Būvniecības likuma 5.panta pirmās daļas 3.punktu</w:t>
            </w:r>
            <w:r w:rsidRPr="00973B75">
              <w:rPr>
                <w:sz w:val="28"/>
                <w:szCs w:val="28"/>
              </w:rPr>
              <w:t xml:space="preserve">, kā arī, lai nodrošinātu Būvniecības </w:t>
            </w:r>
            <w:r w:rsidRPr="00973B75">
              <w:rPr>
                <w:bCs/>
                <w:sz w:val="28"/>
                <w:szCs w:val="28"/>
              </w:rPr>
              <w:t>likuma pārejas noteikumu 2.punkta izpildi.</w:t>
            </w:r>
          </w:p>
          <w:p w:rsidR="00193E45" w:rsidRPr="00973B75" w:rsidRDefault="00193E45" w:rsidP="00FD76CC">
            <w:pPr>
              <w:pStyle w:val="naiskr"/>
              <w:spacing w:before="0" w:after="0"/>
              <w:ind w:left="57" w:right="57"/>
              <w:jc w:val="both"/>
              <w:rPr>
                <w:sz w:val="28"/>
                <w:szCs w:val="28"/>
              </w:rPr>
            </w:pPr>
          </w:p>
        </w:tc>
      </w:tr>
      <w:tr w:rsidR="00193E45" w:rsidRPr="00973B75" w:rsidTr="00FD76CC">
        <w:trPr>
          <w:trHeight w:val="977"/>
        </w:trPr>
        <w:tc>
          <w:tcPr>
            <w:tcW w:w="524" w:type="dxa"/>
          </w:tcPr>
          <w:p w:rsidR="00193E45" w:rsidRPr="00973B75" w:rsidRDefault="00193E45" w:rsidP="00FD76CC">
            <w:pPr>
              <w:ind w:left="57" w:right="57"/>
              <w:rPr>
                <w:sz w:val="28"/>
                <w:szCs w:val="28"/>
              </w:rPr>
            </w:pPr>
            <w:r w:rsidRPr="00973B75">
              <w:rPr>
                <w:sz w:val="28"/>
                <w:szCs w:val="28"/>
              </w:rPr>
              <w:t> 2.</w:t>
            </w:r>
          </w:p>
        </w:tc>
        <w:tc>
          <w:tcPr>
            <w:tcW w:w="3177" w:type="dxa"/>
          </w:tcPr>
          <w:p w:rsidR="00193E45" w:rsidRPr="00973B75" w:rsidRDefault="00193E45" w:rsidP="00FD76CC">
            <w:pPr>
              <w:ind w:left="57" w:right="57"/>
              <w:rPr>
                <w:sz w:val="28"/>
                <w:szCs w:val="28"/>
              </w:rPr>
            </w:pPr>
            <w:r w:rsidRPr="00973B75">
              <w:rPr>
                <w:sz w:val="28"/>
                <w:szCs w:val="28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5361" w:type="dxa"/>
          </w:tcPr>
          <w:p w:rsidR="007468BD" w:rsidRPr="00973B75" w:rsidRDefault="00E72B25" w:rsidP="0001625D">
            <w:pPr>
              <w:pStyle w:val="naiskr"/>
              <w:spacing w:before="0" w:after="0"/>
              <w:ind w:left="57" w:right="57" w:firstLine="284"/>
              <w:jc w:val="both"/>
              <w:rPr>
                <w:sz w:val="28"/>
                <w:szCs w:val="28"/>
              </w:rPr>
            </w:pPr>
            <w:r w:rsidRPr="00973B75">
              <w:rPr>
                <w:sz w:val="28"/>
                <w:szCs w:val="28"/>
              </w:rPr>
              <w:t xml:space="preserve">Ministru kabineta noteikumu projekts „Noteikumi par Latvijas būvnormatīvu LBN 241-15 „Dabasgāzes iekšējo gāzesvadu sistēma”” </w:t>
            </w:r>
            <w:r>
              <w:rPr>
                <w:sz w:val="28"/>
                <w:szCs w:val="28"/>
              </w:rPr>
              <w:t xml:space="preserve">mērķis ir noteikt tehniskās prasības dabasgāzes iekšējo gāzesvadu sistēmām. </w:t>
            </w:r>
            <w:r w:rsidR="00193E45" w:rsidRPr="00973B75">
              <w:rPr>
                <w:sz w:val="28"/>
                <w:szCs w:val="28"/>
              </w:rPr>
              <w:t xml:space="preserve">Atbilstoši Būvniecības likuma pārejas noteikumu 2. punktam Latvijas būvnormatīvs LBN </w:t>
            </w:r>
            <w:r w:rsidR="006A0A17" w:rsidRPr="00973B75">
              <w:rPr>
                <w:sz w:val="28"/>
                <w:szCs w:val="28"/>
              </w:rPr>
              <w:t>241-03</w:t>
            </w:r>
            <w:r w:rsidR="00193E45" w:rsidRPr="00973B75">
              <w:rPr>
                <w:sz w:val="28"/>
                <w:szCs w:val="28"/>
              </w:rPr>
              <w:t xml:space="preserve"> „</w:t>
            </w:r>
            <w:r w:rsidR="006A0A17" w:rsidRPr="00973B75">
              <w:rPr>
                <w:sz w:val="28"/>
                <w:szCs w:val="28"/>
              </w:rPr>
              <w:t>Iekšējās gāzesvadu sistēmas un gāzes iekārtas</w:t>
            </w:r>
            <w:r w:rsidR="00193E45" w:rsidRPr="00973B75">
              <w:rPr>
                <w:sz w:val="28"/>
                <w:szCs w:val="28"/>
              </w:rPr>
              <w:t xml:space="preserve">” ir piemērojams ne ilgāk kā līdz 2015.gada 1.jūlijam. Līdz ar to, līdz šim laikam ir nepieciešams izdot jaunu atbilstošu būvnormatīvu, lai noteiktu projektēšanas prasības </w:t>
            </w:r>
            <w:r w:rsidR="006A0A17" w:rsidRPr="00973B75">
              <w:rPr>
                <w:sz w:val="28"/>
                <w:szCs w:val="28"/>
              </w:rPr>
              <w:t>gāzes iekšējai gāzesvadu sistēmai</w:t>
            </w:r>
            <w:r w:rsidR="00193E45" w:rsidRPr="00973B75">
              <w:rPr>
                <w:sz w:val="28"/>
                <w:szCs w:val="28"/>
              </w:rPr>
              <w:t xml:space="preserve">. </w:t>
            </w:r>
          </w:p>
          <w:p w:rsidR="00D15F3B" w:rsidRPr="00973B75" w:rsidRDefault="0006397E" w:rsidP="00FD76CC">
            <w:pPr>
              <w:pStyle w:val="naiskr"/>
              <w:spacing w:before="0" w:after="0"/>
              <w:ind w:left="57" w:right="57" w:firstLine="284"/>
              <w:jc w:val="both"/>
              <w:rPr>
                <w:sz w:val="28"/>
                <w:szCs w:val="28"/>
              </w:rPr>
            </w:pPr>
            <w:r w:rsidRPr="00973B75">
              <w:rPr>
                <w:sz w:val="28"/>
                <w:szCs w:val="28"/>
              </w:rPr>
              <w:t xml:space="preserve">Lai uzlabotu būvnormatīva uzskatāmību pašlaik spēkā esošais normatīvs sadalīts uz jauno būvnormatīvu dabasgāzei un jauno būvnormatīvu sašķidrinātajai naftas gāzei. </w:t>
            </w:r>
            <w:r w:rsidR="00193E45" w:rsidRPr="00973B75">
              <w:rPr>
                <w:sz w:val="28"/>
                <w:szCs w:val="28"/>
              </w:rPr>
              <w:t>Jaunais būvnormatīvs pēc būtības</w:t>
            </w:r>
            <w:r w:rsidR="009F3195" w:rsidRPr="00973B75">
              <w:rPr>
                <w:sz w:val="28"/>
                <w:szCs w:val="28"/>
              </w:rPr>
              <w:t xml:space="preserve"> būtiski</w:t>
            </w:r>
            <w:r w:rsidR="00193E45" w:rsidRPr="00973B75">
              <w:rPr>
                <w:sz w:val="28"/>
                <w:szCs w:val="28"/>
              </w:rPr>
              <w:t xml:space="preserve"> nemaina līdz šim noteiktās projektēšanas </w:t>
            </w:r>
            <w:r w:rsidR="00D15F3B" w:rsidRPr="00973B75">
              <w:rPr>
                <w:sz w:val="28"/>
                <w:szCs w:val="28"/>
              </w:rPr>
              <w:t xml:space="preserve">un būvniecības </w:t>
            </w:r>
            <w:r w:rsidR="00193E45" w:rsidRPr="00973B75">
              <w:rPr>
                <w:sz w:val="28"/>
                <w:szCs w:val="28"/>
              </w:rPr>
              <w:t xml:space="preserve">prasības </w:t>
            </w:r>
            <w:r w:rsidR="009F3195" w:rsidRPr="00973B75">
              <w:rPr>
                <w:sz w:val="28"/>
                <w:szCs w:val="28"/>
              </w:rPr>
              <w:t>dabasgāzes iekšējai gāzesvadu sistēmai</w:t>
            </w:r>
            <w:r w:rsidR="00314C96" w:rsidRPr="00973B75">
              <w:rPr>
                <w:sz w:val="28"/>
                <w:szCs w:val="28"/>
              </w:rPr>
              <w:t xml:space="preserve">, kas ietvertas Latvijas </w:t>
            </w:r>
            <w:r w:rsidR="00A8598A" w:rsidRPr="00973B75">
              <w:rPr>
                <w:sz w:val="28"/>
                <w:szCs w:val="28"/>
              </w:rPr>
              <w:t xml:space="preserve">būvnormatīvā </w:t>
            </w:r>
            <w:r w:rsidR="00314C96" w:rsidRPr="00973B75">
              <w:rPr>
                <w:sz w:val="28"/>
                <w:szCs w:val="28"/>
              </w:rPr>
              <w:t>LBN 241-03 „Iekšējās gāzesvadu sistēmas un gāzes iekārtas”</w:t>
            </w:r>
            <w:r w:rsidR="00193E45" w:rsidRPr="00973B75">
              <w:rPr>
                <w:sz w:val="28"/>
                <w:szCs w:val="28"/>
              </w:rPr>
              <w:t>.</w:t>
            </w:r>
            <w:r w:rsidR="00CD045E" w:rsidRPr="00973B75">
              <w:rPr>
                <w:sz w:val="28"/>
                <w:szCs w:val="28"/>
              </w:rPr>
              <w:t xml:space="preserve"> </w:t>
            </w:r>
            <w:r w:rsidR="002122DE" w:rsidRPr="00973B75">
              <w:rPr>
                <w:sz w:val="28"/>
                <w:szCs w:val="28"/>
              </w:rPr>
              <w:t xml:space="preserve">Turklāt jaunajā būvnormatīvā paredzēts, ka gadījumos, kad </w:t>
            </w:r>
            <w:proofErr w:type="spellStart"/>
            <w:r w:rsidR="002122DE" w:rsidRPr="00973B75">
              <w:rPr>
                <w:sz w:val="28"/>
                <w:szCs w:val="28"/>
              </w:rPr>
              <w:t>gāzapgāde</w:t>
            </w:r>
            <w:proofErr w:type="spellEnd"/>
            <w:r w:rsidR="002122DE" w:rsidRPr="00973B75">
              <w:rPr>
                <w:sz w:val="28"/>
                <w:szCs w:val="28"/>
              </w:rPr>
              <w:t xml:space="preserve"> ir ar dabasgāzi un plānota pāreja uz apgādi ar sašķidrināto naftas gāzi gāzes vadu sistēma jāprojektē tā, lai to būtu iespējams vēlāk izmantot sašķidrinātai naftas </w:t>
            </w:r>
            <w:r w:rsidR="002122DE" w:rsidRPr="00973B75">
              <w:rPr>
                <w:sz w:val="28"/>
                <w:szCs w:val="28"/>
              </w:rPr>
              <w:lastRenderedPageBreak/>
              <w:t xml:space="preserve">gāzei. </w:t>
            </w:r>
            <w:r w:rsidR="00E72B25">
              <w:rPr>
                <w:sz w:val="28"/>
                <w:szCs w:val="28"/>
              </w:rPr>
              <w:t xml:space="preserve">Tehniskās prasības sašķidrinātās naftas gāzes iekšējo gāzesvadu sistēmām ir noteiktas </w:t>
            </w:r>
            <w:r w:rsidR="00E72B25" w:rsidRPr="00973B75">
              <w:rPr>
                <w:sz w:val="28"/>
                <w:szCs w:val="28"/>
              </w:rPr>
              <w:t>Latvijas būvnormatīvā LBN 24</w:t>
            </w:r>
            <w:r w:rsidR="00E72B25">
              <w:rPr>
                <w:sz w:val="28"/>
                <w:szCs w:val="28"/>
              </w:rPr>
              <w:t>3-15</w:t>
            </w:r>
            <w:r w:rsidR="00E72B25" w:rsidRPr="00973B75">
              <w:rPr>
                <w:sz w:val="28"/>
                <w:szCs w:val="28"/>
              </w:rPr>
              <w:t xml:space="preserve"> „</w:t>
            </w:r>
            <w:r w:rsidR="00E72B25">
              <w:rPr>
                <w:sz w:val="28"/>
                <w:szCs w:val="28"/>
              </w:rPr>
              <w:t xml:space="preserve">Sašķidrinātās naftas gāzes iekšējo un ārējo gāzesvadu sistēma”. </w:t>
            </w:r>
            <w:r w:rsidR="00CD045E" w:rsidRPr="00973B75">
              <w:rPr>
                <w:sz w:val="28"/>
                <w:szCs w:val="28"/>
              </w:rPr>
              <w:t>Dabasg</w:t>
            </w:r>
            <w:r w:rsidR="00DE277D" w:rsidRPr="00973B75">
              <w:rPr>
                <w:sz w:val="28"/>
                <w:szCs w:val="28"/>
              </w:rPr>
              <w:t xml:space="preserve">āzes iekšējo gāzesvadu sistēma šī būvnormatīva izpratnē ir </w:t>
            </w:r>
            <w:r w:rsidR="00CD045E" w:rsidRPr="00973B75">
              <w:rPr>
                <w:sz w:val="28"/>
                <w:szCs w:val="28"/>
              </w:rPr>
              <w:t xml:space="preserve">dabasgāzes cauruļvadu sistēma (gāzes regulēšanas iekārtas, caurules, veidgabali, </w:t>
            </w:r>
            <w:proofErr w:type="spellStart"/>
            <w:r w:rsidR="00CD045E" w:rsidRPr="00973B75">
              <w:rPr>
                <w:sz w:val="28"/>
                <w:szCs w:val="28"/>
              </w:rPr>
              <w:t>noslēgierīces</w:t>
            </w:r>
            <w:proofErr w:type="spellEnd"/>
            <w:r w:rsidR="00CD045E" w:rsidRPr="00973B75">
              <w:rPr>
                <w:sz w:val="28"/>
                <w:szCs w:val="28"/>
              </w:rPr>
              <w:t xml:space="preserve">, vārsti, izpūšanas sveces u.c. no ievada </w:t>
            </w:r>
            <w:proofErr w:type="spellStart"/>
            <w:r w:rsidR="00CD045E" w:rsidRPr="00973B75">
              <w:rPr>
                <w:sz w:val="28"/>
                <w:szCs w:val="28"/>
              </w:rPr>
              <w:t>noslēgierīces</w:t>
            </w:r>
            <w:proofErr w:type="spellEnd"/>
            <w:r w:rsidR="00CD045E" w:rsidRPr="00973B75">
              <w:rPr>
                <w:sz w:val="28"/>
                <w:szCs w:val="28"/>
              </w:rPr>
              <w:t xml:space="preserve"> līdz g</w:t>
            </w:r>
            <w:r w:rsidR="00DE277D" w:rsidRPr="00973B75">
              <w:rPr>
                <w:sz w:val="28"/>
                <w:szCs w:val="28"/>
              </w:rPr>
              <w:t>āzes iekārtai) un gāzes iekārta.</w:t>
            </w:r>
            <w:r w:rsidR="005B0C56">
              <w:rPr>
                <w:sz w:val="28"/>
                <w:szCs w:val="28"/>
              </w:rPr>
              <w:t xml:space="preserve"> </w:t>
            </w:r>
            <w:r w:rsidR="00D15F3B" w:rsidRPr="00973B75">
              <w:rPr>
                <w:sz w:val="28"/>
                <w:szCs w:val="28"/>
              </w:rPr>
              <w:t xml:space="preserve">Būvnormatīvs nosaka tehniskās prasības gāzesvadu sistēmas ar maksimālo darba spiedienu līdz 1.6 </w:t>
            </w:r>
            <w:proofErr w:type="spellStart"/>
            <w:r w:rsidR="00D15F3B" w:rsidRPr="00973B75">
              <w:rPr>
                <w:sz w:val="28"/>
                <w:szCs w:val="28"/>
              </w:rPr>
              <w:t>MPa</w:t>
            </w:r>
            <w:proofErr w:type="spellEnd"/>
            <w:r w:rsidR="00D15F3B" w:rsidRPr="00973B75">
              <w:rPr>
                <w:sz w:val="28"/>
                <w:szCs w:val="28"/>
              </w:rPr>
              <w:t xml:space="preserve"> (16 bar) projektēšanai, būvdarbiem un pieņemšanai ekspluatācijā dzīvojamās un nedzīvojamās ēkās.</w:t>
            </w:r>
          </w:p>
          <w:p w:rsidR="00A2489F" w:rsidRPr="00973B75" w:rsidRDefault="00CB6531" w:rsidP="00CB6531">
            <w:pPr>
              <w:pStyle w:val="naiskr"/>
              <w:ind w:left="57" w:right="57" w:firstLine="284"/>
              <w:jc w:val="both"/>
              <w:rPr>
                <w:sz w:val="28"/>
                <w:szCs w:val="28"/>
              </w:rPr>
            </w:pPr>
            <w:r w:rsidRPr="00973B75">
              <w:rPr>
                <w:sz w:val="28"/>
                <w:szCs w:val="28"/>
              </w:rPr>
              <w:t>B</w:t>
            </w:r>
            <w:r w:rsidR="005477F7" w:rsidRPr="00973B75">
              <w:rPr>
                <w:sz w:val="28"/>
                <w:szCs w:val="28"/>
              </w:rPr>
              <w:t>ūvnormatīv</w:t>
            </w:r>
            <w:r w:rsidRPr="00973B75">
              <w:rPr>
                <w:sz w:val="28"/>
                <w:szCs w:val="28"/>
              </w:rPr>
              <w:t>s</w:t>
            </w:r>
            <w:r w:rsidR="005477F7" w:rsidRPr="00973B75">
              <w:rPr>
                <w:sz w:val="28"/>
                <w:szCs w:val="28"/>
              </w:rPr>
              <w:t xml:space="preserve"> satur precizētus terminus</w:t>
            </w:r>
            <w:r w:rsidR="00A16443" w:rsidRPr="00973B75">
              <w:rPr>
                <w:sz w:val="28"/>
                <w:szCs w:val="28"/>
              </w:rPr>
              <w:t>. Būv</w:t>
            </w:r>
            <w:r w:rsidRPr="00973B75">
              <w:rPr>
                <w:sz w:val="28"/>
                <w:szCs w:val="28"/>
              </w:rPr>
              <w:t>n</w:t>
            </w:r>
            <w:r w:rsidR="00A16443" w:rsidRPr="00973B75">
              <w:rPr>
                <w:sz w:val="28"/>
                <w:szCs w:val="28"/>
              </w:rPr>
              <w:t xml:space="preserve">ormatīvā izmantotie termini un skaidrojums ir atbilstošs </w:t>
            </w:r>
            <w:r w:rsidR="005477F7" w:rsidRPr="00973B75">
              <w:rPr>
                <w:sz w:val="28"/>
                <w:szCs w:val="28"/>
              </w:rPr>
              <w:t>Būvniecības likumam un tam saistošajiem normatīvajiem aktiem</w:t>
            </w:r>
            <w:r w:rsidRPr="00973B75">
              <w:rPr>
                <w:sz w:val="28"/>
                <w:szCs w:val="28"/>
              </w:rPr>
              <w:t xml:space="preserve">, </w:t>
            </w:r>
            <w:r w:rsidR="0006397E" w:rsidRPr="00973B75">
              <w:rPr>
                <w:sz w:val="28"/>
                <w:szCs w:val="28"/>
              </w:rPr>
              <w:t xml:space="preserve">kā arī </w:t>
            </w:r>
            <w:r w:rsidRPr="00973B75">
              <w:rPr>
                <w:sz w:val="28"/>
                <w:szCs w:val="28"/>
              </w:rPr>
              <w:t>Enerģētikas likumam</w:t>
            </w:r>
            <w:r w:rsidR="005477F7" w:rsidRPr="00973B75">
              <w:rPr>
                <w:sz w:val="28"/>
                <w:szCs w:val="28"/>
              </w:rPr>
              <w:t xml:space="preserve">. </w:t>
            </w:r>
          </w:p>
          <w:p w:rsidR="009C32F1" w:rsidRPr="00973B75" w:rsidRDefault="009C32F1" w:rsidP="00FD76CC">
            <w:pPr>
              <w:pStyle w:val="naiskr"/>
              <w:spacing w:before="0" w:after="0"/>
              <w:ind w:left="57" w:right="57" w:firstLine="284"/>
              <w:jc w:val="both"/>
              <w:rPr>
                <w:sz w:val="28"/>
                <w:szCs w:val="28"/>
              </w:rPr>
            </w:pPr>
            <w:r w:rsidRPr="00973B75">
              <w:rPr>
                <w:sz w:val="28"/>
                <w:szCs w:val="28"/>
              </w:rPr>
              <w:t>Gāzesvadu sistēmu projektē, būvē un ekspluatē tā, lai nodrošinātu tās drošu, energoefektīvu un inženiertehniskās kvalitātes principiem atbilstošu lietošanu visā tās ekspluatācijas laikā. Gāzesvadu sistēmas ekspluatācija un remontdarbi veicami atbilstoši L</w:t>
            </w:r>
            <w:r w:rsidR="000C4249" w:rsidRPr="00973B75">
              <w:rPr>
                <w:sz w:val="28"/>
                <w:szCs w:val="28"/>
              </w:rPr>
              <w:t>atvijas valsts standartam Nr.</w:t>
            </w:r>
            <w:r w:rsidRPr="00973B75">
              <w:rPr>
                <w:sz w:val="28"/>
                <w:szCs w:val="28"/>
              </w:rPr>
              <w:t xml:space="preserve">445 „Dabasgāzes sadales sistēmas un lietotāja dabasgāzes apgādes sistēmas ar maksimālo darba spiedienu līdz 1,6 </w:t>
            </w:r>
            <w:proofErr w:type="spellStart"/>
            <w:r w:rsidRPr="00973B75">
              <w:rPr>
                <w:sz w:val="28"/>
                <w:szCs w:val="28"/>
              </w:rPr>
              <w:t>MPa</w:t>
            </w:r>
            <w:proofErr w:type="spellEnd"/>
            <w:r w:rsidRPr="00973B75">
              <w:rPr>
                <w:sz w:val="28"/>
                <w:szCs w:val="28"/>
              </w:rPr>
              <w:t xml:space="preserve"> (16 bar) ekspluatācija un tehniskā apkope” prasībām.</w:t>
            </w:r>
          </w:p>
          <w:p w:rsidR="00D16159" w:rsidRPr="00973B75" w:rsidRDefault="00E116CF" w:rsidP="001627FF">
            <w:pPr>
              <w:pStyle w:val="naiskr"/>
              <w:ind w:left="57" w:right="57" w:firstLine="284"/>
              <w:jc w:val="both"/>
              <w:rPr>
                <w:sz w:val="28"/>
                <w:szCs w:val="28"/>
              </w:rPr>
            </w:pPr>
            <w:r w:rsidRPr="00973B75">
              <w:rPr>
                <w:sz w:val="28"/>
                <w:szCs w:val="28"/>
              </w:rPr>
              <w:t xml:space="preserve">Jāņem vērā, ka gāzes aparātiem ir saistoši arī tādi normatīvie akti, kā </w:t>
            </w:r>
            <w:r w:rsidR="001E4D48" w:rsidRPr="00973B75">
              <w:rPr>
                <w:sz w:val="28"/>
                <w:szCs w:val="28"/>
              </w:rPr>
              <w:t>Ministru kabineta 2001.gada 10.aprīļa noteikumi Nr.163 „Noteikumi par iekārtām, kurās tiek izmantots gāzveida</w:t>
            </w:r>
            <w:r w:rsidR="00FE7CD9" w:rsidRPr="00973B75">
              <w:rPr>
                <w:sz w:val="28"/>
                <w:szCs w:val="28"/>
              </w:rPr>
              <w:t xml:space="preserve"> </w:t>
            </w:r>
            <w:r w:rsidR="001E4D48" w:rsidRPr="00973B75">
              <w:rPr>
                <w:sz w:val="28"/>
                <w:szCs w:val="28"/>
              </w:rPr>
              <w:t>kurināmais</w:t>
            </w:r>
            <w:r w:rsidR="00FE7CD9" w:rsidRPr="00973B75">
              <w:rPr>
                <w:sz w:val="28"/>
                <w:szCs w:val="28"/>
              </w:rPr>
              <w:t>”</w:t>
            </w:r>
            <w:r w:rsidR="00580FB7" w:rsidRPr="00973B75">
              <w:rPr>
                <w:sz w:val="28"/>
                <w:szCs w:val="28"/>
              </w:rPr>
              <w:t xml:space="preserve">. Gāzes aparātu energoefektivitātei </w:t>
            </w:r>
            <w:r w:rsidR="00E35726" w:rsidRPr="00973B75">
              <w:rPr>
                <w:sz w:val="28"/>
                <w:szCs w:val="28"/>
              </w:rPr>
              <w:t>saisto</w:t>
            </w:r>
            <w:r w:rsidR="001261F5" w:rsidRPr="00973B75">
              <w:rPr>
                <w:sz w:val="28"/>
                <w:szCs w:val="28"/>
              </w:rPr>
              <w:t xml:space="preserve">ši </w:t>
            </w:r>
            <w:r w:rsidR="00E00D78" w:rsidRPr="00973B75">
              <w:rPr>
                <w:sz w:val="28"/>
                <w:szCs w:val="28"/>
              </w:rPr>
              <w:t xml:space="preserve">ir </w:t>
            </w:r>
            <w:r w:rsidR="001261F5" w:rsidRPr="00973B75">
              <w:rPr>
                <w:sz w:val="28"/>
                <w:szCs w:val="28"/>
              </w:rPr>
              <w:t>tād</w:t>
            </w:r>
            <w:r w:rsidR="00E00D78" w:rsidRPr="00973B75">
              <w:rPr>
                <w:sz w:val="28"/>
                <w:szCs w:val="28"/>
              </w:rPr>
              <w:t>i</w:t>
            </w:r>
            <w:r w:rsidR="001261F5" w:rsidRPr="00973B75">
              <w:rPr>
                <w:sz w:val="28"/>
                <w:szCs w:val="28"/>
              </w:rPr>
              <w:t xml:space="preserve"> ES </w:t>
            </w:r>
            <w:r w:rsidR="00E00D78" w:rsidRPr="00973B75">
              <w:rPr>
                <w:sz w:val="28"/>
                <w:szCs w:val="28"/>
              </w:rPr>
              <w:t>tiesību akti</w:t>
            </w:r>
            <w:r w:rsidR="001261F5" w:rsidRPr="00973B75">
              <w:rPr>
                <w:sz w:val="28"/>
                <w:szCs w:val="28"/>
              </w:rPr>
              <w:t>, kā</w:t>
            </w:r>
            <w:r w:rsidR="00E35726" w:rsidRPr="00973B75">
              <w:rPr>
                <w:sz w:val="28"/>
                <w:szCs w:val="28"/>
              </w:rPr>
              <w:t xml:space="preserve"> </w:t>
            </w:r>
            <w:r w:rsidRPr="00973B75">
              <w:rPr>
                <w:sz w:val="28"/>
                <w:szCs w:val="28"/>
              </w:rPr>
              <w:t xml:space="preserve">Regula </w:t>
            </w:r>
            <w:r w:rsidR="00D94A16" w:rsidRPr="00973B75">
              <w:rPr>
                <w:sz w:val="28"/>
                <w:szCs w:val="28"/>
              </w:rPr>
              <w:t>Nr. 811/2013</w:t>
            </w:r>
            <w:r w:rsidR="001627FF" w:rsidRPr="00973B75">
              <w:rPr>
                <w:sz w:val="28"/>
                <w:szCs w:val="28"/>
              </w:rPr>
              <w:t xml:space="preserve"> </w:t>
            </w:r>
            <w:r w:rsidR="00D94A16" w:rsidRPr="00973B75">
              <w:rPr>
                <w:sz w:val="28"/>
                <w:szCs w:val="28"/>
              </w:rPr>
              <w:t>(2013. gada 18. februāris),</w:t>
            </w:r>
            <w:r w:rsidR="001627FF" w:rsidRPr="00973B75">
              <w:rPr>
                <w:sz w:val="28"/>
                <w:szCs w:val="28"/>
              </w:rPr>
              <w:t xml:space="preserve"> </w:t>
            </w:r>
            <w:r w:rsidR="00D94A16" w:rsidRPr="00973B75">
              <w:rPr>
                <w:sz w:val="28"/>
                <w:szCs w:val="28"/>
              </w:rPr>
              <w:t xml:space="preserve">ar ko Eiropas Parlamenta un Padomes Direktīvu 2010/30/ES papildina attiecībā uz telpu sildītāju, kombinēto sildītāju, telpu sildītāja, temperatūras regulatora un </w:t>
            </w:r>
            <w:r w:rsidR="00D94A16" w:rsidRPr="00973B75">
              <w:rPr>
                <w:sz w:val="28"/>
                <w:szCs w:val="28"/>
              </w:rPr>
              <w:lastRenderedPageBreak/>
              <w:t xml:space="preserve">saules enerģijas iekārtas komplektu un kombinētā sildītāja, temperatūras regulatora un saules enerģijas iekārtas komplektu </w:t>
            </w:r>
            <w:proofErr w:type="spellStart"/>
            <w:r w:rsidR="00D94A16" w:rsidRPr="00973B75">
              <w:rPr>
                <w:sz w:val="28"/>
                <w:szCs w:val="28"/>
              </w:rPr>
              <w:t>energomarķējumu</w:t>
            </w:r>
            <w:proofErr w:type="spellEnd"/>
            <w:r w:rsidR="001627FF" w:rsidRPr="00973B75">
              <w:rPr>
                <w:sz w:val="28"/>
                <w:szCs w:val="28"/>
              </w:rPr>
              <w:t>, Regula Nr.</w:t>
            </w:r>
            <w:r w:rsidR="00692DBC" w:rsidRPr="00973B75">
              <w:rPr>
                <w:sz w:val="28"/>
                <w:szCs w:val="28"/>
              </w:rPr>
              <w:t>812/2013</w:t>
            </w:r>
            <w:r w:rsidR="001627FF" w:rsidRPr="00973B75">
              <w:rPr>
                <w:sz w:val="28"/>
                <w:szCs w:val="28"/>
              </w:rPr>
              <w:t xml:space="preserve"> </w:t>
            </w:r>
            <w:r w:rsidR="00692DBC" w:rsidRPr="00973B75">
              <w:rPr>
                <w:sz w:val="28"/>
                <w:szCs w:val="28"/>
              </w:rPr>
              <w:t>(2013. gada 18. februāris),</w:t>
            </w:r>
            <w:r w:rsidR="001627FF" w:rsidRPr="00973B75">
              <w:rPr>
                <w:sz w:val="28"/>
                <w:szCs w:val="28"/>
              </w:rPr>
              <w:t xml:space="preserve"> </w:t>
            </w:r>
            <w:r w:rsidR="00692DBC" w:rsidRPr="00973B75">
              <w:rPr>
                <w:sz w:val="28"/>
                <w:szCs w:val="28"/>
              </w:rPr>
              <w:t xml:space="preserve">ar ko Eiropas Parlamenta un Padomes Direktīvu 2010/30/ES papildina attiecībā uz ūdenssildītāju, karstā ūdens tvertņu un ūdenssildītāja un saules enerģijas iekārtas komplektu </w:t>
            </w:r>
            <w:proofErr w:type="spellStart"/>
            <w:r w:rsidR="00692DBC" w:rsidRPr="00973B75">
              <w:rPr>
                <w:sz w:val="28"/>
                <w:szCs w:val="28"/>
              </w:rPr>
              <w:t>energomarķējumu</w:t>
            </w:r>
            <w:proofErr w:type="spellEnd"/>
            <w:r w:rsidR="001627FF" w:rsidRPr="00973B75">
              <w:rPr>
                <w:sz w:val="28"/>
                <w:szCs w:val="28"/>
              </w:rPr>
              <w:t>, un Direktīva Nr.</w:t>
            </w:r>
            <w:r w:rsidR="00D16159" w:rsidRPr="00973B75">
              <w:rPr>
                <w:sz w:val="28"/>
                <w:szCs w:val="28"/>
              </w:rPr>
              <w:t>2009/125/EK (2009. gada 21.</w:t>
            </w:r>
            <w:r w:rsidR="008059CB" w:rsidRPr="00973B75">
              <w:rPr>
                <w:sz w:val="28"/>
                <w:szCs w:val="28"/>
              </w:rPr>
              <w:t> </w:t>
            </w:r>
            <w:r w:rsidR="00D16159" w:rsidRPr="00973B75">
              <w:rPr>
                <w:sz w:val="28"/>
                <w:szCs w:val="28"/>
              </w:rPr>
              <w:t xml:space="preserve">oktobris), ar ko izveido sistēmu, lai noteiktu </w:t>
            </w:r>
            <w:proofErr w:type="spellStart"/>
            <w:r w:rsidR="00D16159" w:rsidRPr="00973B75">
              <w:rPr>
                <w:sz w:val="28"/>
                <w:szCs w:val="28"/>
              </w:rPr>
              <w:t>ekodizaina</w:t>
            </w:r>
            <w:proofErr w:type="spellEnd"/>
            <w:r w:rsidR="00D16159" w:rsidRPr="00973B75">
              <w:rPr>
                <w:sz w:val="28"/>
                <w:szCs w:val="28"/>
              </w:rPr>
              <w:t xml:space="preserve"> prasības ar enerģiju saistītiem ražojumiem</w:t>
            </w:r>
            <w:r w:rsidR="001627FF" w:rsidRPr="00973B75">
              <w:rPr>
                <w:sz w:val="28"/>
                <w:szCs w:val="28"/>
              </w:rPr>
              <w:t>.</w:t>
            </w:r>
          </w:p>
          <w:p w:rsidR="00A2489F" w:rsidRPr="00973B75" w:rsidRDefault="00A2489F" w:rsidP="00A2489F">
            <w:pPr>
              <w:pStyle w:val="naiskr"/>
              <w:ind w:left="57" w:right="57" w:firstLine="284"/>
              <w:jc w:val="both"/>
              <w:rPr>
                <w:sz w:val="28"/>
                <w:szCs w:val="28"/>
              </w:rPr>
            </w:pPr>
            <w:r w:rsidRPr="00973B75">
              <w:rPr>
                <w:sz w:val="28"/>
                <w:szCs w:val="28"/>
              </w:rPr>
              <w:t xml:space="preserve">Papildus drošības prasības būvnormatīvā ir izvirzītas, izvietojot ēku pagrabos apkures un karstā ūdens sagatavošanas gāzes iekārtas, kuru kopējā nominālā siltuma jauda nepārsniedz 500 </w:t>
            </w:r>
            <w:proofErr w:type="spellStart"/>
            <w:r w:rsidRPr="00973B75">
              <w:rPr>
                <w:sz w:val="28"/>
                <w:szCs w:val="28"/>
              </w:rPr>
              <w:t>kW</w:t>
            </w:r>
            <w:proofErr w:type="spellEnd"/>
            <w:r w:rsidRPr="00973B75">
              <w:rPr>
                <w:sz w:val="28"/>
                <w:szCs w:val="28"/>
              </w:rPr>
              <w:t xml:space="preserve"> – šādos gadījumos papildus gāzes noplūdes detektoram un dabasgāzes koncentrācijas padeves automātiskās atvienošanas ierīcei turpmāk būs jāparedz mehāniskā ventilācija. </w:t>
            </w:r>
          </w:p>
          <w:p w:rsidR="00193E45" w:rsidRPr="00F965B8" w:rsidRDefault="002D79DE" w:rsidP="002D79DE">
            <w:pPr>
              <w:pStyle w:val="naiskr"/>
              <w:spacing w:before="0" w:after="0"/>
              <w:ind w:left="57" w:right="57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Tulkojums valsts valodā obligāti piemērojamiem Latvijas nacionālajiem standartiem tiks nodrošināts Latvijas Nacionālās standartizācijas institūcijas „Latvijas standarts” interneta mājaslapā līdz 2016.gada 1.jūlijam.</w:t>
            </w:r>
          </w:p>
        </w:tc>
      </w:tr>
      <w:tr w:rsidR="00193E45" w:rsidRPr="00973B75" w:rsidTr="00FD76CC">
        <w:trPr>
          <w:trHeight w:val="706"/>
        </w:trPr>
        <w:tc>
          <w:tcPr>
            <w:tcW w:w="524" w:type="dxa"/>
          </w:tcPr>
          <w:p w:rsidR="00193E45" w:rsidRPr="00973B75" w:rsidRDefault="00193E45" w:rsidP="00FD76CC">
            <w:pPr>
              <w:ind w:left="57" w:right="57"/>
              <w:rPr>
                <w:sz w:val="28"/>
                <w:szCs w:val="28"/>
              </w:rPr>
            </w:pPr>
            <w:r w:rsidRPr="00973B75">
              <w:rPr>
                <w:sz w:val="28"/>
                <w:szCs w:val="28"/>
              </w:rPr>
              <w:lastRenderedPageBreak/>
              <w:t> 3.</w:t>
            </w:r>
          </w:p>
        </w:tc>
        <w:tc>
          <w:tcPr>
            <w:tcW w:w="3177" w:type="dxa"/>
          </w:tcPr>
          <w:p w:rsidR="00193E45" w:rsidRPr="00973B75" w:rsidRDefault="00193E45" w:rsidP="00FD76CC">
            <w:pPr>
              <w:ind w:left="57" w:right="57"/>
              <w:rPr>
                <w:sz w:val="28"/>
                <w:szCs w:val="28"/>
              </w:rPr>
            </w:pPr>
            <w:r w:rsidRPr="00973B75">
              <w:rPr>
                <w:sz w:val="28"/>
                <w:szCs w:val="28"/>
              </w:rPr>
              <w:t>Projekta izstrādē iesaistītās institūcijas</w:t>
            </w:r>
          </w:p>
        </w:tc>
        <w:tc>
          <w:tcPr>
            <w:tcW w:w="5361" w:type="dxa"/>
          </w:tcPr>
          <w:p w:rsidR="00193E45" w:rsidRPr="00973B75" w:rsidRDefault="007C0754" w:rsidP="00FD76CC">
            <w:pPr>
              <w:ind w:left="57" w:right="57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Ekonomikas ministrija</w:t>
            </w:r>
          </w:p>
        </w:tc>
      </w:tr>
      <w:tr w:rsidR="00193E45" w:rsidRPr="00973B75" w:rsidTr="00FD76CC">
        <w:trPr>
          <w:trHeight w:val="384"/>
        </w:trPr>
        <w:tc>
          <w:tcPr>
            <w:tcW w:w="524" w:type="dxa"/>
          </w:tcPr>
          <w:p w:rsidR="00193E45" w:rsidRPr="00973B75" w:rsidRDefault="00193E45" w:rsidP="00FD76CC">
            <w:pPr>
              <w:ind w:left="57" w:right="57"/>
              <w:rPr>
                <w:sz w:val="28"/>
                <w:szCs w:val="28"/>
              </w:rPr>
            </w:pPr>
            <w:r w:rsidRPr="00973B75">
              <w:rPr>
                <w:sz w:val="28"/>
                <w:szCs w:val="28"/>
              </w:rPr>
              <w:t> 4.</w:t>
            </w:r>
          </w:p>
        </w:tc>
        <w:tc>
          <w:tcPr>
            <w:tcW w:w="3177" w:type="dxa"/>
          </w:tcPr>
          <w:p w:rsidR="00193E45" w:rsidRPr="00973B75" w:rsidRDefault="00193E45" w:rsidP="00FD76CC">
            <w:pPr>
              <w:ind w:left="57" w:right="57"/>
              <w:rPr>
                <w:sz w:val="28"/>
                <w:szCs w:val="28"/>
              </w:rPr>
            </w:pPr>
            <w:r w:rsidRPr="00973B75">
              <w:rPr>
                <w:sz w:val="28"/>
                <w:szCs w:val="28"/>
              </w:rPr>
              <w:t>Cita informācija</w:t>
            </w:r>
          </w:p>
        </w:tc>
        <w:tc>
          <w:tcPr>
            <w:tcW w:w="5361" w:type="dxa"/>
          </w:tcPr>
          <w:p w:rsidR="00193E45" w:rsidRPr="00973B75" w:rsidRDefault="00193E45" w:rsidP="00FD76CC">
            <w:pPr>
              <w:pStyle w:val="naiskr"/>
              <w:spacing w:before="0" w:after="0"/>
              <w:ind w:left="57" w:right="57" w:firstLine="284"/>
              <w:jc w:val="both"/>
              <w:rPr>
                <w:sz w:val="28"/>
                <w:szCs w:val="28"/>
              </w:rPr>
            </w:pPr>
            <w:r w:rsidRPr="00973B75">
              <w:rPr>
                <w:sz w:val="28"/>
                <w:szCs w:val="28"/>
              </w:rPr>
              <w:t>Nav</w:t>
            </w:r>
          </w:p>
        </w:tc>
      </w:tr>
    </w:tbl>
    <w:p w:rsidR="00193E45" w:rsidRPr="00973B75" w:rsidRDefault="00193E45" w:rsidP="00193E45">
      <w:pPr>
        <w:ind w:left="57" w:right="57"/>
        <w:rPr>
          <w:color w:val="FF0000"/>
          <w:sz w:val="28"/>
          <w:szCs w:val="28"/>
        </w:rPr>
      </w:pPr>
    </w:p>
    <w:p w:rsidR="00193E45" w:rsidRPr="00973B75" w:rsidRDefault="00193E45" w:rsidP="00193E45">
      <w:pPr>
        <w:ind w:left="57" w:right="57"/>
        <w:rPr>
          <w:color w:val="FF0000"/>
          <w:sz w:val="28"/>
          <w:szCs w:val="28"/>
        </w:rPr>
      </w:pPr>
    </w:p>
    <w:tbl>
      <w:tblPr>
        <w:tblW w:w="9062" w:type="dxa"/>
        <w:tblInd w:w="15" w:type="dxa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right w:val="thickThinLargeGap" w:sz="6" w:space="0" w:color="C0C0C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"/>
        <w:gridCol w:w="3153"/>
        <w:gridCol w:w="5386"/>
      </w:tblGrid>
      <w:tr w:rsidR="00193E45" w:rsidRPr="00973B75" w:rsidTr="00FD76CC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E45" w:rsidRPr="00973B75" w:rsidRDefault="00193E45" w:rsidP="00FD76CC">
            <w:pPr>
              <w:ind w:left="57" w:right="57"/>
              <w:jc w:val="center"/>
              <w:rPr>
                <w:b/>
                <w:sz w:val="28"/>
                <w:szCs w:val="28"/>
              </w:rPr>
            </w:pPr>
            <w:r w:rsidRPr="00973B75">
              <w:rPr>
                <w:b/>
                <w:sz w:val="28"/>
                <w:szCs w:val="28"/>
              </w:rPr>
              <w:t>II. Tiesību akta projekta ietekme uz sabiedrību tautsaimniecības attīstību un administratīvo slogu</w:t>
            </w:r>
          </w:p>
        </w:tc>
      </w:tr>
      <w:tr w:rsidR="00193E45" w:rsidRPr="00973B75" w:rsidTr="00FD76CC">
        <w:trPr>
          <w:trHeight w:val="467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E45" w:rsidRPr="00973B75" w:rsidRDefault="00193E45" w:rsidP="00FD76CC">
            <w:pPr>
              <w:ind w:left="57" w:right="57"/>
              <w:rPr>
                <w:sz w:val="28"/>
                <w:szCs w:val="28"/>
              </w:rPr>
            </w:pPr>
            <w:r w:rsidRPr="00973B75">
              <w:rPr>
                <w:sz w:val="28"/>
                <w:szCs w:val="28"/>
              </w:rPr>
              <w:t> 1.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E45" w:rsidRPr="00973B75" w:rsidRDefault="00193E45" w:rsidP="00FD76CC">
            <w:pPr>
              <w:ind w:left="57" w:right="57"/>
              <w:rPr>
                <w:sz w:val="28"/>
                <w:szCs w:val="28"/>
              </w:rPr>
            </w:pPr>
            <w:r w:rsidRPr="00973B75">
              <w:rPr>
                <w:sz w:val="28"/>
                <w:szCs w:val="28"/>
              </w:rPr>
              <w:t xml:space="preserve"> Sabiedrības </w:t>
            </w:r>
            <w:proofErr w:type="spellStart"/>
            <w:r w:rsidRPr="00973B75">
              <w:rPr>
                <w:sz w:val="28"/>
                <w:szCs w:val="28"/>
              </w:rPr>
              <w:t>mērķgrupas</w:t>
            </w:r>
            <w:proofErr w:type="spellEnd"/>
            <w:r w:rsidRPr="00973B75">
              <w:rPr>
                <w:sz w:val="28"/>
                <w:szCs w:val="28"/>
              </w:rPr>
              <w:t>, kuras tiesiskais regulējums  ietekmē vai varētu ietekmēt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E45" w:rsidRPr="00973B75" w:rsidRDefault="00193E45" w:rsidP="00FD76CC">
            <w:pPr>
              <w:ind w:left="57" w:right="57" w:firstLine="284"/>
              <w:jc w:val="both"/>
              <w:rPr>
                <w:iCs/>
                <w:sz w:val="28"/>
                <w:szCs w:val="28"/>
              </w:rPr>
            </w:pPr>
            <w:r w:rsidRPr="00973B75">
              <w:rPr>
                <w:iCs/>
                <w:sz w:val="28"/>
                <w:szCs w:val="28"/>
              </w:rPr>
              <w:t xml:space="preserve">Būvnormatīva regulējums var ietekmēt jebkuru personu, kura ierosinās un veiks </w:t>
            </w:r>
            <w:r w:rsidR="004B3D2B" w:rsidRPr="00973B75">
              <w:rPr>
                <w:iCs/>
                <w:sz w:val="28"/>
                <w:szCs w:val="28"/>
              </w:rPr>
              <w:t>dabasgāzes iekšēj</w:t>
            </w:r>
            <w:r w:rsidR="00AD36B7" w:rsidRPr="00973B75">
              <w:rPr>
                <w:iCs/>
                <w:sz w:val="28"/>
                <w:szCs w:val="28"/>
              </w:rPr>
              <w:t>o gāzesvadu</w:t>
            </w:r>
            <w:r w:rsidR="004B3D2B" w:rsidRPr="00973B75">
              <w:rPr>
                <w:iCs/>
                <w:sz w:val="28"/>
                <w:szCs w:val="28"/>
              </w:rPr>
              <w:t xml:space="preserve"> sistēmas </w:t>
            </w:r>
            <w:r w:rsidRPr="00973B75">
              <w:rPr>
                <w:iCs/>
                <w:sz w:val="28"/>
                <w:szCs w:val="28"/>
              </w:rPr>
              <w:t xml:space="preserve">būvniecību, kā arī institūcijas, kuras iesaistītas būvniecības procesā. Regulējums attiecas uz </w:t>
            </w:r>
            <w:proofErr w:type="spellStart"/>
            <w:r w:rsidR="004B3D2B" w:rsidRPr="00973B75">
              <w:rPr>
                <w:iCs/>
                <w:sz w:val="28"/>
                <w:szCs w:val="28"/>
              </w:rPr>
              <w:t>būvspeciālistiem</w:t>
            </w:r>
            <w:proofErr w:type="spellEnd"/>
            <w:r w:rsidRPr="00973B75">
              <w:rPr>
                <w:iCs/>
                <w:sz w:val="28"/>
                <w:szCs w:val="28"/>
              </w:rPr>
              <w:t>.</w:t>
            </w:r>
          </w:p>
          <w:p w:rsidR="00193E45" w:rsidRPr="00973B75" w:rsidRDefault="00193E45" w:rsidP="00FD76CC">
            <w:pPr>
              <w:ind w:left="57" w:right="57" w:firstLine="284"/>
              <w:jc w:val="both"/>
              <w:rPr>
                <w:sz w:val="28"/>
                <w:szCs w:val="28"/>
              </w:rPr>
            </w:pPr>
          </w:p>
        </w:tc>
      </w:tr>
      <w:tr w:rsidR="00193E45" w:rsidRPr="00973B75" w:rsidTr="00FD76CC">
        <w:trPr>
          <w:trHeight w:val="52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E45" w:rsidRPr="00973B75" w:rsidRDefault="00193E45" w:rsidP="00FD76CC">
            <w:pPr>
              <w:ind w:left="57" w:right="57"/>
              <w:rPr>
                <w:sz w:val="28"/>
                <w:szCs w:val="28"/>
              </w:rPr>
            </w:pPr>
            <w:r w:rsidRPr="00973B75">
              <w:rPr>
                <w:sz w:val="28"/>
                <w:szCs w:val="28"/>
              </w:rPr>
              <w:t> 2.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E45" w:rsidRPr="00973B75" w:rsidRDefault="00193E45" w:rsidP="00FD76CC">
            <w:pPr>
              <w:ind w:left="57" w:right="57"/>
              <w:rPr>
                <w:sz w:val="28"/>
                <w:szCs w:val="28"/>
              </w:rPr>
            </w:pPr>
            <w:r w:rsidRPr="00973B75">
              <w:rPr>
                <w:sz w:val="28"/>
                <w:szCs w:val="28"/>
              </w:rPr>
              <w:t xml:space="preserve">Tiesiskā regulējuma ietekme uz </w:t>
            </w:r>
            <w:r w:rsidRPr="00973B75">
              <w:rPr>
                <w:sz w:val="28"/>
                <w:szCs w:val="28"/>
              </w:rPr>
              <w:lastRenderedPageBreak/>
              <w:t>tautsaimniecību un administratīvo slogu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E45" w:rsidRPr="00973B75" w:rsidRDefault="00193E45" w:rsidP="00FD76CC">
            <w:pPr>
              <w:ind w:left="57" w:right="57" w:firstLine="284"/>
              <w:jc w:val="both"/>
              <w:rPr>
                <w:sz w:val="28"/>
                <w:szCs w:val="28"/>
              </w:rPr>
            </w:pPr>
            <w:r w:rsidRPr="00973B75">
              <w:rPr>
                <w:sz w:val="28"/>
                <w:szCs w:val="28"/>
              </w:rPr>
              <w:lastRenderedPageBreak/>
              <w:t xml:space="preserve">Šīs sadaļas 1.punktā minētajām sabiedrības </w:t>
            </w:r>
            <w:proofErr w:type="spellStart"/>
            <w:r w:rsidRPr="00973B75">
              <w:rPr>
                <w:sz w:val="28"/>
                <w:szCs w:val="28"/>
              </w:rPr>
              <w:t>mērķgrupām</w:t>
            </w:r>
            <w:proofErr w:type="spellEnd"/>
            <w:r w:rsidRPr="00973B75">
              <w:rPr>
                <w:sz w:val="28"/>
                <w:szCs w:val="28"/>
              </w:rPr>
              <w:t xml:space="preserve"> un institūcijām projekta tiesiskais </w:t>
            </w:r>
            <w:r w:rsidRPr="00973B75">
              <w:rPr>
                <w:sz w:val="28"/>
                <w:szCs w:val="28"/>
              </w:rPr>
              <w:lastRenderedPageBreak/>
              <w:t>regulējums nemaina tiesības un pienākumus, kā arī veicamās darbības salīdzinājumā ar līdzšinējo normatīvo regulējumu.</w:t>
            </w:r>
          </w:p>
          <w:p w:rsidR="00193E45" w:rsidRPr="00973B75" w:rsidRDefault="00193E45" w:rsidP="00FD76CC">
            <w:pPr>
              <w:ind w:left="57" w:right="57" w:firstLine="284"/>
              <w:jc w:val="both"/>
              <w:rPr>
                <w:sz w:val="28"/>
                <w:szCs w:val="28"/>
              </w:rPr>
            </w:pPr>
          </w:p>
        </w:tc>
      </w:tr>
      <w:tr w:rsidR="00193E45" w:rsidRPr="00973B75" w:rsidTr="00FD76CC">
        <w:trPr>
          <w:trHeight w:val="517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E45" w:rsidRPr="00973B75" w:rsidRDefault="00193E45" w:rsidP="00FD76CC">
            <w:pPr>
              <w:ind w:left="57" w:right="57"/>
              <w:rPr>
                <w:sz w:val="28"/>
                <w:szCs w:val="28"/>
              </w:rPr>
            </w:pPr>
            <w:r w:rsidRPr="00973B75">
              <w:rPr>
                <w:sz w:val="28"/>
                <w:szCs w:val="28"/>
              </w:rPr>
              <w:lastRenderedPageBreak/>
              <w:t> 3.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E45" w:rsidRPr="00973B75" w:rsidRDefault="00193E45" w:rsidP="00FD76CC">
            <w:pPr>
              <w:ind w:left="57" w:right="57"/>
              <w:rPr>
                <w:sz w:val="28"/>
                <w:szCs w:val="28"/>
              </w:rPr>
            </w:pPr>
            <w:r w:rsidRPr="00973B75">
              <w:rPr>
                <w:sz w:val="28"/>
                <w:szCs w:val="28"/>
              </w:rPr>
              <w:t>Administratīvo izmaksu monetārs novērtējums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E45" w:rsidRPr="00973B75" w:rsidRDefault="00193E45" w:rsidP="00FD76CC">
            <w:pPr>
              <w:ind w:left="57" w:right="57" w:firstLine="284"/>
              <w:jc w:val="both"/>
              <w:rPr>
                <w:sz w:val="28"/>
                <w:szCs w:val="28"/>
              </w:rPr>
            </w:pPr>
            <w:r w:rsidRPr="00973B75">
              <w:rPr>
                <w:sz w:val="28"/>
                <w:szCs w:val="28"/>
              </w:rPr>
              <w:t>Projekts šo jomu neskar</w:t>
            </w:r>
          </w:p>
        </w:tc>
      </w:tr>
      <w:tr w:rsidR="00193E45" w:rsidRPr="00973B75" w:rsidTr="00FD76CC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E45" w:rsidRPr="00973B75" w:rsidRDefault="00193E45" w:rsidP="00FD76CC">
            <w:pPr>
              <w:ind w:left="57" w:right="57"/>
              <w:rPr>
                <w:sz w:val="28"/>
                <w:szCs w:val="28"/>
              </w:rPr>
            </w:pPr>
            <w:r w:rsidRPr="00973B75">
              <w:rPr>
                <w:sz w:val="28"/>
                <w:szCs w:val="28"/>
              </w:rPr>
              <w:t> 4.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E45" w:rsidRPr="00973B75" w:rsidRDefault="00193E45" w:rsidP="00FD76CC">
            <w:pPr>
              <w:ind w:left="57" w:right="57"/>
              <w:rPr>
                <w:sz w:val="28"/>
                <w:szCs w:val="28"/>
              </w:rPr>
            </w:pPr>
            <w:r w:rsidRPr="00973B75">
              <w:rPr>
                <w:sz w:val="28"/>
                <w:szCs w:val="28"/>
              </w:rPr>
              <w:t> Cita informācija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E45" w:rsidRPr="00973B75" w:rsidRDefault="00193E45" w:rsidP="00FD76CC">
            <w:pPr>
              <w:ind w:left="57" w:right="57" w:firstLine="284"/>
              <w:jc w:val="both"/>
              <w:rPr>
                <w:sz w:val="28"/>
                <w:szCs w:val="28"/>
              </w:rPr>
            </w:pPr>
            <w:r w:rsidRPr="00973B75">
              <w:rPr>
                <w:sz w:val="28"/>
                <w:szCs w:val="28"/>
              </w:rPr>
              <w:t>Nav</w:t>
            </w:r>
          </w:p>
        </w:tc>
      </w:tr>
    </w:tbl>
    <w:p w:rsidR="00193E45" w:rsidRPr="00973B75" w:rsidRDefault="00193E45" w:rsidP="00193E45">
      <w:pPr>
        <w:ind w:left="57" w:right="57"/>
        <w:rPr>
          <w:sz w:val="28"/>
          <w:szCs w:val="28"/>
        </w:rPr>
      </w:pPr>
    </w:p>
    <w:p w:rsidR="00193E45" w:rsidRPr="00973B75" w:rsidRDefault="00193E45" w:rsidP="00193E45">
      <w:pPr>
        <w:ind w:left="57" w:right="57"/>
        <w:rPr>
          <w:sz w:val="28"/>
          <w:szCs w:val="28"/>
        </w:rPr>
      </w:pP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934"/>
        <w:gridCol w:w="5714"/>
      </w:tblGrid>
      <w:tr w:rsidR="00193E45" w:rsidRPr="00973B75" w:rsidTr="00FD76CC">
        <w:trPr>
          <w:jc w:val="center"/>
        </w:trPr>
        <w:tc>
          <w:tcPr>
            <w:tcW w:w="9215" w:type="dxa"/>
            <w:gridSpan w:val="3"/>
          </w:tcPr>
          <w:p w:rsidR="00193E45" w:rsidRPr="00973B75" w:rsidRDefault="00193E45" w:rsidP="00FD76CC">
            <w:pPr>
              <w:pStyle w:val="naisnod"/>
              <w:spacing w:before="0" w:after="0"/>
              <w:ind w:left="57" w:right="57"/>
              <w:rPr>
                <w:sz w:val="28"/>
                <w:szCs w:val="28"/>
              </w:rPr>
            </w:pPr>
            <w:r w:rsidRPr="00973B75">
              <w:rPr>
                <w:sz w:val="28"/>
                <w:szCs w:val="28"/>
              </w:rPr>
              <w:t>VI. Sabiedrības līdzdalība un komunikācijas aktivitātes</w:t>
            </w:r>
          </w:p>
        </w:tc>
      </w:tr>
      <w:tr w:rsidR="00193E45" w:rsidRPr="00973B75" w:rsidTr="00FD76CC">
        <w:trPr>
          <w:trHeight w:val="553"/>
          <w:jc w:val="center"/>
        </w:trPr>
        <w:tc>
          <w:tcPr>
            <w:tcW w:w="567" w:type="dxa"/>
          </w:tcPr>
          <w:p w:rsidR="00193E45" w:rsidRPr="00973B75" w:rsidRDefault="00193E45" w:rsidP="00FD76CC">
            <w:pPr>
              <w:pStyle w:val="naiskr"/>
              <w:spacing w:before="0" w:after="0"/>
              <w:ind w:left="57" w:right="57"/>
              <w:rPr>
                <w:bCs/>
                <w:sz w:val="28"/>
                <w:szCs w:val="28"/>
              </w:rPr>
            </w:pPr>
            <w:r w:rsidRPr="00973B75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2934" w:type="dxa"/>
          </w:tcPr>
          <w:p w:rsidR="00193E45" w:rsidRPr="00973B75" w:rsidRDefault="00193E45" w:rsidP="00FD76CC">
            <w:pPr>
              <w:pStyle w:val="naiskr"/>
              <w:tabs>
                <w:tab w:val="left" w:pos="170"/>
              </w:tabs>
              <w:spacing w:before="0" w:after="0"/>
              <w:ind w:left="57" w:right="57"/>
              <w:rPr>
                <w:sz w:val="28"/>
                <w:szCs w:val="28"/>
              </w:rPr>
            </w:pPr>
            <w:r w:rsidRPr="00973B75">
              <w:rPr>
                <w:sz w:val="28"/>
                <w:szCs w:val="28"/>
              </w:rPr>
              <w:t>Plānotās sabiedrības līdzdalības un komunikācijas aktivitātes saistībā ar projektu</w:t>
            </w:r>
          </w:p>
        </w:tc>
        <w:tc>
          <w:tcPr>
            <w:tcW w:w="5714" w:type="dxa"/>
          </w:tcPr>
          <w:p w:rsidR="00756837" w:rsidRPr="00973B75" w:rsidRDefault="00193E45" w:rsidP="00FD76CC">
            <w:pPr>
              <w:pStyle w:val="naiskr"/>
              <w:spacing w:before="0" w:after="0"/>
              <w:ind w:left="57" w:right="57" w:firstLine="284"/>
              <w:jc w:val="both"/>
              <w:rPr>
                <w:iCs/>
                <w:sz w:val="28"/>
                <w:szCs w:val="28"/>
              </w:rPr>
            </w:pPr>
            <w:r w:rsidRPr="00973B75">
              <w:rPr>
                <w:iCs/>
                <w:sz w:val="28"/>
                <w:szCs w:val="28"/>
              </w:rPr>
              <w:t xml:space="preserve">Par būvnormatīva pārstrādi sabiedrība tika  </w:t>
            </w:r>
            <w:r w:rsidR="0006397E" w:rsidRPr="00973B75">
              <w:rPr>
                <w:iCs/>
                <w:sz w:val="28"/>
                <w:szCs w:val="28"/>
              </w:rPr>
              <w:t xml:space="preserve">papildus </w:t>
            </w:r>
            <w:r w:rsidRPr="00973B75">
              <w:rPr>
                <w:iCs/>
                <w:sz w:val="28"/>
                <w:szCs w:val="28"/>
              </w:rPr>
              <w:t>informēta Ekonomikas ministrija</w:t>
            </w:r>
            <w:r w:rsidR="0006397E" w:rsidRPr="00973B75">
              <w:rPr>
                <w:iCs/>
                <w:sz w:val="28"/>
                <w:szCs w:val="28"/>
              </w:rPr>
              <w:t>i ievietojot projektu mājaslapā</w:t>
            </w:r>
          </w:p>
          <w:p w:rsidR="007A30FA" w:rsidRPr="00973B75" w:rsidRDefault="00B94F35" w:rsidP="00FD76CC">
            <w:pPr>
              <w:pStyle w:val="naiskr"/>
              <w:spacing w:before="0" w:after="0"/>
              <w:ind w:left="57" w:right="57" w:firstLine="284"/>
              <w:jc w:val="both"/>
              <w:rPr>
                <w:sz w:val="28"/>
                <w:szCs w:val="28"/>
              </w:rPr>
            </w:pPr>
            <w:r w:rsidRPr="00973B75">
              <w:rPr>
                <w:sz w:val="28"/>
                <w:szCs w:val="28"/>
              </w:rPr>
              <w:t>Būvnormatīvā paredzētais tiesiskais regulējums nemaina būtiski līdzšinējo spēkā esošo regulējumu.</w:t>
            </w:r>
          </w:p>
          <w:p w:rsidR="00193E45" w:rsidRPr="00973B75" w:rsidRDefault="000B617F" w:rsidP="00FD76CC">
            <w:pPr>
              <w:pStyle w:val="naiskr"/>
              <w:spacing w:before="0" w:after="0"/>
              <w:ind w:left="57" w:right="57" w:firstLine="284"/>
              <w:jc w:val="both"/>
              <w:rPr>
                <w:sz w:val="28"/>
                <w:szCs w:val="28"/>
              </w:rPr>
            </w:pPr>
            <w:r w:rsidRPr="00973B75">
              <w:rPr>
                <w:sz w:val="28"/>
                <w:szCs w:val="28"/>
              </w:rPr>
              <w:t>Būvprojekta saturs</w:t>
            </w:r>
            <w:r w:rsidR="00DE356F" w:rsidRPr="00973B75">
              <w:rPr>
                <w:sz w:val="28"/>
                <w:szCs w:val="28"/>
              </w:rPr>
              <w:t xml:space="preserve"> apspriests</w:t>
            </w:r>
            <w:r w:rsidRPr="00973B75">
              <w:rPr>
                <w:sz w:val="28"/>
                <w:szCs w:val="28"/>
              </w:rPr>
              <w:t xml:space="preserve"> </w:t>
            </w:r>
            <w:r w:rsidR="00DE356F" w:rsidRPr="00973B75">
              <w:rPr>
                <w:sz w:val="28"/>
                <w:szCs w:val="28"/>
              </w:rPr>
              <w:t xml:space="preserve">dabasgāzes un sašķidrinātās </w:t>
            </w:r>
            <w:r w:rsidR="00F31E83" w:rsidRPr="00973B75">
              <w:rPr>
                <w:sz w:val="28"/>
                <w:szCs w:val="28"/>
              </w:rPr>
              <w:t xml:space="preserve">naftas </w:t>
            </w:r>
            <w:r w:rsidR="00DE356F" w:rsidRPr="00973B75">
              <w:rPr>
                <w:sz w:val="28"/>
                <w:szCs w:val="28"/>
              </w:rPr>
              <w:t>gāzes nozares speciālistiem</w:t>
            </w:r>
            <w:r w:rsidR="00193E45" w:rsidRPr="00973B75">
              <w:rPr>
                <w:sz w:val="28"/>
                <w:szCs w:val="28"/>
              </w:rPr>
              <w:t>.</w:t>
            </w:r>
          </w:p>
          <w:p w:rsidR="00193E45" w:rsidRPr="00973B75" w:rsidRDefault="00193E45" w:rsidP="00FD76CC">
            <w:pPr>
              <w:pStyle w:val="naiskr"/>
              <w:spacing w:before="0" w:after="0"/>
              <w:ind w:left="57" w:right="57" w:firstLine="284"/>
              <w:jc w:val="both"/>
              <w:rPr>
                <w:sz w:val="28"/>
                <w:szCs w:val="28"/>
              </w:rPr>
            </w:pPr>
          </w:p>
        </w:tc>
      </w:tr>
      <w:tr w:rsidR="00193E45" w:rsidRPr="00973B75" w:rsidTr="00FD76CC">
        <w:trPr>
          <w:trHeight w:val="339"/>
          <w:jc w:val="center"/>
        </w:trPr>
        <w:tc>
          <w:tcPr>
            <w:tcW w:w="567" w:type="dxa"/>
          </w:tcPr>
          <w:p w:rsidR="00193E45" w:rsidRPr="00973B75" w:rsidRDefault="00193E45" w:rsidP="00FD76CC">
            <w:pPr>
              <w:pStyle w:val="naiskr"/>
              <w:spacing w:before="0" w:after="0"/>
              <w:ind w:left="57" w:right="57"/>
              <w:rPr>
                <w:bCs/>
                <w:sz w:val="28"/>
                <w:szCs w:val="28"/>
              </w:rPr>
            </w:pPr>
            <w:r w:rsidRPr="00973B75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2934" w:type="dxa"/>
          </w:tcPr>
          <w:p w:rsidR="00193E45" w:rsidRPr="00973B75" w:rsidRDefault="00193E45" w:rsidP="00FD76CC">
            <w:pPr>
              <w:pStyle w:val="naiskr"/>
              <w:spacing w:before="0" w:after="0"/>
              <w:ind w:left="57" w:right="57"/>
              <w:rPr>
                <w:sz w:val="28"/>
                <w:szCs w:val="28"/>
              </w:rPr>
            </w:pPr>
            <w:r w:rsidRPr="00973B75">
              <w:rPr>
                <w:sz w:val="28"/>
                <w:szCs w:val="28"/>
              </w:rPr>
              <w:t xml:space="preserve">Sabiedrības līdzdalība projekta izstrādē </w:t>
            </w:r>
          </w:p>
        </w:tc>
        <w:tc>
          <w:tcPr>
            <w:tcW w:w="5714" w:type="dxa"/>
          </w:tcPr>
          <w:p w:rsidR="002122DE" w:rsidRPr="00973B75" w:rsidRDefault="0006397E" w:rsidP="002122DE">
            <w:pPr>
              <w:pStyle w:val="naiskr"/>
              <w:spacing w:before="0" w:after="0"/>
              <w:ind w:left="57" w:right="57" w:firstLine="284"/>
              <w:jc w:val="both"/>
              <w:rPr>
                <w:sz w:val="28"/>
                <w:szCs w:val="28"/>
              </w:rPr>
            </w:pPr>
            <w:r w:rsidRPr="00973B75">
              <w:rPr>
                <w:iCs/>
                <w:sz w:val="28"/>
                <w:szCs w:val="28"/>
              </w:rPr>
              <w:t>Par būvnormatīva pārstrādi sabiedrība tika  papildus informēta Ekonomikas ministrijai ievietojot projektu mājaslapā</w:t>
            </w:r>
            <w:r w:rsidR="002122DE" w:rsidRPr="00973B75">
              <w:rPr>
                <w:iCs/>
                <w:sz w:val="28"/>
                <w:szCs w:val="28"/>
              </w:rPr>
              <w:t xml:space="preserve"> </w:t>
            </w:r>
            <w:r w:rsidR="002122DE" w:rsidRPr="00973B75">
              <w:rPr>
                <w:sz w:val="28"/>
                <w:szCs w:val="28"/>
              </w:rPr>
              <w:t>Būvprojekta saturs apspriests dabasgāzes un sašķidrinātās naftas gāzes nozares speciālistiem.</w:t>
            </w:r>
          </w:p>
          <w:p w:rsidR="0006397E" w:rsidRPr="00973B75" w:rsidRDefault="0006397E" w:rsidP="0006397E">
            <w:pPr>
              <w:pStyle w:val="naiskr"/>
              <w:spacing w:before="0" w:after="0"/>
              <w:ind w:left="57" w:right="57" w:firstLine="284"/>
              <w:jc w:val="both"/>
              <w:rPr>
                <w:iCs/>
                <w:sz w:val="28"/>
                <w:szCs w:val="28"/>
              </w:rPr>
            </w:pPr>
          </w:p>
          <w:p w:rsidR="00193E45" w:rsidRPr="00973B75" w:rsidRDefault="00193E45" w:rsidP="00FD76CC">
            <w:pPr>
              <w:pStyle w:val="naiskr"/>
              <w:spacing w:before="0" w:after="0"/>
              <w:ind w:left="57" w:right="57" w:firstLine="284"/>
              <w:jc w:val="both"/>
              <w:rPr>
                <w:sz w:val="28"/>
                <w:szCs w:val="28"/>
              </w:rPr>
            </w:pPr>
          </w:p>
        </w:tc>
      </w:tr>
      <w:tr w:rsidR="00193E45" w:rsidRPr="00973B75" w:rsidTr="00FD76CC">
        <w:trPr>
          <w:trHeight w:val="375"/>
          <w:jc w:val="center"/>
        </w:trPr>
        <w:tc>
          <w:tcPr>
            <w:tcW w:w="567" w:type="dxa"/>
          </w:tcPr>
          <w:p w:rsidR="00193E45" w:rsidRPr="00973B75" w:rsidRDefault="00193E45" w:rsidP="00FD76CC">
            <w:pPr>
              <w:pStyle w:val="naiskr"/>
              <w:spacing w:before="0" w:after="0"/>
              <w:ind w:left="57" w:right="57"/>
              <w:rPr>
                <w:bCs/>
                <w:sz w:val="28"/>
                <w:szCs w:val="28"/>
              </w:rPr>
            </w:pPr>
            <w:r w:rsidRPr="00973B75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2934" w:type="dxa"/>
          </w:tcPr>
          <w:p w:rsidR="00193E45" w:rsidRPr="00973B75" w:rsidRDefault="00193E45" w:rsidP="00FD76CC">
            <w:pPr>
              <w:pStyle w:val="naiskr"/>
              <w:spacing w:before="0" w:after="0"/>
              <w:ind w:left="57" w:right="57"/>
              <w:rPr>
                <w:sz w:val="28"/>
                <w:szCs w:val="28"/>
              </w:rPr>
            </w:pPr>
            <w:r w:rsidRPr="00973B75">
              <w:rPr>
                <w:sz w:val="28"/>
                <w:szCs w:val="28"/>
              </w:rPr>
              <w:t xml:space="preserve">Sabiedrības līdzdalības rezultāti </w:t>
            </w:r>
          </w:p>
        </w:tc>
        <w:tc>
          <w:tcPr>
            <w:tcW w:w="5714" w:type="dxa"/>
          </w:tcPr>
          <w:p w:rsidR="00193E45" w:rsidRPr="00973B75" w:rsidRDefault="007A30FA" w:rsidP="002122DE">
            <w:pPr>
              <w:pStyle w:val="naiskr"/>
              <w:spacing w:before="0" w:after="0"/>
              <w:ind w:left="57" w:right="57" w:firstLine="284"/>
              <w:jc w:val="both"/>
              <w:rPr>
                <w:sz w:val="28"/>
                <w:szCs w:val="28"/>
              </w:rPr>
            </w:pPr>
            <w:r w:rsidRPr="00973B75">
              <w:rPr>
                <w:sz w:val="28"/>
                <w:szCs w:val="28"/>
              </w:rPr>
              <w:t xml:space="preserve">Izteiktie nozares speciālistu ieteikumi </w:t>
            </w:r>
            <w:r w:rsidR="002122DE" w:rsidRPr="00973B75">
              <w:rPr>
                <w:sz w:val="28"/>
                <w:szCs w:val="28"/>
              </w:rPr>
              <w:t xml:space="preserve">tika ņemti vērā, izstrādājot </w:t>
            </w:r>
            <w:r w:rsidRPr="00973B75">
              <w:rPr>
                <w:sz w:val="28"/>
                <w:szCs w:val="28"/>
              </w:rPr>
              <w:t>būvnormatīv</w:t>
            </w:r>
            <w:r w:rsidR="002122DE" w:rsidRPr="00973B75">
              <w:rPr>
                <w:sz w:val="28"/>
                <w:szCs w:val="28"/>
              </w:rPr>
              <w:t>u</w:t>
            </w:r>
            <w:r w:rsidRPr="00973B75">
              <w:rPr>
                <w:sz w:val="28"/>
                <w:szCs w:val="28"/>
              </w:rPr>
              <w:t xml:space="preserve">. </w:t>
            </w:r>
          </w:p>
        </w:tc>
      </w:tr>
      <w:tr w:rsidR="00193E45" w:rsidRPr="00973B75" w:rsidTr="00FD76CC">
        <w:trPr>
          <w:trHeight w:val="476"/>
          <w:jc w:val="center"/>
        </w:trPr>
        <w:tc>
          <w:tcPr>
            <w:tcW w:w="567" w:type="dxa"/>
          </w:tcPr>
          <w:p w:rsidR="00193E45" w:rsidRPr="00973B75" w:rsidRDefault="00193E45" w:rsidP="00FD76CC">
            <w:pPr>
              <w:pStyle w:val="naiskr"/>
              <w:spacing w:before="0" w:after="0"/>
              <w:ind w:left="57" w:right="57"/>
              <w:rPr>
                <w:bCs/>
                <w:sz w:val="28"/>
                <w:szCs w:val="28"/>
              </w:rPr>
            </w:pPr>
            <w:r w:rsidRPr="00973B75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2934" w:type="dxa"/>
          </w:tcPr>
          <w:p w:rsidR="00193E45" w:rsidRPr="00973B75" w:rsidRDefault="00193E45" w:rsidP="00FD76CC">
            <w:pPr>
              <w:pStyle w:val="naiskr"/>
              <w:spacing w:before="0" w:after="0"/>
              <w:ind w:left="57" w:right="57"/>
              <w:rPr>
                <w:sz w:val="28"/>
                <w:szCs w:val="28"/>
              </w:rPr>
            </w:pPr>
            <w:r w:rsidRPr="00973B75">
              <w:rPr>
                <w:sz w:val="28"/>
                <w:szCs w:val="28"/>
              </w:rPr>
              <w:t>Cita informācija</w:t>
            </w:r>
          </w:p>
        </w:tc>
        <w:tc>
          <w:tcPr>
            <w:tcW w:w="5714" w:type="dxa"/>
          </w:tcPr>
          <w:p w:rsidR="00193E45" w:rsidRPr="00973B75" w:rsidRDefault="00193E45" w:rsidP="00FD76CC">
            <w:pPr>
              <w:pStyle w:val="naiskr"/>
              <w:spacing w:before="0" w:after="0"/>
              <w:ind w:left="57" w:right="57" w:firstLine="284"/>
              <w:jc w:val="both"/>
              <w:rPr>
                <w:sz w:val="28"/>
                <w:szCs w:val="28"/>
              </w:rPr>
            </w:pPr>
            <w:r w:rsidRPr="00973B75">
              <w:rPr>
                <w:sz w:val="28"/>
                <w:szCs w:val="28"/>
              </w:rPr>
              <w:t>Nav.</w:t>
            </w:r>
          </w:p>
        </w:tc>
      </w:tr>
    </w:tbl>
    <w:p w:rsidR="00193E45" w:rsidRPr="00973B75" w:rsidRDefault="00193E45" w:rsidP="00193E45">
      <w:pPr>
        <w:ind w:left="57" w:right="57"/>
        <w:rPr>
          <w:color w:val="FF0000"/>
          <w:sz w:val="28"/>
          <w:szCs w:val="28"/>
        </w:rPr>
      </w:pPr>
    </w:p>
    <w:p w:rsidR="00193E45" w:rsidRPr="00973B75" w:rsidRDefault="00193E45" w:rsidP="00193E45">
      <w:pPr>
        <w:ind w:left="57" w:right="57"/>
        <w:rPr>
          <w:color w:val="FF0000"/>
          <w:sz w:val="28"/>
          <w:szCs w:val="28"/>
        </w:rPr>
      </w:pPr>
    </w:p>
    <w:tbl>
      <w:tblPr>
        <w:tblW w:w="9065" w:type="dxa"/>
        <w:tblInd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7"/>
        <w:gridCol w:w="3172"/>
        <w:gridCol w:w="5386"/>
      </w:tblGrid>
      <w:tr w:rsidR="00193E45" w:rsidRPr="00973B75" w:rsidTr="00FD76CC">
        <w:trPr>
          <w:trHeight w:val="65"/>
        </w:trPr>
        <w:tc>
          <w:tcPr>
            <w:tcW w:w="9065" w:type="dxa"/>
            <w:gridSpan w:val="3"/>
          </w:tcPr>
          <w:p w:rsidR="00193E45" w:rsidRPr="00973B75" w:rsidRDefault="00193E45" w:rsidP="00FD76CC">
            <w:pPr>
              <w:ind w:left="57" w:right="57"/>
              <w:jc w:val="center"/>
              <w:rPr>
                <w:sz w:val="28"/>
                <w:szCs w:val="28"/>
              </w:rPr>
            </w:pPr>
            <w:r w:rsidRPr="00973B75">
              <w:rPr>
                <w:b/>
                <w:sz w:val="28"/>
                <w:szCs w:val="28"/>
              </w:rPr>
              <w:t>VII. Tiesību akta projekta izpildes nodrošināšana un tās ietekme uz institūcijām</w:t>
            </w:r>
          </w:p>
        </w:tc>
      </w:tr>
      <w:tr w:rsidR="00193E45" w:rsidRPr="00973B75" w:rsidTr="00FD76CC">
        <w:trPr>
          <w:trHeight w:val="427"/>
        </w:trPr>
        <w:tc>
          <w:tcPr>
            <w:tcW w:w="507" w:type="dxa"/>
          </w:tcPr>
          <w:p w:rsidR="00193E45" w:rsidRPr="00973B75" w:rsidRDefault="00193E45" w:rsidP="00FD76CC">
            <w:pPr>
              <w:ind w:left="57" w:right="57"/>
              <w:rPr>
                <w:sz w:val="28"/>
                <w:szCs w:val="28"/>
              </w:rPr>
            </w:pPr>
            <w:r w:rsidRPr="00973B75">
              <w:rPr>
                <w:sz w:val="28"/>
                <w:szCs w:val="28"/>
              </w:rPr>
              <w:t> 1.</w:t>
            </w:r>
          </w:p>
        </w:tc>
        <w:tc>
          <w:tcPr>
            <w:tcW w:w="3172" w:type="dxa"/>
          </w:tcPr>
          <w:p w:rsidR="00193E45" w:rsidRPr="00973B75" w:rsidRDefault="00193E45" w:rsidP="00FD76CC">
            <w:pPr>
              <w:ind w:left="57" w:right="57"/>
              <w:rPr>
                <w:sz w:val="28"/>
                <w:szCs w:val="28"/>
              </w:rPr>
            </w:pPr>
            <w:r w:rsidRPr="00973B75">
              <w:rPr>
                <w:sz w:val="28"/>
                <w:szCs w:val="28"/>
              </w:rPr>
              <w:t> Projekta izpildē iesaistītās institūcijas</w:t>
            </w:r>
          </w:p>
        </w:tc>
        <w:tc>
          <w:tcPr>
            <w:tcW w:w="5386" w:type="dxa"/>
          </w:tcPr>
          <w:p w:rsidR="00193E45" w:rsidRPr="00973B75" w:rsidRDefault="00193E45" w:rsidP="00FD76CC">
            <w:pPr>
              <w:pStyle w:val="naisnod"/>
              <w:spacing w:before="0" w:after="0"/>
              <w:ind w:left="142" w:right="141" w:firstLine="283"/>
              <w:jc w:val="left"/>
              <w:rPr>
                <w:b w:val="0"/>
                <w:sz w:val="28"/>
                <w:szCs w:val="28"/>
              </w:rPr>
            </w:pPr>
            <w:r w:rsidRPr="00973B75">
              <w:rPr>
                <w:b w:val="0"/>
                <w:sz w:val="28"/>
                <w:szCs w:val="28"/>
              </w:rPr>
              <w:t>Būvvaldes un valsts institūcijas, kas kontrolē būvniecības procesu.</w:t>
            </w:r>
          </w:p>
          <w:p w:rsidR="00193E45" w:rsidRPr="00973B75" w:rsidRDefault="00193E45" w:rsidP="00FD76CC">
            <w:pPr>
              <w:pStyle w:val="naisnod"/>
              <w:spacing w:before="0" w:after="0"/>
              <w:ind w:left="142" w:right="141" w:firstLine="283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193E45" w:rsidRPr="00973B75" w:rsidTr="00FD76CC">
        <w:trPr>
          <w:trHeight w:val="463"/>
        </w:trPr>
        <w:tc>
          <w:tcPr>
            <w:tcW w:w="507" w:type="dxa"/>
          </w:tcPr>
          <w:p w:rsidR="00193E45" w:rsidRPr="00973B75" w:rsidRDefault="00193E45" w:rsidP="00FD76CC">
            <w:pPr>
              <w:ind w:left="57" w:right="57"/>
              <w:rPr>
                <w:sz w:val="28"/>
                <w:szCs w:val="28"/>
              </w:rPr>
            </w:pPr>
            <w:r w:rsidRPr="00973B75">
              <w:rPr>
                <w:sz w:val="28"/>
                <w:szCs w:val="28"/>
              </w:rPr>
              <w:t> 2.</w:t>
            </w:r>
          </w:p>
        </w:tc>
        <w:tc>
          <w:tcPr>
            <w:tcW w:w="3172" w:type="dxa"/>
          </w:tcPr>
          <w:p w:rsidR="00193E45" w:rsidRPr="00973B75" w:rsidRDefault="00193E45" w:rsidP="00FD76CC">
            <w:pPr>
              <w:ind w:left="57" w:right="57"/>
              <w:rPr>
                <w:sz w:val="28"/>
                <w:szCs w:val="28"/>
              </w:rPr>
            </w:pPr>
            <w:r w:rsidRPr="00973B75">
              <w:rPr>
                <w:sz w:val="28"/>
                <w:szCs w:val="28"/>
              </w:rPr>
              <w:t xml:space="preserve"> Projekta izpildes ietekme uz pārvaldes funkcijām un institucionālo struktūru. Jaunu institūciju izveide, esošu institūciju likvidācija vai reorganizācija, to ietekme </w:t>
            </w:r>
            <w:r w:rsidRPr="00973B75">
              <w:rPr>
                <w:sz w:val="28"/>
                <w:szCs w:val="28"/>
              </w:rPr>
              <w:lastRenderedPageBreak/>
              <w:t>uz institūcijas cilvēkresursiem</w:t>
            </w:r>
          </w:p>
        </w:tc>
        <w:tc>
          <w:tcPr>
            <w:tcW w:w="5386" w:type="dxa"/>
          </w:tcPr>
          <w:p w:rsidR="00193E45" w:rsidRPr="00973B75" w:rsidRDefault="00193E45" w:rsidP="00FD76CC">
            <w:pPr>
              <w:pStyle w:val="naisnod"/>
              <w:spacing w:before="0" w:after="0"/>
              <w:ind w:left="57" w:right="57" w:firstLine="368"/>
              <w:jc w:val="both"/>
              <w:rPr>
                <w:b w:val="0"/>
                <w:sz w:val="28"/>
                <w:szCs w:val="28"/>
              </w:rPr>
            </w:pPr>
            <w:r w:rsidRPr="00973B75">
              <w:rPr>
                <w:b w:val="0"/>
                <w:sz w:val="28"/>
                <w:szCs w:val="28"/>
              </w:rPr>
              <w:lastRenderedPageBreak/>
              <w:t>Jaunas institūcijas netiks veidotas un nav nepieciešams likvidēt vai reorganizēt esošās institūcijas. Līdz ar to būvnormatīva izpilde neietekmēs institūciju cilvēkresursus.</w:t>
            </w:r>
          </w:p>
        </w:tc>
      </w:tr>
      <w:tr w:rsidR="00193E45" w:rsidRPr="00973B75" w:rsidTr="00FD76CC">
        <w:trPr>
          <w:trHeight w:val="476"/>
        </w:trPr>
        <w:tc>
          <w:tcPr>
            <w:tcW w:w="507" w:type="dxa"/>
          </w:tcPr>
          <w:p w:rsidR="00193E45" w:rsidRPr="00973B75" w:rsidRDefault="00193E45" w:rsidP="00FD76CC">
            <w:pPr>
              <w:ind w:left="57" w:right="57"/>
              <w:rPr>
                <w:sz w:val="28"/>
                <w:szCs w:val="28"/>
              </w:rPr>
            </w:pPr>
            <w:r w:rsidRPr="00973B75">
              <w:rPr>
                <w:sz w:val="28"/>
                <w:szCs w:val="28"/>
              </w:rPr>
              <w:lastRenderedPageBreak/>
              <w:t> 3.</w:t>
            </w:r>
          </w:p>
        </w:tc>
        <w:tc>
          <w:tcPr>
            <w:tcW w:w="3172" w:type="dxa"/>
          </w:tcPr>
          <w:p w:rsidR="00193E45" w:rsidRPr="00973B75" w:rsidRDefault="00193E45" w:rsidP="00FD76CC">
            <w:pPr>
              <w:ind w:left="57" w:right="57"/>
              <w:rPr>
                <w:sz w:val="28"/>
                <w:szCs w:val="28"/>
              </w:rPr>
            </w:pPr>
            <w:r w:rsidRPr="00973B75">
              <w:rPr>
                <w:sz w:val="28"/>
                <w:szCs w:val="28"/>
              </w:rPr>
              <w:t> Cita informācija</w:t>
            </w:r>
          </w:p>
        </w:tc>
        <w:tc>
          <w:tcPr>
            <w:tcW w:w="5386" w:type="dxa"/>
          </w:tcPr>
          <w:p w:rsidR="00193E45" w:rsidRPr="00973B75" w:rsidRDefault="00193E45" w:rsidP="00FD76CC">
            <w:pPr>
              <w:ind w:left="57" w:right="57" w:firstLine="368"/>
              <w:jc w:val="both"/>
              <w:rPr>
                <w:sz w:val="28"/>
                <w:szCs w:val="28"/>
              </w:rPr>
            </w:pPr>
            <w:r w:rsidRPr="00973B75">
              <w:rPr>
                <w:sz w:val="28"/>
                <w:szCs w:val="28"/>
              </w:rPr>
              <w:t>Nav.</w:t>
            </w:r>
          </w:p>
        </w:tc>
      </w:tr>
    </w:tbl>
    <w:p w:rsidR="00193E45" w:rsidRPr="00973B75" w:rsidRDefault="00193E45" w:rsidP="00193E45">
      <w:pPr>
        <w:pStyle w:val="naisf"/>
        <w:tabs>
          <w:tab w:val="left" w:pos="6710"/>
        </w:tabs>
        <w:spacing w:before="120" w:after="240"/>
        <w:rPr>
          <w:i/>
          <w:sz w:val="28"/>
          <w:szCs w:val="28"/>
        </w:rPr>
      </w:pPr>
      <w:r w:rsidRPr="00973B75">
        <w:rPr>
          <w:i/>
          <w:sz w:val="28"/>
          <w:szCs w:val="28"/>
        </w:rPr>
        <w:t>Anotācijas III, IV un V sadaļa - projekts šīs jomas neskar.</w:t>
      </w:r>
    </w:p>
    <w:p w:rsidR="00193E45" w:rsidRPr="00973B75" w:rsidRDefault="00193E45" w:rsidP="00193E45">
      <w:pPr>
        <w:pStyle w:val="naisf"/>
        <w:tabs>
          <w:tab w:val="left" w:pos="6710"/>
        </w:tabs>
        <w:spacing w:before="0" w:after="0"/>
        <w:ind w:right="-1"/>
        <w:rPr>
          <w:sz w:val="28"/>
          <w:szCs w:val="28"/>
        </w:rPr>
      </w:pPr>
    </w:p>
    <w:p w:rsidR="00193E45" w:rsidRPr="00973B75" w:rsidRDefault="00193E45" w:rsidP="00193E45">
      <w:pPr>
        <w:tabs>
          <w:tab w:val="right" w:pos="9072"/>
        </w:tabs>
        <w:jc w:val="both"/>
        <w:rPr>
          <w:sz w:val="28"/>
          <w:szCs w:val="28"/>
        </w:rPr>
      </w:pPr>
    </w:p>
    <w:p w:rsidR="00193E45" w:rsidRPr="00973B75" w:rsidRDefault="00193E45" w:rsidP="00193E45">
      <w:pPr>
        <w:tabs>
          <w:tab w:val="right" w:pos="9072"/>
        </w:tabs>
        <w:jc w:val="both"/>
        <w:rPr>
          <w:sz w:val="28"/>
          <w:szCs w:val="28"/>
        </w:rPr>
      </w:pPr>
      <w:r w:rsidRPr="00973B75">
        <w:rPr>
          <w:sz w:val="28"/>
          <w:szCs w:val="28"/>
        </w:rPr>
        <w:t>Ekonomikas ministre</w:t>
      </w:r>
      <w:r w:rsidRPr="00973B75">
        <w:rPr>
          <w:sz w:val="28"/>
          <w:szCs w:val="28"/>
        </w:rPr>
        <w:tab/>
      </w:r>
      <w:proofErr w:type="spellStart"/>
      <w:r w:rsidRPr="00973B75">
        <w:rPr>
          <w:sz w:val="28"/>
          <w:szCs w:val="28"/>
        </w:rPr>
        <w:t>D.Reizniece</w:t>
      </w:r>
      <w:proofErr w:type="spellEnd"/>
      <w:r w:rsidRPr="00973B75">
        <w:rPr>
          <w:sz w:val="28"/>
          <w:szCs w:val="28"/>
        </w:rPr>
        <w:t>-Ozola</w:t>
      </w:r>
    </w:p>
    <w:p w:rsidR="00BB547C" w:rsidRPr="00973B75" w:rsidRDefault="00BB547C" w:rsidP="00193E45">
      <w:pPr>
        <w:tabs>
          <w:tab w:val="right" w:pos="9072"/>
        </w:tabs>
        <w:jc w:val="both"/>
        <w:rPr>
          <w:sz w:val="28"/>
          <w:szCs w:val="28"/>
        </w:rPr>
      </w:pPr>
    </w:p>
    <w:p w:rsidR="00BB547C" w:rsidRPr="00973B75" w:rsidRDefault="00BB547C" w:rsidP="00193E45">
      <w:pPr>
        <w:tabs>
          <w:tab w:val="right" w:pos="9072"/>
        </w:tabs>
        <w:jc w:val="both"/>
        <w:rPr>
          <w:sz w:val="28"/>
          <w:szCs w:val="28"/>
        </w:rPr>
      </w:pPr>
    </w:p>
    <w:p w:rsidR="00193E45" w:rsidRPr="00973B75" w:rsidRDefault="00193E45" w:rsidP="00193E45">
      <w:pPr>
        <w:rPr>
          <w:sz w:val="28"/>
          <w:szCs w:val="28"/>
        </w:rPr>
      </w:pPr>
      <w:r w:rsidRPr="00973B75">
        <w:rPr>
          <w:sz w:val="28"/>
          <w:szCs w:val="28"/>
        </w:rPr>
        <w:t>Vīza:</w:t>
      </w:r>
    </w:p>
    <w:p w:rsidR="00193E45" w:rsidRPr="00973B75" w:rsidRDefault="00193E45" w:rsidP="00193E45">
      <w:pPr>
        <w:tabs>
          <w:tab w:val="right" w:pos="9072"/>
        </w:tabs>
        <w:rPr>
          <w:sz w:val="28"/>
          <w:szCs w:val="28"/>
        </w:rPr>
      </w:pPr>
      <w:r w:rsidRPr="00973B75">
        <w:rPr>
          <w:sz w:val="28"/>
          <w:szCs w:val="28"/>
        </w:rPr>
        <w:t>Valsts sekretāra</w:t>
      </w:r>
    </w:p>
    <w:p w:rsidR="00193E45" w:rsidRPr="00973B75" w:rsidRDefault="00193E45" w:rsidP="00193E45">
      <w:pPr>
        <w:tabs>
          <w:tab w:val="right" w:pos="9072"/>
        </w:tabs>
        <w:rPr>
          <w:sz w:val="28"/>
          <w:szCs w:val="28"/>
        </w:rPr>
      </w:pPr>
      <w:r w:rsidRPr="00973B75">
        <w:rPr>
          <w:sz w:val="28"/>
          <w:szCs w:val="28"/>
        </w:rPr>
        <w:t>pienākumu izpildītājs,</w:t>
      </w:r>
    </w:p>
    <w:p w:rsidR="00193E45" w:rsidRPr="00437CA7" w:rsidRDefault="00193E45" w:rsidP="00193E45">
      <w:pPr>
        <w:tabs>
          <w:tab w:val="right" w:pos="9072"/>
        </w:tabs>
        <w:rPr>
          <w:sz w:val="28"/>
          <w:szCs w:val="28"/>
        </w:rPr>
      </w:pPr>
      <w:r w:rsidRPr="00973B75">
        <w:rPr>
          <w:sz w:val="28"/>
          <w:szCs w:val="28"/>
        </w:rPr>
        <w:t xml:space="preserve">valsts sekretāra vietnieks </w:t>
      </w:r>
      <w:r w:rsidRPr="00973B75">
        <w:rPr>
          <w:sz w:val="28"/>
          <w:szCs w:val="28"/>
        </w:rPr>
        <w:tab/>
      </w:r>
      <w:proofErr w:type="spellStart"/>
      <w:r w:rsidRPr="00973B75">
        <w:rPr>
          <w:sz w:val="28"/>
          <w:szCs w:val="28"/>
        </w:rPr>
        <w:t>J.Spiridonovs</w:t>
      </w:r>
      <w:proofErr w:type="spellEnd"/>
    </w:p>
    <w:p w:rsidR="00193E45" w:rsidRPr="00053B75" w:rsidRDefault="00193E45" w:rsidP="00193E45">
      <w:pPr>
        <w:rPr>
          <w:sz w:val="20"/>
        </w:rPr>
      </w:pPr>
    </w:p>
    <w:p w:rsidR="00193E45" w:rsidRDefault="00193E45" w:rsidP="00193E45">
      <w:pPr>
        <w:rPr>
          <w:sz w:val="20"/>
        </w:rPr>
      </w:pPr>
    </w:p>
    <w:p w:rsidR="00193E45" w:rsidRDefault="00193E45" w:rsidP="00193E45">
      <w:pPr>
        <w:rPr>
          <w:sz w:val="20"/>
        </w:rPr>
      </w:pPr>
    </w:p>
    <w:p w:rsidR="00193E45" w:rsidRPr="00053B75" w:rsidRDefault="00193E45" w:rsidP="00193E45">
      <w:pPr>
        <w:rPr>
          <w:sz w:val="20"/>
        </w:rPr>
      </w:pPr>
    </w:p>
    <w:p w:rsidR="0010571D" w:rsidRDefault="0010571D" w:rsidP="00193E45">
      <w:pPr>
        <w:tabs>
          <w:tab w:val="left" w:pos="1080"/>
        </w:tabs>
        <w:ind w:right="71"/>
        <w:jc w:val="both"/>
        <w:rPr>
          <w:sz w:val="22"/>
          <w:szCs w:val="22"/>
        </w:rPr>
      </w:pPr>
      <w:r>
        <w:rPr>
          <w:sz w:val="22"/>
          <w:szCs w:val="22"/>
        </w:rPr>
        <w:t>26.</w:t>
      </w:r>
      <w:bookmarkStart w:id="5" w:name="_GoBack"/>
      <w:bookmarkEnd w:id="5"/>
      <w:r>
        <w:rPr>
          <w:sz w:val="22"/>
          <w:szCs w:val="22"/>
        </w:rPr>
        <w:t>06.2015 15:38</w:t>
      </w:r>
    </w:p>
    <w:p w:rsidR="00193E45" w:rsidRPr="0072361B" w:rsidRDefault="006E2967" w:rsidP="00193E45">
      <w:pPr>
        <w:tabs>
          <w:tab w:val="left" w:pos="1080"/>
        </w:tabs>
        <w:ind w:right="71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252065">
        <w:rPr>
          <w:sz w:val="22"/>
          <w:szCs w:val="22"/>
        </w:rPr>
        <w:t>68</w:t>
      </w:r>
    </w:p>
    <w:p w:rsidR="00193E45" w:rsidRPr="0072361B" w:rsidRDefault="00437385" w:rsidP="00193E45">
      <w:pPr>
        <w:tabs>
          <w:tab w:val="left" w:pos="1080"/>
        </w:tabs>
        <w:ind w:right="71"/>
        <w:jc w:val="both"/>
        <w:rPr>
          <w:sz w:val="22"/>
          <w:szCs w:val="22"/>
        </w:rPr>
      </w:pPr>
      <w:proofErr w:type="spellStart"/>
      <w:r w:rsidRPr="0072361B">
        <w:rPr>
          <w:sz w:val="22"/>
          <w:szCs w:val="22"/>
        </w:rPr>
        <w:t>J.Čudars</w:t>
      </w:r>
      <w:proofErr w:type="spellEnd"/>
      <w:r w:rsidR="00193E45" w:rsidRPr="0072361B">
        <w:rPr>
          <w:sz w:val="22"/>
          <w:szCs w:val="22"/>
        </w:rPr>
        <w:t>,</w:t>
      </w:r>
    </w:p>
    <w:p w:rsidR="00193E45" w:rsidRPr="00437385" w:rsidRDefault="00437385" w:rsidP="00193E45">
      <w:pPr>
        <w:tabs>
          <w:tab w:val="left" w:pos="1080"/>
        </w:tabs>
        <w:ind w:right="71"/>
        <w:jc w:val="both"/>
        <w:rPr>
          <w:sz w:val="20"/>
          <w:szCs w:val="20"/>
          <w:lang w:val="de-DE"/>
        </w:rPr>
      </w:pPr>
      <w:r w:rsidRPr="0072361B">
        <w:rPr>
          <w:sz w:val="22"/>
          <w:szCs w:val="22"/>
          <w:lang w:val="de-DE"/>
        </w:rPr>
        <w:t>67013248</w:t>
      </w:r>
      <w:r w:rsidR="00193E45" w:rsidRPr="0072361B">
        <w:rPr>
          <w:sz w:val="22"/>
          <w:szCs w:val="22"/>
          <w:lang w:val="de-DE"/>
        </w:rPr>
        <w:t xml:space="preserve">, </w:t>
      </w:r>
      <w:hyperlink r:id="rId8" w:history="1">
        <w:r w:rsidRPr="0072361B">
          <w:rPr>
            <w:rStyle w:val="Hyperlink"/>
            <w:color w:val="auto"/>
            <w:sz w:val="22"/>
            <w:szCs w:val="22"/>
            <w:u w:val="none"/>
            <w:lang w:val="de-DE"/>
          </w:rPr>
          <w:t>Janis.Cudars</w:t>
        </w:r>
      </w:hyperlink>
      <w:r w:rsidRPr="0072361B">
        <w:rPr>
          <w:sz w:val="22"/>
          <w:szCs w:val="22"/>
        </w:rPr>
        <w:t>@em.gov.lv</w:t>
      </w:r>
      <w:r w:rsidRPr="0072361B">
        <w:rPr>
          <w:sz w:val="22"/>
          <w:szCs w:val="22"/>
          <w:lang w:val="de-DE"/>
        </w:rPr>
        <w:t xml:space="preserve"> </w:t>
      </w:r>
    </w:p>
    <w:p w:rsidR="00193E45" w:rsidRPr="005E42AA" w:rsidRDefault="00193E45" w:rsidP="00193E45">
      <w:pPr>
        <w:rPr>
          <w:lang w:val="de-DE"/>
        </w:rPr>
      </w:pPr>
    </w:p>
    <w:sectPr w:rsidR="00193E45" w:rsidRPr="005E42AA" w:rsidSect="001135ED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1134" w:right="851" w:bottom="1134" w:left="1701" w:header="709" w:footer="6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CB0" w:rsidRDefault="00181CB0">
      <w:r>
        <w:separator/>
      </w:r>
    </w:p>
  </w:endnote>
  <w:endnote w:type="continuationSeparator" w:id="0">
    <w:p w:rsidR="00181CB0" w:rsidRDefault="00181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3C9" w:rsidRDefault="008518D5">
    <w:pPr>
      <w:pStyle w:val="Footer"/>
    </w:pPr>
    <w:r w:rsidRPr="008A2D3B">
      <w:rPr>
        <w:sz w:val="22"/>
        <w:szCs w:val="22"/>
      </w:rPr>
      <w:fldChar w:fldCharType="begin"/>
    </w:r>
    <w:r w:rsidRPr="008A2D3B">
      <w:rPr>
        <w:sz w:val="22"/>
        <w:szCs w:val="22"/>
        <w:lang w:val="de-DE"/>
      </w:rPr>
      <w:instrText xml:space="preserve"> FILENAME   \* MERGEFORMAT </w:instrText>
    </w:r>
    <w:r w:rsidRPr="008A2D3B">
      <w:rPr>
        <w:sz w:val="22"/>
        <w:szCs w:val="22"/>
      </w:rPr>
      <w:fldChar w:fldCharType="separate"/>
    </w:r>
    <w:r w:rsidR="0010571D" w:rsidRPr="0010571D">
      <w:rPr>
        <w:noProof/>
        <w:sz w:val="22"/>
        <w:szCs w:val="22"/>
      </w:rPr>
      <w:t>EManot_010615_LBN241</w:t>
    </w:r>
    <w:r w:rsidRPr="008A2D3B">
      <w:rPr>
        <w:noProof/>
        <w:sz w:val="22"/>
        <w:szCs w:val="22"/>
      </w:rPr>
      <w:fldChar w:fldCharType="end"/>
    </w:r>
    <w:r w:rsidRPr="008A2D3B">
      <w:rPr>
        <w:sz w:val="22"/>
        <w:szCs w:val="22"/>
      </w:rPr>
      <w:t>; Ministru kabineta noteikumu projekta „Noteikumi par Latvijas būvnormatīvu LBN 24</w:t>
    </w:r>
    <w:r>
      <w:rPr>
        <w:sz w:val="22"/>
        <w:szCs w:val="22"/>
      </w:rPr>
      <w:t>1</w:t>
    </w:r>
    <w:r w:rsidRPr="008A2D3B">
      <w:rPr>
        <w:sz w:val="22"/>
        <w:szCs w:val="22"/>
      </w:rPr>
      <w:t xml:space="preserve">-15 „Dabasgāzes </w:t>
    </w:r>
    <w:r>
      <w:rPr>
        <w:sz w:val="22"/>
        <w:szCs w:val="22"/>
      </w:rPr>
      <w:t>iekšējo</w:t>
    </w:r>
    <w:r w:rsidRPr="008A2D3B">
      <w:rPr>
        <w:sz w:val="22"/>
        <w:szCs w:val="22"/>
      </w:rPr>
      <w:t xml:space="preserve"> gāzesvadu sistēma”” sākotnējās ietekmes novērtējuma </w:t>
    </w:r>
    <w:smartTag w:uri="schemas-tilde-lv/tildestengine" w:element="veidnes">
      <w:smartTagPr>
        <w:attr w:name="id" w:val="-1"/>
        <w:attr w:name="baseform" w:val="ziņojums"/>
        <w:attr w:name="text" w:val="ziņojums"/>
      </w:smartTagPr>
      <w:r w:rsidRPr="008A2D3B">
        <w:rPr>
          <w:sz w:val="22"/>
          <w:szCs w:val="22"/>
        </w:rPr>
        <w:t>ziņojums</w:t>
      </w:r>
    </w:smartTag>
    <w:r w:rsidRPr="008A2D3B">
      <w:rPr>
        <w:sz w:val="22"/>
        <w:szCs w:val="22"/>
      </w:rPr>
      <w:t xml:space="preserve"> (</w:t>
    </w:r>
    <w:r w:rsidRPr="008A2D3B">
      <w:rPr>
        <w:bCs/>
        <w:sz w:val="22"/>
        <w:szCs w:val="22"/>
      </w:rPr>
      <w:t>anotācija).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3C9" w:rsidRDefault="00A663C9">
    <w:pPr>
      <w:pStyle w:val="Footer"/>
    </w:pPr>
    <w:r w:rsidRPr="00597AB7">
      <w:rPr>
        <w:sz w:val="20"/>
        <w:szCs w:val="20"/>
      </w:rPr>
      <w:t>EM</w:t>
    </w:r>
    <w:r>
      <w:rPr>
        <w:sz w:val="20"/>
        <w:szCs w:val="20"/>
      </w:rPr>
      <w:t>an</w:t>
    </w:r>
    <w:r w:rsidRPr="00597AB7">
      <w:rPr>
        <w:sz w:val="20"/>
        <w:szCs w:val="20"/>
      </w:rPr>
      <w:t>ot_</w:t>
    </w:r>
    <w:r>
      <w:rPr>
        <w:sz w:val="20"/>
        <w:szCs w:val="20"/>
      </w:rPr>
      <w:t>0106</w:t>
    </w:r>
    <w:r w:rsidRPr="00597AB7">
      <w:rPr>
        <w:sz w:val="20"/>
        <w:szCs w:val="20"/>
      </w:rPr>
      <w:t>15_</w:t>
    </w:r>
    <w:r>
      <w:rPr>
        <w:sz w:val="20"/>
        <w:szCs w:val="20"/>
      </w:rPr>
      <w:t>dg_iekš</w:t>
    </w:r>
    <w:r w:rsidRPr="00597AB7">
      <w:rPr>
        <w:sz w:val="20"/>
        <w:szCs w:val="20"/>
      </w:rPr>
      <w:t>; Ministru kabineta noteikumu projekt</w:t>
    </w:r>
    <w:r>
      <w:rPr>
        <w:sz w:val="20"/>
        <w:szCs w:val="20"/>
      </w:rPr>
      <w:t>a</w:t>
    </w:r>
    <w:r w:rsidRPr="00597AB7">
      <w:rPr>
        <w:sz w:val="20"/>
        <w:szCs w:val="20"/>
      </w:rPr>
      <w:t xml:space="preserve"> </w:t>
    </w:r>
    <w:r w:rsidR="00B94F35" w:rsidRPr="00B94F35">
      <w:rPr>
        <w:sz w:val="20"/>
        <w:szCs w:val="20"/>
      </w:rPr>
      <w:t xml:space="preserve">„Noteikumi par Latvijas būvnormatīvu LBN 241-15 „Dabasgāzes iekšējo gāzesvadu sistēma”” sākotnējās ietekmes novērtējuma </w:t>
    </w:r>
    <w:smartTag w:uri="schemas-tilde-lv/tildestengine" w:element="veidnes">
      <w:smartTagPr>
        <w:attr w:name="text" w:val="ziņojums"/>
        <w:attr w:name="baseform" w:val="ziņojums"/>
        <w:attr w:name="id" w:val="-1"/>
      </w:smartTagPr>
      <w:r w:rsidR="00B94F35" w:rsidRPr="00B94F35">
        <w:rPr>
          <w:sz w:val="20"/>
          <w:szCs w:val="20"/>
        </w:rPr>
        <w:t>ziņojums</w:t>
      </w:r>
    </w:smartTag>
    <w:r w:rsidR="00B94F35" w:rsidRPr="00B94F35">
      <w:rPr>
        <w:sz w:val="20"/>
        <w:szCs w:val="20"/>
      </w:rPr>
      <w:t xml:space="preserve"> (</w:t>
    </w:r>
    <w:r w:rsidR="00B94F35" w:rsidRPr="00B94F35">
      <w:rPr>
        <w:bCs/>
        <w:sz w:val="20"/>
        <w:szCs w:val="20"/>
      </w:rPr>
      <w:t>anotācija)</w:t>
    </w:r>
  </w:p>
  <w:p w:rsidR="00A663C9" w:rsidRDefault="00A663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CB0" w:rsidRDefault="00181CB0">
      <w:r>
        <w:separator/>
      </w:r>
    </w:p>
  </w:footnote>
  <w:footnote w:type="continuationSeparator" w:id="0">
    <w:p w:rsidR="00181CB0" w:rsidRDefault="00181C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5A2" w:rsidRDefault="0058753E" w:rsidP="003C449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735A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735A2" w:rsidRDefault="00A735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5A2" w:rsidRDefault="0058753E" w:rsidP="003C449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735A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0571D">
      <w:rPr>
        <w:rStyle w:val="PageNumber"/>
        <w:noProof/>
      </w:rPr>
      <w:t>4</w:t>
    </w:r>
    <w:r>
      <w:rPr>
        <w:rStyle w:val="PageNumber"/>
      </w:rPr>
      <w:fldChar w:fldCharType="end"/>
    </w:r>
  </w:p>
  <w:p w:rsidR="00A735A2" w:rsidRDefault="00A735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C123E"/>
    <w:multiLevelType w:val="hybridMultilevel"/>
    <w:tmpl w:val="F4B2051A"/>
    <w:lvl w:ilvl="0" w:tplc="1AA228F6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0AE61C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526626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4077EE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74FBCC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8671BE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B8FA78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A62104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16CDEA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91C0C4F"/>
    <w:multiLevelType w:val="hybridMultilevel"/>
    <w:tmpl w:val="A6D837A8"/>
    <w:lvl w:ilvl="0" w:tplc="756C181E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702590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B2DCBC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C0F6DE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F245F6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541756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8C1E8E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96BFFA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C6F5CC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B9B34B7"/>
    <w:multiLevelType w:val="hybridMultilevel"/>
    <w:tmpl w:val="49188FE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4F440C"/>
    <w:multiLevelType w:val="hybridMultilevel"/>
    <w:tmpl w:val="91CCED8A"/>
    <w:lvl w:ilvl="0" w:tplc="6226E69E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56AA46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62EAA8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68E700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A64F58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B84090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742512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A6DB4C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6C29DA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3331831"/>
    <w:multiLevelType w:val="hybridMultilevel"/>
    <w:tmpl w:val="B3F69290"/>
    <w:lvl w:ilvl="0" w:tplc="1F544398">
      <w:start w:val="1"/>
      <w:numFmt w:val="decimal"/>
      <w:lvlText w:val="%1)"/>
      <w:lvlJc w:val="left"/>
      <w:pPr>
        <w:ind w:left="644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CCC5C9A"/>
    <w:multiLevelType w:val="multilevel"/>
    <w:tmpl w:val="82D841C6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 w15:restartNumberingAfterBreak="0">
    <w:nsid w:val="4209115C"/>
    <w:multiLevelType w:val="hybridMultilevel"/>
    <w:tmpl w:val="4202A2F8"/>
    <w:lvl w:ilvl="0" w:tplc="82965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8744A95"/>
    <w:multiLevelType w:val="hybridMultilevel"/>
    <w:tmpl w:val="FA345D46"/>
    <w:lvl w:ilvl="0" w:tplc="A49EE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8D72F2E"/>
    <w:multiLevelType w:val="hybridMultilevel"/>
    <w:tmpl w:val="7B04B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124FFD"/>
    <w:multiLevelType w:val="hybridMultilevel"/>
    <w:tmpl w:val="6B56254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46D2BC9"/>
    <w:multiLevelType w:val="hybridMultilevel"/>
    <w:tmpl w:val="D75C78A0"/>
    <w:lvl w:ilvl="0" w:tplc="09C4E5D8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FE28C0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C81F1C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94F8A2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4EA872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F4E01C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F4ADE6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661D1E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6C581E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581C7582"/>
    <w:multiLevelType w:val="hybridMultilevel"/>
    <w:tmpl w:val="7ABE272A"/>
    <w:lvl w:ilvl="0" w:tplc="042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C61899"/>
    <w:multiLevelType w:val="hybridMultilevel"/>
    <w:tmpl w:val="C4628448"/>
    <w:lvl w:ilvl="0" w:tplc="0426000D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60C23AF1"/>
    <w:multiLevelType w:val="multilevel"/>
    <w:tmpl w:val="CB0C16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632A1A20"/>
    <w:multiLevelType w:val="hybridMultilevel"/>
    <w:tmpl w:val="CF5202E0"/>
    <w:lvl w:ilvl="0" w:tplc="8CA2CBC6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6C3BCA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FAB368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E063A6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A0E0DC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18B692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1C8CF2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346DD6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BA4D6C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13"/>
  </w:num>
  <w:num w:numId="3">
    <w:abstractNumId w:val="3"/>
  </w:num>
  <w:num w:numId="4">
    <w:abstractNumId w:val="1"/>
  </w:num>
  <w:num w:numId="5">
    <w:abstractNumId w:val="0"/>
  </w:num>
  <w:num w:numId="6">
    <w:abstractNumId w:val="10"/>
  </w:num>
  <w:num w:numId="7">
    <w:abstractNumId w:val="14"/>
  </w:num>
  <w:num w:numId="8">
    <w:abstractNumId w:val="7"/>
  </w:num>
  <w:num w:numId="9">
    <w:abstractNumId w:val="2"/>
  </w:num>
  <w:num w:numId="10">
    <w:abstractNumId w:val="8"/>
  </w:num>
  <w:num w:numId="11">
    <w:abstractNumId w:val="9"/>
  </w:num>
  <w:num w:numId="12">
    <w:abstractNumId w:val="11"/>
  </w:num>
  <w:num w:numId="13">
    <w:abstractNumId w:val="12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649"/>
    <w:rsid w:val="00007530"/>
    <w:rsid w:val="00011D24"/>
    <w:rsid w:val="00013FF4"/>
    <w:rsid w:val="0001625D"/>
    <w:rsid w:val="00020423"/>
    <w:rsid w:val="00020FE1"/>
    <w:rsid w:val="00022E13"/>
    <w:rsid w:val="000312DB"/>
    <w:rsid w:val="00032388"/>
    <w:rsid w:val="0003379D"/>
    <w:rsid w:val="00035CE2"/>
    <w:rsid w:val="00042899"/>
    <w:rsid w:val="00042D0E"/>
    <w:rsid w:val="00045178"/>
    <w:rsid w:val="00054A3F"/>
    <w:rsid w:val="0005553B"/>
    <w:rsid w:val="00056ED2"/>
    <w:rsid w:val="0005711F"/>
    <w:rsid w:val="000604D2"/>
    <w:rsid w:val="00061C83"/>
    <w:rsid w:val="0006397E"/>
    <w:rsid w:val="00067B8A"/>
    <w:rsid w:val="000704C8"/>
    <w:rsid w:val="0008764A"/>
    <w:rsid w:val="0009005E"/>
    <w:rsid w:val="000941C5"/>
    <w:rsid w:val="00096A3E"/>
    <w:rsid w:val="000A2CD9"/>
    <w:rsid w:val="000A5505"/>
    <w:rsid w:val="000A6451"/>
    <w:rsid w:val="000B064E"/>
    <w:rsid w:val="000B0DBC"/>
    <w:rsid w:val="000B1D4D"/>
    <w:rsid w:val="000B617F"/>
    <w:rsid w:val="000B65B3"/>
    <w:rsid w:val="000B69CF"/>
    <w:rsid w:val="000C32CB"/>
    <w:rsid w:val="000C4249"/>
    <w:rsid w:val="000C76A6"/>
    <w:rsid w:val="000C7730"/>
    <w:rsid w:val="000C790C"/>
    <w:rsid w:val="000D1C54"/>
    <w:rsid w:val="000E21B9"/>
    <w:rsid w:val="000F061D"/>
    <w:rsid w:val="000F0E60"/>
    <w:rsid w:val="000F4794"/>
    <w:rsid w:val="000F4870"/>
    <w:rsid w:val="000F5CD3"/>
    <w:rsid w:val="000F6162"/>
    <w:rsid w:val="00100CB1"/>
    <w:rsid w:val="0010571D"/>
    <w:rsid w:val="00106417"/>
    <w:rsid w:val="001109E7"/>
    <w:rsid w:val="0011244A"/>
    <w:rsid w:val="001135ED"/>
    <w:rsid w:val="00113F3B"/>
    <w:rsid w:val="0011461E"/>
    <w:rsid w:val="001152DB"/>
    <w:rsid w:val="00120766"/>
    <w:rsid w:val="00124F12"/>
    <w:rsid w:val="001261F5"/>
    <w:rsid w:val="0013160C"/>
    <w:rsid w:val="001334C0"/>
    <w:rsid w:val="001366F2"/>
    <w:rsid w:val="00141136"/>
    <w:rsid w:val="00144E3A"/>
    <w:rsid w:val="00146E24"/>
    <w:rsid w:val="0015060C"/>
    <w:rsid w:val="00155AE8"/>
    <w:rsid w:val="0016018A"/>
    <w:rsid w:val="00161F0E"/>
    <w:rsid w:val="001627FF"/>
    <w:rsid w:val="0016588C"/>
    <w:rsid w:val="00170E2A"/>
    <w:rsid w:val="0017683A"/>
    <w:rsid w:val="00177394"/>
    <w:rsid w:val="00177CF1"/>
    <w:rsid w:val="001813F5"/>
    <w:rsid w:val="00181CB0"/>
    <w:rsid w:val="00181F05"/>
    <w:rsid w:val="00182C18"/>
    <w:rsid w:val="0018387B"/>
    <w:rsid w:val="00183CC2"/>
    <w:rsid w:val="0018489C"/>
    <w:rsid w:val="001860E1"/>
    <w:rsid w:val="001900E4"/>
    <w:rsid w:val="00190F88"/>
    <w:rsid w:val="00193E45"/>
    <w:rsid w:val="001A4066"/>
    <w:rsid w:val="001A4B82"/>
    <w:rsid w:val="001A6AE4"/>
    <w:rsid w:val="001B01FD"/>
    <w:rsid w:val="001B101F"/>
    <w:rsid w:val="001B20D9"/>
    <w:rsid w:val="001B2E01"/>
    <w:rsid w:val="001B31BD"/>
    <w:rsid w:val="001B4A71"/>
    <w:rsid w:val="001B6DEF"/>
    <w:rsid w:val="001B75E2"/>
    <w:rsid w:val="001C25F1"/>
    <w:rsid w:val="001C4C84"/>
    <w:rsid w:val="001D0A1B"/>
    <w:rsid w:val="001D5B54"/>
    <w:rsid w:val="001D7368"/>
    <w:rsid w:val="001E1DBF"/>
    <w:rsid w:val="001E3136"/>
    <w:rsid w:val="001E4639"/>
    <w:rsid w:val="001E4A7D"/>
    <w:rsid w:val="001E4D48"/>
    <w:rsid w:val="001E5B05"/>
    <w:rsid w:val="001F3263"/>
    <w:rsid w:val="001F43A8"/>
    <w:rsid w:val="001F5B7B"/>
    <w:rsid w:val="001F5CD6"/>
    <w:rsid w:val="002122DE"/>
    <w:rsid w:val="0021263D"/>
    <w:rsid w:val="00213F0C"/>
    <w:rsid w:val="00214094"/>
    <w:rsid w:val="00215121"/>
    <w:rsid w:val="0021592D"/>
    <w:rsid w:val="00222D76"/>
    <w:rsid w:val="00223EB1"/>
    <w:rsid w:val="00225DA2"/>
    <w:rsid w:val="0022770D"/>
    <w:rsid w:val="00231344"/>
    <w:rsid w:val="00231365"/>
    <w:rsid w:val="0023436E"/>
    <w:rsid w:val="002347C0"/>
    <w:rsid w:val="00235A8B"/>
    <w:rsid w:val="00241A6C"/>
    <w:rsid w:val="00242135"/>
    <w:rsid w:val="00242A6C"/>
    <w:rsid w:val="00242D2B"/>
    <w:rsid w:val="00244474"/>
    <w:rsid w:val="00250A0F"/>
    <w:rsid w:val="00252065"/>
    <w:rsid w:val="00261E2B"/>
    <w:rsid w:val="002621B9"/>
    <w:rsid w:val="00262E2B"/>
    <w:rsid w:val="00265F0D"/>
    <w:rsid w:val="00270429"/>
    <w:rsid w:val="002721B6"/>
    <w:rsid w:val="002723E9"/>
    <w:rsid w:val="00277929"/>
    <w:rsid w:val="00280D1A"/>
    <w:rsid w:val="00283B82"/>
    <w:rsid w:val="002846E9"/>
    <w:rsid w:val="00284C34"/>
    <w:rsid w:val="0029066C"/>
    <w:rsid w:val="00291645"/>
    <w:rsid w:val="00297520"/>
    <w:rsid w:val="002B50DB"/>
    <w:rsid w:val="002C12AB"/>
    <w:rsid w:val="002C7CAC"/>
    <w:rsid w:val="002D3306"/>
    <w:rsid w:val="002D473F"/>
    <w:rsid w:val="002D48AA"/>
    <w:rsid w:val="002D7584"/>
    <w:rsid w:val="002D79DE"/>
    <w:rsid w:val="002D7BAA"/>
    <w:rsid w:val="002D7F54"/>
    <w:rsid w:val="002E0E16"/>
    <w:rsid w:val="002E2D9B"/>
    <w:rsid w:val="002E3FF4"/>
    <w:rsid w:val="002E4FFE"/>
    <w:rsid w:val="002F3BB7"/>
    <w:rsid w:val="002F6B1E"/>
    <w:rsid w:val="002F78C8"/>
    <w:rsid w:val="00301CF3"/>
    <w:rsid w:val="00301D2B"/>
    <w:rsid w:val="00312F59"/>
    <w:rsid w:val="00313AD1"/>
    <w:rsid w:val="00314C96"/>
    <w:rsid w:val="0032226E"/>
    <w:rsid w:val="003260A8"/>
    <w:rsid w:val="0032711D"/>
    <w:rsid w:val="0032715C"/>
    <w:rsid w:val="00331E2B"/>
    <w:rsid w:val="00335CF7"/>
    <w:rsid w:val="00337CA5"/>
    <w:rsid w:val="003416C7"/>
    <w:rsid w:val="00343716"/>
    <w:rsid w:val="003439D8"/>
    <w:rsid w:val="003444D1"/>
    <w:rsid w:val="0034495D"/>
    <w:rsid w:val="00362478"/>
    <w:rsid w:val="003642C0"/>
    <w:rsid w:val="00365984"/>
    <w:rsid w:val="00373439"/>
    <w:rsid w:val="00375B25"/>
    <w:rsid w:val="00384BFF"/>
    <w:rsid w:val="003904F9"/>
    <w:rsid w:val="003915BD"/>
    <w:rsid w:val="00396542"/>
    <w:rsid w:val="0039685B"/>
    <w:rsid w:val="003A0A64"/>
    <w:rsid w:val="003A12AD"/>
    <w:rsid w:val="003A31A6"/>
    <w:rsid w:val="003A60BD"/>
    <w:rsid w:val="003A7F0C"/>
    <w:rsid w:val="003A7F79"/>
    <w:rsid w:val="003B0CEC"/>
    <w:rsid w:val="003B0CF3"/>
    <w:rsid w:val="003B37A7"/>
    <w:rsid w:val="003B6404"/>
    <w:rsid w:val="003B6ED2"/>
    <w:rsid w:val="003C0BD6"/>
    <w:rsid w:val="003C3BAB"/>
    <w:rsid w:val="003C449B"/>
    <w:rsid w:val="003C52F2"/>
    <w:rsid w:val="003D21FF"/>
    <w:rsid w:val="003E3BC7"/>
    <w:rsid w:val="003E3C4B"/>
    <w:rsid w:val="003F0112"/>
    <w:rsid w:val="003F071A"/>
    <w:rsid w:val="003F160B"/>
    <w:rsid w:val="003F230C"/>
    <w:rsid w:val="003F2D9D"/>
    <w:rsid w:val="003F5747"/>
    <w:rsid w:val="00400032"/>
    <w:rsid w:val="004009B5"/>
    <w:rsid w:val="00400B5B"/>
    <w:rsid w:val="00404F48"/>
    <w:rsid w:val="00405A00"/>
    <w:rsid w:val="00407529"/>
    <w:rsid w:val="00414DB2"/>
    <w:rsid w:val="00420870"/>
    <w:rsid w:val="004367EE"/>
    <w:rsid w:val="00437385"/>
    <w:rsid w:val="0043791B"/>
    <w:rsid w:val="00441483"/>
    <w:rsid w:val="00441BCB"/>
    <w:rsid w:val="004427D6"/>
    <w:rsid w:val="00443978"/>
    <w:rsid w:val="00445273"/>
    <w:rsid w:val="0045176A"/>
    <w:rsid w:val="00452DE3"/>
    <w:rsid w:val="00456332"/>
    <w:rsid w:val="00461826"/>
    <w:rsid w:val="004624A3"/>
    <w:rsid w:val="00466838"/>
    <w:rsid w:val="00470164"/>
    <w:rsid w:val="004746C8"/>
    <w:rsid w:val="00475203"/>
    <w:rsid w:val="004772F7"/>
    <w:rsid w:val="004800F9"/>
    <w:rsid w:val="00485BB5"/>
    <w:rsid w:val="00487B0A"/>
    <w:rsid w:val="0049134A"/>
    <w:rsid w:val="00491A89"/>
    <w:rsid w:val="004940BA"/>
    <w:rsid w:val="004942F6"/>
    <w:rsid w:val="004A1B92"/>
    <w:rsid w:val="004A58CB"/>
    <w:rsid w:val="004B1795"/>
    <w:rsid w:val="004B3D2B"/>
    <w:rsid w:val="004B56DD"/>
    <w:rsid w:val="004B6C7E"/>
    <w:rsid w:val="004C020F"/>
    <w:rsid w:val="004C1AFD"/>
    <w:rsid w:val="004C558B"/>
    <w:rsid w:val="004D016C"/>
    <w:rsid w:val="004D618C"/>
    <w:rsid w:val="004D7A1E"/>
    <w:rsid w:val="004E3748"/>
    <w:rsid w:val="004F1F88"/>
    <w:rsid w:val="004F5F1B"/>
    <w:rsid w:val="00502374"/>
    <w:rsid w:val="005060A1"/>
    <w:rsid w:val="00516072"/>
    <w:rsid w:val="00516697"/>
    <w:rsid w:val="00521535"/>
    <w:rsid w:val="0053284D"/>
    <w:rsid w:val="005331BA"/>
    <w:rsid w:val="005332EC"/>
    <w:rsid w:val="00534418"/>
    <w:rsid w:val="005353AB"/>
    <w:rsid w:val="00544CC2"/>
    <w:rsid w:val="00545943"/>
    <w:rsid w:val="005477F7"/>
    <w:rsid w:val="00550853"/>
    <w:rsid w:val="00551541"/>
    <w:rsid w:val="00552DDA"/>
    <w:rsid w:val="005560BC"/>
    <w:rsid w:val="005573BE"/>
    <w:rsid w:val="00560E2F"/>
    <w:rsid w:val="005610E2"/>
    <w:rsid w:val="00561A37"/>
    <w:rsid w:val="005641E4"/>
    <w:rsid w:val="00567A16"/>
    <w:rsid w:val="00570AA6"/>
    <w:rsid w:val="00572700"/>
    <w:rsid w:val="00572A7A"/>
    <w:rsid w:val="00573E98"/>
    <w:rsid w:val="00580468"/>
    <w:rsid w:val="00580FB7"/>
    <w:rsid w:val="0058603B"/>
    <w:rsid w:val="0058753E"/>
    <w:rsid w:val="0059390D"/>
    <w:rsid w:val="005940FC"/>
    <w:rsid w:val="0059431B"/>
    <w:rsid w:val="005947E4"/>
    <w:rsid w:val="005A086D"/>
    <w:rsid w:val="005A188A"/>
    <w:rsid w:val="005A39CC"/>
    <w:rsid w:val="005A6D78"/>
    <w:rsid w:val="005A7FB1"/>
    <w:rsid w:val="005B017F"/>
    <w:rsid w:val="005B0C56"/>
    <w:rsid w:val="005B3373"/>
    <w:rsid w:val="005B4730"/>
    <w:rsid w:val="005E0222"/>
    <w:rsid w:val="005E05D7"/>
    <w:rsid w:val="005E0E6E"/>
    <w:rsid w:val="005E41E7"/>
    <w:rsid w:val="005E450F"/>
    <w:rsid w:val="005E7D3F"/>
    <w:rsid w:val="005F5D61"/>
    <w:rsid w:val="00601B5E"/>
    <w:rsid w:val="006036BC"/>
    <w:rsid w:val="00605E8E"/>
    <w:rsid w:val="00616859"/>
    <w:rsid w:val="00620923"/>
    <w:rsid w:val="0062298A"/>
    <w:rsid w:val="00623F65"/>
    <w:rsid w:val="0062512B"/>
    <w:rsid w:val="00626514"/>
    <w:rsid w:val="00626589"/>
    <w:rsid w:val="006339A0"/>
    <w:rsid w:val="006413A8"/>
    <w:rsid w:val="0064293B"/>
    <w:rsid w:val="00642E56"/>
    <w:rsid w:val="00644331"/>
    <w:rsid w:val="006446A4"/>
    <w:rsid w:val="00651E00"/>
    <w:rsid w:val="00652825"/>
    <w:rsid w:val="006570D6"/>
    <w:rsid w:val="006648BB"/>
    <w:rsid w:val="00666AC0"/>
    <w:rsid w:val="00666B88"/>
    <w:rsid w:val="00674572"/>
    <w:rsid w:val="00674F6D"/>
    <w:rsid w:val="00687763"/>
    <w:rsid w:val="006915DA"/>
    <w:rsid w:val="00691C30"/>
    <w:rsid w:val="00692B0D"/>
    <w:rsid w:val="00692DBC"/>
    <w:rsid w:val="00693E0E"/>
    <w:rsid w:val="006A0A17"/>
    <w:rsid w:val="006A1AE3"/>
    <w:rsid w:val="006B2F2A"/>
    <w:rsid w:val="006C2A82"/>
    <w:rsid w:val="006C2C96"/>
    <w:rsid w:val="006C30E1"/>
    <w:rsid w:val="006C391E"/>
    <w:rsid w:val="006C4607"/>
    <w:rsid w:val="006C7451"/>
    <w:rsid w:val="006C7561"/>
    <w:rsid w:val="006D0FF9"/>
    <w:rsid w:val="006D48F1"/>
    <w:rsid w:val="006D5702"/>
    <w:rsid w:val="006D5B7C"/>
    <w:rsid w:val="006E1380"/>
    <w:rsid w:val="006E25D2"/>
    <w:rsid w:val="006E2967"/>
    <w:rsid w:val="006E2CA1"/>
    <w:rsid w:val="006E3FB0"/>
    <w:rsid w:val="006F05D4"/>
    <w:rsid w:val="006F3D17"/>
    <w:rsid w:val="006F45BE"/>
    <w:rsid w:val="006F5782"/>
    <w:rsid w:val="007004FC"/>
    <w:rsid w:val="007005F0"/>
    <w:rsid w:val="00704877"/>
    <w:rsid w:val="00706670"/>
    <w:rsid w:val="00717E74"/>
    <w:rsid w:val="007225F5"/>
    <w:rsid w:val="0072361B"/>
    <w:rsid w:val="0072417C"/>
    <w:rsid w:val="00726B33"/>
    <w:rsid w:val="00734450"/>
    <w:rsid w:val="0073452D"/>
    <w:rsid w:val="00736E73"/>
    <w:rsid w:val="00743F6E"/>
    <w:rsid w:val="00745F67"/>
    <w:rsid w:val="007468BD"/>
    <w:rsid w:val="0075039E"/>
    <w:rsid w:val="00751422"/>
    <w:rsid w:val="00752D9D"/>
    <w:rsid w:val="00754784"/>
    <w:rsid w:val="00756837"/>
    <w:rsid w:val="00757C6E"/>
    <w:rsid w:val="00760EC3"/>
    <w:rsid w:val="00762BDA"/>
    <w:rsid w:val="00764AE2"/>
    <w:rsid w:val="00766200"/>
    <w:rsid w:val="00767F08"/>
    <w:rsid w:val="00777D88"/>
    <w:rsid w:val="007805FD"/>
    <w:rsid w:val="00780A39"/>
    <w:rsid w:val="00781565"/>
    <w:rsid w:val="007840F1"/>
    <w:rsid w:val="00784422"/>
    <w:rsid w:val="00790375"/>
    <w:rsid w:val="00791D71"/>
    <w:rsid w:val="007921BB"/>
    <w:rsid w:val="00792B7C"/>
    <w:rsid w:val="00792EDE"/>
    <w:rsid w:val="00796293"/>
    <w:rsid w:val="007A012B"/>
    <w:rsid w:val="007A30FA"/>
    <w:rsid w:val="007A3124"/>
    <w:rsid w:val="007A4ED3"/>
    <w:rsid w:val="007B3B54"/>
    <w:rsid w:val="007B3FA0"/>
    <w:rsid w:val="007B6E26"/>
    <w:rsid w:val="007B7A7D"/>
    <w:rsid w:val="007C0754"/>
    <w:rsid w:val="007C0F2C"/>
    <w:rsid w:val="007C2BCC"/>
    <w:rsid w:val="007C4EF0"/>
    <w:rsid w:val="007C6B53"/>
    <w:rsid w:val="007D099D"/>
    <w:rsid w:val="007D0CB8"/>
    <w:rsid w:val="007D6961"/>
    <w:rsid w:val="007E0E1B"/>
    <w:rsid w:val="007E2664"/>
    <w:rsid w:val="007E3ABF"/>
    <w:rsid w:val="007E5BFA"/>
    <w:rsid w:val="007E6689"/>
    <w:rsid w:val="007E731C"/>
    <w:rsid w:val="007E7409"/>
    <w:rsid w:val="007E7A7A"/>
    <w:rsid w:val="007F0A03"/>
    <w:rsid w:val="007F2BAB"/>
    <w:rsid w:val="007F5E40"/>
    <w:rsid w:val="007F75DA"/>
    <w:rsid w:val="007F775B"/>
    <w:rsid w:val="008004A5"/>
    <w:rsid w:val="00804310"/>
    <w:rsid w:val="00805789"/>
    <w:rsid w:val="008059CB"/>
    <w:rsid w:val="00810040"/>
    <w:rsid w:val="008104E0"/>
    <w:rsid w:val="008134A7"/>
    <w:rsid w:val="00816A82"/>
    <w:rsid w:val="008176C5"/>
    <w:rsid w:val="0082023A"/>
    <w:rsid w:val="00821A7A"/>
    <w:rsid w:val="0082319D"/>
    <w:rsid w:val="008253F8"/>
    <w:rsid w:val="00827E9F"/>
    <w:rsid w:val="00831902"/>
    <w:rsid w:val="008325E4"/>
    <w:rsid w:val="00832A2B"/>
    <w:rsid w:val="00834F23"/>
    <w:rsid w:val="00836927"/>
    <w:rsid w:val="00836CEC"/>
    <w:rsid w:val="00842733"/>
    <w:rsid w:val="00844B60"/>
    <w:rsid w:val="00845811"/>
    <w:rsid w:val="00846994"/>
    <w:rsid w:val="00850451"/>
    <w:rsid w:val="0085101A"/>
    <w:rsid w:val="008518D5"/>
    <w:rsid w:val="00852042"/>
    <w:rsid w:val="00852B64"/>
    <w:rsid w:val="008534C9"/>
    <w:rsid w:val="008542BA"/>
    <w:rsid w:val="0085599D"/>
    <w:rsid w:val="0085721E"/>
    <w:rsid w:val="008678A9"/>
    <w:rsid w:val="0087510C"/>
    <w:rsid w:val="00875637"/>
    <w:rsid w:val="00875A6F"/>
    <w:rsid w:val="0087752C"/>
    <w:rsid w:val="008779C6"/>
    <w:rsid w:val="008824CB"/>
    <w:rsid w:val="00885DF9"/>
    <w:rsid w:val="008863B5"/>
    <w:rsid w:val="00891910"/>
    <w:rsid w:val="008937A7"/>
    <w:rsid w:val="00893D7F"/>
    <w:rsid w:val="00895AE0"/>
    <w:rsid w:val="008963AB"/>
    <w:rsid w:val="008967DB"/>
    <w:rsid w:val="0089738E"/>
    <w:rsid w:val="008B45E2"/>
    <w:rsid w:val="008B5B24"/>
    <w:rsid w:val="008B5FDB"/>
    <w:rsid w:val="008B610E"/>
    <w:rsid w:val="008C50F4"/>
    <w:rsid w:val="008C5649"/>
    <w:rsid w:val="008D1E68"/>
    <w:rsid w:val="008D5E9E"/>
    <w:rsid w:val="008D5F3B"/>
    <w:rsid w:val="008E3127"/>
    <w:rsid w:val="008E44A2"/>
    <w:rsid w:val="008E6665"/>
    <w:rsid w:val="008E697D"/>
    <w:rsid w:val="008E6A10"/>
    <w:rsid w:val="008F1EFC"/>
    <w:rsid w:val="00902797"/>
    <w:rsid w:val="00903263"/>
    <w:rsid w:val="00906A21"/>
    <w:rsid w:val="009079C3"/>
    <w:rsid w:val="00910462"/>
    <w:rsid w:val="0091476F"/>
    <w:rsid w:val="00914FAF"/>
    <w:rsid w:val="00915AB1"/>
    <w:rsid w:val="00917532"/>
    <w:rsid w:val="009207A3"/>
    <w:rsid w:val="00920E33"/>
    <w:rsid w:val="009235BA"/>
    <w:rsid w:val="00924023"/>
    <w:rsid w:val="009242B6"/>
    <w:rsid w:val="00924B5C"/>
    <w:rsid w:val="00924CE2"/>
    <w:rsid w:val="009256E6"/>
    <w:rsid w:val="00925B9F"/>
    <w:rsid w:val="009302E0"/>
    <w:rsid w:val="00931AED"/>
    <w:rsid w:val="009356C2"/>
    <w:rsid w:val="0093754C"/>
    <w:rsid w:val="009408E4"/>
    <w:rsid w:val="009476A3"/>
    <w:rsid w:val="0095334F"/>
    <w:rsid w:val="00961090"/>
    <w:rsid w:val="00965897"/>
    <w:rsid w:val="00966AE6"/>
    <w:rsid w:val="0096765C"/>
    <w:rsid w:val="009727E4"/>
    <w:rsid w:val="00973B75"/>
    <w:rsid w:val="00987819"/>
    <w:rsid w:val="009934C5"/>
    <w:rsid w:val="00994C0F"/>
    <w:rsid w:val="009964C8"/>
    <w:rsid w:val="009B22D7"/>
    <w:rsid w:val="009B554C"/>
    <w:rsid w:val="009B72ED"/>
    <w:rsid w:val="009C08B3"/>
    <w:rsid w:val="009C32F1"/>
    <w:rsid w:val="009C4885"/>
    <w:rsid w:val="009C694B"/>
    <w:rsid w:val="009C6DEB"/>
    <w:rsid w:val="009D30E7"/>
    <w:rsid w:val="009D3DB0"/>
    <w:rsid w:val="009D6504"/>
    <w:rsid w:val="009D7946"/>
    <w:rsid w:val="009E12D7"/>
    <w:rsid w:val="009E3892"/>
    <w:rsid w:val="009E5925"/>
    <w:rsid w:val="009E661A"/>
    <w:rsid w:val="009F1CD4"/>
    <w:rsid w:val="009F3195"/>
    <w:rsid w:val="009F7D2B"/>
    <w:rsid w:val="00A0146F"/>
    <w:rsid w:val="00A0162F"/>
    <w:rsid w:val="00A06781"/>
    <w:rsid w:val="00A074C3"/>
    <w:rsid w:val="00A145FE"/>
    <w:rsid w:val="00A1509C"/>
    <w:rsid w:val="00A16443"/>
    <w:rsid w:val="00A23DDB"/>
    <w:rsid w:val="00A23ECB"/>
    <w:rsid w:val="00A2489F"/>
    <w:rsid w:val="00A34260"/>
    <w:rsid w:val="00A4360F"/>
    <w:rsid w:val="00A442FD"/>
    <w:rsid w:val="00A524DE"/>
    <w:rsid w:val="00A52FFD"/>
    <w:rsid w:val="00A64ACE"/>
    <w:rsid w:val="00A663C9"/>
    <w:rsid w:val="00A70CFD"/>
    <w:rsid w:val="00A72A0B"/>
    <w:rsid w:val="00A735A2"/>
    <w:rsid w:val="00A7399A"/>
    <w:rsid w:val="00A77BC5"/>
    <w:rsid w:val="00A81E42"/>
    <w:rsid w:val="00A8598A"/>
    <w:rsid w:val="00A864FE"/>
    <w:rsid w:val="00A86F41"/>
    <w:rsid w:val="00A87D04"/>
    <w:rsid w:val="00A950C5"/>
    <w:rsid w:val="00AA0A1F"/>
    <w:rsid w:val="00AA1D25"/>
    <w:rsid w:val="00AA4AD1"/>
    <w:rsid w:val="00AB002C"/>
    <w:rsid w:val="00AB2A1B"/>
    <w:rsid w:val="00AB2B1A"/>
    <w:rsid w:val="00AB397F"/>
    <w:rsid w:val="00AB3CED"/>
    <w:rsid w:val="00AB5832"/>
    <w:rsid w:val="00AC51F2"/>
    <w:rsid w:val="00AC698B"/>
    <w:rsid w:val="00AD36B7"/>
    <w:rsid w:val="00AD7C3B"/>
    <w:rsid w:val="00AE4D82"/>
    <w:rsid w:val="00AE5066"/>
    <w:rsid w:val="00AE5E24"/>
    <w:rsid w:val="00AE61B7"/>
    <w:rsid w:val="00AE6B1E"/>
    <w:rsid w:val="00AE6CBA"/>
    <w:rsid w:val="00AE79AD"/>
    <w:rsid w:val="00AF2793"/>
    <w:rsid w:val="00AF35E4"/>
    <w:rsid w:val="00AF5CDE"/>
    <w:rsid w:val="00B051B0"/>
    <w:rsid w:val="00B05BA6"/>
    <w:rsid w:val="00B11A57"/>
    <w:rsid w:val="00B12A9E"/>
    <w:rsid w:val="00B143FC"/>
    <w:rsid w:val="00B211C3"/>
    <w:rsid w:val="00B221D3"/>
    <w:rsid w:val="00B234AD"/>
    <w:rsid w:val="00B25597"/>
    <w:rsid w:val="00B267B9"/>
    <w:rsid w:val="00B33E09"/>
    <w:rsid w:val="00B34B28"/>
    <w:rsid w:val="00B363F2"/>
    <w:rsid w:val="00B407CC"/>
    <w:rsid w:val="00B50708"/>
    <w:rsid w:val="00B509F1"/>
    <w:rsid w:val="00B50C68"/>
    <w:rsid w:val="00B51293"/>
    <w:rsid w:val="00B52B1E"/>
    <w:rsid w:val="00B545A4"/>
    <w:rsid w:val="00B54D7B"/>
    <w:rsid w:val="00B55481"/>
    <w:rsid w:val="00B56C32"/>
    <w:rsid w:val="00B56D8D"/>
    <w:rsid w:val="00B56F98"/>
    <w:rsid w:val="00B57ACF"/>
    <w:rsid w:val="00B631A9"/>
    <w:rsid w:val="00B64BB1"/>
    <w:rsid w:val="00B73166"/>
    <w:rsid w:val="00B8426C"/>
    <w:rsid w:val="00B842FD"/>
    <w:rsid w:val="00B87A70"/>
    <w:rsid w:val="00B90271"/>
    <w:rsid w:val="00B91B8D"/>
    <w:rsid w:val="00B924F5"/>
    <w:rsid w:val="00B93B99"/>
    <w:rsid w:val="00B94E90"/>
    <w:rsid w:val="00B94F35"/>
    <w:rsid w:val="00BA0D9E"/>
    <w:rsid w:val="00BA23D3"/>
    <w:rsid w:val="00BB0A82"/>
    <w:rsid w:val="00BB547C"/>
    <w:rsid w:val="00BB7C94"/>
    <w:rsid w:val="00BC0A9D"/>
    <w:rsid w:val="00BC14F1"/>
    <w:rsid w:val="00BC484C"/>
    <w:rsid w:val="00BC548D"/>
    <w:rsid w:val="00BC7336"/>
    <w:rsid w:val="00BD7CCD"/>
    <w:rsid w:val="00BF05EB"/>
    <w:rsid w:val="00BF40ED"/>
    <w:rsid w:val="00BF5BC2"/>
    <w:rsid w:val="00BF7637"/>
    <w:rsid w:val="00C03CAB"/>
    <w:rsid w:val="00C1133D"/>
    <w:rsid w:val="00C11761"/>
    <w:rsid w:val="00C13494"/>
    <w:rsid w:val="00C175ED"/>
    <w:rsid w:val="00C176FA"/>
    <w:rsid w:val="00C27A08"/>
    <w:rsid w:val="00C31312"/>
    <w:rsid w:val="00C326C6"/>
    <w:rsid w:val="00C35295"/>
    <w:rsid w:val="00C36ADD"/>
    <w:rsid w:val="00C36E74"/>
    <w:rsid w:val="00C40595"/>
    <w:rsid w:val="00C41621"/>
    <w:rsid w:val="00C449FA"/>
    <w:rsid w:val="00C5384F"/>
    <w:rsid w:val="00C56964"/>
    <w:rsid w:val="00C65021"/>
    <w:rsid w:val="00C656D5"/>
    <w:rsid w:val="00C67103"/>
    <w:rsid w:val="00C71BB9"/>
    <w:rsid w:val="00C72E81"/>
    <w:rsid w:val="00C74061"/>
    <w:rsid w:val="00C762A5"/>
    <w:rsid w:val="00C840E5"/>
    <w:rsid w:val="00C844DC"/>
    <w:rsid w:val="00C94C28"/>
    <w:rsid w:val="00CA36AE"/>
    <w:rsid w:val="00CA4EB9"/>
    <w:rsid w:val="00CA5D2D"/>
    <w:rsid w:val="00CB0247"/>
    <w:rsid w:val="00CB3440"/>
    <w:rsid w:val="00CB6531"/>
    <w:rsid w:val="00CB65FB"/>
    <w:rsid w:val="00CC045A"/>
    <w:rsid w:val="00CC1692"/>
    <w:rsid w:val="00CC18FA"/>
    <w:rsid w:val="00CC7DF4"/>
    <w:rsid w:val="00CD045E"/>
    <w:rsid w:val="00CD0767"/>
    <w:rsid w:val="00CD0874"/>
    <w:rsid w:val="00CD138B"/>
    <w:rsid w:val="00CD3E31"/>
    <w:rsid w:val="00CD74A3"/>
    <w:rsid w:val="00CE0527"/>
    <w:rsid w:val="00CE0E80"/>
    <w:rsid w:val="00CE12B8"/>
    <w:rsid w:val="00CE501B"/>
    <w:rsid w:val="00CE5B23"/>
    <w:rsid w:val="00CE5C01"/>
    <w:rsid w:val="00CF70AD"/>
    <w:rsid w:val="00CF7729"/>
    <w:rsid w:val="00D00059"/>
    <w:rsid w:val="00D0181A"/>
    <w:rsid w:val="00D107FA"/>
    <w:rsid w:val="00D12275"/>
    <w:rsid w:val="00D12766"/>
    <w:rsid w:val="00D13936"/>
    <w:rsid w:val="00D15F3B"/>
    <w:rsid w:val="00D16159"/>
    <w:rsid w:val="00D20FF4"/>
    <w:rsid w:val="00D24D2C"/>
    <w:rsid w:val="00D33AF2"/>
    <w:rsid w:val="00D35881"/>
    <w:rsid w:val="00D40C36"/>
    <w:rsid w:val="00D45045"/>
    <w:rsid w:val="00D458FC"/>
    <w:rsid w:val="00D45F07"/>
    <w:rsid w:val="00D523A5"/>
    <w:rsid w:val="00D572E6"/>
    <w:rsid w:val="00D6514E"/>
    <w:rsid w:val="00D7399A"/>
    <w:rsid w:val="00D76406"/>
    <w:rsid w:val="00D82DD2"/>
    <w:rsid w:val="00D85642"/>
    <w:rsid w:val="00D9307E"/>
    <w:rsid w:val="00D93C45"/>
    <w:rsid w:val="00D945D9"/>
    <w:rsid w:val="00D94A16"/>
    <w:rsid w:val="00DA7DA5"/>
    <w:rsid w:val="00DB073B"/>
    <w:rsid w:val="00DB09FC"/>
    <w:rsid w:val="00DB1732"/>
    <w:rsid w:val="00DB61BD"/>
    <w:rsid w:val="00DB78F0"/>
    <w:rsid w:val="00DC2E43"/>
    <w:rsid w:val="00DC4EEC"/>
    <w:rsid w:val="00DD095C"/>
    <w:rsid w:val="00DD1020"/>
    <w:rsid w:val="00DD1330"/>
    <w:rsid w:val="00DD58A1"/>
    <w:rsid w:val="00DD6827"/>
    <w:rsid w:val="00DE0B83"/>
    <w:rsid w:val="00DE1664"/>
    <w:rsid w:val="00DE1A81"/>
    <w:rsid w:val="00DE1C13"/>
    <w:rsid w:val="00DE277D"/>
    <w:rsid w:val="00DE356F"/>
    <w:rsid w:val="00DE4543"/>
    <w:rsid w:val="00DE4E10"/>
    <w:rsid w:val="00DF22A7"/>
    <w:rsid w:val="00DF2694"/>
    <w:rsid w:val="00DF5DB6"/>
    <w:rsid w:val="00DF644D"/>
    <w:rsid w:val="00DF6A69"/>
    <w:rsid w:val="00E00C5D"/>
    <w:rsid w:val="00E00D78"/>
    <w:rsid w:val="00E02ABF"/>
    <w:rsid w:val="00E116CF"/>
    <w:rsid w:val="00E143B0"/>
    <w:rsid w:val="00E14995"/>
    <w:rsid w:val="00E14D4D"/>
    <w:rsid w:val="00E179CD"/>
    <w:rsid w:val="00E22173"/>
    <w:rsid w:val="00E224CC"/>
    <w:rsid w:val="00E23E8D"/>
    <w:rsid w:val="00E30957"/>
    <w:rsid w:val="00E35726"/>
    <w:rsid w:val="00E37F98"/>
    <w:rsid w:val="00E430C3"/>
    <w:rsid w:val="00E45110"/>
    <w:rsid w:val="00E46559"/>
    <w:rsid w:val="00E56083"/>
    <w:rsid w:val="00E6670C"/>
    <w:rsid w:val="00E72B25"/>
    <w:rsid w:val="00E7374E"/>
    <w:rsid w:val="00E7656A"/>
    <w:rsid w:val="00E776E8"/>
    <w:rsid w:val="00E81DA2"/>
    <w:rsid w:val="00E82EF6"/>
    <w:rsid w:val="00E84871"/>
    <w:rsid w:val="00E84E03"/>
    <w:rsid w:val="00E8539B"/>
    <w:rsid w:val="00E92C1F"/>
    <w:rsid w:val="00E95D4B"/>
    <w:rsid w:val="00EA0679"/>
    <w:rsid w:val="00EA0B61"/>
    <w:rsid w:val="00EB0FD8"/>
    <w:rsid w:val="00EB199F"/>
    <w:rsid w:val="00EB3569"/>
    <w:rsid w:val="00EC08AE"/>
    <w:rsid w:val="00EC214B"/>
    <w:rsid w:val="00EC23F7"/>
    <w:rsid w:val="00EC4BD8"/>
    <w:rsid w:val="00EC63EB"/>
    <w:rsid w:val="00EC7D47"/>
    <w:rsid w:val="00ED412F"/>
    <w:rsid w:val="00ED57AE"/>
    <w:rsid w:val="00ED7059"/>
    <w:rsid w:val="00EE4C1C"/>
    <w:rsid w:val="00EF1DF6"/>
    <w:rsid w:val="00EF1F0C"/>
    <w:rsid w:val="00EF36B2"/>
    <w:rsid w:val="00EF4D83"/>
    <w:rsid w:val="00EF6EAB"/>
    <w:rsid w:val="00F04DF7"/>
    <w:rsid w:val="00F14FB1"/>
    <w:rsid w:val="00F1723D"/>
    <w:rsid w:val="00F201EC"/>
    <w:rsid w:val="00F208A9"/>
    <w:rsid w:val="00F234E5"/>
    <w:rsid w:val="00F31E83"/>
    <w:rsid w:val="00F33C58"/>
    <w:rsid w:val="00F41D75"/>
    <w:rsid w:val="00F466EE"/>
    <w:rsid w:val="00F467EF"/>
    <w:rsid w:val="00F51250"/>
    <w:rsid w:val="00F5139D"/>
    <w:rsid w:val="00F567F3"/>
    <w:rsid w:val="00F56F2D"/>
    <w:rsid w:val="00F63074"/>
    <w:rsid w:val="00F63DAC"/>
    <w:rsid w:val="00F65B25"/>
    <w:rsid w:val="00F72B39"/>
    <w:rsid w:val="00F7454F"/>
    <w:rsid w:val="00F77988"/>
    <w:rsid w:val="00F77F48"/>
    <w:rsid w:val="00F801EC"/>
    <w:rsid w:val="00F965B8"/>
    <w:rsid w:val="00FA60A5"/>
    <w:rsid w:val="00FA63D3"/>
    <w:rsid w:val="00FB2207"/>
    <w:rsid w:val="00FB30F1"/>
    <w:rsid w:val="00FB53E7"/>
    <w:rsid w:val="00FB5A1E"/>
    <w:rsid w:val="00FC554D"/>
    <w:rsid w:val="00FD1A00"/>
    <w:rsid w:val="00FD2F0E"/>
    <w:rsid w:val="00FD4D0A"/>
    <w:rsid w:val="00FD7109"/>
    <w:rsid w:val="00FD76CC"/>
    <w:rsid w:val="00FD7C7B"/>
    <w:rsid w:val="00FE0BEB"/>
    <w:rsid w:val="00FE19EF"/>
    <w:rsid w:val="00FE4483"/>
    <w:rsid w:val="00FE7CD9"/>
    <w:rsid w:val="00FF227D"/>
    <w:rsid w:val="00FF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,"/>
  <w:listSeparator w:val=";"/>
  <w15:docId w15:val="{8264168A-03D4-4EC8-B632-77E430375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64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C564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C5649"/>
  </w:style>
  <w:style w:type="paragraph" w:customStyle="1" w:styleId="naisf">
    <w:name w:val="naisf"/>
    <w:basedOn w:val="Normal"/>
    <w:rsid w:val="008C5649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8C5649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rsid w:val="008C5649"/>
    <w:pPr>
      <w:spacing w:before="75" w:after="75"/>
      <w:jc w:val="right"/>
    </w:pPr>
  </w:style>
  <w:style w:type="paragraph" w:customStyle="1" w:styleId="naiskr">
    <w:name w:val="naiskr"/>
    <w:basedOn w:val="Normal"/>
    <w:rsid w:val="008C5649"/>
    <w:pPr>
      <w:spacing w:before="75" w:after="75"/>
    </w:pPr>
  </w:style>
  <w:style w:type="paragraph" w:customStyle="1" w:styleId="naisc">
    <w:name w:val="naisc"/>
    <w:basedOn w:val="Normal"/>
    <w:rsid w:val="008C5649"/>
    <w:pPr>
      <w:spacing w:before="75" w:after="75"/>
      <w:jc w:val="center"/>
    </w:pPr>
  </w:style>
  <w:style w:type="character" w:customStyle="1" w:styleId="th1">
    <w:name w:val="th1"/>
    <w:rsid w:val="008C5649"/>
    <w:rPr>
      <w:b/>
      <w:bCs/>
      <w:color w:val="333333"/>
    </w:rPr>
  </w:style>
  <w:style w:type="character" w:styleId="CommentReference">
    <w:name w:val="annotation reference"/>
    <w:semiHidden/>
    <w:rsid w:val="008C5649"/>
    <w:rPr>
      <w:sz w:val="16"/>
      <w:szCs w:val="16"/>
    </w:rPr>
  </w:style>
  <w:style w:type="paragraph" w:styleId="CommentText">
    <w:name w:val="annotation text"/>
    <w:basedOn w:val="Normal"/>
    <w:link w:val="CommentTextChar"/>
    <w:rsid w:val="008C5649"/>
    <w:rPr>
      <w:sz w:val="20"/>
      <w:szCs w:val="20"/>
    </w:rPr>
  </w:style>
  <w:style w:type="character" w:customStyle="1" w:styleId="CommentTextChar">
    <w:name w:val="Comment Text Char"/>
    <w:link w:val="CommentText"/>
    <w:rsid w:val="008C5649"/>
    <w:rPr>
      <w:lang w:val="lv-LV" w:eastAsia="lv-LV" w:bidi="ar-SA"/>
    </w:rPr>
  </w:style>
  <w:style w:type="paragraph" w:styleId="BalloonText">
    <w:name w:val="Balloon Text"/>
    <w:basedOn w:val="Normal"/>
    <w:semiHidden/>
    <w:rsid w:val="008C56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C5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8C5649"/>
    <w:rPr>
      <w:sz w:val="20"/>
      <w:szCs w:val="20"/>
    </w:rPr>
  </w:style>
  <w:style w:type="character" w:styleId="FootnoteReference">
    <w:name w:val="footnote reference"/>
    <w:semiHidden/>
    <w:rsid w:val="008C5649"/>
    <w:rPr>
      <w:vertAlign w:val="superscript"/>
    </w:rPr>
  </w:style>
  <w:style w:type="paragraph" w:styleId="CommentSubject">
    <w:name w:val="annotation subject"/>
    <w:basedOn w:val="CommentText"/>
    <w:next w:val="CommentText"/>
    <w:semiHidden/>
    <w:rsid w:val="00262E2B"/>
    <w:rPr>
      <w:b/>
      <w:bCs/>
    </w:rPr>
  </w:style>
  <w:style w:type="paragraph" w:styleId="Footer">
    <w:name w:val="footer"/>
    <w:basedOn w:val="Normal"/>
    <w:link w:val="FooterChar"/>
    <w:uiPriority w:val="99"/>
    <w:rsid w:val="00262E2B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231344"/>
    <w:rPr>
      <w:sz w:val="24"/>
      <w:szCs w:val="24"/>
      <w:lang w:val="lv-LV" w:eastAsia="lv-LV" w:bidi="ar-SA"/>
    </w:rPr>
  </w:style>
  <w:style w:type="character" w:styleId="Hyperlink">
    <w:name w:val="Hyperlink"/>
    <w:uiPriority w:val="99"/>
    <w:rsid w:val="007004FC"/>
    <w:rPr>
      <w:color w:val="0000FF"/>
      <w:u w:val="single"/>
    </w:rPr>
  </w:style>
  <w:style w:type="paragraph" w:styleId="DocumentMap">
    <w:name w:val="Document Map"/>
    <w:basedOn w:val="Normal"/>
    <w:semiHidden/>
    <w:rsid w:val="0084699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Indent3">
    <w:name w:val="Body Text Indent 3"/>
    <w:basedOn w:val="Normal"/>
    <w:link w:val="BodyTextIndent3Char"/>
    <w:rsid w:val="008937A7"/>
    <w:pPr>
      <w:spacing w:after="120"/>
      <w:ind w:left="283"/>
    </w:pPr>
    <w:rPr>
      <w:sz w:val="16"/>
      <w:szCs w:val="16"/>
      <w:lang w:val="en-US"/>
    </w:rPr>
  </w:style>
  <w:style w:type="character" w:customStyle="1" w:styleId="BodyTextIndent3Char">
    <w:name w:val="Body Text Indent 3 Char"/>
    <w:link w:val="BodyTextIndent3"/>
    <w:rsid w:val="008937A7"/>
    <w:rPr>
      <w:sz w:val="16"/>
      <w:szCs w:val="16"/>
      <w:lang w:val="en-US"/>
    </w:rPr>
  </w:style>
  <w:style w:type="paragraph" w:customStyle="1" w:styleId="RakstzRakstzRakstzCharCharChar1CharChar">
    <w:name w:val="Rakstz. Rakstz. Rakstz. Char Char Char1 Char Char"/>
    <w:basedOn w:val="Normal"/>
    <w:rsid w:val="000B65B3"/>
    <w:pPr>
      <w:spacing w:before="40"/>
    </w:pPr>
    <w:rPr>
      <w:lang w:val="pl-PL" w:eastAsia="pl-PL"/>
    </w:rPr>
  </w:style>
  <w:style w:type="paragraph" w:customStyle="1" w:styleId="tvhtml">
    <w:name w:val="tv_html"/>
    <w:basedOn w:val="Normal"/>
    <w:rsid w:val="006570D6"/>
    <w:pPr>
      <w:spacing w:before="100" w:beforeAutospacing="1" w:after="100" w:afterAutospacing="1"/>
    </w:pPr>
    <w:rPr>
      <w:rFonts w:ascii="Verdana" w:hAnsi="Verdana"/>
      <w:sz w:val="18"/>
      <w:szCs w:val="18"/>
      <w:lang w:val="en-US" w:eastAsia="en-US"/>
    </w:rPr>
  </w:style>
  <w:style w:type="character" w:styleId="Strong">
    <w:name w:val="Strong"/>
    <w:uiPriority w:val="22"/>
    <w:qFormat/>
    <w:rsid w:val="003C3BAB"/>
    <w:rPr>
      <w:b/>
      <w:bCs/>
    </w:rPr>
  </w:style>
  <w:style w:type="character" w:styleId="FollowedHyperlink">
    <w:name w:val="FollowedHyperlink"/>
    <w:rsid w:val="00551541"/>
    <w:rPr>
      <w:color w:val="800080"/>
      <w:u w:val="single"/>
    </w:rPr>
  </w:style>
  <w:style w:type="character" w:customStyle="1" w:styleId="AigarsS">
    <w:name w:val="AigarsS"/>
    <w:semiHidden/>
    <w:rsid w:val="00D7399A"/>
    <w:rPr>
      <w:rFonts w:ascii="Arial" w:hAnsi="Arial" w:cs="Arial"/>
      <w:color w:val="000080"/>
      <w:sz w:val="20"/>
      <w:szCs w:val="20"/>
    </w:rPr>
  </w:style>
  <w:style w:type="paragraph" w:styleId="BodyText">
    <w:name w:val="Body Text"/>
    <w:basedOn w:val="Normal"/>
    <w:link w:val="BodyTextChar"/>
    <w:rsid w:val="00343716"/>
    <w:pPr>
      <w:spacing w:after="120"/>
    </w:pPr>
  </w:style>
  <w:style w:type="character" w:customStyle="1" w:styleId="BodyTextChar">
    <w:name w:val="Body Text Char"/>
    <w:link w:val="BodyText"/>
    <w:rsid w:val="00343716"/>
    <w:rPr>
      <w:sz w:val="24"/>
      <w:szCs w:val="24"/>
      <w:lang w:val="lv-LV" w:eastAsia="lv-LV"/>
    </w:rPr>
  </w:style>
  <w:style w:type="paragraph" w:styleId="BodyTextIndent2">
    <w:name w:val="Body Text Indent 2"/>
    <w:basedOn w:val="Normal"/>
    <w:link w:val="BodyTextIndent2Char"/>
    <w:rsid w:val="00343716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343716"/>
    <w:rPr>
      <w:sz w:val="24"/>
      <w:szCs w:val="24"/>
      <w:lang w:val="lv-LV" w:eastAsia="lv-LV"/>
    </w:rPr>
  </w:style>
  <w:style w:type="paragraph" w:styleId="BlockText">
    <w:name w:val="Block Text"/>
    <w:basedOn w:val="Normal"/>
    <w:rsid w:val="00343716"/>
    <w:pPr>
      <w:ind w:left="567" w:right="3777"/>
      <w:jc w:val="both"/>
    </w:pPr>
    <w:rPr>
      <w:szCs w:val="20"/>
    </w:rPr>
  </w:style>
  <w:style w:type="paragraph" w:styleId="ListParagraph">
    <w:name w:val="List Paragraph"/>
    <w:basedOn w:val="Normal"/>
    <w:uiPriority w:val="34"/>
    <w:qFormat/>
    <w:rsid w:val="005477F7"/>
    <w:pPr>
      <w:ind w:left="720"/>
      <w:contextualSpacing/>
    </w:pPr>
    <w:rPr>
      <w:lang w:val="en-GB" w:eastAsia="en-US"/>
    </w:rPr>
  </w:style>
  <w:style w:type="paragraph" w:customStyle="1" w:styleId="Default">
    <w:name w:val="Default"/>
    <w:rsid w:val="00D16159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D16159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ga.Bucinska@e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08CE6-EC71-4EC2-B481-6673C3418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4712</Words>
  <Characters>2686</Characters>
  <Application>Microsoft Office Word</Application>
  <DocSecurity>0</DocSecurity>
  <Lines>22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projekts</vt:lpstr>
      <vt:lpstr>Ministru kabineta instrukcijas projekts “Tiesību akta projekta sākotnējās ietekmes izvērtēšanas kārtība”</vt:lpstr>
    </vt:vector>
  </TitlesOfParts>
  <Company>Valsts kanceleja, Politikas koordinācijas departaments</Company>
  <LinksUpToDate>false</LinksUpToDate>
  <CharactersWithSpaces>7384</CharactersWithSpaces>
  <SharedDoc>false</SharedDoc>
  <HLinks>
    <vt:vector size="6" baseType="variant">
      <vt:variant>
        <vt:i4>3932179</vt:i4>
      </vt:variant>
      <vt:variant>
        <vt:i4>6</vt:i4>
      </vt:variant>
      <vt:variant>
        <vt:i4>0</vt:i4>
      </vt:variant>
      <vt:variant>
        <vt:i4>5</vt:i4>
      </vt:variant>
      <vt:variant>
        <vt:lpwstr>mailto:Elga.Bucinska@em.gov.lv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</dc:title>
  <dc:creator>Jānis Čudars</dc:creator>
  <cp:lastModifiedBy>Jānis Čudars</cp:lastModifiedBy>
  <cp:revision>6</cp:revision>
  <cp:lastPrinted>2014-11-26T11:24:00Z</cp:lastPrinted>
  <dcterms:created xsi:type="dcterms:W3CDTF">2015-06-27T05:50:00Z</dcterms:created>
  <dcterms:modified xsi:type="dcterms:W3CDTF">2015-06-27T07:38:00Z</dcterms:modified>
</cp:coreProperties>
</file>