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1A4D4" w14:textId="6B96FC73" w:rsidR="0089380C" w:rsidRPr="009F02E3" w:rsidRDefault="0038787E" w:rsidP="0055172B">
      <w:pPr>
        <w:jc w:val="center"/>
        <w:rPr>
          <w:b/>
          <w:bCs/>
          <w:color w:val="000000" w:themeColor="text1"/>
        </w:rPr>
      </w:pPr>
      <w:bookmarkStart w:id="0" w:name="OLE_LINK1"/>
      <w:bookmarkStart w:id="1" w:name="OLE_LINK2"/>
      <w:bookmarkStart w:id="2" w:name="OLE_LINK10"/>
      <w:bookmarkStart w:id="3" w:name="OLE_LINK11"/>
      <w:r w:rsidRPr="009F02E3">
        <w:rPr>
          <w:b/>
          <w:color w:val="000000" w:themeColor="text1"/>
        </w:rPr>
        <w:t>Ministru kabineta noteikumu projekta</w:t>
      </w:r>
      <w:r w:rsidR="00566AC0">
        <w:rPr>
          <w:b/>
          <w:color w:val="000000" w:themeColor="text1"/>
        </w:rPr>
        <w:t>m</w:t>
      </w:r>
      <w:r w:rsidR="00AC1F53" w:rsidRPr="00566AC0">
        <w:rPr>
          <w:b/>
          <w:color w:val="000000" w:themeColor="text1"/>
        </w:rPr>
        <w:t xml:space="preserve"> </w:t>
      </w:r>
      <w:bookmarkEnd w:id="0"/>
      <w:bookmarkEnd w:id="1"/>
      <w:r w:rsidR="00566AC0" w:rsidRPr="00566AC0">
        <w:rPr>
          <w:b/>
          <w:color w:val="000000" w:themeColor="text1"/>
        </w:rPr>
        <w:t>„</w:t>
      </w:r>
      <w:r w:rsidR="00F032FA" w:rsidRPr="009F02E3">
        <w:rPr>
          <w:b/>
          <w:bCs/>
          <w:color w:val="000000" w:themeColor="text1"/>
        </w:rPr>
        <w:t xml:space="preserve">Kārtība, kādā </w:t>
      </w:r>
      <w:r w:rsidR="00F032FA" w:rsidRPr="009F02E3">
        <w:rPr>
          <w:b/>
          <w:color w:val="000000" w:themeColor="text1"/>
          <w:shd w:val="clear" w:color="auto" w:fill="FFFFFF"/>
        </w:rPr>
        <w:t>energoietilpīgi apstrādes rūpniecības uzņēmumi</w:t>
      </w:r>
      <w:r w:rsidR="00F032FA" w:rsidRPr="009F02E3">
        <w:rPr>
          <w:rStyle w:val="apple-converted-space"/>
          <w:b/>
          <w:color w:val="000000" w:themeColor="text1"/>
          <w:shd w:val="clear" w:color="auto" w:fill="FFFFFF"/>
        </w:rPr>
        <w:t> </w:t>
      </w:r>
      <w:r w:rsidR="00F032FA" w:rsidRPr="009F02E3">
        <w:rPr>
          <w:b/>
          <w:bCs/>
          <w:color w:val="000000" w:themeColor="text1"/>
        </w:rPr>
        <w:t>iegūst tiesības uz samazinātu līdzdalību obligātā iepirkuma komponentes maksājumam</w:t>
      </w:r>
      <w:r w:rsidR="00F032FA" w:rsidRPr="009F02E3">
        <w:rPr>
          <w:b/>
          <w:color w:val="000000" w:themeColor="text1"/>
        </w:rPr>
        <w:t>”</w:t>
      </w:r>
      <w:r w:rsidR="002E72DF" w:rsidRPr="009F02E3">
        <w:rPr>
          <w:b/>
          <w:color w:val="000000" w:themeColor="text1"/>
        </w:rPr>
        <w:t xml:space="preserve"> </w:t>
      </w:r>
      <w:r w:rsidR="0089380C" w:rsidRPr="009F02E3">
        <w:rPr>
          <w:b/>
          <w:bCs/>
          <w:color w:val="000000" w:themeColor="text1"/>
        </w:rPr>
        <w:t>sākotnējās ietekmes novērtējuma ziņojums (anotācija)</w:t>
      </w:r>
    </w:p>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
        <w:gridCol w:w="3138"/>
        <w:gridCol w:w="6037"/>
      </w:tblGrid>
      <w:tr w:rsidR="009F02E3" w:rsidRPr="009F02E3" w14:paraId="324037E9" w14:textId="77777777" w:rsidTr="00AC1F53">
        <w:tc>
          <w:tcPr>
            <w:tcW w:w="9444" w:type="dxa"/>
            <w:gridSpan w:val="3"/>
            <w:vAlign w:val="center"/>
          </w:tcPr>
          <w:bookmarkEnd w:id="2"/>
          <w:bookmarkEnd w:id="3"/>
          <w:p w14:paraId="79DD1A20" w14:textId="77777777" w:rsidR="001C1A2E" w:rsidRPr="009F02E3" w:rsidRDefault="001C1A2E" w:rsidP="008667DC">
            <w:pPr>
              <w:pStyle w:val="naisnod"/>
              <w:spacing w:before="0" w:beforeAutospacing="0" w:after="0" w:afterAutospacing="0"/>
              <w:jc w:val="center"/>
              <w:rPr>
                <w:b/>
                <w:color w:val="000000" w:themeColor="text1"/>
              </w:rPr>
            </w:pPr>
            <w:r w:rsidRPr="009F02E3">
              <w:rPr>
                <w:b/>
                <w:color w:val="000000" w:themeColor="text1"/>
              </w:rPr>
              <w:t>I. Tiesību akta projekta izstrādes nepieciešamība</w:t>
            </w:r>
          </w:p>
        </w:tc>
      </w:tr>
      <w:tr w:rsidR="009F02E3" w:rsidRPr="009F02E3" w14:paraId="12C91C89" w14:textId="77777777" w:rsidTr="0004237E">
        <w:trPr>
          <w:trHeight w:val="1117"/>
        </w:trPr>
        <w:tc>
          <w:tcPr>
            <w:tcW w:w="269" w:type="dxa"/>
          </w:tcPr>
          <w:p w14:paraId="64ADA9E7" w14:textId="77777777" w:rsidR="001C1A2E" w:rsidRPr="009F02E3" w:rsidRDefault="001C1A2E" w:rsidP="008667DC">
            <w:pPr>
              <w:pStyle w:val="naiskr"/>
              <w:spacing w:before="0" w:beforeAutospacing="0" w:after="0" w:afterAutospacing="0"/>
              <w:jc w:val="center"/>
              <w:rPr>
                <w:color w:val="000000" w:themeColor="text1"/>
              </w:rPr>
            </w:pPr>
            <w:r w:rsidRPr="009F02E3">
              <w:rPr>
                <w:color w:val="000000" w:themeColor="text1"/>
              </w:rPr>
              <w:t>1.</w:t>
            </w:r>
          </w:p>
        </w:tc>
        <w:tc>
          <w:tcPr>
            <w:tcW w:w="3138" w:type="dxa"/>
          </w:tcPr>
          <w:p w14:paraId="755BEEF6" w14:textId="77777777" w:rsidR="001C1A2E" w:rsidRPr="009F02E3" w:rsidRDefault="001C1A2E" w:rsidP="008667DC">
            <w:pPr>
              <w:pStyle w:val="naiskr"/>
              <w:spacing w:before="0" w:beforeAutospacing="0" w:after="0" w:afterAutospacing="0"/>
              <w:ind w:hanging="10"/>
              <w:rPr>
                <w:color w:val="000000" w:themeColor="text1"/>
              </w:rPr>
            </w:pPr>
            <w:r w:rsidRPr="009F02E3">
              <w:rPr>
                <w:color w:val="000000" w:themeColor="text1"/>
              </w:rPr>
              <w:t>Pamatojums</w:t>
            </w:r>
          </w:p>
        </w:tc>
        <w:tc>
          <w:tcPr>
            <w:tcW w:w="6037" w:type="dxa"/>
          </w:tcPr>
          <w:p w14:paraId="62EB50B8" w14:textId="77777777" w:rsidR="0004237E" w:rsidRPr="00566AC0" w:rsidRDefault="0004237E" w:rsidP="0004237E">
            <w:pPr>
              <w:jc w:val="both"/>
              <w:rPr>
                <w:color w:val="000000" w:themeColor="text1"/>
              </w:rPr>
            </w:pPr>
            <w:r w:rsidRPr="009F02E3">
              <w:rPr>
                <w:color w:val="000000" w:themeColor="text1"/>
                <w:spacing w:val="6"/>
                <w:shd w:val="clear" w:color="auto" w:fill="FFFFFF"/>
              </w:rPr>
              <w:t>Deklarācijas par Laimdotas Straujumas vadītā Ministru kabineta iecerēto darbību</w:t>
            </w:r>
            <w:r w:rsidRPr="009F02E3">
              <w:rPr>
                <w:color w:val="000000" w:themeColor="text1"/>
              </w:rPr>
              <w:t xml:space="preserve"> 53.</w:t>
            </w:r>
            <w:r w:rsidR="0085230A" w:rsidRPr="009F02E3">
              <w:rPr>
                <w:color w:val="000000" w:themeColor="text1"/>
              </w:rPr>
              <w:t> </w:t>
            </w:r>
            <w:r w:rsidRPr="009F02E3">
              <w:rPr>
                <w:color w:val="000000" w:themeColor="text1"/>
              </w:rPr>
              <w:t>punkts</w:t>
            </w:r>
            <w:r w:rsidR="00656E5C" w:rsidRPr="009F02E3">
              <w:rPr>
                <w:color w:val="000000" w:themeColor="text1"/>
              </w:rPr>
              <w:t xml:space="preserve"> - </w:t>
            </w:r>
            <w:r w:rsidRPr="009F02E3">
              <w:rPr>
                <w:color w:val="000000" w:themeColor="text1"/>
              </w:rPr>
              <w:t xml:space="preserve">Samazināsim elektroenerģijas cenu negatīvo ietekmi uz energointensīvu eksporta uzņēmumu </w:t>
            </w:r>
            <w:r w:rsidRPr="00566AC0">
              <w:rPr>
                <w:color w:val="000000" w:themeColor="text1"/>
              </w:rPr>
              <w:t>konkurētspēju.</w:t>
            </w:r>
          </w:p>
          <w:p w14:paraId="78849EB2" w14:textId="18E02FD0" w:rsidR="001C1A2E" w:rsidRPr="009F02E3" w:rsidRDefault="005877BA" w:rsidP="00566AC0">
            <w:pPr>
              <w:jc w:val="both"/>
              <w:rPr>
                <w:color w:val="000000" w:themeColor="text1"/>
                <w:sz w:val="20"/>
                <w:szCs w:val="20"/>
              </w:rPr>
            </w:pPr>
            <w:r w:rsidRPr="00566AC0">
              <w:rPr>
                <w:color w:val="000000" w:themeColor="text1"/>
              </w:rPr>
              <w:t>Ministru kabineta noteikumu projekt</w:t>
            </w:r>
            <w:r w:rsidR="00566AC0" w:rsidRPr="00566AC0">
              <w:rPr>
                <w:color w:val="000000" w:themeColor="text1"/>
              </w:rPr>
              <w:t>s</w:t>
            </w:r>
            <w:r w:rsidR="00F032FA" w:rsidRPr="00566AC0">
              <w:rPr>
                <w:bCs/>
                <w:color w:val="000000" w:themeColor="text1"/>
              </w:rPr>
              <w:t xml:space="preserve"> </w:t>
            </w:r>
            <w:r w:rsidR="00566AC0" w:rsidRPr="00566AC0">
              <w:rPr>
                <w:color w:val="000000" w:themeColor="text1"/>
              </w:rPr>
              <w:t>„</w:t>
            </w:r>
            <w:r w:rsidR="00F032FA" w:rsidRPr="00566AC0">
              <w:rPr>
                <w:bCs/>
                <w:color w:val="000000" w:themeColor="text1"/>
              </w:rPr>
              <w:t xml:space="preserve">Kārtība, kādā </w:t>
            </w:r>
            <w:r w:rsidR="00F032FA" w:rsidRPr="00566AC0">
              <w:rPr>
                <w:color w:val="000000" w:themeColor="text1"/>
                <w:shd w:val="clear" w:color="auto" w:fill="FFFFFF"/>
              </w:rPr>
              <w:t>energoietilpīgi apstrādes rūpniecības uzņēmumi</w:t>
            </w:r>
            <w:r w:rsidR="00F032FA" w:rsidRPr="00566AC0">
              <w:rPr>
                <w:rStyle w:val="apple-converted-space"/>
                <w:color w:val="000000" w:themeColor="text1"/>
                <w:shd w:val="clear" w:color="auto" w:fill="FFFFFF"/>
              </w:rPr>
              <w:t> </w:t>
            </w:r>
            <w:r w:rsidR="00F032FA" w:rsidRPr="00566AC0">
              <w:rPr>
                <w:bCs/>
                <w:color w:val="000000" w:themeColor="text1"/>
              </w:rPr>
              <w:t>iegūst tiesības uz samazinātu līdzdalību obligātā iepirkuma</w:t>
            </w:r>
            <w:r w:rsidR="00F032FA" w:rsidRPr="009F02E3">
              <w:rPr>
                <w:bCs/>
                <w:color w:val="000000" w:themeColor="text1"/>
              </w:rPr>
              <w:t xml:space="preserve"> komponentes maksājumam</w:t>
            </w:r>
            <w:r w:rsidR="00F032FA" w:rsidRPr="009F02E3">
              <w:rPr>
                <w:color w:val="000000" w:themeColor="text1"/>
              </w:rPr>
              <w:t>”</w:t>
            </w:r>
            <w:r w:rsidR="009F5490" w:rsidRPr="009F02E3">
              <w:rPr>
                <w:color w:val="000000" w:themeColor="text1"/>
              </w:rPr>
              <w:t xml:space="preserve"> </w:t>
            </w:r>
            <w:r w:rsidRPr="009F02E3">
              <w:rPr>
                <w:color w:val="000000" w:themeColor="text1"/>
              </w:rPr>
              <w:t xml:space="preserve">(turpmāk – noteikumu projekts) </w:t>
            </w:r>
            <w:r w:rsidR="00A62D5D" w:rsidRPr="009F02E3">
              <w:rPr>
                <w:color w:val="000000" w:themeColor="text1"/>
              </w:rPr>
              <w:t xml:space="preserve">tiek </w:t>
            </w:r>
            <w:r w:rsidRPr="009F02E3">
              <w:rPr>
                <w:color w:val="000000" w:themeColor="text1"/>
              </w:rPr>
              <w:t>i</w:t>
            </w:r>
            <w:r w:rsidR="0004237E" w:rsidRPr="009F02E3">
              <w:rPr>
                <w:color w:val="000000" w:themeColor="text1"/>
              </w:rPr>
              <w:t>zdot</w:t>
            </w:r>
            <w:r w:rsidRPr="009F02E3">
              <w:rPr>
                <w:color w:val="000000" w:themeColor="text1"/>
              </w:rPr>
              <w:t>s</w:t>
            </w:r>
            <w:r w:rsidR="0004237E" w:rsidRPr="009F02E3">
              <w:rPr>
                <w:color w:val="000000" w:themeColor="text1"/>
              </w:rPr>
              <w:t xml:space="preserve"> saskaņā ar Elektroenerģijas tirgus likuma 30.</w:t>
            </w:r>
            <w:r w:rsidR="0004237E" w:rsidRPr="009F02E3">
              <w:rPr>
                <w:color w:val="000000" w:themeColor="text1"/>
                <w:vertAlign w:val="superscript"/>
              </w:rPr>
              <w:t>2</w:t>
            </w:r>
            <w:r w:rsidR="0004237E" w:rsidRPr="009F02E3">
              <w:rPr>
                <w:color w:val="000000" w:themeColor="text1"/>
              </w:rPr>
              <w:t> panta otro daļu</w:t>
            </w:r>
            <w:r w:rsidRPr="009F02E3">
              <w:rPr>
                <w:color w:val="000000" w:themeColor="text1"/>
              </w:rPr>
              <w:t xml:space="preserve">, kas spēkā </w:t>
            </w:r>
            <w:r w:rsidR="009E1A19" w:rsidRPr="009F02E3">
              <w:rPr>
                <w:color w:val="000000" w:themeColor="text1"/>
              </w:rPr>
              <w:t xml:space="preserve">stājās </w:t>
            </w:r>
            <w:r w:rsidRPr="009F02E3">
              <w:rPr>
                <w:color w:val="000000" w:themeColor="text1"/>
              </w:rPr>
              <w:t>2015. gada 1. jūlijā.</w:t>
            </w:r>
          </w:p>
        </w:tc>
      </w:tr>
      <w:tr w:rsidR="009F02E3" w:rsidRPr="009F02E3" w14:paraId="79957E2E" w14:textId="77777777" w:rsidTr="001C6026">
        <w:trPr>
          <w:trHeight w:val="1408"/>
        </w:trPr>
        <w:tc>
          <w:tcPr>
            <w:tcW w:w="269" w:type="dxa"/>
          </w:tcPr>
          <w:p w14:paraId="48586FA3" w14:textId="77777777" w:rsidR="001C1A2E" w:rsidRPr="009F02E3" w:rsidRDefault="001C1A2E" w:rsidP="008667DC">
            <w:pPr>
              <w:pStyle w:val="naiskr"/>
              <w:spacing w:before="0" w:beforeAutospacing="0" w:after="0" w:afterAutospacing="0"/>
              <w:jc w:val="center"/>
              <w:rPr>
                <w:color w:val="000000" w:themeColor="text1"/>
              </w:rPr>
            </w:pPr>
            <w:r w:rsidRPr="009F02E3">
              <w:rPr>
                <w:color w:val="000000" w:themeColor="text1"/>
              </w:rPr>
              <w:t>2.</w:t>
            </w:r>
          </w:p>
        </w:tc>
        <w:tc>
          <w:tcPr>
            <w:tcW w:w="3138" w:type="dxa"/>
          </w:tcPr>
          <w:p w14:paraId="03BF9F14" w14:textId="77777777" w:rsidR="001C1A2E" w:rsidRPr="009F02E3" w:rsidRDefault="001C1A2E" w:rsidP="008667DC">
            <w:pPr>
              <w:pStyle w:val="naiskr"/>
              <w:tabs>
                <w:tab w:val="left" w:pos="170"/>
              </w:tabs>
              <w:spacing w:before="0" w:beforeAutospacing="0" w:after="0" w:afterAutospacing="0"/>
              <w:rPr>
                <w:color w:val="000000" w:themeColor="text1"/>
              </w:rPr>
            </w:pPr>
            <w:r w:rsidRPr="009F02E3">
              <w:rPr>
                <w:color w:val="000000" w:themeColor="text1"/>
              </w:rPr>
              <w:t>Pašreizējā situācija un problēmas, kuru risināšanai tiesību akta projekts izstrādāts, tiesiskā regulējuma mērķis un būtība</w:t>
            </w:r>
          </w:p>
          <w:p w14:paraId="69467417" w14:textId="77777777" w:rsidR="00702562" w:rsidRPr="009F02E3" w:rsidRDefault="00702562" w:rsidP="00702562">
            <w:pPr>
              <w:pStyle w:val="naiskr"/>
              <w:tabs>
                <w:tab w:val="left" w:pos="170"/>
              </w:tabs>
              <w:spacing w:before="0" w:beforeAutospacing="0" w:after="0" w:afterAutospacing="0"/>
              <w:rPr>
                <w:color w:val="000000" w:themeColor="text1"/>
              </w:rPr>
            </w:pPr>
          </w:p>
        </w:tc>
        <w:tc>
          <w:tcPr>
            <w:tcW w:w="6037" w:type="dxa"/>
          </w:tcPr>
          <w:p w14:paraId="4EE08E8A" w14:textId="77777777" w:rsidR="00702562" w:rsidRPr="009F02E3" w:rsidRDefault="00702562" w:rsidP="00702562">
            <w:pPr>
              <w:jc w:val="both"/>
              <w:rPr>
                <w:bCs/>
                <w:color w:val="000000" w:themeColor="text1"/>
              </w:rPr>
            </w:pPr>
            <w:r w:rsidRPr="009F02E3">
              <w:rPr>
                <w:bCs/>
                <w:color w:val="000000" w:themeColor="text1"/>
              </w:rPr>
              <w:t>Elektroenerģijas izmaksas ir viens no galvenajiem faktoriem, kas ietekmē ikvienas nozares konkurētspēj</w:t>
            </w:r>
            <w:r w:rsidR="00C21F1D" w:rsidRPr="009F02E3">
              <w:rPr>
                <w:bCs/>
                <w:color w:val="000000" w:themeColor="text1"/>
              </w:rPr>
              <w:t>u</w:t>
            </w:r>
            <w:r w:rsidRPr="009F02E3">
              <w:rPr>
                <w:bCs/>
                <w:color w:val="000000" w:themeColor="text1"/>
              </w:rPr>
              <w:t xml:space="preserve"> ne tikai nacionālā, reģionālā, Eiropas Savienības (turpmāk – ES), bet arī starptautiskajā līmenī. Īpaši šis aspekts ir attiecināms uz tiem komersantiem, kas savu pamatdarbību ir izvērsuši energoietilpīgajās nozarēs, tādās kā, metālrūpniecība, šķiedras ražošana, būvmateriālu ražošana. Šādos uzņēmumos izmaksas par elektroenerģiju var sasniegt līdz pat 40% no operacionālajām izmaksām, kas ir daudz augstākas nekā līdzīgos uzņēmumos ārpus ES, piemēram, Latvijas gadījumā Krievijā, Amerikas Savienotās Valstis, Ķīnā. </w:t>
            </w:r>
          </w:p>
          <w:p w14:paraId="17C92B76" w14:textId="4AE174C3" w:rsidR="00702562" w:rsidRPr="009F02E3" w:rsidRDefault="00702562" w:rsidP="00702562">
            <w:pPr>
              <w:jc w:val="both"/>
              <w:rPr>
                <w:bCs/>
                <w:color w:val="000000" w:themeColor="text1"/>
              </w:rPr>
            </w:pPr>
            <w:r w:rsidRPr="009F02E3">
              <w:rPr>
                <w:bCs/>
                <w:color w:val="000000" w:themeColor="text1"/>
              </w:rPr>
              <w:t>Pēdējos gados ES ir vērojams elektroenerģijas izmaksu kāpums un atsevišķas ES dalībvalstis (piemēram, Rumānija</w:t>
            </w:r>
            <w:r w:rsidR="006B0B61" w:rsidRPr="009F02E3">
              <w:rPr>
                <w:rStyle w:val="FootnoteReference"/>
                <w:bCs/>
                <w:color w:val="000000" w:themeColor="text1"/>
              </w:rPr>
              <w:footnoteReference w:id="1"/>
            </w:r>
            <w:r w:rsidRPr="009F02E3">
              <w:rPr>
                <w:bCs/>
                <w:color w:val="000000" w:themeColor="text1"/>
              </w:rPr>
              <w:t>, Vācija</w:t>
            </w:r>
            <w:r w:rsidR="006B0B61" w:rsidRPr="009F02E3">
              <w:rPr>
                <w:rStyle w:val="FootnoteReference"/>
                <w:bCs/>
                <w:color w:val="000000" w:themeColor="text1"/>
              </w:rPr>
              <w:footnoteReference w:id="2"/>
            </w:r>
            <w:r w:rsidRPr="009F02E3">
              <w:rPr>
                <w:bCs/>
                <w:color w:val="000000" w:themeColor="text1"/>
              </w:rPr>
              <w:t xml:space="preserve">) ir izveidojušas īpašus valsts atbalsta mehānismus energoietilpīgās rūpniecības atbalstam, lai vismaz zināmā apmērā kompensētu elektroenerģijas izmaksu kāpumu. </w:t>
            </w:r>
          </w:p>
          <w:p w14:paraId="1B9513DA" w14:textId="77777777" w:rsidR="00702562" w:rsidRPr="009F02E3" w:rsidRDefault="00702562" w:rsidP="00702562">
            <w:pPr>
              <w:jc w:val="both"/>
              <w:rPr>
                <w:bCs/>
                <w:color w:val="000000" w:themeColor="text1"/>
                <w:sz w:val="22"/>
                <w:szCs w:val="22"/>
              </w:rPr>
            </w:pPr>
            <w:r w:rsidRPr="009F02E3">
              <w:rPr>
                <w:bCs/>
                <w:color w:val="000000" w:themeColor="text1"/>
              </w:rPr>
              <w:t xml:space="preserve">Šāda atbalsta esamība Latvijas energoietilpīgo uzņēmumu eksporta tirgos rada konkurences kropļošanu, nostādot šos uzņēmumus daudz nelabvēlīgākā stāvoklī. </w:t>
            </w:r>
          </w:p>
          <w:p w14:paraId="41275EB3" w14:textId="77777777" w:rsidR="00702562" w:rsidRPr="009F02E3" w:rsidRDefault="00702562" w:rsidP="00702562">
            <w:pPr>
              <w:jc w:val="both"/>
              <w:rPr>
                <w:bCs/>
                <w:color w:val="000000" w:themeColor="text1"/>
              </w:rPr>
            </w:pPr>
            <w:r w:rsidRPr="009F02E3">
              <w:rPr>
                <w:bCs/>
                <w:color w:val="000000" w:themeColor="text1"/>
              </w:rPr>
              <w:t>Ar noteikumu projektu tiek piedāvāts risinājums šo energoietilpīgo uzņēmumu atbalstam, lai mazinātu elektroenerģijas izmaksu pieauguma negatīvo efektu uz šo Latvijā apstrādes nozarē ražojošu uzņēmumu konkurētspēju ES eksporta tirgos ar līdzīgiem uzņēmumiem no citām ES dalībvalstīm vai eksporta tirgos trešajās valstīs, kur elektroenerģijas izmaksas var būt līdz pat 2 – 3 reizes zemākas nekā Latvijā.</w:t>
            </w:r>
          </w:p>
          <w:p w14:paraId="1E68BDF7" w14:textId="77777777" w:rsidR="00702562" w:rsidRPr="009F02E3" w:rsidRDefault="00702562" w:rsidP="00702562">
            <w:pPr>
              <w:jc w:val="both"/>
              <w:rPr>
                <w:bCs/>
                <w:iCs/>
                <w:color w:val="000000" w:themeColor="text1"/>
                <w:shd w:val="clear" w:color="auto" w:fill="FFFFFF"/>
              </w:rPr>
            </w:pPr>
            <w:r w:rsidRPr="009F02E3">
              <w:rPr>
                <w:color w:val="000000" w:themeColor="text1"/>
              </w:rPr>
              <w:t xml:space="preserve">Atbalsta </w:t>
            </w:r>
            <w:r w:rsidRPr="009F02E3">
              <w:rPr>
                <w:bCs/>
                <w:color w:val="000000" w:themeColor="text1"/>
              </w:rPr>
              <w:t xml:space="preserve">energoietilpīgajiem uzņēmumiem </w:t>
            </w:r>
            <w:r w:rsidRPr="009F02E3">
              <w:rPr>
                <w:color w:val="000000" w:themeColor="text1"/>
              </w:rPr>
              <w:t xml:space="preserve">veidošanā tiek ņemtas vērā Komercdarbības atbalsta kontroles likumā un ar to saistītajos normatīvajos aktos ietvertās prasības, kā arī Eiropas Komisijas Pamatnostādnēs par valsts atbalstu vides </w:t>
            </w:r>
            <w:r w:rsidRPr="009F02E3">
              <w:rPr>
                <w:color w:val="000000" w:themeColor="text1"/>
              </w:rPr>
              <w:lastRenderedPageBreak/>
              <w:t>aizsardzībai un enerģētikai 2014.-2020. gadam (ES OV C/200, 28.06.2014)</w:t>
            </w:r>
            <w:r w:rsidR="00B307CB" w:rsidRPr="009F02E3">
              <w:rPr>
                <w:rStyle w:val="FootnoteReference"/>
                <w:color w:val="000000" w:themeColor="text1"/>
              </w:rPr>
              <w:footnoteReference w:id="3"/>
            </w:r>
            <w:r w:rsidRPr="009F02E3">
              <w:rPr>
                <w:color w:val="000000" w:themeColor="text1"/>
              </w:rPr>
              <w:t xml:space="preserve"> (turpmāk - Pamatnostādnes) ietvertie kritēriji un prasības.</w:t>
            </w:r>
            <w:r w:rsidRPr="009F02E3">
              <w:rPr>
                <w:rFonts w:eastAsia="Calibri"/>
                <w:color w:val="000000" w:themeColor="text1"/>
              </w:rPr>
              <w:t xml:space="preserve"> Pamatnostādnes paredz, ka </w:t>
            </w:r>
            <w:r w:rsidRPr="009F02E3">
              <w:rPr>
                <w:b/>
                <w:bCs/>
                <w:color w:val="000000" w:themeColor="text1"/>
                <w:shd w:val="clear" w:color="auto" w:fill="FFFFFF"/>
              </w:rPr>
              <w:t> </w:t>
            </w:r>
            <w:r w:rsidRPr="009F02E3">
              <w:rPr>
                <w:rStyle w:val="italic"/>
                <w:bCs/>
                <w:iCs/>
                <w:color w:val="000000" w:themeColor="text1"/>
                <w:shd w:val="clear" w:color="auto" w:fill="FFFFFF"/>
              </w:rPr>
              <w:t>atbalstu var sniegt, samazinot līdzdalību enerģijas no atjaunojamiem energoresursiem (turpmāk – AER) finansēšanā. Pamatnostādnēs</w:t>
            </w:r>
            <w:r w:rsidRPr="009F02E3">
              <w:rPr>
                <w:bCs/>
                <w:color w:val="000000" w:themeColor="text1"/>
              </w:rPr>
              <w:t xml:space="preserve"> izvirzītie pamatkritēriji iespējamo atbrīvojumu piemērošanai:</w:t>
            </w:r>
          </w:p>
          <w:p w14:paraId="334C6467" w14:textId="77777777" w:rsidR="00702562" w:rsidRPr="009F02E3" w:rsidRDefault="00702562" w:rsidP="00702562">
            <w:pPr>
              <w:pStyle w:val="ListParagraph"/>
              <w:numPr>
                <w:ilvl w:val="0"/>
                <w:numId w:val="7"/>
              </w:numPr>
              <w:spacing w:after="0" w:line="240" w:lineRule="auto"/>
              <w:contextualSpacing/>
              <w:jc w:val="both"/>
              <w:rPr>
                <w:color w:val="000000" w:themeColor="text1"/>
                <w:sz w:val="24"/>
                <w:szCs w:val="24"/>
              </w:rPr>
            </w:pPr>
            <w:r w:rsidRPr="009F02E3">
              <w:rPr>
                <w:color w:val="000000" w:themeColor="text1"/>
                <w:sz w:val="24"/>
                <w:szCs w:val="24"/>
              </w:rPr>
              <w:t>ES dalībvalstīm ir jāpierāda, ka papildu izmaksas, kas atspoguļotas augstākajās elektroenerģijas cenās, kuras sedz atbalsta saņēmēji, izriet tikai no enerģijas no AER atbalsta. Papildu izmaksas nevar pārsniegt finansējumu enerģijas no AER atbalstam;</w:t>
            </w:r>
          </w:p>
          <w:p w14:paraId="14B49BB0" w14:textId="77777777" w:rsidR="00702562" w:rsidRPr="009F02E3" w:rsidRDefault="00702562" w:rsidP="00702562">
            <w:pPr>
              <w:pStyle w:val="ListParagraph"/>
              <w:numPr>
                <w:ilvl w:val="0"/>
                <w:numId w:val="7"/>
              </w:numPr>
              <w:spacing w:after="0" w:line="240" w:lineRule="auto"/>
              <w:contextualSpacing/>
              <w:jc w:val="both"/>
              <w:rPr>
                <w:color w:val="000000" w:themeColor="text1"/>
                <w:sz w:val="24"/>
                <w:szCs w:val="24"/>
              </w:rPr>
            </w:pPr>
            <w:r w:rsidRPr="009F02E3">
              <w:rPr>
                <w:color w:val="000000" w:themeColor="text1"/>
                <w:sz w:val="24"/>
                <w:szCs w:val="24"/>
              </w:rPr>
              <w:t xml:space="preserve">Atbalsts ir jāattiecina tikai uz nozarēm, kuru konkurētspēja ir apdraudēta to izmaksu dēļ, kas rodas finansējuma enerģijas no AER atbalstam rezultātā, ņemot vērā to </w:t>
            </w:r>
            <w:proofErr w:type="spellStart"/>
            <w:r w:rsidRPr="009F02E3">
              <w:rPr>
                <w:color w:val="000000" w:themeColor="text1"/>
                <w:sz w:val="24"/>
                <w:szCs w:val="24"/>
              </w:rPr>
              <w:t>elektroietilpību</w:t>
            </w:r>
            <w:proofErr w:type="spellEnd"/>
            <w:r w:rsidRPr="009F02E3">
              <w:rPr>
                <w:color w:val="000000" w:themeColor="text1"/>
                <w:sz w:val="24"/>
                <w:szCs w:val="24"/>
              </w:rPr>
              <w:t xml:space="preserve"> un starptautisko tirdzniecību (Eiropas Komisija ir izveidojusi nozaru sarakstu un noteikusi papildus nosacījumus);</w:t>
            </w:r>
          </w:p>
          <w:p w14:paraId="6FC5615D" w14:textId="77777777" w:rsidR="00702562" w:rsidRPr="009F02E3" w:rsidRDefault="00702562" w:rsidP="00702562">
            <w:pPr>
              <w:pStyle w:val="ListParagraph"/>
              <w:numPr>
                <w:ilvl w:val="0"/>
                <w:numId w:val="7"/>
              </w:numPr>
              <w:spacing w:after="0" w:line="240" w:lineRule="auto"/>
              <w:contextualSpacing/>
              <w:jc w:val="both"/>
              <w:rPr>
                <w:color w:val="000000" w:themeColor="text1"/>
                <w:sz w:val="24"/>
                <w:szCs w:val="24"/>
              </w:rPr>
            </w:pPr>
            <w:r w:rsidRPr="009F02E3">
              <w:rPr>
                <w:color w:val="000000" w:themeColor="text1"/>
                <w:sz w:val="24"/>
                <w:szCs w:val="24"/>
              </w:rPr>
              <w:t>Atbalstāmajā nozarē ES dalībvalstīm ir jānodrošina, ka atbalsta saņēmēju atlase ir balstīta uz objektīviem, nediskriminējošiem un pārredzamiem kritērijiem un atbalsta piešķiršana notiek principā tādā pašā veidā visiem konkurentiem tajā pašā nozarē, ja tie atrodas līdzīgā faktiskā situācijā;</w:t>
            </w:r>
          </w:p>
          <w:p w14:paraId="02350FFF" w14:textId="77777777" w:rsidR="00702562" w:rsidRPr="009F02E3" w:rsidRDefault="00702562" w:rsidP="00702562">
            <w:pPr>
              <w:pStyle w:val="ListParagraph"/>
              <w:numPr>
                <w:ilvl w:val="0"/>
                <w:numId w:val="7"/>
              </w:numPr>
              <w:spacing w:after="0" w:line="240" w:lineRule="auto"/>
              <w:contextualSpacing/>
              <w:jc w:val="both"/>
              <w:rPr>
                <w:color w:val="000000" w:themeColor="text1"/>
                <w:sz w:val="24"/>
                <w:szCs w:val="24"/>
              </w:rPr>
            </w:pPr>
            <w:r w:rsidRPr="009F02E3">
              <w:rPr>
                <w:color w:val="000000" w:themeColor="text1"/>
                <w:sz w:val="24"/>
                <w:szCs w:val="24"/>
              </w:rPr>
              <w:t xml:space="preserve">Atbalsta saņēmēji vismaz attiecībā uz 15% no maksājamajām papildu izmaksām nesaņem samazinājumu. Nepieciešamības gadījumā dalībvalstīm ir iespēja to izmaksu summu, ko rada atbalsta AER enerģijai finansēšana un kas jāmaksā uzņēmuma līmenī, samazināt līdz 4% no attiecīgā uzņēmuma bruto pievienotās vērtības. Uzņēmumiem, kuru </w:t>
            </w:r>
            <w:proofErr w:type="spellStart"/>
            <w:r w:rsidRPr="009F02E3">
              <w:rPr>
                <w:color w:val="000000" w:themeColor="text1"/>
                <w:sz w:val="24"/>
                <w:szCs w:val="24"/>
              </w:rPr>
              <w:t>elektroietilpība</w:t>
            </w:r>
            <w:proofErr w:type="spellEnd"/>
            <w:r w:rsidRPr="009F02E3">
              <w:rPr>
                <w:color w:val="000000" w:themeColor="text1"/>
                <w:sz w:val="24"/>
                <w:szCs w:val="24"/>
              </w:rPr>
              <w:t xml:space="preserve"> ir vismaz 20%, ES dalībvalstis var ierobežot kopējo maksājamo summu līdz 0,5% no attiecīgā uzņēmuma bruto pievienotās vērtības;</w:t>
            </w:r>
          </w:p>
          <w:p w14:paraId="48B349A2" w14:textId="464936C1" w:rsidR="00702562" w:rsidRPr="009F02E3" w:rsidRDefault="00702562" w:rsidP="00702562">
            <w:pPr>
              <w:pStyle w:val="ListParagraph"/>
              <w:numPr>
                <w:ilvl w:val="0"/>
                <w:numId w:val="7"/>
              </w:numPr>
              <w:spacing w:after="0" w:line="240" w:lineRule="auto"/>
              <w:contextualSpacing/>
              <w:jc w:val="both"/>
              <w:rPr>
                <w:color w:val="000000" w:themeColor="text1"/>
              </w:rPr>
            </w:pPr>
            <w:r w:rsidRPr="009F02E3">
              <w:rPr>
                <w:color w:val="000000" w:themeColor="text1"/>
                <w:sz w:val="24"/>
                <w:szCs w:val="24"/>
              </w:rPr>
              <w:t>Ja atbalstu piešķir maksas samazinājuma veidā, ir jāievieš </w:t>
            </w:r>
            <w:proofErr w:type="spellStart"/>
            <w:r w:rsidRPr="009F02E3">
              <w:rPr>
                <w:i/>
                <w:iCs/>
                <w:color w:val="000000" w:themeColor="text1"/>
                <w:sz w:val="24"/>
                <w:szCs w:val="24"/>
              </w:rPr>
              <w:t>ex</w:t>
            </w:r>
            <w:proofErr w:type="spellEnd"/>
            <w:r w:rsidRPr="009F02E3">
              <w:rPr>
                <w:i/>
                <w:iCs/>
                <w:color w:val="000000" w:themeColor="text1"/>
                <w:sz w:val="24"/>
                <w:szCs w:val="24"/>
              </w:rPr>
              <w:t>-post</w:t>
            </w:r>
            <w:r w:rsidRPr="009F02E3">
              <w:rPr>
                <w:color w:val="000000" w:themeColor="text1"/>
                <w:sz w:val="24"/>
                <w:szCs w:val="24"/>
              </w:rPr>
              <w:t> uzraudzības mehānisms, lai nodrošinātu, ka jebkāda atbalsta pārmaksa tiks atmaksāta līdz nākamā gada 1.</w:t>
            </w:r>
            <w:r w:rsidR="009F5490" w:rsidRPr="009F02E3">
              <w:rPr>
                <w:color w:val="000000" w:themeColor="text1"/>
                <w:sz w:val="24"/>
                <w:szCs w:val="24"/>
              </w:rPr>
              <w:t> </w:t>
            </w:r>
            <w:r w:rsidRPr="009F02E3">
              <w:rPr>
                <w:color w:val="000000" w:themeColor="text1"/>
                <w:sz w:val="24"/>
                <w:szCs w:val="24"/>
              </w:rPr>
              <w:t>jūlijam. Ja atbalstu piešķir fiksētas ikgadējas kompensācijas veidā, tā ir jāaprēķina, pamatojoties uz vēsturiskiem datiem, t. i., uz datiem par patērēto elektroenerģiju un bruto pievienoto vērtību attiecīgajā bāzes gadā.</w:t>
            </w:r>
          </w:p>
          <w:p w14:paraId="211C94D6" w14:textId="3DD80B20" w:rsidR="00702562" w:rsidRPr="009F02E3" w:rsidRDefault="00702562" w:rsidP="00702562">
            <w:pPr>
              <w:jc w:val="both"/>
              <w:rPr>
                <w:color w:val="000000" w:themeColor="text1"/>
              </w:rPr>
            </w:pPr>
            <w:r w:rsidRPr="009F02E3">
              <w:rPr>
                <w:rStyle w:val="italic"/>
                <w:bCs/>
                <w:iCs/>
                <w:color w:val="000000" w:themeColor="text1"/>
                <w:shd w:val="clear" w:color="auto" w:fill="FFFFFF"/>
              </w:rPr>
              <w:t xml:space="preserve">Ņemot vērā no Pamatnostādnēm izrietošās prasības, izstrādāts noteikumu projekts, paredzot </w:t>
            </w:r>
            <w:r w:rsidRPr="009F02E3">
              <w:rPr>
                <w:color w:val="000000" w:themeColor="text1"/>
              </w:rPr>
              <w:t>obligātā iepirkuma komponentes</w:t>
            </w:r>
            <w:r w:rsidR="00E45548" w:rsidRPr="009F02E3">
              <w:rPr>
                <w:color w:val="000000" w:themeColor="text1"/>
              </w:rPr>
              <w:t xml:space="preserve"> (turpmāk - OIK)</w:t>
            </w:r>
            <w:r w:rsidRPr="009F02E3">
              <w:rPr>
                <w:color w:val="000000" w:themeColor="text1"/>
              </w:rPr>
              <w:t xml:space="preserve"> kompensēšanu, kas izriet no tādiem ražotājiem sniegtā atbalsta, kas elektroenerģiju ražo, izmantojot AER. </w:t>
            </w:r>
          </w:p>
          <w:p w14:paraId="60869D12" w14:textId="77777777" w:rsidR="00702562" w:rsidRPr="009F02E3" w:rsidRDefault="00702562" w:rsidP="00702562">
            <w:pPr>
              <w:jc w:val="both"/>
              <w:rPr>
                <w:color w:val="000000" w:themeColor="text1"/>
                <w:szCs w:val="28"/>
              </w:rPr>
            </w:pPr>
            <w:r w:rsidRPr="009F02E3">
              <w:rPr>
                <w:rFonts w:eastAsia="Calibri"/>
                <w:color w:val="000000" w:themeColor="text1"/>
              </w:rPr>
              <w:lastRenderedPageBreak/>
              <w:t>Tāpat, ņemot vērā Pamatnostādnes,</w:t>
            </w:r>
            <w:r w:rsidRPr="009F02E3">
              <w:rPr>
                <w:bCs/>
                <w:color w:val="000000" w:themeColor="text1"/>
                <w:szCs w:val="28"/>
              </w:rPr>
              <w:t xml:space="preserve"> samazināta līdzdalība izdevumu kompensēšanai publiskajam tirgotājam</w:t>
            </w:r>
            <w:r w:rsidR="006F044E" w:rsidRPr="009F02E3">
              <w:rPr>
                <w:color w:val="000000" w:themeColor="text1"/>
                <w:szCs w:val="28"/>
              </w:rPr>
              <w:t xml:space="preserve"> tiks</w:t>
            </w:r>
            <w:r w:rsidRPr="009F02E3">
              <w:rPr>
                <w:color w:val="000000" w:themeColor="text1"/>
                <w:szCs w:val="28"/>
              </w:rPr>
              <w:t xml:space="preserve"> īstenota līdz 2020. gadam.</w:t>
            </w:r>
          </w:p>
          <w:p w14:paraId="2744B8BF" w14:textId="449F43B8" w:rsidR="00702562" w:rsidRPr="009F02E3" w:rsidRDefault="00677ED4" w:rsidP="00702562">
            <w:pPr>
              <w:jc w:val="both"/>
              <w:rPr>
                <w:bCs/>
                <w:color w:val="000000" w:themeColor="text1"/>
              </w:rPr>
            </w:pPr>
            <w:r w:rsidRPr="009F02E3">
              <w:rPr>
                <w:bCs/>
                <w:color w:val="000000" w:themeColor="text1"/>
              </w:rPr>
              <w:t xml:space="preserve">Ekonomikas ministrija ir vērtējusi atbalsta maksas samazinājuma iespējas, vērtējot to, kādus instrumentus būtu iespējams izmantot, salīdzinājumā ar ikgadējas kompensācijas piešķiršanu. Arī Pamatnostādnes ļauj dalībvalstij izvēlēties vienu no abiem variantiem vai to kombināciju. Kompensācijas izvēle </w:t>
            </w:r>
            <w:r w:rsidR="00E45548" w:rsidRPr="009F02E3">
              <w:rPr>
                <w:bCs/>
                <w:color w:val="000000" w:themeColor="text1"/>
              </w:rPr>
              <w:t xml:space="preserve">par iepriekšējā gadā samaksāto OIK </w:t>
            </w:r>
            <w:r w:rsidRPr="009F02E3">
              <w:rPr>
                <w:bCs/>
                <w:color w:val="000000" w:themeColor="text1"/>
              </w:rPr>
              <w:t xml:space="preserve">novērš nepieciešamību sarežģīt administrēšanu, ņemot vērā, ka kompensācijas mehānismam nav nepieciešams </w:t>
            </w:r>
            <w:proofErr w:type="spellStart"/>
            <w:r w:rsidRPr="009F02E3">
              <w:rPr>
                <w:bCs/>
                <w:color w:val="000000" w:themeColor="text1"/>
              </w:rPr>
              <w:t>ex</w:t>
            </w:r>
            <w:proofErr w:type="spellEnd"/>
            <w:r w:rsidRPr="009F02E3">
              <w:rPr>
                <w:bCs/>
                <w:color w:val="000000" w:themeColor="text1"/>
              </w:rPr>
              <w:t xml:space="preserve">-post izvērtējums. Tāpat potenciālie komersanti, kas varētu pretendēt uz atbalstu, ir apzināti un to skaits ir neliels. </w:t>
            </w:r>
            <w:r w:rsidR="00452F0A" w:rsidRPr="009F02E3">
              <w:rPr>
                <w:bCs/>
                <w:color w:val="000000" w:themeColor="text1"/>
              </w:rPr>
              <w:t xml:space="preserve">Paralēli </w:t>
            </w:r>
            <w:r w:rsidRPr="009F02E3">
              <w:rPr>
                <w:bCs/>
                <w:color w:val="000000" w:themeColor="text1"/>
              </w:rPr>
              <w:t>arī tika izvērtēta citu valstu pieredze, kur līdzīgu atbalsta mehānisma ieviešanas mērķis ir uzņēmumu konkurētspējas veicināšana, ko sniedz elektroenerģijas izmaksu samazinājums.</w:t>
            </w:r>
          </w:p>
          <w:p w14:paraId="3C862FD9" w14:textId="77777777" w:rsidR="00677ED4" w:rsidRPr="009F02E3" w:rsidRDefault="00677ED4" w:rsidP="00702562">
            <w:pPr>
              <w:jc w:val="both"/>
              <w:rPr>
                <w:bCs/>
                <w:color w:val="000000" w:themeColor="text1"/>
              </w:rPr>
            </w:pPr>
          </w:p>
          <w:p w14:paraId="12703EDF" w14:textId="54B96466" w:rsidR="008E6080" w:rsidRPr="009F02E3" w:rsidRDefault="00B87A66" w:rsidP="008E6080">
            <w:pPr>
              <w:jc w:val="both"/>
              <w:rPr>
                <w:color w:val="000000" w:themeColor="text1"/>
              </w:rPr>
            </w:pPr>
            <w:r w:rsidRPr="009F02E3">
              <w:rPr>
                <w:color w:val="000000" w:themeColor="text1"/>
              </w:rPr>
              <w:t xml:space="preserve">OIK un </w:t>
            </w:r>
            <w:r w:rsidR="001072CB" w:rsidRPr="009F02E3">
              <w:rPr>
                <w:color w:val="000000" w:themeColor="text1"/>
              </w:rPr>
              <w:t xml:space="preserve">attiecīgi </w:t>
            </w:r>
            <w:r w:rsidRPr="009F02E3">
              <w:rPr>
                <w:color w:val="000000" w:themeColor="text1"/>
              </w:rPr>
              <w:t>elektroenerģijas kopējās cenas pieaugums atstā</w:t>
            </w:r>
            <w:r w:rsidR="00FA546D" w:rsidRPr="009F02E3">
              <w:rPr>
                <w:color w:val="000000" w:themeColor="text1"/>
              </w:rPr>
              <w:t>j</w:t>
            </w:r>
            <w:r w:rsidRPr="009F02E3">
              <w:rPr>
                <w:color w:val="000000" w:themeColor="text1"/>
              </w:rPr>
              <w:t xml:space="preserve"> ietekmi uz Latvijas tautsaimniecības konkurētspēju, tajā skaitā</w:t>
            </w:r>
            <w:r w:rsidR="00603644" w:rsidRPr="009F02E3">
              <w:rPr>
                <w:color w:val="000000" w:themeColor="text1"/>
              </w:rPr>
              <w:t>,</w:t>
            </w:r>
            <w:r w:rsidRPr="009F02E3">
              <w:rPr>
                <w:color w:val="000000" w:themeColor="text1"/>
              </w:rPr>
              <w:t xml:space="preserve"> pievienotās vērtības radīšanu</w:t>
            </w:r>
            <w:r w:rsidR="00603644" w:rsidRPr="009F02E3">
              <w:rPr>
                <w:color w:val="000000" w:themeColor="text1"/>
              </w:rPr>
              <w:t>,</w:t>
            </w:r>
            <w:r w:rsidR="005F2E1A" w:rsidRPr="009F02E3">
              <w:rPr>
                <w:color w:val="000000" w:themeColor="text1"/>
              </w:rPr>
              <w:t xml:space="preserve"> un</w:t>
            </w:r>
            <w:r w:rsidRPr="009F02E3">
              <w:rPr>
                <w:color w:val="000000" w:themeColor="text1"/>
              </w:rPr>
              <w:t xml:space="preserve">, </w:t>
            </w:r>
            <w:r w:rsidR="00C15E77" w:rsidRPr="009F02E3">
              <w:rPr>
                <w:color w:val="000000" w:themeColor="text1"/>
              </w:rPr>
              <w:t xml:space="preserve">lai to novērstu, </w:t>
            </w:r>
            <w:r w:rsidRPr="009F02E3">
              <w:rPr>
                <w:color w:val="000000" w:themeColor="text1"/>
              </w:rPr>
              <w:t>nepieciešams ieviest tād</w:t>
            </w:r>
            <w:r w:rsidR="00FA546D" w:rsidRPr="009F02E3">
              <w:rPr>
                <w:color w:val="000000" w:themeColor="text1"/>
              </w:rPr>
              <w:t xml:space="preserve">u politiku, kas </w:t>
            </w:r>
            <w:r w:rsidRPr="009F02E3">
              <w:rPr>
                <w:color w:val="000000" w:themeColor="text1"/>
              </w:rPr>
              <w:t xml:space="preserve">nodrošina ekonomikas attīstību un novērš iedzīvotāju dzīves līmeņa pasliktināšanos. </w:t>
            </w:r>
          </w:p>
          <w:p w14:paraId="7728AF6D" w14:textId="50B26D66" w:rsidR="00600499" w:rsidRPr="009F02E3" w:rsidRDefault="00600499" w:rsidP="008E6080">
            <w:pPr>
              <w:jc w:val="both"/>
              <w:rPr>
                <w:bCs/>
                <w:color w:val="000000" w:themeColor="text1"/>
              </w:rPr>
            </w:pPr>
            <w:r w:rsidRPr="009F02E3">
              <w:rPr>
                <w:bCs/>
                <w:color w:val="000000" w:themeColor="text1"/>
              </w:rPr>
              <w:t xml:space="preserve">OIK veidojas no atbalsta maksājumiem, ko saņem elektroenerģijas ražotāji, izmantojot AER vai efektīvā koģenerācijā. Līdz ar to primārais OIK izmaksu samazināšanas virziens ir atbalsta mehānismu uzlabošana, iegūstot lielāku rezultātu par mazāku subsīdiju apjomu. OIK sadalījums starp </w:t>
            </w:r>
            <w:r w:rsidR="00E45548" w:rsidRPr="009F02E3">
              <w:rPr>
                <w:bCs/>
                <w:color w:val="000000" w:themeColor="text1"/>
              </w:rPr>
              <w:t>AER</w:t>
            </w:r>
            <w:r w:rsidRPr="009F02E3">
              <w:rPr>
                <w:bCs/>
                <w:color w:val="000000" w:themeColor="text1"/>
              </w:rPr>
              <w:t xml:space="preserve"> un efektīvo koģenerāciju ir apmēram 35% </w:t>
            </w:r>
            <w:r w:rsidR="00603644" w:rsidRPr="009F02E3">
              <w:rPr>
                <w:bCs/>
                <w:color w:val="000000" w:themeColor="text1"/>
              </w:rPr>
              <w:t xml:space="preserve">pret </w:t>
            </w:r>
            <w:r w:rsidRPr="009F02E3">
              <w:rPr>
                <w:bCs/>
                <w:color w:val="000000" w:themeColor="text1"/>
              </w:rPr>
              <w:t xml:space="preserve">65%, ņemot vērā subsīdiju apjomu, kas tiek izmaksāts komersantiem, kas ražo enerģiju no </w:t>
            </w:r>
            <w:r w:rsidR="00E45548" w:rsidRPr="009F02E3">
              <w:rPr>
                <w:bCs/>
                <w:color w:val="000000" w:themeColor="text1"/>
              </w:rPr>
              <w:t>AER</w:t>
            </w:r>
            <w:r w:rsidRPr="009F02E3">
              <w:rPr>
                <w:bCs/>
                <w:color w:val="000000" w:themeColor="text1"/>
              </w:rPr>
              <w:t xml:space="preserve"> vai  efektīvā koģenerācijā.</w:t>
            </w:r>
          </w:p>
          <w:p w14:paraId="6EDECE33" w14:textId="33134D23" w:rsidR="00600499" w:rsidRPr="009F02E3" w:rsidRDefault="009E09BC" w:rsidP="00466943">
            <w:pPr>
              <w:jc w:val="both"/>
              <w:rPr>
                <w:color w:val="000000" w:themeColor="text1"/>
                <w:szCs w:val="28"/>
              </w:rPr>
            </w:pPr>
            <w:r w:rsidRPr="009F02E3">
              <w:rPr>
                <w:color w:val="000000" w:themeColor="text1"/>
              </w:rPr>
              <w:t>Līdz ar to</w:t>
            </w:r>
            <w:r w:rsidR="002A5405">
              <w:rPr>
                <w:color w:val="000000" w:themeColor="text1"/>
              </w:rPr>
              <w:t>,</w:t>
            </w:r>
            <w:r w:rsidRPr="009F02E3">
              <w:rPr>
                <w:color w:val="000000" w:themeColor="text1"/>
              </w:rPr>
              <w:t xml:space="preserve"> balstoties uz </w:t>
            </w:r>
            <w:r w:rsidR="00B307CB" w:rsidRPr="009F02E3">
              <w:rPr>
                <w:color w:val="000000" w:themeColor="text1"/>
              </w:rPr>
              <w:t>Pamatnostādņu</w:t>
            </w:r>
            <w:r w:rsidR="00B307CB" w:rsidRPr="009F02E3" w:rsidDel="00B307CB">
              <w:rPr>
                <w:color w:val="000000" w:themeColor="text1"/>
              </w:rPr>
              <w:t xml:space="preserve"> </w:t>
            </w:r>
            <w:r w:rsidRPr="009F02E3">
              <w:rPr>
                <w:color w:val="000000" w:themeColor="text1"/>
              </w:rPr>
              <w:t xml:space="preserve">pamatprincipiem, </w:t>
            </w:r>
            <w:r w:rsidR="009A3831" w:rsidRPr="009F02E3">
              <w:rPr>
                <w:color w:val="000000" w:themeColor="text1"/>
              </w:rPr>
              <w:t>Elektroenerģijas tirgus likumā</w:t>
            </w:r>
            <w:r w:rsidRPr="009F02E3">
              <w:rPr>
                <w:color w:val="000000" w:themeColor="text1"/>
              </w:rPr>
              <w:t xml:space="preserve"> doto deleģējumu, ir sagatavots noteikumu projekts par k</w:t>
            </w:r>
            <w:r w:rsidRPr="009F02E3">
              <w:rPr>
                <w:bCs/>
                <w:color w:val="000000" w:themeColor="text1"/>
                <w:szCs w:val="28"/>
              </w:rPr>
              <w:t xml:space="preserve">ārtību, kādā energoietilpīgi komersanti, kas darbojas apstrādes rūpniecībā, iegūst tiesības uz samazinātu līdzdalību </w:t>
            </w:r>
            <w:r w:rsidR="00702562" w:rsidRPr="009F02E3">
              <w:rPr>
                <w:bCs/>
                <w:color w:val="000000" w:themeColor="text1"/>
                <w:szCs w:val="28"/>
              </w:rPr>
              <w:t>OIK</w:t>
            </w:r>
            <w:r w:rsidRPr="009F02E3">
              <w:rPr>
                <w:bCs/>
                <w:color w:val="000000" w:themeColor="text1"/>
                <w:szCs w:val="28"/>
              </w:rPr>
              <w:t xml:space="preserve"> maksājumam</w:t>
            </w:r>
            <w:r w:rsidRPr="009F02E3">
              <w:rPr>
                <w:b/>
                <w:bCs/>
                <w:color w:val="000000" w:themeColor="text1"/>
                <w:szCs w:val="28"/>
              </w:rPr>
              <w:t xml:space="preserve">. </w:t>
            </w:r>
          </w:p>
          <w:p w14:paraId="7499600D" w14:textId="77777777" w:rsidR="00B362E2" w:rsidRPr="009F02E3" w:rsidRDefault="005877BA" w:rsidP="00DD13EA">
            <w:pPr>
              <w:autoSpaceDN w:val="0"/>
              <w:jc w:val="both"/>
              <w:textAlignment w:val="baseline"/>
              <w:rPr>
                <w:color w:val="000000" w:themeColor="text1"/>
                <w:szCs w:val="28"/>
              </w:rPr>
            </w:pPr>
            <w:r w:rsidRPr="009F02E3">
              <w:rPr>
                <w:color w:val="000000" w:themeColor="text1"/>
                <w:szCs w:val="28"/>
              </w:rPr>
              <w:t>Noteikumu projekta</w:t>
            </w:r>
            <w:r w:rsidR="00C37A2A" w:rsidRPr="009F02E3">
              <w:rPr>
                <w:color w:val="000000" w:themeColor="text1"/>
                <w:szCs w:val="28"/>
              </w:rPr>
              <w:t xml:space="preserve"> mērķis ir palielināt Latvijas energoietilpīgo apstrādes rūpniecības </w:t>
            </w:r>
            <w:r w:rsidR="009E09BC" w:rsidRPr="009F02E3">
              <w:rPr>
                <w:color w:val="000000" w:themeColor="text1"/>
                <w:szCs w:val="28"/>
              </w:rPr>
              <w:t xml:space="preserve">komersantu </w:t>
            </w:r>
            <w:r w:rsidR="00C37A2A" w:rsidRPr="009F02E3">
              <w:rPr>
                <w:color w:val="000000" w:themeColor="text1"/>
                <w:szCs w:val="28"/>
              </w:rPr>
              <w:t xml:space="preserve">starptautisko konkurētspēju, radīt </w:t>
            </w:r>
            <w:r w:rsidR="00DD13EA" w:rsidRPr="009F02E3">
              <w:rPr>
                <w:color w:val="000000" w:themeColor="text1"/>
                <w:szCs w:val="28"/>
              </w:rPr>
              <w:t>labvēlīgu vidi</w:t>
            </w:r>
            <w:r w:rsidR="00C37A2A" w:rsidRPr="009F02E3">
              <w:rPr>
                <w:color w:val="000000" w:themeColor="text1"/>
                <w:szCs w:val="28"/>
              </w:rPr>
              <w:t xml:space="preserve"> investīciju apjoma un labi apmaksātu darba vietu skaita palielināju</w:t>
            </w:r>
            <w:r w:rsidR="00656E5C" w:rsidRPr="009F02E3">
              <w:rPr>
                <w:color w:val="000000" w:themeColor="text1"/>
                <w:szCs w:val="28"/>
              </w:rPr>
              <w:t xml:space="preserve">mam un </w:t>
            </w:r>
            <w:r w:rsidR="00EB3C4C" w:rsidRPr="009F02E3">
              <w:rPr>
                <w:color w:val="000000" w:themeColor="text1"/>
                <w:szCs w:val="28"/>
              </w:rPr>
              <w:t xml:space="preserve">veicināt </w:t>
            </w:r>
            <w:r w:rsidR="00656E5C" w:rsidRPr="009F02E3">
              <w:rPr>
                <w:color w:val="000000" w:themeColor="text1"/>
                <w:szCs w:val="28"/>
              </w:rPr>
              <w:t>tautsaimniecības izaugsm</w:t>
            </w:r>
            <w:r w:rsidR="00C37A2A" w:rsidRPr="009F02E3">
              <w:rPr>
                <w:color w:val="000000" w:themeColor="text1"/>
                <w:szCs w:val="28"/>
              </w:rPr>
              <w:t>i, pakāpeniski palielinot apstrādes rūpniecības daļu iekšzemes kopproduktā.</w:t>
            </w:r>
          </w:p>
          <w:p w14:paraId="3B06D7B9" w14:textId="366AD30D" w:rsidR="00DF6DF3" w:rsidRPr="009F02E3" w:rsidRDefault="00DF6DF3" w:rsidP="005B4627">
            <w:pPr>
              <w:autoSpaceDN w:val="0"/>
              <w:jc w:val="both"/>
              <w:textAlignment w:val="baseline"/>
              <w:rPr>
                <w:color w:val="000000" w:themeColor="text1"/>
              </w:rPr>
            </w:pPr>
            <w:r w:rsidRPr="009F02E3">
              <w:rPr>
                <w:color w:val="000000" w:themeColor="text1"/>
                <w:szCs w:val="28"/>
              </w:rPr>
              <w:t xml:space="preserve">Ar noteikumu projektu </w:t>
            </w:r>
            <w:r w:rsidRPr="009F02E3">
              <w:rPr>
                <w:color w:val="000000" w:themeColor="text1"/>
              </w:rPr>
              <w:t xml:space="preserve">energoietilpīgiem apstrādes rūpniecības </w:t>
            </w:r>
            <w:r w:rsidR="009E09BC" w:rsidRPr="009F02E3">
              <w:rPr>
                <w:color w:val="000000" w:themeColor="text1"/>
              </w:rPr>
              <w:t xml:space="preserve">komersantiem </w:t>
            </w:r>
            <w:r w:rsidRPr="009F02E3">
              <w:rPr>
                <w:color w:val="000000" w:themeColor="text1"/>
              </w:rPr>
              <w:t xml:space="preserve">būs </w:t>
            </w:r>
            <w:r w:rsidR="005B4627" w:rsidRPr="009F02E3">
              <w:rPr>
                <w:color w:val="000000" w:themeColor="text1"/>
              </w:rPr>
              <w:t xml:space="preserve">pieejams </w:t>
            </w:r>
            <w:r w:rsidR="002C60F0" w:rsidRPr="009F02E3">
              <w:rPr>
                <w:color w:val="000000" w:themeColor="text1"/>
              </w:rPr>
              <w:t xml:space="preserve">jauns </w:t>
            </w:r>
            <w:r w:rsidR="009E09BC" w:rsidRPr="009F02E3">
              <w:rPr>
                <w:color w:val="000000" w:themeColor="text1"/>
              </w:rPr>
              <w:t xml:space="preserve">atbalsta </w:t>
            </w:r>
            <w:r w:rsidR="005B4627" w:rsidRPr="009F02E3">
              <w:rPr>
                <w:color w:val="000000" w:themeColor="text1"/>
              </w:rPr>
              <w:t xml:space="preserve">mehānisms, kas nodrošinās iespēju </w:t>
            </w:r>
            <w:r w:rsidR="009E09BC" w:rsidRPr="009F02E3">
              <w:rPr>
                <w:color w:val="000000" w:themeColor="text1"/>
              </w:rPr>
              <w:t xml:space="preserve">saņem </w:t>
            </w:r>
            <w:r w:rsidR="00E45548" w:rsidRPr="009F02E3">
              <w:rPr>
                <w:color w:val="000000" w:themeColor="text1"/>
              </w:rPr>
              <w:t>OIK samazinājumu</w:t>
            </w:r>
            <w:r w:rsidR="009E09BC" w:rsidRPr="009F02E3">
              <w:rPr>
                <w:color w:val="000000" w:themeColor="text1"/>
              </w:rPr>
              <w:t xml:space="preserve"> par elektroenerģiju, kas ražota no AER</w:t>
            </w:r>
            <w:r w:rsidR="005B4627" w:rsidRPr="009F02E3">
              <w:rPr>
                <w:color w:val="000000" w:themeColor="text1"/>
              </w:rPr>
              <w:t xml:space="preserve">, tādējādi </w:t>
            </w:r>
            <w:r w:rsidR="009E09BC" w:rsidRPr="009F02E3">
              <w:rPr>
                <w:color w:val="000000" w:themeColor="text1"/>
              </w:rPr>
              <w:t xml:space="preserve">komersanta </w:t>
            </w:r>
            <w:r w:rsidR="005B4627" w:rsidRPr="009F02E3">
              <w:rPr>
                <w:color w:val="000000" w:themeColor="text1"/>
              </w:rPr>
              <w:t>rīcībā būs</w:t>
            </w:r>
            <w:r w:rsidR="009D4B9C" w:rsidRPr="009F02E3">
              <w:rPr>
                <w:color w:val="000000" w:themeColor="text1"/>
              </w:rPr>
              <w:t xml:space="preserve"> iespējams nodrošināt</w:t>
            </w:r>
            <w:r w:rsidR="005B4627" w:rsidRPr="009F02E3">
              <w:rPr>
                <w:color w:val="000000" w:themeColor="text1"/>
              </w:rPr>
              <w:t xml:space="preserve"> </w:t>
            </w:r>
            <w:r w:rsidR="002C60F0" w:rsidRPr="009F02E3">
              <w:rPr>
                <w:color w:val="000000" w:themeColor="text1"/>
              </w:rPr>
              <w:t xml:space="preserve">papildu </w:t>
            </w:r>
            <w:r w:rsidR="005B4627" w:rsidRPr="009F02E3">
              <w:rPr>
                <w:color w:val="000000" w:themeColor="text1"/>
              </w:rPr>
              <w:t>finanšu līdzekļ</w:t>
            </w:r>
            <w:r w:rsidR="009D4B9C" w:rsidRPr="009F02E3">
              <w:rPr>
                <w:color w:val="000000" w:themeColor="text1"/>
              </w:rPr>
              <w:t>us</w:t>
            </w:r>
            <w:r w:rsidR="005B4627" w:rsidRPr="009F02E3">
              <w:rPr>
                <w:color w:val="000000" w:themeColor="text1"/>
              </w:rPr>
              <w:t xml:space="preserve">, ko </w:t>
            </w:r>
            <w:r w:rsidR="009E09BC" w:rsidRPr="009F02E3">
              <w:rPr>
                <w:color w:val="000000" w:themeColor="text1"/>
              </w:rPr>
              <w:t xml:space="preserve">komersants </w:t>
            </w:r>
            <w:r w:rsidR="005B4627" w:rsidRPr="009F02E3">
              <w:rPr>
                <w:color w:val="000000" w:themeColor="text1"/>
              </w:rPr>
              <w:t>varēs ieguldīt uzņēmuma attīstības un starptautiskās konkurētspējas uzlabošanas pasākum</w:t>
            </w:r>
            <w:r w:rsidR="009D4B9C" w:rsidRPr="009F02E3">
              <w:rPr>
                <w:color w:val="000000" w:themeColor="text1"/>
              </w:rPr>
              <w:t>o</w:t>
            </w:r>
            <w:r w:rsidR="005B4627" w:rsidRPr="009F02E3">
              <w:rPr>
                <w:color w:val="000000" w:themeColor="text1"/>
              </w:rPr>
              <w:t xml:space="preserve">s, </w:t>
            </w:r>
            <w:r w:rsidR="002C60F0" w:rsidRPr="009F02E3">
              <w:rPr>
                <w:color w:val="000000" w:themeColor="text1"/>
              </w:rPr>
              <w:lastRenderedPageBreak/>
              <w:t xml:space="preserve">pastarpināti arī </w:t>
            </w:r>
            <w:r w:rsidR="005B4627" w:rsidRPr="009F02E3">
              <w:rPr>
                <w:color w:val="000000" w:themeColor="text1"/>
              </w:rPr>
              <w:t xml:space="preserve">nodrošinot jaunu darba vietu rašanos un </w:t>
            </w:r>
            <w:r w:rsidR="002C60F0" w:rsidRPr="009F02E3">
              <w:rPr>
                <w:color w:val="000000" w:themeColor="text1"/>
              </w:rPr>
              <w:t xml:space="preserve">attiecīgi veicot </w:t>
            </w:r>
            <w:r w:rsidR="005B4627" w:rsidRPr="009F02E3">
              <w:rPr>
                <w:color w:val="000000" w:themeColor="text1"/>
              </w:rPr>
              <w:t>kopējo Latvijas tautsaimniecības pieaugumu.</w:t>
            </w:r>
          </w:p>
          <w:p w14:paraId="108E9792" w14:textId="77777777" w:rsidR="00424FCE" w:rsidRPr="009F02E3" w:rsidRDefault="009D4B9C" w:rsidP="009E09BC">
            <w:pPr>
              <w:jc w:val="both"/>
              <w:rPr>
                <w:color w:val="000000" w:themeColor="text1"/>
                <w:szCs w:val="28"/>
              </w:rPr>
            </w:pPr>
            <w:r w:rsidRPr="009F02E3">
              <w:rPr>
                <w:color w:val="000000" w:themeColor="text1"/>
                <w:szCs w:val="28"/>
              </w:rPr>
              <w:t>A</w:t>
            </w:r>
            <w:r w:rsidR="00424FCE" w:rsidRPr="009F02E3">
              <w:rPr>
                <w:color w:val="000000" w:themeColor="text1"/>
                <w:szCs w:val="28"/>
              </w:rPr>
              <w:t xml:space="preserve">pstrādes rūpniecības </w:t>
            </w:r>
            <w:r w:rsidR="009E09BC" w:rsidRPr="009F02E3">
              <w:rPr>
                <w:color w:val="000000" w:themeColor="text1"/>
                <w:szCs w:val="28"/>
              </w:rPr>
              <w:t xml:space="preserve">komersants </w:t>
            </w:r>
            <w:r w:rsidR="00424FCE" w:rsidRPr="009F02E3">
              <w:rPr>
                <w:color w:val="000000" w:themeColor="text1"/>
                <w:szCs w:val="28"/>
              </w:rPr>
              <w:t xml:space="preserve">noteikumu projekta izpratnē ir energoietilpīgs </w:t>
            </w:r>
            <w:r w:rsidR="009E09BC" w:rsidRPr="009F02E3">
              <w:rPr>
                <w:color w:val="000000" w:themeColor="text1"/>
                <w:szCs w:val="28"/>
              </w:rPr>
              <w:t>komersants</w:t>
            </w:r>
            <w:r w:rsidR="00424FCE" w:rsidRPr="009F02E3">
              <w:rPr>
                <w:color w:val="000000" w:themeColor="text1"/>
                <w:szCs w:val="28"/>
              </w:rPr>
              <w:t>, kas atbilst noteikumu projekta 3. pielikumā iekļautajiem kritērijiem un darbojas noteikumu projekta 1. pielikumā uzskaitītajās nozarēs.</w:t>
            </w:r>
          </w:p>
          <w:p w14:paraId="3B2F755C" w14:textId="77777777" w:rsidR="00E45548" w:rsidRPr="009F02E3" w:rsidRDefault="00702562" w:rsidP="00702562">
            <w:pPr>
              <w:jc w:val="both"/>
              <w:rPr>
                <w:color w:val="000000" w:themeColor="text1"/>
                <w:szCs w:val="28"/>
              </w:rPr>
            </w:pPr>
            <w:r w:rsidRPr="009F02E3">
              <w:rPr>
                <w:color w:val="000000" w:themeColor="text1"/>
                <w:szCs w:val="28"/>
              </w:rPr>
              <w:t xml:space="preserve">Ar noteikumu projektu tiek ieviestas minimālās prasības, kas izriet no Pamatnostādnēm, lai neatstātu ietekmi uz </w:t>
            </w:r>
            <w:r w:rsidR="006F044E" w:rsidRPr="009F02E3">
              <w:rPr>
                <w:color w:val="000000" w:themeColor="text1"/>
                <w:szCs w:val="28"/>
              </w:rPr>
              <w:t xml:space="preserve">citu </w:t>
            </w:r>
            <w:r w:rsidRPr="009F02E3">
              <w:rPr>
                <w:color w:val="000000" w:themeColor="text1"/>
                <w:szCs w:val="28"/>
              </w:rPr>
              <w:t xml:space="preserve">elektroenerģijas galalietotāju izmaksām. </w:t>
            </w:r>
          </w:p>
          <w:p w14:paraId="49597AD4" w14:textId="26B629E2" w:rsidR="00702562" w:rsidRPr="009F02E3" w:rsidRDefault="00702562" w:rsidP="00702562">
            <w:pPr>
              <w:jc w:val="both"/>
              <w:rPr>
                <w:color w:val="000000" w:themeColor="text1"/>
              </w:rPr>
            </w:pPr>
            <w:r w:rsidRPr="009F02E3">
              <w:rPr>
                <w:color w:val="000000" w:themeColor="text1"/>
                <w:szCs w:val="28"/>
              </w:rPr>
              <w:t>Noteikumu projektā paredzētais mehānisms ir savietojams ar šobrīd spēkā esošo obligātā iepirkuma izmaksu kompensēšanas kārtību, tostarp Ministru kabineta 2014.</w:t>
            </w:r>
            <w:r w:rsidR="006B0B61" w:rsidRPr="009F02E3">
              <w:rPr>
                <w:color w:val="000000" w:themeColor="text1"/>
                <w:szCs w:val="28"/>
              </w:rPr>
              <w:t> </w:t>
            </w:r>
            <w:r w:rsidRPr="009F02E3">
              <w:rPr>
                <w:color w:val="000000" w:themeColor="text1"/>
                <w:szCs w:val="28"/>
              </w:rPr>
              <w:t>gada 21.</w:t>
            </w:r>
            <w:r w:rsidR="006B0B61" w:rsidRPr="009F02E3">
              <w:rPr>
                <w:color w:val="000000" w:themeColor="text1"/>
                <w:szCs w:val="28"/>
              </w:rPr>
              <w:t> </w:t>
            </w:r>
            <w:r w:rsidRPr="009F02E3">
              <w:rPr>
                <w:color w:val="000000" w:themeColor="text1"/>
                <w:szCs w:val="28"/>
              </w:rPr>
              <w:t>janvāra</w:t>
            </w:r>
            <w:r w:rsidRPr="009F02E3">
              <w:rPr>
                <w:rFonts w:ascii="Arial" w:hAnsi="Arial" w:cs="Arial"/>
                <w:color w:val="000000" w:themeColor="text1"/>
                <w:sz w:val="20"/>
                <w:szCs w:val="20"/>
              </w:rPr>
              <w:t xml:space="preserve"> </w:t>
            </w:r>
            <w:r w:rsidRPr="009F02E3">
              <w:rPr>
                <w:color w:val="000000" w:themeColor="text1"/>
                <w:szCs w:val="28"/>
              </w:rPr>
              <w:t xml:space="preserve">noteikumu Nr.50 </w:t>
            </w:r>
            <w:r w:rsidRPr="009F02E3">
              <w:rPr>
                <w:color w:val="000000" w:themeColor="text1"/>
              </w:rPr>
              <w:t>„</w:t>
            </w:r>
            <w:r w:rsidRPr="009F02E3">
              <w:rPr>
                <w:color w:val="000000" w:themeColor="text1"/>
                <w:szCs w:val="28"/>
              </w:rPr>
              <w:t xml:space="preserve">Elektroenerģijas tirdzniecības un lietošanas noteikumi”, jo neizmaina pastāvošo norēķināšanās kārtību par saņemto  elektroenerģiju. Ar noteikumu projektu tiek paredzēts, ka komersants, kas saņēmis tiesības uz </w:t>
            </w:r>
            <w:r w:rsidRPr="009F02E3">
              <w:rPr>
                <w:b/>
                <w:color w:val="000000" w:themeColor="text1"/>
              </w:rPr>
              <w:t xml:space="preserve"> </w:t>
            </w:r>
            <w:r w:rsidRPr="009F02E3">
              <w:rPr>
                <w:color w:val="000000" w:themeColor="text1"/>
              </w:rPr>
              <w:t xml:space="preserve">samazinātu </w:t>
            </w:r>
            <w:r w:rsidR="006F044E" w:rsidRPr="009F02E3">
              <w:rPr>
                <w:color w:val="000000" w:themeColor="text1"/>
              </w:rPr>
              <w:t>līdzdalības maksājumu par OIK,</w:t>
            </w:r>
            <w:r w:rsidRPr="009F02E3">
              <w:rPr>
                <w:color w:val="000000" w:themeColor="text1"/>
              </w:rPr>
              <w:t xml:space="preserve"> no publiskā tirgotāja atgūst daļu no iepriekšējā gadā samaksātās </w:t>
            </w:r>
            <w:r w:rsidR="006F044E" w:rsidRPr="009F02E3">
              <w:rPr>
                <w:color w:val="000000" w:themeColor="text1"/>
              </w:rPr>
              <w:t>OIK</w:t>
            </w:r>
            <w:r w:rsidRPr="009F02E3">
              <w:rPr>
                <w:color w:val="000000" w:themeColor="text1"/>
              </w:rPr>
              <w:t>.</w:t>
            </w:r>
            <w:r w:rsidR="001C6026" w:rsidRPr="009F02E3">
              <w:rPr>
                <w:color w:val="000000" w:themeColor="text1"/>
              </w:rPr>
              <w:t xml:space="preserve"> </w:t>
            </w:r>
          </w:p>
          <w:p w14:paraId="293E5CF1" w14:textId="06830725" w:rsidR="001C6026" w:rsidRPr="009F02E3" w:rsidRDefault="001C6026" w:rsidP="00D747BD">
            <w:pPr>
              <w:jc w:val="both"/>
              <w:rPr>
                <w:color w:val="000000" w:themeColor="text1"/>
              </w:rPr>
            </w:pPr>
            <w:r w:rsidRPr="009F02E3">
              <w:rPr>
                <w:color w:val="000000" w:themeColor="text1"/>
              </w:rPr>
              <w:t>Publiskais tirgotājs</w:t>
            </w:r>
            <w:r w:rsidR="002A5405">
              <w:rPr>
                <w:color w:val="000000" w:themeColor="text1"/>
              </w:rPr>
              <w:t>,</w:t>
            </w:r>
            <w:r w:rsidRPr="009F02E3">
              <w:rPr>
                <w:color w:val="000000" w:themeColor="text1"/>
              </w:rPr>
              <w:t xml:space="preserve"> </w:t>
            </w:r>
            <w:r w:rsidR="00D747BD" w:rsidRPr="009F02E3">
              <w:rPr>
                <w:color w:val="000000" w:themeColor="text1"/>
              </w:rPr>
              <w:t xml:space="preserve">turpmākajos gados </w:t>
            </w:r>
            <w:r w:rsidRPr="009F02E3">
              <w:rPr>
                <w:color w:val="000000" w:themeColor="text1"/>
              </w:rPr>
              <w:t>sniedzot OIK aprēķinu, ievēro</w:t>
            </w:r>
            <w:r w:rsidR="00D747BD" w:rsidRPr="009F02E3">
              <w:rPr>
                <w:color w:val="000000" w:themeColor="text1"/>
              </w:rPr>
              <w:t>s</w:t>
            </w:r>
            <w:r w:rsidRPr="009F02E3">
              <w:rPr>
                <w:color w:val="000000" w:themeColor="text1"/>
              </w:rPr>
              <w:t xml:space="preserve"> Sabiedrisko pakalpojumu regulēšanas komisijas padomes </w:t>
            </w:r>
            <w:r w:rsidR="00D747BD" w:rsidRPr="009F02E3">
              <w:rPr>
                <w:color w:val="000000" w:themeColor="text1"/>
              </w:rPr>
              <w:t xml:space="preserve">2014. gada 26. februāra </w:t>
            </w:r>
            <w:r w:rsidRPr="009F02E3">
              <w:rPr>
                <w:color w:val="000000" w:themeColor="text1"/>
              </w:rPr>
              <w:t>lēmumu Nr.1/5 “Obligātā iepirkuma komponenšu aprēķināšanas metodika”</w:t>
            </w:r>
            <w:r w:rsidR="00D747BD" w:rsidRPr="009F02E3">
              <w:rPr>
                <w:color w:val="000000" w:themeColor="text1"/>
              </w:rPr>
              <w:t xml:space="preserve"> un tāpat kā līdz šim sniegs OIK aprēķinu, ievērojot Elektroenerģijas tirgus likumā noteikto</w:t>
            </w:r>
            <w:r w:rsidR="002306DE" w:rsidRPr="009F02E3">
              <w:rPr>
                <w:color w:val="000000" w:themeColor="text1"/>
              </w:rPr>
              <w:t xml:space="preserve"> proporcionalitātes principu.</w:t>
            </w:r>
          </w:p>
          <w:p w14:paraId="08C9F91A" w14:textId="3569AC91" w:rsidR="00097237" w:rsidRPr="009F02E3" w:rsidRDefault="006F044E" w:rsidP="00702562">
            <w:pPr>
              <w:jc w:val="both"/>
              <w:rPr>
                <w:color w:val="000000" w:themeColor="text1"/>
              </w:rPr>
            </w:pPr>
            <w:r w:rsidRPr="009F02E3">
              <w:rPr>
                <w:color w:val="000000" w:themeColor="text1"/>
              </w:rPr>
              <w:t xml:space="preserve">Noteikumu projektā noteiktās prasības attiecībā uz zvērinātā revidenta atzinumu konkrētā komersanta konkrētajam </w:t>
            </w:r>
            <w:r w:rsidR="00603644" w:rsidRPr="009F02E3">
              <w:rPr>
                <w:color w:val="000000" w:themeColor="text1"/>
              </w:rPr>
              <w:t>kalendār</w:t>
            </w:r>
            <w:r w:rsidR="002A5405">
              <w:rPr>
                <w:color w:val="000000" w:themeColor="text1"/>
              </w:rPr>
              <w:t xml:space="preserve">ā </w:t>
            </w:r>
            <w:r w:rsidRPr="009F02E3">
              <w:rPr>
                <w:color w:val="000000" w:themeColor="text1"/>
              </w:rPr>
              <w:t>gada pārskatam ir attiecināmas tikai uz tiem komersantiem, kas plāno pieteikties samazinātajam līdzdalības maksājumam OIK</w:t>
            </w:r>
            <w:r w:rsidR="001D539B" w:rsidRPr="009F02E3">
              <w:rPr>
                <w:color w:val="000000" w:themeColor="text1"/>
              </w:rPr>
              <w:t>, proti, tikai iesniegšanai Ekonomikas ministrijā noteikumos noteikto prasību izpildīšanai</w:t>
            </w:r>
            <w:r w:rsidRPr="009F02E3">
              <w:rPr>
                <w:color w:val="000000" w:themeColor="text1"/>
              </w:rPr>
              <w:t>.</w:t>
            </w:r>
            <w:r w:rsidR="00097237" w:rsidRPr="009F02E3">
              <w:rPr>
                <w:color w:val="000000" w:themeColor="text1"/>
              </w:rPr>
              <w:t xml:space="preserve"> Ministru kabineta </w:t>
            </w:r>
            <w:r w:rsidR="00C21F1D" w:rsidRPr="009F02E3">
              <w:rPr>
                <w:color w:val="000000" w:themeColor="text1"/>
              </w:rPr>
              <w:t>noteikumu projektā</w:t>
            </w:r>
            <w:r w:rsidR="00097237" w:rsidRPr="009F02E3">
              <w:rPr>
                <w:color w:val="000000" w:themeColor="text1"/>
              </w:rPr>
              <w:t xml:space="preserve"> noteiktā prasība par  zvērināta revidenta apstiprinātajiem gada pārskatiem par pēdējiem 3 kalendārajiem gadiem tiks piemērota, sākot ar gada pārskatu par 2015.</w:t>
            </w:r>
            <w:r w:rsidR="00C21F1D" w:rsidRPr="009F02E3">
              <w:rPr>
                <w:color w:val="000000" w:themeColor="text1"/>
              </w:rPr>
              <w:t> </w:t>
            </w:r>
            <w:r w:rsidR="00097237" w:rsidRPr="009F02E3">
              <w:rPr>
                <w:color w:val="000000" w:themeColor="text1"/>
              </w:rPr>
              <w:t>gadu.</w:t>
            </w:r>
          </w:p>
          <w:p w14:paraId="788EF8D0" w14:textId="5CD69514" w:rsidR="00702562" w:rsidRPr="009F02E3" w:rsidRDefault="00702562" w:rsidP="00702562">
            <w:pPr>
              <w:jc w:val="both"/>
              <w:rPr>
                <w:color w:val="000000" w:themeColor="text1"/>
              </w:rPr>
            </w:pPr>
            <w:r w:rsidRPr="009F02E3">
              <w:rPr>
                <w:color w:val="000000" w:themeColor="text1"/>
                <w:spacing w:val="2"/>
              </w:rPr>
              <w:t>Noteikumu projekt</w:t>
            </w:r>
            <w:r w:rsidR="002A5405">
              <w:rPr>
                <w:color w:val="000000" w:themeColor="text1"/>
                <w:spacing w:val="2"/>
              </w:rPr>
              <w:t>ā</w:t>
            </w:r>
            <w:r w:rsidRPr="009F02E3">
              <w:rPr>
                <w:color w:val="000000" w:themeColor="text1"/>
                <w:spacing w:val="2"/>
              </w:rPr>
              <w:t xml:space="preserve"> </w:t>
            </w:r>
            <w:r w:rsidR="009E454D" w:rsidRPr="009F02E3">
              <w:rPr>
                <w:color w:val="000000" w:themeColor="text1"/>
                <w:spacing w:val="2"/>
              </w:rPr>
              <w:t xml:space="preserve">arī </w:t>
            </w:r>
            <w:r w:rsidRPr="009F02E3">
              <w:rPr>
                <w:color w:val="000000" w:themeColor="text1"/>
              </w:rPr>
              <w:t xml:space="preserve">ietverts, ka lēmumā tiek norādīts spēkā esamības termiņš, kas nevar būt garāks par 3 mēnešiem. Šāds termiņš tiek noteikts, lai komersants, kas ieguvis tiesības uz samazināto </w:t>
            </w:r>
            <w:r w:rsidR="00E45548" w:rsidRPr="009F02E3">
              <w:rPr>
                <w:color w:val="000000" w:themeColor="text1"/>
              </w:rPr>
              <w:t>OIK</w:t>
            </w:r>
            <w:r w:rsidRPr="009F02E3">
              <w:rPr>
                <w:color w:val="000000" w:themeColor="text1"/>
              </w:rPr>
              <w:t xml:space="preserve"> maksājumu nepieteiktu savas tiesības pēc, piemēram</w:t>
            </w:r>
            <w:r w:rsidR="00603644" w:rsidRPr="009F02E3">
              <w:rPr>
                <w:color w:val="000000" w:themeColor="text1"/>
              </w:rPr>
              <w:t>,</w:t>
            </w:r>
            <w:r w:rsidRPr="009F02E3">
              <w:rPr>
                <w:color w:val="000000" w:themeColor="text1"/>
              </w:rPr>
              <w:t xml:space="preserve"> vairākiem gadiem, tādējādi veidojot neprognozējamu šī paredzētā atbalsta mehānisma ietekmi uz kopējo elektroenerģijas cenas veidošanos.</w:t>
            </w:r>
          </w:p>
          <w:p w14:paraId="5BA7A67D" w14:textId="2F21FD41" w:rsidR="00EB1766" w:rsidRPr="009F02E3" w:rsidRDefault="00EB1766" w:rsidP="00EB1766">
            <w:pPr>
              <w:jc w:val="both"/>
              <w:rPr>
                <w:color w:val="000000" w:themeColor="text1"/>
                <w:szCs w:val="28"/>
              </w:rPr>
            </w:pPr>
            <w:r w:rsidRPr="009F02E3">
              <w:rPr>
                <w:color w:val="000000" w:themeColor="text1"/>
                <w:szCs w:val="28"/>
              </w:rPr>
              <w:t>Ar noteikumu projektu paredzēts, ka komersanti, kas uz pieteikšanās brīdi atbildīs noteikumu projektā ietvertajām prasībām</w:t>
            </w:r>
            <w:r w:rsidR="002A5405">
              <w:rPr>
                <w:color w:val="000000" w:themeColor="text1"/>
                <w:szCs w:val="28"/>
              </w:rPr>
              <w:t>,</w:t>
            </w:r>
            <w:r w:rsidRPr="009F02E3">
              <w:rPr>
                <w:color w:val="000000" w:themeColor="text1"/>
                <w:szCs w:val="28"/>
              </w:rPr>
              <w:t xml:space="preserve"> uz </w:t>
            </w:r>
            <w:r w:rsidR="00E45548" w:rsidRPr="009F02E3">
              <w:rPr>
                <w:color w:val="000000" w:themeColor="text1"/>
                <w:szCs w:val="28"/>
              </w:rPr>
              <w:t>OIK</w:t>
            </w:r>
            <w:r w:rsidRPr="009F02E3">
              <w:rPr>
                <w:color w:val="000000" w:themeColor="text1"/>
                <w:szCs w:val="28"/>
              </w:rPr>
              <w:t xml:space="preserve"> samazinājumu izdevumu kompensēšanai publiskajam tirgotājam par atbalstu elektroenerģijas ražošanai no </w:t>
            </w:r>
            <w:r w:rsidR="00E45548" w:rsidRPr="009F02E3">
              <w:rPr>
                <w:color w:val="000000" w:themeColor="text1"/>
                <w:szCs w:val="28"/>
              </w:rPr>
              <w:t>AER</w:t>
            </w:r>
            <w:r w:rsidRPr="009F02E3">
              <w:rPr>
                <w:color w:val="000000" w:themeColor="text1"/>
                <w:szCs w:val="28"/>
              </w:rPr>
              <w:t xml:space="preserve"> varēs pieteikties sākot ar 2016. gadu par izdevumiem, kas komersantiem radušies, sākot ar 2015. gada 1. jūliju.</w:t>
            </w:r>
          </w:p>
          <w:p w14:paraId="2FDAD7CC" w14:textId="4053A3BD" w:rsidR="009B2DAC" w:rsidRPr="009F02E3" w:rsidRDefault="006A1BF9" w:rsidP="006D0B21">
            <w:pPr>
              <w:jc w:val="both"/>
              <w:rPr>
                <w:color w:val="000000" w:themeColor="text1"/>
              </w:rPr>
            </w:pPr>
            <w:r w:rsidRPr="009F02E3">
              <w:rPr>
                <w:color w:val="000000" w:themeColor="text1"/>
              </w:rPr>
              <w:t>Tāpat noteikumu projekts paredz, ka k</w:t>
            </w:r>
            <w:r w:rsidR="00D147F5" w:rsidRPr="009F02E3">
              <w:rPr>
                <w:color w:val="000000" w:themeColor="text1"/>
              </w:rPr>
              <w:t xml:space="preserve">omersants nevar pretendēt uz samazinātu līdzdalību izdevumu kompensēšanai </w:t>
            </w:r>
            <w:r w:rsidR="00D147F5" w:rsidRPr="009F02E3">
              <w:rPr>
                <w:color w:val="000000" w:themeColor="text1"/>
              </w:rPr>
              <w:lastRenderedPageBreak/>
              <w:t xml:space="preserve">publiskajam tirgotājam, ja </w:t>
            </w:r>
            <w:r w:rsidR="009B2DAC" w:rsidRPr="009F02E3">
              <w:rPr>
                <w:color w:val="000000" w:themeColor="text1"/>
              </w:rPr>
              <w:t xml:space="preserve"> juridiskai personai</w:t>
            </w:r>
            <w:r w:rsidR="00D147F5" w:rsidRPr="009F02E3">
              <w:rPr>
                <w:color w:val="000000" w:themeColor="text1"/>
              </w:rPr>
              <w:t xml:space="preserve"> vai tā interesēs darbojošās fiziska persona ir </w:t>
            </w:r>
            <w:r w:rsidR="009437FF" w:rsidRPr="009F02E3">
              <w:rPr>
                <w:color w:val="000000" w:themeColor="text1"/>
              </w:rPr>
              <w:t xml:space="preserve">sodīta par </w:t>
            </w:r>
            <w:r w:rsidR="00D147F5" w:rsidRPr="009F02E3">
              <w:rPr>
                <w:color w:val="000000" w:themeColor="text1"/>
              </w:rPr>
              <w:t>noziedzīgu nodarījumu un ir</w:t>
            </w:r>
            <w:r w:rsidR="009B2DAC" w:rsidRPr="009F02E3">
              <w:rPr>
                <w:color w:val="000000" w:themeColor="text1"/>
              </w:rPr>
              <w:t xml:space="preserve"> piemērot</w:t>
            </w:r>
            <w:r w:rsidR="00D147F5" w:rsidRPr="009F02E3">
              <w:rPr>
                <w:color w:val="000000" w:themeColor="text1"/>
              </w:rPr>
              <w:t xml:space="preserve">i </w:t>
            </w:r>
            <w:r w:rsidR="009B2DAC" w:rsidRPr="009F02E3">
              <w:rPr>
                <w:color w:val="000000" w:themeColor="text1"/>
              </w:rPr>
              <w:t>piespiedu ietekmēšanas līdzekļi</w:t>
            </w:r>
            <w:r w:rsidR="00D147F5" w:rsidRPr="009F02E3">
              <w:rPr>
                <w:color w:val="000000" w:themeColor="text1"/>
              </w:rPr>
              <w:t xml:space="preserve"> </w:t>
            </w:r>
            <w:r w:rsidR="009B2DAC" w:rsidRPr="009F02E3">
              <w:rPr>
                <w:color w:val="000000" w:themeColor="text1"/>
              </w:rPr>
              <w:t xml:space="preserve">pēc Krimināllikuma </w:t>
            </w:r>
            <w:r w:rsidR="00D732F6" w:rsidRPr="009F02E3">
              <w:rPr>
                <w:color w:val="000000" w:themeColor="text1"/>
              </w:rPr>
              <w:t>89., 192., 193., 193.</w:t>
            </w:r>
            <w:r w:rsidR="003D4EB3" w:rsidRPr="009F02E3">
              <w:rPr>
                <w:color w:val="000000" w:themeColor="text1"/>
              </w:rPr>
              <w:t>¹</w:t>
            </w:r>
            <w:r w:rsidR="00D732F6" w:rsidRPr="009F02E3">
              <w:rPr>
                <w:color w:val="000000" w:themeColor="text1"/>
              </w:rPr>
              <w:t>, 194., 194.¹, 195., 195.¹,</w:t>
            </w:r>
            <w:r w:rsidR="00ED30F1" w:rsidRPr="009F02E3">
              <w:rPr>
                <w:color w:val="000000" w:themeColor="text1"/>
              </w:rPr>
              <w:t xml:space="preserve">195.², 196., </w:t>
            </w:r>
            <w:r w:rsidR="00D147F5" w:rsidRPr="009F02E3">
              <w:rPr>
                <w:color w:val="000000" w:themeColor="text1"/>
              </w:rPr>
              <w:t>198.</w:t>
            </w:r>
            <w:r w:rsidR="00ED30F1" w:rsidRPr="009F02E3">
              <w:rPr>
                <w:color w:val="000000" w:themeColor="text1"/>
              </w:rPr>
              <w:t xml:space="preserve"> </w:t>
            </w:r>
            <w:r w:rsidR="00D147F5" w:rsidRPr="009F02E3">
              <w:rPr>
                <w:color w:val="000000" w:themeColor="text1"/>
              </w:rPr>
              <w:t xml:space="preserve">vai </w:t>
            </w:r>
            <w:r w:rsidR="00ED30F1" w:rsidRPr="009F02E3">
              <w:rPr>
                <w:color w:val="000000" w:themeColor="text1"/>
              </w:rPr>
              <w:t>199.</w:t>
            </w:r>
            <w:r w:rsidR="00D732F6" w:rsidRPr="009F02E3">
              <w:rPr>
                <w:color w:val="000000" w:themeColor="text1"/>
              </w:rPr>
              <w:t xml:space="preserve"> </w:t>
            </w:r>
            <w:r w:rsidR="009B2DAC" w:rsidRPr="009F02E3">
              <w:rPr>
                <w:color w:val="000000" w:themeColor="text1"/>
              </w:rPr>
              <w:t>pant</w:t>
            </w:r>
            <w:r w:rsidR="00D147F5" w:rsidRPr="009F02E3">
              <w:rPr>
                <w:color w:val="000000" w:themeColor="text1"/>
              </w:rPr>
              <w:t>a.</w:t>
            </w:r>
          </w:p>
        </w:tc>
      </w:tr>
      <w:tr w:rsidR="009F02E3" w:rsidRPr="009F02E3" w14:paraId="135A1BAD" w14:textId="77777777" w:rsidTr="000E2245">
        <w:trPr>
          <w:trHeight w:val="132"/>
        </w:trPr>
        <w:tc>
          <w:tcPr>
            <w:tcW w:w="269" w:type="dxa"/>
          </w:tcPr>
          <w:p w14:paraId="77169914" w14:textId="58805B4C" w:rsidR="001C1A2E" w:rsidRPr="009F02E3" w:rsidRDefault="001C1A2E" w:rsidP="008667DC">
            <w:pPr>
              <w:pStyle w:val="naiskr"/>
              <w:spacing w:before="0" w:beforeAutospacing="0" w:after="0" w:afterAutospacing="0"/>
              <w:jc w:val="center"/>
              <w:rPr>
                <w:color w:val="000000" w:themeColor="text1"/>
              </w:rPr>
            </w:pPr>
            <w:r w:rsidRPr="009F02E3">
              <w:rPr>
                <w:color w:val="000000" w:themeColor="text1"/>
              </w:rPr>
              <w:lastRenderedPageBreak/>
              <w:t>3.</w:t>
            </w:r>
          </w:p>
        </w:tc>
        <w:tc>
          <w:tcPr>
            <w:tcW w:w="3138" w:type="dxa"/>
          </w:tcPr>
          <w:p w14:paraId="38FB8389" w14:textId="77777777" w:rsidR="001C1A2E" w:rsidRPr="009F02E3" w:rsidRDefault="001C1A2E" w:rsidP="008667DC">
            <w:pPr>
              <w:jc w:val="both"/>
              <w:rPr>
                <w:color w:val="000000" w:themeColor="text1"/>
              </w:rPr>
            </w:pPr>
            <w:r w:rsidRPr="009F02E3">
              <w:rPr>
                <w:color w:val="000000" w:themeColor="text1"/>
              </w:rPr>
              <w:t>Projekta izstrādē iesaistītās institūcijas</w:t>
            </w:r>
          </w:p>
        </w:tc>
        <w:tc>
          <w:tcPr>
            <w:tcW w:w="6037" w:type="dxa"/>
          </w:tcPr>
          <w:p w14:paraId="23F1EE92" w14:textId="77777777" w:rsidR="001C1A2E" w:rsidRPr="009F02E3" w:rsidRDefault="0028211E" w:rsidP="008667DC">
            <w:pPr>
              <w:jc w:val="both"/>
              <w:rPr>
                <w:color w:val="000000" w:themeColor="text1"/>
              </w:rPr>
            </w:pPr>
            <w:r w:rsidRPr="009F02E3">
              <w:rPr>
                <w:color w:val="000000" w:themeColor="text1"/>
              </w:rPr>
              <w:t>Biedrība “Latvijas Zvērinātu revidentu asociācija”</w:t>
            </w:r>
            <w:r w:rsidR="00E53352" w:rsidRPr="009F02E3">
              <w:rPr>
                <w:color w:val="000000" w:themeColor="text1"/>
              </w:rPr>
              <w:t>.</w:t>
            </w:r>
          </w:p>
        </w:tc>
      </w:tr>
      <w:tr w:rsidR="009F02E3" w:rsidRPr="009F02E3" w14:paraId="0772BEF8" w14:textId="77777777" w:rsidTr="000E2245">
        <w:tc>
          <w:tcPr>
            <w:tcW w:w="269" w:type="dxa"/>
          </w:tcPr>
          <w:p w14:paraId="02E47E03" w14:textId="77777777" w:rsidR="001C1A2E" w:rsidRPr="009F02E3" w:rsidRDefault="001C1A2E" w:rsidP="008667DC">
            <w:pPr>
              <w:pStyle w:val="naiskr"/>
              <w:spacing w:before="0" w:beforeAutospacing="0" w:after="0" w:afterAutospacing="0"/>
              <w:jc w:val="center"/>
              <w:rPr>
                <w:color w:val="000000" w:themeColor="text1"/>
              </w:rPr>
            </w:pPr>
            <w:r w:rsidRPr="009F02E3">
              <w:rPr>
                <w:color w:val="000000" w:themeColor="text1"/>
              </w:rPr>
              <w:t>4.</w:t>
            </w:r>
          </w:p>
        </w:tc>
        <w:tc>
          <w:tcPr>
            <w:tcW w:w="3138" w:type="dxa"/>
          </w:tcPr>
          <w:p w14:paraId="12C2FB7B" w14:textId="77777777" w:rsidR="001C1A2E" w:rsidRPr="009F02E3" w:rsidRDefault="001C1A2E" w:rsidP="008667DC">
            <w:pPr>
              <w:pStyle w:val="naiskr"/>
              <w:spacing w:before="0" w:beforeAutospacing="0" w:after="0" w:afterAutospacing="0"/>
              <w:rPr>
                <w:color w:val="000000" w:themeColor="text1"/>
              </w:rPr>
            </w:pPr>
            <w:r w:rsidRPr="009F02E3">
              <w:rPr>
                <w:color w:val="000000" w:themeColor="text1"/>
              </w:rPr>
              <w:t>Cita informācija</w:t>
            </w:r>
          </w:p>
        </w:tc>
        <w:tc>
          <w:tcPr>
            <w:tcW w:w="6037" w:type="dxa"/>
          </w:tcPr>
          <w:p w14:paraId="5D364E9D" w14:textId="5B3818B3" w:rsidR="001C1A2E" w:rsidRPr="009F02E3" w:rsidRDefault="0003565C" w:rsidP="00F032FA">
            <w:pPr>
              <w:pStyle w:val="naiskr"/>
              <w:spacing w:before="0" w:beforeAutospacing="0" w:after="0" w:afterAutospacing="0"/>
              <w:jc w:val="both"/>
              <w:rPr>
                <w:color w:val="000000" w:themeColor="text1"/>
              </w:rPr>
            </w:pPr>
            <w:r w:rsidRPr="009F02E3">
              <w:rPr>
                <w:color w:val="000000" w:themeColor="text1"/>
              </w:rPr>
              <w:t>Projekts šo jomu neskar.</w:t>
            </w:r>
          </w:p>
        </w:tc>
      </w:tr>
    </w:tbl>
    <w:p w14:paraId="36BE2EF1" w14:textId="77777777" w:rsidR="00A022C8" w:rsidRPr="009F02E3" w:rsidRDefault="00A022C8" w:rsidP="008667DC">
      <w:pPr>
        <w:pStyle w:val="naisf"/>
        <w:tabs>
          <w:tab w:val="left" w:pos="5760"/>
        </w:tabs>
        <w:spacing w:before="0" w:beforeAutospacing="0" w:after="0" w:afterAutospacing="0"/>
        <w:rPr>
          <w:color w:val="000000" w:themeColor="text1"/>
        </w:rPr>
      </w:pPr>
    </w:p>
    <w:tbl>
      <w:tblPr>
        <w:tblpPr w:leftFromText="180" w:rightFromText="180" w:vertAnchor="text" w:horzAnchor="margin" w:tblpXSpec="center" w:tblpY="149"/>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8"/>
        <w:gridCol w:w="1407"/>
        <w:gridCol w:w="8085"/>
      </w:tblGrid>
      <w:tr w:rsidR="009F02E3" w:rsidRPr="009F02E3" w14:paraId="746A976C" w14:textId="77777777" w:rsidTr="00380920">
        <w:tc>
          <w:tcPr>
            <w:tcW w:w="9770" w:type="dxa"/>
            <w:gridSpan w:val="3"/>
          </w:tcPr>
          <w:p w14:paraId="391BA3E0" w14:textId="06AF9D34" w:rsidR="00380920" w:rsidRPr="009F02E3" w:rsidRDefault="00380920" w:rsidP="008667DC">
            <w:pPr>
              <w:pStyle w:val="naisnod"/>
              <w:spacing w:before="0" w:beforeAutospacing="0" w:after="0" w:afterAutospacing="0"/>
              <w:jc w:val="center"/>
              <w:rPr>
                <w:b/>
                <w:color w:val="000000" w:themeColor="text1"/>
              </w:rPr>
            </w:pPr>
            <w:r w:rsidRPr="009F02E3">
              <w:rPr>
                <w:b/>
                <w:color w:val="000000" w:themeColor="text1"/>
              </w:rPr>
              <w:t>II.  Tiesību akta projekta ietekme uz sabiedrību, tautsaimniecības attīstību un administratīvo slogu</w:t>
            </w:r>
          </w:p>
        </w:tc>
      </w:tr>
      <w:tr w:rsidR="009F02E3" w:rsidRPr="009F02E3" w14:paraId="576B0137" w14:textId="77777777" w:rsidTr="00380920">
        <w:trPr>
          <w:trHeight w:val="281"/>
        </w:trPr>
        <w:tc>
          <w:tcPr>
            <w:tcW w:w="278" w:type="dxa"/>
          </w:tcPr>
          <w:p w14:paraId="1F742599" w14:textId="718CA742" w:rsidR="00380920" w:rsidRPr="009F02E3" w:rsidRDefault="00380920" w:rsidP="00380920">
            <w:pPr>
              <w:pStyle w:val="naiskr"/>
              <w:spacing w:before="0" w:beforeAutospacing="0" w:after="0" w:afterAutospacing="0"/>
              <w:ind w:hanging="10"/>
              <w:jc w:val="center"/>
              <w:rPr>
                <w:color w:val="000000" w:themeColor="text1"/>
              </w:rPr>
            </w:pPr>
            <w:r w:rsidRPr="009F02E3">
              <w:rPr>
                <w:color w:val="000000" w:themeColor="text1"/>
              </w:rPr>
              <w:t>1.</w:t>
            </w:r>
          </w:p>
        </w:tc>
        <w:tc>
          <w:tcPr>
            <w:tcW w:w="1407" w:type="dxa"/>
          </w:tcPr>
          <w:p w14:paraId="383FFC47" w14:textId="04D2A0EC" w:rsidR="00380920" w:rsidRPr="009F02E3" w:rsidRDefault="00380920" w:rsidP="008667DC">
            <w:pPr>
              <w:pStyle w:val="naiskr"/>
              <w:spacing w:before="0" w:beforeAutospacing="0" w:after="0" w:afterAutospacing="0"/>
              <w:ind w:hanging="10"/>
              <w:jc w:val="both"/>
              <w:rPr>
                <w:color w:val="000000" w:themeColor="text1"/>
              </w:rPr>
            </w:pPr>
            <w:r w:rsidRPr="009F02E3">
              <w:rPr>
                <w:color w:val="000000" w:themeColor="text1"/>
              </w:rPr>
              <w:t xml:space="preserve">Sabiedrības </w:t>
            </w:r>
            <w:proofErr w:type="spellStart"/>
            <w:r w:rsidRPr="009F02E3">
              <w:rPr>
                <w:color w:val="000000" w:themeColor="text1"/>
              </w:rPr>
              <w:t>mērķgrupas</w:t>
            </w:r>
            <w:proofErr w:type="spellEnd"/>
            <w:r w:rsidRPr="009F02E3">
              <w:rPr>
                <w:color w:val="000000" w:themeColor="text1"/>
              </w:rPr>
              <w:t>, kuras tiesiskais regulējums ietekmē vai varētu ietekmēt</w:t>
            </w:r>
          </w:p>
        </w:tc>
        <w:tc>
          <w:tcPr>
            <w:tcW w:w="8085" w:type="dxa"/>
          </w:tcPr>
          <w:p w14:paraId="09BDF4F5" w14:textId="7031D84C" w:rsidR="00380920" w:rsidRPr="009F02E3" w:rsidRDefault="00380920" w:rsidP="00FA0F12">
            <w:pPr>
              <w:pStyle w:val="Default"/>
              <w:jc w:val="both"/>
              <w:rPr>
                <w:rFonts w:ascii="Times New Roman" w:hAnsi="Times New Roman" w:cs="Times New Roman"/>
                <w:bCs/>
                <w:color w:val="000000" w:themeColor="text1"/>
              </w:rPr>
            </w:pPr>
            <w:r w:rsidRPr="009F02E3">
              <w:rPr>
                <w:bCs/>
                <w:color w:val="000000" w:themeColor="text1"/>
                <w:szCs w:val="28"/>
              </w:rPr>
              <w:t>Energoietilpīgi apstrādes rūpniecības uzņēmumi, ar vidējo gada elektroenerģijas patēriņu vismaz 10 gigavatstundu (GWh)</w:t>
            </w:r>
            <w:r w:rsidR="00FA0F12" w:rsidRPr="009F02E3">
              <w:rPr>
                <w:bCs/>
                <w:color w:val="000000" w:themeColor="text1"/>
                <w:szCs w:val="28"/>
              </w:rPr>
              <w:t xml:space="preserve"> (50-60 uzņēmumi) </w:t>
            </w:r>
            <w:r w:rsidRPr="009F02E3">
              <w:rPr>
                <w:bCs/>
                <w:color w:val="000000" w:themeColor="text1"/>
                <w:szCs w:val="28"/>
              </w:rPr>
              <w:t>(vai 30 GWh)</w:t>
            </w:r>
            <w:r w:rsidRPr="009F02E3">
              <w:rPr>
                <w:rStyle w:val="FootnoteReference"/>
                <w:bCs/>
                <w:color w:val="000000" w:themeColor="text1"/>
                <w:szCs w:val="28"/>
              </w:rPr>
              <w:footnoteReference w:id="4"/>
            </w:r>
            <w:r w:rsidR="00FA0F12" w:rsidRPr="009F02E3">
              <w:rPr>
                <w:bCs/>
                <w:color w:val="000000" w:themeColor="text1"/>
                <w:szCs w:val="28"/>
              </w:rPr>
              <w:t xml:space="preserve"> (6-10 uzņēmumi)</w:t>
            </w:r>
            <w:r w:rsidR="00DD394D" w:rsidRPr="009F02E3">
              <w:rPr>
                <w:bCs/>
                <w:color w:val="000000" w:themeColor="text1"/>
                <w:szCs w:val="28"/>
              </w:rPr>
              <w:t xml:space="preserve"> </w:t>
            </w:r>
            <w:r w:rsidRPr="009F02E3">
              <w:rPr>
                <w:bCs/>
                <w:color w:val="000000" w:themeColor="text1"/>
                <w:szCs w:val="28"/>
              </w:rPr>
              <w:t>apjomā, kas vienlaicīgi atbilst visiem noteikumu projektā izvirzītajiem kritērijiem.</w:t>
            </w:r>
          </w:p>
        </w:tc>
      </w:tr>
      <w:tr w:rsidR="009F02E3" w:rsidRPr="009F02E3" w14:paraId="1A629944" w14:textId="77777777" w:rsidTr="00380920">
        <w:trPr>
          <w:trHeight w:val="841"/>
        </w:trPr>
        <w:tc>
          <w:tcPr>
            <w:tcW w:w="278" w:type="dxa"/>
          </w:tcPr>
          <w:p w14:paraId="510BF138" w14:textId="071D9AC8" w:rsidR="00380920" w:rsidRPr="009F02E3" w:rsidRDefault="00380920" w:rsidP="008667DC">
            <w:pPr>
              <w:jc w:val="both"/>
              <w:rPr>
                <w:color w:val="000000" w:themeColor="text1"/>
              </w:rPr>
            </w:pPr>
            <w:r w:rsidRPr="009F02E3">
              <w:rPr>
                <w:color w:val="000000" w:themeColor="text1"/>
              </w:rPr>
              <w:t>2.</w:t>
            </w:r>
          </w:p>
        </w:tc>
        <w:tc>
          <w:tcPr>
            <w:tcW w:w="1407" w:type="dxa"/>
          </w:tcPr>
          <w:p w14:paraId="3F1A8D3F" w14:textId="45D32A56" w:rsidR="00380920" w:rsidRPr="009F02E3" w:rsidRDefault="00380920" w:rsidP="008667DC">
            <w:pPr>
              <w:jc w:val="both"/>
              <w:rPr>
                <w:color w:val="000000" w:themeColor="text1"/>
              </w:rPr>
            </w:pPr>
            <w:r w:rsidRPr="009F02E3">
              <w:rPr>
                <w:color w:val="000000" w:themeColor="text1"/>
              </w:rPr>
              <w:t>Tiesiskā regulējuma ietekme uz tautsaimniecību un administratīvo slogu</w:t>
            </w:r>
          </w:p>
        </w:tc>
        <w:tc>
          <w:tcPr>
            <w:tcW w:w="8085" w:type="dxa"/>
          </w:tcPr>
          <w:p w14:paraId="78A983CC" w14:textId="77777777" w:rsidR="00380920" w:rsidRPr="009F02E3" w:rsidRDefault="00380920" w:rsidP="005A4CC9">
            <w:pPr>
              <w:jc w:val="both"/>
              <w:rPr>
                <w:color w:val="000000" w:themeColor="text1"/>
              </w:rPr>
            </w:pPr>
            <w:r w:rsidRPr="009F02E3">
              <w:rPr>
                <w:color w:val="000000" w:themeColor="text1"/>
              </w:rPr>
              <w:t>Energointensīvie apstrādes rūpniecības uzņēmumi, kas patērē 10 - 30 GWh elektroenerģiju, 2013. gadā veidoja 0,2% no IKP, 0,1% no visa nodarbināto skaita tautsaimniecībā un 1% no visa Latvijas preču un pakalpojumu eksporta. Savukārt, energointensīvie apstrādes rūpniecības uzņēmumi, kas patērē 30 GWh un vairāk, 2013.gadā veidoja 0,4% no IKP, 0,1% no visa nodarbināto skaita tautsaimniecībā un 1,4% no visa Latvijas preču un pakalpojumu eksporta.</w:t>
            </w:r>
          </w:p>
          <w:p w14:paraId="1A32281E" w14:textId="77777777" w:rsidR="00380920" w:rsidRPr="009F02E3" w:rsidRDefault="00380920" w:rsidP="005A4CC9">
            <w:pPr>
              <w:jc w:val="right"/>
              <w:rPr>
                <w:color w:val="000000" w:themeColor="text1"/>
              </w:rPr>
            </w:pPr>
            <w:r w:rsidRPr="009F02E3">
              <w:rPr>
                <w:color w:val="000000" w:themeColor="text1"/>
              </w:rPr>
              <w:t>1. tabula</w:t>
            </w:r>
          </w:p>
          <w:p w14:paraId="1139B5E2" w14:textId="77777777" w:rsidR="00380920" w:rsidRPr="009F02E3" w:rsidRDefault="00380920" w:rsidP="005A4CC9">
            <w:pPr>
              <w:jc w:val="center"/>
              <w:rPr>
                <w:color w:val="000000" w:themeColor="text1"/>
              </w:rPr>
            </w:pPr>
            <w:r w:rsidRPr="009F02E3">
              <w:rPr>
                <w:color w:val="000000" w:themeColor="text1"/>
              </w:rPr>
              <w:t>Darbības rādītāji potenciālajās OIK atbalsta saņēmēju grupās</w:t>
            </w:r>
          </w:p>
          <w:p w14:paraId="6E034E4E" w14:textId="77777777" w:rsidR="00380920" w:rsidRPr="009F02E3" w:rsidRDefault="00380920" w:rsidP="005A4CC9">
            <w:pPr>
              <w:jc w:val="both"/>
              <w:rPr>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697"/>
              <w:gridCol w:w="874"/>
              <w:gridCol w:w="821"/>
              <w:gridCol w:w="777"/>
              <w:gridCol w:w="674"/>
              <w:gridCol w:w="674"/>
              <w:gridCol w:w="803"/>
              <w:gridCol w:w="760"/>
              <w:gridCol w:w="968"/>
            </w:tblGrid>
            <w:tr w:rsidR="009F02E3" w:rsidRPr="009F02E3" w14:paraId="72AD52F0" w14:textId="77777777" w:rsidTr="00844AA2">
              <w:trPr>
                <w:trHeight w:val="795"/>
              </w:trPr>
              <w:tc>
                <w:tcPr>
                  <w:tcW w:w="630" w:type="pct"/>
                  <w:shd w:val="clear" w:color="auto" w:fill="D9D9D9" w:themeFill="background1" w:themeFillShade="D9"/>
                  <w:noWrap/>
                  <w:vAlign w:val="center"/>
                  <w:hideMark/>
                </w:tcPr>
                <w:p w14:paraId="0FDFF0D0" w14:textId="77777777" w:rsidR="00380920" w:rsidRPr="009F02E3" w:rsidRDefault="00380920" w:rsidP="00D11A81">
                  <w:pPr>
                    <w:framePr w:hSpace="180" w:wrap="around" w:vAnchor="text" w:hAnchor="margin" w:xAlign="center" w:y="149"/>
                    <w:jc w:val="center"/>
                    <w:rPr>
                      <w:b/>
                      <w:color w:val="000000" w:themeColor="text1"/>
                      <w:sz w:val="14"/>
                      <w:szCs w:val="14"/>
                    </w:rPr>
                  </w:pPr>
                  <w:r w:rsidRPr="009F02E3">
                    <w:rPr>
                      <w:b/>
                      <w:color w:val="000000" w:themeColor="text1"/>
                      <w:sz w:val="14"/>
                      <w:szCs w:val="14"/>
                    </w:rPr>
                    <w:t>2013.gads</w:t>
                  </w:r>
                </w:p>
              </w:tc>
              <w:tc>
                <w:tcPr>
                  <w:tcW w:w="432" w:type="pct"/>
                  <w:shd w:val="clear" w:color="auto" w:fill="D9D9D9" w:themeFill="background1" w:themeFillShade="D9"/>
                  <w:vAlign w:val="center"/>
                  <w:hideMark/>
                </w:tcPr>
                <w:p w14:paraId="1D261363" w14:textId="77777777" w:rsidR="00380920" w:rsidRPr="009F02E3" w:rsidRDefault="00380920" w:rsidP="00D11A81">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Kopā patērētās GWh</w:t>
                  </w:r>
                </w:p>
              </w:tc>
              <w:tc>
                <w:tcPr>
                  <w:tcW w:w="542" w:type="pct"/>
                  <w:shd w:val="clear" w:color="auto" w:fill="D9D9D9" w:themeFill="background1" w:themeFillShade="D9"/>
                  <w:vAlign w:val="center"/>
                  <w:hideMark/>
                </w:tcPr>
                <w:p w14:paraId="58C27CCD" w14:textId="77777777" w:rsidR="00380920" w:rsidRPr="009F02E3" w:rsidRDefault="00380920" w:rsidP="00D11A81">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Pievienotā vērtība,</w:t>
                  </w:r>
                </w:p>
                <w:p w14:paraId="383ABB62" w14:textId="77777777" w:rsidR="00380920" w:rsidRPr="009F02E3" w:rsidRDefault="00380920" w:rsidP="00D11A81">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tūkst. EUR</w:t>
                  </w:r>
                </w:p>
              </w:tc>
              <w:tc>
                <w:tcPr>
                  <w:tcW w:w="509" w:type="pct"/>
                  <w:shd w:val="clear" w:color="auto" w:fill="D9D9D9" w:themeFill="background1" w:themeFillShade="D9"/>
                  <w:vAlign w:val="center"/>
                  <w:hideMark/>
                </w:tcPr>
                <w:p w14:paraId="4033828E" w14:textId="77777777" w:rsidR="00380920" w:rsidRPr="009F02E3" w:rsidRDefault="00380920" w:rsidP="00D11A81">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Apgrozījums, tūkst. EUR</w:t>
                  </w:r>
                </w:p>
              </w:tc>
              <w:tc>
                <w:tcPr>
                  <w:tcW w:w="482" w:type="pct"/>
                  <w:shd w:val="clear" w:color="auto" w:fill="D9D9D9" w:themeFill="background1" w:themeFillShade="D9"/>
                  <w:vAlign w:val="center"/>
                  <w:hideMark/>
                </w:tcPr>
                <w:p w14:paraId="13246744" w14:textId="77777777" w:rsidR="00380920" w:rsidRPr="009F02E3" w:rsidRDefault="00380920" w:rsidP="00D11A81">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Nodarbināto skaits</w:t>
                  </w:r>
                </w:p>
              </w:tc>
              <w:tc>
                <w:tcPr>
                  <w:tcW w:w="418" w:type="pct"/>
                  <w:shd w:val="clear" w:color="auto" w:fill="D9D9D9" w:themeFill="background1" w:themeFillShade="D9"/>
                  <w:vAlign w:val="center"/>
                  <w:hideMark/>
                </w:tcPr>
                <w:p w14:paraId="769A61D5" w14:textId="77777777" w:rsidR="00380920" w:rsidRPr="009F02E3" w:rsidRDefault="00380920" w:rsidP="00D11A81">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Personāla izmaksas, tūkst. EUR</w:t>
                  </w:r>
                </w:p>
              </w:tc>
              <w:tc>
                <w:tcPr>
                  <w:tcW w:w="418" w:type="pct"/>
                  <w:shd w:val="clear" w:color="auto" w:fill="D9D9D9" w:themeFill="background1" w:themeFillShade="D9"/>
                  <w:vAlign w:val="center"/>
                  <w:hideMark/>
                </w:tcPr>
                <w:p w14:paraId="1BA8292F" w14:textId="77777777" w:rsidR="00380920" w:rsidRPr="009F02E3" w:rsidRDefault="00380920" w:rsidP="00D11A81">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Eksports, tūkst. EUR</w:t>
                  </w:r>
                </w:p>
              </w:tc>
              <w:tc>
                <w:tcPr>
                  <w:tcW w:w="498" w:type="pct"/>
                  <w:shd w:val="clear" w:color="auto" w:fill="D9D9D9" w:themeFill="background1" w:themeFillShade="D9"/>
                  <w:vAlign w:val="center"/>
                </w:tcPr>
                <w:p w14:paraId="1D40ACD8" w14:textId="77777777" w:rsidR="00380920" w:rsidRPr="009F02E3" w:rsidRDefault="00380920" w:rsidP="00D11A81">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Kopējā preču  pakalpojumu iepirkumu vērtība</w:t>
                  </w:r>
                </w:p>
              </w:tc>
              <w:tc>
                <w:tcPr>
                  <w:tcW w:w="471" w:type="pct"/>
                  <w:shd w:val="clear" w:color="auto" w:fill="D9D9D9" w:themeFill="background1" w:themeFillShade="D9"/>
                  <w:vAlign w:val="center"/>
                </w:tcPr>
                <w:p w14:paraId="553399DB" w14:textId="77777777" w:rsidR="00380920" w:rsidRPr="009F02E3" w:rsidRDefault="00380920" w:rsidP="00D11A81">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Enerģētikas produktu iegāde,</w:t>
                  </w:r>
                </w:p>
                <w:p w14:paraId="37A25A06" w14:textId="77777777" w:rsidR="00380920" w:rsidRPr="009F02E3" w:rsidRDefault="00380920" w:rsidP="00D11A81">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tūkst. EUR</w:t>
                  </w:r>
                </w:p>
              </w:tc>
              <w:tc>
                <w:tcPr>
                  <w:tcW w:w="600" w:type="pct"/>
                  <w:shd w:val="clear" w:color="auto" w:fill="D9D9D9" w:themeFill="background1" w:themeFillShade="D9"/>
                  <w:vAlign w:val="center"/>
                </w:tcPr>
                <w:p w14:paraId="6A646E7F" w14:textId="77777777" w:rsidR="00380920" w:rsidRPr="009F02E3" w:rsidRDefault="00380920" w:rsidP="00D11A81">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 xml:space="preserve">Elektroenerģijas iegāde, </w:t>
                  </w:r>
                </w:p>
                <w:p w14:paraId="29EFE191" w14:textId="77777777" w:rsidR="00380920" w:rsidRPr="009F02E3" w:rsidRDefault="00380920" w:rsidP="00D11A81">
                  <w:pPr>
                    <w:framePr w:hSpace="180" w:wrap="around" w:vAnchor="text" w:hAnchor="margin" w:xAlign="center" w:y="149"/>
                    <w:ind w:left="-108" w:right="-108"/>
                    <w:jc w:val="center"/>
                    <w:rPr>
                      <w:b/>
                      <w:color w:val="000000" w:themeColor="text1"/>
                      <w:sz w:val="14"/>
                      <w:szCs w:val="14"/>
                    </w:rPr>
                  </w:pPr>
                  <w:r w:rsidRPr="009F02E3">
                    <w:rPr>
                      <w:b/>
                      <w:color w:val="000000" w:themeColor="text1"/>
                      <w:sz w:val="14"/>
                      <w:szCs w:val="14"/>
                    </w:rPr>
                    <w:t>tūkst. EUR</w:t>
                  </w:r>
                </w:p>
              </w:tc>
            </w:tr>
            <w:tr w:rsidR="009F02E3" w:rsidRPr="009F02E3" w14:paraId="00EEA2BC" w14:textId="77777777" w:rsidTr="00844AA2">
              <w:trPr>
                <w:trHeight w:val="330"/>
              </w:trPr>
              <w:tc>
                <w:tcPr>
                  <w:tcW w:w="630" w:type="pct"/>
                  <w:shd w:val="clear" w:color="auto" w:fill="auto"/>
                  <w:noWrap/>
                  <w:vAlign w:val="bottom"/>
                  <w:hideMark/>
                </w:tcPr>
                <w:p w14:paraId="7E53A42A" w14:textId="77777777" w:rsidR="00380920" w:rsidRPr="009F02E3" w:rsidRDefault="00380920" w:rsidP="00D11A81">
                  <w:pPr>
                    <w:framePr w:hSpace="180" w:wrap="around" w:vAnchor="text" w:hAnchor="margin" w:xAlign="center" w:y="149"/>
                    <w:jc w:val="both"/>
                    <w:rPr>
                      <w:color w:val="000000" w:themeColor="text1"/>
                      <w:sz w:val="14"/>
                      <w:szCs w:val="14"/>
                    </w:rPr>
                  </w:pPr>
                  <w:r w:rsidRPr="009F02E3">
                    <w:rPr>
                      <w:color w:val="000000" w:themeColor="text1"/>
                      <w:sz w:val="14"/>
                      <w:szCs w:val="14"/>
                    </w:rPr>
                    <w:t>10-30 GWh</w:t>
                  </w:r>
                </w:p>
              </w:tc>
              <w:tc>
                <w:tcPr>
                  <w:tcW w:w="432" w:type="pct"/>
                  <w:shd w:val="clear" w:color="auto" w:fill="auto"/>
                  <w:noWrap/>
                  <w:vAlign w:val="center"/>
                  <w:hideMark/>
                </w:tcPr>
                <w:p w14:paraId="69CDDD82"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120</w:t>
                  </w:r>
                </w:p>
              </w:tc>
              <w:tc>
                <w:tcPr>
                  <w:tcW w:w="542" w:type="pct"/>
                  <w:shd w:val="clear" w:color="auto" w:fill="auto"/>
                  <w:noWrap/>
                  <w:vAlign w:val="center"/>
                  <w:hideMark/>
                </w:tcPr>
                <w:p w14:paraId="19B7C6FB"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31 120</w:t>
                  </w:r>
                </w:p>
              </w:tc>
              <w:tc>
                <w:tcPr>
                  <w:tcW w:w="509" w:type="pct"/>
                  <w:shd w:val="clear" w:color="auto" w:fill="auto"/>
                  <w:noWrap/>
                  <w:vAlign w:val="center"/>
                  <w:hideMark/>
                </w:tcPr>
                <w:p w14:paraId="3A593D3D"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205 246</w:t>
                  </w:r>
                </w:p>
              </w:tc>
              <w:tc>
                <w:tcPr>
                  <w:tcW w:w="482" w:type="pct"/>
                  <w:shd w:val="clear" w:color="auto" w:fill="auto"/>
                  <w:noWrap/>
                  <w:vAlign w:val="center"/>
                  <w:hideMark/>
                </w:tcPr>
                <w:p w14:paraId="0C8F0D87"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1 076</w:t>
                  </w:r>
                </w:p>
              </w:tc>
              <w:tc>
                <w:tcPr>
                  <w:tcW w:w="418" w:type="pct"/>
                  <w:shd w:val="clear" w:color="auto" w:fill="auto"/>
                  <w:noWrap/>
                  <w:vAlign w:val="center"/>
                  <w:hideMark/>
                </w:tcPr>
                <w:p w14:paraId="6706A8A4"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15 720</w:t>
                  </w:r>
                </w:p>
              </w:tc>
              <w:tc>
                <w:tcPr>
                  <w:tcW w:w="418" w:type="pct"/>
                  <w:shd w:val="clear" w:color="auto" w:fill="auto"/>
                  <w:noWrap/>
                  <w:vAlign w:val="center"/>
                  <w:hideMark/>
                </w:tcPr>
                <w:p w14:paraId="0580890D"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139 072</w:t>
                  </w:r>
                </w:p>
              </w:tc>
              <w:tc>
                <w:tcPr>
                  <w:tcW w:w="498" w:type="pct"/>
                  <w:shd w:val="clear" w:color="auto" w:fill="auto"/>
                  <w:vAlign w:val="center"/>
                </w:tcPr>
                <w:p w14:paraId="2F1679A9"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177 032</w:t>
                  </w:r>
                </w:p>
              </w:tc>
              <w:tc>
                <w:tcPr>
                  <w:tcW w:w="471" w:type="pct"/>
                  <w:shd w:val="clear" w:color="auto" w:fill="auto"/>
                  <w:vAlign w:val="center"/>
                </w:tcPr>
                <w:p w14:paraId="0C461C3E"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38 170</w:t>
                  </w:r>
                </w:p>
              </w:tc>
              <w:tc>
                <w:tcPr>
                  <w:tcW w:w="600" w:type="pct"/>
                  <w:shd w:val="clear" w:color="auto" w:fill="auto"/>
                  <w:vAlign w:val="center"/>
                </w:tcPr>
                <w:p w14:paraId="78B633D0"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11 940</w:t>
                  </w:r>
                </w:p>
              </w:tc>
            </w:tr>
            <w:tr w:rsidR="009F02E3" w:rsidRPr="009F02E3" w14:paraId="5ABE8924" w14:textId="77777777" w:rsidTr="00844AA2">
              <w:trPr>
                <w:trHeight w:val="330"/>
              </w:trPr>
              <w:tc>
                <w:tcPr>
                  <w:tcW w:w="630" w:type="pct"/>
                  <w:shd w:val="clear" w:color="auto" w:fill="auto"/>
                  <w:noWrap/>
                  <w:vAlign w:val="bottom"/>
                  <w:hideMark/>
                </w:tcPr>
                <w:p w14:paraId="5DE5B6A0" w14:textId="77777777" w:rsidR="00380920" w:rsidRPr="009F02E3" w:rsidRDefault="00380920" w:rsidP="00D11A81">
                  <w:pPr>
                    <w:framePr w:hSpace="180" w:wrap="around" w:vAnchor="text" w:hAnchor="margin" w:xAlign="center" w:y="149"/>
                    <w:jc w:val="both"/>
                    <w:rPr>
                      <w:color w:val="000000" w:themeColor="text1"/>
                      <w:sz w:val="14"/>
                      <w:szCs w:val="14"/>
                    </w:rPr>
                  </w:pPr>
                  <w:r w:rsidRPr="009F02E3">
                    <w:rPr>
                      <w:color w:val="000000" w:themeColor="text1"/>
                      <w:sz w:val="14"/>
                      <w:szCs w:val="14"/>
                    </w:rPr>
                    <w:t>&gt;30 GWh</w:t>
                  </w:r>
                </w:p>
              </w:tc>
              <w:tc>
                <w:tcPr>
                  <w:tcW w:w="432" w:type="pct"/>
                  <w:shd w:val="clear" w:color="auto" w:fill="auto"/>
                  <w:noWrap/>
                  <w:vAlign w:val="center"/>
                  <w:hideMark/>
                </w:tcPr>
                <w:p w14:paraId="509BF809"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261</w:t>
                  </w:r>
                </w:p>
              </w:tc>
              <w:tc>
                <w:tcPr>
                  <w:tcW w:w="542" w:type="pct"/>
                  <w:shd w:val="clear" w:color="auto" w:fill="auto"/>
                  <w:noWrap/>
                  <w:vAlign w:val="center"/>
                  <w:hideMark/>
                </w:tcPr>
                <w:p w14:paraId="0A874365"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74 447</w:t>
                  </w:r>
                </w:p>
              </w:tc>
              <w:tc>
                <w:tcPr>
                  <w:tcW w:w="509" w:type="pct"/>
                  <w:shd w:val="clear" w:color="auto" w:fill="auto"/>
                  <w:noWrap/>
                  <w:vAlign w:val="center"/>
                  <w:hideMark/>
                </w:tcPr>
                <w:p w14:paraId="0231302B"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231 148</w:t>
                  </w:r>
                </w:p>
              </w:tc>
              <w:tc>
                <w:tcPr>
                  <w:tcW w:w="482" w:type="pct"/>
                  <w:shd w:val="clear" w:color="auto" w:fill="auto"/>
                  <w:noWrap/>
                  <w:vAlign w:val="center"/>
                  <w:hideMark/>
                </w:tcPr>
                <w:p w14:paraId="3411971F"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1 323</w:t>
                  </w:r>
                </w:p>
              </w:tc>
              <w:tc>
                <w:tcPr>
                  <w:tcW w:w="418" w:type="pct"/>
                  <w:shd w:val="clear" w:color="auto" w:fill="auto"/>
                  <w:noWrap/>
                  <w:vAlign w:val="center"/>
                  <w:hideMark/>
                </w:tcPr>
                <w:p w14:paraId="21DF4E44"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23 662</w:t>
                  </w:r>
                </w:p>
              </w:tc>
              <w:tc>
                <w:tcPr>
                  <w:tcW w:w="418" w:type="pct"/>
                  <w:shd w:val="clear" w:color="auto" w:fill="auto"/>
                  <w:noWrap/>
                  <w:vAlign w:val="center"/>
                  <w:hideMark/>
                </w:tcPr>
                <w:p w14:paraId="0ECA548F"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193 502</w:t>
                  </w:r>
                </w:p>
              </w:tc>
              <w:tc>
                <w:tcPr>
                  <w:tcW w:w="498" w:type="pct"/>
                  <w:shd w:val="clear" w:color="auto" w:fill="auto"/>
                  <w:vAlign w:val="center"/>
                </w:tcPr>
                <w:p w14:paraId="031A9ADD"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166 269</w:t>
                  </w:r>
                </w:p>
              </w:tc>
              <w:tc>
                <w:tcPr>
                  <w:tcW w:w="471" w:type="pct"/>
                  <w:shd w:val="clear" w:color="auto" w:fill="auto"/>
                  <w:vAlign w:val="center"/>
                </w:tcPr>
                <w:p w14:paraId="2EB3CA81"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66 404</w:t>
                  </w:r>
                </w:p>
              </w:tc>
              <w:tc>
                <w:tcPr>
                  <w:tcW w:w="600" w:type="pct"/>
                  <w:shd w:val="clear" w:color="auto" w:fill="auto"/>
                  <w:vAlign w:val="center"/>
                </w:tcPr>
                <w:p w14:paraId="426C95E0" w14:textId="77777777" w:rsidR="00380920" w:rsidRPr="009F02E3" w:rsidRDefault="00380920" w:rsidP="00D11A81">
                  <w:pPr>
                    <w:framePr w:hSpace="180" w:wrap="around" w:vAnchor="text" w:hAnchor="margin" w:xAlign="center" w:y="149"/>
                    <w:ind w:left="-108" w:right="-108"/>
                    <w:jc w:val="center"/>
                    <w:rPr>
                      <w:color w:val="000000" w:themeColor="text1"/>
                      <w:sz w:val="14"/>
                      <w:szCs w:val="14"/>
                    </w:rPr>
                  </w:pPr>
                  <w:r w:rsidRPr="009F02E3">
                    <w:rPr>
                      <w:color w:val="000000" w:themeColor="text1"/>
                      <w:sz w:val="14"/>
                      <w:szCs w:val="14"/>
                    </w:rPr>
                    <w:t>21 211</w:t>
                  </w:r>
                </w:p>
              </w:tc>
            </w:tr>
          </w:tbl>
          <w:p w14:paraId="5AA010F4" w14:textId="77777777" w:rsidR="00380920" w:rsidRPr="009F02E3" w:rsidRDefault="00380920" w:rsidP="005A4CC9">
            <w:pPr>
              <w:jc w:val="both"/>
              <w:rPr>
                <w:color w:val="000000" w:themeColor="text1"/>
                <w:sz w:val="20"/>
                <w:szCs w:val="20"/>
              </w:rPr>
            </w:pPr>
            <w:r w:rsidRPr="009F02E3">
              <w:rPr>
                <w:color w:val="000000" w:themeColor="text1"/>
                <w:sz w:val="20"/>
                <w:szCs w:val="20"/>
              </w:rPr>
              <w:t>Avots: Centrālā statistikas pārvalde</w:t>
            </w:r>
          </w:p>
          <w:p w14:paraId="49B7498A" w14:textId="77777777" w:rsidR="00380920" w:rsidRPr="009F02E3" w:rsidRDefault="00380920" w:rsidP="005A4CC9">
            <w:pPr>
              <w:jc w:val="right"/>
              <w:rPr>
                <w:color w:val="000000" w:themeColor="text1"/>
              </w:rPr>
            </w:pPr>
            <w:r w:rsidRPr="009F02E3">
              <w:rPr>
                <w:color w:val="000000" w:themeColor="text1"/>
              </w:rPr>
              <w:t xml:space="preserve">2. tabula </w:t>
            </w:r>
          </w:p>
          <w:p w14:paraId="178D185D" w14:textId="77777777" w:rsidR="00380920" w:rsidRPr="009F02E3" w:rsidRDefault="00380920" w:rsidP="005A4CC9">
            <w:pPr>
              <w:jc w:val="center"/>
              <w:rPr>
                <w:color w:val="000000" w:themeColor="text1"/>
              </w:rPr>
            </w:pPr>
            <w:r w:rsidRPr="009F02E3">
              <w:rPr>
                <w:color w:val="000000" w:themeColor="text1"/>
              </w:rPr>
              <w:t xml:space="preserve">Energointensīvo apstrādes rūpniecības uzņēmumu </w:t>
            </w:r>
            <w:r w:rsidRPr="009F02E3">
              <w:rPr>
                <w:color w:val="000000" w:themeColor="text1"/>
                <w:u w:val="single"/>
              </w:rPr>
              <w:t xml:space="preserve">īpatsvars </w:t>
            </w:r>
            <w:r w:rsidRPr="009F02E3">
              <w:rPr>
                <w:bCs/>
                <w:color w:val="000000" w:themeColor="text1"/>
                <w:u w:val="single"/>
              </w:rPr>
              <w:t>tautsaimniecībā</w:t>
            </w:r>
            <w:r w:rsidRPr="009F02E3">
              <w:rPr>
                <w:color w:val="000000" w:themeColor="text1"/>
              </w:rPr>
              <w:t>, %</w:t>
            </w:r>
          </w:p>
          <w:p w14:paraId="1AEC6A79" w14:textId="77777777" w:rsidR="00380920" w:rsidRPr="009F02E3" w:rsidRDefault="00380920" w:rsidP="005A4CC9">
            <w:pPr>
              <w:jc w:val="center"/>
              <w:rPr>
                <w:color w:val="000000" w:themeColor="text1"/>
                <w:sz w:val="20"/>
                <w:szCs w:val="20"/>
              </w:rPr>
            </w:pPr>
          </w:p>
          <w:tbl>
            <w:tblPr>
              <w:tblW w:w="5000" w:type="pct"/>
              <w:tblLayout w:type="fixed"/>
              <w:tblLook w:val="04A0" w:firstRow="1" w:lastRow="0" w:firstColumn="1" w:lastColumn="0" w:noHBand="0" w:noVBand="1"/>
            </w:tblPr>
            <w:tblGrid>
              <w:gridCol w:w="2031"/>
              <w:gridCol w:w="1512"/>
              <w:gridCol w:w="1512"/>
              <w:gridCol w:w="1512"/>
              <w:gridCol w:w="1508"/>
            </w:tblGrid>
            <w:tr w:rsidR="009F02E3" w:rsidRPr="009F02E3" w14:paraId="3E5780E3" w14:textId="77777777" w:rsidTr="00844AA2">
              <w:trPr>
                <w:trHeight w:val="653"/>
              </w:trPr>
              <w:tc>
                <w:tcPr>
                  <w:tcW w:w="1258" w:type="pct"/>
                  <w:tcBorders>
                    <w:top w:val="single" w:sz="4" w:space="0" w:color="auto"/>
                    <w:left w:val="nil"/>
                    <w:bottom w:val="single" w:sz="4" w:space="0" w:color="auto"/>
                    <w:right w:val="nil"/>
                  </w:tcBorders>
                  <w:shd w:val="clear" w:color="auto" w:fill="D9D9D9" w:themeFill="background1" w:themeFillShade="D9"/>
                  <w:vAlign w:val="bottom"/>
                  <w:hideMark/>
                </w:tcPr>
                <w:p w14:paraId="7ABD70C1" w14:textId="77777777" w:rsidR="00380920" w:rsidRPr="009F02E3" w:rsidRDefault="00380920" w:rsidP="00D11A81">
                  <w:pPr>
                    <w:framePr w:hSpace="180" w:wrap="around" w:vAnchor="text" w:hAnchor="margin" w:xAlign="center" w:y="149"/>
                    <w:jc w:val="both"/>
                    <w:rPr>
                      <w:color w:val="000000" w:themeColor="text1"/>
                      <w:sz w:val="20"/>
                      <w:szCs w:val="20"/>
                    </w:rPr>
                  </w:pPr>
                </w:p>
              </w:tc>
              <w:tc>
                <w:tcPr>
                  <w:tcW w:w="936" w:type="pct"/>
                  <w:tcBorders>
                    <w:top w:val="single" w:sz="4" w:space="0" w:color="auto"/>
                    <w:left w:val="nil"/>
                    <w:bottom w:val="single" w:sz="4" w:space="0" w:color="auto"/>
                    <w:right w:val="nil"/>
                  </w:tcBorders>
                  <w:shd w:val="clear" w:color="auto" w:fill="D9D9D9" w:themeFill="background1" w:themeFillShade="D9"/>
                  <w:vAlign w:val="center"/>
                  <w:hideMark/>
                </w:tcPr>
                <w:p w14:paraId="509BA349" w14:textId="77777777" w:rsidR="00380920" w:rsidRPr="009F02E3" w:rsidRDefault="00380920" w:rsidP="00D11A81">
                  <w:pPr>
                    <w:framePr w:hSpace="180" w:wrap="around" w:vAnchor="text" w:hAnchor="margin" w:xAlign="center" w:y="149"/>
                    <w:jc w:val="center"/>
                    <w:rPr>
                      <w:color w:val="000000" w:themeColor="text1"/>
                      <w:sz w:val="20"/>
                      <w:szCs w:val="20"/>
                    </w:rPr>
                  </w:pPr>
                  <w:r w:rsidRPr="009F02E3">
                    <w:rPr>
                      <w:color w:val="000000" w:themeColor="text1"/>
                      <w:sz w:val="20"/>
                      <w:szCs w:val="20"/>
                    </w:rPr>
                    <w:t>Kopā patērētā elektroenerģija GWh</w:t>
                  </w:r>
                </w:p>
              </w:tc>
              <w:tc>
                <w:tcPr>
                  <w:tcW w:w="936" w:type="pct"/>
                  <w:tcBorders>
                    <w:top w:val="single" w:sz="4" w:space="0" w:color="auto"/>
                    <w:left w:val="nil"/>
                    <w:bottom w:val="single" w:sz="4" w:space="0" w:color="auto"/>
                    <w:right w:val="nil"/>
                  </w:tcBorders>
                  <w:shd w:val="clear" w:color="auto" w:fill="D9D9D9" w:themeFill="background1" w:themeFillShade="D9"/>
                  <w:vAlign w:val="center"/>
                  <w:hideMark/>
                </w:tcPr>
                <w:p w14:paraId="7DD3F511" w14:textId="77777777" w:rsidR="00380920" w:rsidRPr="009F02E3" w:rsidRDefault="00380920" w:rsidP="00D11A81">
                  <w:pPr>
                    <w:framePr w:hSpace="180" w:wrap="around" w:vAnchor="text" w:hAnchor="margin" w:xAlign="center" w:y="149"/>
                    <w:jc w:val="center"/>
                    <w:rPr>
                      <w:color w:val="000000" w:themeColor="text1"/>
                      <w:sz w:val="20"/>
                      <w:szCs w:val="20"/>
                    </w:rPr>
                  </w:pPr>
                  <w:r w:rsidRPr="009F02E3">
                    <w:rPr>
                      <w:color w:val="000000" w:themeColor="text1"/>
                      <w:sz w:val="20"/>
                      <w:szCs w:val="20"/>
                    </w:rPr>
                    <w:t>Pievienotā vērtība, tūkst. EUR</w:t>
                  </w:r>
                </w:p>
              </w:tc>
              <w:tc>
                <w:tcPr>
                  <w:tcW w:w="936" w:type="pct"/>
                  <w:tcBorders>
                    <w:top w:val="single" w:sz="4" w:space="0" w:color="auto"/>
                    <w:left w:val="nil"/>
                    <w:bottom w:val="single" w:sz="4" w:space="0" w:color="auto"/>
                    <w:right w:val="nil"/>
                  </w:tcBorders>
                  <w:shd w:val="clear" w:color="auto" w:fill="D9D9D9" w:themeFill="background1" w:themeFillShade="D9"/>
                  <w:vAlign w:val="center"/>
                  <w:hideMark/>
                </w:tcPr>
                <w:p w14:paraId="476D8D4E" w14:textId="77777777" w:rsidR="00380920" w:rsidRPr="009F02E3" w:rsidRDefault="00380920" w:rsidP="00D11A81">
                  <w:pPr>
                    <w:framePr w:hSpace="180" w:wrap="around" w:vAnchor="text" w:hAnchor="margin" w:xAlign="center" w:y="149"/>
                    <w:jc w:val="center"/>
                    <w:rPr>
                      <w:color w:val="000000" w:themeColor="text1"/>
                      <w:sz w:val="20"/>
                      <w:szCs w:val="20"/>
                    </w:rPr>
                  </w:pPr>
                  <w:r w:rsidRPr="009F02E3">
                    <w:rPr>
                      <w:color w:val="000000" w:themeColor="text1"/>
                      <w:sz w:val="20"/>
                      <w:szCs w:val="20"/>
                    </w:rPr>
                    <w:t>Nodarbināto skaits</w:t>
                  </w:r>
                </w:p>
              </w:tc>
              <w:tc>
                <w:tcPr>
                  <w:tcW w:w="934" w:type="pct"/>
                  <w:tcBorders>
                    <w:top w:val="single" w:sz="4" w:space="0" w:color="auto"/>
                    <w:left w:val="nil"/>
                    <w:bottom w:val="single" w:sz="4" w:space="0" w:color="auto"/>
                    <w:right w:val="nil"/>
                  </w:tcBorders>
                  <w:shd w:val="clear" w:color="auto" w:fill="D9D9D9" w:themeFill="background1" w:themeFillShade="D9"/>
                  <w:vAlign w:val="center"/>
                  <w:hideMark/>
                </w:tcPr>
                <w:p w14:paraId="50D2B430" w14:textId="77777777" w:rsidR="00380920" w:rsidRPr="009F02E3" w:rsidRDefault="00380920" w:rsidP="00D11A81">
                  <w:pPr>
                    <w:framePr w:hSpace="180" w:wrap="around" w:vAnchor="text" w:hAnchor="margin" w:xAlign="center" w:y="149"/>
                    <w:jc w:val="center"/>
                    <w:rPr>
                      <w:color w:val="000000" w:themeColor="text1"/>
                      <w:sz w:val="20"/>
                      <w:szCs w:val="20"/>
                    </w:rPr>
                  </w:pPr>
                  <w:r w:rsidRPr="009F02E3">
                    <w:rPr>
                      <w:color w:val="000000" w:themeColor="text1"/>
                      <w:sz w:val="20"/>
                      <w:szCs w:val="20"/>
                    </w:rPr>
                    <w:t>Eksports, tūkst. EUR</w:t>
                  </w:r>
                </w:p>
              </w:tc>
            </w:tr>
            <w:tr w:rsidR="009F02E3" w:rsidRPr="009F02E3" w14:paraId="1AFF4451" w14:textId="77777777" w:rsidTr="00844AA2">
              <w:trPr>
                <w:trHeight w:val="330"/>
              </w:trPr>
              <w:tc>
                <w:tcPr>
                  <w:tcW w:w="1258" w:type="pct"/>
                  <w:tcBorders>
                    <w:top w:val="single" w:sz="4" w:space="0" w:color="auto"/>
                    <w:left w:val="nil"/>
                    <w:bottom w:val="single" w:sz="4" w:space="0" w:color="auto"/>
                    <w:right w:val="nil"/>
                  </w:tcBorders>
                  <w:shd w:val="clear" w:color="auto" w:fill="auto"/>
                  <w:noWrap/>
                  <w:vAlign w:val="bottom"/>
                  <w:hideMark/>
                </w:tcPr>
                <w:p w14:paraId="3DF84A13" w14:textId="77777777" w:rsidR="00380920" w:rsidRPr="009F02E3" w:rsidRDefault="00380920" w:rsidP="00D11A81">
                  <w:pPr>
                    <w:framePr w:hSpace="180" w:wrap="around" w:vAnchor="text" w:hAnchor="margin" w:xAlign="center" w:y="149"/>
                    <w:jc w:val="both"/>
                    <w:rPr>
                      <w:color w:val="000000" w:themeColor="text1"/>
                      <w:sz w:val="20"/>
                      <w:szCs w:val="20"/>
                    </w:rPr>
                  </w:pPr>
                  <w:r w:rsidRPr="009F02E3">
                    <w:rPr>
                      <w:color w:val="000000" w:themeColor="text1"/>
                      <w:sz w:val="20"/>
                      <w:szCs w:val="20"/>
                    </w:rPr>
                    <w:t>10-30 GWh</w:t>
                  </w:r>
                </w:p>
              </w:tc>
              <w:tc>
                <w:tcPr>
                  <w:tcW w:w="936" w:type="pct"/>
                  <w:tcBorders>
                    <w:top w:val="single" w:sz="4" w:space="0" w:color="auto"/>
                    <w:left w:val="nil"/>
                    <w:bottom w:val="single" w:sz="4" w:space="0" w:color="auto"/>
                    <w:right w:val="nil"/>
                  </w:tcBorders>
                  <w:shd w:val="clear" w:color="auto" w:fill="auto"/>
                  <w:noWrap/>
                  <w:vAlign w:val="bottom"/>
                  <w:hideMark/>
                </w:tcPr>
                <w:p w14:paraId="793E8AEC" w14:textId="77777777" w:rsidR="00380920" w:rsidRPr="009F02E3" w:rsidRDefault="00380920" w:rsidP="00D11A81">
                  <w:pPr>
                    <w:framePr w:hSpace="180" w:wrap="around" w:vAnchor="text" w:hAnchor="margin" w:xAlign="center" w:y="149"/>
                    <w:jc w:val="center"/>
                    <w:rPr>
                      <w:color w:val="000000" w:themeColor="text1"/>
                      <w:sz w:val="20"/>
                      <w:szCs w:val="20"/>
                    </w:rPr>
                  </w:pPr>
                  <w:r w:rsidRPr="009F02E3">
                    <w:rPr>
                      <w:color w:val="000000" w:themeColor="text1"/>
                      <w:sz w:val="20"/>
                      <w:szCs w:val="20"/>
                    </w:rPr>
                    <w:t>1,8</w:t>
                  </w:r>
                </w:p>
              </w:tc>
              <w:tc>
                <w:tcPr>
                  <w:tcW w:w="936" w:type="pct"/>
                  <w:tcBorders>
                    <w:top w:val="single" w:sz="4" w:space="0" w:color="auto"/>
                    <w:left w:val="nil"/>
                    <w:bottom w:val="single" w:sz="4" w:space="0" w:color="auto"/>
                    <w:right w:val="nil"/>
                  </w:tcBorders>
                  <w:shd w:val="clear" w:color="auto" w:fill="auto"/>
                  <w:noWrap/>
                  <w:vAlign w:val="bottom"/>
                  <w:hideMark/>
                </w:tcPr>
                <w:p w14:paraId="6F647FA2" w14:textId="77777777" w:rsidR="00380920" w:rsidRPr="009F02E3" w:rsidRDefault="00380920" w:rsidP="00D11A81">
                  <w:pPr>
                    <w:framePr w:hSpace="180" w:wrap="around" w:vAnchor="text" w:hAnchor="margin" w:xAlign="center" w:y="149"/>
                    <w:jc w:val="center"/>
                    <w:rPr>
                      <w:color w:val="000000" w:themeColor="text1"/>
                      <w:sz w:val="20"/>
                      <w:szCs w:val="20"/>
                    </w:rPr>
                  </w:pPr>
                  <w:r w:rsidRPr="009F02E3">
                    <w:rPr>
                      <w:color w:val="000000" w:themeColor="text1"/>
                      <w:sz w:val="20"/>
                      <w:szCs w:val="20"/>
                    </w:rPr>
                    <w:t>0,2</w:t>
                  </w:r>
                </w:p>
              </w:tc>
              <w:tc>
                <w:tcPr>
                  <w:tcW w:w="936" w:type="pct"/>
                  <w:tcBorders>
                    <w:top w:val="single" w:sz="4" w:space="0" w:color="auto"/>
                    <w:left w:val="nil"/>
                    <w:bottom w:val="single" w:sz="4" w:space="0" w:color="auto"/>
                    <w:right w:val="nil"/>
                  </w:tcBorders>
                  <w:shd w:val="clear" w:color="auto" w:fill="auto"/>
                  <w:noWrap/>
                  <w:vAlign w:val="bottom"/>
                  <w:hideMark/>
                </w:tcPr>
                <w:p w14:paraId="7D816C73" w14:textId="77777777" w:rsidR="00380920" w:rsidRPr="009F02E3" w:rsidRDefault="00380920" w:rsidP="00D11A81">
                  <w:pPr>
                    <w:framePr w:hSpace="180" w:wrap="around" w:vAnchor="text" w:hAnchor="margin" w:xAlign="center" w:y="149"/>
                    <w:jc w:val="center"/>
                    <w:rPr>
                      <w:color w:val="000000" w:themeColor="text1"/>
                      <w:sz w:val="20"/>
                      <w:szCs w:val="20"/>
                    </w:rPr>
                  </w:pPr>
                  <w:r w:rsidRPr="009F02E3">
                    <w:rPr>
                      <w:color w:val="000000" w:themeColor="text1"/>
                      <w:sz w:val="20"/>
                      <w:szCs w:val="20"/>
                    </w:rPr>
                    <w:t>0,1</w:t>
                  </w:r>
                </w:p>
              </w:tc>
              <w:tc>
                <w:tcPr>
                  <w:tcW w:w="934" w:type="pct"/>
                  <w:tcBorders>
                    <w:top w:val="single" w:sz="4" w:space="0" w:color="auto"/>
                    <w:left w:val="nil"/>
                    <w:bottom w:val="single" w:sz="4" w:space="0" w:color="auto"/>
                    <w:right w:val="nil"/>
                  </w:tcBorders>
                  <w:shd w:val="clear" w:color="auto" w:fill="auto"/>
                  <w:noWrap/>
                  <w:vAlign w:val="bottom"/>
                  <w:hideMark/>
                </w:tcPr>
                <w:p w14:paraId="692A68B1" w14:textId="77777777" w:rsidR="00380920" w:rsidRPr="009F02E3" w:rsidRDefault="00380920" w:rsidP="00D11A81">
                  <w:pPr>
                    <w:framePr w:hSpace="180" w:wrap="around" w:vAnchor="text" w:hAnchor="margin" w:xAlign="center" w:y="149"/>
                    <w:jc w:val="center"/>
                    <w:rPr>
                      <w:color w:val="000000" w:themeColor="text1"/>
                      <w:sz w:val="20"/>
                      <w:szCs w:val="20"/>
                    </w:rPr>
                  </w:pPr>
                  <w:r w:rsidRPr="009F02E3">
                    <w:rPr>
                      <w:color w:val="000000" w:themeColor="text1"/>
                      <w:sz w:val="20"/>
                      <w:szCs w:val="20"/>
                    </w:rPr>
                    <w:t>1,0</w:t>
                  </w:r>
                </w:p>
              </w:tc>
            </w:tr>
            <w:tr w:rsidR="009F02E3" w:rsidRPr="009F02E3" w14:paraId="70896DD6" w14:textId="77777777" w:rsidTr="00844AA2">
              <w:trPr>
                <w:trHeight w:val="330"/>
              </w:trPr>
              <w:tc>
                <w:tcPr>
                  <w:tcW w:w="1258" w:type="pct"/>
                  <w:tcBorders>
                    <w:top w:val="single" w:sz="4" w:space="0" w:color="auto"/>
                    <w:left w:val="nil"/>
                    <w:bottom w:val="single" w:sz="4" w:space="0" w:color="auto"/>
                    <w:right w:val="nil"/>
                  </w:tcBorders>
                  <w:shd w:val="clear" w:color="auto" w:fill="auto"/>
                  <w:noWrap/>
                  <w:vAlign w:val="bottom"/>
                  <w:hideMark/>
                </w:tcPr>
                <w:p w14:paraId="4DEC8E1F" w14:textId="77777777" w:rsidR="00380920" w:rsidRPr="009F02E3" w:rsidRDefault="00380920" w:rsidP="00D11A81">
                  <w:pPr>
                    <w:framePr w:hSpace="180" w:wrap="around" w:vAnchor="text" w:hAnchor="margin" w:xAlign="center" w:y="149"/>
                    <w:jc w:val="both"/>
                    <w:rPr>
                      <w:color w:val="000000" w:themeColor="text1"/>
                      <w:sz w:val="20"/>
                      <w:szCs w:val="20"/>
                    </w:rPr>
                  </w:pPr>
                  <w:r w:rsidRPr="009F02E3">
                    <w:rPr>
                      <w:color w:val="000000" w:themeColor="text1"/>
                      <w:sz w:val="20"/>
                      <w:szCs w:val="20"/>
                    </w:rPr>
                    <w:t>30 un vairāk GWh</w:t>
                  </w:r>
                </w:p>
              </w:tc>
              <w:tc>
                <w:tcPr>
                  <w:tcW w:w="936" w:type="pct"/>
                  <w:tcBorders>
                    <w:top w:val="single" w:sz="4" w:space="0" w:color="auto"/>
                    <w:left w:val="nil"/>
                    <w:bottom w:val="single" w:sz="4" w:space="0" w:color="auto"/>
                    <w:right w:val="nil"/>
                  </w:tcBorders>
                  <w:shd w:val="clear" w:color="auto" w:fill="auto"/>
                  <w:noWrap/>
                  <w:vAlign w:val="bottom"/>
                  <w:hideMark/>
                </w:tcPr>
                <w:p w14:paraId="07152C08" w14:textId="77777777" w:rsidR="00380920" w:rsidRPr="009F02E3" w:rsidRDefault="00380920" w:rsidP="00D11A81">
                  <w:pPr>
                    <w:framePr w:hSpace="180" w:wrap="around" w:vAnchor="text" w:hAnchor="margin" w:xAlign="center" w:y="149"/>
                    <w:jc w:val="center"/>
                    <w:rPr>
                      <w:color w:val="000000" w:themeColor="text1"/>
                      <w:sz w:val="20"/>
                      <w:szCs w:val="20"/>
                    </w:rPr>
                  </w:pPr>
                  <w:r w:rsidRPr="009F02E3">
                    <w:rPr>
                      <w:color w:val="000000" w:themeColor="text1"/>
                      <w:sz w:val="20"/>
                      <w:szCs w:val="20"/>
                    </w:rPr>
                    <w:t>4,0</w:t>
                  </w:r>
                </w:p>
              </w:tc>
              <w:tc>
                <w:tcPr>
                  <w:tcW w:w="936" w:type="pct"/>
                  <w:tcBorders>
                    <w:top w:val="single" w:sz="4" w:space="0" w:color="auto"/>
                    <w:left w:val="nil"/>
                    <w:bottom w:val="single" w:sz="4" w:space="0" w:color="auto"/>
                    <w:right w:val="nil"/>
                  </w:tcBorders>
                  <w:shd w:val="clear" w:color="auto" w:fill="auto"/>
                  <w:noWrap/>
                  <w:vAlign w:val="bottom"/>
                  <w:hideMark/>
                </w:tcPr>
                <w:p w14:paraId="5246F08B" w14:textId="77777777" w:rsidR="00380920" w:rsidRPr="009F02E3" w:rsidRDefault="00380920" w:rsidP="00D11A81">
                  <w:pPr>
                    <w:framePr w:hSpace="180" w:wrap="around" w:vAnchor="text" w:hAnchor="margin" w:xAlign="center" w:y="149"/>
                    <w:jc w:val="center"/>
                    <w:rPr>
                      <w:color w:val="000000" w:themeColor="text1"/>
                      <w:sz w:val="20"/>
                      <w:szCs w:val="20"/>
                    </w:rPr>
                  </w:pPr>
                  <w:r w:rsidRPr="009F02E3">
                    <w:rPr>
                      <w:color w:val="000000" w:themeColor="text1"/>
                      <w:sz w:val="20"/>
                      <w:szCs w:val="20"/>
                    </w:rPr>
                    <w:t>0,4</w:t>
                  </w:r>
                </w:p>
              </w:tc>
              <w:tc>
                <w:tcPr>
                  <w:tcW w:w="936" w:type="pct"/>
                  <w:tcBorders>
                    <w:top w:val="single" w:sz="4" w:space="0" w:color="auto"/>
                    <w:left w:val="nil"/>
                    <w:bottom w:val="single" w:sz="4" w:space="0" w:color="auto"/>
                    <w:right w:val="nil"/>
                  </w:tcBorders>
                  <w:shd w:val="clear" w:color="auto" w:fill="auto"/>
                  <w:noWrap/>
                  <w:vAlign w:val="bottom"/>
                  <w:hideMark/>
                </w:tcPr>
                <w:p w14:paraId="0686E2D6" w14:textId="77777777" w:rsidR="00380920" w:rsidRPr="009F02E3" w:rsidRDefault="00380920" w:rsidP="00D11A81">
                  <w:pPr>
                    <w:framePr w:hSpace="180" w:wrap="around" w:vAnchor="text" w:hAnchor="margin" w:xAlign="center" w:y="149"/>
                    <w:jc w:val="center"/>
                    <w:rPr>
                      <w:color w:val="000000" w:themeColor="text1"/>
                      <w:sz w:val="20"/>
                      <w:szCs w:val="20"/>
                    </w:rPr>
                  </w:pPr>
                  <w:r w:rsidRPr="009F02E3">
                    <w:rPr>
                      <w:color w:val="000000" w:themeColor="text1"/>
                      <w:sz w:val="20"/>
                      <w:szCs w:val="20"/>
                    </w:rPr>
                    <w:t>0,1</w:t>
                  </w:r>
                </w:p>
              </w:tc>
              <w:tc>
                <w:tcPr>
                  <w:tcW w:w="934" w:type="pct"/>
                  <w:tcBorders>
                    <w:top w:val="single" w:sz="4" w:space="0" w:color="auto"/>
                    <w:left w:val="nil"/>
                    <w:bottom w:val="single" w:sz="4" w:space="0" w:color="auto"/>
                    <w:right w:val="nil"/>
                  </w:tcBorders>
                  <w:shd w:val="clear" w:color="auto" w:fill="auto"/>
                  <w:noWrap/>
                  <w:vAlign w:val="bottom"/>
                  <w:hideMark/>
                </w:tcPr>
                <w:p w14:paraId="7FB8D327" w14:textId="77777777" w:rsidR="00380920" w:rsidRPr="009F02E3" w:rsidRDefault="00380920" w:rsidP="00D11A81">
                  <w:pPr>
                    <w:framePr w:hSpace="180" w:wrap="around" w:vAnchor="text" w:hAnchor="margin" w:xAlign="center" w:y="149"/>
                    <w:jc w:val="center"/>
                    <w:rPr>
                      <w:color w:val="000000" w:themeColor="text1"/>
                      <w:sz w:val="20"/>
                      <w:szCs w:val="20"/>
                    </w:rPr>
                  </w:pPr>
                  <w:r w:rsidRPr="009F02E3">
                    <w:rPr>
                      <w:color w:val="000000" w:themeColor="text1"/>
                      <w:sz w:val="20"/>
                      <w:szCs w:val="20"/>
                    </w:rPr>
                    <w:t>1,4</w:t>
                  </w:r>
                </w:p>
              </w:tc>
            </w:tr>
          </w:tbl>
          <w:p w14:paraId="63478F85" w14:textId="77777777" w:rsidR="00380920" w:rsidRPr="009F02E3" w:rsidRDefault="00380920" w:rsidP="007B21A3">
            <w:pPr>
              <w:pStyle w:val="ListParagraph"/>
              <w:spacing w:after="0" w:line="240" w:lineRule="auto"/>
              <w:ind w:left="0"/>
              <w:jc w:val="both"/>
              <w:rPr>
                <w:color w:val="000000" w:themeColor="text1"/>
                <w:sz w:val="24"/>
                <w:szCs w:val="24"/>
              </w:rPr>
            </w:pPr>
            <w:r w:rsidRPr="009F02E3">
              <w:rPr>
                <w:color w:val="000000" w:themeColor="text1"/>
                <w:sz w:val="24"/>
                <w:szCs w:val="24"/>
              </w:rPr>
              <w:t xml:space="preserve">Aplūkotajām uzņēmumu grupām ir vērā ņemams devums galvenajā Latvijas eksporta nozarē – apstrādes rūpniecībā. Energointensīvo apstrādes rūpniecības uzņēmumu, kas patērē 10 - 30 GWh elektroenerģiju, kopējais apgrozījums 2013. gadā bija 205,2 </w:t>
            </w:r>
            <w:r w:rsidRPr="009F02E3">
              <w:rPr>
                <w:color w:val="000000" w:themeColor="text1"/>
                <w:sz w:val="24"/>
                <w:szCs w:val="24"/>
              </w:rPr>
              <w:lastRenderedPageBreak/>
              <w:t>milj. EUR, savukārt uzņēmumu apgrozījums, kas patērē 30 GWh elektroenerģiju, sasniedza 231,1 milj. EUR. Kopumā tas veidoja attiecīgi 2,6% un 3% no visa apstrādes rūpniecības apgrozījuma.</w:t>
            </w:r>
          </w:p>
          <w:p w14:paraId="4B59C6FE" w14:textId="77777777" w:rsidR="00380920" w:rsidRPr="009F02E3" w:rsidRDefault="00380920" w:rsidP="007B21A3">
            <w:pPr>
              <w:pStyle w:val="ListParagraph"/>
              <w:spacing w:after="0" w:line="240" w:lineRule="auto"/>
              <w:ind w:left="0"/>
              <w:jc w:val="both"/>
              <w:rPr>
                <w:color w:val="000000" w:themeColor="text1"/>
                <w:sz w:val="24"/>
                <w:szCs w:val="24"/>
              </w:rPr>
            </w:pPr>
          </w:p>
          <w:p w14:paraId="4E33EAC5" w14:textId="667D6721" w:rsidR="00380920" w:rsidRPr="009F02E3" w:rsidRDefault="00380920" w:rsidP="00E841D3">
            <w:pPr>
              <w:pStyle w:val="ListParagraph"/>
              <w:spacing w:after="80" w:line="240" w:lineRule="auto"/>
              <w:ind w:left="0"/>
              <w:jc w:val="both"/>
              <w:rPr>
                <w:color w:val="000000" w:themeColor="text1"/>
                <w:sz w:val="24"/>
                <w:szCs w:val="24"/>
              </w:rPr>
            </w:pPr>
            <w:r w:rsidRPr="009F02E3">
              <w:rPr>
                <w:color w:val="000000" w:themeColor="text1"/>
                <w:sz w:val="24"/>
                <w:szCs w:val="24"/>
              </w:rPr>
              <w:t>Energointensīvie apstrādes rūpniecības uzņēmumu, kas patērē 10-30 GWh elektroenerģiju, 2013. gadā veidoja 1,2% no pievienotās vērtības apstrādes rūpniecībā,  apmēram 0,9% no apstrādes rūpniecībā strādājošo skaita un 3,7% no apstrādes rūpniecībā saražoto preču eksporta. Savukārt, energointensīvo apstrādes rūpniecības uzņēmumu, kas patērē vairāk nekā 30 GWh elektroenerģiju, devums apstrādes rūpniecībā ir vēl lielāks. Šie uzņēmumi 2013. gadā veidoja 2,9% no pievienotās vērtības apstrādes rūpniecībā,  1,1% no apstrādes rūpniecībā strādājošo skaita un 5,1% no preču eksporta.</w:t>
            </w:r>
          </w:p>
          <w:p w14:paraId="38C26201" w14:textId="77777777" w:rsidR="00380920" w:rsidRPr="009F02E3" w:rsidRDefault="00380920" w:rsidP="007B21A3">
            <w:pPr>
              <w:jc w:val="both"/>
              <w:rPr>
                <w:color w:val="000000" w:themeColor="text1"/>
                <w:lang w:eastAsia="en-US"/>
              </w:rPr>
            </w:pPr>
          </w:p>
          <w:p w14:paraId="1436A36C" w14:textId="577C05EC" w:rsidR="00380920" w:rsidRPr="009F02E3" w:rsidRDefault="00380920" w:rsidP="006E207C">
            <w:pPr>
              <w:jc w:val="both"/>
              <w:rPr>
                <w:color w:val="000000" w:themeColor="text1"/>
                <w:lang w:eastAsia="en-US"/>
              </w:rPr>
            </w:pPr>
            <w:r w:rsidRPr="009F02E3">
              <w:rPr>
                <w:color w:val="000000" w:themeColor="text1"/>
                <w:lang w:eastAsia="en-US"/>
              </w:rPr>
              <w:t xml:space="preserve">Pašlaik ir veikti provizoriski aprēķini par OIK atlaides apmēru uz visiem potenciālajiem subjektiem (t.sk. OIK atlaidi varētu saņemt uzņēmumi, kuru </w:t>
            </w:r>
            <w:proofErr w:type="spellStart"/>
            <w:r w:rsidRPr="009F02E3">
              <w:rPr>
                <w:color w:val="000000" w:themeColor="text1"/>
                <w:lang w:eastAsia="en-US"/>
              </w:rPr>
              <w:t>energointensitāte</w:t>
            </w:r>
            <w:proofErr w:type="spellEnd"/>
            <w:r w:rsidRPr="009F02E3">
              <w:rPr>
                <w:color w:val="000000" w:themeColor="text1"/>
                <w:lang w:eastAsia="en-US"/>
              </w:rPr>
              <w:t xml:space="preserve"> pārsniedz 20%.). Aprēķini liecina, ka gadījumā, ja atbalstu saņems energointensīvie apstrādes rūpniecības uzņēmumi ar elektroenerģijas patēriņu virs 30 GWh,  šo uzņēmumu OIK maksājumu mazināšanai no valsts budžeta 2016. g. tiks provizoriski novirzīts – </w:t>
            </w:r>
            <w:r w:rsidRPr="009F02E3">
              <w:rPr>
                <w:color w:val="000000" w:themeColor="text1"/>
              </w:rPr>
              <w:t xml:space="preserve">6,382 </w:t>
            </w:r>
            <w:r w:rsidRPr="009F02E3">
              <w:rPr>
                <w:color w:val="000000" w:themeColor="text1"/>
                <w:lang w:eastAsia="en-US"/>
              </w:rPr>
              <w:t>milj. EUR; 2017. g – </w:t>
            </w:r>
            <w:r w:rsidRPr="009F02E3">
              <w:rPr>
                <w:color w:val="000000" w:themeColor="text1"/>
              </w:rPr>
              <w:t xml:space="preserve">8,819 </w:t>
            </w:r>
            <w:r w:rsidRPr="009F02E3">
              <w:rPr>
                <w:color w:val="000000" w:themeColor="text1"/>
                <w:lang w:eastAsia="en-US"/>
              </w:rPr>
              <w:t xml:space="preserve">milj. EUR; 2018. g. – </w:t>
            </w:r>
            <w:r w:rsidRPr="009F02E3">
              <w:rPr>
                <w:color w:val="000000" w:themeColor="text1"/>
              </w:rPr>
              <w:t xml:space="preserve">10,443 </w:t>
            </w:r>
            <w:r w:rsidRPr="009F02E3">
              <w:rPr>
                <w:color w:val="000000" w:themeColor="text1"/>
                <w:lang w:eastAsia="en-US"/>
              </w:rPr>
              <w:t xml:space="preserve">milj. EUR; 2019. g. – 11,600 milj. EUR; 2020. g. – 11,400 milj. EUR. Savukārt, ja atbalstu saņems arī energointensīvie apstrādes rūpniecības ar elektroenerģijas patēriņu virs 10 GWh, tad  no valsts budžeta 2016. g. tiks provizoriski novirzīts – </w:t>
            </w:r>
            <w:r w:rsidRPr="009F02E3">
              <w:rPr>
                <w:color w:val="000000" w:themeColor="text1"/>
              </w:rPr>
              <w:t xml:space="preserve">12,511 </w:t>
            </w:r>
            <w:r w:rsidRPr="009F02E3">
              <w:rPr>
                <w:color w:val="000000" w:themeColor="text1"/>
                <w:lang w:eastAsia="en-US"/>
              </w:rPr>
              <w:t xml:space="preserve">milj. EUR; 2017. g – </w:t>
            </w:r>
            <w:r w:rsidRPr="009F02E3">
              <w:rPr>
                <w:color w:val="000000" w:themeColor="text1"/>
              </w:rPr>
              <w:t xml:space="preserve">17,281 </w:t>
            </w:r>
            <w:r w:rsidRPr="009F02E3">
              <w:rPr>
                <w:color w:val="000000" w:themeColor="text1"/>
                <w:lang w:eastAsia="en-US"/>
              </w:rPr>
              <w:t xml:space="preserve">milj. EUR; 2018. g. – </w:t>
            </w:r>
            <w:r w:rsidRPr="009F02E3">
              <w:rPr>
                <w:color w:val="000000" w:themeColor="text1"/>
              </w:rPr>
              <w:t xml:space="preserve">20,460 </w:t>
            </w:r>
            <w:r w:rsidRPr="009F02E3">
              <w:rPr>
                <w:color w:val="000000" w:themeColor="text1"/>
                <w:lang w:eastAsia="en-US"/>
              </w:rPr>
              <w:t xml:space="preserve">milj. EUR; 2019. gadā – 22,800 milj. EUR; 2020. g. – 22 ,400. </w:t>
            </w:r>
          </w:p>
          <w:p w14:paraId="0F281EA9" w14:textId="77777777" w:rsidR="00380920" w:rsidRPr="009F02E3" w:rsidRDefault="00380920" w:rsidP="00BD56BE">
            <w:pPr>
              <w:jc w:val="right"/>
              <w:rPr>
                <w:color w:val="000000" w:themeColor="text1"/>
                <w:lang w:eastAsia="en-US"/>
              </w:rPr>
            </w:pPr>
            <w:r w:rsidRPr="009F02E3">
              <w:rPr>
                <w:color w:val="000000" w:themeColor="text1"/>
                <w:lang w:eastAsia="en-US"/>
              </w:rPr>
              <w:t>3. tabula</w:t>
            </w:r>
          </w:p>
          <w:p w14:paraId="112CE442" w14:textId="77777777" w:rsidR="00380920" w:rsidRPr="009F02E3" w:rsidRDefault="00380920" w:rsidP="00BD56BE">
            <w:pPr>
              <w:pStyle w:val="NormalWeb"/>
              <w:spacing w:before="0" w:beforeAutospacing="0" w:after="0" w:afterAutospacing="0"/>
              <w:jc w:val="center"/>
              <w:rPr>
                <w:rFonts w:ascii="Arial Narrow" w:hAnsi="Arial Narrow" w:cstheme="minorBidi"/>
                <w:color w:val="000000" w:themeColor="text1"/>
                <w:sz w:val="14"/>
                <w:lang w:eastAsia="en-US"/>
              </w:rPr>
            </w:pPr>
            <w:r w:rsidRPr="009F02E3">
              <w:rPr>
                <w:color w:val="000000" w:themeColor="text1"/>
                <w:lang w:eastAsia="en-US"/>
              </w:rPr>
              <w:t>Pieņēmumi</w:t>
            </w:r>
          </w:p>
          <w:tbl>
            <w:tblPr>
              <w:tblStyle w:val="TableGrid"/>
              <w:tblW w:w="0" w:type="auto"/>
              <w:tblLayout w:type="fixed"/>
              <w:tblLook w:val="04A0" w:firstRow="1" w:lastRow="0" w:firstColumn="1" w:lastColumn="0" w:noHBand="0" w:noVBand="1"/>
            </w:tblPr>
            <w:tblGrid>
              <w:gridCol w:w="704"/>
              <w:gridCol w:w="3260"/>
              <w:gridCol w:w="709"/>
              <w:gridCol w:w="1276"/>
              <w:gridCol w:w="1843"/>
            </w:tblGrid>
            <w:tr w:rsidR="009F02E3" w:rsidRPr="009F02E3" w14:paraId="03DE0361" w14:textId="77777777" w:rsidTr="00BD56BE">
              <w:tc>
                <w:tcPr>
                  <w:tcW w:w="704" w:type="dxa"/>
                </w:tcPr>
                <w:p w14:paraId="023D678F" w14:textId="77777777" w:rsidR="00380920" w:rsidRPr="009F02E3" w:rsidRDefault="00380920" w:rsidP="00D11A81">
                  <w:pPr>
                    <w:framePr w:hSpace="180" w:wrap="around" w:vAnchor="text" w:hAnchor="margin" w:xAlign="center" w:y="149"/>
                    <w:jc w:val="both"/>
                    <w:rPr>
                      <w:b/>
                      <w:color w:val="000000" w:themeColor="text1"/>
                      <w:lang w:eastAsia="en-US"/>
                    </w:rPr>
                  </w:pPr>
                  <w:r w:rsidRPr="009F02E3">
                    <w:rPr>
                      <w:color w:val="000000" w:themeColor="text1"/>
                      <w:lang w:eastAsia="en-US"/>
                    </w:rPr>
                    <w:t xml:space="preserve"> </w:t>
                  </w:r>
                </w:p>
              </w:tc>
              <w:tc>
                <w:tcPr>
                  <w:tcW w:w="3260" w:type="dxa"/>
                </w:tcPr>
                <w:p w14:paraId="08BA998B" w14:textId="77777777" w:rsidR="00380920" w:rsidRPr="009F02E3" w:rsidRDefault="00380920" w:rsidP="00D11A81">
                  <w:pPr>
                    <w:framePr w:hSpace="180" w:wrap="around" w:vAnchor="text" w:hAnchor="margin" w:xAlign="center" w:y="149"/>
                    <w:jc w:val="both"/>
                    <w:rPr>
                      <w:color w:val="000000" w:themeColor="text1"/>
                      <w:lang w:eastAsia="en-US"/>
                    </w:rPr>
                  </w:pPr>
                </w:p>
              </w:tc>
              <w:tc>
                <w:tcPr>
                  <w:tcW w:w="709" w:type="dxa"/>
                </w:tcPr>
                <w:p w14:paraId="79A10CA3" w14:textId="77777777" w:rsidR="00380920" w:rsidRPr="009F02E3" w:rsidRDefault="00380920" w:rsidP="00D11A81">
                  <w:pPr>
                    <w:framePr w:hSpace="180" w:wrap="around" w:vAnchor="text" w:hAnchor="margin" w:xAlign="center" w:y="149"/>
                    <w:jc w:val="both"/>
                    <w:rPr>
                      <w:color w:val="000000" w:themeColor="text1"/>
                      <w:lang w:eastAsia="en-US"/>
                    </w:rPr>
                  </w:pPr>
                </w:p>
              </w:tc>
              <w:tc>
                <w:tcPr>
                  <w:tcW w:w="1276" w:type="dxa"/>
                  <w:vAlign w:val="bottom"/>
                </w:tcPr>
                <w:p w14:paraId="326EC151" w14:textId="77777777" w:rsidR="00380920" w:rsidRPr="009F02E3" w:rsidRDefault="00380920" w:rsidP="00D11A81">
                  <w:pPr>
                    <w:framePr w:hSpace="180" w:wrap="around" w:vAnchor="text" w:hAnchor="margin" w:xAlign="center" w:y="149"/>
                    <w:jc w:val="both"/>
                    <w:rPr>
                      <w:b/>
                      <w:color w:val="000000" w:themeColor="text1"/>
                      <w:lang w:eastAsia="en-US"/>
                    </w:rPr>
                  </w:pPr>
                  <w:r w:rsidRPr="009F02E3">
                    <w:rPr>
                      <w:b/>
                      <w:color w:val="000000" w:themeColor="text1"/>
                      <w:sz w:val="20"/>
                      <w:szCs w:val="20"/>
                    </w:rPr>
                    <w:t>10-30 GWh</w:t>
                  </w:r>
                </w:p>
              </w:tc>
              <w:tc>
                <w:tcPr>
                  <w:tcW w:w="1843" w:type="dxa"/>
                  <w:vAlign w:val="bottom"/>
                </w:tcPr>
                <w:p w14:paraId="5DFB1192" w14:textId="77777777" w:rsidR="00380920" w:rsidRPr="009F02E3" w:rsidRDefault="00380920" w:rsidP="00D11A81">
                  <w:pPr>
                    <w:framePr w:hSpace="180" w:wrap="around" w:vAnchor="text" w:hAnchor="margin" w:xAlign="center" w:y="149"/>
                    <w:jc w:val="both"/>
                    <w:rPr>
                      <w:b/>
                      <w:color w:val="000000" w:themeColor="text1"/>
                      <w:lang w:eastAsia="en-US"/>
                    </w:rPr>
                  </w:pPr>
                  <w:r w:rsidRPr="009F02E3">
                    <w:rPr>
                      <w:b/>
                      <w:color w:val="000000" w:themeColor="text1"/>
                      <w:sz w:val="20"/>
                      <w:szCs w:val="20"/>
                    </w:rPr>
                    <w:t>30 un vairāk GWh</w:t>
                  </w:r>
                </w:p>
              </w:tc>
            </w:tr>
            <w:tr w:rsidR="009F02E3" w:rsidRPr="009F02E3" w14:paraId="0F89F5E8" w14:textId="77777777" w:rsidTr="00BD56BE">
              <w:tc>
                <w:tcPr>
                  <w:tcW w:w="704" w:type="dxa"/>
                  <w:vAlign w:val="center"/>
                </w:tcPr>
                <w:p w14:paraId="773464F2" w14:textId="77777777" w:rsidR="00380920" w:rsidRPr="009F02E3" w:rsidRDefault="00380920" w:rsidP="00D11A81">
                  <w:pPr>
                    <w:framePr w:hSpace="180" w:wrap="around" w:vAnchor="text" w:hAnchor="margin" w:xAlign="center" w:y="149"/>
                    <w:jc w:val="both"/>
                    <w:rPr>
                      <w:b/>
                      <w:color w:val="000000" w:themeColor="text1"/>
                      <w:lang w:eastAsia="en-US"/>
                    </w:rPr>
                  </w:pPr>
                  <w:r w:rsidRPr="009F02E3">
                    <w:rPr>
                      <w:b/>
                      <w:color w:val="000000" w:themeColor="text1"/>
                      <w:sz w:val="20"/>
                      <w:szCs w:val="20"/>
                    </w:rPr>
                    <w:t>1</w:t>
                  </w:r>
                </w:p>
              </w:tc>
              <w:tc>
                <w:tcPr>
                  <w:tcW w:w="3260" w:type="dxa"/>
                  <w:vAlign w:val="bottom"/>
                </w:tcPr>
                <w:p w14:paraId="30118769"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Kopējā preču/pakalpojumu iepirkumu vērtība + darbaspēka izmaksas</w:t>
                  </w:r>
                </w:p>
              </w:tc>
              <w:tc>
                <w:tcPr>
                  <w:tcW w:w="709" w:type="dxa"/>
                  <w:vAlign w:val="center"/>
                </w:tcPr>
                <w:p w14:paraId="2B848569"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CSP</w:t>
                  </w:r>
                </w:p>
              </w:tc>
              <w:tc>
                <w:tcPr>
                  <w:tcW w:w="1276" w:type="dxa"/>
                  <w:vAlign w:val="bottom"/>
                </w:tcPr>
                <w:p w14:paraId="15FEE4D0"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192,8</w:t>
                  </w:r>
                </w:p>
              </w:tc>
              <w:tc>
                <w:tcPr>
                  <w:tcW w:w="1843" w:type="dxa"/>
                  <w:vAlign w:val="bottom"/>
                </w:tcPr>
                <w:p w14:paraId="6E9CC6F7"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189,9</w:t>
                  </w:r>
                </w:p>
              </w:tc>
            </w:tr>
            <w:tr w:rsidR="009F02E3" w:rsidRPr="009F02E3" w14:paraId="6554A0C5" w14:textId="77777777" w:rsidTr="00BD56BE">
              <w:tc>
                <w:tcPr>
                  <w:tcW w:w="704" w:type="dxa"/>
                  <w:vAlign w:val="center"/>
                </w:tcPr>
                <w:p w14:paraId="3AAB88A4" w14:textId="77777777" w:rsidR="00380920" w:rsidRPr="009F02E3" w:rsidRDefault="00380920" w:rsidP="00D11A81">
                  <w:pPr>
                    <w:framePr w:hSpace="180" w:wrap="around" w:vAnchor="text" w:hAnchor="margin" w:xAlign="center" w:y="149"/>
                    <w:jc w:val="both"/>
                    <w:rPr>
                      <w:b/>
                      <w:color w:val="000000" w:themeColor="text1"/>
                      <w:lang w:eastAsia="en-US"/>
                    </w:rPr>
                  </w:pPr>
                  <w:r w:rsidRPr="009F02E3">
                    <w:rPr>
                      <w:b/>
                      <w:color w:val="000000" w:themeColor="text1"/>
                      <w:sz w:val="20"/>
                      <w:szCs w:val="20"/>
                    </w:rPr>
                    <w:t>2</w:t>
                  </w:r>
                </w:p>
              </w:tc>
              <w:tc>
                <w:tcPr>
                  <w:tcW w:w="3260" w:type="dxa"/>
                  <w:vAlign w:val="bottom"/>
                </w:tcPr>
                <w:p w14:paraId="61A5E0BB"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 xml:space="preserve">Elektroenerģijas iegāde, </w:t>
                  </w:r>
                  <w:proofErr w:type="spellStart"/>
                  <w:r w:rsidRPr="009F02E3">
                    <w:rPr>
                      <w:color w:val="000000" w:themeColor="text1"/>
                      <w:sz w:val="20"/>
                      <w:szCs w:val="20"/>
                    </w:rPr>
                    <w:t>tūkst.EUR</w:t>
                  </w:r>
                  <w:proofErr w:type="spellEnd"/>
                </w:p>
              </w:tc>
              <w:tc>
                <w:tcPr>
                  <w:tcW w:w="709" w:type="dxa"/>
                  <w:vAlign w:val="center"/>
                </w:tcPr>
                <w:p w14:paraId="33AB4804"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CSP</w:t>
                  </w:r>
                </w:p>
              </w:tc>
              <w:tc>
                <w:tcPr>
                  <w:tcW w:w="1276" w:type="dxa"/>
                  <w:vAlign w:val="bottom"/>
                </w:tcPr>
                <w:p w14:paraId="4CF69260"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11,9</w:t>
                  </w:r>
                </w:p>
              </w:tc>
              <w:tc>
                <w:tcPr>
                  <w:tcW w:w="1843" w:type="dxa"/>
                  <w:vAlign w:val="bottom"/>
                </w:tcPr>
                <w:p w14:paraId="2A5A4D4F"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21,2</w:t>
                  </w:r>
                </w:p>
              </w:tc>
            </w:tr>
            <w:tr w:rsidR="009F02E3" w:rsidRPr="009F02E3" w14:paraId="270DE4A7" w14:textId="77777777" w:rsidTr="00BD56BE">
              <w:tc>
                <w:tcPr>
                  <w:tcW w:w="704" w:type="dxa"/>
                  <w:vAlign w:val="center"/>
                </w:tcPr>
                <w:p w14:paraId="7AA893EF" w14:textId="77777777" w:rsidR="00380920" w:rsidRPr="009F02E3" w:rsidRDefault="00380920" w:rsidP="00D11A81">
                  <w:pPr>
                    <w:framePr w:hSpace="180" w:wrap="around" w:vAnchor="text" w:hAnchor="margin" w:xAlign="center" w:y="149"/>
                    <w:jc w:val="both"/>
                    <w:rPr>
                      <w:b/>
                      <w:color w:val="000000" w:themeColor="text1"/>
                      <w:lang w:eastAsia="en-US"/>
                    </w:rPr>
                  </w:pPr>
                  <w:r w:rsidRPr="009F02E3">
                    <w:rPr>
                      <w:b/>
                      <w:color w:val="000000" w:themeColor="text1"/>
                      <w:sz w:val="20"/>
                      <w:szCs w:val="20"/>
                    </w:rPr>
                    <w:t>3</w:t>
                  </w:r>
                </w:p>
              </w:tc>
              <w:tc>
                <w:tcPr>
                  <w:tcW w:w="3260" w:type="dxa"/>
                  <w:vAlign w:val="bottom"/>
                </w:tcPr>
                <w:p w14:paraId="30402705"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OIK īpatsvars</w:t>
                  </w:r>
                </w:p>
              </w:tc>
              <w:tc>
                <w:tcPr>
                  <w:tcW w:w="709" w:type="dxa"/>
                  <w:vAlign w:val="center"/>
                </w:tcPr>
                <w:p w14:paraId="2825B393" w14:textId="77777777" w:rsidR="00380920" w:rsidRPr="009F02E3" w:rsidRDefault="00380920" w:rsidP="00D11A81">
                  <w:pPr>
                    <w:framePr w:hSpace="180" w:wrap="around" w:vAnchor="text" w:hAnchor="margin" w:xAlign="center" w:y="149"/>
                    <w:jc w:val="both"/>
                    <w:rPr>
                      <w:color w:val="000000" w:themeColor="text1"/>
                      <w:lang w:eastAsia="en-US"/>
                    </w:rPr>
                  </w:pPr>
                </w:p>
              </w:tc>
              <w:tc>
                <w:tcPr>
                  <w:tcW w:w="1276" w:type="dxa"/>
                  <w:vAlign w:val="bottom"/>
                </w:tcPr>
                <w:p w14:paraId="4966D030"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0,27</w:t>
                  </w:r>
                </w:p>
              </w:tc>
              <w:tc>
                <w:tcPr>
                  <w:tcW w:w="1843" w:type="dxa"/>
                  <w:vAlign w:val="bottom"/>
                </w:tcPr>
                <w:p w14:paraId="084DADB6"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0,33</w:t>
                  </w:r>
                </w:p>
              </w:tc>
            </w:tr>
            <w:tr w:rsidR="009F02E3" w:rsidRPr="009F02E3" w14:paraId="1EC8FE51" w14:textId="77777777" w:rsidTr="00BD56BE">
              <w:tc>
                <w:tcPr>
                  <w:tcW w:w="704" w:type="dxa"/>
                  <w:vAlign w:val="center"/>
                </w:tcPr>
                <w:p w14:paraId="5B09A3B9" w14:textId="77777777" w:rsidR="00380920" w:rsidRPr="009F02E3" w:rsidRDefault="00380920" w:rsidP="00D11A81">
                  <w:pPr>
                    <w:framePr w:hSpace="180" w:wrap="around" w:vAnchor="text" w:hAnchor="margin" w:xAlign="center" w:y="149"/>
                    <w:jc w:val="both"/>
                    <w:rPr>
                      <w:b/>
                      <w:color w:val="000000" w:themeColor="text1"/>
                      <w:lang w:eastAsia="en-US"/>
                    </w:rPr>
                  </w:pPr>
                  <w:r w:rsidRPr="009F02E3">
                    <w:rPr>
                      <w:b/>
                      <w:color w:val="000000" w:themeColor="text1"/>
                      <w:sz w:val="20"/>
                      <w:szCs w:val="20"/>
                    </w:rPr>
                    <w:t>4</w:t>
                  </w:r>
                </w:p>
              </w:tc>
              <w:tc>
                <w:tcPr>
                  <w:tcW w:w="3260" w:type="dxa"/>
                  <w:vAlign w:val="bottom"/>
                </w:tcPr>
                <w:p w14:paraId="1BDACDDF"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OIK izmaksas, milj. EUR</w:t>
                  </w:r>
                </w:p>
              </w:tc>
              <w:tc>
                <w:tcPr>
                  <w:tcW w:w="709" w:type="dxa"/>
                  <w:vAlign w:val="center"/>
                </w:tcPr>
                <w:p w14:paraId="34189970"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2*3</w:t>
                  </w:r>
                </w:p>
              </w:tc>
              <w:tc>
                <w:tcPr>
                  <w:tcW w:w="1276" w:type="dxa"/>
                  <w:vAlign w:val="bottom"/>
                </w:tcPr>
                <w:p w14:paraId="2EC324B9"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3,2</w:t>
                  </w:r>
                </w:p>
              </w:tc>
              <w:tc>
                <w:tcPr>
                  <w:tcW w:w="1843" w:type="dxa"/>
                  <w:vAlign w:val="bottom"/>
                </w:tcPr>
                <w:p w14:paraId="0F64882E"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7,0</w:t>
                  </w:r>
                </w:p>
              </w:tc>
            </w:tr>
            <w:tr w:rsidR="009F02E3" w:rsidRPr="009F02E3" w14:paraId="51844912" w14:textId="77777777" w:rsidTr="00BD56BE">
              <w:tc>
                <w:tcPr>
                  <w:tcW w:w="704" w:type="dxa"/>
                  <w:vAlign w:val="center"/>
                </w:tcPr>
                <w:p w14:paraId="1FD12658" w14:textId="77777777" w:rsidR="00380920" w:rsidRPr="009F02E3" w:rsidRDefault="00380920" w:rsidP="00D11A81">
                  <w:pPr>
                    <w:framePr w:hSpace="180" w:wrap="around" w:vAnchor="text" w:hAnchor="margin" w:xAlign="center" w:y="149"/>
                    <w:jc w:val="both"/>
                    <w:rPr>
                      <w:b/>
                      <w:color w:val="000000" w:themeColor="text1"/>
                      <w:lang w:eastAsia="en-US"/>
                    </w:rPr>
                  </w:pPr>
                  <w:r w:rsidRPr="009F02E3">
                    <w:rPr>
                      <w:b/>
                      <w:color w:val="000000" w:themeColor="text1"/>
                      <w:sz w:val="20"/>
                      <w:szCs w:val="20"/>
                    </w:rPr>
                    <w:t>5</w:t>
                  </w:r>
                </w:p>
              </w:tc>
              <w:tc>
                <w:tcPr>
                  <w:tcW w:w="3260" w:type="dxa"/>
                  <w:vAlign w:val="bottom"/>
                </w:tcPr>
                <w:p w14:paraId="35B8CB4C"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OIK kompensācijas koeficients</w:t>
                  </w:r>
                </w:p>
              </w:tc>
              <w:tc>
                <w:tcPr>
                  <w:tcW w:w="709" w:type="dxa"/>
                  <w:vAlign w:val="center"/>
                </w:tcPr>
                <w:p w14:paraId="0D5BE779" w14:textId="77777777" w:rsidR="00380920" w:rsidRPr="009F02E3" w:rsidRDefault="00380920" w:rsidP="00D11A81">
                  <w:pPr>
                    <w:framePr w:hSpace="180" w:wrap="around" w:vAnchor="text" w:hAnchor="margin" w:xAlign="center" w:y="149"/>
                    <w:jc w:val="both"/>
                    <w:rPr>
                      <w:color w:val="000000" w:themeColor="text1"/>
                      <w:lang w:eastAsia="en-US"/>
                    </w:rPr>
                  </w:pPr>
                </w:p>
              </w:tc>
              <w:tc>
                <w:tcPr>
                  <w:tcW w:w="1276" w:type="dxa"/>
                  <w:vAlign w:val="bottom"/>
                </w:tcPr>
                <w:p w14:paraId="19CBBDAA"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0,38</w:t>
                  </w:r>
                </w:p>
              </w:tc>
              <w:tc>
                <w:tcPr>
                  <w:tcW w:w="1843" w:type="dxa"/>
                  <w:vAlign w:val="bottom"/>
                </w:tcPr>
                <w:p w14:paraId="3837D8C8"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0,38</w:t>
                  </w:r>
                </w:p>
              </w:tc>
            </w:tr>
            <w:tr w:rsidR="009F02E3" w:rsidRPr="009F02E3" w14:paraId="63B63BB6" w14:textId="77777777" w:rsidTr="00BD56BE">
              <w:tc>
                <w:tcPr>
                  <w:tcW w:w="704" w:type="dxa"/>
                  <w:vAlign w:val="center"/>
                </w:tcPr>
                <w:p w14:paraId="5AF41E44" w14:textId="77777777" w:rsidR="00380920" w:rsidRPr="009F02E3" w:rsidRDefault="00380920" w:rsidP="00D11A81">
                  <w:pPr>
                    <w:framePr w:hSpace="180" w:wrap="around" w:vAnchor="text" w:hAnchor="margin" w:xAlign="center" w:y="149"/>
                    <w:jc w:val="both"/>
                    <w:rPr>
                      <w:b/>
                      <w:color w:val="000000" w:themeColor="text1"/>
                      <w:lang w:eastAsia="en-US"/>
                    </w:rPr>
                  </w:pPr>
                  <w:r w:rsidRPr="009F02E3">
                    <w:rPr>
                      <w:b/>
                      <w:color w:val="000000" w:themeColor="text1"/>
                      <w:sz w:val="20"/>
                      <w:szCs w:val="20"/>
                    </w:rPr>
                    <w:t>6</w:t>
                  </w:r>
                </w:p>
              </w:tc>
              <w:tc>
                <w:tcPr>
                  <w:tcW w:w="3260" w:type="dxa"/>
                  <w:vAlign w:val="bottom"/>
                </w:tcPr>
                <w:p w14:paraId="6239F1AA"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OIK kompensācija milj. EUR</w:t>
                  </w:r>
                </w:p>
              </w:tc>
              <w:tc>
                <w:tcPr>
                  <w:tcW w:w="709" w:type="dxa"/>
                  <w:vAlign w:val="center"/>
                </w:tcPr>
                <w:p w14:paraId="63F8F43A"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4*5</w:t>
                  </w:r>
                </w:p>
              </w:tc>
              <w:tc>
                <w:tcPr>
                  <w:tcW w:w="1276" w:type="dxa"/>
                  <w:vAlign w:val="bottom"/>
                </w:tcPr>
                <w:p w14:paraId="60BE3D5E"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1,2</w:t>
                  </w:r>
                </w:p>
              </w:tc>
              <w:tc>
                <w:tcPr>
                  <w:tcW w:w="1843" w:type="dxa"/>
                  <w:vAlign w:val="bottom"/>
                </w:tcPr>
                <w:p w14:paraId="7D45395A"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2,6</w:t>
                  </w:r>
                </w:p>
              </w:tc>
            </w:tr>
            <w:tr w:rsidR="009F02E3" w:rsidRPr="009F02E3" w14:paraId="3211A1C1" w14:textId="77777777" w:rsidTr="00BD56BE">
              <w:tc>
                <w:tcPr>
                  <w:tcW w:w="704" w:type="dxa"/>
                  <w:vAlign w:val="center"/>
                </w:tcPr>
                <w:p w14:paraId="611DA56F" w14:textId="77777777" w:rsidR="00380920" w:rsidRPr="009F02E3" w:rsidRDefault="00380920" w:rsidP="00D11A81">
                  <w:pPr>
                    <w:framePr w:hSpace="180" w:wrap="around" w:vAnchor="text" w:hAnchor="margin" w:xAlign="center" w:y="149"/>
                    <w:jc w:val="both"/>
                    <w:rPr>
                      <w:b/>
                      <w:color w:val="000000" w:themeColor="text1"/>
                      <w:lang w:eastAsia="en-US"/>
                    </w:rPr>
                  </w:pPr>
                  <w:r w:rsidRPr="009F02E3">
                    <w:rPr>
                      <w:b/>
                      <w:color w:val="000000" w:themeColor="text1"/>
                      <w:sz w:val="20"/>
                      <w:szCs w:val="20"/>
                    </w:rPr>
                    <w:t>7</w:t>
                  </w:r>
                </w:p>
              </w:tc>
              <w:tc>
                <w:tcPr>
                  <w:tcW w:w="3260" w:type="dxa"/>
                  <w:vAlign w:val="bottom"/>
                </w:tcPr>
                <w:p w14:paraId="496077E1"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Izmaksu samazinājums, %</w:t>
                  </w:r>
                </w:p>
              </w:tc>
              <w:tc>
                <w:tcPr>
                  <w:tcW w:w="709" w:type="dxa"/>
                  <w:vAlign w:val="center"/>
                </w:tcPr>
                <w:p w14:paraId="14E3C370"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6/1</w:t>
                  </w:r>
                </w:p>
              </w:tc>
              <w:tc>
                <w:tcPr>
                  <w:tcW w:w="1276" w:type="dxa"/>
                  <w:vAlign w:val="bottom"/>
                </w:tcPr>
                <w:p w14:paraId="00CD6B38"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0,6</w:t>
                  </w:r>
                </w:p>
              </w:tc>
              <w:tc>
                <w:tcPr>
                  <w:tcW w:w="1843" w:type="dxa"/>
                  <w:vAlign w:val="bottom"/>
                </w:tcPr>
                <w:p w14:paraId="6396FA6A" w14:textId="77777777" w:rsidR="00380920" w:rsidRPr="009F02E3" w:rsidRDefault="00380920" w:rsidP="00D11A81">
                  <w:pPr>
                    <w:framePr w:hSpace="180" w:wrap="around" w:vAnchor="text" w:hAnchor="margin" w:xAlign="center" w:y="149"/>
                    <w:jc w:val="both"/>
                    <w:rPr>
                      <w:color w:val="000000" w:themeColor="text1"/>
                      <w:lang w:eastAsia="en-US"/>
                    </w:rPr>
                  </w:pPr>
                  <w:r w:rsidRPr="009F02E3">
                    <w:rPr>
                      <w:color w:val="000000" w:themeColor="text1"/>
                      <w:sz w:val="20"/>
                      <w:szCs w:val="20"/>
                    </w:rPr>
                    <w:t>1,4</w:t>
                  </w:r>
                </w:p>
              </w:tc>
            </w:tr>
          </w:tbl>
          <w:p w14:paraId="697747F8" w14:textId="77777777" w:rsidR="00380920" w:rsidRPr="009F02E3" w:rsidRDefault="00380920" w:rsidP="003D30E4">
            <w:pPr>
              <w:jc w:val="both"/>
              <w:rPr>
                <w:color w:val="000000" w:themeColor="text1"/>
                <w:lang w:eastAsia="en-US"/>
              </w:rPr>
            </w:pPr>
          </w:p>
          <w:p w14:paraId="2010F3A6" w14:textId="77777777" w:rsidR="00380920" w:rsidRPr="009F02E3" w:rsidRDefault="00380920" w:rsidP="003D30E4">
            <w:pPr>
              <w:pStyle w:val="NormalWeb"/>
              <w:spacing w:before="0" w:beforeAutospacing="0" w:after="0" w:afterAutospacing="0"/>
              <w:jc w:val="both"/>
              <w:rPr>
                <w:color w:val="000000" w:themeColor="text1"/>
                <w:lang w:eastAsia="en-US"/>
              </w:rPr>
            </w:pPr>
            <w:r w:rsidRPr="009F02E3">
              <w:rPr>
                <w:color w:val="000000" w:themeColor="text1"/>
                <w:lang w:eastAsia="en-US"/>
              </w:rPr>
              <w:t>Balstoties uz minētajiem pieņēmumiem, kopējās uzņēmumu izmaksas OIK atlaides saņemšanas gadījumā var samazināties par 0,6-1,4%.</w:t>
            </w:r>
          </w:p>
          <w:p w14:paraId="455FF920" w14:textId="77777777" w:rsidR="00380920" w:rsidRPr="009F02E3" w:rsidRDefault="00380920" w:rsidP="003D30E4">
            <w:pPr>
              <w:jc w:val="both"/>
              <w:rPr>
                <w:color w:val="000000" w:themeColor="text1"/>
                <w:lang w:eastAsia="en-US"/>
              </w:rPr>
            </w:pPr>
            <w:r w:rsidRPr="009F02E3">
              <w:rPr>
                <w:color w:val="000000" w:themeColor="text1"/>
                <w:lang w:eastAsia="en-US"/>
              </w:rPr>
              <w:t>Eksportspējīgajiem uzņēmumiem produkcijas cenas pamatā nosaka globālais tirgus. Tādējādi izmaksu samazinājuma rezultātā visticamāk pieaugs uzņēmumu bruto ienesa. Tas, savukārt, palielinās uzņēmuma rīcībā esošos finanšu resursus investīciju veikšanai vai arī ļaus samazināt uzņēmuma uzkrātās parādsaistības, tādējādi uzlabojot uzņēmuma finansiālo stāvokli.</w:t>
            </w:r>
          </w:p>
          <w:p w14:paraId="0DE527F4" w14:textId="77777777" w:rsidR="00380920" w:rsidRPr="009F02E3" w:rsidRDefault="00380920" w:rsidP="00ED01AA">
            <w:pPr>
              <w:jc w:val="center"/>
              <w:rPr>
                <w:color w:val="000000" w:themeColor="text1"/>
                <w:lang w:eastAsia="en-US"/>
              </w:rPr>
            </w:pPr>
            <w:r w:rsidRPr="009F02E3">
              <w:rPr>
                <w:noProof/>
                <w:color w:val="000000" w:themeColor="text1"/>
              </w:rPr>
              <w:lastRenderedPageBreak/>
              <w:drawing>
                <wp:inline distT="0" distB="0" distL="0" distR="0" wp14:anchorId="3D70987C" wp14:editId="390782C1">
                  <wp:extent cx="3799914"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png"/>
                          <pic:cNvPicPr/>
                        </pic:nvPicPr>
                        <pic:blipFill>
                          <a:blip r:embed="rId8">
                            <a:extLst>
                              <a:ext uri="{28A0092B-C50C-407E-A947-70E740481C1C}">
                                <a14:useLocalDpi xmlns:a14="http://schemas.microsoft.com/office/drawing/2010/main" val="0"/>
                              </a:ext>
                            </a:extLst>
                          </a:blip>
                          <a:stretch>
                            <a:fillRect/>
                          </a:stretch>
                        </pic:blipFill>
                        <pic:spPr>
                          <a:xfrm>
                            <a:off x="0" y="0"/>
                            <a:ext cx="3842873" cy="2157721"/>
                          </a:xfrm>
                          <a:prstGeom prst="rect">
                            <a:avLst/>
                          </a:prstGeom>
                        </pic:spPr>
                      </pic:pic>
                    </a:graphicData>
                  </a:graphic>
                </wp:inline>
              </w:drawing>
            </w:r>
          </w:p>
          <w:p w14:paraId="2B3A81A0" w14:textId="77777777" w:rsidR="00380920" w:rsidRPr="009F02E3" w:rsidRDefault="00380920" w:rsidP="00ED01AA">
            <w:pPr>
              <w:rPr>
                <w:b/>
                <w:color w:val="000000" w:themeColor="text1"/>
                <w:lang w:eastAsia="en-US"/>
              </w:rPr>
            </w:pPr>
            <w:r w:rsidRPr="009F02E3">
              <w:rPr>
                <w:b/>
                <w:color w:val="000000" w:themeColor="text1"/>
                <w:lang w:eastAsia="en-US"/>
              </w:rPr>
              <w:t>1.attēls. Elektroenerģijas cenas rūpnieciskajiem patērētājiem Austrumeiropā.</w:t>
            </w:r>
          </w:p>
          <w:p w14:paraId="7E8BA3A0" w14:textId="77777777" w:rsidR="00380920" w:rsidRPr="009F02E3" w:rsidRDefault="00380920" w:rsidP="00ED01AA">
            <w:pPr>
              <w:rPr>
                <w:i/>
                <w:color w:val="000000" w:themeColor="text1"/>
                <w:lang w:eastAsia="en-US"/>
              </w:rPr>
            </w:pPr>
            <w:r w:rsidRPr="009F02E3">
              <w:rPr>
                <w:i/>
                <w:color w:val="000000" w:themeColor="text1"/>
                <w:lang w:eastAsia="en-US"/>
              </w:rPr>
              <w:t>Avots: Ekonomikas ministrija</w:t>
            </w:r>
          </w:p>
          <w:p w14:paraId="4E111C6C" w14:textId="77777777" w:rsidR="00380920" w:rsidRPr="009F02E3" w:rsidRDefault="00380920" w:rsidP="00ED01AA">
            <w:pPr>
              <w:rPr>
                <w:color w:val="000000" w:themeColor="text1"/>
                <w:lang w:eastAsia="en-US"/>
              </w:rPr>
            </w:pPr>
          </w:p>
          <w:p w14:paraId="017C3946" w14:textId="45FD6A0C" w:rsidR="00380920" w:rsidRPr="009F02E3" w:rsidRDefault="00380920" w:rsidP="007B21A3">
            <w:pPr>
              <w:jc w:val="both"/>
              <w:rPr>
                <w:color w:val="000000" w:themeColor="text1"/>
                <w:lang w:eastAsia="en-US"/>
              </w:rPr>
            </w:pPr>
            <w:r w:rsidRPr="009F02E3">
              <w:rPr>
                <w:color w:val="000000" w:themeColor="text1"/>
                <w:lang w:eastAsia="en-US"/>
              </w:rPr>
              <w:t>Vērtējot kvalitatīvus ieguvumus tautsaimniecībai no OIK atlaides piešķiršanas</w:t>
            </w:r>
            <w:r w:rsidR="002A5405">
              <w:rPr>
                <w:color w:val="000000" w:themeColor="text1"/>
                <w:lang w:eastAsia="en-US"/>
              </w:rPr>
              <w:t>,</w:t>
            </w:r>
            <w:r w:rsidRPr="009F02E3">
              <w:rPr>
                <w:color w:val="000000" w:themeColor="text1"/>
                <w:lang w:eastAsia="en-US"/>
              </w:rPr>
              <w:t xml:space="preserve"> jāņem vērā, kādā veidā uzņēmumi izmantos saņemto OIK atlaidi (dotāciju). Latvijas ekonomikas konkurētspējas priekšrocības vidējā termiņā jābalsta uz tehnoloģiskiem faktoriem, ražošanas efektivitātes uzlabošanu un inovācijām, mazākā mērā uz lētu darbaspēku un zemām resursu cenām. Veicinot energoefektivitātes pasākumus uzņēmumā, lai turpmāk vēl vairāk samazinātu ražošanas izmaksas, veicot investīcijas tehnoloģiju modernizācijā un produktivitātes palielināšanā,  vai arī  ieguldos pētniecībā un attīstībā jaunu produktu izstrādē,  vidējā termiņā tiks veicināta uzņēmuma globālā konkurētspēja. Tas, savukārt, dos iespēju kāpināt ražošanas apjomus, palielināt eksportēto preču ienesīgumu utt.</w:t>
            </w:r>
          </w:p>
          <w:p w14:paraId="15ADE456" w14:textId="77777777" w:rsidR="00380920" w:rsidRPr="009F02E3" w:rsidRDefault="00380920" w:rsidP="00A71726">
            <w:pPr>
              <w:jc w:val="both"/>
              <w:rPr>
                <w:color w:val="000000" w:themeColor="text1"/>
              </w:rPr>
            </w:pPr>
            <w:r w:rsidRPr="009F02E3">
              <w:rPr>
                <w:color w:val="000000" w:themeColor="text1"/>
              </w:rPr>
              <w:t>Salīdzinot elektroenerģijas cenas rūpnieciskajiem patērētājiem Baltijā un Austrumeiropā, var secināt, ka tirgus vidējās cenas apskatītajās valstīs būtiski neatšķiras un ir robežās starp 40 un 50 EUR (</w:t>
            </w:r>
            <w:proofErr w:type="spellStart"/>
            <w:r w:rsidRPr="009F02E3">
              <w:rPr>
                <w:i/>
                <w:color w:val="000000" w:themeColor="text1"/>
              </w:rPr>
              <w:t>Nordpool</w:t>
            </w:r>
            <w:proofErr w:type="spellEnd"/>
            <w:r w:rsidRPr="009F02E3">
              <w:rPr>
                <w:i/>
                <w:color w:val="000000" w:themeColor="text1"/>
              </w:rPr>
              <w:t xml:space="preserve"> </w:t>
            </w:r>
            <w:proofErr w:type="spellStart"/>
            <w:r w:rsidRPr="009F02E3">
              <w:rPr>
                <w:i/>
                <w:color w:val="000000" w:themeColor="text1"/>
              </w:rPr>
              <w:t>Spot</w:t>
            </w:r>
            <w:proofErr w:type="spellEnd"/>
            <w:r w:rsidRPr="009F02E3">
              <w:rPr>
                <w:color w:val="000000" w:themeColor="text1"/>
              </w:rPr>
              <w:t xml:space="preserve"> un </w:t>
            </w:r>
            <w:proofErr w:type="spellStart"/>
            <w:r w:rsidRPr="009F02E3">
              <w:rPr>
                <w:i/>
                <w:color w:val="000000" w:themeColor="text1"/>
              </w:rPr>
              <w:t>Eurostat</w:t>
            </w:r>
            <w:proofErr w:type="spellEnd"/>
            <w:r w:rsidRPr="009F02E3">
              <w:rPr>
                <w:color w:val="000000" w:themeColor="text1"/>
              </w:rPr>
              <w:t xml:space="preserve"> dati), taču ievērojamas atšķirības ir konstatējamas papildus izmaksās, kuras veido sistēmas tarifi un elektroenerģijas ražošanas atbalsta sistēmas, kā rezultātā Latvijas kā potenciālas investīciju mērķa valsts pievilcība ir zema. Īpaši tas ir attiecināms uz energoietilpīgu ražošanas uzņēmumu sektoru un, neveicot izmaiņas regulējumā, Polijas, Igaunijas un Čehijas piedāvājums jauniem investīciju projektiem ir ievērojami izdevīgāks.</w:t>
            </w:r>
          </w:p>
          <w:p w14:paraId="426BB3D4" w14:textId="77777777" w:rsidR="00380920" w:rsidRPr="009F02E3" w:rsidRDefault="00380920" w:rsidP="00314470">
            <w:pPr>
              <w:jc w:val="center"/>
              <w:rPr>
                <w:color w:val="000000" w:themeColor="text1"/>
                <w:sz w:val="22"/>
                <w:szCs w:val="22"/>
              </w:rPr>
            </w:pPr>
            <w:r w:rsidRPr="009F02E3">
              <w:rPr>
                <w:noProof/>
                <w:color w:val="000000" w:themeColor="text1"/>
                <w:sz w:val="22"/>
                <w:szCs w:val="22"/>
              </w:rPr>
              <w:drawing>
                <wp:inline distT="0" distB="0" distL="0" distR="0" wp14:anchorId="5844D10A" wp14:editId="622ED5EB">
                  <wp:extent cx="3752234" cy="20840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ng"/>
                          <pic:cNvPicPr/>
                        </pic:nvPicPr>
                        <pic:blipFill>
                          <a:blip r:embed="rId9">
                            <a:extLst>
                              <a:ext uri="{28A0092B-C50C-407E-A947-70E740481C1C}">
                                <a14:useLocalDpi xmlns:a14="http://schemas.microsoft.com/office/drawing/2010/main" val="0"/>
                              </a:ext>
                            </a:extLst>
                          </a:blip>
                          <a:stretch>
                            <a:fillRect/>
                          </a:stretch>
                        </pic:blipFill>
                        <pic:spPr>
                          <a:xfrm>
                            <a:off x="0" y="0"/>
                            <a:ext cx="3783424" cy="2101394"/>
                          </a:xfrm>
                          <a:prstGeom prst="rect">
                            <a:avLst/>
                          </a:prstGeom>
                        </pic:spPr>
                      </pic:pic>
                    </a:graphicData>
                  </a:graphic>
                </wp:inline>
              </w:drawing>
            </w:r>
          </w:p>
          <w:p w14:paraId="38DEA0FC" w14:textId="77777777" w:rsidR="00380920" w:rsidRPr="009F02E3" w:rsidRDefault="00380920" w:rsidP="00314470">
            <w:pPr>
              <w:rPr>
                <w:b/>
                <w:color w:val="000000" w:themeColor="text1"/>
                <w:sz w:val="22"/>
                <w:szCs w:val="22"/>
              </w:rPr>
            </w:pPr>
            <w:r w:rsidRPr="009F02E3">
              <w:rPr>
                <w:b/>
                <w:color w:val="000000" w:themeColor="text1"/>
                <w:sz w:val="22"/>
                <w:szCs w:val="22"/>
              </w:rPr>
              <w:t>2.attēls. Elektroenerģijas patēriņa sadalījums Austrumeiropā.</w:t>
            </w:r>
          </w:p>
          <w:p w14:paraId="4FD2BCA3" w14:textId="77777777" w:rsidR="00380920" w:rsidRPr="009F02E3" w:rsidRDefault="00380920" w:rsidP="00314470">
            <w:pPr>
              <w:rPr>
                <w:i/>
                <w:color w:val="000000" w:themeColor="text1"/>
                <w:sz w:val="22"/>
                <w:szCs w:val="22"/>
              </w:rPr>
            </w:pPr>
            <w:r w:rsidRPr="009F02E3">
              <w:rPr>
                <w:i/>
                <w:color w:val="000000" w:themeColor="text1"/>
                <w:sz w:val="22"/>
                <w:szCs w:val="22"/>
              </w:rPr>
              <w:t>Avots: Ekonomikas ministrijā</w:t>
            </w:r>
          </w:p>
          <w:p w14:paraId="55BEA180" w14:textId="77777777" w:rsidR="00380920" w:rsidRPr="009F02E3" w:rsidRDefault="00380920" w:rsidP="00D82CA1">
            <w:pPr>
              <w:jc w:val="both"/>
              <w:rPr>
                <w:color w:val="000000" w:themeColor="text1"/>
              </w:rPr>
            </w:pPr>
            <w:r w:rsidRPr="009F02E3">
              <w:rPr>
                <w:color w:val="000000" w:themeColor="text1"/>
              </w:rPr>
              <w:lastRenderedPageBreak/>
              <w:t>Par to arī liecina Latvijas Investīciju un attīstības aģentūras pieredze investīciju piesaistē, kur vairāku gadu garumā enerģijas izmaksas ir atzīmētas kā viens no galvenajiem faktoriem investoru lēmumu pieņemšanā izvēloties mērķa valsti. Būtiski neuzlabojot elektroenerģijas gala cenu esošajiem un jauniem apstrādes rūpniecības uzņēmumiem var turpināties tendence sarukt apstrādes rūpniecības daļai kopējā elektroenerģijas patēriņā, rezultātā sadārdzināties sistēmas tarifu un OIK izmaksām pārējiem lietotājiem.</w:t>
            </w:r>
          </w:p>
          <w:p w14:paraId="52296DB5" w14:textId="1E68E755" w:rsidR="0061098D" w:rsidRPr="009F02E3" w:rsidRDefault="00FA241D" w:rsidP="007A5E34">
            <w:pPr>
              <w:jc w:val="both"/>
              <w:rPr>
                <w:color w:val="000000" w:themeColor="text1"/>
              </w:rPr>
            </w:pPr>
            <w:r w:rsidRPr="009F02E3">
              <w:rPr>
                <w:color w:val="000000" w:themeColor="text1"/>
              </w:rPr>
              <w:t xml:space="preserve">2012. gada  9. februāri Latvijas standarta statusā pieņemts ISO 50001 standarts „Energopārvaldības sistēmas. Prasības un lietošanas norādījumi.” Tas ir piemērojams katram Latvijas uzņēmumam un iestādei, rosinot pievērsties energoefektivitātes un energotaupības pasākumiem. Latvijas standarta statusā dokuments atrodams ar nosaukumu LVS EN ISO 50001:2012 „Energopārvaldības sistēmas. Prasības un lietošanas norādījumi.” </w:t>
            </w:r>
            <w:r w:rsidR="00EF687E" w:rsidRPr="009F02E3">
              <w:rPr>
                <w:color w:val="000000" w:themeColor="text1"/>
              </w:rPr>
              <w:t>s</w:t>
            </w:r>
            <w:r w:rsidRPr="009F02E3">
              <w:rPr>
                <w:color w:val="000000" w:themeColor="text1"/>
              </w:rPr>
              <w:t>tandarta galvenais mērķis ir ieviest enerģijas patēriņa optimizēšanu un sistemātisku pieeju energoresursu plānošanā. ISO 50001:2011 ir viens no energopārvaldes sistēmas standartiem, kas ietver gan labāko pasaules praksi, iekļaujot loģisku un pārdomātu metodi, gan norādījumus, kas nodrošinās efektīvu uzņēmuma darbību ilgtermiņā. Noteikumu projekta uzņēmumiem viena no prasībām ir ieviests LVS EN ISO 50001:2012 „Energopārvaldības sistēmas. Prasības un lietošanas norādījumi.” standarts, kas norāda, ka komersants ir veicis darbības enerģijas patēriņa optimizēšanā un sistemātiskas pieejas energoresursu izmantošanas plānošanā.</w:t>
            </w:r>
            <w:r w:rsidRPr="009F02E3">
              <w:rPr>
                <w:rStyle w:val="FootnoteReference"/>
                <w:color w:val="000000" w:themeColor="text1"/>
              </w:rPr>
              <w:footnoteReference w:id="5"/>
            </w:r>
            <w:r w:rsidR="007A5E34" w:rsidRPr="009F02E3">
              <w:rPr>
                <w:color w:val="000000" w:themeColor="text1"/>
              </w:rPr>
              <w:t xml:space="preserve"> Komersantam būs jāiesniedz sertifikāta kopiju, kas apliecina, ka komersants ir ieviesis ISO 50001 standartu.</w:t>
            </w:r>
          </w:p>
        </w:tc>
      </w:tr>
      <w:tr w:rsidR="009F02E3" w:rsidRPr="009F02E3" w14:paraId="6B7852EB" w14:textId="77777777" w:rsidTr="00F032FA">
        <w:trPr>
          <w:trHeight w:val="1833"/>
        </w:trPr>
        <w:tc>
          <w:tcPr>
            <w:tcW w:w="278" w:type="dxa"/>
          </w:tcPr>
          <w:p w14:paraId="5C5ACF97" w14:textId="66A1E47B" w:rsidR="00380920" w:rsidRPr="009F02E3" w:rsidRDefault="00380920" w:rsidP="008667DC">
            <w:pPr>
              <w:jc w:val="both"/>
              <w:rPr>
                <w:color w:val="000000" w:themeColor="text1"/>
              </w:rPr>
            </w:pPr>
            <w:r w:rsidRPr="009F02E3">
              <w:rPr>
                <w:color w:val="000000" w:themeColor="text1"/>
              </w:rPr>
              <w:lastRenderedPageBreak/>
              <w:t>3.</w:t>
            </w:r>
          </w:p>
        </w:tc>
        <w:tc>
          <w:tcPr>
            <w:tcW w:w="1407" w:type="dxa"/>
          </w:tcPr>
          <w:p w14:paraId="539E7761" w14:textId="5231D23A" w:rsidR="00380920" w:rsidRPr="009F02E3" w:rsidRDefault="00380920" w:rsidP="008667DC">
            <w:pPr>
              <w:jc w:val="both"/>
              <w:rPr>
                <w:color w:val="000000" w:themeColor="text1"/>
              </w:rPr>
            </w:pPr>
            <w:r w:rsidRPr="009F02E3">
              <w:rPr>
                <w:color w:val="000000" w:themeColor="text1"/>
              </w:rPr>
              <w:t>Administratīvo izmaksu monetārs novērtējums</w:t>
            </w:r>
          </w:p>
        </w:tc>
        <w:tc>
          <w:tcPr>
            <w:tcW w:w="8085" w:type="dxa"/>
          </w:tcPr>
          <w:p w14:paraId="0156AE7E" w14:textId="06C8EB60" w:rsidR="00380920" w:rsidRPr="009F02E3" w:rsidRDefault="00380920" w:rsidP="004B1CB8">
            <w:pPr>
              <w:jc w:val="both"/>
              <w:rPr>
                <w:iCs/>
                <w:color w:val="000000" w:themeColor="text1"/>
              </w:rPr>
            </w:pPr>
            <w:r w:rsidRPr="009F02E3">
              <w:rPr>
                <w:color w:val="000000" w:themeColor="text1"/>
              </w:rPr>
              <w:t xml:space="preserve">Administratīvo izmaksu novērtējums </w:t>
            </w:r>
            <w:proofErr w:type="spellStart"/>
            <w:r w:rsidRPr="009F02E3">
              <w:rPr>
                <w:color w:val="000000" w:themeColor="text1"/>
              </w:rPr>
              <w:t>mērķgrupai</w:t>
            </w:r>
            <w:proofErr w:type="spellEnd"/>
            <w:r w:rsidRPr="009F02E3">
              <w:rPr>
                <w:color w:val="000000" w:themeColor="text1"/>
              </w:rPr>
              <w:t>, kuru veido juridiskas personas</w:t>
            </w:r>
            <w:r w:rsidR="002A5405">
              <w:rPr>
                <w:color w:val="000000" w:themeColor="text1"/>
              </w:rPr>
              <w:t>,</w:t>
            </w:r>
            <w:r w:rsidRPr="009F02E3">
              <w:rPr>
                <w:color w:val="000000" w:themeColor="text1"/>
              </w:rPr>
              <w:t xml:space="preserve"> netiek veikts, jo ar noteikumu projektu paredzamās izmaksas </w:t>
            </w:r>
            <w:r w:rsidR="002A5405">
              <w:rPr>
                <w:color w:val="000000" w:themeColor="text1"/>
              </w:rPr>
              <w:t xml:space="preserve">par katru kalendāro gadu </w:t>
            </w:r>
            <w:r w:rsidRPr="009F02E3">
              <w:rPr>
                <w:color w:val="000000" w:themeColor="text1"/>
              </w:rPr>
              <w:t>dokumentu sagatavošanai</w:t>
            </w:r>
            <w:r w:rsidR="002A5405">
              <w:rPr>
                <w:color w:val="000000" w:themeColor="text1"/>
              </w:rPr>
              <w:t xml:space="preserve"> provizoriski </w:t>
            </w:r>
            <w:r w:rsidRPr="009F02E3">
              <w:rPr>
                <w:color w:val="000000" w:themeColor="text1"/>
              </w:rPr>
              <w:t xml:space="preserve">ir zem </w:t>
            </w:r>
            <w:r w:rsidRPr="009F02E3">
              <w:rPr>
                <w:i/>
                <w:color w:val="000000" w:themeColor="text1"/>
              </w:rPr>
              <w:t xml:space="preserve">2000 </w:t>
            </w:r>
            <w:r w:rsidRPr="009F02E3">
              <w:rPr>
                <w:i/>
                <w:iCs/>
                <w:color w:val="000000" w:themeColor="text1"/>
              </w:rPr>
              <w:t>euro</w:t>
            </w:r>
            <w:r w:rsidRPr="009F02E3">
              <w:rPr>
                <w:iCs/>
                <w:color w:val="000000" w:themeColor="text1"/>
              </w:rPr>
              <w:t xml:space="preserve"> atzīmes.</w:t>
            </w:r>
          </w:p>
          <w:p w14:paraId="749BEC70" w14:textId="64FA6564" w:rsidR="00380920" w:rsidRPr="009F02E3" w:rsidRDefault="00380920" w:rsidP="004B1CB8">
            <w:pPr>
              <w:jc w:val="both"/>
              <w:rPr>
                <w:color w:val="000000" w:themeColor="text1"/>
              </w:rPr>
            </w:pPr>
            <w:r w:rsidRPr="009F02E3">
              <w:rPr>
                <w:color w:val="000000" w:themeColor="text1"/>
              </w:rPr>
              <w:t>Savukārt, veicot administratīvo izmaksu novērtējumu valsts pārvaldes institūcijām</w:t>
            </w:r>
            <w:r w:rsidR="002A5405">
              <w:rPr>
                <w:color w:val="000000" w:themeColor="text1"/>
              </w:rPr>
              <w:t>,</w:t>
            </w:r>
            <w:r w:rsidRPr="009F02E3">
              <w:rPr>
                <w:color w:val="000000" w:themeColor="text1"/>
              </w:rPr>
              <w:t xml:space="preserve"> var norādīt, ka ar noteikumu projektu tiek paredzēti papildu pienākumi Ekonomikas ministrijai, kas tiek veikti, saistībā ar komersantu iesniegtās informācijas pārbaudi un administratīva lēmuma pieņemšanu. </w:t>
            </w:r>
          </w:p>
          <w:p w14:paraId="7570BA9D" w14:textId="134DE2D0" w:rsidR="00380920" w:rsidRPr="009F02E3" w:rsidRDefault="00380920" w:rsidP="004B1CB8">
            <w:pPr>
              <w:jc w:val="both"/>
              <w:rPr>
                <w:color w:val="000000" w:themeColor="text1"/>
              </w:rPr>
            </w:pPr>
            <w:r w:rsidRPr="009F02E3">
              <w:rPr>
                <w:color w:val="000000" w:themeColor="text1"/>
              </w:rPr>
              <w:t xml:space="preserve">Veicot administratīvo izmaksu novērtējumu </w:t>
            </w:r>
            <w:r w:rsidRPr="009F02E3">
              <w:rPr>
                <w:bCs/>
                <w:color w:val="000000" w:themeColor="text1"/>
                <w:szCs w:val="28"/>
              </w:rPr>
              <w:t>pie elektroenerģijas patēriņa vismaz 30 GWh apjomā</w:t>
            </w:r>
            <w:r w:rsidRPr="009F02E3">
              <w:rPr>
                <w:color w:val="000000" w:themeColor="text1"/>
              </w:rPr>
              <w:t>, tiek pieņemts, ka nepieciešamās pārbaudes darbības tiek veiktas esošo valsts pārvaldes cilvēkresursu ietvaros.</w:t>
            </w:r>
          </w:p>
          <w:p w14:paraId="00B404A3" w14:textId="77777777" w:rsidR="00380920" w:rsidRPr="009F02E3" w:rsidRDefault="00380920" w:rsidP="004B1CB8">
            <w:pPr>
              <w:jc w:val="both"/>
              <w:rPr>
                <w:color w:val="000000" w:themeColor="text1"/>
              </w:rPr>
            </w:pPr>
            <w:r w:rsidRPr="009F02E3">
              <w:rPr>
                <w:color w:val="000000" w:themeColor="text1"/>
              </w:rPr>
              <w:t xml:space="preserve">Ņemot vērā situāciju, kad šobrīd šāda sistēma nav pastāvējusi, ir apgrūtināti  veikt detalizētu administratīvo izmaksu novērtējumu. Tiek pieņemts, ka vidēji viena komersanta iesniegto dokumentu pārbaudei un administratīva lēmuma pieņemšanai par tiesību piešķiršanu vai nepiešķiršanu uz samazinātu līdzdalību izdevumu kompensēšanai publiskajam tirgotājam izpildi Ekonomikas ministrijā viens cilvēks veltītu 8 darba stundas. </w:t>
            </w:r>
          </w:p>
          <w:p w14:paraId="7ECC09AB" w14:textId="58014E95" w:rsidR="00380920" w:rsidRPr="009F02E3" w:rsidRDefault="00380920" w:rsidP="00745135">
            <w:pPr>
              <w:jc w:val="both"/>
              <w:rPr>
                <w:color w:val="000000" w:themeColor="text1"/>
              </w:rPr>
            </w:pPr>
            <w:r w:rsidRPr="009F02E3">
              <w:rPr>
                <w:color w:val="000000" w:themeColor="text1"/>
              </w:rPr>
              <w:t>Ja tiek pieņemts, ka vienas stundas darbaspēka izmaksas valsts pārvaldē 2014.gadā veidoja 6,84 EUR</w:t>
            </w:r>
            <w:r w:rsidRPr="009F02E3">
              <w:rPr>
                <w:rStyle w:val="FootnoteReference"/>
                <w:color w:val="000000" w:themeColor="text1"/>
              </w:rPr>
              <w:footnoteReference w:id="6"/>
            </w:r>
            <w:r w:rsidRPr="009F02E3">
              <w:rPr>
                <w:color w:val="000000" w:themeColor="text1"/>
              </w:rPr>
              <w:t>, tad attiecīgi 8 stundas veidotu izmaksas 54,72 EUR apjomā. Pēc Ekonomikas ministrijas prognozēm uz samazinātu līdzdalību izdevumu kompensēšanai publiskajam tirgotājam varētu pieteikties (arī komersanti, kas nekvalificētos visām noteikumu projekta prasībām) provizoriski 10 - 20 komersanti, kas administratīvo izmaksu monetāro novērtējumu veidotu provizoriski no 547,2 EUR līdz 1094,4 EUR apmērā katru gadu.</w:t>
            </w:r>
          </w:p>
          <w:p w14:paraId="152299F0" w14:textId="75108AE9" w:rsidR="00380920" w:rsidRPr="009F02E3" w:rsidRDefault="00380920" w:rsidP="00D82CA1">
            <w:pPr>
              <w:jc w:val="both"/>
              <w:rPr>
                <w:color w:val="000000" w:themeColor="text1"/>
              </w:rPr>
            </w:pPr>
            <w:r w:rsidRPr="009F02E3">
              <w:rPr>
                <w:color w:val="000000" w:themeColor="text1"/>
              </w:rPr>
              <w:lastRenderedPageBreak/>
              <w:t xml:space="preserve">Veicot administratīvo izmaksu novērtējumu </w:t>
            </w:r>
            <w:r w:rsidRPr="009F02E3">
              <w:rPr>
                <w:bCs/>
                <w:color w:val="000000" w:themeColor="text1"/>
                <w:szCs w:val="28"/>
              </w:rPr>
              <w:t>pie elektroenerģijas patēriņa vismaz 10 GWh apjomā</w:t>
            </w:r>
            <w:r w:rsidR="002A5405">
              <w:rPr>
                <w:bCs/>
                <w:color w:val="000000" w:themeColor="text1"/>
                <w:szCs w:val="28"/>
              </w:rPr>
              <w:t>,</w:t>
            </w:r>
            <w:r w:rsidRPr="009F02E3">
              <w:rPr>
                <w:color w:val="000000" w:themeColor="text1"/>
              </w:rPr>
              <w:t xml:space="preserve"> saskaņā ar noteikumu projekta kritērijiem būtu </w:t>
            </w:r>
            <w:r w:rsidRPr="009F02E3">
              <w:rPr>
                <w:b/>
                <w:color w:val="000000" w:themeColor="text1"/>
              </w:rPr>
              <w:t>nepieciešams izveidot papildu štata vietu</w:t>
            </w:r>
            <w:r w:rsidRPr="009F02E3">
              <w:rPr>
                <w:color w:val="000000" w:themeColor="text1"/>
              </w:rPr>
              <w:t>. Pēc Ekonomikas ministrijas prognozēm uz samazinātu līdzdalību izdevumu kompensēšanai publiskajam tirgotājam varētu pieteikties (arī komersanti, kas nekvalificētos visām noteikumu projekta prasībām) provizoriski 50 – 100 komersanti, kas administratīvo izmaksu monetāro novērtējumu veidotu provizoriski no 2736 EUR līdz 5472 EUR apmērā katru gadu.</w:t>
            </w:r>
          </w:p>
        </w:tc>
      </w:tr>
      <w:tr w:rsidR="009F02E3" w:rsidRPr="009F02E3" w14:paraId="413A9C0F" w14:textId="77777777" w:rsidTr="00380920">
        <w:trPr>
          <w:trHeight w:val="761"/>
        </w:trPr>
        <w:tc>
          <w:tcPr>
            <w:tcW w:w="278" w:type="dxa"/>
          </w:tcPr>
          <w:p w14:paraId="39A55E94" w14:textId="438663A5" w:rsidR="00380920" w:rsidRPr="009F02E3" w:rsidRDefault="00380920" w:rsidP="008667DC">
            <w:pPr>
              <w:jc w:val="both"/>
              <w:rPr>
                <w:color w:val="000000" w:themeColor="text1"/>
              </w:rPr>
            </w:pPr>
            <w:r w:rsidRPr="009F02E3">
              <w:rPr>
                <w:color w:val="000000" w:themeColor="text1"/>
              </w:rPr>
              <w:lastRenderedPageBreak/>
              <w:t>4.</w:t>
            </w:r>
          </w:p>
        </w:tc>
        <w:tc>
          <w:tcPr>
            <w:tcW w:w="1407" w:type="dxa"/>
          </w:tcPr>
          <w:p w14:paraId="0211F8B3" w14:textId="22DAA980" w:rsidR="00380920" w:rsidRPr="009F02E3" w:rsidRDefault="00380920" w:rsidP="008667DC">
            <w:pPr>
              <w:jc w:val="both"/>
              <w:rPr>
                <w:color w:val="000000" w:themeColor="text1"/>
              </w:rPr>
            </w:pPr>
            <w:r w:rsidRPr="009F02E3">
              <w:rPr>
                <w:color w:val="000000" w:themeColor="text1"/>
              </w:rPr>
              <w:t>Cita informācija</w:t>
            </w:r>
          </w:p>
        </w:tc>
        <w:tc>
          <w:tcPr>
            <w:tcW w:w="8085" w:type="dxa"/>
          </w:tcPr>
          <w:p w14:paraId="067E9584" w14:textId="77777777" w:rsidR="00380920" w:rsidRPr="009F02E3" w:rsidRDefault="00380920" w:rsidP="00D04F9A">
            <w:pPr>
              <w:tabs>
                <w:tab w:val="left" w:pos="284"/>
              </w:tabs>
              <w:jc w:val="both"/>
              <w:rPr>
                <w:color w:val="000000" w:themeColor="text1"/>
              </w:rPr>
            </w:pPr>
            <w:r w:rsidRPr="009F02E3">
              <w:rPr>
                <w:color w:val="000000" w:themeColor="text1"/>
              </w:rPr>
              <w:t>Pieejama Ministru kabineta 2014. gada 26. augusta sēdē (prot. Nr.45, 43.§) zināšanai pieņemtais informatīvais ziņojums „Par energointensīvo uzņēmumu konkurētspējas veicināšanu”.</w:t>
            </w:r>
          </w:p>
        </w:tc>
      </w:tr>
    </w:tbl>
    <w:p w14:paraId="0081B147" w14:textId="77777777" w:rsidR="00EC14D6" w:rsidRPr="009F02E3" w:rsidRDefault="00EC14D6" w:rsidP="008667DC">
      <w:pPr>
        <w:rPr>
          <w:color w:val="000000" w:themeColor="text1"/>
        </w:rPr>
      </w:pPr>
    </w:p>
    <w:p w14:paraId="7B69E9E1" w14:textId="77777777" w:rsidR="001C6026" w:rsidRPr="009F02E3" w:rsidRDefault="001C6026" w:rsidP="008667DC">
      <w:pPr>
        <w:rPr>
          <w:color w:val="000000" w:themeColor="text1"/>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468"/>
        <w:gridCol w:w="1177"/>
        <w:gridCol w:w="1399"/>
        <w:gridCol w:w="1228"/>
        <w:gridCol w:w="1177"/>
        <w:gridCol w:w="1392"/>
      </w:tblGrid>
      <w:tr w:rsidR="009F02E3" w:rsidRPr="009F02E3" w14:paraId="1D5BC3FC" w14:textId="77777777" w:rsidTr="00C32216">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7AA014" w14:textId="77777777" w:rsidR="00473F82" w:rsidRPr="009F02E3" w:rsidRDefault="00473F82" w:rsidP="00160E18">
            <w:pPr>
              <w:pStyle w:val="tvhtml"/>
              <w:spacing w:before="0" w:beforeAutospacing="0" w:after="0" w:afterAutospacing="0"/>
              <w:jc w:val="center"/>
              <w:rPr>
                <w:b/>
                <w:bCs/>
                <w:color w:val="000000" w:themeColor="text1"/>
              </w:rPr>
            </w:pPr>
            <w:r w:rsidRPr="009F02E3">
              <w:rPr>
                <w:b/>
                <w:bCs/>
                <w:color w:val="000000" w:themeColor="text1"/>
              </w:rPr>
              <w:t>III. Tiesību akta projekta ietekme uz valsts budžetu un pašvaldību budžetiem</w:t>
            </w:r>
            <w:r w:rsidR="00D04F9A" w:rsidRPr="009F02E3">
              <w:rPr>
                <w:rStyle w:val="FootnoteReference"/>
                <w:b/>
                <w:bCs/>
                <w:color w:val="000000" w:themeColor="text1"/>
              </w:rPr>
              <w:footnoteReference w:id="7"/>
            </w:r>
          </w:p>
        </w:tc>
      </w:tr>
      <w:tr w:rsidR="009F02E3" w:rsidRPr="009F02E3" w14:paraId="3150B950" w14:textId="77777777" w:rsidTr="006D4B30">
        <w:tc>
          <w:tcPr>
            <w:tcW w:w="176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A59AC" w14:textId="77777777" w:rsidR="00473F82" w:rsidRPr="009F02E3" w:rsidRDefault="00473F82" w:rsidP="00160E18">
            <w:pPr>
              <w:pStyle w:val="tvhtml"/>
              <w:spacing w:before="0" w:beforeAutospacing="0" w:after="0" w:afterAutospacing="0"/>
              <w:jc w:val="center"/>
              <w:rPr>
                <w:b/>
                <w:bCs/>
                <w:color w:val="000000" w:themeColor="text1"/>
                <w:sz w:val="20"/>
                <w:szCs w:val="20"/>
              </w:rPr>
            </w:pPr>
            <w:r w:rsidRPr="009F02E3">
              <w:rPr>
                <w:b/>
                <w:bCs/>
                <w:color w:val="000000" w:themeColor="text1"/>
                <w:sz w:val="20"/>
                <w:szCs w:val="20"/>
              </w:rPr>
              <w:t>Rādītāji</w:t>
            </w:r>
          </w:p>
        </w:tc>
        <w:tc>
          <w:tcPr>
            <w:tcW w:w="130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CF09BE" w14:textId="01A8DBFA" w:rsidR="00473F82" w:rsidRPr="009F02E3" w:rsidRDefault="00BA4D59" w:rsidP="00BA4D59">
            <w:pPr>
              <w:pStyle w:val="tvhtml"/>
              <w:spacing w:before="0" w:beforeAutospacing="0" w:after="0" w:afterAutospacing="0"/>
              <w:jc w:val="center"/>
              <w:rPr>
                <w:b/>
                <w:bCs/>
                <w:color w:val="000000" w:themeColor="text1"/>
                <w:sz w:val="20"/>
                <w:szCs w:val="20"/>
              </w:rPr>
            </w:pPr>
            <w:r w:rsidRPr="009F02E3">
              <w:rPr>
                <w:b/>
                <w:bCs/>
                <w:color w:val="000000" w:themeColor="text1"/>
                <w:sz w:val="20"/>
                <w:szCs w:val="20"/>
              </w:rPr>
              <w:t>2015.</w:t>
            </w:r>
            <w:r w:rsidR="00473F82" w:rsidRPr="009F02E3">
              <w:rPr>
                <w:b/>
                <w:bCs/>
                <w:color w:val="000000" w:themeColor="text1"/>
                <w:sz w:val="20"/>
                <w:szCs w:val="20"/>
              </w:rPr>
              <w:t xml:space="preserve"> gads</w:t>
            </w:r>
          </w:p>
        </w:tc>
        <w:tc>
          <w:tcPr>
            <w:tcW w:w="1929"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B58F8B" w14:textId="77777777" w:rsidR="00473F82" w:rsidRPr="009F02E3" w:rsidRDefault="00473F82" w:rsidP="00160E18">
            <w:pPr>
              <w:pStyle w:val="tvhtml"/>
              <w:spacing w:before="0" w:beforeAutospacing="0" w:after="0" w:afterAutospacing="0"/>
              <w:jc w:val="center"/>
              <w:rPr>
                <w:color w:val="000000" w:themeColor="text1"/>
                <w:sz w:val="20"/>
                <w:szCs w:val="20"/>
              </w:rPr>
            </w:pPr>
            <w:r w:rsidRPr="009F02E3">
              <w:rPr>
                <w:color w:val="000000" w:themeColor="text1"/>
                <w:sz w:val="20"/>
                <w:szCs w:val="20"/>
              </w:rPr>
              <w:t>Turpmākie trīs gadi (</w:t>
            </w:r>
            <w:r w:rsidRPr="009F02E3">
              <w:rPr>
                <w:i/>
                <w:iCs/>
                <w:color w:val="000000" w:themeColor="text1"/>
                <w:sz w:val="20"/>
                <w:szCs w:val="20"/>
              </w:rPr>
              <w:t>euro</w:t>
            </w:r>
            <w:r w:rsidRPr="009F02E3">
              <w:rPr>
                <w:color w:val="000000" w:themeColor="text1"/>
                <w:sz w:val="20"/>
                <w:szCs w:val="20"/>
              </w:rPr>
              <w:t>)</w:t>
            </w:r>
          </w:p>
        </w:tc>
      </w:tr>
      <w:tr w:rsidR="009F02E3" w:rsidRPr="009F02E3" w14:paraId="09C56E1C" w14:textId="77777777" w:rsidTr="006D4B30">
        <w:tc>
          <w:tcPr>
            <w:tcW w:w="17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E20889" w14:textId="77777777" w:rsidR="00473F82" w:rsidRPr="009F02E3" w:rsidRDefault="00473F82" w:rsidP="00160E18">
            <w:pPr>
              <w:rPr>
                <w:b/>
                <w:bCs/>
                <w:color w:val="000000" w:themeColor="text1"/>
                <w:sz w:val="20"/>
                <w:szCs w:val="20"/>
              </w:rPr>
            </w:pPr>
          </w:p>
        </w:tc>
        <w:tc>
          <w:tcPr>
            <w:tcW w:w="130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6E1468" w14:textId="77777777" w:rsidR="00473F82" w:rsidRPr="009F02E3" w:rsidRDefault="00473F82" w:rsidP="00160E18">
            <w:pPr>
              <w:rPr>
                <w:b/>
                <w:bCs/>
                <w:color w:val="000000" w:themeColor="text1"/>
                <w:sz w:val="20"/>
                <w:szCs w:val="20"/>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11D32A" w14:textId="74C42B19" w:rsidR="00473F82" w:rsidRPr="009F02E3" w:rsidRDefault="00BA4D59" w:rsidP="00160E18">
            <w:pPr>
              <w:pStyle w:val="tvhtml"/>
              <w:spacing w:before="0" w:beforeAutospacing="0" w:after="0" w:afterAutospacing="0"/>
              <w:jc w:val="center"/>
              <w:rPr>
                <w:b/>
                <w:bCs/>
                <w:color w:val="000000" w:themeColor="text1"/>
                <w:sz w:val="20"/>
                <w:szCs w:val="20"/>
              </w:rPr>
            </w:pPr>
            <w:r w:rsidRPr="009F02E3">
              <w:rPr>
                <w:b/>
                <w:bCs/>
                <w:color w:val="000000" w:themeColor="text1"/>
                <w:sz w:val="20"/>
                <w:szCs w:val="20"/>
              </w:rPr>
              <w:t>2016.</w:t>
            </w:r>
            <w:r w:rsidR="007339F1">
              <w:rPr>
                <w:b/>
                <w:bCs/>
                <w:color w:val="000000" w:themeColor="text1"/>
                <w:sz w:val="20"/>
                <w:szCs w:val="20"/>
              </w:rPr>
              <w:t> </w:t>
            </w:r>
            <w:r w:rsidRPr="009F02E3">
              <w:rPr>
                <w:b/>
                <w:bCs/>
                <w:color w:val="000000" w:themeColor="text1"/>
                <w:sz w:val="20"/>
                <w:szCs w:val="20"/>
              </w:rPr>
              <w:t>gads</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DEE188" w14:textId="24B65E96" w:rsidR="00473F82" w:rsidRPr="009F02E3" w:rsidRDefault="00BA4D59" w:rsidP="00160E18">
            <w:pPr>
              <w:pStyle w:val="tvhtml"/>
              <w:spacing w:before="0" w:beforeAutospacing="0" w:after="0" w:afterAutospacing="0"/>
              <w:jc w:val="center"/>
              <w:rPr>
                <w:b/>
                <w:bCs/>
                <w:color w:val="000000" w:themeColor="text1"/>
                <w:sz w:val="20"/>
                <w:szCs w:val="20"/>
              </w:rPr>
            </w:pPr>
            <w:r w:rsidRPr="009F02E3">
              <w:rPr>
                <w:b/>
                <w:bCs/>
                <w:color w:val="000000" w:themeColor="text1"/>
                <w:sz w:val="20"/>
                <w:szCs w:val="20"/>
              </w:rPr>
              <w:t>2017.</w:t>
            </w:r>
            <w:r w:rsidR="007339F1">
              <w:rPr>
                <w:b/>
                <w:bCs/>
                <w:color w:val="000000" w:themeColor="text1"/>
                <w:sz w:val="20"/>
                <w:szCs w:val="20"/>
              </w:rPr>
              <w:t> </w:t>
            </w:r>
            <w:r w:rsidRPr="009F02E3">
              <w:rPr>
                <w:b/>
                <w:bCs/>
                <w:color w:val="000000" w:themeColor="text1"/>
                <w:sz w:val="20"/>
                <w:szCs w:val="20"/>
              </w:rPr>
              <w:t>gads</w:t>
            </w:r>
          </w:p>
        </w:tc>
        <w:tc>
          <w:tcPr>
            <w:tcW w:w="7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EC7D8" w14:textId="035767C1" w:rsidR="00473F82" w:rsidRPr="009F02E3" w:rsidRDefault="00BA4D59" w:rsidP="00160E18">
            <w:pPr>
              <w:pStyle w:val="tvhtml"/>
              <w:spacing w:before="0" w:beforeAutospacing="0" w:after="0" w:afterAutospacing="0"/>
              <w:jc w:val="center"/>
              <w:rPr>
                <w:b/>
                <w:bCs/>
                <w:color w:val="000000" w:themeColor="text1"/>
                <w:sz w:val="20"/>
                <w:szCs w:val="20"/>
              </w:rPr>
            </w:pPr>
            <w:r w:rsidRPr="009F02E3">
              <w:rPr>
                <w:b/>
                <w:bCs/>
                <w:color w:val="000000" w:themeColor="text1"/>
                <w:sz w:val="20"/>
                <w:szCs w:val="20"/>
              </w:rPr>
              <w:t>2018.</w:t>
            </w:r>
            <w:r w:rsidR="007339F1">
              <w:rPr>
                <w:b/>
                <w:bCs/>
                <w:color w:val="000000" w:themeColor="text1"/>
                <w:sz w:val="20"/>
                <w:szCs w:val="20"/>
              </w:rPr>
              <w:t> </w:t>
            </w:r>
            <w:r w:rsidRPr="009F02E3">
              <w:rPr>
                <w:b/>
                <w:bCs/>
                <w:color w:val="000000" w:themeColor="text1"/>
                <w:sz w:val="20"/>
                <w:szCs w:val="20"/>
              </w:rPr>
              <w:t>gads</w:t>
            </w:r>
          </w:p>
        </w:tc>
      </w:tr>
      <w:tr w:rsidR="009F02E3" w:rsidRPr="009F02E3" w14:paraId="12A4C1A4" w14:textId="77777777" w:rsidTr="006D4B30">
        <w:tc>
          <w:tcPr>
            <w:tcW w:w="17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1DDAF8" w14:textId="77777777" w:rsidR="00473F82" w:rsidRPr="009F02E3" w:rsidRDefault="00473F82" w:rsidP="00160E18">
            <w:pPr>
              <w:rPr>
                <w:b/>
                <w:bCs/>
                <w:color w:val="000000" w:themeColor="text1"/>
              </w:rP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666223" w14:textId="77777777" w:rsidR="00473F82" w:rsidRPr="009F02E3" w:rsidRDefault="00473F82" w:rsidP="00160E18">
            <w:pPr>
              <w:pStyle w:val="tvhtml"/>
              <w:spacing w:before="0" w:beforeAutospacing="0" w:after="0" w:afterAutospacing="0"/>
              <w:jc w:val="center"/>
              <w:rPr>
                <w:color w:val="000000" w:themeColor="text1"/>
              </w:rPr>
            </w:pPr>
            <w:r w:rsidRPr="009F02E3">
              <w:rPr>
                <w:color w:val="000000" w:themeColor="text1"/>
              </w:rPr>
              <w:t>saskaņā ar valsts budžetu kārtējam gadam</w:t>
            </w:r>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CFD744" w14:textId="77777777" w:rsidR="00473F82" w:rsidRPr="009F02E3" w:rsidRDefault="00473F82" w:rsidP="00160E18">
            <w:pPr>
              <w:pStyle w:val="tvhtml"/>
              <w:spacing w:before="0" w:beforeAutospacing="0" w:after="0" w:afterAutospacing="0"/>
              <w:jc w:val="center"/>
              <w:rPr>
                <w:color w:val="000000" w:themeColor="text1"/>
              </w:rPr>
            </w:pPr>
            <w:r w:rsidRPr="009F02E3">
              <w:rPr>
                <w:color w:val="000000" w:themeColor="text1"/>
              </w:rPr>
              <w:t>izmaiņas kārtējā gadā, salīdzinot ar valsts budžetu kārtējam gadam</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243F7" w14:textId="77777777" w:rsidR="00473F82" w:rsidRPr="009F02E3" w:rsidRDefault="00473F82" w:rsidP="00160E18">
            <w:pPr>
              <w:pStyle w:val="tvhtml"/>
              <w:spacing w:before="0" w:beforeAutospacing="0" w:after="0" w:afterAutospacing="0"/>
              <w:jc w:val="center"/>
              <w:rPr>
                <w:color w:val="000000" w:themeColor="text1"/>
              </w:rPr>
            </w:pPr>
            <w:r w:rsidRPr="009F02E3">
              <w:rPr>
                <w:color w:val="000000" w:themeColor="text1"/>
              </w:rPr>
              <w:t>izmaiņas, salīdzinot ar kārtējo (n) gadu</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622AA" w14:textId="77777777" w:rsidR="00473F82" w:rsidRPr="009F02E3" w:rsidRDefault="00473F82" w:rsidP="00160E18">
            <w:pPr>
              <w:pStyle w:val="tvhtml"/>
              <w:spacing w:before="0" w:beforeAutospacing="0" w:after="0" w:afterAutospacing="0"/>
              <w:jc w:val="center"/>
              <w:rPr>
                <w:color w:val="000000" w:themeColor="text1"/>
              </w:rPr>
            </w:pPr>
            <w:r w:rsidRPr="009F02E3">
              <w:rPr>
                <w:color w:val="000000" w:themeColor="text1"/>
              </w:rPr>
              <w:t>izmaiņas, salīdzinot ar kārtējo (n) gadu</w:t>
            </w:r>
          </w:p>
        </w:tc>
        <w:tc>
          <w:tcPr>
            <w:tcW w:w="7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C959E" w14:textId="77777777" w:rsidR="00473F82" w:rsidRPr="009F02E3" w:rsidRDefault="00473F82" w:rsidP="00160E18">
            <w:pPr>
              <w:pStyle w:val="tvhtml"/>
              <w:spacing w:before="0" w:beforeAutospacing="0" w:after="0" w:afterAutospacing="0"/>
              <w:jc w:val="center"/>
              <w:rPr>
                <w:color w:val="000000" w:themeColor="text1"/>
              </w:rPr>
            </w:pPr>
            <w:r w:rsidRPr="009F02E3">
              <w:rPr>
                <w:color w:val="000000" w:themeColor="text1"/>
              </w:rPr>
              <w:t>izmaiņas, salīdzinot ar kārtējo (n) gadu</w:t>
            </w:r>
          </w:p>
        </w:tc>
      </w:tr>
      <w:tr w:rsidR="009F02E3" w:rsidRPr="009F02E3" w14:paraId="70C84AA6"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A57224" w14:textId="77777777" w:rsidR="00473F82" w:rsidRPr="009F02E3" w:rsidRDefault="00473F82" w:rsidP="00160E18">
            <w:pPr>
              <w:pStyle w:val="tvhtml"/>
              <w:spacing w:before="0" w:beforeAutospacing="0" w:after="0" w:afterAutospacing="0"/>
              <w:jc w:val="center"/>
              <w:rPr>
                <w:color w:val="000000" w:themeColor="text1"/>
              </w:rPr>
            </w:pPr>
            <w:r w:rsidRPr="009F02E3">
              <w:rPr>
                <w:color w:val="000000" w:themeColor="text1"/>
              </w:rPr>
              <w:t>1</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8A672" w14:textId="77777777" w:rsidR="00473F82" w:rsidRPr="009F02E3" w:rsidRDefault="00473F82" w:rsidP="00160E18">
            <w:pPr>
              <w:pStyle w:val="tvhtml"/>
              <w:spacing w:before="0" w:beforeAutospacing="0" w:after="0" w:afterAutospacing="0"/>
              <w:jc w:val="center"/>
              <w:rPr>
                <w:color w:val="000000" w:themeColor="text1"/>
              </w:rPr>
            </w:pPr>
            <w:r w:rsidRPr="009F02E3">
              <w:rPr>
                <w:color w:val="000000" w:themeColor="text1"/>
              </w:rPr>
              <w:t>2</w:t>
            </w:r>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63550" w14:textId="77777777" w:rsidR="00473F82" w:rsidRPr="009F02E3" w:rsidRDefault="00473F82" w:rsidP="00160E18">
            <w:pPr>
              <w:pStyle w:val="tvhtml"/>
              <w:spacing w:before="0" w:beforeAutospacing="0" w:after="0" w:afterAutospacing="0"/>
              <w:jc w:val="center"/>
              <w:rPr>
                <w:color w:val="000000" w:themeColor="text1"/>
              </w:rPr>
            </w:pPr>
            <w:r w:rsidRPr="009F02E3">
              <w:rPr>
                <w:color w:val="000000" w:themeColor="text1"/>
              </w:rPr>
              <w:t>3</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805FE" w14:textId="77777777" w:rsidR="00473F82" w:rsidRPr="009F02E3" w:rsidRDefault="00473F82" w:rsidP="00160E18">
            <w:pPr>
              <w:pStyle w:val="tvhtml"/>
              <w:spacing w:before="0" w:beforeAutospacing="0" w:after="0" w:afterAutospacing="0"/>
              <w:jc w:val="center"/>
              <w:rPr>
                <w:color w:val="000000" w:themeColor="text1"/>
              </w:rPr>
            </w:pPr>
            <w:r w:rsidRPr="009F02E3">
              <w:rPr>
                <w:color w:val="000000" w:themeColor="text1"/>
              </w:rPr>
              <w:t>4</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C980" w14:textId="77777777" w:rsidR="00473F82" w:rsidRPr="009F02E3" w:rsidRDefault="00473F82" w:rsidP="00160E18">
            <w:pPr>
              <w:pStyle w:val="tvhtml"/>
              <w:spacing w:before="0" w:beforeAutospacing="0" w:after="0" w:afterAutospacing="0"/>
              <w:jc w:val="center"/>
              <w:rPr>
                <w:color w:val="000000" w:themeColor="text1"/>
              </w:rPr>
            </w:pPr>
            <w:r w:rsidRPr="009F02E3">
              <w:rPr>
                <w:color w:val="000000" w:themeColor="text1"/>
              </w:rPr>
              <w:t>5</w:t>
            </w:r>
          </w:p>
        </w:tc>
        <w:tc>
          <w:tcPr>
            <w:tcW w:w="7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10060" w14:textId="77777777" w:rsidR="00473F82" w:rsidRPr="009F02E3" w:rsidRDefault="00473F82" w:rsidP="00160E18">
            <w:pPr>
              <w:pStyle w:val="tvhtml"/>
              <w:spacing w:before="0" w:beforeAutospacing="0" w:after="0" w:afterAutospacing="0"/>
              <w:jc w:val="center"/>
              <w:rPr>
                <w:color w:val="000000" w:themeColor="text1"/>
              </w:rPr>
            </w:pPr>
            <w:r w:rsidRPr="009F02E3">
              <w:rPr>
                <w:color w:val="000000" w:themeColor="text1"/>
              </w:rPr>
              <w:t>6</w:t>
            </w:r>
          </w:p>
        </w:tc>
      </w:tr>
      <w:tr w:rsidR="009F02E3" w:rsidRPr="009F02E3" w14:paraId="0743AF02"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4EE4B219" w14:textId="6875CFCB" w:rsidR="001C41C1" w:rsidRPr="009F02E3" w:rsidRDefault="001C41C1" w:rsidP="001C41C1">
            <w:pPr>
              <w:rPr>
                <w:color w:val="000000" w:themeColor="text1"/>
              </w:rPr>
            </w:pPr>
            <w:r w:rsidRPr="009F02E3">
              <w:rPr>
                <w:color w:val="000000" w:themeColor="text1"/>
              </w:rPr>
              <w:t>1. Budžeta ieņēmumi</w:t>
            </w:r>
            <w:r w:rsidR="00C42CA8">
              <w:rPr>
                <w:rStyle w:val="FootnoteReference"/>
                <w:color w:val="000000" w:themeColor="text1"/>
              </w:rPr>
              <w:footnoteReference w:id="8"/>
            </w:r>
            <w:r w:rsidRPr="009F02E3">
              <w:rPr>
                <w:color w:val="000000" w:themeColor="text1"/>
              </w:rPr>
              <w:t>:</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36914339" w14:textId="77777777" w:rsidR="001C41C1" w:rsidRPr="009F02E3" w:rsidRDefault="001C41C1" w:rsidP="001C41C1">
            <w:pPr>
              <w:rPr>
                <w:color w:val="000000" w:themeColor="text1"/>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7DCCA8E3" w14:textId="77777777" w:rsidR="001C41C1" w:rsidRPr="009F02E3" w:rsidRDefault="001C41C1" w:rsidP="001C41C1">
            <w:pPr>
              <w:rPr>
                <w:color w:val="000000" w:themeColor="text1"/>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tcPr>
          <w:p w14:paraId="2F77FBBC" w14:textId="00594F62" w:rsidR="001C41C1" w:rsidRPr="009F02E3" w:rsidRDefault="00085095" w:rsidP="001C41C1">
            <w:pPr>
              <w:jc w:val="center"/>
              <w:rPr>
                <w:color w:val="000000" w:themeColor="text1"/>
              </w:rPr>
            </w:pPr>
            <w:r>
              <w:rPr>
                <w:color w:val="000000" w:themeColor="text1"/>
              </w:rPr>
              <w:t>6 000 00</w:t>
            </w:r>
            <w:r w:rsidR="007D39C8">
              <w:rPr>
                <w:color w:val="000000" w:themeColor="text1"/>
              </w:rPr>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29012B19" w14:textId="54468313" w:rsidR="001C41C1" w:rsidRPr="009F02E3" w:rsidRDefault="007D39C8" w:rsidP="001C41C1">
            <w:pPr>
              <w:jc w:val="center"/>
              <w:rPr>
                <w:color w:val="000000" w:themeColor="text1"/>
              </w:rPr>
            </w:pPr>
            <w:r>
              <w:rPr>
                <w:color w:val="000000" w:themeColor="text1"/>
              </w:rPr>
              <w:t>6 000 000</w:t>
            </w:r>
          </w:p>
        </w:tc>
        <w:tc>
          <w:tcPr>
            <w:tcW w:w="707" w:type="pct"/>
            <w:tcBorders>
              <w:top w:val="outset" w:sz="6" w:space="0" w:color="414142"/>
              <w:left w:val="outset" w:sz="6" w:space="0" w:color="414142"/>
              <w:bottom w:val="outset" w:sz="6" w:space="0" w:color="414142"/>
              <w:right w:val="outset" w:sz="6" w:space="0" w:color="414142"/>
            </w:tcBorders>
            <w:shd w:val="clear" w:color="auto" w:fill="FFFFFF"/>
          </w:tcPr>
          <w:p w14:paraId="2CDF22B8" w14:textId="301F459F" w:rsidR="001C41C1" w:rsidRPr="009F02E3" w:rsidRDefault="007D39C8" w:rsidP="001C41C1">
            <w:pPr>
              <w:jc w:val="center"/>
              <w:rPr>
                <w:color w:val="000000" w:themeColor="text1"/>
              </w:rPr>
            </w:pPr>
            <w:r>
              <w:rPr>
                <w:color w:val="000000" w:themeColor="text1"/>
              </w:rPr>
              <w:t>6 000 000</w:t>
            </w:r>
          </w:p>
        </w:tc>
      </w:tr>
      <w:tr w:rsidR="009F02E3" w:rsidRPr="009F02E3" w14:paraId="13F60723"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4A9DA21D" w14:textId="77777777" w:rsidR="001C41C1" w:rsidRPr="009F02E3" w:rsidRDefault="001C41C1" w:rsidP="001C41C1">
            <w:pPr>
              <w:rPr>
                <w:color w:val="000000" w:themeColor="text1"/>
              </w:rPr>
            </w:pPr>
            <w:r w:rsidRPr="009F02E3">
              <w:rPr>
                <w:color w:val="000000" w:themeColor="text1"/>
              </w:rPr>
              <w:t>1.1. valsts pamatbudžets, tai skaitā ieņēmumi no maksas pakalpojumiem un citi pašu ieņēmumi</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1C6109D4" w14:textId="77777777" w:rsidR="001C41C1" w:rsidRPr="009F02E3" w:rsidRDefault="001C41C1" w:rsidP="001C41C1">
            <w:pPr>
              <w:rPr>
                <w:color w:val="000000" w:themeColor="text1"/>
                <w:highlight w:val="yellow"/>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51C2D4F1" w14:textId="77777777" w:rsidR="001C41C1" w:rsidRPr="009F02E3" w:rsidRDefault="001C41C1" w:rsidP="001C41C1">
            <w:pPr>
              <w:rPr>
                <w:color w:val="000000" w:themeColor="text1"/>
                <w:highlight w:val="yellow"/>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tcPr>
          <w:p w14:paraId="3A7013F8" w14:textId="39FDF2FB" w:rsidR="001C41C1" w:rsidRPr="009F02E3" w:rsidRDefault="001C41C1" w:rsidP="00514A91">
            <w:pPr>
              <w:jc w:val="center"/>
              <w:rPr>
                <w:color w:val="000000" w:themeColor="text1"/>
                <w:highlight w:val="yellow"/>
              </w:rPr>
            </w:pP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78BAD294" w14:textId="55871358" w:rsidR="001C41C1" w:rsidRPr="009F02E3" w:rsidRDefault="001C41C1" w:rsidP="00514A91">
            <w:pPr>
              <w:jc w:val="center"/>
              <w:rPr>
                <w:color w:val="000000" w:themeColor="text1"/>
                <w:highlight w:val="yellow"/>
              </w:rPr>
            </w:pPr>
          </w:p>
        </w:tc>
        <w:tc>
          <w:tcPr>
            <w:tcW w:w="707" w:type="pct"/>
            <w:tcBorders>
              <w:top w:val="outset" w:sz="6" w:space="0" w:color="414142"/>
              <w:left w:val="outset" w:sz="6" w:space="0" w:color="414142"/>
              <w:bottom w:val="outset" w:sz="6" w:space="0" w:color="414142"/>
              <w:right w:val="outset" w:sz="6" w:space="0" w:color="414142"/>
            </w:tcBorders>
            <w:shd w:val="clear" w:color="auto" w:fill="FFFFFF"/>
          </w:tcPr>
          <w:p w14:paraId="322D6E87" w14:textId="4C9A4648" w:rsidR="001C41C1" w:rsidRPr="009F02E3" w:rsidRDefault="001C41C1" w:rsidP="00514A91">
            <w:pPr>
              <w:jc w:val="center"/>
              <w:rPr>
                <w:color w:val="000000" w:themeColor="text1"/>
                <w:highlight w:val="yellow"/>
              </w:rPr>
            </w:pPr>
          </w:p>
        </w:tc>
      </w:tr>
      <w:tr w:rsidR="009F02E3" w:rsidRPr="009F02E3" w14:paraId="646B09CA"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607C983D" w14:textId="77777777" w:rsidR="00A71726" w:rsidRPr="009F02E3" w:rsidRDefault="00A71726" w:rsidP="00A71726">
            <w:pPr>
              <w:rPr>
                <w:color w:val="000000" w:themeColor="text1"/>
              </w:rPr>
            </w:pPr>
            <w:r w:rsidRPr="009F02E3">
              <w:rPr>
                <w:color w:val="000000" w:themeColor="text1"/>
              </w:rPr>
              <w:t>1.2. valsts speciālais budžets</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26E943CA" w14:textId="77777777" w:rsidR="00A71726" w:rsidRPr="009F02E3" w:rsidRDefault="00A71726" w:rsidP="00A71726">
            <w:pPr>
              <w:rPr>
                <w:color w:val="000000" w:themeColor="text1"/>
                <w:highlight w:val="yellow"/>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5DDA57E0" w14:textId="77777777" w:rsidR="00A71726" w:rsidRPr="009F02E3" w:rsidRDefault="00A71726" w:rsidP="00A71726">
            <w:pPr>
              <w:rPr>
                <w:color w:val="000000" w:themeColor="text1"/>
                <w:highlight w:val="yellow"/>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tcPr>
          <w:p w14:paraId="1C6A0EC2" w14:textId="77777777" w:rsidR="00A71726" w:rsidRPr="009F02E3" w:rsidRDefault="00A71726" w:rsidP="00A71726">
            <w:pPr>
              <w:rPr>
                <w:color w:val="000000" w:themeColor="text1"/>
                <w:highlight w:val="yellow"/>
              </w:rPr>
            </w:pP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2BC4EEE9" w14:textId="77777777" w:rsidR="00A71726" w:rsidRPr="009F02E3" w:rsidRDefault="00A71726" w:rsidP="00A71726">
            <w:pPr>
              <w:rPr>
                <w:color w:val="000000" w:themeColor="text1"/>
                <w:highlight w:val="yellow"/>
              </w:rPr>
            </w:pPr>
          </w:p>
        </w:tc>
        <w:tc>
          <w:tcPr>
            <w:tcW w:w="707" w:type="pct"/>
            <w:tcBorders>
              <w:top w:val="outset" w:sz="6" w:space="0" w:color="414142"/>
              <w:left w:val="outset" w:sz="6" w:space="0" w:color="414142"/>
              <w:bottom w:val="outset" w:sz="6" w:space="0" w:color="414142"/>
              <w:right w:val="outset" w:sz="6" w:space="0" w:color="414142"/>
            </w:tcBorders>
            <w:shd w:val="clear" w:color="auto" w:fill="FFFFFF"/>
          </w:tcPr>
          <w:p w14:paraId="3D0E3098" w14:textId="77777777" w:rsidR="00A71726" w:rsidRPr="009F02E3" w:rsidRDefault="00A71726" w:rsidP="00A71726">
            <w:pPr>
              <w:rPr>
                <w:color w:val="000000" w:themeColor="text1"/>
                <w:highlight w:val="yellow"/>
              </w:rPr>
            </w:pPr>
          </w:p>
        </w:tc>
      </w:tr>
      <w:tr w:rsidR="009F02E3" w:rsidRPr="009F02E3" w14:paraId="101E6958"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79636AAA" w14:textId="77777777" w:rsidR="00A71726" w:rsidRPr="009F02E3" w:rsidRDefault="00A71726" w:rsidP="00A71726">
            <w:pPr>
              <w:rPr>
                <w:color w:val="000000" w:themeColor="text1"/>
              </w:rPr>
            </w:pPr>
            <w:r w:rsidRPr="009F02E3">
              <w:rPr>
                <w:color w:val="000000" w:themeColor="text1"/>
              </w:rPr>
              <w:t>1.3. pašvaldību budžets</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75FFE541" w14:textId="77777777" w:rsidR="00A71726" w:rsidRPr="009F02E3" w:rsidRDefault="00A71726" w:rsidP="00A71726">
            <w:pPr>
              <w:rPr>
                <w:color w:val="000000" w:themeColor="text1"/>
                <w:highlight w:val="yellow"/>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750AE539" w14:textId="77777777" w:rsidR="00A71726" w:rsidRPr="009F02E3" w:rsidRDefault="00A71726" w:rsidP="00A71726">
            <w:pPr>
              <w:rPr>
                <w:color w:val="000000" w:themeColor="text1"/>
                <w:highlight w:val="yellow"/>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tcPr>
          <w:p w14:paraId="3E08AA3A" w14:textId="77777777" w:rsidR="00A71726" w:rsidRPr="009F02E3" w:rsidRDefault="00A71726" w:rsidP="00A71726">
            <w:pPr>
              <w:rPr>
                <w:color w:val="000000" w:themeColor="text1"/>
                <w:highlight w:val="yellow"/>
              </w:rPr>
            </w:pP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6D7749E9" w14:textId="77777777" w:rsidR="00A71726" w:rsidRPr="009F02E3" w:rsidRDefault="00A71726" w:rsidP="00A71726">
            <w:pPr>
              <w:rPr>
                <w:color w:val="000000" w:themeColor="text1"/>
                <w:highlight w:val="yellow"/>
              </w:rPr>
            </w:pPr>
          </w:p>
        </w:tc>
        <w:tc>
          <w:tcPr>
            <w:tcW w:w="707" w:type="pct"/>
            <w:tcBorders>
              <w:top w:val="outset" w:sz="6" w:space="0" w:color="414142"/>
              <w:left w:val="outset" w:sz="6" w:space="0" w:color="414142"/>
              <w:bottom w:val="outset" w:sz="6" w:space="0" w:color="414142"/>
              <w:right w:val="outset" w:sz="6" w:space="0" w:color="414142"/>
            </w:tcBorders>
            <w:shd w:val="clear" w:color="auto" w:fill="FFFFFF"/>
          </w:tcPr>
          <w:p w14:paraId="145B5D7E" w14:textId="77777777" w:rsidR="00A71726" w:rsidRPr="009F02E3" w:rsidRDefault="00A71726" w:rsidP="00A71726">
            <w:pPr>
              <w:rPr>
                <w:color w:val="000000" w:themeColor="text1"/>
                <w:highlight w:val="yellow"/>
              </w:rPr>
            </w:pPr>
          </w:p>
        </w:tc>
      </w:tr>
      <w:tr w:rsidR="00085095" w:rsidRPr="009F02E3" w14:paraId="32337706"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tcPr>
          <w:p w14:paraId="784C4CE7" w14:textId="4A1EE4E0" w:rsidR="00085095" w:rsidRPr="009F02E3" w:rsidRDefault="00085095" w:rsidP="00E636BE">
            <w:pPr>
              <w:rPr>
                <w:color w:val="000000" w:themeColor="text1"/>
              </w:rPr>
            </w:pPr>
            <w:r>
              <w:rPr>
                <w:color w:val="000000" w:themeColor="text1"/>
              </w:rPr>
              <w:t>1.4. AS “Latvenergo” dividen</w:t>
            </w:r>
            <w:r w:rsidR="00E636BE">
              <w:rPr>
                <w:color w:val="000000" w:themeColor="text1"/>
              </w:rPr>
              <w:t>žu pieauguma ietekme</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222F26F1" w14:textId="77777777" w:rsidR="00085095" w:rsidRPr="009F02E3" w:rsidRDefault="00085095" w:rsidP="00A71726">
            <w:pPr>
              <w:rPr>
                <w:color w:val="000000" w:themeColor="text1"/>
                <w:highlight w:val="yellow"/>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05F5AA1F" w14:textId="77777777" w:rsidR="00085095" w:rsidRPr="009F02E3" w:rsidRDefault="00085095" w:rsidP="00A71726">
            <w:pPr>
              <w:rPr>
                <w:color w:val="000000" w:themeColor="text1"/>
                <w:highlight w:val="yellow"/>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tcPr>
          <w:p w14:paraId="3C8C0E13" w14:textId="27438A51" w:rsidR="00085095" w:rsidRPr="00E636BE" w:rsidRDefault="00E636BE" w:rsidP="00E636BE">
            <w:pPr>
              <w:jc w:val="center"/>
              <w:rPr>
                <w:color w:val="000000" w:themeColor="text1"/>
              </w:rPr>
            </w:pPr>
            <w:r w:rsidRPr="00E636BE">
              <w:rPr>
                <w:color w:val="000000" w:themeColor="text1"/>
              </w:rPr>
              <w:t>382 000</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6404CC30" w14:textId="62B2CA0C" w:rsidR="00085095" w:rsidRPr="00E636BE" w:rsidRDefault="00E636BE" w:rsidP="00E636BE">
            <w:pPr>
              <w:jc w:val="center"/>
              <w:rPr>
                <w:color w:val="000000" w:themeColor="text1"/>
              </w:rPr>
            </w:pPr>
            <w:r w:rsidRPr="00E636BE">
              <w:rPr>
                <w:color w:val="000000" w:themeColor="text1"/>
              </w:rPr>
              <w:t>2 819 000</w:t>
            </w:r>
          </w:p>
        </w:tc>
        <w:tc>
          <w:tcPr>
            <w:tcW w:w="707" w:type="pct"/>
            <w:tcBorders>
              <w:top w:val="outset" w:sz="6" w:space="0" w:color="414142"/>
              <w:left w:val="outset" w:sz="6" w:space="0" w:color="414142"/>
              <w:bottom w:val="outset" w:sz="6" w:space="0" w:color="414142"/>
              <w:right w:val="outset" w:sz="6" w:space="0" w:color="414142"/>
            </w:tcBorders>
            <w:shd w:val="clear" w:color="auto" w:fill="FFFFFF"/>
          </w:tcPr>
          <w:p w14:paraId="271A2CC0" w14:textId="632EC29B" w:rsidR="00085095" w:rsidRPr="00E636BE" w:rsidRDefault="00E636BE" w:rsidP="00E636BE">
            <w:pPr>
              <w:jc w:val="center"/>
              <w:rPr>
                <w:color w:val="000000" w:themeColor="text1"/>
              </w:rPr>
            </w:pPr>
            <w:r w:rsidRPr="00E636BE">
              <w:rPr>
                <w:color w:val="000000" w:themeColor="text1"/>
              </w:rPr>
              <w:t>4 443 000</w:t>
            </w:r>
          </w:p>
        </w:tc>
      </w:tr>
      <w:tr w:rsidR="009F02E3" w:rsidRPr="009F02E3" w14:paraId="573478A5"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79BBFBC7" w14:textId="77777777" w:rsidR="00E90158" w:rsidRPr="009F02E3" w:rsidRDefault="00E90158" w:rsidP="00E90158">
            <w:pPr>
              <w:rPr>
                <w:color w:val="000000" w:themeColor="text1"/>
              </w:rPr>
            </w:pPr>
            <w:r w:rsidRPr="009F02E3">
              <w:rPr>
                <w:color w:val="000000" w:themeColor="text1"/>
              </w:rPr>
              <w:t>2. Budžeta izdevumi:</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3BB704F1" w14:textId="77777777" w:rsidR="00E90158" w:rsidRPr="009F02E3" w:rsidRDefault="00E90158" w:rsidP="00E90158">
            <w:pPr>
              <w:rPr>
                <w:color w:val="000000" w:themeColor="text1"/>
                <w:highlight w:val="yellow"/>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774570EE" w14:textId="77777777" w:rsidR="00E90158" w:rsidRPr="009F02E3" w:rsidRDefault="00E90158" w:rsidP="00E90158">
            <w:pPr>
              <w:rPr>
                <w:color w:val="000000" w:themeColor="text1"/>
                <w:highlight w:val="yellow"/>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tcPr>
          <w:p w14:paraId="3E0A636E" w14:textId="0AEE8749" w:rsidR="00E90158" w:rsidRPr="009F02E3" w:rsidRDefault="00E90158" w:rsidP="00E90158">
            <w:pPr>
              <w:rPr>
                <w:color w:val="000000" w:themeColor="text1"/>
                <w:highlight w:val="yellow"/>
              </w:rPr>
            </w:pPr>
            <w:r w:rsidRPr="009F02E3">
              <w:rPr>
                <w:color w:val="000000" w:themeColor="text1"/>
              </w:rPr>
              <w:t>  6 382 000</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2F954E4D" w14:textId="7BC8C240" w:rsidR="00E90158" w:rsidRPr="009F02E3" w:rsidRDefault="00E90158" w:rsidP="00E90158">
            <w:pPr>
              <w:rPr>
                <w:color w:val="000000" w:themeColor="text1"/>
                <w:highlight w:val="yellow"/>
              </w:rPr>
            </w:pPr>
            <w:r w:rsidRPr="009F02E3">
              <w:rPr>
                <w:color w:val="000000" w:themeColor="text1"/>
              </w:rPr>
              <w:t xml:space="preserve"> 8 819 000</w:t>
            </w:r>
          </w:p>
        </w:tc>
        <w:tc>
          <w:tcPr>
            <w:tcW w:w="707" w:type="pct"/>
            <w:tcBorders>
              <w:top w:val="outset" w:sz="6" w:space="0" w:color="414142"/>
              <w:left w:val="outset" w:sz="6" w:space="0" w:color="414142"/>
              <w:bottom w:val="outset" w:sz="6" w:space="0" w:color="414142"/>
              <w:right w:val="outset" w:sz="6" w:space="0" w:color="414142"/>
            </w:tcBorders>
            <w:shd w:val="clear" w:color="auto" w:fill="FFFFFF"/>
          </w:tcPr>
          <w:p w14:paraId="0DE9A390" w14:textId="5FD0FD12" w:rsidR="00E90158" w:rsidRPr="009F02E3" w:rsidRDefault="00E90158" w:rsidP="00E90158">
            <w:pPr>
              <w:rPr>
                <w:color w:val="000000" w:themeColor="text1"/>
                <w:highlight w:val="yellow"/>
              </w:rPr>
            </w:pPr>
            <w:r w:rsidRPr="009F02E3">
              <w:rPr>
                <w:color w:val="000000" w:themeColor="text1"/>
              </w:rPr>
              <w:t xml:space="preserve"> 10 443 000</w:t>
            </w:r>
          </w:p>
        </w:tc>
      </w:tr>
      <w:tr w:rsidR="009F02E3" w:rsidRPr="009F02E3" w14:paraId="56A2D01E"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130527AA" w14:textId="77777777" w:rsidR="00A71726" w:rsidRPr="009F02E3" w:rsidRDefault="00A71726" w:rsidP="00A71726">
            <w:pPr>
              <w:rPr>
                <w:color w:val="000000" w:themeColor="text1"/>
              </w:rPr>
            </w:pPr>
            <w:r w:rsidRPr="009F02E3">
              <w:rPr>
                <w:color w:val="000000" w:themeColor="text1"/>
              </w:rPr>
              <w:t>2.1. valsts pamatbudžets</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47CF5071" w14:textId="77777777" w:rsidR="00A71726" w:rsidRPr="009F02E3" w:rsidRDefault="00A71726" w:rsidP="00A71726">
            <w:pPr>
              <w:rPr>
                <w:color w:val="000000" w:themeColor="text1"/>
                <w:highlight w:val="yellow"/>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774DD4EA" w14:textId="77777777" w:rsidR="00A71726" w:rsidRPr="009F02E3" w:rsidRDefault="00A71726" w:rsidP="00D23B18">
            <w:pPr>
              <w:rPr>
                <w:color w:val="000000" w:themeColor="text1"/>
                <w:highlight w:val="yellow"/>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tcPr>
          <w:p w14:paraId="7FEE1B5A" w14:textId="6F898410" w:rsidR="00A71726" w:rsidRPr="009F02E3" w:rsidRDefault="00E90158" w:rsidP="00E90158">
            <w:pPr>
              <w:rPr>
                <w:color w:val="000000" w:themeColor="text1"/>
                <w:highlight w:val="yellow"/>
              </w:rPr>
            </w:pPr>
            <w:r w:rsidRPr="009F02E3">
              <w:rPr>
                <w:color w:val="000000" w:themeColor="text1"/>
              </w:rPr>
              <w:t>  6 382 000</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6C9C3FC2" w14:textId="099C4291" w:rsidR="00E90158" w:rsidRPr="009F02E3" w:rsidRDefault="00E90158" w:rsidP="00A71726">
            <w:pPr>
              <w:rPr>
                <w:color w:val="000000" w:themeColor="text1"/>
              </w:rPr>
            </w:pPr>
            <w:r w:rsidRPr="009F02E3">
              <w:rPr>
                <w:color w:val="000000" w:themeColor="text1"/>
              </w:rPr>
              <w:t xml:space="preserve"> 8 819 000</w:t>
            </w:r>
          </w:p>
        </w:tc>
        <w:tc>
          <w:tcPr>
            <w:tcW w:w="707" w:type="pct"/>
            <w:tcBorders>
              <w:top w:val="outset" w:sz="6" w:space="0" w:color="414142"/>
              <w:left w:val="outset" w:sz="6" w:space="0" w:color="414142"/>
              <w:bottom w:val="outset" w:sz="6" w:space="0" w:color="414142"/>
              <w:right w:val="outset" w:sz="6" w:space="0" w:color="414142"/>
            </w:tcBorders>
            <w:shd w:val="clear" w:color="auto" w:fill="FFFFFF"/>
          </w:tcPr>
          <w:p w14:paraId="4146DD41" w14:textId="4AB265C1" w:rsidR="00A71726" w:rsidRPr="009F02E3" w:rsidRDefault="00E90158" w:rsidP="00E90158">
            <w:pPr>
              <w:rPr>
                <w:color w:val="000000" w:themeColor="text1"/>
              </w:rPr>
            </w:pPr>
            <w:r w:rsidRPr="009F02E3">
              <w:rPr>
                <w:color w:val="000000" w:themeColor="text1"/>
              </w:rPr>
              <w:t xml:space="preserve"> 10 443 000</w:t>
            </w:r>
          </w:p>
        </w:tc>
      </w:tr>
      <w:tr w:rsidR="009F02E3" w:rsidRPr="009F02E3" w14:paraId="21CFC218"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3F16F002" w14:textId="77777777" w:rsidR="00E90158" w:rsidRPr="009F02E3" w:rsidRDefault="00E90158" w:rsidP="00E90158">
            <w:pPr>
              <w:rPr>
                <w:color w:val="000000" w:themeColor="text1"/>
              </w:rPr>
            </w:pPr>
            <w:r w:rsidRPr="009F02E3">
              <w:rPr>
                <w:color w:val="000000" w:themeColor="text1"/>
              </w:rPr>
              <w:t>2.2. valsts speciālais budžets</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6E023FC9" w14:textId="77777777" w:rsidR="00E90158" w:rsidRPr="009F02E3" w:rsidRDefault="00E90158" w:rsidP="00E90158">
            <w:pPr>
              <w:rPr>
                <w:color w:val="000000" w:themeColor="text1"/>
                <w:highlight w:val="yellow"/>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6755F1A9" w14:textId="77777777" w:rsidR="00E90158" w:rsidRPr="009F02E3" w:rsidRDefault="00E90158" w:rsidP="00E90158">
            <w:pPr>
              <w:rPr>
                <w:color w:val="000000" w:themeColor="text1"/>
                <w:highlight w:val="yellow"/>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tcPr>
          <w:p w14:paraId="6724D31C" w14:textId="12116BAA" w:rsidR="00E90158" w:rsidRPr="009F02E3" w:rsidRDefault="00E90158" w:rsidP="00E90158">
            <w:pPr>
              <w:rPr>
                <w:color w:val="000000" w:themeColor="text1"/>
                <w:highlight w:val="yellow"/>
              </w:rPr>
            </w:pPr>
            <w:r w:rsidRPr="009F02E3">
              <w:rPr>
                <w:color w:val="000000" w:themeColor="text1"/>
              </w:rPr>
              <w:t xml:space="preserve"> </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0AC3B689" w14:textId="5FECFD59" w:rsidR="00E90158" w:rsidRPr="009F02E3" w:rsidRDefault="00E90158" w:rsidP="00E90158">
            <w:pPr>
              <w:rPr>
                <w:color w:val="000000" w:themeColor="text1"/>
                <w:highlight w:val="yellow"/>
              </w:rPr>
            </w:pPr>
          </w:p>
        </w:tc>
        <w:tc>
          <w:tcPr>
            <w:tcW w:w="707" w:type="pct"/>
            <w:tcBorders>
              <w:top w:val="outset" w:sz="6" w:space="0" w:color="414142"/>
              <w:left w:val="outset" w:sz="6" w:space="0" w:color="414142"/>
              <w:bottom w:val="outset" w:sz="6" w:space="0" w:color="414142"/>
              <w:right w:val="outset" w:sz="6" w:space="0" w:color="414142"/>
            </w:tcBorders>
            <w:shd w:val="clear" w:color="auto" w:fill="FFFFFF"/>
          </w:tcPr>
          <w:p w14:paraId="113E65B0" w14:textId="5D5D50AE" w:rsidR="00E90158" w:rsidRPr="009F02E3" w:rsidRDefault="00E90158" w:rsidP="00E90158">
            <w:pPr>
              <w:rPr>
                <w:color w:val="000000" w:themeColor="text1"/>
                <w:highlight w:val="yellow"/>
              </w:rPr>
            </w:pPr>
          </w:p>
        </w:tc>
      </w:tr>
      <w:tr w:rsidR="009F02E3" w:rsidRPr="009F02E3" w14:paraId="55B20F7C"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3A55CC30" w14:textId="77777777" w:rsidR="00A71726" w:rsidRPr="009F02E3" w:rsidRDefault="00A71726" w:rsidP="00A71726">
            <w:pPr>
              <w:rPr>
                <w:color w:val="000000" w:themeColor="text1"/>
              </w:rPr>
            </w:pPr>
            <w:r w:rsidRPr="009F02E3">
              <w:rPr>
                <w:color w:val="000000" w:themeColor="text1"/>
              </w:rPr>
              <w:t>2.3. pašvaldību budžets</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0887337E" w14:textId="77777777" w:rsidR="00A71726" w:rsidRPr="009F02E3" w:rsidRDefault="00A71726" w:rsidP="00A71726">
            <w:pPr>
              <w:rPr>
                <w:color w:val="000000" w:themeColor="text1"/>
                <w:highlight w:val="yellow"/>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45CF2B62" w14:textId="77777777" w:rsidR="00A71726" w:rsidRPr="009F02E3" w:rsidRDefault="00A71726" w:rsidP="00A71726">
            <w:pPr>
              <w:rPr>
                <w:color w:val="000000" w:themeColor="text1"/>
                <w:highlight w:val="yellow"/>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tcPr>
          <w:p w14:paraId="37C03ACD" w14:textId="77777777" w:rsidR="00A71726" w:rsidRPr="009F02E3" w:rsidRDefault="00A71726" w:rsidP="00A71726">
            <w:pPr>
              <w:rPr>
                <w:color w:val="000000" w:themeColor="text1"/>
                <w:highlight w:val="yellow"/>
              </w:rPr>
            </w:pP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649C8909" w14:textId="77777777" w:rsidR="00A71726" w:rsidRPr="009F02E3" w:rsidRDefault="00A71726" w:rsidP="00A71726">
            <w:pPr>
              <w:rPr>
                <w:color w:val="000000" w:themeColor="text1"/>
                <w:highlight w:val="yellow"/>
              </w:rPr>
            </w:pPr>
          </w:p>
        </w:tc>
        <w:tc>
          <w:tcPr>
            <w:tcW w:w="707" w:type="pct"/>
            <w:tcBorders>
              <w:top w:val="outset" w:sz="6" w:space="0" w:color="414142"/>
              <w:left w:val="outset" w:sz="6" w:space="0" w:color="414142"/>
              <w:bottom w:val="outset" w:sz="6" w:space="0" w:color="414142"/>
              <w:right w:val="outset" w:sz="6" w:space="0" w:color="414142"/>
            </w:tcBorders>
            <w:shd w:val="clear" w:color="auto" w:fill="FFFFFF"/>
          </w:tcPr>
          <w:p w14:paraId="644211CF" w14:textId="77777777" w:rsidR="00A71726" w:rsidRPr="009F02E3" w:rsidRDefault="00A71726" w:rsidP="00A71726">
            <w:pPr>
              <w:rPr>
                <w:color w:val="000000" w:themeColor="text1"/>
                <w:highlight w:val="yellow"/>
              </w:rPr>
            </w:pPr>
          </w:p>
        </w:tc>
      </w:tr>
      <w:tr w:rsidR="009F02E3" w:rsidRPr="009F02E3" w14:paraId="6F1352B0"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2B08E75B" w14:textId="77777777" w:rsidR="00A71726" w:rsidRPr="009F02E3" w:rsidRDefault="00A71726" w:rsidP="00A71726">
            <w:pPr>
              <w:rPr>
                <w:color w:val="000000" w:themeColor="text1"/>
              </w:rPr>
            </w:pPr>
            <w:r w:rsidRPr="009F02E3">
              <w:rPr>
                <w:color w:val="000000" w:themeColor="text1"/>
              </w:rPr>
              <w:t>3. Finansiālā ietekme:</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0FA069B3" w14:textId="77777777" w:rsidR="00A71726" w:rsidRPr="009F02E3" w:rsidRDefault="00A71726" w:rsidP="00A71726">
            <w:pPr>
              <w:rPr>
                <w:color w:val="000000" w:themeColor="text1"/>
                <w:highlight w:val="yellow"/>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1803B120" w14:textId="77777777" w:rsidR="00A71726" w:rsidRPr="009F02E3" w:rsidRDefault="00A71726" w:rsidP="00A71726">
            <w:pPr>
              <w:rPr>
                <w:color w:val="000000" w:themeColor="text1"/>
                <w:highlight w:val="yellow"/>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tcPr>
          <w:p w14:paraId="60AEDBD6" w14:textId="1C721A4C" w:rsidR="00A71726" w:rsidRPr="00085095" w:rsidRDefault="00085095" w:rsidP="00085095">
            <w:pPr>
              <w:jc w:val="center"/>
              <w:rPr>
                <w:color w:val="000000" w:themeColor="text1"/>
              </w:rPr>
            </w:pPr>
            <w:r w:rsidRPr="00085095">
              <w:rPr>
                <w:color w:val="000000" w:themeColor="text1"/>
              </w:rPr>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2F3477F6" w14:textId="6067875C" w:rsidR="00A71726" w:rsidRPr="00085095" w:rsidRDefault="00085095" w:rsidP="00085095">
            <w:pPr>
              <w:jc w:val="center"/>
              <w:rPr>
                <w:color w:val="000000" w:themeColor="text1"/>
              </w:rPr>
            </w:pPr>
            <w:r w:rsidRPr="00085095">
              <w:rPr>
                <w:color w:val="000000" w:themeColor="text1"/>
              </w:rPr>
              <w:t>0</w:t>
            </w:r>
          </w:p>
        </w:tc>
        <w:tc>
          <w:tcPr>
            <w:tcW w:w="707" w:type="pct"/>
            <w:tcBorders>
              <w:top w:val="outset" w:sz="6" w:space="0" w:color="414142"/>
              <w:left w:val="outset" w:sz="6" w:space="0" w:color="414142"/>
              <w:bottom w:val="outset" w:sz="6" w:space="0" w:color="414142"/>
              <w:right w:val="outset" w:sz="6" w:space="0" w:color="414142"/>
            </w:tcBorders>
            <w:shd w:val="clear" w:color="auto" w:fill="FFFFFF"/>
          </w:tcPr>
          <w:p w14:paraId="0AEADC55" w14:textId="7EC0C5A3" w:rsidR="00A71726" w:rsidRPr="00085095" w:rsidRDefault="00085095" w:rsidP="00085095">
            <w:pPr>
              <w:jc w:val="center"/>
              <w:rPr>
                <w:color w:val="000000" w:themeColor="text1"/>
              </w:rPr>
            </w:pPr>
            <w:r w:rsidRPr="00085095">
              <w:rPr>
                <w:color w:val="000000" w:themeColor="text1"/>
              </w:rPr>
              <w:t>0</w:t>
            </w:r>
          </w:p>
        </w:tc>
      </w:tr>
      <w:tr w:rsidR="009F02E3" w:rsidRPr="009F02E3" w14:paraId="260CB571"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5358116A" w14:textId="77777777" w:rsidR="00A71726" w:rsidRPr="009F02E3" w:rsidRDefault="00A71726" w:rsidP="00A71726">
            <w:pPr>
              <w:rPr>
                <w:color w:val="000000" w:themeColor="text1"/>
              </w:rPr>
            </w:pPr>
            <w:r w:rsidRPr="009F02E3">
              <w:rPr>
                <w:color w:val="000000" w:themeColor="text1"/>
              </w:rPr>
              <w:t>3.1. valsts pamatbudžets</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74A0E380" w14:textId="77777777" w:rsidR="00A71726" w:rsidRPr="009F02E3" w:rsidRDefault="00A71726" w:rsidP="00A71726">
            <w:pPr>
              <w:rPr>
                <w:color w:val="000000" w:themeColor="text1"/>
                <w:highlight w:val="yellow"/>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5B449717" w14:textId="77777777" w:rsidR="00A71726" w:rsidRPr="009F02E3" w:rsidRDefault="00A71726" w:rsidP="00A71726">
            <w:pPr>
              <w:rPr>
                <w:color w:val="000000" w:themeColor="text1"/>
                <w:highlight w:val="yellow"/>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tcPr>
          <w:p w14:paraId="71653547" w14:textId="77777777" w:rsidR="00A71726" w:rsidRPr="009F02E3" w:rsidRDefault="00A71726" w:rsidP="00A71726">
            <w:pPr>
              <w:rPr>
                <w:color w:val="000000" w:themeColor="text1"/>
                <w:highlight w:val="yellow"/>
              </w:rPr>
            </w:pP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52B9E286" w14:textId="77777777" w:rsidR="00A71726" w:rsidRPr="009F02E3" w:rsidRDefault="00A71726" w:rsidP="00A71726">
            <w:pPr>
              <w:rPr>
                <w:color w:val="000000" w:themeColor="text1"/>
                <w:highlight w:val="yellow"/>
              </w:rPr>
            </w:pPr>
          </w:p>
        </w:tc>
        <w:tc>
          <w:tcPr>
            <w:tcW w:w="707" w:type="pct"/>
            <w:tcBorders>
              <w:top w:val="outset" w:sz="6" w:space="0" w:color="414142"/>
              <w:left w:val="outset" w:sz="6" w:space="0" w:color="414142"/>
              <w:bottom w:val="outset" w:sz="6" w:space="0" w:color="414142"/>
              <w:right w:val="outset" w:sz="6" w:space="0" w:color="414142"/>
            </w:tcBorders>
            <w:shd w:val="clear" w:color="auto" w:fill="FFFFFF"/>
          </w:tcPr>
          <w:p w14:paraId="403400BA" w14:textId="77777777" w:rsidR="00A71726" w:rsidRPr="009F02E3" w:rsidRDefault="00A71726" w:rsidP="00A71726">
            <w:pPr>
              <w:rPr>
                <w:color w:val="000000" w:themeColor="text1"/>
                <w:highlight w:val="yellow"/>
              </w:rPr>
            </w:pPr>
          </w:p>
        </w:tc>
      </w:tr>
      <w:tr w:rsidR="009F02E3" w:rsidRPr="009F02E3" w14:paraId="6173FD18"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509969AC" w14:textId="77777777" w:rsidR="00A71726" w:rsidRPr="009F02E3" w:rsidRDefault="00A71726" w:rsidP="00A71726">
            <w:pPr>
              <w:rPr>
                <w:color w:val="000000" w:themeColor="text1"/>
              </w:rPr>
            </w:pPr>
            <w:r w:rsidRPr="009F02E3">
              <w:rPr>
                <w:color w:val="000000" w:themeColor="text1"/>
              </w:rPr>
              <w:t>3.2. speciālais budžets</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2877B91D" w14:textId="77777777" w:rsidR="00A71726" w:rsidRPr="009F02E3" w:rsidRDefault="00A71726" w:rsidP="00A71726">
            <w:pPr>
              <w:rPr>
                <w:color w:val="000000" w:themeColor="text1"/>
                <w:highlight w:val="yellow"/>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140547E8" w14:textId="77777777" w:rsidR="00A71726" w:rsidRPr="009F02E3" w:rsidRDefault="00A71726" w:rsidP="00A71726">
            <w:pPr>
              <w:rPr>
                <w:color w:val="000000" w:themeColor="text1"/>
                <w:highlight w:val="yellow"/>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tcPr>
          <w:p w14:paraId="29A455DE" w14:textId="77777777" w:rsidR="00A71726" w:rsidRPr="009F02E3" w:rsidRDefault="00A71726" w:rsidP="00A71726">
            <w:pPr>
              <w:rPr>
                <w:color w:val="000000" w:themeColor="text1"/>
                <w:highlight w:val="yellow"/>
              </w:rPr>
            </w:pP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207EDD2C" w14:textId="77777777" w:rsidR="00A71726" w:rsidRPr="009F02E3" w:rsidRDefault="00A71726" w:rsidP="00A71726">
            <w:pPr>
              <w:rPr>
                <w:color w:val="000000" w:themeColor="text1"/>
                <w:highlight w:val="yellow"/>
              </w:rPr>
            </w:pPr>
          </w:p>
        </w:tc>
        <w:tc>
          <w:tcPr>
            <w:tcW w:w="707" w:type="pct"/>
            <w:tcBorders>
              <w:top w:val="outset" w:sz="6" w:space="0" w:color="414142"/>
              <w:left w:val="outset" w:sz="6" w:space="0" w:color="414142"/>
              <w:bottom w:val="outset" w:sz="6" w:space="0" w:color="414142"/>
              <w:right w:val="outset" w:sz="6" w:space="0" w:color="414142"/>
            </w:tcBorders>
            <w:shd w:val="clear" w:color="auto" w:fill="FFFFFF"/>
          </w:tcPr>
          <w:p w14:paraId="3DF7AB50" w14:textId="77777777" w:rsidR="00A71726" w:rsidRPr="009F02E3" w:rsidRDefault="00A71726" w:rsidP="00A71726">
            <w:pPr>
              <w:rPr>
                <w:color w:val="000000" w:themeColor="text1"/>
                <w:highlight w:val="yellow"/>
              </w:rPr>
            </w:pPr>
          </w:p>
        </w:tc>
      </w:tr>
      <w:tr w:rsidR="009F02E3" w:rsidRPr="009F02E3" w14:paraId="39B67AF9"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39C1642D" w14:textId="77777777" w:rsidR="00A71726" w:rsidRPr="009F02E3" w:rsidRDefault="00A71726" w:rsidP="00A71726">
            <w:pPr>
              <w:rPr>
                <w:color w:val="000000" w:themeColor="text1"/>
              </w:rPr>
            </w:pPr>
            <w:r w:rsidRPr="009F02E3">
              <w:rPr>
                <w:color w:val="000000" w:themeColor="text1"/>
              </w:rPr>
              <w:t>3.3. pašvaldību budžets</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4B2CDFC0" w14:textId="77777777" w:rsidR="00A71726" w:rsidRPr="009F02E3" w:rsidRDefault="00A71726" w:rsidP="00A71726">
            <w:pPr>
              <w:rPr>
                <w:color w:val="000000" w:themeColor="text1"/>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13909495" w14:textId="77777777" w:rsidR="00A71726" w:rsidRPr="009F02E3" w:rsidRDefault="00A71726" w:rsidP="00A71726">
            <w:pPr>
              <w:rPr>
                <w:color w:val="000000" w:themeColor="text1"/>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tcPr>
          <w:p w14:paraId="2CA0C4B6" w14:textId="77777777" w:rsidR="00A71726" w:rsidRPr="009F02E3" w:rsidRDefault="00A71726" w:rsidP="00A71726">
            <w:pPr>
              <w:rPr>
                <w:color w:val="000000" w:themeColor="text1"/>
              </w:rPr>
            </w:pP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2EA756E1" w14:textId="77777777" w:rsidR="00A71726" w:rsidRPr="009F02E3" w:rsidRDefault="00A71726" w:rsidP="00A71726">
            <w:pPr>
              <w:rPr>
                <w:color w:val="000000" w:themeColor="text1"/>
              </w:rPr>
            </w:pPr>
          </w:p>
        </w:tc>
        <w:tc>
          <w:tcPr>
            <w:tcW w:w="707" w:type="pct"/>
            <w:tcBorders>
              <w:top w:val="outset" w:sz="6" w:space="0" w:color="414142"/>
              <w:left w:val="outset" w:sz="6" w:space="0" w:color="414142"/>
              <w:bottom w:val="outset" w:sz="6" w:space="0" w:color="414142"/>
              <w:right w:val="outset" w:sz="6" w:space="0" w:color="414142"/>
            </w:tcBorders>
            <w:shd w:val="clear" w:color="auto" w:fill="FFFFFF"/>
          </w:tcPr>
          <w:p w14:paraId="64BCCAA1" w14:textId="77777777" w:rsidR="00A71726" w:rsidRPr="009F02E3" w:rsidRDefault="00A71726" w:rsidP="00A71726">
            <w:pPr>
              <w:rPr>
                <w:color w:val="000000" w:themeColor="text1"/>
              </w:rPr>
            </w:pPr>
          </w:p>
        </w:tc>
      </w:tr>
      <w:tr w:rsidR="009F02E3" w:rsidRPr="009F02E3" w14:paraId="69BB421F" w14:textId="77777777" w:rsidTr="006D4B30">
        <w:tc>
          <w:tcPr>
            <w:tcW w:w="176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8987F4C" w14:textId="77777777" w:rsidR="00473F82" w:rsidRPr="009F02E3" w:rsidRDefault="00473F82" w:rsidP="00160E18">
            <w:pPr>
              <w:rPr>
                <w:color w:val="000000" w:themeColor="text1"/>
              </w:rPr>
            </w:pPr>
            <w:r w:rsidRPr="009F02E3">
              <w:rPr>
                <w:color w:val="000000" w:themeColor="text1"/>
              </w:rPr>
              <w:lastRenderedPageBreak/>
              <w:t>4. Finanšu līdzekļi papildu izdevumu finansēšanai (kompensējošu izdevumu samazinājumu norāda ar "+" zīmi)</w:t>
            </w:r>
          </w:p>
        </w:tc>
        <w:tc>
          <w:tcPr>
            <w:tcW w:w="59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D583C1B" w14:textId="77777777" w:rsidR="00473F82" w:rsidRPr="009F02E3" w:rsidRDefault="00473F82" w:rsidP="00160E18">
            <w:pPr>
              <w:pStyle w:val="tvhtml"/>
              <w:spacing w:before="0" w:beforeAutospacing="0" w:after="0" w:afterAutospacing="0"/>
              <w:jc w:val="center"/>
              <w:rPr>
                <w:color w:val="000000" w:themeColor="text1"/>
              </w:rPr>
            </w:pPr>
            <w:r w:rsidRPr="009F02E3">
              <w:rPr>
                <w:color w:val="000000" w:themeColor="text1"/>
              </w:rPr>
              <w:t>X</w:t>
            </w:r>
          </w:p>
        </w:tc>
        <w:tc>
          <w:tcPr>
            <w:tcW w:w="711" w:type="pct"/>
            <w:tcBorders>
              <w:top w:val="outset" w:sz="6" w:space="0" w:color="414142"/>
              <w:left w:val="outset" w:sz="6" w:space="0" w:color="414142"/>
              <w:bottom w:val="outset" w:sz="6" w:space="0" w:color="414142"/>
              <w:right w:val="outset" w:sz="6" w:space="0" w:color="414142"/>
            </w:tcBorders>
            <w:shd w:val="clear" w:color="auto" w:fill="FFFFFF"/>
            <w:hideMark/>
          </w:tcPr>
          <w:p w14:paraId="3D06CC2C" w14:textId="77777777" w:rsidR="00473F82" w:rsidRPr="009F02E3" w:rsidRDefault="00473F82" w:rsidP="00160E18">
            <w:pPr>
              <w:rPr>
                <w:color w:val="000000" w:themeColor="text1"/>
              </w:rPr>
            </w:pPr>
            <w:r w:rsidRPr="009F02E3">
              <w:rPr>
                <w:color w:val="000000" w:themeColor="text1"/>
              </w:rPr>
              <w:t> </w:t>
            </w:r>
          </w:p>
        </w:tc>
        <w:tc>
          <w:tcPr>
            <w:tcW w:w="624" w:type="pct"/>
            <w:tcBorders>
              <w:top w:val="outset" w:sz="6" w:space="0" w:color="414142"/>
              <w:left w:val="outset" w:sz="6" w:space="0" w:color="414142"/>
              <w:bottom w:val="outset" w:sz="6" w:space="0" w:color="414142"/>
              <w:right w:val="outset" w:sz="6" w:space="0" w:color="414142"/>
            </w:tcBorders>
            <w:shd w:val="clear" w:color="auto" w:fill="FFFFFF"/>
            <w:hideMark/>
          </w:tcPr>
          <w:p w14:paraId="48D39145" w14:textId="77777777" w:rsidR="00473F82" w:rsidRPr="009F02E3" w:rsidRDefault="00473F82" w:rsidP="00160E18">
            <w:pPr>
              <w:rPr>
                <w:color w:val="000000" w:themeColor="text1"/>
              </w:rPr>
            </w:pPr>
            <w:r w:rsidRPr="009F02E3">
              <w:rPr>
                <w:color w:val="000000" w:themeColor="text1"/>
              </w:rPr>
              <w:t> </w:t>
            </w:r>
          </w:p>
        </w:tc>
        <w:tc>
          <w:tcPr>
            <w:tcW w:w="598" w:type="pct"/>
            <w:tcBorders>
              <w:top w:val="outset" w:sz="6" w:space="0" w:color="414142"/>
              <w:left w:val="outset" w:sz="6" w:space="0" w:color="414142"/>
              <w:bottom w:val="outset" w:sz="6" w:space="0" w:color="414142"/>
              <w:right w:val="outset" w:sz="6" w:space="0" w:color="414142"/>
            </w:tcBorders>
            <w:shd w:val="clear" w:color="auto" w:fill="FFFFFF"/>
            <w:hideMark/>
          </w:tcPr>
          <w:p w14:paraId="7778E35F" w14:textId="77777777" w:rsidR="00473F82" w:rsidRPr="009F02E3" w:rsidRDefault="00473F82" w:rsidP="00160E18">
            <w:pPr>
              <w:rPr>
                <w:color w:val="000000" w:themeColor="text1"/>
              </w:rPr>
            </w:pPr>
            <w:r w:rsidRPr="009F02E3">
              <w:rPr>
                <w:color w:val="000000" w:themeColor="text1"/>
              </w:rPr>
              <w:t> </w:t>
            </w:r>
          </w:p>
        </w:tc>
        <w:tc>
          <w:tcPr>
            <w:tcW w:w="707" w:type="pct"/>
            <w:tcBorders>
              <w:top w:val="outset" w:sz="6" w:space="0" w:color="414142"/>
              <w:left w:val="outset" w:sz="6" w:space="0" w:color="414142"/>
              <w:bottom w:val="outset" w:sz="6" w:space="0" w:color="414142"/>
              <w:right w:val="outset" w:sz="6" w:space="0" w:color="414142"/>
            </w:tcBorders>
            <w:shd w:val="clear" w:color="auto" w:fill="FFFFFF"/>
            <w:hideMark/>
          </w:tcPr>
          <w:p w14:paraId="73B7B582" w14:textId="77777777" w:rsidR="00473F82" w:rsidRPr="009F02E3" w:rsidRDefault="00473F82" w:rsidP="00160E18">
            <w:pPr>
              <w:rPr>
                <w:color w:val="000000" w:themeColor="text1"/>
              </w:rPr>
            </w:pPr>
            <w:r w:rsidRPr="009F02E3">
              <w:rPr>
                <w:color w:val="000000" w:themeColor="text1"/>
              </w:rPr>
              <w:t> </w:t>
            </w:r>
          </w:p>
        </w:tc>
      </w:tr>
      <w:tr w:rsidR="009F02E3" w:rsidRPr="009F02E3" w14:paraId="66AE2ABD" w14:textId="77777777" w:rsidTr="006D4B30">
        <w:tc>
          <w:tcPr>
            <w:tcW w:w="17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48FE1" w14:textId="77777777" w:rsidR="00473F82" w:rsidRPr="009F02E3" w:rsidRDefault="00473F82" w:rsidP="00160E18">
            <w:pPr>
              <w:rPr>
                <w:color w:val="000000" w:themeColor="text1"/>
              </w:rPr>
            </w:pPr>
          </w:p>
        </w:tc>
        <w:tc>
          <w:tcPr>
            <w:tcW w:w="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7084CE" w14:textId="77777777" w:rsidR="00473F82" w:rsidRPr="009F02E3" w:rsidRDefault="00473F82" w:rsidP="00160E18">
            <w:pPr>
              <w:rPr>
                <w:color w:val="000000" w:themeColor="text1"/>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hideMark/>
          </w:tcPr>
          <w:p w14:paraId="0DA3930E" w14:textId="77777777" w:rsidR="00473F82" w:rsidRPr="009F02E3" w:rsidRDefault="00473F82" w:rsidP="00160E18">
            <w:pPr>
              <w:rPr>
                <w:color w:val="000000" w:themeColor="text1"/>
              </w:rPr>
            </w:pPr>
            <w:r w:rsidRPr="009F02E3">
              <w:rPr>
                <w:color w:val="000000" w:themeColor="text1"/>
              </w:rPr>
              <w:t> </w:t>
            </w:r>
          </w:p>
        </w:tc>
        <w:tc>
          <w:tcPr>
            <w:tcW w:w="624" w:type="pct"/>
            <w:tcBorders>
              <w:top w:val="outset" w:sz="6" w:space="0" w:color="414142"/>
              <w:left w:val="outset" w:sz="6" w:space="0" w:color="414142"/>
              <w:bottom w:val="outset" w:sz="6" w:space="0" w:color="414142"/>
              <w:right w:val="outset" w:sz="6" w:space="0" w:color="414142"/>
            </w:tcBorders>
            <w:shd w:val="clear" w:color="auto" w:fill="FFFFFF"/>
            <w:hideMark/>
          </w:tcPr>
          <w:p w14:paraId="574D26BF" w14:textId="77777777" w:rsidR="00473F82" w:rsidRPr="009F02E3" w:rsidRDefault="00473F82" w:rsidP="00160E18">
            <w:pPr>
              <w:rPr>
                <w:color w:val="000000" w:themeColor="text1"/>
              </w:rPr>
            </w:pPr>
            <w:r w:rsidRPr="009F02E3">
              <w:rPr>
                <w:color w:val="000000" w:themeColor="text1"/>
              </w:rPr>
              <w:t> </w:t>
            </w:r>
          </w:p>
        </w:tc>
        <w:tc>
          <w:tcPr>
            <w:tcW w:w="598" w:type="pct"/>
            <w:tcBorders>
              <w:top w:val="outset" w:sz="6" w:space="0" w:color="414142"/>
              <w:left w:val="outset" w:sz="6" w:space="0" w:color="414142"/>
              <w:bottom w:val="outset" w:sz="6" w:space="0" w:color="414142"/>
              <w:right w:val="outset" w:sz="6" w:space="0" w:color="414142"/>
            </w:tcBorders>
            <w:shd w:val="clear" w:color="auto" w:fill="FFFFFF"/>
            <w:hideMark/>
          </w:tcPr>
          <w:p w14:paraId="45D46319" w14:textId="77777777" w:rsidR="00473F82" w:rsidRPr="009F02E3" w:rsidRDefault="00473F82" w:rsidP="00160E18">
            <w:pPr>
              <w:rPr>
                <w:color w:val="000000" w:themeColor="text1"/>
              </w:rPr>
            </w:pPr>
            <w:r w:rsidRPr="009F02E3">
              <w:rPr>
                <w:color w:val="000000" w:themeColor="text1"/>
              </w:rPr>
              <w:t> </w:t>
            </w:r>
          </w:p>
        </w:tc>
        <w:tc>
          <w:tcPr>
            <w:tcW w:w="707" w:type="pct"/>
            <w:tcBorders>
              <w:top w:val="outset" w:sz="6" w:space="0" w:color="414142"/>
              <w:left w:val="outset" w:sz="6" w:space="0" w:color="414142"/>
              <w:bottom w:val="outset" w:sz="6" w:space="0" w:color="414142"/>
              <w:right w:val="outset" w:sz="6" w:space="0" w:color="414142"/>
            </w:tcBorders>
            <w:shd w:val="clear" w:color="auto" w:fill="FFFFFF"/>
            <w:hideMark/>
          </w:tcPr>
          <w:p w14:paraId="7FEA9DA1" w14:textId="77777777" w:rsidR="00473F82" w:rsidRPr="009F02E3" w:rsidRDefault="00473F82" w:rsidP="00160E18">
            <w:pPr>
              <w:rPr>
                <w:color w:val="000000" w:themeColor="text1"/>
              </w:rPr>
            </w:pPr>
            <w:r w:rsidRPr="009F02E3">
              <w:rPr>
                <w:color w:val="000000" w:themeColor="text1"/>
              </w:rPr>
              <w:t> </w:t>
            </w:r>
          </w:p>
        </w:tc>
      </w:tr>
      <w:tr w:rsidR="009F02E3" w:rsidRPr="009F02E3" w14:paraId="4C876D01" w14:textId="77777777" w:rsidTr="006D4B30">
        <w:tc>
          <w:tcPr>
            <w:tcW w:w="17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AA7B3D" w14:textId="77777777" w:rsidR="00473F82" w:rsidRPr="009F02E3" w:rsidRDefault="00473F82" w:rsidP="00160E18">
            <w:pPr>
              <w:rPr>
                <w:color w:val="000000" w:themeColor="text1"/>
              </w:rPr>
            </w:pPr>
          </w:p>
        </w:tc>
        <w:tc>
          <w:tcPr>
            <w:tcW w:w="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6A030" w14:textId="77777777" w:rsidR="00473F82" w:rsidRPr="009F02E3" w:rsidRDefault="00473F82" w:rsidP="00160E18">
            <w:pPr>
              <w:rPr>
                <w:color w:val="000000" w:themeColor="text1"/>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hideMark/>
          </w:tcPr>
          <w:p w14:paraId="2D7C20CA" w14:textId="77777777" w:rsidR="00473F82" w:rsidRPr="009F02E3" w:rsidRDefault="00473F82" w:rsidP="00160E18">
            <w:pPr>
              <w:rPr>
                <w:color w:val="000000" w:themeColor="text1"/>
              </w:rPr>
            </w:pPr>
            <w:r w:rsidRPr="009F02E3">
              <w:rPr>
                <w:color w:val="000000" w:themeColor="text1"/>
              </w:rPr>
              <w:t> </w:t>
            </w:r>
          </w:p>
        </w:tc>
        <w:tc>
          <w:tcPr>
            <w:tcW w:w="624" w:type="pct"/>
            <w:tcBorders>
              <w:top w:val="outset" w:sz="6" w:space="0" w:color="414142"/>
              <w:left w:val="outset" w:sz="6" w:space="0" w:color="414142"/>
              <w:bottom w:val="outset" w:sz="6" w:space="0" w:color="414142"/>
              <w:right w:val="outset" w:sz="6" w:space="0" w:color="414142"/>
            </w:tcBorders>
            <w:shd w:val="clear" w:color="auto" w:fill="FFFFFF"/>
            <w:hideMark/>
          </w:tcPr>
          <w:p w14:paraId="0E02A693" w14:textId="77777777" w:rsidR="00473F82" w:rsidRPr="009F02E3" w:rsidRDefault="00473F82" w:rsidP="00160E18">
            <w:pPr>
              <w:rPr>
                <w:color w:val="000000" w:themeColor="text1"/>
              </w:rPr>
            </w:pPr>
            <w:r w:rsidRPr="009F02E3">
              <w:rPr>
                <w:color w:val="000000" w:themeColor="text1"/>
              </w:rPr>
              <w:t> </w:t>
            </w:r>
          </w:p>
        </w:tc>
        <w:tc>
          <w:tcPr>
            <w:tcW w:w="598" w:type="pct"/>
            <w:tcBorders>
              <w:top w:val="outset" w:sz="6" w:space="0" w:color="414142"/>
              <w:left w:val="outset" w:sz="6" w:space="0" w:color="414142"/>
              <w:bottom w:val="outset" w:sz="6" w:space="0" w:color="414142"/>
              <w:right w:val="outset" w:sz="6" w:space="0" w:color="414142"/>
            </w:tcBorders>
            <w:shd w:val="clear" w:color="auto" w:fill="FFFFFF"/>
            <w:hideMark/>
          </w:tcPr>
          <w:p w14:paraId="16BD09EE" w14:textId="77777777" w:rsidR="00473F82" w:rsidRPr="009F02E3" w:rsidRDefault="00473F82" w:rsidP="00160E18">
            <w:pPr>
              <w:rPr>
                <w:color w:val="000000" w:themeColor="text1"/>
              </w:rPr>
            </w:pPr>
            <w:r w:rsidRPr="009F02E3">
              <w:rPr>
                <w:color w:val="000000" w:themeColor="text1"/>
              </w:rPr>
              <w:t> </w:t>
            </w:r>
          </w:p>
        </w:tc>
        <w:tc>
          <w:tcPr>
            <w:tcW w:w="707" w:type="pct"/>
            <w:tcBorders>
              <w:top w:val="outset" w:sz="6" w:space="0" w:color="414142"/>
              <w:left w:val="outset" w:sz="6" w:space="0" w:color="414142"/>
              <w:bottom w:val="outset" w:sz="6" w:space="0" w:color="414142"/>
              <w:right w:val="outset" w:sz="6" w:space="0" w:color="414142"/>
            </w:tcBorders>
            <w:shd w:val="clear" w:color="auto" w:fill="FFFFFF"/>
            <w:hideMark/>
          </w:tcPr>
          <w:p w14:paraId="6D32AF99" w14:textId="77777777" w:rsidR="00473F82" w:rsidRPr="009F02E3" w:rsidRDefault="00473F82" w:rsidP="00160E18">
            <w:pPr>
              <w:rPr>
                <w:color w:val="000000" w:themeColor="text1"/>
              </w:rPr>
            </w:pPr>
            <w:r w:rsidRPr="009F02E3">
              <w:rPr>
                <w:color w:val="000000" w:themeColor="text1"/>
              </w:rPr>
              <w:t> </w:t>
            </w:r>
          </w:p>
        </w:tc>
      </w:tr>
      <w:tr w:rsidR="009F02E3" w:rsidRPr="009F02E3" w14:paraId="0EBA5F9A"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026D92EA" w14:textId="77777777" w:rsidR="00473F82" w:rsidRPr="009F02E3" w:rsidRDefault="00473F82" w:rsidP="00160E18">
            <w:pPr>
              <w:rPr>
                <w:color w:val="000000" w:themeColor="text1"/>
              </w:rPr>
            </w:pPr>
            <w:r w:rsidRPr="009F02E3">
              <w:rPr>
                <w:color w:val="000000" w:themeColor="text1"/>
              </w:rPr>
              <w:t>5. Precizēta finansiālā ietekme:</w:t>
            </w:r>
          </w:p>
        </w:tc>
        <w:tc>
          <w:tcPr>
            <w:tcW w:w="59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0A9BC6D" w14:textId="77777777" w:rsidR="00473F82" w:rsidRPr="009F02E3" w:rsidRDefault="00473F82" w:rsidP="00160E18">
            <w:pPr>
              <w:pStyle w:val="tvhtml"/>
              <w:spacing w:before="0" w:beforeAutospacing="0" w:after="0" w:afterAutospacing="0"/>
              <w:jc w:val="center"/>
              <w:rPr>
                <w:color w:val="000000" w:themeColor="text1"/>
              </w:rPr>
            </w:pPr>
            <w:r w:rsidRPr="009F02E3">
              <w:rPr>
                <w:color w:val="000000" w:themeColor="text1"/>
              </w:rPr>
              <w:t>X</w:t>
            </w:r>
          </w:p>
        </w:tc>
        <w:tc>
          <w:tcPr>
            <w:tcW w:w="711" w:type="pct"/>
            <w:tcBorders>
              <w:top w:val="outset" w:sz="6" w:space="0" w:color="414142"/>
              <w:left w:val="outset" w:sz="6" w:space="0" w:color="414142"/>
              <w:bottom w:val="outset" w:sz="6" w:space="0" w:color="414142"/>
              <w:right w:val="outset" w:sz="6" w:space="0" w:color="414142"/>
            </w:tcBorders>
            <w:shd w:val="clear" w:color="auto" w:fill="FFFFFF"/>
            <w:hideMark/>
          </w:tcPr>
          <w:p w14:paraId="4AAE7BE3" w14:textId="77777777" w:rsidR="00473F82" w:rsidRPr="009F02E3" w:rsidRDefault="00473F82" w:rsidP="00160E18">
            <w:pPr>
              <w:rPr>
                <w:color w:val="000000" w:themeColor="text1"/>
              </w:rPr>
            </w:pPr>
            <w:r w:rsidRPr="009F02E3">
              <w:rPr>
                <w:color w:val="000000" w:themeColor="text1"/>
              </w:rPr>
              <w:t> </w:t>
            </w:r>
          </w:p>
        </w:tc>
        <w:tc>
          <w:tcPr>
            <w:tcW w:w="624" w:type="pct"/>
            <w:tcBorders>
              <w:top w:val="outset" w:sz="6" w:space="0" w:color="414142"/>
              <w:left w:val="outset" w:sz="6" w:space="0" w:color="414142"/>
              <w:bottom w:val="outset" w:sz="6" w:space="0" w:color="414142"/>
              <w:right w:val="outset" w:sz="6" w:space="0" w:color="414142"/>
            </w:tcBorders>
            <w:shd w:val="clear" w:color="auto" w:fill="FFFFFF"/>
            <w:hideMark/>
          </w:tcPr>
          <w:p w14:paraId="22D39F97" w14:textId="77777777" w:rsidR="00473F82" w:rsidRPr="009F02E3" w:rsidRDefault="00473F82" w:rsidP="00160E18">
            <w:pPr>
              <w:rPr>
                <w:color w:val="000000" w:themeColor="text1"/>
              </w:rPr>
            </w:pPr>
            <w:r w:rsidRPr="009F02E3">
              <w:rPr>
                <w:color w:val="000000" w:themeColor="text1"/>
              </w:rPr>
              <w:t> </w:t>
            </w:r>
          </w:p>
        </w:tc>
        <w:tc>
          <w:tcPr>
            <w:tcW w:w="598" w:type="pct"/>
            <w:tcBorders>
              <w:top w:val="outset" w:sz="6" w:space="0" w:color="414142"/>
              <w:left w:val="outset" w:sz="6" w:space="0" w:color="414142"/>
              <w:bottom w:val="outset" w:sz="6" w:space="0" w:color="414142"/>
              <w:right w:val="outset" w:sz="6" w:space="0" w:color="414142"/>
            </w:tcBorders>
            <w:shd w:val="clear" w:color="auto" w:fill="FFFFFF"/>
            <w:hideMark/>
          </w:tcPr>
          <w:p w14:paraId="2B9E1B74" w14:textId="77777777" w:rsidR="00473F82" w:rsidRPr="009F02E3" w:rsidRDefault="00473F82" w:rsidP="00160E18">
            <w:pPr>
              <w:rPr>
                <w:color w:val="000000" w:themeColor="text1"/>
              </w:rPr>
            </w:pPr>
            <w:r w:rsidRPr="009F02E3">
              <w:rPr>
                <w:color w:val="000000" w:themeColor="text1"/>
              </w:rPr>
              <w:t> </w:t>
            </w:r>
          </w:p>
        </w:tc>
        <w:tc>
          <w:tcPr>
            <w:tcW w:w="707" w:type="pct"/>
            <w:tcBorders>
              <w:top w:val="outset" w:sz="6" w:space="0" w:color="414142"/>
              <w:left w:val="outset" w:sz="6" w:space="0" w:color="414142"/>
              <w:bottom w:val="outset" w:sz="6" w:space="0" w:color="414142"/>
              <w:right w:val="outset" w:sz="6" w:space="0" w:color="414142"/>
            </w:tcBorders>
            <w:shd w:val="clear" w:color="auto" w:fill="FFFFFF"/>
            <w:hideMark/>
          </w:tcPr>
          <w:p w14:paraId="6B90026F" w14:textId="77777777" w:rsidR="00473F82" w:rsidRPr="009F02E3" w:rsidRDefault="00473F82" w:rsidP="00160E18">
            <w:pPr>
              <w:rPr>
                <w:color w:val="000000" w:themeColor="text1"/>
              </w:rPr>
            </w:pPr>
            <w:r w:rsidRPr="009F02E3">
              <w:rPr>
                <w:color w:val="000000" w:themeColor="text1"/>
              </w:rPr>
              <w:t> </w:t>
            </w:r>
          </w:p>
        </w:tc>
      </w:tr>
      <w:tr w:rsidR="009F02E3" w:rsidRPr="009F02E3" w14:paraId="79CA1F53"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1EF2536A" w14:textId="77777777" w:rsidR="00473F82" w:rsidRPr="009F02E3" w:rsidRDefault="00473F82" w:rsidP="00160E18">
            <w:pPr>
              <w:rPr>
                <w:color w:val="000000" w:themeColor="text1"/>
              </w:rPr>
            </w:pPr>
            <w:r w:rsidRPr="009F02E3">
              <w:rPr>
                <w:color w:val="000000" w:themeColor="text1"/>
              </w:rPr>
              <w:t>5.1. valsts pamatbudžets</w:t>
            </w:r>
          </w:p>
        </w:tc>
        <w:tc>
          <w:tcPr>
            <w:tcW w:w="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76D363" w14:textId="77777777" w:rsidR="00473F82" w:rsidRPr="009F02E3" w:rsidRDefault="00473F82" w:rsidP="00160E18">
            <w:pPr>
              <w:rPr>
                <w:color w:val="000000" w:themeColor="text1"/>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hideMark/>
          </w:tcPr>
          <w:p w14:paraId="56985A8D" w14:textId="77777777" w:rsidR="00473F82" w:rsidRPr="009F02E3" w:rsidRDefault="00473F82" w:rsidP="00160E18">
            <w:pPr>
              <w:rPr>
                <w:color w:val="000000" w:themeColor="text1"/>
              </w:rPr>
            </w:pPr>
            <w:r w:rsidRPr="009F02E3">
              <w:rPr>
                <w:color w:val="000000" w:themeColor="text1"/>
              </w:rPr>
              <w:t> </w:t>
            </w:r>
          </w:p>
        </w:tc>
        <w:tc>
          <w:tcPr>
            <w:tcW w:w="624" w:type="pct"/>
            <w:tcBorders>
              <w:top w:val="outset" w:sz="6" w:space="0" w:color="414142"/>
              <w:left w:val="outset" w:sz="6" w:space="0" w:color="414142"/>
              <w:bottom w:val="outset" w:sz="6" w:space="0" w:color="414142"/>
              <w:right w:val="outset" w:sz="6" w:space="0" w:color="414142"/>
            </w:tcBorders>
            <w:shd w:val="clear" w:color="auto" w:fill="FFFFFF"/>
            <w:hideMark/>
          </w:tcPr>
          <w:p w14:paraId="2DD6A80B" w14:textId="77777777" w:rsidR="00473F82" w:rsidRPr="009F02E3" w:rsidRDefault="00473F82" w:rsidP="00160E18">
            <w:pPr>
              <w:rPr>
                <w:color w:val="000000" w:themeColor="text1"/>
              </w:rPr>
            </w:pPr>
            <w:r w:rsidRPr="009F02E3">
              <w:rPr>
                <w:color w:val="000000" w:themeColor="text1"/>
              </w:rPr>
              <w:t> </w:t>
            </w:r>
          </w:p>
        </w:tc>
        <w:tc>
          <w:tcPr>
            <w:tcW w:w="598" w:type="pct"/>
            <w:tcBorders>
              <w:top w:val="outset" w:sz="6" w:space="0" w:color="414142"/>
              <w:left w:val="outset" w:sz="6" w:space="0" w:color="414142"/>
              <w:bottom w:val="outset" w:sz="6" w:space="0" w:color="414142"/>
              <w:right w:val="outset" w:sz="6" w:space="0" w:color="414142"/>
            </w:tcBorders>
            <w:shd w:val="clear" w:color="auto" w:fill="FFFFFF"/>
            <w:hideMark/>
          </w:tcPr>
          <w:p w14:paraId="1EF97927" w14:textId="77777777" w:rsidR="00473F82" w:rsidRPr="009F02E3" w:rsidRDefault="00473F82" w:rsidP="00160E18">
            <w:pPr>
              <w:rPr>
                <w:color w:val="000000" w:themeColor="text1"/>
              </w:rPr>
            </w:pPr>
            <w:r w:rsidRPr="009F02E3">
              <w:rPr>
                <w:color w:val="000000" w:themeColor="text1"/>
              </w:rPr>
              <w:t> </w:t>
            </w:r>
          </w:p>
        </w:tc>
        <w:tc>
          <w:tcPr>
            <w:tcW w:w="707" w:type="pct"/>
            <w:tcBorders>
              <w:top w:val="outset" w:sz="6" w:space="0" w:color="414142"/>
              <w:left w:val="outset" w:sz="6" w:space="0" w:color="414142"/>
              <w:bottom w:val="outset" w:sz="6" w:space="0" w:color="414142"/>
              <w:right w:val="outset" w:sz="6" w:space="0" w:color="414142"/>
            </w:tcBorders>
            <w:shd w:val="clear" w:color="auto" w:fill="FFFFFF"/>
            <w:hideMark/>
          </w:tcPr>
          <w:p w14:paraId="63A987C3" w14:textId="77777777" w:rsidR="00473F82" w:rsidRPr="009F02E3" w:rsidRDefault="00473F82" w:rsidP="00160E18">
            <w:pPr>
              <w:rPr>
                <w:color w:val="000000" w:themeColor="text1"/>
              </w:rPr>
            </w:pPr>
            <w:r w:rsidRPr="009F02E3">
              <w:rPr>
                <w:color w:val="000000" w:themeColor="text1"/>
              </w:rPr>
              <w:t> </w:t>
            </w:r>
          </w:p>
        </w:tc>
      </w:tr>
      <w:tr w:rsidR="009F02E3" w:rsidRPr="009F02E3" w14:paraId="5F062AFC"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5A20AB09" w14:textId="77777777" w:rsidR="00473F82" w:rsidRPr="009F02E3" w:rsidRDefault="00473F82" w:rsidP="00160E18">
            <w:pPr>
              <w:rPr>
                <w:color w:val="000000" w:themeColor="text1"/>
              </w:rPr>
            </w:pPr>
            <w:r w:rsidRPr="009F02E3">
              <w:rPr>
                <w:color w:val="000000" w:themeColor="text1"/>
              </w:rPr>
              <w:t>5.2. speciālais budžets</w:t>
            </w:r>
          </w:p>
        </w:tc>
        <w:tc>
          <w:tcPr>
            <w:tcW w:w="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4E6A16" w14:textId="77777777" w:rsidR="00473F82" w:rsidRPr="009F02E3" w:rsidRDefault="00473F82" w:rsidP="00160E18">
            <w:pPr>
              <w:rPr>
                <w:color w:val="000000" w:themeColor="text1"/>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hideMark/>
          </w:tcPr>
          <w:p w14:paraId="0548A477" w14:textId="77777777" w:rsidR="00473F82" w:rsidRPr="009F02E3" w:rsidRDefault="00473F82" w:rsidP="00160E18">
            <w:pPr>
              <w:rPr>
                <w:color w:val="000000" w:themeColor="text1"/>
              </w:rPr>
            </w:pPr>
            <w:r w:rsidRPr="009F02E3">
              <w:rPr>
                <w:color w:val="000000" w:themeColor="text1"/>
              </w:rPr>
              <w:t> </w:t>
            </w:r>
          </w:p>
        </w:tc>
        <w:tc>
          <w:tcPr>
            <w:tcW w:w="624" w:type="pct"/>
            <w:tcBorders>
              <w:top w:val="outset" w:sz="6" w:space="0" w:color="414142"/>
              <w:left w:val="outset" w:sz="6" w:space="0" w:color="414142"/>
              <w:bottom w:val="outset" w:sz="6" w:space="0" w:color="414142"/>
              <w:right w:val="outset" w:sz="6" w:space="0" w:color="414142"/>
            </w:tcBorders>
            <w:shd w:val="clear" w:color="auto" w:fill="FFFFFF"/>
            <w:hideMark/>
          </w:tcPr>
          <w:p w14:paraId="4EDA0DDF" w14:textId="77777777" w:rsidR="00473F82" w:rsidRPr="009F02E3" w:rsidRDefault="00473F82" w:rsidP="00160E18">
            <w:pPr>
              <w:rPr>
                <w:color w:val="000000" w:themeColor="text1"/>
              </w:rPr>
            </w:pPr>
            <w:r w:rsidRPr="009F02E3">
              <w:rPr>
                <w:color w:val="000000" w:themeColor="text1"/>
              </w:rPr>
              <w:t> </w:t>
            </w:r>
          </w:p>
        </w:tc>
        <w:tc>
          <w:tcPr>
            <w:tcW w:w="598" w:type="pct"/>
            <w:tcBorders>
              <w:top w:val="outset" w:sz="6" w:space="0" w:color="414142"/>
              <w:left w:val="outset" w:sz="6" w:space="0" w:color="414142"/>
              <w:bottom w:val="outset" w:sz="6" w:space="0" w:color="414142"/>
              <w:right w:val="outset" w:sz="6" w:space="0" w:color="414142"/>
            </w:tcBorders>
            <w:shd w:val="clear" w:color="auto" w:fill="FFFFFF"/>
            <w:hideMark/>
          </w:tcPr>
          <w:p w14:paraId="1E52F709" w14:textId="77777777" w:rsidR="00473F82" w:rsidRPr="009F02E3" w:rsidRDefault="00473F82" w:rsidP="00160E18">
            <w:pPr>
              <w:rPr>
                <w:color w:val="000000" w:themeColor="text1"/>
              </w:rPr>
            </w:pPr>
            <w:r w:rsidRPr="009F02E3">
              <w:rPr>
                <w:color w:val="000000" w:themeColor="text1"/>
              </w:rPr>
              <w:t> </w:t>
            </w:r>
          </w:p>
        </w:tc>
        <w:tc>
          <w:tcPr>
            <w:tcW w:w="707" w:type="pct"/>
            <w:tcBorders>
              <w:top w:val="outset" w:sz="6" w:space="0" w:color="414142"/>
              <w:left w:val="outset" w:sz="6" w:space="0" w:color="414142"/>
              <w:bottom w:val="outset" w:sz="6" w:space="0" w:color="414142"/>
              <w:right w:val="outset" w:sz="6" w:space="0" w:color="414142"/>
            </w:tcBorders>
            <w:shd w:val="clear" w:color="auto" w:fill="FFFFFF"/>
            <w:hideMark/>
          </w:tcPr>
          <w:p w14:paraId="6FDBD1A2" w14:textId="77777777" w:rsidR="00473F82" w:rsidRPr="009F02E3" w:rsidRDefault="00473F82" w:rsidP="00160E18">
            <w:pPr>
              <w:rPr>
                <w:color w:val="000000" w:themeColor="text1"/>
              </w:rPr>
            </w:pPr>
            <w:r w:rsidRPr="009F02E3">
              <w:rPr>
                <w:color w:val="000000" w:themeColor="text1"/>
              </w:rPr>
              <w:t> </w:t>
            </w:r>
          </w:p>
        </w:tc>
      </w:tr>
      <w:tr w:rsidR="009F02E3" w:rsidRPr="009F02E3" w14:paraId="0EBA4559" w14:textId="77777777" w:rsidTr="006D4B30">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0AABFE8F" w14:textId="77777777" w:rsidR="00473F82" w:rsidRPr="009F02E3" w:rsidRDefault="00473F82" w:rsidP="00160E18">
            <w:pPr>
              <w:rPr>
                <w:color w:val="000000" w:themeColor="text1"/>
              </w:rPr>
            </w:pPr>
            <w:r w:rsidRPr="009F02E3">
              <w:rPr>
                <w:color w:val="000000" w:themeColor="text1"/>
              </w:rPr>
              <w:t>5.3. pašvaldību budžets</w:t>
            </w:r>
          </w:p>
        </w:tc>
        <w:tc>
          <w:tcPr>
            <w:tcW w:w="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174D7" w14:textId="77777777" w:rsidR="00473F82" w:rsidRPr="009F02E3" w:rsidRDefault="00473F82" w:rsidP="00160E18">
            <w:pPr>
              <w:rPr>
                <w:color w:val="000000" w:themeColor="text1"/>
              </w:rPr>
            </w:pPr>
          </w:p>
        </w:tc>
        <w:tc>
          <w:tcPr>
            <w:tcW w:w="711" w:type="pct"/>
            <w:tcBorders>
              <w:top w:val="outset" w:sz="6" w:space="0" w:color="414142"/>
              <w:left w:val="outset" w:sz="6" w:space="0" w:color="414142"/>
              <w:bottom w:val="outset" w:sz="6" w:space="0" w:color="414142"/>
              <w:right w:val="outset" w:sz="6" w:space="0" w:color="414142"/>
            </w:tcBorders>
            <w:shd w:val="clear" w:color="auto" w:fill="FFFFFF"/>
            <w:hideMark/>
          </w:tcPr>
          <w:p w14:paraId="66FC1B1E" w14:textId="77777777" w:rsidR="00473F82" w:rsidRPr="009F02E3" w:rsidRDefault="00473F82" w:rsidP="00160E18">
            <w:pPr>
              <w:rPr>
                <w:color w:val="000000" w:themeColor="text1"/>
              </w:rPr>
            </w:pPr>
            <w:r w:rsidRPr="009F02E3">
              <w:rPr>
                <w:color w:val="000000" w:themeColor="text1"/>
              </w:rPr>
              <w:t> </w:t>
            </w:r>
          </w:p>
        </w:tc>
        <w:tc>
          <w:tcPr>
            <w:tcW w:w="624" w:type="pct"/>
            <w:tcBorders>
              <w:top w:val="outset" w:sz="6" w:space="0" w:color="414142"/>
              <w:left w:val="outset" w:sz="6" w:space="0" w:color="414142"/>
              <w:bottom w:val="outset" w:sz="6" w:space="0" w:color="414142"/>
              <w:right w:val="outset" w:sz="6" w:space="0" w:color="414142"/>
            </w:tcBorders>
            <w:shd w:val="clear" w:color="auto" w:fill="FFFFFF"/>
            <w:hideMark/>
          </w:tcPr>
          <w:p w14:paraId="70A944E2" w14:textId="77777777" w:rsidR="00473F82" w:rsidRPr="009F02E3" w:rsidRDefault="00473F82" w:rsidP="00160E18">
            <w:pPr>
              <w:rPr>
                <w:color w:val="000000" w:themeColor="text1"/>
              </w:rPr>
            </w:pPr>
            <w:r w:rsidRPr="009F02E3">
              <w:rPr>
                <w:color w:val="000000" w:themeColor="text1"/>
              </w:rPr>
              <w:t> </w:t>
            </w:r>
          </w:p>
        </w:tc>
        <w:tc>
          <w:tcPr>
            <w:tcW w:w="598" w:type="pct"/>
            <w:tcBorders>
              <w:top w:val="outset" w:sz="6" w:space="0" w:color="414142"/>
              <w:left w:val="outset" w:sz="6" w:space="0" w:color="414142"/>
              <w:bottom w:val="outset" w:sz="6" w:space="0" w:color="414142"/>
              <w:right w:val="outset" w:sz="6" w:space="0" w:color="414142"/>
            </w:tcBorders>
            <w:shd w:val="clear" w:color="auto" w:fill="FFFFFF"/>
            <w:hideMark/>
          </w:tcPr>
          <w:p w14:paraId="28C49407" w14:textId="77777777" w:rsidR="00473F82" w:rsidRPr="009F02E3" w:rsidRDefault="00473F82" w:rsidP="00160E18">
            <w:pPr>
              <w:rPr>
                <w:color w:val="000000" w:themeColor="text1"/>
              </w:rPr>
            </w:pPr>
            <w:r w:rsidRPr="009F02E3">
              <w:rPr>
                <w:color w:val="000000" w:themeColor="text1"/>
              </w:rPr>
              <w:t> </w:t>
            </w:r>
          </w:p>
        </w:tc>
        <w:tc>
          <w:tcPr>
            <w:tcW w:w="707" w:type="pct"/>
            <w:tcBorders>
              <w:top w:val="outset" w:sz="6" w:space="0" w:color="414142"/>
              <w:left w:val="outset" w:sz="6" w:space="0" w:color="414142"/>
              <w:bottom w:val="outset" w:sz="6" w:space="0" w:color="414142"/>
              <w:right w:val="outset" w:sz="6" w:space="0" w:color="414142"/>
            </w:tcBorders>
            <w:shd w:val="clear" w:color="auto" w:fill="FFFFFF"/>
            <w:hideMark/>
          </w:tcPr>
          <w:p w14:paraId="186FA930" w14:textId="77777777" w:rsidR="00473F82" w:rsidRPr="009F02E3" w:rsidRDefault="00473F82" w:rsidP="00160E18">
            <w:pPr>
              <w:rPr>
                <w:color w:val="000000" w:themeColor="text1"/>
              </w:rPr>
            </w:pPr>
            <w:r w:rsidRPr="009F02E3">
              <w:rPr>
                <w:color w:val="000000" w:themeColor="text1"/>
              </w:rPr>
              <w:t> </w:t>
            </w:r>
          </w:p>
        </w:tc>
      </w:tr>
      <w:tr w:rsidR="009F02E3" w:rsidRPr="009F02E3" w14:paraId="443E60CD" w14:textId="77777777" w:rsidTr="00C32216">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1B030F92" w14:textId="77777777" w:rsidR="00473F82" w:rsidRPr="009F02E3" w:rsidRDefault="00473F82" w:rsidP="00160E18">
            <w:pPr>
              <w:rPr>
                <w:color w:val="000000" w:themeColor="text1"/>
              </w:rPr>
            </w:pPr>
            <w:r w:rsidRPr="009F02E3">
              <w:rPr>
                <w:color w:val="000000" w:themeColor="text1"/>
              </w:rPr>
              <w:t>6. Detalizēts ieņēmumu un izdevumu aprēķins (ja nepieciešams, detalizētu ieņēmumu un izdevumu aprēķinu var pievienot anotācijas pielikumā):</w:t>
            </w:r>
          </w:p>
        </w:tc>
        <w:tc>
          <w:tcPr>
            <w:tcW w:w="3238"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791C45" w14:textId="2D729AD9" w:rsidR="00473F82" w:rsidRPr="009F02E3" w:rsidRDefault="00473F82" w:rsidP="008B6D9B">
            <w:pPr>
              <w:jc w:val="both"/>
              <w:rPr>
                <w:color w:val="000000" w:themeColor="text1"/>
              </w:rPr>
            </w:pPr>
          </w:p>
        </w:tc>
      </w:tr>
      <w:tr w:rsidR="009F02E3" w:rsidRPr="009F02E3" w14:paraId="02B296AE" w14:textId="77777777" w:rsidTr="00C32216">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28147B3B" w14:textId="77777777" w:rsidR="00473F82" w:rsidRPr="009F02E3" w:rsidRDefault="00473F82" w:rsidP="00160E18">
            <w:pPr>
              <w:rPr>
                <w:color w:val="000000" w:themeColor="text1"/>
              </w:rPr>
            </w:pPr>
            <w:r w:rsidRPr="009F02E3">
              <w:rPr>
                <w:color w:val="000000" w:themeColor="text1"/>
              </w:rPr>
              <w:t>6.1. detalizēts ieņēmumu aprēķins</w:t>
            </w:r>
          </w:p>
        </w:tc>
        <w:tc>
          <w:tcPr>
            <w:tcW w:w="3238"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84958" w14:textId="77777777" w:rsidR="00473F82" w:rsidRPr="009F02E3" w:rsidRDefault="00473F82" w:rsidP="00160E18">
            <w:pPr>
              <w:rPr>
                <w:color w:val="000000" w:themeColor="text1"/>
              </w:rPr>
            </w:pPr>
          </w:p>
        </w:tc>
      </w:tr>
      <w:tr w:rsidR="009F02E3" w:rsidRPr="009F02E3" w14:paraId="2625B9F0" w14:textId="77777777" w:rsidTr="00C32216">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184B3F4B" w14:textId="77777777" w:rsidR="00473F82" w:rsidRPr="009F02E3" w:rsidRDefault="00473F82" w:rsidP="00160E18">
            <w:pPr>
              <w:rPr>
                <w:color w:val="000000" w:themeColor="text1"/>
              </w:rPr>
            </w:pPr>
            <w:r w:rsidRPr="009F02E3">
              <w:rPr>
                <w:color w:val="000000" w:themeColor="text1"/>
              </w:rPr>
              <w:t>6.2. detalizēts izdevumu aprēķins</w:t>
            </w:r>
          </w:p>
        </w:tc>
        <w:tc>
          <w:tcPr>
            <w:tcW w:w="3238"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7EEED" w14:textId="77777777" w:rsidR="00473F82" w:rsidRPr="009F02E3" w:rsidRDefault="00473F82" w:rsidP="00160E18">
            <w:pPr>
              <w:rPr>
                <w:color w:val="000000" w:themeColor="text1"/>
              </w:rPr>
            </w:pPr>
          </w:p>
        </w:tc>
      </w:tr>
      <w:tr w:rsidR="009F02E3" w:rsidRPr="009F02E3" w14:paraId="18DD28EE" w14:textId="77777777" w:rsidTr="00C32216">
        <w:trPr>
          <w:trHeight w:val="555"/>
        </w:trPr>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105AFCBD" w14:textId="77777777" w:rsidR="00473F82" w:rsidRPr="009F02E3" w:rsidRDefault="00473F82" w:rsidP="00160E18">
            <w:pPr>
              <w:rPr>
                <w:color w:val="000000" w:themeColor="text1"/>
              </w:rPr>
            </w:pPr>
            <w:r w:rsidRPr="009F02E3">
              <w:rPr>
                <w:color w:val="000000" w:themeColor="text1"/>
              </w:rPr>
              <w:t>7. Cita informācija</w:t>
            </w:r>
          </w:p>
        </w:tc>
        <w:tc>
          <w:tcPr>
            <w:tcW w:w="323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6728A862" w14:textId="77777777" w:rsidR="00603644" w:rsidRPr="009F02E3" w:rsidRDefault="00175246" w:rsidP="00844AA2">
            <w:pPr>
              <w:jc w:val="both"/>
              <w:rPr>
                <w:color w:val="000000" w:themeColor="text1"/>
              </w:rPr>
            </w:pPr>
            <w:r w:rsidRPr="009F02E3">
              <w:rPr>
                <w:color w:val="000000" w:themeColor="text1"/>
              </w:rPr>
              <w:t xml:space="preserve">Ja minimālā </w:t>
            </w:r>
            <w:r w:rsidRPr="009F02E3">
              <w:rPr>
                <w:bCs/>
                <w:color w:val="000000" w:themeColor="text1"/>
                <w:szCs w:val="28"/>
              </w:rPr>
              <w:t xml:space="preserve">elektroenerģijas patēriņa slieksnis tiek noteikts </w:t>
            </w:r>
            <w:r w:rsidRPr="009F02E3">
              <w:rPr>
                <w:b/>
                <w:bCs/>
                <w:color w:val="000000" w:themeColor="text1"/>
                <w:szCs w:val="28"/>
              </w:rPr>
              <w:t>30 GWh</w:t>
            </w:r>
            <w:r w:rsidRPr="009F02E3">
              <w:rPr>
                <w:color w:val="000000" w:themeColor="text1"/>
              </w:rPr>
              <w:t xml:space="preserve"> un, j</w:t>
            </w:r>
            <w:r w:rsidR="00AD3373" w:rsidRPr="009F02E3">
              <w:rPr>
                <w:color w:val="000000" w:themeColor="text1"/>
              </w:rPr>
              <w:t>a 2015. gadā darbību veic AS „KVV Liepājas metalurgs”, kas ir būtisks elektroenerģijas patērētājs un attiecīgi arī OIK maksātājs Latvijā</w:t>
            </w:r>
            <w:r w:rsidR="00603644" w:rsidRPr="009F02E3">
              <w:rPr>
                <w:color w:val="000000" w:themeColor="text1"/>
              </w:rPr>
              <w:t>,</w:t>
            </w:r>
            <w:r w:rsidR="00AD3373" w:rsidRPr="009F02E3">
              <w:rPr>
                <w:color w:val="000000" w:themeColor="text1"/>
              </w:rPr>
              <w:t xml:space="preserve"> ietekme uz elektroenerģijas kopējo cenu un OIK netiek prognozēta, kā arī netiek prognozēta nepieciešamība pēc valsts </w:t>
            </w:r>
            <w:r w:rsidR="00A85146" w:rsidRPr="009F02E3">
              <w:rPr>
                <w:color w:val="000000" w:themeColor="text1"/>
              </w:rPr>
              <w:t>pamat</w:t>
            </w:r>
            <w:r w:rsidR="00AD3373" w:rsidRPr="009F02E3">
              <w:rPr>
                <w:color w:val="000000" w:themeColor="text1"/>
              </w:rPr>
              <w:t>budžeta līdzekļiem</w:t>
            </w:r>
            <w:r w:rsidR="00A85146" w:rsidRPr="009F02E3">
              <w:rPr>
                <w:color w:val="000000" w:themeColor="text1"/>
              </w:rPr>
              <w:t>, kā tas prognozēts</w:t>
            </w:r>
            <w:r w:rsidRPr="009F02E3">
              <w:rPr>
                <w:color w:val="000000" w:themeColor="text1"/>
              </w:rPr>
              <w:t xml:space="preserve"> anotācijas</w:t>
            </w:r>
            <w:r w:rsidR="00A85146" w:rsidRPr="009F02E3">
              <w:rPr>
                <w:color w:val="000000" w:themeColor="text1"/>
              </w:rPr>
              <w:t xml:space="preserve"> III.</w:t>
            </w:r>
            <w:r w:rsidR="00603644" w:rsidRPr="009F02E3">
              <w:rPr>
                <w:color w:val="000000" w:themeColor="text1"/>
              </w:rPr>
              <w:t xml:space="preserve"> </w:t>
            </w:r>
            <w:r w:rsidR="00A85146" w:rsidRPr="009F02E3">
              <w:rPr>
                <w:color w:val="000000" w:themeColor="text1"/>
              </w:rPr>
              <w:t>sadaļas 2.1. apakšpunktā</w:t>
            </w:r>
            <w:r w:rsidR="00AD3373" w:rsidRPr="009F02E3">
              <w:rPr>
                <w:color w:val="000000" w:themeColor="text1"/>
              </w:rPr>
              <w:t xml:space="preserve">. </w:t>
            </w:r>
          </w:p>
          <w:p w14:paraId="16FCE24C" w14:textId="4E831C56" w:rsidR="00A85146" w:rsidRDefault="001B0300" w:rsidP="00844AA2">
            <w:pPr>
              <w:jc w:val="both"/>
              <w:rPr>
                <w:color w:val="000000" w:themeColor="text1"/>
              </w:rPr>
            </w:pPr>
            <w:r w:rsidRPr="009F02E3">
              <w:rPr>
                <w:color w:val="000000" w:themeColor="text1"/>
              </w:rPr>
              <w:t>Gadījumā, ja AS „KVV Liepājas metalurgs” savu darbību neveic iepriekš plānotajā apjomā</w:t>
            </w:r>
            <w:r w:rsidR="00603644" w:rsidRPr="009F02E3">
              <w:rPr>
                <w:color w:val="000000" w:themeColor="text1"/>
              </w:rPr>
              <w:t>,</w:t>
            </w:r>
            <w:r w:rsidRPr="009F02E3">
              <w:rPr>
                <w:color w:val="000000" w:themeColor="text1"/>
              </w:rPr>
              <w:t xml:space="preserve"> </w:t>
            </w:r>
            <w:r w:rsidR="00603644" w:rsidRPr="009F02E3">
              <w:rPr>
                <w:color w:val="000000" w:themeColor="text1"/>
              </w:rPr>
              <w:t>tad</w:t>
            </w:r>
            <w:r w:rsidRPr="009F02E3">
              <w:rPr>
                <w:color w:val="000000" w:themeColor="text1"/>
              </w:rPr>
              <w:t xml:space="preserve"> atbalsta mehānisma nodrošināšanai ir nepieciešami valsts budžeta līdzekļi, 2016.-2018. gadā </w:t>
            </w:r>
            <w:r w:rsidR="00603644" w:rsidRPr="009F02E3">
              <w:rPr>
                <w:color w:val="000000" w:themeColor="text1"/>
              </w:rPr>
              <w:t xml:space="preserve">būs nepieciešams </w:t>
            </w:r>
            <w:r w:rsidRPr="009F02E3">
              <w:rPr>
                <w:color w:val="000000" w:themeColor="text1"/>
              </w:rPr>
              <w:t>plānot</w:t>
            </w:r>
            <w:r w:rsidR="00603644" w:rsidRPr="009F02E3">
              <w:rPr>
                <w:color w:val="000000" w:themeColor="text1"/>
              </w:rPr>
              <w:t>s</w:t>
            </w:r>
            <w:r w:rsidRPr="009F02E3">
              <w:rPr>
                <w:color w:val="000000" w:themeColor="text1"/>
              </w:rPr>
              <w:t xml:space="preserve"> līdzekļu pārdal</w:t>
            </w:r>
            <w:r w:rsidR="00603644" w:rsidRPr="009F02E3">
              <w:rPr>
                <w:color w:val="000000" w:themeColor="text1"/>
              </w:rPr>
              <w:t>i</w:t>
            </w:r>
            <w:r w:rsidRPr="009F02E3">
              <w:rPr>
                <w:color w:val="000000" w:themeColor="text1"/>
              </w:rPr>
              <w:t xml:space="preserve"> no AS “Latvenergo” dividendēm</w:t>
            </w:r>
            <w:r w:rsidR="00603644" w:rsidRPr="009F02E3">
              <w:rPr>
                <w:color w:val="000000" w:themeColor="text1"/>
              </w:rPr>
              <w:t xml:space="preserve">, palielinot </w:t>
            </w:r>
            <w:r w:rsidR="00BA4D59" w:rsidRPr="009F02E3">
              <w:rPr>
                <w:rStyle w:val="apple-converted-space"/>
                <w:color w:val="000000" w:themeColor="text1"/>
                <w:shd w:val="clear" w:color="auto" w:fill="FFFFFF"/>
              </w:rPr>
              <w:t> </w:t>
            </w:r>
            <w:r w:rsidR="00BA4D59" w:rsidRPr="009F02E3">
              <w:rPr>
                <w:color w:val="000000" w:themeColor="text1"/>
                <w:shd w:val="clear" w:color="auto" w:fill="FFFFFF"/>
              </w:rPr>
              <w:t xml:space="preserve">dividendēs izmaksājamās peļņas daļas </w:t>
            </w:r>
            <w:r w:rsidR="00603644" w:rsidRPr="009F02E3">
              <w:rPr>
                <w:color w:val="000000" w:themeColor="text1"/>
              </w:rPr>
              <w:t>iemaks</w:t>
            </w:r>
            <w:r w:rsidR="00BA4D59" w:rsidRPr="009F02E3">
              <w:rPr>
                <w:color w:val="000000" w:themeColor="text1"/>
              </w:rPr>
              <w:t>u</w:t>
            </w:r>
            <w:r w:rsidR="00603644" w:rsidRPr="009F02E3">
              <w:rPr>
                <w:color w:val="000000" w:themeColor="text1"/>
              </w:rPr>
              <w:t xml:space="preserve"> valsts budžetā</w:t>
            </w:r>
            <w:r w:rsidRPr="009F02E3">
              <w:rPr>
                <w:color w:val="000000" w:themeColor="text1"/>
              </w:rPr>
              <w:t>.</w:t>
            </w:r>
          </w:p>
          <w:p w14:paraId="56328F38" w14:textId="07556C9F" w:rsidR="00237503" w:rsidRPr="009F02E3" w:rsidRDefault="00237503" w:rsidP="00844AA2">
            <w:pPr>
              <w:jc w:val="both"/>
              <w:rPr>
                <w:color w:val="000000" w:themeColor="text1"/>
              </w:rPr>
            </w:pPr>
            <w:r>
              <w:rPr>
                <w:color w:val="000000" w:themeColor="text1"/>
              </w:rPr>
              <w:t xml:space="preserve">Ņemot vērā, ka šobrīd ir pagājis 2015. gada I pusgads un </w:t>
            </w:r>
            <w:r w:rsidRPr="009F02E3">
              <w:rPr>
                <w:color w:val="000000" w:themeColor="text1"/>
              </w:rPr>
              <w:t>AS „KVV Liepājas metalurgs”</w:t>
            </w:r>
            <w:r>
              <w:rPr>
                <w:color w:val="000000" w:themeColor="text1"/>
              </w:rPr>
              <w:t xml:space="preserve"> nav uzsācis stabilu ražošanas procesu, detalizētas prognozes var tikt veiktas, veidojot 2016. gada budžetu.</w:t>
            </w:r>
          </w:p>
          <w:p w14:paraId="68D028C2" w14:textId="6D84E2B6" w:rsidR="001B0300" w:rsidRPr="009F02E3" w:rsidRDefault="001B0300" w:rsidP="00844AA2">
            <w:pPr>
              <w:jc w:val="both"/>
              <w:rPr>
                <w:color w:val="000000" w:themeColor="text1"/>
              </w:rPr>
            </w:pPr>
            <w:r w:rsidRPr="009F02E3">
              <w:rPr>
                <w:color w:val="000000" w:themeColor="text1"/>
              </w:rPr>
              <w:t xml:space="preserve">Saskaņā ar Ministru kabineta 2014. gada 19. novembra sēdes (prot.nr.63, </w:t>
            </w:r>
            <w:bookmarkStart w:id="4" w:name="23"/>
            <w:r w:rsidRPr="009F02E3">
              <w:rPr>
                <w:color w:val="000000" w:themeColor="text1"/>
              </w:rPr>
              <w:t>23.§</w:t>
            </w:r>
            <w:bookmarkEnd w:id="4"/>
            <w:r w:rsidRPr="009F02E3">
              <w:rPr>
                <w:color w:val="000000" w:themeColor="text1"/>
              </w:rPr>
              <w:t>) 2.</w:t>
            </w:r>
            <w:r w:rsidR="00175246" w:rsidRPr="009F02E3">
              <w:rPr>
                <w:color w:val="000000" w:themeColor="text1"/>
              </w:rPr>
              <w:t>2. apakšpunktu Ekonomikas ministrijai valsts budžeta 2016. gadam projekta sagatavošanas procesā jāiesniedz Ministru kabinetā priekšlikumus par nepieciešamo valsts budžeta finansējumu elektroenerģijas lietotāju atbalstam 2016. gadā un turpmākajos gados.</w:t>
            </w:r>
          </w:p>
          <w:p w14:paraId="25E26003" w14:textId="248B75D8" w:rsidR="004B51F5" w:rsidRDefault="00AD3373" w:rsidP="00844AA2">
            <w:pPr>
              <w:jc w:val="both"/>
              <w:rPr>
                <w:color w:val="000000" w:themeColor="text1"/>
              </w:rPr>
            </w:pPr>
            <w:r w:rsidRPr="009F02E3">
              <w:rPr>
                <w:color w:val="000000" w:themeColor="text1"/>
              </w:rPr>
              <w:t>Laika posmā no 2016.-2018. gadam AS „KVV Liepājas metalurgs” kā samazināto OIK provizoriski samaksās 14,43 milj. EUR, savukārt</w:t>
            </w:r>
            <w:r w:rsidR="00A85146" w:rsidRPr="009F02E3">
              <w:rPr>
                <w:color w:val="000000" w:themeColor="text1"/>
              </w:rPr>
              <w:t>,</w:t>
            </w:r>
            <w:r w:rsidRPr="009F02E3">
              <w:rPr>
                <w:color w:val="000000" w:themeColor="text1"/>
              </w:rPr>
              <w:t xml:space="preserve"> ja visi komersanti Latvijā </w:t>
            </w:r>
            <w:r w:rsidRPr="009F02E3">
              <w:rPr>
                <w:bCs/>
                <w:color w:val="000000" w:themeColor="text1"/>
                <w:szCs w:val="28"/>
              </w:rPr>
              <w:t xml:space="preserve">ar vidējo gada elektroenerģijas patēriņu vismaz </w:t>
            </w:r>
            <w:r w:rsidRPr="009F02E3">
              <w:rPr>
                <w:b/>
                <w:bCs/>
                <w:color w:val="000000" w:themeColor="text1"/>
                <w:szCs w:val="28"/>
              </w:rPr>
              <w:t>30 GWh</w:t>
            </w:r>
            <w:r w:rsidRPr="009F02E3">
              <w:rPr>
                <w:bCs/>
                <w:color w:val="000000" w:themeColor="text1"/>
                <w:szCs w:val="28"/>
              </w:rPr>
              <w:t xml:space="preserve"> apjomā, kas atbilst visiem noteikumu projektā izvirzītajiem</w:t>
            </w:r>
            <w:r w:rsidR="00A85146" w:rsidRPr="009F02E3">
              <w:rPr>
                <w:bCs/>
                <w:color w:val="000000" w:themeColor="text1"/>
                <w:szCs w:val="28"/>
              </w:rPr>
              <w:t xml:space="preserve"> kvalificēšanās</w:t>
            </w:r>
            <w:r w:rsidRPr="009F02E3">
              <w:rPr>
                <w:bCs/>
                <w:color w:val="000000" w:themeColor="text1"/>
                <w:szCs w:val="28"/>
              </w:rPr>
              <w:t xml:space="preserve"> kritērijiem iegūst tiesības uz samazinātu līdzdalību izdevumu kompensēšanai publiskajam tirgotājam, provizoriski samazina OIK iemaksu daļu </w:t>
            </w:r>
            <w:r w:rsidRPr="009F02E3">
              <w:rPr>
                <w:color w:val="000000" w:themeColor="text1"/>
              </w:rPr>
              <w:t xml:space="preserve">laika posmā no </w:t>
            </w:r>
            <w:r w:rsidRPr="009F02E3">
              <w:rPr>
                <w:b/>
                <w:color w:val="000000" w:themeColor="text1"/>
              </w:rPr>
              <w:t>2016.-2018.</w:t>
            </w:r>
            <w:r w:rsidRPr="009F02E3">
              <w:rPr>
                <w:color w:val="000000" w:themeColor="text1"/>
              </w:rPr>
              <w:t xml:space="preserve"> gadam par </w:t>
            </w:r>
            <w:r w:rsidR="00E90158" w:rsidRPr="009F02E3">
              <w:rPr>
                <w:b/>
                <w:color w:val="000000" w:themeColor="text1"/>
              </w:rPr>
              <w:t>25,64</w:t>
            </w:r>
            <w:r w:rsidR="00E90158" w:rsidRPr="009F02E3">
              <w:rPr>
                <w:color w:val="000000" w:themeColor="text1"/>
              </w:rPr>
              <w:t xml:space="preserve"> </w:t>
            </w:r>
            <w:r w:rsidRPr="009F02E3">
              <w:rPr>
                <w:color w:val="000000" w:themeColor="text1"/>
              </w:rPr>
              <w:t xml:space="preserve">milj. EUR. </w:t>
            </w:r>
          </w:p>
          <w:p w14:paraId="5BF9EA16" w14:textId="77777777" w:rsidR="003D56E0" w:rsidRDefault="003D56E0" w:rsidP="00844AA2">
            <w:pPr>
              <w:jc w:val="both"/>
              <w:rPr>
                <w:color w:val="000000" w:themeColor="text1"/>
              </w:rPr>
            </w:pPr>
          </w:p>
          <w:tbl>
            <w:tblPr>
              <w:tblStyle w:val="TableGrid"/>
              <w:tblW w:w="0" w:type="auto"/>
              <w:tblLook w:val="04A0" w:firstRow="1" w:lastRow="0" w:firstColumn="1" w:lastColumn="0" w:noHBand="0" w:noVBand="1"/>
            </w:tblPr>
            <w:tblGrid>
              <w:gridCol w:w="3158"/>
              <w:gridCol w:w="3145"/>
            </w:tblGrid>
            <w:tr w:rsidR="003D56E0" w14:paraId="1F4884F4" w14:textId="77777777" w:rsidTr="003D56E0">
              <w:tc>
                <w:tcPr>
                  <w:tcW w:w="3176" w:type="dxa"/>
                </w:tcPr>
                <w:p w14:paraId="7ED2619C" w14:textId="794A0DFD" w:rsidR="003D56E0" w:rsidRDefault="003D56E0" w:rsidP="003D56E0">
                  <w:pPr>
                    <w:jc w:val="both"/>
                    <w:rPr>
                      <w:color w:val="000000" w:themeColor="text1"/>
                    </w:rPr>
                  </w:pPr>
                  <w:r>
                    <w:rPr>
                      <w:bCs/>
                      <w:color w:val="000000" w:themeColor="text1"/>
                      <w:szCs w:val="28"/>
                    </w:rPr>
                    <w:lastRenderedPageBreak/>
                    <w:t>E</w:t>
                  </w:r>
                  <w:r w:rsidRPr="009F02E3">
                    <w:rPr>
                      <w:bCs/>
                      <w:color w:val="000000" w:themeColor="text1"/>
                      <w:szCs w:val="28"/>
                    </w:rPr>
                    <w:t>lektroenerģijas</w:t>
                  </w:r>
                  <w:r>
                    <w:rPr>
                      <w:bCs/>
                      <w:color w:val="000000" w:themeColor="text1"/>
                      <w:szCs w:val="28"/>
                    </w:rPr>
                    <w:t xml:space="preserve"> </w:t>
                  </w:r>
                  <w:r w:rsidRPr="009F02E3">
                    <w:rPr>
                      <w:bCs/>
                      <w:color w:val="000000" w:themeColor="text1"/>
                      <w:szCs w:val="28"/>
                    </w:rPr>
                    <w:t>patēriņ</w:t>
                  </w:r>
                  <w:r>
                    <w:rPr>
                      <w:bCs/>
                      <w:color w:val="000000" w:themeColor="text1"/>
                      <w:szCs w:val="28"/>
                    </w:rPr>
                    <w:t>a</w:t>
                  </w:r>
                  <w:r w:rsidRPr="009F02E3">
                    <w:rPr>
                      <w:bCs/>
                      <w:color w:val="000000" w:themeColor="text1"/>
                      <w:szCs w:val="28"/>
                    </w:rPr>
                    <w:t xml:space="preserve"> </w:t>
                  </w:r>
                  <w:r>
                    <w:rPr>
                      <w:bCs/>
                      <w:color w:val="000000" w:themeColor="text1"/>
                      <w:szCs w:val="28"/>
                    </w:rPr>
                    <w:t>s</w:t>
                  </w:r>
                  <w:r>
                    <w:rPr>
                      <w:color w:val="000000" w:themeColor="text1"/>
                    </w:rPr>
                    <w:t>lieksnis</w:t>
                  </w:r>
                </w:p>
              </w:tc>
              <w:tc>
                <w:tcPr>
                  <w:tcW w:w="3176" w:type="dxa"/>
                </w:tcPr>
                <w:p w14:paraId="67F78F7C" w14:textId="2907A79C" w:rsidR="003D56E0" w:rsidRDefault="003D56E0" w:rsidP="00844AA2">
                  <w:pPr>
                    <w:jc w:val="both"/>
                    <w:rPr>
                      <w:color w:val="000000" w:themeColor="text1"/>
                    </w:rPr>
                  </w:pPr>
                  <w:r>
                    <w:rPr>
                      <w:color w:val="000000" w:themeColor="text1"/>
                    </w:rPr>
                    <w:t>30 GWh</w:t>
                  </w:r>
                </w:p>
              </w:tc>
            </w:tr>
            <w:tr w:rsidR="003D56E0" w14:paraId="58AC1BED" w14:textId="77777777" w:rsidTr="003D56E0">
              <w:tc>
                <w:tcPr>
                  <w:tcW w:w="3176" w:type="dxa"/>
                </w:tcPr>
                <w:p w14:paraId="3C21569D" w14:textId="5D6DD253" w:rsidR="003D56E0" w:rsidRDefault="003D56E0" w:rsidP="00844AA2">
                  <w:pPr>
                    <w:jc w:val="both"/>
                    <w:rPr>
                      <w:color w:val="000000" w:themeColor="text1"/>
                    </w:rPr>
                  </w:pPr>
                  <w:r>
                    <w:rPr>
                      <w:color w:val="000000" w:themeColor="text1"/>
                    </w:rPr>
                    <w:t>Atbalstāmo uzņēmumu skaits</w:t>
                  </w:r>
                </w:p>
              </w:tc>
              <w:tc>
                <w:tcPr>
                  <w:tcW w:w="3176" w:type="dxa"/>
                </w:tcPr>
                <w:p w14:paraId="660493EF" w14:textId="592AA932" w:rsidR="003D56E0" w:rsidRDefault="003D56E0" w:rsidP="00844AA2">
                  <w:pPr>
                    <w:jc w:val="both"/>
                    <w:rPr>
                      <w:color w:val="000000" w:themeColor="text1"/>
                    </w:rPr>
                  </w:pPr>
                  <w:r>
                    <w:rPr>
                      <w:color w:val="000000" w:themeColor="text1"/>
                    </w:rPr>
                    <w:t>8</w:t>
                  </w:r>
                </w:p>
              </w:tc>
            </w:tr>
            <w:tr w:rsidR="003D56E0" w14:paraId="4A4B4FB3" w14:textId="77777777" w:rsidTr="003D56E0">
              <w:tc>
                <w:tcPr>
                  <w:tcW w:w="3176" w:type="dxa"/>
                </w:tcPr>
                <w:p w14:paraId="5DB846B6" w14:textId="2CF94AA8" w:rsidR="003D56E0" w:rsidRDefault="003D56E0" w:rsidP="00844AA2">
                  <w:pPr>
                    <w:jc w:val="both"/>
                    <w:rPr>
                      <w:color w:val="000000" w:themeColor="text1"/>
                    </w:rPr>
                  </w:pPr>
                  <w:r>
                    <w:rPr>
                      <w:color w:val="000000" w:themeColor="text1"/>
                    </w:rPr>
                    <w:t>Kopējais patēriņš gadā</w:t>
                  </w:r>
                </w:p>
              </w:tc>
              <w:tc>
                <w:tcPr>
                  <w:tcW w:w="3176" w:type="dxa"/>
                </w:tcPr>
                <w:p w14:paraId="017D9860" w14:textId="1706BA82" w:rsidR="003D56E0" w:rsidRDefault="003D56E0" w:rsidP="00844AA2">
                  <w:pPr>
                    <w:jc w:val="both"/>
                    <w:rPr>
                      <w:color w:val="000000" w:themeColor="text1"/>
                    </w:rPr>
                  </w:pPr>
                  <w:r>
                    <w:rPr>
                      <w:color w:val="000000" w:themeColor="text1"/>
                    </w:rPr>
                    <w:t>~ 630 GWh</w:t>
                  </w:r>
                </w:p>
              </w:tc>
            </w:tr>
            <w:tr w:rsidR="003D56E0" w14:paraId="281F8339" w14:textId="77777777" w:rsidTr="003D56E0">
              <w:tc>
                <w:tcPr>
                  <w:tcW w:w="3176" w:type="dxa"/>
                </w:tcPr>
                <w:p w14:paraId="463D620A" w14:textId="1EFC0977" w:rsidR="003D56E0" w:rsidRDefault="003D56E0" w:rsidP="00844AA2">
                  <w:pPr>
                    <w:jc w:val="both"/>
                    <w:rPr>
                      <w:color w:val="000000" w:themeColor="text1"/>
                    </w:rPr>
                  </w:pPr>
                  <w:r>
                    <w:rPr>
                      <w:color w:val="000000" w:themeColor="text1"/>
                    </w:rPr>
                    <w:t>Kopējais patēriņš, kuram piemērota atlaide, gadā</w:t>
                  </w:r>
                </w:p>
              </w:tc>
              <w:tc>
                <w:tcPr>
                  <w:tcW w:w="3176" w:type="dxa"/>
                </w:tcPr>
                <w:p w14:paraId="3BE70109" w14:textId="710431AA" w:rsidR="003D56E0" w:rsidRDefault="003D56E0" w:rsidP="003D56E0">
                  <w:pPr>
                    <w:jc w:val="both"/>
                    <w:rPr>
                      <w:color w:val="000000" w:themeColor="text1"/>
                    </w:rPr>
                  </w:pPr>
                  <w:r>
                    <w:rPr>
                      <w:color w:val="000000" w:themeColor="text1"/>
                    </w:rPr>
                    <w:t>~ 390 GWh</w:t>
                  </w:r>
                </w:p>
              </w:tc>
            </w:tr>
          </w:tbl>
          <w:p w14:paraId="1534B5CA" w14:textId="77777777" w:rsidR="003D56E0" w:rsidRPr="009F02E3" w:rsidRDefault="003D56E0" w:rsidP="00844AA2">
            <w:pPr>
              <w:jc w:val="both"/>
              <w:rPr>
                <w:color w:val="000000" w:themeColor="text1"/>
              </w:rPr>
            </w:pPr>
          </w:p>
          <w:p w14:paraId="11FF4D1A" w14:textId="77777777" w:rsidR="00A76255" w:rsidRPr="009F02E3" w:rsidRDefault="00473F82" w:rsidP="003A6D6A">
            <w:pPr>
              <w:jc w:val="both"/>
              <w:rPr>
                <w:color w:val="000000" w:themeColor="text1"/>
              </w:rPr>
            </w:pPr>
            <w:r w:rsidRPr="009F02E3">
              <w:rPr>
                <w:color w:val="000000" w:themeColor="text1"/>
              </w:rPr>
              <w:t xml:space="preserve">Saskaņā ar akciju sabiedrības „KVV Liepājas metalurgs” sniegtajiem aprēķiniem, konkrētais uzņēmums </w:t>
            </w:r>
            <w:r w:rsidR="00A76255" w:rsidRPr="009F02E3">
              <w:rPr>
                <w:color w:val="000000" w:themeColor="text1"/>
              </w:rPr>
              <w:t>noteikuma projekta</w:t>
            </w:r>
            <w:r w:rsidRPr="009F02E3">
              <w:rPr>
                <w:color w:val="000000" w:themeColor="text1"/>
              </w:rPr>
              <w:t xml:space="preserve"> piedāvātā atbalsta mehānisma ieviešanas rezultātā radītu papildus budžeta ieņēmumus 4,9 milj. EUR pievienotās vērtības nodokļa maksājumu veidā katru gadu</w:t>
            </w:r>
            <w:r w:rsidR="000F1A3F" w:rsidRPr="009F02E3">
              <w:rPr>
                <w:color w:val="000000" w:themeColor="text1"/>
              </w:rPr>
              <w:t>, nodrošinot lielāku ražošanas apjomu, ņemot vērā atbalsta mehānisma ietvaros nodrošināto elektroenerģijas kopējās cenas samazinājumu</w:t>
            </w:r>
            <w:r w:rsidRPr="009F02E3">
              <w:rPr>
                <w:color w:val="000000" w:themeColor="text1"/>
              </w:rPr>
              <w:t xml:space="preserve">. Tāpat prognozējams, ka arī citi energoietilpīgie apstrādes rūpniecības uzņēmumi (piemēram, akciju sabiedrība „Valmieras stikla šķiedra”, akciju sabiedrība „Cemex”, akciju sabiedrība „Latvijas finieris”, u.c.) </w:t>
            </w:r>
            <w:r w:rsidR="003A6D6A" w:rsidRPr="009F02E3">
              <w:rPr>
                <w:color w:val="000000" w:themeColor="text1"/>
              </w:rPr>
              <w:t>varētu radīt</w:t>
            </w:r>
            <w:r w:rsidRPr="009F02E3">
              <w:rPr>
                <w:color w:val="000000" w:themeColor="text1"/>
              </w:rPr>
              <w:t xml:space="preserve"> papildu </w:t>
            </w:r>
            <w:r w:rsidR="003A6D6A" w:rsidRPr="009F02E3">
              <w:rPr>
                <w:color w:val="000000" w:themeColor="text1"/>
              </w:rPr>
              <w:t xml:space="preserve">pievienotās vērtības nodokļa </w:t>
            </w:r>
            <w:r w:rsidRPr="009F02E3">
              <w:rPr>
                <w:color w:val="000000" w:themeColor="text1"/>
              </w:rPr>
              <w:t xml:space="preserve">ieņēmumus </w:t>
            </w:r>
            <w:r w:rsidR="001C41C1" w:rsidRPr="009F02E3">
              <w:rPr>
                <w:color w:val="000000" w:themeColor="text1"/>
              </w:rPr>
              <w:t xml:space="preserve">1,1 milj. EUR apjomā </w:t>
            </w:r>
            <w:r w:rsidRPr="009F02E3">
              <w:rPr>
                <w:color w:val="000000" w:themeColor="text1"/>
              </w:rPr>
              <w:t>valsts budžetā katru gadu</w:t>
            </w:r>
            <w:r w:rsidR="003A6D6A" w:rsidRPr="009F02E3">
              <w:rPr>
                <w:color w:val="000000" w:themeColor="text1"/>
              </w:rPr>
              <w:t>, kas rastos attiecīgi pieaugot uzņēmumu ražošanas apjomam</w:t>
            </w:r>
            <w:r w:rsidRPr="009F02E3">
              <w:rPr>
                <w:color w:val="000000" w:themeColor="text1"/>
              </w:rPr>
              <w:t>.</w:t>
            </w:r>
          </w:p>
          <w:p w14:paraId="0D9E9C41" w14:textId="77CAD96B" w:rsidR="004C0384" w:rsidRPr="009F02E3" w:rsidRDefault="004C0384" w:rsidP="004C0384">
            <w:pPr>
              <w:jc w:val="both"/>
              <w:rPr>
                <w:color w:val="000000" w:themeColor="text1"/>
              </w:rPr>
            </w:pPr>
            <w:r w:rsidRPr="009F02E3">
              <w:rPr>
                <w:color w:val="000000" w:themeColor="text1"/>
              </w:rPr>
              <w:t xml:space="preserve">Veicot administratīvo izmaksu novērtējumu </w:t>
            </w:r>
            <w:r w:rsidRPr="009F02E3">
              <w:rPr>
                <w:bCs/>
                <w:color w:val="000000" w:themeColor="text1"/>
                <w:szCs w:val="28"/>
              </w:rPr>
              <w:t>pie elektroenerģijas patēriņa vismaz 30 GWh apjomā</w:t>
            </w:r>
            <w:r w:rsidRPr="009F02E3">
              <w:rPr>
                <w:color w:val="000000" w:themeColor="text1"/>
              </w:rPr>
              <w:t>, tiek pieņemts, ka nepieciešamās pārbaudes darbības tiek veiktas esošo valsts pārvaldes cilvēkresursu ietvaros un papildu valsts budžeta līdzekļi nav nepieciešami.</w:t>
            </w:r>
          </w:p>
        </w:tc>
      </w:tr>
    </w:tbl>
    <w:p w14:paraId="7777F897" w14:textId="5680AB99" w:rsidR="00473F82" w:rsidRPr="009F02E3" w:rsidRDefault="00473F82" w:rsidP="008667DC">
      <w:pPr>
        <w:rPr>
          <w:color w:val="000000" w:themeColor="text1"/>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466"/>
        <w:gridCol w:w="1175"/>
        <w:gridCol w:w="994"/>
        <w:gridCol w:w="1396"/>
        <w:gridCol w:w="1414"/>
        <w:gridCol w:w="1396"/>
      </w:tblGrid>
      <w:tr w:rsidR="009F02E3" w:rsidRPr="009F02E3" w14:paraId="2847452A" w14:textId="77777777" w:rsidTr="00A85146">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88B9A8" w14:textId="77777777" w:rsidR="00C32216" w:rsidRPr="009F02E3" w:rsidRDefault="00C32216" w:rsidP="00A85146">
            <w:pPr>
              <w:pStyle w:val="tvhtml"/>
              <w:spacing w:before="0" w:beforeAutospacing="0" w:after="0" w:afterAutospacing="0"/>
              <w:jc w:val="center"/>
              <w:rPr>
                <w:b/>
                <w:bCs/>
                <w:color w:val="000000" w:themeColor="text1"/>
              </w:rPr>
            </w:pPr>
            <w:r w:rsidRPr="009F02E3">
              <w:rPr>
                <w:b/>
                <w:bCs/>
                <w:color w:val="000000" w:themeColor="text1"/>
              </w:rPr>
              <w:t>III¹. Tiesību akta projekta ietekme uz valsts budžetu un pašvaldību budžetiem</w:t>
            </w:r>
            <w:r w:rsidR="00DA264D" w:rsidRPr="009F02E3">
              <w:rPr>
                <w:rStyle w:val="FootnoteReference"/>
                <w:b/>
                <w:bCs/>
                <w:color w:val="000000" w:themeColor="text1"/>
              </w:rPr>
              <w:footnoteReference w:id="9"/>
            </w:r>
          </w:p>
        </w:tc>
      </w:tr>
      <w:tr w:rsidR="009F02E3" w:rsidRPr="009F02E3" w14:paraId="34DB3A83" w14:textId="77777777" w:rsidTr="006D4B30">
        <w:tc>
          <w:tcPr>
            <w:tcW w:w="176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351BA5" w14:textId="77777777" w:rsidR="00C32216" w:rsidRPr="009F02E3" w:rsidRDefault="00C32216" w:rsidP="00A85146">
            <w:pPr>
              <w:pStyle w:val="tvhtml"/>
              <w:spacing w:before="0" w:beforeAutospacing="0" w:after="0" w:afterAutospacing="0"/>
              <w:jc w:val="center"/>
              <w:rPr>
                <w:b/>
                <w:bCs/>
                <w:color w:val="000000" w:themeColor="text1"/>
                <w:sz w:val="20"/>
                <w:szCs w:val="20"/>
              </w:rPr>
            </w:pPr>
            <w:r w:rsidRPr="009F02E3">
              <w:rPr>
                <w:b/>
                <w:bCs/>
                <w:color w:val="000000" w:themeColor="text1"/>
                <w:sz w:val="20"/>
                <w:szCs w:val="20"/>
              </w:rPr>
              <w:t>Rādītāji</w:t>
            </w:r>
          </w:p>
        </w:tc>
        <w:tc>
          <w:tcPr>
            <w:tcW w:w="109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27C67" w14:textId="253A8030" w:rsidR="00C32216" w:rsidRPr="009F02E3" w:rsidRDefault="00947A9C" w:rsidP="00A85146">
            <w:pPr>
              <w:pStyle w:val="tvhtml"/>
              <w:spacing w:before="0" w:beforeAutospacing="0" w:after="0" w:afterAutospacing="0"/>
              <w:jc w:val="center"/>
              <w:rPr>
                <w:b/>
                <w:bCs/>
                <w:color w:val="000000" w:themeColor="text1"/>
                <w:sz w:val="20"/>
                <w:szCs w:val="20"/>
              </w:rPr>
            </w:pPr>
            <w:r w:rsidRPr="009F02E3">
              <w:rPr>
                <w:b/>
                <w:bCs/>
                <w:color w:val="000000" w:themeColor="text1"/>
                <w:sz w:val="20"/>
                <w:szCs w:val="20"/>
              </w:rPr>
              <w:t>2015.</w:t>
            </w:r>
            <w:r w:rsidR="007339F1">
              <w:rPr>
                <w:b/>
                <w:bCs/>
                <w:color w:val="000000" w:themeColor="text1"/>
                <w:sz w:val="20"/>
                <w:szCs w:val="20"/>
              </w:rPr>
              <w:t> </w:t>
            </w:r>
            <w:r w:rsidRPr="009F02E3">
              <w:rPr>
                <w:b/>
                <w:bCs/>
                <w:color w:val="000000" w:themeColor="text1"/>
                <w:sz w:val="20"/>
                <w:szCs w:val="20"/>
              </w:rPr>
              <w:t>gads</w:t>
            </w:r>
          </w:p>
        </w:tc>
        <w:tc>
          <w:tcPr>
            <w:tcW w:w="2139"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1B781A" w14:textId="77777777" w:rsidR="00C32216" w:rsidRPr="009F02E3" w:rsidRDefault="00C32216" w:rsidP="00A85146">
            <w:pPr>
              <w:pStyle w:val="tvhtml"/>
              <w:spacing w:before="0" w:beforeAutospacing="0" w:after="0" w:afterAutospacing="0"/>
              <w:jc w:val="center"/>
              <w:rPr>
                <w:color w:val="000000" w:themeColor="text1"/>
                <w:sz w:val="20"/>
                <w:szCs w:val="20"/>
              </w:rPr>
            </w:pPr>
            <w:r w:rsidRPr="009F02E3">
              <w:rPr>
                <w:color w:val="000000" w:themeColor="text1"/>
                <w:sz w:val="20"/>
                <w:szCs w:val="20"/>
              </w:rPr>
              <w:t>Turpmākie trīs gadi (</w:t>
            </w:r>
            <w:r w:rsidRPr="009F02E3">
              <w:rPr>
                <w:i/>
                <w:iCs/>
                <w:color w:val="000000" w:themeColor="text1"/>
                <w:sz w:val="20"/>
                <w:szCs w:val="20"/>
              </w:rPr>
              <w:t>euro</w:t>
            </w:r>
            <w:r w:rsidRPr="009F02E3">
              <w:rPr>
                <w:color w:val="000000" w:themeColor="text1"/>
                <w:sz w:val="20"/>
                <w:szCs w:val="20"/>
              </w:rPr>
              <w:t>)</w:t>
            </w:r>
          </w:p>
        </w:tc>
      </w:tr>
      <w:tr w:rsidR="009F02E3" w:rsidRPr="009F02E3" w14:paraId="71F6A336" w14:textId="77777777" w:rsidTr="001C41C1">
        <w:tc>
          <w:tcPr>
            <w:tcW w:w="17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608EDA" w14:textId="77777777" w:rsidR="00C32216" w:rsidRPr="009F02E3" w:rsidRDefault="00C32216" w:rsidP="00A85146">
            <w:pPr>
              <w:rPr>
                <w:b/>
                <w:bCs/>
                <w:color w:val="000000" w:themeColor="text1"/>
                <w:sz w:val="20"/>
                <w:szCs w:val="20"/>
              </w:rPr>
            </w:pPr>
          </w:p>
        </w:tc>
        <w:tc>
          <w:tcPr>
            <w:tcW w:w="109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55242C" w14:textId="77777777" w:rsidR="00C32216" w:rsidRPr="009F02E3" w:rsidRDefault="00C32216" w:rsidP="00A85146">
            <w:pPr>
              <w:rPr>
                <w:b/>
                <w:bCs/>
                <w:color w:val="000000" w:themeColor="text1"/>
                <w:sz w:val="20"/>
                <w:szCs w:val="20"/>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59AA2A" w14:textId="5054734C" w:rsidR="00C32216" w:rsidRPr="009F02E3" w:rsidRDefault="00947A9C" w:rsidP="00A85146">
            <w:pPr>
              <w:pStyle w:val="tvhtml"/>
              <w:spacing w:before="0" w:beforeAutospacing="0" w:after="0" w:afterAutospacing="0"/>
              <w:jc w:val="center"/>
              <w:rPr>
                <w:b/>
                <w:bCs/>
                <w:color w:val="000000" w:themeColor="text1"/>
                <w:sz w:val="20"/>
                <w:szCs w:val="20"/>
              </w:rPr>
            </w:pPr>
            <w:r w:rsidRPr="009F02E3">
              <w:rPr>
                <w:b/>
                <w:bCs/>
                <w:color w:val="000000" w:themeColor="text1"/>
                <w:sz w:val="20"/>
                <w:szCs w:val="20"/>
              </w:rPr>
              <w:t>2016.</w:t>
            </w:r>
            <w:r w:rsidR="007339F1">
              <w:rPr>
                <w:b/>
                <w:bCs/>
                <w:color w:val="000000" w:themeColor="text1"/>
                <w:sz w:val="20"/>
                <w:szCs w:val="20"/>
              </w:rPr>
              <w:t> </w:t>
            </w:r>
            <w:r w:rsidRPr="009F02E3">
              <w:rPr>
                <w:b/>
                <w:bCs/>
                <w:color w:val="000000" w:themeColor="text1"/>
                <w:sz w:val="20"/>
                <w:szCs w:val="20"/>
              </w:rPr>
              <w:t>gads</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1E299" w14:textId="52D81DD9" w:rsidR="00C32216" w:rsidRPr="009F02E3" w:rsidRDefault="00947A9C" w:rsidP="00A85146">
            <w:pPr>
              <w:pStyle w:val="tvhtml"/>
              <w:spacing w:before="0" w:beforeAutospacing="0" w:after="0" w:afterAutospacing="0"/>
              <w:jc w:val="center"/>
              <w:rPr>
                <w:b/>
                <w:bCs/>
                <w:color w:val="000000" w:themeColor="text1"/>
                <w:sz w:val="20"/>
                <w:szCs w:val="20"/>
              </w:rPr>
            </w:pPr>
            <w:r w:rsidRPr="009F02E3">
              <w:rPr>
                <w:b/>
                <w:bCs/>
                <w:color w:val="000000" w:themeColor="text1"/>
                <w:sz w:val="20"/>
                <w:szCs w:val="20"/>
              </w:rPr>
              <w:t>2017.</w:t>
            </w:r>
            <w:r w:rsidR="007339F1">
              <w:rPr>
                <w:b/>
                <w:bCs/>
                <w:color w:val="000000" w:themeColor="text1"/>
                <w:sz w:val="20"/>
                <w:szCs w:val="20"/>
              </w:rPr>
              <w:t> </w:t>
            </w:r>
            <w:r w:rsidRPr="009F02E3">
              <w:rPr>
                <w:b/>
                <w:bCs/>
                <w:color w:val="000000" w:themeColor="text1"/>
                <w:sz w:val="20"/>
                <w:szCs w:val="20"/>
              </w:rPr>
              <w:t>gads</w:t>
            </w:r>
          </w:p>
        </w:tc>
        <w:tc>
          <w:tcPr>
            <w:tcW w:w="7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BF0384" w14:textId="47FDF59C" w:rsidR="00C32216" w:rsidRPr="009F02E3" w:rsidRDefault="00947A9C" w:rsidP="00A85146">
            <w:pPr>
              <w:pStyle w:val="tvhtml"/>
              <w:spacing w:before="0" w:beforeAutospacing="0" w:after="0" w:afterAutospacing="0"/>
              <w:jc w:val="center"/>
              <w:rPr>
                <w:b/>
                <w:bCs/>
                <w:color w:val="000000" w:themeColor="text1"/>
                <w:sz w:val="20"/>
                <w:szCs w:val="20"/>
              </w:rPr>
            </w:pPr>
            <w:r w:rsidRPr="009F02E3">
              <w:rPr>
                <w:b/>
                <w:bCs/>
                <w:color w:val="000000" w:themeColor="text1"/>
                <w:sz w:val="20"/>
                <w:szCs w:val="20"/>
              </w:rPr>
              <w:t>2018.</w:t>
            </w:r>
            <w:r w:rsidR="007339F1">
              <w:rPr>
                <w:b/>
                <w:bCs/>
                <w:color w:val="000000" w:themeColor="text1"/>
                <w:sz w:val="20"/>
                <w:szCs w:val="20"/>
              </w:rPr>
              <w:t> </w:t>
            </w:r>
            <w:r w:rsidRPr="009F02E3">
              <w:rPr>
                <w:b/>
                <w:bCs/>
                <w:color w:val="000000" w:themeColor="text1"/>
                <w:sz w:val="20"/>
                <w:szCs w:val="20"/>
              </w:rPr>
              <w:t>gads</w:t>
            </w:r>
          </w:p>
        </w:tc>
      </w:tr>
      <w:tr w:rsidR="009F02E3" w:rsidRPr="009F02E3" w14:paraId="4C2460E8" w14:textId="77777777" w:rsidTr="001C41C1">
        <w:tc>
          <w:tcPr>
            <w:tcW w:w="17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E03AAB" w14:textId="77777777" w:rsidR="00C32216" w:rsidRPr="009F02E3" w:rsidRDefault="00C32216" w:rsidP="00A85146">
            <w:pPr>
              <w:rPr>
                <w:b/>
                <w:bCs/>
                <w:color w:val="000000" w:themeColor="text1"/>
              </w:rP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3762E6" w14:textId="77777777" w:rsidR="00C32216" w:rsidRPr="009F02E3" w:rsidRDefault="00C32216" w:rsidP="00A85146">
            <w:pPr>
              <w:pStyle w:val="tvhtml"/>
              <w:spacing w:before="0" w:beforeAutospacing="0" w:after="0" w:afterAutospacing="0"/>
              <w:jc w:val="center"/>
              <w:rPr>
                <w:color w:val="000000" w:themeColor="text1"/>
              </w:rPr>
            </w:pPr>
            <w:r w:rsidRPr="009F02E3">
              <w:rPr>
                <w:color w:val="000000" w:themeColor="text1"/>
              </w:rPr>
              <w:t>saskaņā ar valsts budžetu kārtējam gadam</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D9F4E8" w14:textId="77777777" w:rsidR="00C32216" w:rsidRPr="009F02E3" w:rsidRDefault="00C32216" w:rsidP="00A85146">
            <w:pPr>
              <w:pStyle w:val="tvhtml"/>
              <w:spacing w:before="0" w:beforeAutospacing="0" w:after="0" w:afterAutospacing="0"/>
              <w:jc w:val="center"/>
              <w:rPr>
                <w:color w:val="000000" w:themeColor="text1"/>
              </w:rPr>
            </w:pPr>
            <w:r w:rsidRPr="009F02E3">
              <w:rPr>
                <w:color w:val="000000" w:themeColor="text1"/>
              </w:rPr>
              <w:t>izmaiņas kārtējā gadā, salīdzinot ar valsts budžetu kārtējam gadam</w:t>
            </w:r>
          </w:p>
        </w:tc>
        <w:tc>
          <w:tcPr>
            <w:tcW w:w="7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9562F0" w14:textId="77777777" w:rsidR="00C32216" w:rsidRPr="009F02E3" w:rsidRDefault="00C32216" w:rsidP="00A85146">
            <w:pPr>
              <w:pStyle w:val="tvhtml"/>
              <w:spacing w:before="0" w:beforeAutospacing="0" w:after="0" w:afterAutospacing="0"/>
              <w:jc w:val="center"/>
              <w:rPr>
                <w:color w:val="000000" w:themeColor="text1"/>
              </w:rPr>
            </w:pPr>
            <w:r w:rsidRPr="009F02E3">
              <w:rPr>
                <w:color w:val="000000" w:themeColor="text1"/>
              </w:rPr>
              <w:t>izmaiņas, salīdzinot ar kārtējo (n) gadu</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1785D" w14:textId="77777777" w:rsidR="00C32216" w:rsidRPr="009F02E3" w:rsidRDefault="00C32216" w:rsidP="00A85146">
            <w:pPr>
              <w:pStyle w:val="tvhtml"/>
              <w:spacing w:before="0" w:beforeAutospacing="0" w:after="0" w:afterAutospacing="0"/>
              <w:jc w:val="center"/>
              <w:rPr>
                <w:color w:val="000000" w:themeColor="text1"/>
              </w:rPr>
            </w:pPr>
            <w:r w:rsidRPr="009F02E3">
              <w:rPr>
                <w:color w:val="000000" w:themeColor="text1"/>
              </w:rPr>
              <w:t>izmaiņas, salīdzinot ar kārtējo (n) gadu</w:t>
            </w:r>
          </w:p>
        </w:tc>
        <w:tc>
          <w:tcPr>
            <w:tcW w:w="7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736632" w14:textId="77777777" w:rsidR="00C32216" w:rsidRPr="009F02E3" w:rsidRDefault="00C32216" w:rsidP="00A85146">
            <w:pPr>
              <w:pStyle w:val="tvhtml"/>
              <w:spacing w:before="0" w:beforeAutospacing="0" w:after="0" w:afterAutospacing="0"/>
              <w:jc w:val="center"/>
              <w:rPr>
                <w:color w:val="000000" w:themeColor="text1"/>
              </w:rPr>
            </w:pPr>
            <w:r w:rsidRPr="009F02E3">
              <w:rPr>
                <w:color w:val="000000" w:themeColor="text1"/>
              </w:rPr>
              <w:t>izmaiņas, salīdzinot ar kārtējo (n) gadu</w:t>
            </w:r>
          </w:p>
        </w:tc>
      </w:tr>
      <w:tr w:rsidR="009F02E3" w:rsidRPr="009F02E3" w14:paraId="0F75F9FA" w14:textId="77777777" w:rsidTr="001C41C1">
        <w:tc>
          <w:tcPr>
            <w:tcW w:w="17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A68ED5" w14:textId="77777777" w:rsidR="00C32216" w:rsidRPr="009F02E3" w:rsidRDefault="00C32216" w:rsidP="00A85146">
            <w:pPr>
              <w:pStyle w:val="tvhtml"/>
              <w:spacing w:before="0" w:beforeAutospacing="0" w:after="0" w:afterAutospacing="0"/>
              <w:jc w:val="center"/>
              <w:rPr>
                <w:color w:val="000000" w:themeColor="text1"/>
              </w:rPr>
            </w:pPr>
            <w:r w:rsidRPr="009F02E3">
              <w:rPr>
                <w:color w:val="000000" w:themeColor="text1"/>
              </w:rPr>
              <w:t>1</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C24018" w14:textId="77777777" w:rsidR="00C32216" w:rsidRPr="009F02E3" w:rsidRDefault="00C32216" w:rsidP="00A85146">
            <w:pPr>
              <w:pStyle w:val="tvhtml"/>
              <w:spacing w:before="0" w:beforeAutospacing="0" w:after="0" w:afterAutospacing="0"/>
              <w:jc w:val="center"/>
              <w:rPr>
                <w:color w:val="000000" w:themeColor="text1"/>
              </w:rPr>
            </w:pPr>
            <w:r w:rsidRPr="009F02E3">
              <w:rPr>
                <w:color w:val="000000" w:themeColor="text1"/>
              </w:rPr>
              <w:t>2</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1B3D6" w14:textId="77777777" w:rsidR="00C32216" w:rsidRPr="009F02E3" w:rsidRDefault="00C32216" w:rsidP="00A85146">
            <w:pPr>
              <w:pStyle w:val="tvhtml"/>
              <w:spacing w:before="0" w:beforeAutospacing="0" w:after="0" w:afterAutospacing="0"/>
              <w:jc w:val="center"/>
              <w:rPr>
                <w:color w:val="000000" w:themeColor="text1"/>
              </w:rPr>
            </w:pPr>
            <w:r w:rsidRPr="009F02E3">
              <w:rPr>
                <w:color w:val="000000" w:themeColor="text1"/>
              </w:rPr>
              <w:t>3</w:t>
            </w:r>
          </w:p>
        </w:tc>
        <w:tc>
          <w:tcPr>
            <w:tcW w:w="7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CC76D" w14:textId="77777777" w:rsidR="00C32216" w:rsidRPr="009F02E3" w:rsidRDefault="00C32216" w:rsidP="00A85146">
            <w:pPr>
              <w:pStyle w:val="tvhtml"/>
              <w:spacing w:before="0" w:beforeAutospacing="0" w:after="0" w:afterAutospacing="0"/>
              <w:jc w:val="center"/>
              <w:rPr>
                <w:color w:val="000000" w:themeColor="text1"/>
              </w:rPr>
            </w:pPr>
            <w:r w:rsidRPr="009F02E3">
              <w:rPr>
                <w:color w:val="000000" w:themeColor="text1"/>
              </w:rPr>
              <w:t>4</w:t>
            </w:r>
          </w:p>
        </w:tc>
        <w:tc>
          <w:tcPr>
            <w:tcW w:w="7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B5A4A" w14:textId="77777777" w:rsidR="00C32216" w:rsidRPr="009F02E3" w:rsidRDefault="00C32216" w:rsidP="00A85146">
            <w:pPr>
              <w:pStyle w:val="tvhtml"/>
              <w:spacing w:before="0" w:beforeAutospacing="0" w:after="0" w:afterAutospacing="0"/>
              <w:jc w:val="center"/>
              <w:rPr>
                <w:color w:val="000000" w:themeColor="text1"/>
              </w:rPr>
            </w:pPr>
            <w:r w:rsidRPr="009F02E3">
              <w:rPr>
                <w:color w:val="000000" w:themeColor="text1"/>
              </w:rPr>
              <w:t>5</w:t>
            </w:r>
          </w:p>
        </w:tc>
        <w:tc>
          <w:tcPr>
            <w:tcW w:w="7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43CF56" w14:textId="77777777" w:rsidR="00C32216" w:rsidRPr="009F02E3" w:rsidRDefault="00C32216" w:rsidP="00A85146">
            <w:pPr>
              <w:pStyle w:val="tvhtml"/>
              <w:spacing w:before="0" w:beforeAutospacing="0" w:after="0" w:afterAutospacing="0"/>
              <w:jc w:val="center"/>
              <w:rPr>
                <w:color w:val="000000" w:themeColor="text1"/>
              </w:rPr>
            </w:pPr>
            <w:r w:rsidRPr="009F02E3">
              <w:rPr>
                <w:color w:val="000000" w:themeColor="text1"/>
              </w:rPr>
              <w:t>6</w:t>
            </w:r>
          </w:p>
        </w:tc>
      </w:tr>
      <w:tr w:rsidR="009F02E3" w:rsidRPr="009F02E3" w14:paraId="1F4883FB" w14:textId="77777777" w:rsidTr="001C41C1">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3C03963B" w14:textId="1E1E189F" w:rsidR="00655565" w:rsidRPr="009F02E3" w:rsidRDefault="00655565" w:rsidP="00655565">
            <w:pPr>
              <w:rPr>
                <w:color w:val="000000" w:themeColor="text1"/>
              </w:rPr>
            </w:pPr>
            <w:r w:rsidRPr="009F02E3">
              <w:rPr>
                <w:color w:val="000000" w:themeColor="text1"/>
              </w:rPr>
              <w:t>1. Budžeta ieņēmumi</w:t>
            </w:r>
            <w:r w:rsidR="00C42CA8">
              <w:rPr>
                <w:rStyle w:val="FootnoteReference"/>
                <w:color w:val="000000" w:themeColor="text1"/>
              </w:rPr>
              <w:footnoteReference w:id="10"/>
            </w:r>
            <w:r w:rsidRPr="009F02E3">
              <w:rPr>
                <w:color w:val="000000" w:themeColor="text1"/>
              </w:rPr>
              <w:t>:</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70A727ED" w14:textId="77777777" w:rsidR="00655565" w:rsidRPr="009F02E3" w:rsidRDefault="00655565" w:rsidP="00655565">
            <w:pPr>
              <w:rPr>
                <w:color w:val="000000" w:themeColor="text1"/>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tcPr>
          <w:p w14:paraId="57B3AEC6" w14:textId="77777777" w:rsidR="00655565" w:rsidRPr="009F02E3" w:rsidRDefault="00655565" w:rsidP="00655565">
            <w:pPr>
              <w:rPr>
                <w:color w:val="000000" w:themeColor="text1"/>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2344CF8D" w14:textId="2DC46543" w:rsidR="00655565" w:rsidRPr="009F02E3" w:rsidRDefault="00A54FC3" w:rsidP="00655565">
            <w:pPr>
              <w:jc w:val="center"/>
              <w:rPr>
                <w:color w:val="000000" w:themeColor="text1"/>
              </w:rPr>
            </w:pPr>
            <w:r>
              <w:rPr>
                <w:color w:val="000000" w:themeColor="text1"/>
              </w:rPr>
              <w:t>6 000 000</w:t>
            </w:r>
          </w:p>
        </w:tc>
        <w:tc>
          <w:tcPr>
            <w:tcW w:w="719" w:type="pct"/>
            <w:tcBorders>
              <w:top w:val="outset" w:sz="6" w:space="0" w:color="414142"/>
              <w:left w:val="outset" w:sz="6" w:space="0" w:color="414142"/>
              <w:bottom w:val="outset" w:sz="6" w:space="0" w:color="414142"/>
              <w:right w:val="outset" w:sz="6" w:space="0" w:color="414142"/>
            </w:tcBorders>
            <w:shd w:val="clear" w:color="auto" w:fill="FFFFFF"/>
          </w:tcPr>
          <w:p w14:paraId="21DB2419" w14:textId="16B16034" w:rsidR="00655565" w:rsidRPr="009F02E3" w:rsidRDefault="00A54FC3" w:rsidP="00C42CA8">
            <w:pPr>
              <w:jc w:val="center"/>
              <w:rPr>
                <w:color w:val="000000" w:themeColor="text1"/>
              </w:rPr>
            </w:pPr>
            <w:r>
              <w:rPr>
                <w:color w:val="000000" w:themeColor="text1"/>
              </w:rPr>
              <w:t>6 000 000</w:t>
            </w: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6F049EAF" w14:textId="626D81EC" w:rsidR="00655565" w:rsidRPr="009F02E3" w:rsidRDefault="00A54FC3" w:rsidP="00C42CA8">
            <w:pPr>
              <w:jc w:val="center"/>
              <w:rPr>
                <w:color w:val="000000" w:themeColor="text1"/>
              </w:rPr>
            </w:pPr>
            <w:r>
              <w:rPr>
                <w:color w:val="000000" w:themeColor="text1"/>
              </w:rPr>
              <w:t>6 000 000</w:t>
            </w:r>
          </w:p>
        </w:tc>
      </w:tr>
      <w:tr w:rsidR="009F02E3" w:rsidRPr="009F02E3" w14:paraId="4EFC1742" w14:textId="77777777" w:rsidTr="001C41C1">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3BFBF6F2" w14:textId="77777777" w:rsidR="00655565" w:rsidRPr="009F02E3" w:rsidRDefault="00655565" w:rsidP="00655565">
            <w:pPr>
              <w:rPr>
                <w:color w:val="000000" w:themeColor="text1"/>
              </w:rPr>
            </w:pPr>
            <w:r w:rsidRPr="009F02E3">
              <w:rPr>
                <w:color w:val="000000" w:themeColor="text1"/>
              </w:rPr>
              <w:t>1.1. valsts pamatbudžets, tai skaitā ieņēmumi no maksas pakalpojumiem un citi pašu ieņēmumi</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4C3D75AF" w14:textId="77777777" w:rsidR="00655565" w:rsidRPr="009F02E3" w:rsidRDefault="00655565" w:rsidP="00655565">
            <w:pPr>
              <w:rPr>
                <w:color w:val="000000" w:themeColor="text1"/>
                <w:highlight w:val="yellow"/>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tcPr>
          <w:p w14:paraId="6CD89742" w14:textId="77777777" w:rsidR="00655565" w:rsidRPr="009F02E3" w:rsidRDefault="00655565" w:rsidP="00655565">
            <w:pPr>
              <w:rPr>
                <w:color w:val="000000" w:themeColor="text1"/>
                <w:highlight w:val="yellow"/>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4C2FB344" w14:textId="1CB14253" w:rsidR="00655565" w:rsidRPr="009F02E3" w:rsidRDefault="00655565" w:rsidP="00655565">
            <w:pPr>
              <w:jc w:val="center"/>
              <w:rPr>
                <w:color w:val="000000" w:themeColor="text1"/>
                <w:highlight w:val="yellow"/>
              </w:rPr>
            </w:pPr>
          </w:p>
        </w:tc>
        <w:tc>
          <w:tcPr>
            <w:tcW w:w="719" w:type="pct"/>
            <w:tcBorders>
              <w:top w:val="outset" w:sz="6" w:space="0" w:color="414142"/>
              <w:left w:val="outset" w:sz="6" w:space="0" w:color="414142"/>
              <w:bottom w:val="outset" w:sz="6" w:space="0" w:color="414142"/>
              <w:right w:val="outset" w:sz="6" w:space="0" w:color="414142"/>
            </w:tcBorders>
            <w:shd w:val="clear" w:color="auto" w:fill="FFFFFF"/>
          </w:tcPr>
          <w:p w14:paraId="5CFD0DF2" w14:textId="3DAFCF52" w:rsidR="00655565" w:rsidRPr="009F02E3" w:rsidRDefault="00655565" w:rsidP="00655565">
            <w:pPr>
              <w:jc w:val="center"/>
              <w:rPr>
                <w:color w:val="000000" w:themeColor="text1"/>
                <w:highlight w:val="yellow"/>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730CD95F" w14:textId="3570A67D" w:rsidR="00655565" w:rsidRPr="009F02E3" w:rsidRDefault="00655565" w:rsidP="00655565">
            <w:pPr>
              <w:jc w:val="center"/>
              <w:rPr>
                <w:color w:val="000000" w:themeColor="text1"/>
                <w:highlight w:val="yellow"/>
              </w:rPr>
            </w:pPr>
          </w:p>
        </w:tc>
      </w:tr>
      <w:tr w:rsidR="009F02E3" w:rsidRPr="009F02E3" w14:paraId="7631D6E1" w14:textId="77777777" w:rsidTr="001C41C1">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381521A8" w14:textId="77777777" w:rsidR="00C32216" w:rsidRPr="009F02E3" w:rsidRDefault="00C32216" w:rsidP="00A85146">
            <w:pPr>
              <w:rPr>
                <w:color w:val="000000" w:themeColor="text1"/>
              </w:rPr>
            </w:pPr>
            <w:r w:rsidRPr="009F02E3">
              <w:rPr>
                <w:color w:val="000000" w:themeColor="text1"/>
              </w:rPr>
              <w:lastRenderedPageBreak/>
              <w:t>1.2. valsts speciālais budžets</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1DB90C57" w14:textId="77777777" w:rsidR="00C32216" w:rsidRPr="009F02E3" w:rsidRDefault="00C32216" w:rsidP="00A85146">
            <w:pPr>
              <w:rPr>
                <w:color w:val="000000" w:themeColor="text1"/>
                <w:highlight w:val="yellow"/>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tcPr>
          <w:p w14:paraId="5F1B2511" w14:textId="77777777" w:rsidR="00C32216" w:rsidRPr="009F02E3" w:rsidRDefault="00C32216" w:rsidP="00A85146">
            <w:pPr>
              <w:rPr>
                <w:color w:val="000000" w:themeColor="text1"/>
                <w:highlight w:val="yellow"/>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2F69F79C" w14:textId="77777777" w:rsidR="00C32216" w:rsidRPr="009F02E3" w:rsidRDefault="00C32216" w:rsidP="00A85146">
            <w:pPr>
              <w:rPr>
                <w:color w:val="000000" w:themeColor="text1"/>
                <w:highlight w:val="yellow"/>
              </w:rPr>
            </w:pPr>
          </w:p>
        </w:tc>
        <w:tc>
          <w:tcPr>
            <w:tcW w:w="719" w:type="pct"/>
            <w:tcBorders>
              <w:top w:val="outset" w:sz="6" w:space="0" w:color="414142"/>
              <w:left w:val="outset" w:sz="6" w:space="0" w:color="414142"/>
              <w:bottom w:val="outset" w:sz="6" w:space="0" w:color="414142"/>
              <w:right w:val="outset" w:sz="6" w:space="0" w:color="414142"/>
            </w:tcBorders>
            <w:shd w:val="clear" w:color="auto" w:fill="FFFFFF"/>
          </w:tcPr>
          <w:p w14:paraId="0F4CEDDF" w14:textId="77777777" w:rsidR="00C32216" w:rsidRPr="009F02E3" w:rsidRDefault="00C32216" w:rsidP="00A85146">
            <w:pPr>
              <w:rPr>
                <w:color w:val="000000" w:themeColor="text1"/>
                <w:highlight w:val="yellow"/>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154E4175" w14:textId="77777777" w:rsidR="00C32216" w:rsidRPr="009F02E3" w:rsidRDefault="00C32216" w:rsidP="00A85146">
            <w:pPr>
              <w:rPr>
                <w:color w:val="000000" w:themeColor="text1"/>
                <w:highlight w:val="yellow"/>
              </w:rPr>
            </w:pPr>
          </w:p>
        </w:tc>
      </w:tr>
      <w:tr w:rsidR="009F02E3" w:rsidRPr="009F02E3" w14:paraId="0035C235" w14:textId="77777777" w:rsidTr="001C41C1">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710D6A79" w14:textId="77777777" w:rsidR="00C32216" w:rsidRPr="009F02E3" w:rsidRDefault="00C32216" w:rsidP="00A85146">
            <w:pPr>
              <w:rPr>
                <w:color w:val="000000" w:themeColor="text1"/>
              </w:rPr>
            </w:pPr>
            <w:r w:rsidRPr="009F02E3">
              <w:rPr>
                <w:color w:val="000000" w:themeColor="text1"/>
              </w:rPr>
              <w:t>1.3. pašvaldību budžets</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2ABAA429" w14:textId="77777777" w:rsidR="00C32216" w:rsidRPr="009F02E3" w:rsidRDefault="00C32216" w:rsidP="00A85146">
            <w:pPr>
              <w:rPr>
                <w:color w:val="000000" w:themeColor="text1"/>
                <w:highlight w:val="yellow"/>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tcPr>
          <w:p w14:paraId="55388AA4" w14:textId="77777777" w:rsidR="00C32216" w:rsidRPr="009F02E3" w:rsidRDefault="00C32216" w:rsidP="00A85146">
            <w:pPr>
              <w:rPr>
                <w:color w:val="000000" w:themeColor="text1"/>
                <w:highlight w:val="yellow"/>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752B95EF" w14:textId="77777777" w:rsidR="00C32216" w:rsidRPr="009F02E3" w:rsidRDefault="00C32216" w:rsidP="00A85146">
            <w:pPr>
              <w:rPr>
                <w:color w:val="000000" w:themeColor="text1"/>
                <w:highlight w:val="yellow"/>
              </w:rPr>
            </w:pPr>
          </w:p>
        </w:tc>
        <w:tc>
          <w:tcPr>
            <w:tcW w:w="719" w:type="pct"/>
            <w:tcBorders>
              <w:top w:val="outset" w:sz="6" w:space="0" w:color="414142"/>
              <w:left w:val="outset" w:sz="6" w:space="0" w:color="414142"/>
              <w:bottom w:val="outset" w:sz="6" w:space="0" w:color="414142"/>
              <w:right w:val="outset" w:sz="6" w:space="0" w:color="414142"/>
            </w:tcBorders>
            <w:shd w:val="clear" w:color="auto" w:fill="FFFFFF"/>
          </w:tcPr>
          <w:p w14:paraId="2423E24B" w14:textId="77777777" w:rsidR="00C32216" w:rsidRPr="009F02E3" w:rsidRDefault="00C32216" w:rsidP="00A85146">
            <w:pPr>
              <w:rPr>
                <w:color w:val="000000" w:themeColor="text1"/>
                <w:highlight w:val="yellow"/>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0FAD2374" w14:textId="77777777" w:rsidR="00C32216" w:rsidRPr="009F02E3" w:rsidRDefault="00C32216" w:rsidP="00A85146">
            <w:pPr>
              <w:rPr>
                <w:color w:val="000000" w:themeColor="text1"/>
                <w:highlight w:val="yellow"/>
              </w:rPr>
            </w:pPr>
          </w:p>
        </w:tc>
      </w:tr>
      <w:tr w:rsidR="002351F4" w:rsidRPr="009F02E3" w14:paraId="6EDFE95A" w14:textId="77777777" w:rsidTr="001C41C1">
        <w:tc>
          <w:tcPr>
            <w:tcW w:w="1762" w:type="pct"/>
            <w:tcBorders>
              <w:top w:val="outset" w:sz="6" w:space="0" w:color="414142"/>
              <w:left w:val="outset" w:sz="6" w:space="0" w:color="414142"/>
              <w:bottom w:val="outset" w:sz="6" w:space="0" w:color="414142"/>
              <w:right w:val="outset" w:sz="6" w:space="0" w:color="414142"/>
            </w:tcBorders>
            <w:shd w:val="clear" w:color="auto" w:fill="FFFFFF"/>
          </w:tcPr>
          <w:p w14:paraId="24E3DDD2" w14:textId="6B283BF0" w:rsidR="002351F4" w:rsidRPr="009F02E3" w:rsidRDefault="002351F4" w:rsidP="00A85146">
            <w:pPr>
              <w:rPr>
                <w:color w:val="000000" w:themeColor="text1"/>
              </w:rPr>
            </w:pPr>
            <w:r>
              <w:rPr>
                <w:color w:val="000000" w:themeColor="text1"/>
              </w:rPr>
              <w:t>1.4. AS “Latvenergo” dividenžu pieauguma ietekme</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54C189AB" w14:textId="77777777" w:rsidR="002351F4" w:rsidRPr="009F02E3" w:rsidRDefault="002351F4" w:rsidP="00A85146">
            <w:pPr>
              <w:rPr>
                <w:color w:val="000000" w:themeColor="text1"/>
                <w:highlight w:val="yellow"/>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tcPr>
          <w:p w14:paraId="1FCB50CC" w14:textId="77777777" w:rsidR="002351F4" w:rsidRPr="009F02E3" w:rsidRDefault="002351F4" w:rsidP="00A85146">
            <w:pPr>
              <w:rPr>
                <w:color w:val="000000" w:themeColor="text1"/>
                <w:highlight w:val="yellow"/>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55E75642" w14:textId="72D2B5E8" w:rsidR="002351F4" w:rsidRPr="005332C8" w:rsidRDefault="005332C8" w:rsidP="005332C8">
            <w:pPr>
              <w:jc w:val="center"/>
              <w:rPr>
                <w:color w:val="000000" w:themeColor="text1"/>
              </w:rPr>
            </w:pPr>
            <w:r w:rsidRPr="005332C8">
              <w:rPr>
                <w:color w:val="000000" w:themeColor="text1"/>
              </w:rPr>
              <w:t>6 519 112</w:t>
            </w:r>
          </w:p>
        </w:tc>
        <w:tc>
          <w:tcPr>
            <w:tcW w:w="719" w:type="pct"/>
            <w:tcBorders>
              <w:top w:val="outset" w:sz="6" w:space="0" w:color="414142"/>
              <w:left w:val="outset" w:sz="6" w:space="0" w:color="414142"/>
              <w:bottom w:val="outset" w:sz="6" w:space="0" w:color="414142"/>
              <w:right w:val="outset" w:sz="6" w:space="0" w:color="414142"/>
            </w:tcBorders>
            <w:shd w:val="clear" w:color="auto" w:fill="FFFFFF"/>
          </w:tcPr>
          <w:p w14:paraId="26E50C00" w14:textId="18998556" w:rsidR="002351F4" w:rsidRPr="005332C8" w:rsidRDefault="005332C8" w:rsidP="005332C8">
            <w:pPr>
              <w:jc w:val="center"/>
              <w:rPr>
                <w:color w:val="000000" w:themeColor="text1"/>
              </w:rPr>
            </w:pPr>
            <w:r w:rsidRPr="005332C8">
              <w:rPr>
                <w:color w:val="000000" w:themeColor="text1"/>
              </w:rPr>
              <w:t>11 288 012</w:t>
            </w: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3C0A36AA" w14:textId="43B0DB1D" w:rsidR="002351F4" w:rsidRPr="005332C8" w:rsidRDefault="005332C8" w:rsidP="005332C8">
            <w:pPr>
              <w:jc w:val="center"/>
              <w:rPr>
                <w:color w:val="000000" w:themeColor="text1"/>
              </w:rPr>
            </w:pPr>
            <w:r w:rsidRPr="005332C8">
              <w:rPr>
                <w:color w:val="000000" w:themeColor="text1"/>
              </w:rPr>
              <w:t>14 467 012</w:t>
            </w:r>
          </w:p>
        </w:tc>
      </w:tr>
      <w:tr w:rsidR="009F02E3" w:rsidRPr="009F02E3" w14:paraId="4C9D5AE7" w14:textId="77777777" w:rsidTr="001C41C1">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29680D0C" w14:textId="77777777" w:rsidR="00E90158" w:rsidRPr="009F02E3" w:rsidRDefault="00E90158" w:rsidP="00E90158">
            <w:pPr>
              <w:rPr>
                <w:color w:val="000000" w:themeColor="text1"/>
              </w:rPr>
            </w:pPr>
            <w:r w:rsidRPr="009F02E3">
              <w:rPr>
                <w:color w:val="000000" w:themeColor="text1"/>
              </w:rPr>
              <w:t>2. Budžeta izdevumi:</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17C95C21" w14:textId="77777777" w:rsidR="00E90158" w:rsidRPr="009F02E3" w:rsidRDefault="00E90158" w:rsidP="00E90158">
            <w:pPr>
              <w:rPr>
                <w:color w:val="000000" w:themeColor="text1"/>
                <w:highlight w:val="yellow"/>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tcPr>
          <w:p w14:paraId="22E02CE4" w14:textId="77777777" w:rsidR="00E90158" w:rsidRPr="009F02E3" w:rsidRDefault="00E90158" w:rsidP="00E90158">
            <w:pPr>
              <w:rPr>
                <w:color w:val="000000" w:themeColor="text1"/>
                <w:highlight w:val="yellow"/>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0D26E493" w14:textId="752D23E7" w:rsidR="00E90158" w:rsidRPr="005332C8" w:rsidRDefault="00E90158" w:rsidP="005332C8">
            <w:pPr>
              <w:jc w:val="center"/>
              <w:rPr>
                <w:color w:val="000000" w:themeColor="text1"/>
              </w:rPr>
            </w:pPr>
            <w:r w:rsidRPr="005332C8">
              <w:rPr>
                <w:color w:val="000000" w:themeColor="text1"/>
              </w:rPr>
              <w:t>12 51</w:t>
            </w:r>
            <w:r w:rsidR="00BD548E" w:rsidRPr="005332C8">
              <w:rPr>
                <w:color w:val="000000" w:themeColor="text1"/>
              </w:rPr>
              <w:t>9</w:t>
            </w:r>
            <w:r w:rsidRPr="005332C8">
              <w:rPr>
                <w:color w:val="000000" w:themeColor="text1"/>
              </w:rPr>
              <w:t xml:space="preserve"> </w:t>
            </w:r>
            <w:r w:rsidR="00BD548E" w:rsidRPr="005332C8">
              <w:rPr>
                <w:color w:val="000000" w:themeColor="text1"/>
              </w:rPr>
              <w:t>112</w:t>
            </w:r>
          </w:p>
        </w:tc>
        <w:tc>
          <w:tcPr>
            <w:tcW w:w="719" w:type="pct"/>
            <w:tcBorders>
              <w:top w:val="outset" w:sz="6" w:space="0" w:color="414142"/>
              <w:left w:val="outset" w:sz="6" w:space="0" w:color="414142"/>
              <w:bottom w:val="outset" w:sz="6" w:space="0" w:color="414142"/>
              <w:right w:val="outset" w:sz="6" w:space="0" w:color="414142"/>
            </w:tcBorders>
            <w:shd w:val="clear" w:color="auto" w:fill="FFFFFF"/>
          </w:tcPr>
          <w:p w14:paraId="281B824B" w14:textId="5FC7520C" w:rsidR="00E90158" w:rsidRPr="005332C8" w:rsidRDefault="00E90158" w:rsidP="005332C8">
            <w:pPr>
              <w:jc w:val="center"/>
              <w:rPr>
                <w:color w:val="000000" w:themeColor="text1"/>
              </w:rPr>
            </w:pPr>
            <w:r w:rsidRPr="005332C8">
              <w:rPr>
                <w:color w:val="000000" w:themeColor="text1"/>
              </w:rPr>
              <w:t>17 28</w:t>
            </w:r>
            <w:r w:rsidR="00BD548E" w:rsidRPr="005332C8">
              <w:rPr>
                <w:color w:val="000000" w:themeColor="text1"/>
              </w:rPr>
              <w:t>8</w:t>
            </w:r>
            <w:r w:rsidRPr="005332C8">
              <w:rPr>
                <w:color w:val="000000" w:themeColor="text1"/>
              </w:rPr>
              <w:t xml:space="preserve"> 0</w:t>
            </w:r>
            <w:r w:rsidR="00BD548E" w:rsidRPr="005332C8">
              <w:rPr>
                <w:color w:val="000000" w:themeColor="text1"/>
              </w:rPr>
              <w:t>12</w:t>
            </w: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42623523" w14:textId="7CA37D62" w:rsidR="00E90158" w:rsidRPr="005332C8" w:rsidRDefault="00E90158" w:rsidP="005332C8">
            <w:pPr>
              <w:jc w:val="center"/>
              <w:rPr>
                <w:color w:val="000000" w:themeColor="text1"/>
              </w:rPr>
            </w:pPr>
            <w:r w:rsidRPr="005332C8">
              <w:rPr>
                <w:color w:val="000000" w:themeColor="text1"/>
              </w:rPr>
              <w:t>20 46</w:t>
            </w:r>
            <w:r w:rsidR="00BD548E" w:rsidRPr="005332C8">
              <w:rPr>
                <w:color w:val="000000" w:themeColor="text1"/>
              </w:rPr>
              <w:t>7</w:t>
            </w:r>
            <w:r w:rsidRPr="005332C8">
              <w:rPr>
                <w:color w:val="000000" w:themeColor="text1"/>
              </w:rPr>
              <w:t xml:space="preserve"> 0</w:t>
            </w:r>
            <w:r w:rsidR="00BD548E" w:rsidRPr="005332C8">
              <w:rPr>
                <w:color w:val="000000" w:themeColor="text1"/>
              </w:rPr>
              <w:t>12</w:t>
            </w:r>
          </w:p>
        </w:tc>
      </w:tr>
      <w:tr w:rsidR="009F02E3" w:rsidRPr="009F02E3" w14:paraId="20AB5592" w14:textId="77777777" w:rsidTr="001C41C1">
        <w:tblPrEx>
          <w:tblCellMar>
            <w:left w:w="108" w:type="dxa"/>
            <w:right w:w="108" w:type="dxa"/>
          </w:tblCellMar>
        </w:tblPrEx>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4BB52BEE" w14:textId="77777777" w:rsidR="00E90158" w:rsidRPr="009F02E3" w:rsidRDefault="00E90158" w:rsidP="00E90158">
            <w:pPr>
              <w:rPr>
                <w:color w:val="000000" w:themeColor="text1"/>
              </w:rPr>
            </w:pPr>
            <w:r w:rsidRPr="009F02E3">
              <w:rPr>
                <w:color w:val="000000" w:themeColor="text1"/>
              </w:rPr>
              <w:t>2.1. valsts pamatbudžets</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00632567" w14:textId="77777777" w:rsidR="00E90158" w:rsidRPr="009F02E3" w:rsidRDefault="00E90158" w:rsidP="00E90158">
            <w:pPr>
              <w:rPr>
                <w:color w:val="000000" w:themeColor="text1"/>
                <w:highlight w:val="yellow"/>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tcPr>
          <w:p w14:paraId="769E8F05" w14:textId="77777777" w:rsidR="00E90158" w:rsidRPr="009F02E3" w:rsidRDefault="00E90158" w:rsidP="00E90158">
            <w:pPr>
              <w:rPr>
                <w:color w:val="000000" w:themeColor="text1"/>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3BE1B245" w14:textId="0E217CDE" w:rsidR="00E90158" w:rsidRPr="005332C8" w:rsidRDefault="00061C59" w:rsidP="005332C8">
            <w:pPr>
              <w:ind w:right="-109"/>
              <w:rPr>
                <w:color w:val="000000" w:themeColor="text1"/>
              </w:rPr>
            </w:pPr>
            <w:r>
              <w:rPr>
                <w:color w:val="000000" w:themeColor="text1"/>
              </w:rPr>
              <w:t xml:space="preserve"> </w:t>
            </w:r>
            <w:r w:rsidR="00E90158" w:rsidRPr="005332C8">
              <w:rPr>
                <w:color w:val="000000" w:themeColor="text1"/>
              </w:rPr>
              <w:t>12 51</w:t>
            </w:r>
            <w:r w:rsidR="00BD548E" w:rsidRPr="005332C8">
              <w:rPr>
                <w:color w:val="000000" w:themeColor="text1"/>
              </w:rPr>
              <w:t>9</w:t>
            </w:r>
            <w:r w:rsidR="00E90158" w:rsidRPr="005332C8">
              <w:rPr>
                <w:color w:val="000000" w:themeColor="text1"/>
              </w:rPr>
              <w:t xml:space="preserve"> </w:t>
            </w:r>
            <w:r w:rsidR="00BD548E" w:rsidRPr="005332C8">
              <w:rPr>
                <w:color w:val="000000" w:themeColor="text1"/>
              </w:rPr>
              <w:t>112</w:t>
            </w:r>
          </w:p>
        </w:tc>
        <w:tc>
          <w:tcPr>
            <w:tcW w:w="719" w:type="pct"/>
            <w:tcBorders>
              <w:top w:val="outset" w:sz="6" w:space="0" w:color="414142"/>
              <w:left w:val="outset" w:sz="6" w:space="0" w:color="414142"/>
              <w:bottom w:val="outset" w:sz="6" w:space="0" w:color="414142"/>
              <w:right w:val="outset" w:sz="6" w:space="0" w:color="414142"/>
            </w:tcBorders>
            <w:shd w:val="clear" w:color="auto" w:fill="FFFFFF"/>
          </w:tcPr>
          <w:p w14:paraId="5C80E83E" w14:textId="5BCD26D4" w:rsidR="00E90158" w:rsidRPr="005332C8" w:rsidRDefault="00E90158" w:rsidP="00061C59">
            <w:pPr>
              <w:ind w:right="-109"/>
              <w:jc w:val="center"/>
              <w:rPr>
                <w:color w:val="000000" w:themeColor="text1"/>
              </w:rPr>
            </w:pPr>
            <w:r w:rsidRPr="005332C8">
              <w:rPr>
                <w:color w:val="000000" w:themeColor="text1"/>
              </w:rPr>
              <w:t>17 28</w:t>
            </w:r>
            <w:r w:rsidR="00BD548E" w:rsidRPr="005332C8">
              <w:rPr>
                <w:color w:val="000000" w:themeColor="text1"/>
              </w:rPr>
              <w:t>8</w:t>
            </w:r>
            <w:r w:rsidRPr="005332C8">
              <w:rPr>
                <w:color w:val="000000" w:themeColor="text1"/>
              </w:rPr>
              <w:t xml:space="preserve"> 0</w:t>
            </w:r>
            <w:r w:rsidR="00BD548E" w:rsidRPr="005332C8">
              <w:rPr>
                <w:color w:val="000000" w:themeColor="text1"/>
              </w:rPr>
              <w:t>12</w:t>
            </w: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585A70EF" w14:textId="7A52F6A6" w:rsidR="00E90158" w:rsidRPr="005332C8" w:rsidRDefault="00E90158" w:rsidP="005332C8">
            <w:pPr>
              <w:ind w:right="-109"/>
              <w:jc w:val="center"/>
              <w:rPr>
                <w:color w:val="000000" w:themeColor="text1"/>
              </w:rPr>
            </w:pPr>
            <w:r w:rsidRPr="005332C8">
              <w:rPr>
                <w:color w:val="000000" w:themeColor="text1"/>
              </w:rPr>
              <w:t>20 46</w:t>
            </w:r>
            <w:r w:rsidR="00BD548E" w:rsidRPr="005332C8">
              <w:rPr>
                <w:color w:val="000000" w:themeColor="text1"/>
              </w:rPr>
              <w:t>7</w:t>
            </w:r>
            <w:r w:rsidRPr="005332C8">
              <w:rPr>
                <w:color w:val="000000" w:themeColor="text1"/>
              </w:rPr>
              <w:t xml:space="preserve"> 0</w:t>
            </w:r>
            <w:r w:rsidR="00BD548E" w:rsidRPr="005332C8">
              <w:rPr>
                <w:color w:val="000000" w:themeColor="text1"/>
              </w:rPr>
              <w:t>12</w:t>
            </w:r>
          </w:p>
        </w:tc>
      </w:tr>
      <w:tr w:rsidR="009F02E3" w:rsidRPr="009F02E3" w14:paraId="07CF2496" w14:textId="77777777" w:rsidTr="001C41C1">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67FE8639" w14:textId="77777777" w:rsidR="00E90158" w:rsidRPr="009F02E3" w:rsidRDefault="00E90158" w:rsidP="00E90158">
            <w:pPr>
              <w:rPr>
                <w:color w:val="000000" w:themeColor="text1"/>
              </w:rPr>
            </w:pPr>
            <w:r w:rsidRPr="009F02E3">
              <w:rPr>
                <w:color w:val="000000" w:themeColor="text1"/>
              </w:rPr>
              <w:t>2.2. valsts speciālais budžets</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2A701DC9" w14:textId="77777777" w:rsidR="00E90158" w:rsidRPr="009F02E3" w:rsidRDefault="00E90158" w:rsidP="00E90158">
            <w:pPr>
              <w:rPr>
                <w:color w:val="000000" w:themeColor="text1"/>
                <w:highlight w:val="yellow"/>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tcPr>
          <w:p w14:paraId="2A338322" w14:textId="77777777" w:rsidR="00E90158" w:rsidRPr="009F02E3" w:rsidRDefault="00E90158" w:rsidP="00E90158">
            <w:pPr>
              <w:rPr>
                <w:color w:val="000000" w:themeColor="text1"/>
                <w:highlight w:val="yellow"/>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153A8466" w14:textId="77777777" w:rsidR="00E90158" w:rsidRPr="009F02E3" w:rsidRDefault="00E90158" w:rsidP="00E90158">
            <w:pPr>
              <w:rPr>
                <w:color w:val="000000" w:themeColor="text1"/>
                <w:highlight w:val="yellow"/>
              </w:rPr>
            </w:pPr>
          </w:p>
        </w:tc>
        <w:tc>
          <w:tcPr>
            <w:tcW w:w="719" w:type="pct"/>
            <w:tcBorders>
              <w:top w:val="outset" w:sz="6" w:space="0" w:color="414142"/>
              <w:left w:val="outset" w:sz="6" w:space="0" w:color="414142"/>
              <w:bottom w:val="outset" w:sz="6" w:space="0" w:color="414142"/>
              <w:right w:val="outset" w:sz="6" w:space="0" w:color="414142"/>
            </w:tcBorders>
            <w:shd w:val="clear" w:color="auto" w:fill="FFFFFF"/>
          </w:tcPr>
          <w:p w14:paraId="00F5F6C1" w14:textId="77777777" w:rsidR="00E90158" w:rsidRPr="009F02E3" w:rsidRDefault="00E90158" w:rsidP="00E90158">
            <w:pPr>
              <w:rPr>
                <w:color w:val="000000" w:themeColor="text1"/>
                <w:highlight w:val="yellow"/>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7707F857" w14:textId="77777777" w:rsidR="00E90158" w:rsidRPr="009F02E3" w:rsidRDefault="00E90158" w:rsidP="00E90158">
            <w:pPr>
              <w:rPr>
                <w:color w:val="000000" w:themeColor="text1"/>
                <w:highlight w:val="yellow"/>
              </w:rPr>
            </w:pPr>
          </w:p>
        </w:tc>
      </w:tr>
      <w:tr w:rsidR="009F02E3" w:rsidRPr="009F02E3" w14:paraId="5B9C6A53" w14:textId="77777777" w:rsidTr="001C41C1">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30BB3AA0" w14:textId="77777777" w:rsidR="00E90158" w:rsidRPr="009F02E3" w:rsidRDefault="00E90158" w:rsidP="00E90158">
            <w:pPr>
              <w:rPr>
                <w:color w:val="000000" w:themeColor="text1"/>
              </w:rPr>
            </w:pPr>
            <w:r w:rsidRPr="009F02E3">
              <w:rPr>
                <w:color w:val="000000" w:themeColor="text1"/>
              </w:rPr>
              <w:t>2.3. pašvaldību budžets</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19C4E571" w14:textId="77777777" w:rsidR="00E90158" w:rsidRPr="009F02E3" w:rsidRDefault="00E90158" w:rsidP="00E90158">
            <w:pPr>
              <w:rPr>
                <w:color w:val="000000" w:themeColor="text1"/>
                <w:highlight w:val="yellow"/>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tcPr>
          <w:p w14:paraId="31A2E74F" w14:textId="77777777" w:rsidR="00E90158" w:rsidRPr="009F02E3" w:rsidRDefault="00E90158" w:rsidP="00E90158">
            <w:pPr>
              <w:rPr>
                <w:color w:val="000000" w:themeColor="text1"/>
                <w:highlight w:val="yellow"/>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51909192" w14:textId="77777777" w:rsidR="00E90158" w:rsidRPr="009F02E3" w:rsidRDefault="00E90158" w:rsidP="00E90158">
            <w:pPr>
              <w:rPr>
                <w:color w:val="000000" w:themeColor="text1"/>
                <w:highlight w:val="yellow"/>
              </w:rPr>
            </w:pPr>
          </w:p>
        </w:tc>
        <w:tc>
          <w:tcPr>
            <w:tcW w:w="719" w:type="pct"/>
            <w:tcBorders>
              <w:top w:val="outset" w:sz="6" w:space="0" w:color="414142"/>
              <w:left w:val="outset" w:sz="6" w:space="0" w:color="414142"/>
              <w:bottom w:val="outset" w:sz="6" w:space="0" w:color="414142"/>
              <w:right w:val="outset" w:sz="6" w:space="0" w:color="414142"/>
            </w:tcBorders>
            <w:shd w:val="clear" w:color="auto" w:fill="FFFFFF"/>
          </w:tcPr>
          <w:p w14:paraId="322D8002" w14:textId="77777777" w:rsidR="00E90158" w:rsidRPr="009F02E3" w:rsidRDefault="00E90158" w:rsidP="00E90158">
            <w:pPr>
              <w:rPr>
                <w:color w:val="000000" w:themeColor="text1"/>
                <w:highlight w:val="yellow"/>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16948AC5" w14:textId="77777777" w:rsidR="00E90158" w:rsidRPr="009F02E3" w:rsidRDefault="00E90158" w:rsidP="00E90158">
            <w:pPr>
              <w:rPr>
                <w:color w:val="000000" w:themeColor="text1"/>
                <w:highlight w:val="yellow"/>
              </w:rPr>
            </w:pPr>
          </w:p>
        </w:tc>
      </w:tr>
      <w:tr w:rsidR="009F02E3" w:rsidRPr="009F02E3" w14:paraId="25204084" w14:textId="77777777" w:rsidTr="001C41C1">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1AA7EC4A" w14:textId="77777777" w:rsidR="00E90158" w:rsidRPr="009F02E3" w:rsidRDefault="00E90158" w:rsidP="00E90158">
            <w:pPr>
              <w:rPr>
                <w:color w:val="000000" w:themeColor="text1"/>
              </w:rPr>
            </w:pPr>
            <w:r w:rsidRPr="009F02E3">
              <w:rPr>
                <w:color w:val="000000" w:themeColor="text1"/>
              </w:rPr>
              <w:t>3. Finansiālā ietekme:</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37208935" w14:textId="77777777" w:rsidR="00E90158" w:rsidRPr="009F02E3" w:rsidRDefault="00E90158" w:rsidP="00E90158">
            <w:pPr>
              <w:rPr>
                <w:color w:val="000000" w:themeColor="text1"/>
                <w:highlight w:val="yellow"/>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tcPr>
          <w:p w14:paraId="763C842D" w14:textId="77777777" w:rsidR="00E90158" w:rsidRPr="009F02E3" w:rsidRDefault="00E90158" w:rsidP="00E636BE">
            <w:pPr>
              <w:jc w:val="center"/>
              <w:rPr>
                <w:color w:val="000000" w:themeColor="text1"/>
                <w:highlight w:val="yellow"/>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0AA7AEF5" w14:textId="617318D2" w:rsidR="00E90158" w:rsidRPr="00E636BE" w:rsidRDefault="00E636BE" w:rsidP="00E636BE">
            <w:pPr>
              <w:jc w:val="center"/>
              <w:rPr>
                <w:color w:val="000000" w:themeColor="text1"/>
              </w:rPr>
            </w:pPr>
            <w:r w:rsidRPr="00E636BE">
              <w:rPr>
                <w:color w:val="000000" w:themeColor="text1"/>
              </w:rPr>
              <w:t>0</w:t>
            </w:r>
          </w:p>
        </w:tc>
        <w:tc>
          <w:tcPr>
            <w:tcW w:w="719" w:type="pct"/>
            <w:tcBorders>
              <w:top w:val="outset" w:sz="6" w:space="0" w:color="414142"/>
              <w:left w:val="outset" w:sz="6" w:space="0" w:color="414142"/>
              <w:bottom w:val="outset" w:sz="6" w:space="0" w:color="414142"/>
              <w:right w:val="outset" w:sz="6" w:space="0" w:color="414142"/>
            </w:tcBorders>
            <w:shd w:val="clear" w:color="auto" w:fill="FFFFFF"/>
          </w:tcPr>
          <w:p w14:paraId="5DEFA32D" w14:textId="178C2807" w:rsidR="00E90158" w:rsidRPr="00E636BE" w:rsidRDefault="00E636BE" w:rsidP="00E636BE">
            <w:pPr>
              <w:jc w:val="center"/>
              <w:rPr>
                <w:color w:val="000000" w:themeColor="text1"/>
              </w:rPr>
            </w:pPr>
            <w:r w:rsidRPr="00E636BE">
              <w:rPr>
                <w:color w:val="000000" w:themeColor="text1"/>
              </w:rPr>
              <w:t>0</w:t>
            </w: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4D53DBB3" w14:textId="76E8520E" w:rsidR="00E90158" w:rsidRPr="00E636BE" w:rsidRDefault="00E636BE" w:rsidP="00E636BE">
            <w:pPr>
              <w:jc w:val="center"/>
              <w:rPr>
                <w:color w:val="000000" w:themeColor="text1"/>
              </w:rPr>
            </w:pPr>
            <w:r w:rsidRPr="00E636BE">
              <w:rPr>
                <w:color w:val="000000" w:themeColor="text1"/>
              </w:rPr>
              <w:t>0</w:t>
            </w:r>
          </w:p>
        </w:tc>
      </w:tr>
      <w:tr w:rsidR="009F02E3" w:rsidRPr="009F02E3" w14:paraId="09731A55" w14:textId="77777777" w:rsidTr="001C41C1">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6157BD4D" w14:textId="77777777" w:rsidR="00E90158" w:rsidRPr="009F02E3" w:rsidRDefault="00E90158" w:rsidP="00E90158">
            <w:pPr>
              <w:rPr>
                <w:color w:val="000000" w:themeColor="text1"/>
              </w:rPr>
            </w:pPr>
            <w:r w:rsidRPr="009F02E3">
              <w:rPr>
                <w:color w:val="000000" w:themeColor="text1"/>
              </w:rPr>
              <w:t>3.1. valsts pamatbudžets</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7E061965" w14:textId="77777777" w:rsidR="00E90158" w:rsidRPr="009F02E3" w:rsidRDefault="00E90158" w:rsidP="00E90158">
            <w:pPr>
              <w:rPr>
                <w:color w:val="000000" w:themeColor="text1"/>
                <w:highlight w:val="yellow"/>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tcPr>
          <w:p w14:paraId="4B094382" w14:textId="77777777" w:rsidR="00E90158" w:rsidRPr="009F02E3" w:rsidRDefault="00E90158" w:rsidP="00E90158">
            <w:pPr>
              <w:rPr>
                <w:color w:val="000000" w:themeColor="text1"/>
                <w:highlight w:val="yellow"/>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3D6FA9F8" w14:textId="77777777" w:rsidR="00E90158" w:rsidRPr="009F02E3" w:rsidRDefault="00E90158" w:rsidP="00E90158">
            <w:pPr>
              <w:rPr>
                <w:color w:val="000000" w:themeColor="text1"/>
                <w:highlight w:val="yellow"/>
              </w:rPr>
            </w:pPr>
          </w:p>
        </w:tc>
        <w:tc>
          <w:tcPr>
            <w:tcW w:w="719" w:type="pct"/>
            <w:tcBorders>
              <w:top w:val="outset" w:sz="6" w:space="0" w:color="414142"/>
              <w:left w:val="outset" w:sz="6" w:space="0" w:color="414142"/>
              <w:bottom w:val="outset" w:sz="6" w:space="0" w:color="414142"/>
              <w:right w:val="outset" w:sz="6" w:space="0" w:color="414142"/>
            </w:tcBorders>
            <w:shd w:val="clear" w:color="auto" w:fill="FFFFFF"/>
          </w:tcPr>
          <w:p w14:paraId="7FD85D77" w14:textId="77777777" w:rsidR="00E90158" w:rsidRPr="009F02E3" w:rsidRDefault="00E90158" w:rsidP="00E90158">
            <w:pPr>
              <w:rPr>
                <w:color w:val="000000" w:themeColor="text1"/>
                <w:highlight w:val="yellow"/>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2A869E49" w14:textId="77777777" w:rsidR="00E90158" w:rsidRPr="009F02E3" w:rsidRDefault="00E90158" w:rsidP="00E90158">
            <w:pPr>
              <w:rPr>
                <w:color w:val="000000" w:themeColor="text1"/>
                <w:highlight w:val="yellow"/>
              </w:rPr>
            </w:pPr>
          </w:p>
        </w:tc>
      </w:tr>
      <w:tr w:rsidR="009F02E3" w:rsidRPr="009F02E3" w14:paraId="624EF18F" w14:textId="77777777" w:rsidTr="001C41C1">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1FC5F11E" w14:textId="77777777" w:rsidR="00E90158" w:rsidRPr="009F02E3" w:rsidRDefault="00E90158" w:rsidP="00E90158">
            <w:pPr>
              <w:rPr>
                <w:color w:val="000000" w:themeColor="text1"/>
              </w:rPr>
            </w:pPr>
            <w:r w:rsidRPr="009F02E3">
              <w:rPr>
                <w:color w:val="000000" w:themeColor="text1"/>
              </w:rPr>
              <w:t>3.2. speciālais budžets</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07BFD542" w14:textId="77777777" w:rsidR="00E90158" w:rsidRPr="009F02E3" w:rsidRDefault="00E90158" w:rsidP="00E90158">
            <w:pPr>
              <w:rPr>
                <w:color w:val="000000" w:themeColor="text1"/>
                <w:highlight w:val="yellow"/>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tcPr>
          <w:p w14:paraId="6564F1C8" w14:textId="77777777" w:rsidR="00E90158" w:rsidRPr="009F02E3" w:rsidRDefault="00E90158" w:rsidP="00E90158">
            <w:pPr>
              <w:rPr>
                <w:color w:val="000000" w:themeColor="text1"/>
                <w:highlight w:val="yellow"/>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6C9C7752" w14:textId="77777777" w:rsidR="00E90158" w:rsidRPr="009F02E3" w:rsidRDefault="00E90158" w:rsidP="00E90158">
            <w:pPr>
              <w:rPr>
                <w:color w:val="000000" w:themeColor="text1"/>
                <w:highlight w:val="yellow"/>
              </w:rPr>
            </w:pPr>
          </w:p>
        </w:tc>
        <w:tc>
          <w:tcPr>
            <w:tcW w:w="719" w:type="pct"/>
            <w:tcBorders>
              <w:top w:val="outset" w:sz="6" w:space="0" w:color="414142"/>
              <w:left w:val="outset" w:sz="6" w:space="0" w:color="414142"/>
              <w:bottom w:val="outset" w:sz="6" w:space="0" w:color="414142"/>
              <w:right w:val="outset" w:sz="6" w:space="0" w:color="414142"/>
            </w:tcBorders>
            <w:shd w:val="clear" w:color="auto" w:fill="FFFFFF"/>
          </w:tcPr>
          <w:p w14:paraId="499A73AF" w14:textId="77777777" w:rsidR="00E90158" w:rsidRPr="009F02E3" w:rsidRDefault="00E90158" w:rsidP="00E90158">
            <w:pPr>
              <w:rPr>
                <w:color w:val="000000" w:themeColor="text1"/>
                <w:highlight w:val="yellow"/>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4554D3D2" w14:textId="77777777" w:rsidR="00E90158" w:rsidRPr="009F02E3" w:rsidRDefault="00E90158" w:rsidP="00E90158">
            <w:pPr>
              <w:rPr>
                <w:color w:val="000000" w:themeColor="text1"/>
                <w:highlight w:val="yellow"/>
              </w:rPr>
            </w:pPr>
          </w:p>
        </w:tc>
      </w:tr>
      <w:tr w:rsidR="009F02E3" w:rsidRPr="009F02E3" w14:paraId="059C92E2" w14:textId="77777777" w:rsidTr="001C41C1">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0995E5BA" w14:textId="77777777" w:rsidR="00E90158" w:rsidRPr="009F02E3" w:rsidRDefault="00E90158" w:rsidP="00E90158">
            <w:pPr>
              <w:rPr>
                <w:color w:val="000000" w:themeColor="text1"/>
              </w:rPr>
            </w:pPr>
            <w:r w:rsidRPr="009F02E3">
              <w:rPr>
                <w:color w:val="000000" w:themeColor="text1"/>
              </w:rPr>
              <w:t>3.3. pašvaldību budžets</w:t>
            </w:r>
          </w:p>
        </w:tc>
        <w:tc>
          <w:tcPr>
            <w:tcW w:w="598" w:type="pct"/>
            <w:tcBorders>
              <w:top w:val="outset" w:sz="6" w:space="0" w:color="414142"/>
              <w:left w:val="outset" w:sz="6" w:space="0" w:color="414142"/>
              <w:bottom w:val="outset" w:sz="6" w:space="0" w:color="414142"/>
              <w:right w:val="outset" w:sz="6" w:space="0" w:color="414142"/>
            </w:tcBorders>
            <w:shd w:val="clear" w:color="auto" w:fill="FFFFFF"/>
          </w:tcPr>
          <w:p w14:paraId="569ABDD3" w14:textId="77777777" w:rsidR="00E90158" w:rsidRPr="009F02E3" w:rsidRDefault="00E90158" w:rsidP="00E90158">
            <w:pPr>
              <w:rPr>
                <w:color w:val="000000" w:themeColor="text1"/>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tcPr>
          <w:p w14:paraId="09713CC5" w14:textId="77777777" w:rsidR="00E90158" w:rsidRPr="009F02E3" w:rsidRDefault="00E90158" w:rsidP="00E90158">
            <w:pPr>
              <w:rPr>
                <w:color w:val="000000" w:themeColor="text1"/>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5835015F" w14:textId="77777777" w:rsidR="00E90158" w:rsidRPr="009F02E3" w:rsidRDefault="00E90158" w:rsidP="00E90158">
            <w:pPr>
              <w:rPr>
                <w:color w:val="000000" w:themeColor="text1"/>
              </w:rPr>
            </w:pPr>
          </w:p>
        </w:tc>
        <w:tc>
          <w:tcPr>
            <w:tcW w:w="719" w:type="pct"/>
            <w:tcBorders>
              <w:top w:val="outset" w:sz="6" w:space="0" w:color="414142"/>
              <w:left w:val="outset" w:sz="6" w:space="0" w:color="414142"/>
              <w:bottom w:val="outset" w:sz="6" w:space="0" w:color="414142"/>
              <w:right w:val="outset" w:sz="6" w:space="0" w:color="414142"/>
            </w:tcBorders>
            <w:shd w:val="clear" w:color="auto" w:fill="FFFFFF"/>
          </w:tcPr>
          <w:p w14:paraId="04826F02" w14:textId="77777777" w:rsidR="00E90158" w:rsidRPr="009F02E3" w:rsidRDefault="00E90158" w:rsidP="00E90158">
            <w:pPr>
              <w:rPr>
                <w:color w:val="000000" w:themeColor="text1"/>
              </w:rPr>
            </w:pPr>
          </w:p>
        </w:tc>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1AE95CDF" w14:textId="77777777" w:rsidR="00E90158" w:rsidRPr="009F02E3" w:rsidRDefault="00E90158" w:rsidP="00E90158">
            <w:pPr>
              <w:rPr>
                <w:color w:val="000000" w:themeColor="text1"/>
              </w:rPr>
            </w:pPr>
          </w:p>
        </w:tc>
      </w:tr>
      <w:tr w:rsidR="009F02E3" w:rsidRPr="009F02E3" w14:paraId="38DFC40C" w14:textId="77777777" w:rsidTr="001C41C1">
        <w:tc>
          <w:tcPr>
            <w:tcW w:w="176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2BBA099" w14:textId="77777777" w:rsidR="00E90158" w:rsidRPr="009F02E3" w:rsidRDefault="00E90158" w:rsidP="00E90158">
            <w:pPr>
              <w:rPr>
                <w:color w:val="000000" w:themeColor="text1"/>
              </w:rPr>
            </w:pPr>
            <w:r w:rsidRPr="009F02E3">
              <w:rPr>
                <w:color w:val="000000" w:themeColor="text1"/>
              </w:rPr>
              <w:t>4. Finanšu līdzekļi papildu izdevumu finansēšanai (kompensējošu izdevumu samazinājumu norāda ar "+" zīmi)</w:t>
            </w:r>
          </w:p>
        </w:tc>
        <w:tc>
          <w:tcPr>
            <w:tcW w:w="59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30CE5C6" w14:textId="77777777" w:rsidR="00E90158" w:rsidRPr="009F02E3" w:rsidRDefault="00E90158" w:rsidP="00E90158">
            <w:pPr>
              <w:pStyle w:val="tvhtml"/>
              <w:spacing w:before="0" w:beforeAutospacing="0" w:after="0" w:afterAutospacing="0"/>
              <w:jc w:val="center"/>
              <w:rPr>
                <w:color w:val="000000" w:themeColor="text1"/>
              </w:rPr>
            </w:pPr>
            <w:r w:rsidRPr="009F02E3">
              <w:rPr>
                <w:color w:val="000000" w:themeColor="text1"/>
              </w:rPr>
              <w:t>X</w:t>
            </w:r>
          </w:p>
        </w:tc>
        <w:tc>
          <w:tcPr>
            <w:tcW w:w="501" w:type="pct"/>
            <w:tcBorders>
              <w:top w:val="outset" w:sz="6" w:space="0" w:color="414142"/>
              <w:left w:val="outset" w:sz="6" w:space="0" w:color="414142"/>
              <w:bottom w:val="outset" w:sz="6" w:space="0" w:color="414142"/>
              <w:right w:val="outset" w:sz="6" w:space="0" w:color="414142"/>
            </w:tcBorders>
            <w:shd w:val="clear" w:color="auto" w:fill="FFFFFF"/>
            <w:hideMark/>
          </w:tcPr>
          <w:p w14:paraId="30D7AEC1" w14:textId="77777777" w:rsidR="00E90158" w:rsidRPr="009F02E3" w:rsidRDefault="00E90158" w:rsidP="00E90158">
            <w:pPr>
              <w:rPr>
                <w:color w:val="000000" w:themeColor="text1"/>
              </w:rPr>
            </w:pPr>
            <w:r w:rsidRPr="009F02E3">
              <w:rPr>
                <w:color w:val="000000" w:themeColor="text1"/>
              </w:rPr>
              <w:t> </w:t>
            </w:r>
          </w:p>
        </w:tc>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5D57E313" w14:textId="77777777" w:rsidR="00E90158" w:rsidRPr="009F02E3" w:rsidRDefault="00E90158" w:rsidP="00E90158">
            <w:pPr>
              <w:rPr>
                <w:color w:val="000000" w:themeColor="text1"/>
              </w:rPr>
            </w:pPr>
            <w:r w:rsidRPr="009F02E3">
              <w:rPr>
                <w:color w:val="000000" w:themeColor="text1"/>
              </w:rPr>
              <w:t> </w:t>
            </w:r>
          </w:p>
        </w:tc>
        <w:tc>
          <w:tcPr>
            <w:tcW w:w="719" w:type="pct"/>
            <w:tcBorders>
              <w:top w:val="outset" w:sz="6" w:space="0" w:color="414142"/>
              <w:left w:val="outset" w:sz="6" w:space="0" w:color="414142"/>
              <w:bottom w:val="outset" w:sz="6" w:space="0" w:color="414142"/>
              <w:right w:val="outset" w:sz="6" w:space="0" w:color="414142"/>
            </w:tcBorders>
            <w:shd w:val="clear" w:color="auto" w:fill="FFFFFF"/>
            <w:hideMark/>
          </w:tcPr>
          <w:p w14:paraId="0FAF3C40" w14:textId="77777777" w:rsidR="00E90158" w:rsidRPr="009F02E3" w:rsidRDefault="00E90158" w:rsidP="00E90158">
            <w:pPr>
              <w:rPr>
                <w:color w:val="000000" w:themeColor="text1"/>
              </w:rPr>
            </w:pPr>
            <w:r w:rsidRPr="009F02E3">
              <w:rPr>
                <w:color w:val="000000" w:themeColor="text1"/>
              </w:rPr>
              <w:t> </w:t>
            </w:r>
          </w:p>
        </w:tc>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50A72FC0" w14:textId="77777777" w:rsidR="00E90158" w:rsidRPr="009F02E3" w:rsidRDefault="00E90158" w:rsidP="00E90158">
            <w:pPr>
              <w:rPr>
                <w:color w:val="000000" w:themeColor="text1"/>
              </w:rPr>
            </w:pPr>
            <w:r w:rsidRPr="009F02E3">
              <w:rPr>
                <w:color w:val="000000" w:themeColor="text1"/>
              </w:rPr>
              <w:t> </w:t>
            </w:r>
          </w:p>
        </w:tc>
      </w:tr>
      <w:tr w:rsidR="009F02E3" w:rsidRPr="009F02E3" w14:paraId="41F95265" w14:textId="77777777" w:rsidTr="001C41C1">
        <w:tc>
          <w:tcPr>
            <w:tcW w:w="17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70DE64" w14:textId="77777777" w:rsidR="00E90158" w:rsidRPr="009F02E3" w:rsidRDefault="00E90158" w:rsidP="00E90158">
            <w:pPr>
              <w:rPr>
                <w:color w:val="000000" w:themeColor="text1"/>
              </w:rPr>
            </w:pPr>
          </w:p>
        </w:tc>
        <w:tc>
          <w:tcPr>
            <w:tcW w:w="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10A0F5" w14:textId="77777777" w:rsidR="00E90158" w:rsidRPr="009F02E3" w:rsidRDefault="00E90158" w:rsidP="00E90158">
            <w:pPr>
              <w:rPr>
                <w:color w:val="000000" w:themeColor="text1"/>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hideMark/>
          </w:tcPr>
          <w:p w14:paraId="7CFBAFF1" w14:textId="77777777" w:rsidR="00E90158" w:rsidRPr="009F02E3" w:rsidRDefault="00E90158" w:rsidP="00E90158">
            <w:pPr>
              <w:rPr>
                <w:color w:val="000000" w:themeColor="text1"/>
              </w:rPr>
            </w:pPr>
            <w:r w:rsidRPr="009F02E3">
              <w:rPr>
                <w:color w:val="000000" w:themeColor="text1"/>
              </w:rPr>
              <w:t> </w:t>
            </w:r>
          </w:p>
        </w:tc>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5E99A1B1" w14:textId="77777777" w:rsidR="00E90158" w:rsidRPr="009F02E3" w:rsidRDefault="00E90158" w:rsidP="00E90158">
            <w:pPr>
              <w:rPr>
                <w:color w:val="000000" w:themeColor="text1"/>
              </w:rPr>
            </w:pPr>
            <w:r w:rsidRPr="009F02E3">
              <w:rPr>
                <w:color w:val="000000" w:themeColor="text1"/>
              </w:rPr>
              <w:t> </w:t>
            </w:r>
          </w:p>
        </w:tc>
        <w:tc>
          <w:tcPr>
            <w:tcW w:w="719" w:type="pct"/>
            <w:tcBorders>
              <w:top w:val="outset" w:sz="6" w:space="0" w:color="414142"/>
              <w:left w:val="outset" w:sz="6" w:space="0" w:color="414142"/>
              <w:bottom w:val="outset" w:sz="6" w:space="0" w:color="414142"/>
              <w:right w:val="outset" w:sz="6" w:space="0" w:color="414142"/>
            </w:tcBorders>
            <w:shd w:val="clear" w:color="auto" w:fill="FFFFFF"/>
            <w:hideMark/>
          </w:tcPr>
          <w:p w14:paraId="46DCE7EE" w14:textId="77777777" w:rsidR="00E90158" w:rsidRPr="009F02E3" w:rsidRDefault="00E90158" w:rsidP="00E90158">
            <w:pPr>
              <w:rPr>
                <w:color w:val="000000" w:themeColor="text1"/>
              </w:rPr>
            </w:pPr>
            <w:r w:rsidRPr="009F02E3">
              <w:rPr>
                <w:color w:val="000000" w:themeColor="text1"/>
              </w:rPr>
              <w:t> </w:t>
            </w:r>
          </w:p>
        </w:tc>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23BA6D21" w14:textId="77777777" w:rsidR="00E90158" w:rsidRPr="009F02E3" w:rsidRDefault="00E90158" w:rsidP="00E90158">
            <w:pPr>
              <w:rPr>
                <w:color w:val="000000" w:themeColor="text1"/>
              </w:rPr>
            </w:pPr>
            <w:r w:rsidRPr="009F02E3">
              <w:rPr>
                <w:color w:val="000000" w:themeColor="text1"/>
              </w:rPr>
              <w:t> </w:t>
            </w:r>
          </w:p>
        </w:tc>
      </w:tr>
      <w:tr w:rsidR="009F02E3" w:rsidRPr="009F02E3" w14:paraId="7672B3B6" w14:textId="77777777" w:rsidTr="001C41C1">
        <w:tc>
          <w:tcPr>
            <w:tcW w:w="17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DACA81" w14:textId="77777777" w:rsidR="00E90158" w:rsidRPr="009F02E3" w:rsidRDefault="00E90158" w:rsidP="00E90158">
            <w:pPr>
              <w:rPr>
                <w:color w:val="000000" w:themeColor="text1"/>
              </w:rPr>
            </w:pPr>
          </w:p>
        </w:tc>
        <w:tc>
          <w:tcPr>
            <w:tcW w:w="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977A3A" w14:textId="77777777" w:rsidR="00E90158" w:rsidRPr="009F02E3" w:rsidRDefault="00E90158" w:rsidP="00E90158">
            <w:pPr>
              <w:rPr>
                <w:color w:val="000000" w:themeColor="text1"/>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hideMark/>
          </w:tcPr>
          <w:p w14:paraId="5638C1DC" w14:textId="77777777" w:rsidR="00E90158" w:rsidRPr="009F02E3" w:rsidRDefault="00E90158" w:rsidP="00E90158">
            <w:pPr>
              <w:rPr>
                <w:color w:val="000000" w:themeColor="text1"/>
              </w:rPr>
            </w:pPr>
            <w:r w:rsidRPr="009F02E3">
              <w:rPr>
                <w:color w:val="000000" w:themeColor="text1"/>
              </w:rPr>
              <w:t> </w:t>
            </w:r>
          </w:p>
        </w:tc>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5A71F700" w14:textId="77777777" w:rsidR="00E90158" w:rsidRPr="009F02E3" w:rsidRDefault="00E90158" w:rsidP="00E90158">
            <w:pPr>
              <w:rPr>
                <w:color w:val="000000" w:themeColor="text1"/>
              </w:rPr>
            </w:pPr>
            <w:r w:rsidRPr="009F02E3">
              <w:rPr>
                <w:color w:val="000000" w:themeColor="text1"/>
              </w:rPr>
              <w:t> </w:t>
            </w:r>
          </w:p>
        </w:tc>
        <w:tc>
          <w:tcPr>
            <w:tcW w:w="719" w:type="pct"/>
            <w:tcBorders>
              <w:top w:val="outset" w:sz="6" w:space="0" w:color="414142"/>
              <w:left w:val="outset" w:sz="6" w:space="0" w:color="414142"/>
              <w:bottom w:val="outset" w:sz="6" w:space="0" w:color="414142"/>
              <w:right w:val="outset" w:sz="6" w:space="0" w:color="414142"/>
            </w:tcBorders>
            <w:shd w:val="clear" w:color="auto" w:fill="FFFFFF"/>
            <w:hideMark/>
          </w:tcPr>
          <w:p w14:paraId="611DB249" w14:textId="77777777" w:rsidR="00E90158" w:rsidRPr="009F02E3" w:rsidRDefault="00E90158" w:rsidP="00E90158">
            <w:pPr>
              <w:rPr>
                <w:color w:val="000000" w:themeColor="text1"/>
              </w:rPr>
            </w:pPr>
            <w:r w:rsidRPr="009F02E3">
              <w:rPr>
                <w:color w:val="000000" w:themeColor="text1"/>
              </w:rPr>
              <w:t> </w:t>
            </w:r>
          </w:p>
        </w:tc>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4B4D7AF4" w14:textId="77777777" w:rsidR="00E90158" w:rsidRPr="009F02E3" w:rsidRDefault="00E90158" w:rsidP="00E90158">
            <w:pPr>
              <w:rPr>
                <w:color w:val="000000" w:themeColor="text1"/>
              </w:rPr>
            </w:pPr>
            <w:r w:rsidRPr="009F02E3">
              <w:rPr>
                <w:color w:val="000000" w:themeColor="text1"/>
              </w:rPr>
              <w:t> </w:t>
            </w:r>
          </w:p>
        </w:tc>
      </w:tr>
      <w:tr w:rsidR="009F02E3" w:rsidRPr="009F02E3" w14:paraId="643FD366" w14:textId="77777777" w:rsidTr="001C41C1">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29653B7D" w14:textId="77777777" w:rsidR="00E90158" w:rsidRPr="009F02E3" w:rsidRDefault="00E90158" w:rsidP="00E90158">
            <w:pPr>
              <w:rPr>
                <w:color w:val="000000" w:themeColor="text1"/>
              </w:rPr>
            </w:pPr>
            <w:r w:rsidRPr="009F02E3">
              <w:rPr>
                <w:color w:val="000000" w:themeColor="text1"/>
              </w:rPr>
              <w:t>5. Precizēta finansiālā ietekme:</w:t>
            </w:r>
          </w:p>
        </w:tc>
        <w:tc>
          <w:tcPr>
            <w:tcW w:w="59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BA7F351" w14:textId="77777777" w:rsidR="00E90158" w:rsidRPr="009F02E3" w:rsidRDefault="00E90158" w:rsidP="00E90158">
            <w:pPr>
              <w:pStyle w:val="tvhtml"/>
              <w:spacing w:before="0" w:beforeAutospacing="0" w:after="0" w:afterAutospacing="0"/>
              <w:jc w:val="center"/>
              <w:rPr>
                <w:color w:val="000000" w:themeColor="text1"/>
              </w:rPr>
            </w:pPr>
            <w:r w:rsidRPr="009F02E3">
              <w:rPr>
                <w:color w:val="000000" w:themeColor="text1"/>
              </w:rPr>
              <w:t>X</w:t>
            </w:r>
          </w:p>
        </w:tc>
        <w:tc>
          <w:tcPr>
            <w:tcW w:w="501" w:type="pct"/>
            <w:tcBorders>
              <w:top w:val="outset" w:sz="6" w:space="0" w:color="414142"/>
              <w:left w:val="outset" w:sz="6" w:space="0" w:color="414142"/>
              <w:bottom w:val="outset" w:sz="6" w:space="0" w:color="414142"/>
              <w:right w:val="outset" w:sz="6" w:space="0" w:color="414142"/>
            </w:tcBorders>
            <w:shd w:val="clear" w:color="auto" w:fill="FFFFFF"/>
            <w:hideMark/>
          </w:tcPr>
          <w:p w14:paraId="652E3A26" w14:textId="77777777" w:rsidR="00E90158" w:rsidRPr="009F02E3" w:rsidRDefault="00E90158" w:rsidP="00E90158">
            <w:pPr>
              <w:rPr>
                <w:color w:val="000000" w:themeColor="text1"/>
              </w:rPr>
            </w:pPr>
            <w:r w:rsidRPr="009F02E3">
              <w:rPr>
                <w:color w:val="000000" w:themeColor="text1"/>
              </w:rPr>
              <w:t> </w:t>
            </w:r>
          </w:p>
        </w:tc>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3979A7D6" w14:textId="77777777" w:rsidR="00E90158" w:rsidRPr="009F02E3" w:rsidRDefault="00E90158" w:rsidP="00E90158">
            <w:pPr>
              <w:rPr>
                <w:color w:val="000000" w:themeColor="text1"/>
              </w:rPr>
            </w:pPr>
            <w:r w:rsidRPr="009F02E3">
              <w:rPr>
                <w:color w:val="000000" w:themeColor="text1"/>
              </w:rPr>
              <w:t> </w:t>
            </w:r>
          </w:p>
        </w:tc>
        <w:tc>
          <w:tcPr>
            <w:tcW w:w="719" w:type="pct"/>
            <w:tcBorders>
              <w:top w:val="outset" w:sz="6" w:space="0" w:color="414142"/>
              <w:left w:val="outset" w:sz="6" w:space="0" w:color="414142"/>
              <w:bottom w:val="outset" w:sz="6" w:space="0" w:color="414142"/>
              <w:right w:val="outset" w:sz="6" w:space="0" w:color="414142"/>
            </w:tcBorders>
            <w:shd w:val="clear" w:color="auto" w:fill="FFFFFF"/>
            <w:hideMark/>
          </w:tcPr>
          <w:p w14:paraId="0B288307" w14:textId="77777777" w:rsidR="00E90158" w:rsidRPr="009F02E3" w:rsidRDefault="00E90158" w:rsidP="00E90158">
            <w:pPr>
              <w:rPr>
                <w:color w:val="000000" w:themeColor="text1"/>
              </w:rPr>
            </w:pPr>
            <w:r w:rsidRPr="009F02E3">
              <w:rPr>
                <w:color w:val="000000" w:themeColor="text1"/>
              </w:rPr>
              <w:t> </w:t>
            </w:r>
          </w:p>
        </w:tc>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2C37658E" w14:textId="77777777" w:rsidR="00E90158" w:rsidRPr="009F02E3" w:rsidRDefault="00E90158" w:rsidP="00E90158">
            <w:pPr>
              <w:rPr>
                <w:color w:val="000000" w:themeColor="text1"/>
              </w:rPr>
            </w:pPr>
            <w:r w:rsidRPr="009F02E3">
              <w:rPr>
                <w:color w:val="000000" w:themeColor="text1"/>
              </w:rPr>
              <w:t> </w:t>
            </w:r>
          </w:p>
        </w:tc>
      </w:tr>
      <w:tr w:rsidR="009F02E3" w:rsidRPr="009F02E3" w14:paraId="4DA98A16" w14:textId="77777777" w:rsidTr="001C41C1">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7F9DCF96" w14:textId="77777777" w:rsidR="00E90158" w:rsidRPr="009F02E3" w:rsidRDefault="00E90158" w:rsidP="00E90158">
            <w:pPr>
              <w:rPr>
                <w:color w:val="000000" w:themeColor="text1"/>
              </w:rPr>
            </w:pPr>
            <w:r w:rsidRPr="009F02E3">
              <w:rPr>
                <w:color w:val="000000" w:themeColor="text1"/>
              </w:rPr>
              <w:t>5.1. valsts pamatbudžets</w:t>
            </w:r>
          </w:p>
        </w:tc>
        <w:tc>
          <w:tcPr>
            <w:tcW w:w="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319E08" w14:textId="77777777" w:rsidR="00E90158" w:rsidRPr="009F02E3" w:rsidRDefault="00E90158" w:rsidP="00E90158">
            <w:pPr>
              <w:rPr>
                <w:color w:val="000000" w:themeColor="text1"/>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hideMark/>
          </w:tcPr>
          <w:p w14:paraId="5E889283" w14:textId="77777777" w:rsidR="00E90158" w:rsidRPr="009F02E3" w:rsidRDefault="00E90158" w:rsidP="00E90158">
            <w:pPr>
              <w:rPr>
                <w:color w:val="000000" w:themeColor="text1"/>
              </w:rPr>
            </w:pPr>
            <w:r w:rsidRPr="009F02E3">
              <w:rPr>
                <w:color w:val="000000" w:themeColor="text1"/>
              </w:rPr>
              <w:t> </w:t>
            </w:r>
          </w:p>
        </w:tc>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3869A43A" w14:textId="77777777" w:rsidR="00E90158" w:rsidRPr="009F02E3" w:rsidRDefault="00E90158" w:rsidP="00E90158">
            <w:pPr>
              <w:rPr>
                <w:color w:val="000000" w:themeColor="text1"/>
              </w:rPr>
            </w:pPr>
            <w:r w:rsidRPr="009F02E3">
              <w:rPr>
                <w:color w:val="000000" w:themeColor="text1"/>
              </w:rPr>
              <w:t> </w:t>
            </w:r>
          </w:p>
        </w:tc>
        <w:tc>
          <w:tcPr>
            <w:tcW w:w="719" w:type="pct"/>
            <w:tcBorders>
              <w:top w:val="outset" w:sz="6" w:space="0" w:color="414142"/>
              <w:left w:val="outset" w:sz="6" w:space="0" w:color="414142"/>
              <w:bottom w:val="outset" w:sz="6" w:space="0" w:color="414142"/>
              <w:right w:val="outset" w:sz="6" w:space="0" w:color="414142"/>
            </w:tcBorders>
            <w:shd w:val="clear" w:color="auto" w:fill="FFFFFF"/>
            <w:hideMark/>
          </w:tcPr>
          <w:p w14:paraId="47CE097B" w14:textId="77777777" w:rsidR="00E90158" w:rsidRPr="009F02E3" w:rsidRDefault="00E90158" w:rsidP="00E90158">
            <w:pPr>
              <w:rPr>
                <w:color w:val="000000" w:themeColor="text1"/>
              </w:rPr>
            </w:pPr>
            <w:r w:rsidRPr="009F02E3">
              <w:rPr>
                <w:color w:val="000000" w:themeColor="text1"/>
              </w:rPr>
              <w:t> </w:t>
            </w:r>
          </w:p>
        </w:tc>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464E874E" w14:textId="77777777" w:rsidR="00E90158" w:rsidRPr="009F02E3" w:rsidRDefault="00E90158" w:rsidP="00E90158">
            <w:pPr>
              <w:rPr>
                <w:color w:val="000000" w:themeColor="text1"/>
              </w:rPr>
            </w:pPr>
            <w:r w:rsidRPr="009F02E3">
              <w:rPr>
                <w:color w:val="000000" w:themeColor="text1"/>
              </w:rPr>
              <w:t> </w:t>
            </w:r>
          </w:p>
        </w:tc>
      </w:tr>
      <w:tr w:rsidR="009F02E3" w:rsidRPr="009F02E3" w14:paraId="6C85E5F0" w14:textId="77777777" w:rsidTr="001C41C1">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7C234428" w14:textId="77777777" w:rsidR="00E90158" w:rsidRPr="009F02E3" w:rsidRDefault="00E90158" w:rsidP="00E90158">
            <w:pPr>
              <w:rPr>
                <w:color w:val="000000" w:themeColor="text1"/>
              </w:rPr>
            </w:pPr>
            <w:r w:rsidRPr="009F02E3">
              <w:rPr>
                <w:color w:val="000000" w:themeColor="text1"/>
              </w:rPr>
              <w:t>5.2. speciālais budžets</w:t>
            </w:r>
          </w:p>
        </w:tc>
        <w:tc>
          <w:tcPr>
            <w:tcW w:w="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AAE63" w14:textId="77777777" w:rsidR="00E90158" w:rsidRPr="009F02E3" w:rsidRDefault="00E90158" w:rsidP="00E90158">
            <w:pPr>
              <w:rPr>
                <w:color w:val="000000" w:themeColor="text1"/>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hideMark/>
          </w:tcPr>
          <w:p w14:paraId="7F00EF8B" w14:textId="77777777" w:rsidR="00E90158" w:rsidRPr="009F02E3" w:rsidRDefault="00E90158" w:rsidP="00E90158">
            <w:pPr>
              <w:rPr>
                <w:color w:val="000000" w:themeColor="text1"/>
              </w:rPr>
            </w:pPr>
            <w:r w:rsidRPr="009F02E3">
              <w:rPr>
                <w:color w:val="000000" w:themeColor="text1"/>
              </w:rPr>
              <w:t> </w:t>
            </w:r>
          </w:p>
        </w:tc>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61F290C5" w14:textId="77777777" w:rsidR="00E90158" w:rsidRPr="009F02E3" w:rsidRDefault="00E90158" w:rsidP="00E90158">
            <w:pPr>
              <w:rPr>
                <w:color w:val="000000" w:themeColor="text1"/>
              </w:rPr>
            </w:pPr>
            <w:r w:rsidRPr="009F02E3">
              <w:rPr>
                <w:color w:val="000000" w:themeColor="text1"/>
              </w:rPr>
              <w:t> </w:t>
            </w:r>
          </w:p>
        </w:tc>
        <w:tc>
          <w:tcPr>
            <w:tcW w:w="719" w:type="pct"/>
            <w:tcBorders>
              <w:top w:val="outset" w:sz="6" w:space="0" w:color="414142"/>
              <w:left w:val="outset" w:sz="6" w:space="0" w:color="414142"/>
              <w:bottom w:val="outset" w:sz="6" w:space="0" w:color="414142"/>
              <w:right w:val="outset" w:sz="6" w:space="0" w:color="414142"/>
            </w:tcBorders>
            <w:shd w:val="clear" w:color="auto" w:fill="FFFFFF"/>
            <w:hideMark/>
          </w:tcPr>
          <w:p w14:paraId="31A8B759" w14:textId="77777777" w:rsidR="00E90158" w:rsidRPr="009F02E3" w:rsidRDefault="00E90158" w:rsidP="00E90158">
            <w:pPr>
              <w:rPr>
                <w:color w:val="000000" w:themeColor="text1"/>
              </w:rPr>
            </w:pPr>
            <w:r w:rsidRPr="009F02E3">
              <w:rPr>
                <w:color w:val="000000" w:themeColor="text1"/>
              </w:rPr>
              <w:t> </w:t>
            </w:r>
          </w:p>
        </w:tc>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308EACBF" w14:textId="77777777" w:rsidR="00E90158" w:rsidRPr="009F02E3" w:rsidRDefault="00E90158" w:rsidP="00E90158">
            <w:pPr>
              <w:rPr>
                <w:color w:val="000000" w:themeColor="text1"/>
              </w:rPr>
            </w:pPr>
            <w:r w:rsidRPr="009F02E3">
              <w:rPr>
                <w:color w:val="000000" w:themeColor="text1"/>
              </w:rPr>
              <w:t> </w:t>
            </w:r>
          </w:p>
        </w:tc>
      </w:tr>
      <w:tr w:rsidR="009F02E3" w:rsidRPr="009F02E3" w14:paraId="3EE8EABD" w14:textId="77777777" w:rsidTr="001C41C1">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67D31E1F" w14:textId="77777777" w:rsidR="00E90158" w:rsidRPr="009F02E3" w:rsidRDefault="00E90158" w:rsidP="00E90158">
            <w:pPr>
              <w:rPr>
                <w:color w:val="000000" w:themeColor="text1"/>
              </w:rPr>
            </w:pPr>
            <w:r w:rsidRPr="009F02E3">
              <w:rPr>
                <w:color w:val="000000" w:themeColor="text1"/>
              </w:rPr>
              <w:t>5.3. pašvaldību budžets</w:t>
            </w:r>
          </w:p>
        </w:tc>
        <w:tc>
          <w:tcPr>
            <w:tcW w:w="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787DF" w14:textId="77777777" w:rsidR="00E90158" w:rsidRPr="009F02E3" w:rsidRDefault="00E90158" w:rsidP="00E90158">
            <w:pPr>
              <w:rPr>
                <w:color w:val="000000" w:themeColor="text1"/>
              </w:rPr>
            </w:pPr>
          </w:p>
        </w:tc>
        <w:tc>
          <w:tcPr>
            <w:tcW w:w="501" w:type="pct"/>
            <w:tcBorders>
              <w:top w:val="outset" w:sz="6" w:space="0" w:color="414142"/>
              <w:left w:val="outset" w:sz="6" w:space="0" w:color="414142"/>
              <w:bottom w:val="outset" w:sz="6" w:space="0" w:color="414142"/>
              <w:right w:val="outset" w:sz="6" w:space="0" w:color="414142"/>
            </w:tcBorders>
            <w:shd w:val="clear" w:color="auto" w:fill="FFFFFF"/>
            <w:hideMark/>
          </w:tcPr>
          <w:p w14:paraId="52642C1C" w14:textId="77777777" w:rsidR="00E90158" w:rsidRPr="009F02E3" w:rsidRDefault="00E90158" w:rsidP="00E90158">
            <w:pPr>
              <w:rPr>
                <w:color w:val="000000" w:themeColor="text1"/>
              </w:rPr>
            </w:pPr>
            <w:r w:rsidRPr="009F02E3">
              <w:rPr>
                <w:color w:val="000000" w:themeColor="text1"/>
              </w:rPr>
              <w:t> </w:t>
            </w:r>
          </w:p>
        </w:tc>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67FD0D8E" w14:textId="77777777" w:rsidR="00E90158" w:rsidRPr="009F02E3" w:rsidRDefault="00E90158" w:rsidP="00E90158">
            <w:pPr>
              <w:rPr>
                <w:color w:val="000000" w:themeColor="text1"/>
              </w:rPr>
            </w:pPr>
            <w:r w:rsidRPr="009F02E3">
              <w:rPr>
                <w:color w:val="000000" w:themeColor="text1"/>
              </w:rPr>
              <w:t> </w:t>
            </w:r>
          </w:p>
        </w:tc>
        <w:tc>
          <w:tcPr>
            <w:tcW w:w="719" w:type="pct"/>
            <w:tcBorders>
              <w:top w:val="outset" w:sz="6" w:space="0" w:color="414142"/>
              <w:left w:val="outset" w:sz="6" w:space="0" w:color="414142"/>
              <w:bottom w:val="outset" w:sz="6" w:space="0" w:color="414142"/>
              <w:right w:val="outset" w:sz="6" w:space="0" w:color="414142"/>
            </w:tcBorders>
            <w:shd w:val="clear" w:color="auto" w:fill="FFFFFF"/>
            <w:hideMark/>
          </w:tcPr>
          <w:p w14:paraId="71FDE330" w14:textId="77777777" w:rsidR="00E90158" w:rsidRPr="009F02E3" w:rsidRDefault="00E90158" w:rsidP="00E90158">
            <w:pPr>
              <w:rPr>
                <w:color w:val="000000" w:themeColor="text1"/>
              </w:rPr>
            </w:pPr>
            <w:r w:rsidRPr="009F02E3">
              <w:rPr>
                <w:color w:val="000000" w:themeColor="text1"/>
              </w:rPr>
              <w:t> </w:t>
            </w:r>
          </w:p>
        </w:tc>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3401AA24" w14:textId="77777777" w:rsidR="00E90158" w:rsidRPr="009F02E3" w:rsidRDefault="00E90158" w:rsidP="00E90158">
            <w:pPr>
              <w:rPr>
                <w:color w:val="000000" w:themeColor="text1"/>
              </w:rPr>
            </w:pPr>
            <w:r w:rsidRPr="009F02E3">
              <w:rPr>
                <w:color w:val="000000" w:themeColor="text1"/>
              </w:rPr>
              <w:t> </w:t>
            </w:r>
          </w:p>
        </w:tc>
      </w:tr>
      <w:tr w:rsidR="009F02E3" w:rsidRPr="009F02E3" w14:paraId="0EE61C2D" w14:textId="77777777" w:rsidTr="00A85146">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08822F54" w14:textId="77777777" w:rsidR="00E90158" w:rsidRPr="009F02E3" w:rsidRDefault="00E90158" w:rsidP="00E90158">
            <w:pPr>
              <w:rPr>
                <w:color w:val="000000" w:themeColor="text1"/>
              </w:rPr>
            </w:pPr>
            <w:r w:rsidRPr="009F02E3">
              <w:rPr>
                <w:color w:val="000000" w:themeColor="text1"/>
              </w:rPr>
              <w:t>6. Detalizēts ieņēmumu un izdevumu aprēķins (ja nepieciešams, detalizētu ieņēmumu un izdevumu aprēķinu var pievienot anotācijas pielikumā):</w:t>
            </w:r>
          </w:p>
        </w:tc>
        <w:tc>
          <w:tcPr>
            <w:tcW w:w="3238"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B46A2" w14:textId="0694EEC8" w:rsidR="008B6D9B" w:rsidRPr="008B6D9B" w:rsidRDefault="008B6D9B" w:rsidP="008B6D9B">
            <w:pPr>
              <w:jc w:val="both"/>
              <w:rPr>
                <w:color w:val="000000" w:themeColor="text1"/>
              </w:rPr>
            </w:pPr>
            <w:r w:rsidRPr="008B6D9B">
              <w:rPr>
                <w:color w:val="000000" w:themeColor="text1"/>
              </w:rPr>
              <w:t>Detalizēts aprēķins, kas pamato pieprasīto līdzekļu apjomu atlīdzībai, darba vietu iekārtošanai un darba vietu uzturēšanai:  </w:t>
            </w:r>
            <w:r w:rsidRPr="008B6D9B">
              <w:rPr>
                <w:bCs/>
                <w:color w:val="000000" w:themeColor="text1"/>
              </w:rPr>
              <w:t xml:space="preserve">28 112 euro </w:t>
            </w:r>
            <w:r>
              <w:rPr>
                <w:bCs/>
                <w:color w:val="000000" w:themeColor="text1"/>
              </w:rPr>
              <w:t xml:space="preserve">2016. gadā uz 27 012 EUR </w:t>
            </w:r>
            <w:r w:rsidRPr="008B6D9B">
              <w:rPr>
                <w:bCs/>
                <w:color w:val="000000" w:themeColor="text1"/>
              </w:rPr>
              <w:t>gadā</w:t>
            </w:r>
            <w:r>
              <w:rPr>
                <w:bCs/>
                <w:color w:val="000000" w:themeColor="text1"/>
              </w:rPr>
              <w:t xml:space="preserve"> līdz atbalsta mehānisma beigām</w:t>
            </w:r>
            <w:r w:rsidRPr="008B6D9B">
              <w:rPr>
                <w:color w:val="000000" w:themeColor="text1"/>
              </w:rPr>
              <w:t xml:space="preserve">. </w:t>
            </w:r>
          </w:p>
          <w:p w14:paraId="65C1797C" w14:textId="77777777" w:rsidR="008B6D9B" w:rsidRPr="008B6D9B" w:rsidRDefault="008B6D9B" w:rsidP="008B6D9B">
            <w:pPr>
              <w:jc w:val="both"/>
              <w:rPr>
                <w:bCs/>
                <w:color w:val="000000" w:themeColor="text1"/>
              </w:rPr>
            </w:pPr>
            <w:r w:rsidRPr="008B6D9B">
              <w:rPr>
                <w:bCs/>
                <w:color w:val="000000" w:themeColor="text1"/>
              </w:rPr>
              <w:t xml:space="preserve">Atlīdzība 1 amata vietai 23 827 </w:t>
            </w:r>
            <w:r>
              <w:rPr>
                <w:bCs/>
                <w:color w:val="000000" w:themeColor="text1"/>
              </w:rPr>
              <w:t>EUR</w:t>
            </w:r>
            <w:r w:rsidRPr="008B6D9B">
              <w:rPr>
                <w:bCs/>
                <w:color w:val="000000" w:themeColor="text1"/>
              </w:rPr>
              <w:t xml:space="preserve"> (t.sk. atalgojums 18 386 </w:t>
            </w:r>
            <w:r>
              <w:rPr>
                <w:bCs/>
                <w:color w:val="000000" w:themeColor="text1"/>
              </w:rPr>
              <w:t>EUR</w:t>
            </w:r>
            <w:r w:rsidRPr="008B6D9B">
              <w:rPr>
                <w:bCs/>
                <w:color w:val="000000" w:themeColor="text1"/>
              </w:rPr>
              <w:t xml:space="preserve">): </w:t>
            </w:r>
          </w:p>
          <w:p w14:paraId="4A5E7292" w14:textId="77777777" w:rsidR="008B6D9B" w:rsidRPr="008B6D9B" w:rsidRDefault="008B6D9B" w:rsidP="008B6D9B">
            <w:pPr>
              <w:jc w:val="both"/>
              <w:rPr>
                <w:color w:val="000000" w:themeColor="text1"/>
              </w:rPr>
            </w:pPr>
            <w:r w:rsidRPr="008B6D9B">
              <w:rPr>
                <w:color w:val="000000" w:themeColor="text1"/>
              </w:rPr>
              <w:t xml:space="preserve">1 darbiniekam (36 III 12.mēnešalga) 1 442x12=17 304 </w:t>
            </w:r>
            <w:r>
              <w:rPr>
                <w:bCs/>
                <w:color w:val="000000" w:themeColor="text1"/>
              </w:rPr>
              <w:t>EUR</w:t>
            </w:r>
            <w:r w:rsidRPr="008B6D9B">
              <w:rPr>
                <w:color w:val="000000" w:themeColor="text1"/>
              </w:rPr>
              <w:t xml:space="preserve">, novērtēšanas prēmija 1 082 </w:t>
            </w:r>
            <w:r>
              <w:rPr>
                <w:bCs/>
                <w:color w:val="000000" w:themeColor="text1"/>
              </w:rPr>
              <w:t>EUR</w:t>
            </w:r>
            <w:r w:rsidRPr="008B6D9B">
              <w:rPr>
                <w:color w:val="000000" w:themeColor="text1"/>
              </w:rPr>
              <w:t>, atvaļinājuma pabalsts 721</w:t>
            </w:r>
            <w:r>
              <w:rPr>
                <w:bCs/>
                <w:color w:val="000000" w:themeColor="text1"/>
              </w:rPr>
              <w:t xml:space="preserve"> EUR</w:t>
            </w:r>
            <w:r w:rsidRPr="008B6D9B">
              <w:rPr>
                <w:color w:val="000000" w:themeColor="text1"/>
              </w:rPr>
              <w:t xml:space="preserve">, VSAOI 23.59% 4 507 </w:t>
            </w:r>
            <w:r>
              <w:rPr>
                <w:bCs/>
                <w:color w:val="000000" w:themeColor="text1"/>
              </w:rPr>
              <w:t>EUR</w:t>
            </w:r>
            <w:r w:rsidRPr="008B6D9B">
              <w:rPr>
                <w:color w:val="000000" w:themeColor="text1"/>
              </w:rPr>
              <w:t xml:space="preserve">, veselības apdroš. 213 </w:t>
            </w:r>
            <w:r>
              <w:rPr>
                <w:bCs/>
                <w:color w:val="000000" w:themeColor="text1"/>
              </w:rPr>
              <w:t>EUR</w:t>
            </w:r>
            <w:r w:rsidRPr="008B6D9B">
              <w:rPr>
                <w:color w:val="000000" w:themeColor="text1"/>
              </w:rPr>
              <w:t>.</w:t>
            </w:r>
          </w:p>
          <w:p w14:paraId="245E33CA" w14:textId="77777777" w:rsidR="008B6D9B" w:rsidRPr="008B6D9B" w:rsidRDefault="008B6D9B" w:rsidP="008B6D9B">
            <w:pPr>
              <w:jc w:val="both"/>
              <w:rPr>
                <w:rFonts w:ascii="Calibri" w:hAnsi="Calibri"/>
                <w:color w:val="000000" w:themeColor="text1"/>
                <w:lang w:eastAsia="en-US"/>
              </w:rPr>
            </w:pPr>
            <w:r w:rsidRPr="008B6D9B">
              <w:rPr>
                <w:bCs/>
                <w:color w:val="000000" w:themeColor="text1"/>
              </w:rPr>
              <w:t xml:space="preserve">Preces un pakalpojumi: 3 185 </w:t>
            </w:r>
            <w:r>
              <w:rPr>
                <w:bCs/>
                <w:color w:val="000000" w:themeColor="text1"/>
              </w:rPr>
              <w:t>EUR</w:t>
            </w:r>
            <w:r w:rsidRPr="008B6D9B">
              <w:rPr>
                <w:color w:val="000000" w:themeColor="text1"/>
              </w:rPr>
              <w:t xml:space="preserve">, tajā skaitā: sakaru pakalpojumi 1 024 </w:t>
            </w:r>
            <w:r>
              <w:rPr>
                <w:bCs/>
                <w:color w:val="000000" w:themeColor="text1"/>
              </w:rPr>
              <w:t>EUR</w:t>
            </w:r>
            <w:r w:rsidRPr="008B6D9B">
              <w:rPr>
                <w:color w:val="000000" w:themeColor="text1"/>
              </w:rPr>
              <w:t xml:space="preserve">, komunālie pakalpojumi 578 </w:t>
            </w:r>
            <w:r>
              <w:rPr>
                <w:bCs/>
                <w:color w:val="000000" w:themeColor="text1"/>
              </w:rPr>
              <w:t>EUR</w:t>
            </w:r>
            <w:r w:rsidRPr="008B6D9B">
              <w:rPr>
                <w:color w:val="000000" w:themeColor="text1"/>
              </w:rPr>
              <w:t xml:space="preserve">, iestādes uzturēšanas izdevumi 768 </w:t>
            </w:r>
            <w:r>
              <w:rPr>
                <w:bCs/>
                <w:color w:val="000000" w:themeColor="text1"/>
              </w:rPr>
              <w:t>EUR</w:t>
            </w:r>
            <w:r w:rsidRPr="008B6D9B">
              <w:rPr>
                <w:color w:val="000000" w:themeColor="text1"/>
              </w:rPr>
              <w:t xml:space="preserve">, biroja preces 70 </w:t>
            </w:r>
            <w:r>
              <w:rPr>
                <w:bCs/>
                <w:color w:val="000000" w:themeColor="text1"/>
              </w:rPr>
              <w:t>EUR</w:t>
            </w:r>
            <w:r w:rsidRPr="008B6D9B">
              <w:rPr>
                <w:color w:val="000000" w:themeColor="text1"/>
              </w:rPr>
              <w:t>,</w:t>
            </w:r>
            <w:r>
              <w:rPr>
                <w:color w:val="000000" w:themeColor="text1"/>
              </w:rPr>
              <w:t xml:space="preserve"> </w:t>
            </w:r>
            <w:r w:rsidRPr="008B6D9B">
              <w:rPr>
                <w:color w:val="000000" w:themeColor="text1"/>
              </w:rPr>
              <w:t xml:space="preserve">inventārs 745 </w:t>
            </w:r>
            <w:r>
              <w:rPr>
                <w:bCs/>
                <w:color w:val="000000" w:themeColor="text1"/>
              </w:rPr>
              <w:t>EUR</w:t>
            </w:r>
            <w:r w:rsidRPr="008B6D9B">
              <w:rPr>
                <w:color w:val="000000" w:themeColor="text1"/>
              </w:rPr>
              <w:t xml:space="preserve"> (darba krēsls 185 </w:t>
            </w:r>
            <w:r>
              <w:rPr>
                <w:bCs/>
                <w:color w:val="000000" w:themeColor="text1"/>
              </w:rPr>
              <w:t>EUR</w:t>
            </w:r>
            <w:r w:rsidRPr="008B6D9B">
              <w:rPr>
                <w:color w:val="000000" w:themeColor="text1"/>
              </w:rPr>
              <w:t xml:space="preserve">, monitors 190 </w:t>
            </w:r>
            <w:r>
              <w:rPr>
                <w:bCs/>
                <w:color w:val="000000" w:themeColor="text1"/>
              </w:rPr>
              <w:t>EUR</w:t>
            </w:r>
            <w:r w:rsidRPr="008B6D9B">
              <w:rPr>
                <w:color w:val="000000" w:themeColor="text1"/>
              </w:rPr>
              <w:t xml:space="preserve">, printeris 90 </w:t>
            </w:r>
            <w:r>
              <w:rPr>
                <w:bCs/>
                <w:color w:val="000000" w:themeColor="text1"/>
              </w:rPr>
              <w:t>EUR</w:t>
            </w:r>
            <w:r w:rsidRPr="008B6D9B">
              <w:rPr>
                <w:color w:val="000000" w:themeColor="text1"/>
              </w:rPr>
              <w:t xml:space="preserve">, telefons 70 </w:t>
            </w:r>
            <w:r>
              <w:rPr>
                <w:bCs/>
                <w:color w:val="000000" w:themeColor="text1"/>
              </w:rPr>
              <w:t>EUR</w:t>
            </w:r>
            <w:r w:rsidRPr="008B6D9B">
              <w:rPr>
                <w:color w:val="000000" w:themeColor="text1"/>
              </w:rPr>
              <w:t xml:space="preserve">, dokumentu skapis 210 </w:t>
            </w:r>
            <w:r>
              <w:rPr>
                <w:bCs/>
                <w:color w:val="000000" w:themeColor="text1"/>
              </w:rPr>
              <w:t>EUR</w:t>
            </w:r>
            <w:r w:rsidRPr="008B6D9B">
              <w:rPr>
                <w:color w:val="000000" w:themeColor="text1"/>
              </w:rPr>
              <w:t>.</w:t>
            </w:r>
          </w:p>
          <w:p w14:paraId="055E54C1" w14:textId="4CF5A3AC" w:rsidR="00E90158" w:rsidRPr="009F02E3" w:rsidRDefault="008B6D9B" w:rsidP="008B6D9B">
            <w:pPr>
              <w:rPr>
                <w:color w:val="000000" w:themeColor="text1"/>
              </w:rPr>
            </w:pPr>
            <w:r w:rsidRPr="008B6D9B">
              <w:rPr>
                <w:bCs/>
                <w:color w:val="000000" w:themeColor="text1"/>
              </w:rPr>
              <w:t xml:space="preserve">Kapitālie izdevumi: 1 100 </w:t>
            </w:r>
            <w:r>
              <w:rPr>
                <w:bCs/>
                <w:color w:val="000000" w:themeColor="text1"/>
              </w:rPr>
              <w:t>EUR</w:t>
            </w:r>
            <w:r w:rsidRPr="008B6D9B">
              <w:rPr>
                <w:color w:val="000000" w:themeColor="text1"/>
              </w:rPr>
              <w:t xml:space="preserve"> (darba galds 300 </w:t>
            </w:r>
            <w:r>
              <w:rPr>
                <w:bCs/>
                <w:color w:val="000000" w:themeColor="text1"/>
              </w:rPr>
              <w:t>EUR</w:t>
            </w:r>
            <w:r w:rsidRPr="008B6D9B">
              <w:rPr>
                <w:color w:val="000000" w:themeColor="text1"/>
              </w:rPr>
              <w:t xml:space="preserve">, dators 800 </w:t>
            </w:r>
            <w:r>
              <w:rPr>
                <w:bCs/>
                <w:color w:val="000000" w:themeColor="text1"/>
              </w:rPr>
              <w:t>EUR</w:t>
            </w:r>
            <w:r w:rsidRPr="008B6D9B">
              <w:rPr>
                <w:color w:val="000000" w:themeColor="text1"/>
              </w:rPr>
              <w:t>).</w:t>
            </w:r>
          </w:p>
        </w:tc>
      </w:tr>
      <w:tr w:rsidR="009F02E3" w:rsidRPr="009F02E3" w14:paraId="0F6BE17B" w14:textId="77777777" w:rsidTr="00A85146">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2CD39655" w14:textId="77777777" w:rsidR="00E90158" w:rsidRPr="009F02E3" w:rsidRDefault="00E90158" w:rsidP="00E90158">
            <w:pPr>
              <w:rPr>
                <w:color w:val="000000" w:themeColor="text1"/>
              </w:rPr>
            </w:pPr>
            <w:r w:rsidRPr="009F02E3">
              <w:rPr>
                <w:color w:val="000000" w:themeColor="text1"/>
              </w:rPr>
              <w:t>6.1. detalizēts ieņēmumu aprēķins</w:t>
            </w:r>
          </w:p>
        </w:tc>
        <w:tc>
          <w:tcPr>
            <w:tcW w:w="3238"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3B0642" w14:textId="77777777" w:rsidR="00E90158" w:rsidRPr="009F02E3" w:rsidRDefault="00E90158" w:rsidP="00E90158">
            <w:pPr>
              <w:rPr>
                <w:color w:val="000000" w:themeColor="text1"/>
              </w:rPr>
            </w:pPr>
          </w:p>
        </w:tc>
      </w:tr>
      <w:tr w:rsidR="009F02E3" w:rsidRPr="009F02E3" w14:paraId="55A3E2B3" w14:textId="77777777" w:rsidTr="00A85146">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38B5D472" w14:textId="77777777" w:rsidR="00E90158" w:rsidRPr="009F02E3" w:rsidRDefault="00E90158" w:rsidP="00E90158">
            <w:pPr>
              <w:rPr>
                <w:color w:val="000000" w:themeColor="text1"/>
              </w:rPr>
            </w:pPr>
            <w:r w:rsidRPr="009F02E3">
              <w:rPr>
                <w:color w:val="000000" w:themeColor="text1"/>
              </w:rPr>
              <w:t>6.2. detalizēts izdevumu aprēķins</w:t>
            </w:r>
          </w:p>
        </w:tc>
        <w:tc>
          <w:tcPr>
            <w:tcW w:w="3238"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A3EC10" w14:textId="77777777" w:rsidR="00E90158" w:rsidRPr="009F02E3" w:rsidRDefault="00E90158" w:rsidP="00E90158">
            <w:pPr>
              <w:rPr>
                <w:color w:val="000000" w:themeColor="text1"/>
              </w:rPr>
            </w:pPr>
          </w:p>
        </w:tc>
      </w:tr>
      <w:tr w:rsidR="009F02E3" w:rsidRPr="009F02E3" w14:paraId="135C4A58" w14:textId="77777777" w:rsidTr="00A85146">
        <w:trPr>
          <w:trHeight w:val="555"/>
        </w:trPr>
        <w:tc>
          <w:tcPr>
            <w:tcW w:w="1762" w:type="pct"/>
            <w:tcBorders>
              <w:top w:val="outset" w:sz="6" w:space="0" w:color="414142"/>
              <w:left w:val="outset" w:sz="6" w:space="0" w:color="414142"/>
              <w:bottom w:val="outset" w:sz="6" w:space="0" w:color="414142"/>
              <w:right w:val="outset" w:sz="6" w:space="0" w:color="414142"/>
            </w:tcBorders>
            <w:shd w:val="clear" w:color="auto" w:fill="FFFFFF"/>
            <w:hideMark/>
          </w:tcPr>
          <w:p w14:paraId="0B3CD269" w14:textId="77777777" w:rsidR="00E90158" w:rsidRPr="009F02E3" w:rsidRDefault="00E90158" w:rsidP="00E90158">
            <w:pPr>
              <w:rPr>
                <w:color w:val="000000" w:themeColor="text1"/>
              </w:rPr>
            </w:pPr>
            <w:r w:rsidRPr="009F02E3">
              <w:rPr>
                <w:color w:val="000000" w:themeColor="text1"/>
              </w:rPr>
              <w:t>7. Cita informācija</w:t>
            </w:r>
          </w:p>
        </w:tc>
        <w:tc>
          <w:tcPr>
            <w:tcW w:w="323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CBD8EAB" w14:textId="07B4C476" w:rsidR="00E90158" w:rsidRPr="009F02E3" w:rsidRDefault="00E90158" w:rsidP="00E90158">
            <w:pPr>
              <w:jc w:val="both"/>
              <w:rPr>
                <w:color w:val="000000" w:themeColor="text1"/>
              </w:rPr>
            </w:pPr>
            <w:r w:rsidRPr="009F02E3">
              <w:rPr>
                <w:color w:val="000000" w:themeColor="text1"/>
              </w:rPr>
              <w:t xml:space="preserve">Ja minimālā </w:t>
            </w:r>
            <w:r w:rsidRPr="009F02E3">
              <w:rPr>
                <w:bCs/>
                <w:color w:val="000000" w:themeColor="text1"/>
                <w:szCs w:val="28"/>
              </w:rPr>
              <w:t xml:space="preserve">elektroenerģijas patēriņa slieksnis tiek noteikts </w:t>
            </w:r>
            <w:r w:rsidRPr="009F02E3">
              <w:rPr>
                <w:b/>
                <w:bCs/>
                <w:color w:val="000000" w:themeColor="text1"/>
                <w:szCs w:val="28"/>
              </w:rPr>
              <w:t>10 GWh</w:t>
            </w:r>
            <w:r w:rsidRPr="009F02E3">
              <w:rPr>
                <w:color w:val="000000" w:themeColor="text1"/>
              </w:rPr>
              <w:t xml:space="preserve"> un, ja 2015. gadā darbību veic AS „KVV Liepājas metalurgs”, kas ir būtisks elektroenerģijas patērētājs un attiecīgi arī OIK maksātājs Latvijā, ietekme uz elektroenerģijas kopējo cenu un OIK netiek prognozēta, taču ir nepieciešamība pēc valsts pamatbudžeta līdzekļiem, kā tas prognozēts anotācijas III¹. sadaļas 2.1. apakšpunktā. Gadījumā, ja AS „KVV Liepājas metalurgs” savu darbību neveic iepriekš plānotajā apjomā, tad atbalsta </w:t>
            </w:r>
            <w:r w:rsidRPr="009F02E3">
              <w:rPr>
                <w:color w:val="000000" w:themeColor="text1"/>
              </w:rPr>
              <w:lastRenderedPageBreak/>
              <w:t xml:space="preserve">mehānisma nodrošināšanai būs nepieciešams plānots līdzekļu pārdali no AS “Latvenergo” dividendēm, palielinot </w:t>
            </w:r>
            <w:r w:rsidR="000F6CDC" w:rsidRPr="009F02E3">
              <w:rPr>
                <w:color w:val="000000" w:themeColor="text1"/>
                <w:shd w:val="clear" w:color="auto" w:fill="FFFFFF"/>
              </w:rPr>
              <w:t xml:space="preserve">dividendēs izmaksājamās peļņas daļas </w:t>
            </w:r>
            <w:r w:rsidR="000F6CDC" w:rsidRPr="009F02E3">
              <w:rPr>
                <w:color w:val="000000" w:themeColor="text1"/>
              </w:rPr>
              <w:t>iemaksu</w:t>
            </w:r>
            <w:r w:rsidRPr="009F02E3">
              <w:rPr>
                <w:color w:val="000000" w:themeColor="text1"/>
              </w:rPr>
              <w:t xml:space="preserve"> valsts budžetā.</w:t>
            </w:r>
          </w:p>
          <w:p w14:paraId="1F172252" w14:textId="77777777" w:rsidR="00E90158" w:rsidRPr="009F02E3" w:rsidRDefault="00E90158" w:rsidP="00E90158">
            <w:pPr>
              <w:jc w:val="both"/>
              <w:rPr>
                <w:color w:val="000000" w:themeColor="text1"/>
              </w:rPr>
            </w:pPr>
            <w:r w:rsidRPr="009F02E3">
              <w:rPr>
                <w:color w:val="000000" w:themeColor="text1"/>
              </w:rPr>
              <w:t>Saskaņā ar Ministru kabineta 2014. gada 19. novembra sēdes (prot.nr.63, 23.§) 2.2. apakšpunktu Ekonomikas ministrijai valsts budžeta 2016. gadam projekta sagatavošanas procesā jāiesniedz Ministru kabinetā priekšlikumus par nepieciešamo valsts budžeta finansējumu elektroenerģijas lietotāju atbalstam 2016. gadā un turpmākajos gados.</w:t>
            </w:r>
          </w:p>
          <w:p w14:paraId="1E6C75C4" w14:textId="20AC2ED2" w:rsidR="00FE164A" w:rsidRDefault="00FE164A" w:rsidP="00E90158">
            <w:pPr>
              <w:jc w:val="both"/>
              <w:rPr>
                <w:color w:val="000000" w:themeColor="text1"/>
              </w:rPr>
            </w:pPr>
            <w:r w:rsidRPr="009F02E3">
              <w:rPr>
                <w:color w:val="000000" w:themeColor="text1"/>
              </w:rPr>
              <w:t xml:space="preserve">Ja visi komersanti Latvijā </w:t>
            </w:r>
            <w:r w:rsidRPr="009F02E3">
              <w:rPr>
                <w:bCs/>
                <w:color w:val="000000" w:themeColor="text1"/>
                <w:szCs w:val="28"/>
              </w:rPr>
              <w:t xml:space="preserve">ar vidējo gada elektroenerģijas patēriņu vismaz </w:t>
            </w:r>
            <w:r w:rsidRPr="009F02E3">
              <w:rPr>
                <w:b/>
                <w:bCs/>
                <w:color w:val="000000" w:themeColor="text1"/>
                <w:szCs w:val="28"/>
              </w:rPr>
              <w:t>10 GWh</w:t>
            </w:r>
            <w:r w:rsidRPr="009F02E3">
              <w:rPr>
                <w:bCs/>
                <w:color w:val="000000" w:themeColor="text1"/>
                <w:szCs w:val="28"/>
              </w:rPr>
              <w:t xml:space="preserve"> apjomā, kas atbilst visiem noteikumu projektā izvirzītajiem kvalificēšanās kritērijiem iegūst tiesības uz samazinātu līdzdalību izdevumu kompensēšanai publiskajam tirgotājam, provizoriski </w:t>
            </w:r>
            <w:r w:rsidR="00AD2D6E">
              <w:rPr>
                <w:bCs/>
                <w:color w:val="000000" w:themeColor="text1"/>
                <w:szCs w:val="28"/>
              </w:rPr>
              <w:t>palielinot pārējo elektroenerģijas lietotāju iemaksu vai attiecīgi budžeta dotāciju</w:t>
            </w:r>
            <w:r w:rsidRPr="009F02E3">
              <w:rPr>
                <w:bCs/>
                <w:color w:val="000000" w:themeColor="text1"/>
                <w:szCs w:val="28"/>
              </w:rPr>
              <w:t xml:space="preserve"> </w:t>
            </w:r>
            <w:r w:rsidRPr="009F02E3">
              <w:rPr>
                <w:color w:val="000000" w:themeColor="text1"/>
              </w:rPr>
              <w:t xml:space="preserve">laika posmā no 2016.-2018. gadam par </w:t>
            </w:r>
            <w:r w:rsidRPr="009F02E3">
              <w:rPr>
                <w:b/>
                <w:color w:val="000000" w:themeColor="text1"/>
              </w:rPr>
              <w:t>50,25</w:t>
            </w:r>
            <w:r w:rsidRPr="009F02E3">
              <w:rPr>
                <w:color w:val="000000" w:themeColor="text1"/>
              </w:rPr>
              <w:t xml:space="preserve"> </w:t>
            </w:r>
            <w:r w:rsidRPr="009F02E3">
              <w:rPr>
                <w:b/>
                <w:color w:val="000000" w:themeColor="text1"/>
              </w:rPr>
              <w:t>milj. EUR</w:t>
            </w:r>
            <w:r w:rsidRPr="009F02E3">
              <w:rPr>
                <w:color w:val="000000" w:themeColor="text1"/>
              </w:rPr>
              <w:t>.</w:t>
            </w:r>
          </w:p>
          <w:p w14:paraId="28B7781A" w14:textId="77777777" w:rsidR="003D56E0" w:rsidRDefault="003D56E0" w:rsidP="00E90158">
            <w:pPr>
              <w:jc w:val="both"/>
              <w:rPr>
                <w:color w:val="000000" w:themeColor="text1"/>
              </w:rPr>
            </w:pPr>
          </w:p>
          <w:tbl>
            <w:tblPr>
              <w:tblStyle w:val="TableGrid"/>
              <w:tblW w:w="0" w:type="auto"/>
              <w:tblLook w:val="04A0" w:firstRow="1" w:lastRow="0" w:firstColumn="1" w:lastColumn="0" w:noHBand="0" w:noVBand="1"/>
            </w:tblPr>
            <w:tblGrid>
              <w:gridCol w:w="3159"/>
              <w:gridCol w:w="3146"/>
            </w:tblGrid>
            <w:tr w:rsidR="003D56E0" w14:paraId="0AFF17C1" w14:textId="77777777" w:rsidTr="002E5282">
              <w:tc>
                <w:tcPr>
                  <w:tcW w:w="3176" w:type="dxa"/>
                </w:tcPr>
                <w:p w14:paraId="730CA8BA" w14:textId="77777777" w:rsidR="003D56E0" w:rsidRDefault="003D56E0" w:rsidP="003D56E0">
                  <w:pPr>
                    <w:jc w:val="both"/>
                    <w:rPr>
                      <w:color w:val="000000" w:themeColor="text1"/>
                    </w:rPr>
                  </w:pPr>
                  <w:r>
                    <w:rPr>
                      <w:bCs/>
                      <w:color w:val="000000" w:themeColor="text1"/>
                      <w:szCs w:val="28"/>
                    </w:rPr>
                    <w:t>E</w:t>
                  </w:r>
                  <w:r w:rsidRPr="009F02E3">
                    <w:rPr>
                      <w:bCs/>
                      <w:color w:val="000000" w:themeColor="text1"/>
                      <w:szCs w:val="28"/>
                    </w:rPr>
                    <w:t>lektroenerģijas</w:t>
                  </w:r>
                  <w:r>
                    <w:rPr>
                      <w:bCs/>
                      <w:color w:val="000000" w:themeColor="text1"/>
                      <w:szCs w:val="28"/>
                    </w:rPr>
                    <w:t xml:space="preserve"> </w:t>
                  </w:r>
                  <w:r w:rsidRPr="009F02E3">
                    <w:rPr>
                      <w:bCs/>
                      <w:color w:val="000000" w:themeColor="text1"/>
                      <w:szCs w:val="28"/>
                    </w:rPr>
                    <w:t>patēriņ</w:t>
                  </w:r>
                  <w:r>
                    <w:rPr>
                      <w:bCs/>
                      <w:color w:val="000000" w:themeColor="text1"/>
                      <w:szCs w:val="28"/>
                    </w:rPr>
                    <w:t>a</w:t>
                  </w:r>
                  <w:r w:rsidRPr="009F02E3">
                    <w:rPr>
                      <w:bCs/>
                      <w:color w:val="000000" w:themeColor="text1"/>
                      <w:szCs w:val="28"/>
                    </w:rPr>
                    <w:t xml:space="preserve"> </w:t>
                  </w:r>
                  <w:r>
                    <w:rPr>
                      <w:bCs/>
                      <w:color w:val="000000" w:themeColor="text1"/>
                      <w:szCs w:val="28"/>
                    </w:rPr>
                    <w:t>s</w:t>
                  </w:r>
                  <w:r>
                    <w:rPr>
                      <w:color w:val="000000" w:themeColor="text1"/>
                    </w:rPr>
                    <w:t>lieksnis</w:t>
                  </w:r>
                </w:p>
              </w:tc>
              <w:tc>
                <w:tcPr>
                  <w:tcW w:w="3176" w:type="dxa"/>
                </w:tcPr>
                <w:p w14:paraId="47B1CC80" w14:textId="2C87F1A0" w:rsidR="003D56E0" w:rsidRDefault="003D56E0" w:rsidP="003D56E0">
                  <w:pPr>
                    <w:jc w:val="both"/>
                    <w:rPr>
                      <w:color w:val="000000" w:themeColor="text1"/>
                    </w:rPr>
                  </w:pPr>
                  <w:r>
                    <w:rPr>
                      <w:color w:val="000000" w:themeColor="text1"/>
                    </w:rPr>
                    <w:t>10 GWh</w:t>
                  </w:r>
                </w:p>
              </w:tc>
            </w:tr>
            <w:tr w:rsidR="003D56E0" w14:paraId="3F2D474F" w14:textId="77777777" w:rsidTr="002E5282">
              <w:tc>
                <w:tcPr>
                  <w:tcW w:w="3176" w:type="dxa"/>
                </w:tcPr>
                <w:p w14:paraId="773F0500" w14:textId="77777777" w:rsidR="003D56E0" w:rsidRDefault="003D56E0" w:rsidP="003D56E0">
                  <w:pPr>
                    <w:jc w:val="both"/>
                    <w:rPr>
                      <w:color w:val="000000" w:themeColor="text1"/>
                    </w:rPr>
                  </w:pPr>
                  <w:r>
                    <w:rPr>
                      <w:color w:val="000000" w:themeColor="text1"/>
                    </w:rPr>
                    <w:t>Atbalstāmo uzņēmumu skaits</w:t>
                  </w:r>
                </w:p>
              </w:tc>
              <w:tc>
                <w:tcPr>
                  <w:tcW w:w="3176" w:type="dxa"/>
                </w:tcPr>
                <w:p w14:paraId="47AFD28D" w14:textId="10AD7F7E" w:rsidR="003D56E0" w:rsidRDefault="003D56E0" w:rsidP="003D56E0">
                  <w:pPr>
                    <w:jc w:val="both"/>
                    <w:rPr>
                      <w:color w:val="000000" w:themeColor="text1"/>
                    </w:rPr>
                  </w:pPr>
                  <w:r>
                    <w:rPr>
                      <w:color w:val="000000" w:themeColor="text1"/>
                    </w:rPr>
                    <w:t>48</w:t>
                  </w:r>
                </w:p>
              </w:tc>
            </w:tr>
            <w:tr w:rsidR="003D56E0" w14:paraId="7F257AFE" w14:textId="77777777" w:rsidTr="002E5282">
              <w:tc>
                <w:tcPr>
                  <w:tcW w:w="3176" w:type="dxa"/>
                </w:tcPr>
                <w:p w14:paraId="4715849B" w14:textId="77777777" w:rsidR="003D56E0" w:rsidRDefault="003D56E0" w:rsidP="003D56E0">
                  <w:pPr>
                    <w:jc w:val="both"/>
                    <w:rPr>
                      <w:color w:val="000000" w:themeColor="text1"/>
                    </w:rPr>
                  </w:pPr>
                  <w:r>
                    <w:rPr>
                      <w:color w:val="000000" w:themeColor="text1"/>
                    </w:rPr>
                    <w:t>Kopējais patēriņš gadā</w:t>
                  </w:r>
                </w:p>
              </w:tc>
              <w:tc>
                <w:tcPr>
                  <w:tcW w:w="3176" w:type="dxa"/>
                </w:tcPr>
                <w:p w14:paraId="1F8CFF29" w14:textId="17C5A89D" w:rsidR="003D56E0" w:rsidRDefault="003D56E0" w:rsidP="003D56E0">
                  <w:pPr>
                    <w:jc w:val="both"/>
                    <w:rPr>
                      <w:color w:val="000000" w:themeColor="text1"/>
                    </w:rPr>
                  </w:pPr>
                  <w:r>
                    <w:rPr>
                      <w:color w:val="000000" w:themeColor="text1"/>
                    </w:rPr>
                    <w:t>~ 1240 GWh</w:t>
                  </w:r>
                </w:p>
              </w:tc>
            </w:tr>
            <w:tr w:rsidR="003D56E0" w14:paraId="2D1D2B50" w14:textId="77777777" w:rsidTr="002E5282">
              <w:tc>
                <w:tcPr>
                  <w:tcW w:w="3176" w:type="dxa"/>
                </w:tcPr>
                <w:p w14:paraId="5BEC5DD4" w14:textId="77777777" w:rsidR="003D56E0" w:rsidRDefault="003D56E0" w:rsidP="003D56E0">
                  <w:pPr>
                    <w:jc w:val="both"/>
                    <w:rPr>
                      <w:color w:val="000000" w:themeColor="text1"/>
                    </w:rPr>
                  </w:pPr>
                  <w:r>
                    <w:rPr>
                      <w:color w:val="000000" w:themeColor="text1"/>
                    </w:rPr>
                    <w:t>Kopējais patēriņš, kuram piemērota atlaide, gadā</w:t>
                  </w:r>
                </w:p>
              </w:tc>
              <w:tc>
                <w:tcPr>
                  <w:tcW w:w="3176" w:type="dxa"/>
                </w:tcPr>
                <w:p w14:paraId="15D87C17" w14:textId="45F37AB6" w:rsidR="003D56E0" w:rsidRDefault="003D56E0" w:rsidP="003D56E0">
                  <w:pPr>
                    <w:jc w:val="both"/>
                    <w:rPr>
                      <w:color w:val="000000" w:themeColor="text1"/>
                    </w:rPr>
                  </w:pPr>
                  <w:r>
                    <w:rPr>
                      <w:color w:val="000000" w:themeColor="text1"/>
                    </w:rPr>
                    <w:t>~ 760 GWh</w:t>
                  </w:r>
                </w:p>
              </w:tc>
            </w:tr>
          </w:tbl>
          <w:p w14:paraId="4908D628" w14:textId="77777777" w:rsidR="003D56E0" w:rsidRPr="009F02E3" w:rsidRDefault="003D56E0" w:rsidP="00E90158">
            <w:pPr>
              <w:jc w:val="both"/>
              <w:rPr>
                <w:color w:val="000000" w:themeColor="text1"/>
              </w:rPr>
            </w:pPr>
          </w:p>
          <w:p w14:paraId="14219DDC" w14:textId="1A722195" w:rsidR="00E90158" w:rsidRPr="009F02E3" w:rsidRDefault="00E90158" w:rsidP="00E90158">
            <w:pPr>
              <w:jc w:val="both"/>
              <w:rPr>
                <w:color w:val="000000" w:themeColor="text1"/>
              </w:rPr>
            </w:pPr>
            <w:r w:rsidRPr="009F02E3">
              <w:rPr>
                <w:color w:val="000000" w:themeColor="text1"/>
              </w:rPr>
              <w:t>Saskaņā ar akciju sabiedrības „KVV Liepājas metalurgs” sniegtajiem aprēķiniem, konkrētais uzņēmums noteikuma projekta piedāvātā atbalsta mehānisma ieviešanas rezultātā radītu papildu budžeta ieņēmumus 4,9 milj. EUR pievienotās vērtības nodokļa maksājumu veidā katru gadu, nodrošinot lielāku ražošanas apjomu, ņemot vērā atbalsta mehānisma ietvaros nodrošināto elektroenerģijas kopējās cenas samazinājumu. Tāpat prognozējams, ka arī citi energoietilpīgie apstrādes rūpniecības uzņēmumi (piemēram, akciju sabiedrība „Valmieras stikla šķiedra”, akciju sabiedrība „Cemex”, akciju sabiedrība „Latvijas finieris”, u.c.) varētu radīt papildu pievienotās vērtības nodokļa ieņēmumus 1,1 milj. EUR apjomā valsts budžetā katru gadu, kas rastos attiecīgi pieaugot uzņēmumu ražošanas apjomam.</w:t>
            </w:r>
          </w:p>
          <w:p w14:paraId="3760B068" w14:textId="277F0641" w:rsidR="00E90158" w:rsidRPr="009F02E3" w:rsidRDefault="00E90158" w:rsidP="00987DAD">
            <w:pPr>
              <w:jc w:val="both"/>
              <w:rPr>
                <w:color w:val="000000" w:themeColor="text1"/>
              </w:rPr>
            </w:pPr>
            <w:r w:rsidRPr="009F02E3">
              <w:rPr>
                <w:color w:val="000000" w:themeColor="text1"/>
              </w:rPr>
              <w:t xml:space="preserve">Ja minimālā </w:t>
            </w:r>
            <w:r w:rsidRPr="009F02E3">
              <w:rPr>
                <w:bCs/>
                <w:color w:val="000000" w:themeColor="text1"/>
                <w:szCs w:val="28"/>
              </w:rPr>
              <w:t xml:space="preserve">elektroenerģijas patēriņa slieksnis tiek noteikts </w:t>
            </w:r>
            <w:r w:rsidRPr="009F02E3">
              <w:rPr>
                <w:b/>
                <w:bCs/>
                <w:color w:val="000000" w:themeColor="text1"/>
                <w:szCs w:val="28"/>
              </w:rPr>
              <w:t>10 GWh</w:t>
            </w:r>
            <w:r w:rsidR="00AD2D6E">
              <w:rPr>
                <w:b/>
                <w:bCs/>
                <w:color w:val="000000" w:themeColor="text1"/>
                <w:szCs w:val="28"/>
              </w:rPr>
              <w:t>,</w:t>
            </w:r>
            <w:r w:rsidRPr="009F02E3">
              <w:rPr>
                <w:b/>
                <w:color w:val="000000" w:themeColor="text1"/>
              </w:rPr>
              <w:t xml:space="preserve"> </w:t>
            </w:r>
            <w:r w:rsidRPr="009F02E3">
              <w:rPr>
                <w:color w:val="000000" w:themeColor="text1"/>
              </w:rPr>
              <w:t>atbalsta mehānisma administrēšanas un nepieciešamās pārbaudes veikšanai būtu nepieciešams izveidot papildu štata vietu, ņemot vērā pote</w:t>
            </w:r>
            <w:r w:rsidR="00987DAD">
              <w:rPr>
                <w:color w:val="000000" w:themeColor="text1"/>
              </w:rPr>
              <w:t>nciālo atbalsta saņēmēju skaitu un to administrēšanas procesu.</w:t>
            </w:r>
          </w:p>
        </w:tc>
      </w:tr>
    </w:tbl>
    <w:p w14:paraId="7F95E03D" w14:textId="77777777" w:rsidR="00D31EA1" w:rsidRPr="009F02E3" w:rsidRDefault="00D31EA1" w:rsidP="008667DC">
      <w:pPr>
        <w:rPr>
          <w:color w:val="000000" w:themeColor="text1"/>
        </w:rPr>
      </w:pPr>
    </w:p>
    <w:tbl>
      <w:tblPr>
        <w:tblStyle w:val="TableGrid"/>
        <w:tblW w:w="9924" w:type="dxa"/>
        <w:tblInd w:w="-318" w:type="dxa"/>
        <w:tblLook w:val="04A0" w:firstRow="1" w:lastRow="0" w:firstColumn="1" w:lastColumn="0" w:noHBand="0" w:noVBand="1"/>
      </w:tblPr>
      <w:tblGrid>
        <w:gridCol w:w="455"/>
        <w:gridCol w:w="3119"/>
        <w:gridCol w:w="6350"/>
      </w:tblGrid>
      <w:tr w:rsidR="009F02E3" w:rsidRPr="009F02E3" w14:paraId="140876B3" w14:textId="77777777" w:rsidTr="00F032FA">
        <w:tc>
          <w:tcPr>
            <w:tcW w:w="9924" w:type="dxa"/>
            <w:gridSpan w:val="3"/>
          </w:tcPr>
          <w:p w14:paraId="4B9AFDD3" w14:textId="77777777" w:rsidR="006C121E" w:rsidRPr="009F02E3" w:rsidRDefault="006C121E" w:rsidP="0061098D">
            <w:pPr>
              <w:jc w:val="center"/>
              <w:rPr>
                <w:b/>
                <w:color w:val="000000" w:themeColor="text1"/>
              </w:rPr>
            </w:pPr>
            <w:r w:rsidRPr="009F02E3">
              <w:rPr>
                <w:b/>
                <w:color w:val="000000" w:themeColor="text1"/>
              </w:rPr>
              <w:t>V. Tiesību akta projekta atbilstība Latvijas Republikas starptautiskajām saistībām</w:t>
            </w:r>
          </w:p>
        </w:tc>
      </w:tr>
      <w:tr w:rsidR="009F02E3" w:rsidRPr="009F02E3" w14:paraId="6CF3ADFD" w14:textId="77777777" w:rsidTr="00F032FA">
        <w:tc>
          <w:tcPr>
            <w:tcW w:w="455" w:type="dxa"/>
          </w:tcPr>
          <w:p w14:paraId="23BE6BD9" w14:textId="77777777" w:rsidR="006C121E" w:rsidRPr="009F02E3" w:rsidRDefault="006C121E" w:rsidP="0061098D">
            <w:pPr>
              <w:rPr>
                <w:color w:val="000000" w:themeColor="text1"/>
              </w:rPr>
            </w:pPr>
            <w:r w:rsidRPr="009F02E3">
              <w:rPr>
                <w:color w:val="000000" w:themeColor="text1"/>
              </w:rPr>
              <w:t>1.</w:t>
            </w:r>
          </w:p>
        </w:tc>
        <w:tc>
          <w:tcPr>
            <w:tcW w:w="3119" w:type="dxa"/>
          </w:tcPr>
          <w:p w14:paraId="5B3C2DDC" w14:textId="77777777" w:rsidR="006C121E" w:rsidRPr="009F02E3" w:rsidRDefault="006C121E" w:rsidP="0061098D">
            <w:pPr>
              <w:rPr>
                <w:color w:val="000000" w:themeColor="text1"/>
              </w:rPr>
            </w:pPr>
            <w:r w:rsidRPr="009F02E3">
              <w:rPr>
                <w:color w:val="000000" w:themeColor="text1"/>
              </w:rPr>
              <w:t>Saistības pret Eiropas Savienību</w:t>
            </w:r>
          </w:p>
        </w:tc>
        <w:tc>
          <w:tcPr>
            <w:tcW w:w="6350" w:type="dxa"/>
          </w:tcPr>
          <w:p w14:paraId="2EB83C72" w14:textId="77777777" w:rsidR="006C121E" w:rsidRPr="009F02E3" w:rsidRDefault="006C121E" w:rsidP="0061098D">
            <w:pPr>
              <w:rPr>
                <w:color w:val="000000" w:themeColor="text1"/>
              </w:rPr>
            </w:pPr>
            <w:r w:rsidRPr="009F02E3">
              <w:rPr>
                <w:color w:val="000000" w:themeColor="text1"/>
              </w:rPr>
              <w:t>Nav attiecināms.</w:t>
            </w:r>
          </w:p>
        </w:tc>
      </w:tr>
      <w:tr w:rsidR="009F02E3" w:rsidRPr="009F02E3" w14:paraId="744A1A04" w14:textId="77777777" w:rsidTr="00F032FA">
        <w:tc>
          <w:tcPr>
            <w:tcW w:w="455" w:type="dxa"/>
          </w:tcPr>
          <w:p w14:paraId="5B66B52D" w14:textId="77777777" w:rsidR="006C121E" w:rsidRPr="009F02E3" w:rsidRDefault="006C121E" w:rsidP="0061098D">
            <w:pPr>
              <w:rPr>
                <w:color w:val="000000" w:themeColor="text1"/>
              </w:rPr>
            </w:pPr>
            <w:r w:rsidRPr="009F02E3">
              <w:rPr>
                <w:color w:val="000000" w:themeColor="text1"/>
              </w:rPr>
              <w:t>2.</w:t>
            </w:r>
          </w:p>
        </w:tc>
        <w:tc>
          <w:tcPr>
            <w:tcW w:w="3119" w:type="dxa"/>
          </w:tcPr>
          <w:p w14:paraId="0E415957" w14:textId="77777777" w:rsidR="006C121E" w:rsidRPr="009F02E3" w:rsidRDefault="006C121E" w:rsidP="0061098D">
            <w:pPr>
              <w:rPr>
                <w:color w:val="000000" w:themeColor="text1"/>
              </w:rPr>
            </w:pPr>
            <w:r w:rsidRPr="009F02E3">
              <w:rPr>
                <w:color w:val="000000" w:themeColor="text1"/>
              </w:rPr>
              <w:t>Citas starptautiskās saistības</w:t>
            </w:r>
          </w:p>
        </w:tc>
        <w:tc>
          <w:tcPr>
            <w:tcW w:w="6350" w:type="dxa"/>
          </w:tcPr>
          <w:p w14:paraId="7C0D17D9" w14:textId="77777777" w:rsidR="006C121E" w:rsidRPr="009F02E3" w:rsidRDefault="006C121E" w:rsidP="0061098D">
            <w:pPr>
              <w:rPr>
                <w:color w:val="000000" w:themeColor="text1"/>
              </w:rPr>
            </w:pPr>
            <w:r w:rsidRPr="009F02E3">
              <w:rPr>
                <w:color w:val="000000" w:themeColor="text1"/>
              </w:rPr>
              <w:t>Nav attiecināms.</w:t>
            </w:r>
          </w:p>
          <w:p w14:paraId="1D58D758" w14:textId="77777777" w:rsidR="006C121E" w:rsidRPr="009F02E3" w:rsidRDefault="006C121E" w:rsidP="0061098D">
            <w:pPr>
              <w:rPr>
                <w:color w:val="000000" w:themeColor="text1"/>
              </w:rPr>
            </w:pPr>
          </w:p>
        </w:tc>
      </w:tr>
      <w:tr w:rsidR="009F02E3" w:rsidRPr="009F02E3" w14:paraId="59CD0A85" w14:textId="77777777" w:rsidTr="00F032FA">
        <w:tc>
          <w:tcPr>
            <w:tcW w:w="455" w:type="dxa"/>
          </w:tcPr>
          <w:p w14:paraId="59D4FD7E" w14:textId="77777777" w:rsidR="006C121E" w:rsidRPr="009F02E3" w:rsidRDefault="006C121E" w:rsidP="0061098D">
            <w:pPr>
              <w:rPr>
                <w:color w:val="000000" w:themeColor="text1"/>
              </w:rPr>
            </w:pPr>
            <w:r w:rsidRPr="009F02E3">
              <w:rPr>
                <w:color w:val="000000" w:themeColor="text1"/>
              </w:rPr>
              <w:lastRenderedPageBreak/>
              <w:t>3.</w:t>
            </w:r>
          </w:p>
        </w:tc>
        <w:tc>
          <w:tcPr>
            <w:tcW w:w="3119" w:type="dxa"/>
          </w:tcPr>
          <w:p w14:paraId="5B0DB64B" w14:textId="77777777" w:rsidR="006C121E" w:rsidRPr="009F02E3" w:rsidRDefault="006C121E" w:rsidP="0061098D">
            <w:pPr>
              <w:rPr>
                <w:color w:val="000000" w:themeColor="text1"/>
              </w:rPr>
            </w:pPr>
            <w:r w:rsidRPr="009F02E3">
              <w:rPr>
                <w:color w:val="000000" w:themeColor="text1"/>
              </w:rPr>
              <w:t>Cita informācija</w:t>
            </w:r>
          </w:p>
        </w:tc>
        <w:tc>
          <w:tcPr>
            <w:tcW w:w="6350" w:type="dxa"/>
          </w:tcPr>
          <w:p w14:paraId="38174E30" w14:textId="77777777" w:rsidR="006C121E" w:rsidRPr="009F02E3" w:rsidRDefault="006C121E" w:rsidP="0061098D">
            <w:pPr>
              <w:jc w:val="both"/>
              <w:rPr>
                <w:color w:val="000000" w:themeColor="text1"/>
              </w:rPr>
            </w:pPr>
            <w:r w:rsidRPr="009F02E3">
              <w:rPr>
                <w:color w:val="000000" w:themeColor="text1"/>
              </w:rPr>
              <w:t>Ministru kabineta noteikumu projekts ievēro Eiropas Komisijas paziņojumā “Pamatnostādnēs par valsts atbalstu vides aizsardzībai un enerģētikai 2014.-2020. gadam” (ES OV C/200, 28.06.2014)  izklāstītos nosacījumus, atbilstoši kuriem atbalstu enerģētikas un vides jomā var uzskatīt par saderīgu ar iekšējo tirgu saskaņā ar Līguma par  Eiropas Savienības darbību 107.panta 3.punkta c) apakšpunktam. Atbilstoši Pamatnostādņu 18.punkta j) apakšpunktam atbalsts, ko sniedz, samazinot līdzdalību elektroenerģijas no atjaunojamiem energoresursiem finansēšanā, var būt saderīgs ar iekšējo tirgu atbilstoši  Līguma par  Eiropas Savienības darbību 107.panta 3.punkta c) apakšpunktam.</w:t>
            </w:r>
          </w:p>
          <w:p w14:paraId="711F5356" w14:textId="77777777" w:rsidR="006C121E" w:rsidRPr="009F02E3" w:rsidRDefault="006C121E" w:rsidP="0061098D">
            <w:pPr>
              <w:jc w:val="both"/>
              <w:rPr>
                <w:color w:val="000000" w:themeColor="text1"/>
              </w:rPr>
            </w:pPr>
          </w:p>
        </w:tc>
      </w:tr>
    </w:tbl>
    <w:p w14:paraId="2A1968F5" w14:textId="77777777" w:rsidR="006C121E" w:rsidRPr="009F02E3" w:rsidRDefault="006C121E" w:rsidP="006C121E">
      <w:pPr>
        <w:rPr>
          <w:color w:val="000000" w:themeColor="text1"/>
        </w:rPr>
      </w:pPr>
    </w:p>
    <w:p w14:paraId="33C881F7" w14:textId="77777777" w:rsidR="00D31EA1" w:rsidRPr="009F02E3" w:rsidRDefault="00D31EA1" w:rsidP="008667DC">
      <w:pPr>
        <w:rPr>
          <w:color w:val="000000" w:themeColor="text1"/>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8"/>
        <w:gridCol w:w="3171"/>
        <w:gridCol w:w="6282"/>
      </w:tblGrid>
      <w:tr w:rsidR="009F02E3" w:rsidRPr="009F02E3" w14:paraId="6A286BB6" w14:textId="77777777" w:rsidTr="00C32216">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13581E" w14:textId="77777777" w:rsidR="009A289E" w:rsidRPr="009F02E3" w:rsidRDefault="009A289E">
            <w:pPr>
              <w:pStyle w:val="tvhtml"/>
              <w:spacing w:line="293" w:lineRule="atLeast"/>
              <w:jc w:val="center"/>
              <w:rPr>
                <w:b/>
                <w:bCs/>
                <w:color w:val="000000" w:themeColor="text1"/>
              </w:rPr>
            </w:pPr>
            <w:r w:rsidRPr="009F02E3">
              <w:rPr>
                <w:b/>
                <w:bCs/>
                <w:color w:val="000000" w:themeColor="text1"/>
              </w:rPr>
              <w:t>VI. Sabiedrības līdzdalība un komunikācijas aktivitātes</w:t>
            </w:r>
          </w:p>
        </w:tc>
      </w:tr>
      <w:tr w:rsidR="009F02E3" w:rsidRPr="009F02E3" w14:paraId="0755711E" w14:textId="77777777" w:rsidTr="00380920">
        <w:trPr>
          <w:trHeight w:val="97"/>
        </w:trPr>
        <w:tc>
          <w:tcPr>
            <w:tcW w:w="197" w:type="pct"/>
            <w:tcBorders>
              <w:top w:val="outset" w:sz="6" w:space="0" w:color="414142"/>
              <w:left w:val="outset" w:sz="6" w:space="0" w:color="414142"/>
              <w:bottom w:val="outset" w:sz="6" w:space="0" w:color="414142"/>
              <w:right w:val="outset" w:sz="6" w:space="0" w:color="414142"/>
            </w:tcBorders>
            <w:shd w:val="clear" w:color="auto" w:fill="FFFFFF"/>
            <w:hideMark/>
          </w:tcPr>
          <w:p w14:paraId="2BB905DA" w14:textId="77777777" w:rsidR="009A289E" w:rsidRPr="009F02E3" w:rsidRDefault="009A289E">
            <w:pPr>
              <w:rPr>
                <w:color w:val="000000" w:themeColor="text1"/>
              </w:rPr>
            </w:pPr>
            <w:r w:rsidRPr="009F02E3">
              <w:rPr>
                <w:color w:val="000000" w:themeColor="text1"/>
              </w:rPr>
              <w:t>1.</w:t>
            </w:r>
          </w:p>
        </w:tc>
        <w:tc>
          <w:tcPr>
            <w:tcW w:w="1611" w:type="pct"/>
            <w:tcBorders>
              <w:top w:val="outset" w:sz="6" w:space="0" w:color="414142"/>
              <w:left w:val="outset" w:sz="6" w:space="0" w:color="414142"/>
              <w:bottom w:val="outset" w:sz="6" w:space="0" w:color="414142"/>
              <w:right w:val="outset" w:sz="6" w:space="0" w:color="414142"/>
            </w:tcBorders>
            <w:shd w:val="clear" w:color="auto" w:fill="FFFFFF"/>
            <w:hideMark/>
          </w:tcPr>
          <w:p w14:paraId="742242C6" w14:textId="77777777" w:rsidR="009A289E" w:rsidRPr="009F02E3" w:rsidRDefault="009A289E">
            <w:pPr>
              <w:rPr>
                <w:color w:val="000000" w:themeColor="text1"/>
              </w:rPr>
            </w:pPr>
            <w:r w:rsidRPr="009F02E3">
              <w:rPr>
                <w:color w:val="000000" w:themeColor="text1"/>
              </w:rPr>
              <w:t>Plānotās sabiedrības līdzdalības un komunikācijas aktivitātes saistībā ar projektu</w:t>
            </w:r>
          </w:p>
        </w:tc>
        <w:tc>
          <w:tcPr>
            <w:tcW w:w="3192" w:type="pct"/>
            <w:tcBorders>
              <w:top w:val="outset" w:sz="6" w:space="0" w:color="414142"/>
              <w:left w:val="outset" w:sz="6" w:space="0" w:color="414142"/>
              <w:bottom w:val="outset" w:sz="6" w:space="0" w:color="414142"/>
              <w:right w:val="outset" w:sz="6" w:space="0" w:color="414142"/>
            </w:tcBorders>
            <w:shd w:val="clear" w:color="auto" w:fill="FFFFFF"/>
            <w:hideMark/>
          </w:tcPr>
          <w:p w14:paraId="6168AA2D" w14:textId="7D730B78" w:rsidR="009A289E" w:rsidRPr="009F02E3" w:rsidRDefault="009555C0" w:rsidP="009555C0">
            <w:pPr>
              <w:jc w:val="both"/>
              <w:rPr>
                <w:color w:val="000000" w:themeColor="text1"/>
              </w:rPr>
            </w:pPr>
            <w:r w:rsidRPr="009F02E3">
              <w:rPr>
                <w:color w:val="000000" w:themeColor="text1"/>
              </w:rPr>
              <w:t xml:space="preserve">Sabiedrība informēta par noteikumu projektu, izmantojot Ekonomikas ministrijas tīmekļa vietni, oficiālo </w:t>
            </w:r>
            <w:proofErr w:type="spellStart"/>
            <w:r w:rsidRPr="009F02E3">
              <w:rPr>
                <w:color w:val="000000" w:themeColor="text1"/>
              </w:rPr>
              <w:t>Twitter</w:t>
            </w:r>
            <w:proofErr w:type="spellEnd"/>
            <w:r w:rsidRPr="009F02E3">
              <w:rPr>
                <w:color w:val="000000" w:themeColor="text1"/>
              </w:rPr>
              <w:t xml:space="preserve"> kontu un nosūtīts paziņojums masu medijiem. Pēc projekta pieņemšanas paredzēts nosūtīt skaidrojošu informāciju masu medijiem.</w:t>
            </w:r>
            <w:r w:rsidRPr="009F02E3">
              <w:rPr>
                <w:rStyle w:val="apple-converted-space"/>
                <w:rFonts w:ascii="Arial" w:hAnsi="Arial" w:cs="Arial"/>
                <w:color w:val="000000" w:themeColor="text1"/>
                <w:sz w:val="20"/>
                <w:szCs w:val="20"/>
                <w:shd w:val="clear" w:color="auto" w:fill="F1F1F1"/>
              </w:rPr>
              <w:t> </w:t>
            </w:r>
          </w:p>
        </w:tc>
      </w:tr>
      <w:tr w:rsidR="009F02E3" w:rsidRPr="009F02E3" w14:paraId="4ABE16B4" w14:textId="77777777" w:rsidTr="00380920">
        <w:trPr>
          <w:trHeight w:val="330"/>
        </w:trPr>
        <w:tc>
          <w:tcPr>
            <w:tcW w:w="197" w:type="pct"/>
            <w:tcBorders>
              <w:top w:val="outset" w:sz="6" w:space="0" w:color="414142"/>
              <w:left w:val="outset" w:sz="6" w:space="0" w:color="414142"/>
              <w:bottom w:val="outset" w:sz="6" w:space="0" w:color="414142"/>
              <w:right w:val="outset" w:sz="6" w:space="0" w:color="414142"/>
            </w:tcBorders>
            <w:shd w:val="clear" w:color="auto" w:fill="FFFFFF"/>
            <w:hideMark/>
          </w:tcPr>
          <w:p w14:paraId="73E14D88" w14:textId="77777777" w:rsidR="009A289E" w:rsidRPr="009F02E3" w:rsidRDefault="009A289E">
            <w:pPr>
              <w:rPr>
                <w:color w:val="000000" w:themeColor="text1"/>
              </w:rPr>
            </w:pPr>
            <w:r w:rsidRPr="009F02E3">
              <w:rPr>
                <w:color w:val="000000" w:themeColor="text1"/>
              </w:rPr>
              <w:t>2.</w:t>
            </w:r>
          </w:p>
        </w:tc>
        <w:tc>
          <w:tcPr>
            <w:tcW w:w="1611" w:type="pct"/>
            <w:tcBorders>
              <w:top w:val="outset" w:sz="6" w:space="0" w:color="414142"/>
              <w:left w:val="outset" w:sz="6" w:space="0" w:color="414142"/>
              <w:bottom w:val="outset" w:sz="6" w:space="0" w:color="414142"/>
              <w:right w:val="outset" w:sz="6" w:space="0" w:color="414142"/>
            </w:tcBorders>
            <w:shd w:val="clear" w:color="auto" w:fill="FFFFFF"/>
            <w:hideMark/>
          </w:tcPr>
          <w:p w14:paraId="25685F1B" w14:textId="77777777" w:rsidR="009A289E" w:rsidRPr="009F02E3" w:rsidRDefault="009A289E">
            <w:pPr>
              <w:rPr>
                <w:color w:val="000000" w:themeColor="text1"/>
              </w:rPr>
            </w:pPr>
            <w:r w:rsidRPr="009F02E3">
              <w:rPr>
                <w:color w:val="000000" w:themeColor="text1"/>
              </w:rPr>
              <w:t>Sabiedrības līdzdalība projekta izstrādē</w:t>
            </w:r>
          </w:p>
        </w:tc>
        <w:tc>
          <w:tcPr>
            <w:tcW w:w="3192" w:type="pct"/>
            <w:tcBorders>
              <w:top w:val="outset" w:sz="6" w:space="0" w:color="414142"/>
              <w:left w:val="outset" w:sz="6" w:space="0" w:color="414142"/>
              <w:bottom w:val="outset" w:sz="6" w:space="0" w:color="414142"/>
              <w:right w:val="outset" w:sz="6" w:space="0" w:color="414142"/>
            </w:tcBorders>
            <w:shd w:val="clear" w:color="auto" w:fill="FFFFFF"/>
            <w:hideMark/>
          </w:tcPr>
          <w:p w14:paraId="4221926B" w14:textId="1CFAFA33" w:rsidR="009555C0" w:rsidRPr="009F02E3" w:rsidRDefault="009555C0" w:rsidP="00FD307C">
            <w:pPr>
              <w:suppressLineNumbers/>
              <w:jc w:val="both"/>
              <w:rPr>
                <w:color w:val="000000" w:themeColor="text1"/>
              </w:rPr>
            </w:pPr>
            <w:r w:rsidRPr="009F02E3">
              <w:rPr>
                <w:color w:val="000000" w:themeColor="text1"/>
              </w:rPr>
              <w:t>Noteikuma projekta izstrādes procesā noteikumu projekts kopš 2015. gada 27. marta ir publicēts Ekonomikas ministrijas tīmekļa vietnē.</w:t>
            </w:r>
          </w:p>
          <w:p w14:paraId="30155CA9" w14:textId="77777777" w:rsidR="00D83C5A" w:rsidRPr="009F02E3" w:rsidRDefault="00D83C5A" w:rsidP="00FD307C">
            <w:pPr>
              <w:suppressLineNumbers/>
              <w:jc w:val="both"/>
              <w:rPr>
                <w:color w:val="000000" w:themeColor="text1"/>
              </w:rPr>
            </w:pPr>
            <w:r w:rsidRPr="009F02E3">
              <w:rPr>
                <w:color w:val="000000" w:themeColor="text1"/>
              </w:rPr>
              <w:t>2015.</w:t>
            </w:r>
            <w:r w:rsidR="00745135" w:rsidRPr="009F02E3">
              <w:rPr>
                <w:color w:val="000000" w:themeColor="text1"/>
              </w:rPr>
              <w:t> </w:t>
            </w:r>
            <w:r w:rsidRPr="009F02E3">
              <w:rPr>
                <w:color w:val="000000" w:themeColor="text1"/>
              </w:rPr>
              <w:t>gada 13.</w:t>
            </w:r>
            <w:r w:rsidR="00745135" w:rsidRPr="009F02E3">
              <w:rPr>
                <w:color w:val="000000" w:themeColor="text1"/>
              </w:rPr>
              <w:t> </w:t>
            </w:r>
            <w:r w:rsidRPr="009F02E3">
              <w:rPr>
                <w:color w:val="000000" w:themeColor="text1"/>
              </w:rPr>
              <w:t xml:space="preserve">aprīlī prezentēts </w:t>
            </w:r>
            <w:r w:rsidR="00FD307C" w:rsidRPr="009F02E3">
              <w:rPr>
                <w:bCs/>
                <w:color w:val="000000" w:themeColor="text1"/>
              </w:rPr>
              <w:t xml:space="preserve">Tautsaimniecības padomes Enerģētikas komitejas locekļiem (Latvijas Brīvo Arodbiedrību Savienība, AS „Latvijas Gāze”,  </w:t>
            </w:r>
            <w:r w:rsidR="00FD307C" w:rsidRPr="009F02E3">
              <w:rPr>
                <w:color w:val="000000" w:themeColor="text1"/>
              </w:rPr>
              <w:t xml:space="preserve">AS „Augstsprieguma tīkls”, biedrība „Latvijas Atjaunojamās Enerģijas Federācija”, </w:t>
            </w:r>
            <w:r w:rsidR="00FD307C" w:rsidRPr="009F02E3">
              <w:rPr>
                <w:bCs/>
                <w:color w:val="000000" w:themeColor="text1"/>
              </w:rPr>
              <w:t xml:space="preserve">Sabiedriskās politikas centram „PROVIDUS”, </w:t>
            </w:r>
            <w:r w:rsidR="00FD307C" w:rsidRPr="009F02E3">
              <w:rPr>
                <w:rStyle w:val="st1"/>
                <w:bCs/>
                <w:color w:val="000000" w:themeColor="text1"/>
              </w:rPr>
              <w:t xml:space="preserve">AS „Latvenergo”, AS „Rīgas Siltums” Latvijas Energoefektivitātes asociācija (LATEA), </w:t>
            </w:r>
            <w:r w:rsidR="00FD307C" w:rsidRPr="009F02E3">
              <w:rPr>
                <w:bCs/>
                <w:color w:val="000000" w:themeColor="text1"/>
              </w:rPr>
              <w:t xml:space="preserve">biedrība „Latvijas Kokrūpniecības federācija”, biedrībai „Latvijas Komercbanku asociācija” Rīgas Tehniskajai Universitāte, Latvijas Elektroenerģētiķu un Energobūvnieku asociācija,  </w:t>
            </w:r>
            <w:r w:rsidR="00FD307C" w:rsidRPr="009F02E3">
              <w:rPr>
                <w:rStyle w:val="st1"/>
                <w:bCs/>
                <w:color w:val="000000" w:themeColor="text1"/>
              </w:rPr>
              <w:t>Latvijas Tirdzniecības un rūpniecības kamera).</w:t>
            </w:r>
          </w:p>
          <w:p w14:paraId="3E908EAB" w14:textId="77777777" w:rsidR="009A289E" w:rsidRPr="009F02E3" w:rsidRDefault="00B673DC" w:rsidP="00AA4A81">
            <w:pPr>
              <w:jc w:val="both"/>
              <w:rPr>
                <w:color w:val="000000" w:themeColor="text1"/>
              </w:rPr>
            </w:pPr>
            <w:r w:rsidRPr="009F02E3">
              <w:rPr>
                <w:color w:val="000000" w:themeColor="text1"/>
              </w:rPr>
              <w:t>Noteikumu projekts ir precizēts</w:t>
            </w:r>
            <w:r w:rsidR="00430F2F" w:rsidRPr="009F02E3">
              <w:rPr>
                <w:color w:val="000000" w:themeColor="text1"/>
              </w:rPr>
              <w:t xml:space="preserve"> pēc sabiedriskās apspriešanas. </w:t>
            </w:r>
          </w:p>
        </w:tc>
      </w:tr>
      <w:tr w:rsidR="009F02E3" w:rsidRPr="009F02E3" w14:paraId="7C39E79C" w14:textId="77777777" w:rsidTr="00380920">
        <w:trPr>
          <w:trHeight w:val="233"/>
        </w:trPr>
        <w:tc>
          <w:tcPr>
            <w:tcW w:w="197" w:type="pct"/>
            <w:tcBorders>
              <w:top w:val="outset" w:sz="6" w:space="0" w:color="414142"/>
              <w:left w:val="outset" w:sz="6" w:space="0" w:color="414142"/>
              <w:bottom w:val="outset" w:sz="6" w:space="0" w:color="414142"/>
              <w:right w:val="outset" w:sz="6" w:space="0" w:color="414142"/>
            </w:tcBorders>
            <w:shd w:val="clear" w:color="auto" w:fill="FFFFFF"/>
            <w:hideMark/>
          </w:tcPr>
          <w:p w14:paraId="7979D666" w14:textId="77777777" w:rsidR="009A289E" w:rsidRPr="009F02E3" w:rsidRDefault="009A289E">
            <w:pPr>
              <w:rPr>
                <w:color w:val="000000" w:themeColor="text1"/>
              </w:rPr>
            </w:pPr>
            <w:r w:rsidRPr="009F02E3">
              <w:rPr>
                <w:color w:val="000000" w:themeColor="text1"/>
              </w:rPr>
              <w:t>3.</w:t>
            </w:r>
          </w:p>
        </w:tc>
        <w:tc>
          <w:tcPr>
            <w:tcW w:w="1611" w:type="pct"/>
            <w:tcBorders>
              <w:top w:val="outset" w:sz="6" w:space="0" w:color="414142"/>
              <w:left w:val="outset" w:sz="6" w:space="0" w:color="414142"/>
              <w:bottom w:val="outset" w:sz="6" w:space="0" w:color="414142"/>
              <w:right w:val="outset" w:sz="6" w:space="0" w:color="414142"/>
            </w:tcBorders>
            <w:shd w:val="clear" w:color="auto" w:fill="FFFFFF"/>
            <w:hideMark/>
          </w:tcPr>
          <w:p w14:paraId="5222ED2E" w14:textId="77777777" w:rsidR="009A289E" w:rsidRPr="009F02E3" w:rsidRDefault="009A289E">
            <w:pPr>
              <w:rPr>
                <w:color w:val="000000" w:themeColor="text1"/>
              </w:rPr>
            </w:pPr>
            <w:r w:rsidRPr="009F02E3">
              <w:rPr>
                <w:color w:val="000000" w:themeColor="text1"/>
              </w:rPr>
              <w:t>Sabiedrības līdzdalības rezultāti</w:t>
            </w:r>
          </w:p>
        </w:tc>
        <w:tc>
          <w:tcPr>
            <w:tcW w:w="3192" w:type="pct"/>
            <w:tcBorders>
              <w:top w:val="outset" w:sz="6" w:space="0" w:color="414142"/>
              <w:left w:val="outset" w:sz="6" w:space="0" w:color="414142"/>
              <w:bottom w:val="outset" w:sz="6" w:space="0" w:color="414142"/>
              <w:right w:val="outset" w:sz="6" w:space="0" w:color="414142"/>
            </w:tcBorders>
            <w:shd w:val="clear" w:color="auto" w:fill="FFFFFF"/>
            <w:hideMark/>
          </w:tcPr>
          <w:p w14:paraId="20F1EDBB" w14:textId="01732EEC" w:rsidR="009A289E" w:rsidRPr="009F02E3" w:rsidRDefault="00791D2C" w:rsidP="005236F7">
            <w:pPr>
              <w:jc w:val="both"/>
              <w:rPr>
                <w:color w:val="000000" w:themeColor="text1"/>
              </w:rPr>
            </w:pPr>
            <w:r w:rsidRPr="009F02E3">
              <w:rPr>
                <w:color w:val="000000" w:themeColor="text1"/>
              </w:rPr>
              <w:t>Sabiedriskās apspriešanas procesa ietvaros saņemts atzinums no akciju sabiedrības “Valmieras stikla šķiedra</w:t>
            </w:r>
            <w:r w:rsidR="005236F7" w:rsidRPr="009F02E3">
              <w:rPr>
                <w:color w:val="000000" w:themeColor="text1"/>
              </w:rPr>
              <w:t>”, ko ņemot vērā d</w:t>
            </w:r>
            <w:r w:rsidR="004522F8" w:rsidRPr="009F02E3">
              <w:rPr>
                <w:color w:val="000000" w:themeColor="text1"/>
              </w:rPr>
              <w:t xml:space="preserve">iskusijai </w:t>
            </w:r>
            <w:r w:rsidR="00915B81" w:rsidRPr="009F02E3">
              <w:rPr>
                <w:color w:val="000000" w:themeColor="text1"/>
              </w:rPr>
              <w:t>Valsts sekretāru sanāksmē</w:t>
            </w:r>
            <w:r w:rsidR="005236F7" w:rsidRPr="009F02E3">
              <w:rPr>
                <w:color w:val="000000" w:themeColor="text1"/>
              </w:rPr>
              <w:t xml:space="preserve"> un koleģiāla lēmuma pieņemšanai Ministru kabinetam</w:t>
            </w:r>
            <w:r w:rsidR="00915B81" w:rsidRPr="009F02E3">
              <w:rPr>
                <w:color w:val="000000" w:themeColor="text1"/>
              </w:rPr>
              <w:t xml:space="preserve"> </w:t>
            </w:r>
            <w:r w:rsidR="004522F8" w:rsidRPr="009F02E3">
              <w:rPr>
                <w:color w:val="000000" w:themeColor="text1"/>
              </w:rPr>
              <w:t>ti</w:t>
            </w:r>
            <w:r w:rsidR="009A3831" w:rsidRPr="009F02E3">
              <w:rPr>
                <w:color w:val="000000" w:themeColor="text1"/>
              </w:rPr>
              <w:t>ka</w:t>
            </w:r>
            <w:r w:rsidR="004522F8" w:rsidRPr="009F02E3">
              <w:rPr>
                <w:color w:val="000000" w:themeColor="text1"/>
              </w:rPr>
              <w:t xml:space="preserve"> </w:t>
            </w:r>
            <w:r w:rsidR="005236F7" w:rsidRPr="009F02E3">
              <w:rPr>
                <w:color w:val="000000" w:themeColor="text1"/>
              </w:rPr>
              <w:t xml:space="preserve">nodota redakcija ar </w:t>
            </w:r>
            <w:r w:rsidR="009F7096" w:rsidRPr="009F02E3">
              <w:rPr>
                <w:color w:val="000000" w:themeColor="text1"/>
              </w:rPr>
              <w:t xml:space="preserve">minimālā </w:t>
            </w:r>
            <w:r w:rsidR="009F7096" w:rsidRPr="009F02E3">
              <w:rPr>
                <w:bCs/>
                <w:color w:val="000000" w:themeColor="text1"/>
                <w:szCs w:val="28"/>
              </w:rPr>
              <w:t xml:space="preserve">elektroenerģijas patēriņa </w:t>
            </w:r>
            <w:proofErr w:type="spellStart"/>
            <w:r w:rsidR="005236F7" w:rsidRPr="009F02E3">
              <w:rPr>
                <w:bCs/>
                <w:color w:val="000000" w:themeColor="text1"/>
                <w:szCs w:val="28"/>
              </w:rPr>
              <w:t>slieksņa</w:t>
            </w:r>
            <w:proofErr w:type="spellEnd"/>
            <w:r w:rsidR="005236F7" w:rsidRPr="009F02E3">
              <w:rPr>
                <w:bCs/>
                <w:color w:val="000000" w:themeColor="text1"/>
                <w:szCs w:val="28"/>
              </w:rPr>
              <w:t xml:space="preserve"> izvēli </w:t>
            </w:r>
            <w:r w:rsidR="009F7096" w:rsidRPr="009F02E3">
              <w:rPr>
                <w:bCs/>
                <w:color w:val="000000" w:themeColor="text1"/>
                <w:szCs w:val="28"/>
              </w:rPr>
              <w:t>– 10 GWh</w:t>
            </w:r>
            <w:r w:rsidR="00915B81" w:rsidRPr="009F02E3">
              <w:rPr>
                <w:bCs/>
                <w:color w:val="000000" w:themeColor="text1"/>
                <w:szCs w:val="28"/>
              </w:rPr>
              <w:t xml:space="preserve"> vai 30 GWh</w:t>
            </w:r>
            <w:r w:rsidR="009F7096" w:rsidRPr="009F02E3">
              <w:rPr>
                <w:bCs/>
                <w:color w:val="000000" w:themeColor="text1"/>
                <w:szCs w:val="28"/>
              </w:rPr>
              <w:t>.</w:t>
            </w:r>
          </w:p>
        </w:tc>
      </w:tr>
      <w:tr w:rsidR="009F02E3" w:rsidRPr="009F02E3" w14:paraId="6AE5D4BC" w14:textId="77777777" w:rsidTr="00380920">
        <w:trPr>
          <w:trHeight w:val="465"/>
        </w:trPr>
        <w:tc>
          <w:tcPr>
            <w:tcW w:w="197" w:type="pct"/>
            <w:tcBorders>
              <w:top w:val="outset" w:sz="6" w:space="0" w:color="414142"/>
              <w:left w:val="outset" w:sz="6" w:space="0" w:color="414142"/>
              <w:bottom w:val="outset" w:sz="6" w:space="0" w:color="414142"/>
              <w:right w:val="outset" w:sz="6" w:space="0" w:color="414142"/>
            </w:tcBorders>
            <w:shd w:val="clear" w:color="auto" w:fill="FFFFFF"/>
            <w:hideMark/>
          </w:tcPr>
          <w:p w14:paraId="54775337" w14:textId="77777777" w:rsidR="009A289E" w:rsidRPr="009F02E3" w:rsidRDefault="009A289E">
            <w:pPr>
              <w:rPr>
                <w:color w:val="000000" w:themeColor="text1"/>
              </w:rPr>
            </w:pPr>
            <w:r w:rsidRPr="009F02E3">
              <w:rPr>
                <w:color w:val="000000" w:themeColor="text1"/>
              </w:rPr>
              <w:t>4.</w:t>
            </w:r>
          </w:p>
        </w:tc>
        <w:tc>
          <w:tcPr>
            <w:tcW w:w="1611" w:type="pct"/>
            <w:tcBorders>
              <w:top w:val="outset" w:sz="6" w:space="0" w:color="414142"/>
              <w:left w:val="outset" w:sz="6" w:space="0" w:color="414142"/>
              <w:bottom w:val="outset" w:sz="6" w:space="0" w:color="414142"/>
              <w:right w:val="outset" w:sz="6" w:space="0" w:color="414142"/>
            </w:tcBorders>
            <w:shd w:val="clear" w:color="auto" w:fill="FFFFFF"/>
            <w:hideMark/>
          </w:tcPr>
          <w:p w14:paraId="00C05574" w14:textId="77777777" w:rsidR="009A289E" w:rsidRPr="009F02E3" w:rsidRDefault="009A289E">
            <w:pPr>
              <w:rPr>
                <w:color w:val="000000" w:themeColor="text1"/>
              </w:rPr>
            </w:pPr>
            <w:r w:rsidRPr="009F02E3">
              <w:rPr>
                <w:color w:val="000000" w:themeColor="text1"/>
              </w:rPr>
              <w:t>Cita informācija</w:t>
            </w:r>
          </w:p>
        </w:tc>
        <w:tc>
          <w:tcPr>
            <w:tcW w:w="3192" w:type="pct"/>
            <w:tcBorders>
              <w:top w:val="outset" w:sz="6" w:space="0" w:color="414142"/>
              <w:left w:val="outset" w:sz="6" w:space="0" w:color="414142"/>
              <w:bottom w:val="outset" w:sz="6" w:space="0" w:color="414142"/>
              <w:right w:val="outset" w:sz="6" w:space="0" w:color="414142"/>
            </w:tcBorders>
            <w:shd w:val="clear" w:color="auto" w:fill="FFFFFF"/>
            <w:hideMark/>
          </w:tcPr>
          <w:p w14:paraId="6D9AE8E7" w14:textId="77777777" w:rsidR="009A289E" w:rsidRPr="009F02E3" w:rsidRDefault="00F90FD9">
            <w:pPr>
              <w:pStyle w:val="tvhtml"/>
              <w:spacing w:line="293" w:lineRule="atLeast"/>
              <w:rPr>
                <w:color w:val="000000" w:themeColor="text1"/>
              </w:rPr>
            </w:pPr>
            <w:r w:rsidRPr="009F02E3">
              <w:rPr>
                <w:color w:val="000000" w:themeColor="text1"/>
              </w:rPr>
              <w:t>Nav.</w:t>
            </w:r>
          </w:p>
        </w:tc>
      </w:tr>
    </w:tbl>
    <w:p w14:paraId="0E1F2E8E" w14:textId="77777777" w:rsidR="009A289E" w:rsidRPr="009F02E3" w:rsidRDefault="009A289E" w:rsidP="008667DC">
      <w:pPr>
        <w:rPr>
          <w:color w:val="000000" w:themeColor="text1"/>
        </w:rPr>
      </w:pPr>
    </w:p>
    <w:tbl>
      <w:tblPr>
        <w:tblpPr w:leftFromText="180" w:rightFromText="180" w:vertAnchor="text" w:horzAnchor="margin" w:tblpX="-453" w:tblpY="8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255"/>
        <w:gridCol w:w="6237"/>
      </w:tblGrid>
      <w:tr w:rsidR="009F02E3" w:rsidRPr="009F02E3" w14:paraId="6F7C4016" w14:textId="77777777" w:rsidTr="0009703B">
        <w:tc>
          <w:tcPr>
            <w:tcW w:w="9923" w:type="dxa"/>
            <w:gridSpan w:val="3"/>
            <w:vAlign w:val="center"/>
          </w:tcPr>
          <w:p w14:paraId="5D49B39C" w14:textId="77777777" w:rsidR="001C1A2E" w:rsidRPr="009F02E3" w:rsidRDefault="001C1A2E" w:rsidP="0009703B">
            <w:pPr>
              <w:pStyle w:val="naisnod"/>
              <w:spacing w:before="0" w:beforeAutospacing="0" w:after="0" w:afterAutospacing="0"/>
              <w:jc w:val="center"/>
              <w:rPr>
                <w:b/>
                <w:color w:val="000000" w:themeColor="text1"/>
              </w:rPr>
            </w:pPr>
            <w:r w:rsidRPr="009F02E3">
              <w:rPr>
                <w:b/>
                <w:color w:val="000000" w:themeColor="text1"/>
              </w:rPr>
              <w:t>VII. Tiesību akta projekta izpildes nodrošināšana un tās ietekme uz institūcijām</w:t>
            </w:r>
          </w:p>
        </w:tc>
      </w:tr>
      <w:tr w:rsidR="009F02E3" w:rsidRPr="009F02E3" w14:paraId="4D57ED87" w14:textId="77777777" w:rsidTr="0009703B">
        <w:trPr>
          <w:trHeight w:val="128"/>
        </w:trPr>
        <w:tc>
          <w:tcPr>
            <w:tcW w:w="431" w:type="dxa"/>
          </w:tcPr>
          <w:p w14:paraId="0CB372B9" w14:textId="77777777" w:rsidR="001C1A2E" w:rsidRPr="009F02E3" w:rsidRDefault="001C1A2E" w:rsidP="0009703B">
            <w:pPr>
              <w:pStyle w:val="naiskr"/>
              <w:spacing w:before="0" w:beforeAutospacing="0" w:after="0" w:afterAutospacing="0"/>
              <w:rPr>
                <w:color w:val="000000" w:themeColor="text1"/>
              </w:rPr>
            </w:pPr>
            <w:r w:rsidRPr="009F02E3">
              <w:rPr>
                <w:color w:val="000000" w:themeColor="text1"/>
              </w:rPr>
              <w:t>1.</w:t>
            </w:r>
          </w:p>
        </w:tc>
        <w:tc>
          <w:tcPr>
            <w:tcW w:w="3255" w:type="dxa"/>
          </w:tcPr>
          <w:p w14:paraId="5B44D7E1" w14:textId="77777777" w:rsidR="001C1A2E" w:rsidRPr="009F02E3" w:rsidRDefault="001C1A2E" w:rsidP="0009703B">
            <w:pPr>
              <w:rPr>
                <w:color w:val="000000" w:themeColor="text1"/>
              </w:rPr>
            </w:pPr>
            <w:r w:rsidRPr="009F02E3">
              <w:rPr>
                <w:color w:val="000000" w:themeColor="text1"/>
              </w:rPr>
              <w:t>Projekta izpildē iesaistītās institūcijas</w:t>
            </w:r>
          </w:p>
        </w:tc>
        <w:tc>
          <w:tcPr>
            <w:tcW w:w="6237" w:type="dxa"/>
          </w:tcPr>
          <w:p w14:paraId="7B1AC72C" w14:textId="77777777" w:rsidR="001C1A2E" w:rsidRPr="009F02E3" w:rsidRDefault="00DB1DA9" w:rsidP="0009703B">
            <w:pPr>
              <w:jc w:val="both"/>
              <w:rPr>
                <w:color w:val="000000" w:themeColor="text1"/>
              </w:rPr>
            </w:pPr>
            <w:r w:rsidRPr="009F02E3">
              <w:rPr>
                <w:color w:val="000000" w:themeColor="text1"/>
              </w:rPr>
              <w:t>Ekonomikas ministrija.</w:t>
            </w:r>
          </w:p>
        </w:tc>
      </w:tr>
      <w:tr w:rsidR="009F02E3" w:rsidRPr="009F02E3" w14:paraId="2AF170E7" w14:textId="77777777" w:rsidTr="0009703B">
        <w:trPr>
          <w:trHeight w:val="472"/>
        </w:trPr>
        <w:tc>
          <w:tcPr>
            <w:tcW w:w="431" w:type="dxa"/>
          </w:tcPr>
          <w:p w14:paraId="41402856" w14:textId="77777777" w:rsidR="001C1A2E" w:rsidRPr="009F02E3" w:rsidRDefault="001C1A2E" w:rsidP="0009703B">
            <w:pPr>
              <w:pStyle w:val="naiskr"/>
              <w:spacing w:before="0" w:beforeAutospacing="0" w:after="0" w:afterAutospacing="0"/>
              <w:rPr>
                <w:color w:val="000000" w:themeColor="text1"/>
              </w:rPr>
            </w:pPr>
            <w:r w:rsidRPr="009F02E3">
              <w:rPr>
                <w:color w:val="000000" w:themeColor="text1"/>
              </w:rPr>
              <w:lastRenderedPageBreak/>
              <w:t>2.</w:t>
            </w:r>
          </w:p>
        </w:tc>
        <w:tc>
          <w:tcPr>
            <w:tcW w:w="3255" w:type="dxa"/>
          </w:tcPr>
          <w:p w14:paraId="55585258" w14:textId="77777777" w:rsidR="001C1A2E" w:rsidRPr="009F02E3" w:rsidRDefault="001C1A2E" w:rsidP="0009703B">
            <w:pPr>
              <w:jc w:val="both"/>
              <w:rPr>
                <w:color w:val="000000" w:themeColor="text1"/>
              </w:rPr>
            </w:pPr>
            <w:r w:rsidRPr="009F02E3">
              <w:rPr>
                <w:color w:val="000000" w:themeColor="text1"/>
              </w:rPr>
              <w:t xml:space="preserve">Projekta izpildes ietekme uz pārvaldes funkcijām un institucionālo struktūru. </w:t>
            </w:r>
          </w:p>
          <w:p w14:paraId="385BD169" w14:textId="77777777" w:rsidR="00EC14D6" w:rsidRPr="009F02E3" w:rsidRDefault="001C1A2E" w:rsidP="0009703B">
            <w:pPr>
              <w:jc w:val="both"/>
              <w:rPr>
                <w:color w:val="000000" w:themeColor="text1"/>
              </w:rPr>
            </w:pPr>
            <w:r w:rsidRPr="009F02E3">
              <w:rPr>
                <w:color w:val="000000" w:themeColor="text1"/>
              </w:rPr>
              <w:t>Jaunu institūciju izveide, esošu institūciju likvidācija vai reorganizācija, to ietekme uz institūcijas cilvēkresursiem</w:t>
            </w:r>
          </w:p>
        </w:tc>
        <w:tc>
          <w:tcPr>
            <w:tcW w:w="6237" w:type="dxa"/>
          </w:tcPr>
          <w:p w14:paraId="357D8203" w14:textId="088CF58D" w:rsidR="001C1A2E" w:rsidRPr="00AD2D6E" w:rsidRDefault="00242F8C" w:rsidP="00AD2D6E">
            <w:r w:rsidRPr="00AD2D6E">
              <w:t>Projekts šo jomu neskar</w:t>
            </w:r>
            <w:r w:rsidR="00AD2D6E">
              <w:t>.</w:t>
            </w:r>
          </w:p>
        </w:tc>
      </w:tr>
      <w:tr w:rsidR="009F02E3" w:rsidRPr="009F02E3" w14:paraId="64D5E284" w14:textId="77777777" w:rsidTr="0009703B">
        <w:trPr>
          <w:trHeight w:val="156"/>
        </w:trPr>
        <w:tc>
          <w:tcPr>
            <w:tcW w:w="431" w:type="dxa"/>
          </w:tcPr>
          <w:p w14:paraId="0B851028" w14:textId="77777777" w:rsidR="001C1A2E" w:rsidRPr="009F02E3" w:rsidRDefault="001C1A2E" w:rsidP="0009703B">
            <w:pPr>
              <w:pStyle w:val="naiskr"/>
              <w:spacing w:before="0" w:beforeAutospacing="0" w:after="0" w:afterAutospacing="0"/>
              <w:rPr>
                <w:color w:val="000000" w:themeColor="text1"/>
              </w:rPr>
            </w:pPr>
            <w:r w:rsidRPr="009F02E3">
              <w:rPr>
                <w:color w:val="000000" w:themeColor="text1"/>
              </w:rPr>
              <w:t>3.</w:t>
            </w:r>
          </w:p>
        </w:tc>
        <w:tc>
          <w:tcPr>
            <w:tcW w:w="3255" w:type="dxa"/>
          </w:tcPr>
          <w:p w14:paraId="0AC997E4" w14:textId="77777777" w:rsidR="001C1A2E" w:rsidRPr="009F02E3" w:rsidRDefault="001C1A2E" w:rsidP="0009703B">
            <w:pPr>
              <w:rPr>
                <w:color w:val="000000" w:themeColor="text1"/>
              </w:rPr>
            </w:pPr>
            <w:r w:rsidRPr="009F02E3">
              <w:rPr>
                <w:color w:val="000000" w:themeColor="text1"/>
              </w:rPr>
              <w:t>Cita informācija</w:t>
            </w:r>
          </w:p>
        </w:tc>
        <w:tc>
          <w:tcPr>
            <w:tcW w:w="6237" w:type="dxa"/>
          </w:tcPr>
          <w:p w14:paraId="72D4B2A2" w14:textId="22B4CBBC" w:rsidR="001C1A2E" w:rsidRPr="00AD2D6E" w:rsidRDefault="00242F8C" w:rsidP="00AD2D6E">
            <w:r w:rsidRPr="00AD2D6E">
              <w:t>Projekts šo jomu neskar</w:t>
            </w:r>
            <w:r w:rsidR="00AD2D6E">
              <w:t>.</w:t>
            </w:r>
          </w:p>
        </w:tc>
      </w:tr>
    </w:tbl>
    <w:p w14:paraId="7C5FD0EB" w14:textId="77777777" w:rsidR="001C1A2E" w:rsidRPr="009F02E3" w:rsidRDefault="001C1A2E" w:rsidP="00790CA8">
      <w:pPr>
        <w:ind w:firstLine="720"/>
        <w:jc w:val="center"/>
        <w:rPr>
          <w:i/>
          <w:color w:val="000000" w:themeColor="text1"/>
        </w:rPr>
      </w:pPr>
      <w:r w:rsidRPr="009F02E3">
        <w:rPr>
          <w:i/>
          <w:color w:val="000000" w:themeColor="text1"/>
        </w:rPr>
        <w:t xml:space="preserve">Anotācijas </w:t>
      </w:r>
      <w:r w:rsidR="007C1F2A" w:rsidRPr="009F02E3">
        <w:rPr>
          <w:i/>
          <w:color w:val="000000" w:themeColor="text1"/>
        </w:rPr>
        <w:t>IV</w:t>
      </w:r>
      <w:r w:rsidR="00DC42CE" w:rsidRPr="009F02E3">
        <w:rPr>
          <w:i/>
          <w:color w:val="000000" w:themeColor="text1"/>
        </w:rPr>
        <w:t xml:space="preserve"> un </w:t>
      </w:r>
      <w:r w:rsidRPr="009F02E3">
        <w:rPr>
          <w:i/>
          <w:color w:val="000000" w:themeColor="text1"/>
        </w:rPr>
        <w:t>V</w:t>
      </w:r>
      <w:r w:rsidR="00F403FF" w:rsidRPr="009F02E3">
        <w:rPr>
          <w:i/>
          <w:color w:val="000000" w:themeColor="text1"/>
        </w:rPr>
        <w:t xml:space="preserve"> </w:t>
      </w:r>
      <w:r w:rsidRPr="009F02E3">
        <w:rPr>
          <w:i/>
          <w:color w:val="000000" w:themeColor="text1"/>
        </w:rPr>
        <w:t>sadaļa – projekts š</w:t>
      </w:r>
      <w:r w:rsidR="00DB1DA9" w:rsidRPr="009F02E3">
        <w:rPr>
          <w:i/>
          <w:color w:val="000000" w:themeColor="text1"/>
        </w:rPr>
        <w:t>o</w:t>
      </w:r>
      <w:r w:rsidRPr="009F02E3">
        <w:rPr>
          <w:i/>
          <w:color w:val="000000" w:themeColor="text1"/>
        </w:rPr>
        <w:t xml:space="preserve"> jom</w:t>
      </w:r>
      <w:r w:rsidR="00DB1DA9" w:rsidRPr="009F02E3">
        <w:rPr>
          <w:i/>
          <w:color w:val="000000" w:themeColor="text1"/>
        </w:rPr>
        <w:t>u</w:t>
      </w:r>
      <w:r w:rsidR="003E00E1" w:rsidRPr="009F02E3">
        <w:rPr>
          <w:i/>
          <w:color w:val="000000" w:themeColor="text1"/>
        </w:rPr>
        <w:t xml:space="preserve"> </w:t>
      </w:r>
      <w:r w:rsidRPr="009F02E3">
        <w:rPr>
          <w:i/>
          <w:color w:val="000000" w:themeColor="text1"/>
        </w:rPr>
        <w:t>neskar.</w:t>
      </w:r>
    </w:p>
    <w:p w14:paraId="6F616C50" w14:textId="77777777" w:rsidR="00577BCB" w:rsidRDefault="00577BCB" w:rsidP="00790CA8">
      <w:pPr>
        <w:rPr>
          <w:bCs/>
          <w:color w:val="000000" w:themeColor="text1"/>
        </w:rPr>
      </w:pPr>
    </w:p>
    <w:p w14:paraId="0785361F" w14:textId="77777777" w:rsidR="00577BCB" w:rsidRDefault="00577BCB" w:rsidP="00790CA8">
      <w:pPr>
        <w:rPr>
          <w:bCs/>
          <w:color w:val="000000" w:themeColor="text1"/>
        </w:rPr>
      </w:pPr>
      <w:bookmarkStart w:id="5" w:name="_GoBack"/>
    </w:p>
    <w:p w14:paraId="55D2A228" w14:textId="77777777" w:rsidR="00A57199" w:rsidRPr="009F02E3" w:rsidRDefault="005E59EE" w:rsidP="00790CA8">
      <w:pPr>
        <w:rPr>
          <w:bCs/>
          <w:color w:val="000000" w:themeColor="text1"/>
        </w:rPr>
      </w:pPr>
      <w:r w:rsidRPr="009F02E3">
        <w:rPr>
          <w:bCs/>
          <w:color w:val="000000" w:themeColor="text1"/>
        </w:rPr>
        <w:t>Ekonomikas ministr</w:t>
      </w:r>
      <w:r w:rsidR="00A57199" w:rsidRPr="009F02E3">
        <w:rPr>
          <w:bCs/>
          <w:color w:val="000000" w:themeColor="text1"/>
        </w:rPr>
        <w:t>a pienākumu izpildītājs,</w:t>
      </w:r>
    </w:p>
    <w:p w14:paraId="37A9836E" w14:textId="2DE4B5F7" w:rsidR="005E59EE" w:rsidRPr="009F02E3" w:rsidRDefault="000E22E3" w:rsidP="00790CA8">
      <w:pPr>
        <w:rPr>
          <w:bCs/>
          <w:color w:val="000000" w:themeColor="text1"/>
        </w:rPr>
      </w:pPr>
      <w:r w:rsidRPr="009F02E3">
        <w:rPr>
          <w:bCs/>
          <w:color w:val="000000" w:themeColor="text1"/>
        </w:rPr>
        <w:t>veselības</w:t>
      </w:r>
      <w:r w:rsidR="00A57199" w:rsidRPr="009F02E3">
        <w:rPr>
          <w:bCs/>
          <w:color w:val="000000" w:themeColor="text1"/>
        </w:rPr>
        <w:t xml:space="preserve"> ministrs</w:t>
      </w:r>
      <w:r w:rsidR="0004237E" w:rsidRPr="009F02E3">
        <w:rPr>
          <w:bCs/>
          <w:color w:val="000000" w:themeColor="text1"/>
        </w:rPr>
        <w:tab/>
      </w:r>
      <w:r w:rsidR="0004237E" w:rsidRPr="009F02E3">
        <w:rPr>
          <w:bCs/>
          <w:color w:val="000000" w:themeColor="text1"/>
        </w:rPr>
        <w:tab/>
      </w:r>
      <w:r w:rsidR="0004237E" w:rsidRPr="009F02E3">
        <w:rPr>
          <w:bCs/>
          <w:color w:val="000000" w:themeColor="text1"/>
        </w:rPr>
        <w:tab/>
      </w:r>
      <w:r w:rsidR="0004237E" w:rsidRPr="009F02E3">
        <w:rPr>
          <w:bCs/>
          <w:color w:val="000000" w:themeColor="text1"/>
        </w:rPr>
        <w:tab/>
      </w:r>
      <w:r w:rsidR="0004237E" w:rsidRPr="009F02E3">
        <w:rPr>
          <w:bCs/>
          <w:color w:val="000000" w:themeColor="text1"/>
        </w:rPr>
        <w:tab/>
      </w:r>
      <w:r w:rsidR="005D3F9C" w:rsidRPr="009F02E3">
        <w:rPr>
          <w:bCs/>
          <w:color w:val="000000" w:themeColor="text1"/>
        </w:rPr>
        <w:tab/>
      </w:r>
      <w:r w:rsidR="00A57199" w:rsidRPr="009F02E3">
        <w:rPr>
          <w:bCs/>
          <w:color w:val="000000" w:themeColor="text1"/>
        </w:rPr>
        <w:tab/>
      </w:r>
      <w:r w:rsidRPr="009F02E3">
        <w:rPr>
          <w:bCs/>
          <w:color w:val="000000" w:themeColor="text1"/>
        </w:rPr>
        <w:t>G.Belēvičs</w:t>
      </w:r>
    </w:p>
    <w:p w14:paraId="7D23D7BE" w14:textId="77777777" w:rsidR="00AC1F53" w:rsidRPr="009F02E3" w:rsidRDefault="00AC1F53" w:rsidP="00790CA8">
      <w:pPr>
        <w:pStyle w:val="naisf"/>
        <w:spacing w:before="0" w:beforeAutospacing="0" w:after="0" w:afterAutospacing="0"/>
        <w:rPr>
          <w:bCs/>
          <w:color w:val="000000" w:themeColor="text1"/>
        </w:rPr>
      </w:pPr>
    </w:p>
    <w:p w14:paraId="6318A17C" w14:textId="77777777" w:rsidR="0038787E" w:rsidRPr="009F02E3" w:rsidRDefault="0038787E" w:rsidP="00790CA8">
      <w:pPr>
        <w:pStyle w:val="naisf"/>
        <w:spacing w:before="0" w:beforeAutospacing="0" w:after="0" w:afterAutospacing="0"/>
        <w:rPr>
          <w:b/>
          <w:bCs/>
          <w:color w:val="000000" w:themeColor="text1"/>
        </w:rPr>
      </w:pPr>
      <w:r w:rsidRPr="009F02E3">
        <w:rPr>
          <w:bCs/>
          <w:color w:val="000000" w:themeColor="text1"/>
        </w:rPr>
        <w:t>Vīza:</w:t>
      </w:r>
    </w:p>
    <w:p w14:paraId="4184F70F" w14:textId="2A1E4969" w:rsidR="0038787E" w:rsidRPr="009F02E3" w:rsidRDefault="0038787E" w:rsidP="00D11A81">
      <w:pPr>
        <w:jc w:val="both"/>
        <w:rPr>
          <w:color w:val="000000" w:themeColor="text1"/>
        </w:rPr>
      </w:pPr>
      <w:r w:rsidRPr="009F02E3">
        <w:rPr>
          <w:color w:val="000000" w:themeColor="text1"/>
        </w:rPr>
        <w:t>valsts sekretār</w:t>
      </w:r>
      <w:r w:rsidR="00D11A81">
        <w:rPr>
          <w:color w:val="000000" w:themeColor="text1"/>
        </w:rPr>
        <w:t>s</w:t>
      </w:r>
      <w:r w:rsidR="0004237E" w:rsidRPr="009F02E3">
        <w:rPr>
          <w:color w:val="000000" w:themeColor="text1"/>
        </w:rPr>
        <w:tab/>
      </w:r>
      <w:r w:rsidR="0004237E" w:rsidRPr="009F02E3">
        <w:rPr>
          <w:color w:val="000000" w:themeColor="text1"/>
        </w:rPr>
        <w:tab/>
      </w:r>
      <w:r w:rsidR="0004237E" w:rsidRPr="009F02E3">
        <w:rPr>
          <w:color w:val="000000" w:themeColor="text1"/>
        </w:rPr>
        <w:tab/>
      </w:r>
      <w:r w:rsidR="0004237E" w:rsidRPr="009F02E3">
        <w:rPr>
          <w:color w:val="000000" w:themeColor="text1"/>
        </w:rPr>
        <w:tab/>
      </w:r>
      <w:r w:rsidR="0004237E" w:rsidRPr="009F02E3">
        <w:rPr>
          <w:color w:val="000000" w:themeColor="text1"/>
        </w:rPr>
        <w:tab/>
      </w:r>
      <w:r w:rsidR="00D11A81">
        <w:rPr>
          <w:color w:val="000000" w:themeColor="text1"/>
        </w:rPr>
        <w:tab/>
      </w:r>
      <w:r w:rsidR="00D11A81">
        <w:rPr>
          <w:color w:val="000000" w:themeColor="text1"/>
        </w:rPr>
        <w:tab/>
        <w:t>R.Beinarovičs</w:t>
      </w:r>
    </w:p>
    <w:bookmarkEnd w:id="5"/>
    <w:p w14:paraId="2B8D9FDC" w14:textId="77777777" w:rsidR="00BC2F20" w:rsidRDefault="00BC2F20" w:rsidP="00790CA8">
      <w:pPr>
        <w:pStyle w:val="Header"/>
        <w:tabs>
          <w:tab w:val="clear" w:pos="4153"/>
          <w:tab w:val="clear" w:pos="8306"/>
        </w:tabs>
        <w:rPr>
          <w:color w:val="000000" w:themeColor="text1"/>
          <w:sz w:val="20"/>
          <w:szCs w:val="20"/>
        </w:rPr>
      </w:pPr>
    </w:p>
    <w:p w14:paraId="1C79FCE2" w14:textId="77777777" w:rsidR="00577BCB" w:rsidRDefault="00577BCB" w:rsidP="00790CA8">
      <w:pPr>
        <w:pStyle w:val="Header"/>
        <w:tabs>
          <w:tab w:val="clear" w:pos="4153"/>
          <w:tab w:val="clear" w:pos="8306"/>
        </w:tabs>
        <w:rPr>
          <w:color w:val="000000" w:themeColor="text1"/>
          <w:sz w:val="20"/>
          <w:szCs w:val="20"/>
        </w:rPr>
      </w:pPr>
    </w:p>
    <w:p w14:paraId="0EE737BB" w14:textId="77777777" w:rsidR="00577BCB" w:rsidRDefault="00577BCB" w:rsidP="00790CA8">
      <w:pPr>
        <w:pStyle w:val="Header"/>
        <w:tabs>
          <w:tab w:val="clear" w:pos="4153"/>
          <w:tab w:val="clear" w:pos="8306"/>
        </w:tabs>
        <w:rPr>
          <w:color w:val="000000" w:themeColor="text1"/>
          <w:sz w:val="20"/>
          <w:szCs w:val="20"/>
        </w:rPr>
      </w:pPr>
    </w:p>
    <w:p w14:paraId="5751BB4D" w14:textId="77777777" w:rsidR="00577BCB" w:rsidRDefault="00577BCB" w:rsidP="00790CA8">
      <w:pPr>
        <w:pStyle w:val="Header"/>
        <w:tabs>
          <w:tab w:val="clear" w:pos="4153"/>
          <w:tab w:val="clear" w:pos="8306"/>
        </w:tabs>
        <w:rPr>
          <w:color w:val="000000" w:themeColor="text1"/>
          <w:sz w:val="20"/>
          <w:szCs w:val="20"/>
        </w:rPr>
      </w:pPr>
    </w:p>
    <w:p w14:paraId="758B65EA" w14:textId="77777777" w:rsidR="00577BCB" w:rsidRDefault="00577BCB" w:rsidP="00790CA8">
      <w:pPr>
        <w:pStyle w:val="Header"/>
        <w:tabs>
          <w:tab w:val="clear" w:pos="4153"/>
          <w:tab w:val="clear" w:pos="8306"/>
        </w:tabs>
        <w:rPr>
          <w:color w:val="000000" w:themeColor="text1"/>
          <w:sz w:val="20"/>
          <w:szCs w:val="20"/>
        </w:rPr>
      </w:pPr>
    </w:p>
    <w:p w14:paraId="7FD1C641" w14:textId="77777777" w:rsidR="00577BCB" w:rsidRDefault="00577BCB" w:rsidP="00790CA8">
      <w:pPr>
        <w:pStyle w:val="Header"/>
        <w:tabs>
          <w:tab w:val="clear" w:pos="4153"/>
          <w:tab w:val="clear" w:pos="8306"/>
        </w:tabs>
        <w:rPr>
          <w:color w:val="000000" w:themeColor="text1"/>
          <w:sz w:val="20"/>
          <w:szCs w:val="20"/>
        </w:rPr>
      </w:pPr>
    </w:p>
    <w:p w14:paraId="2DAF9C62" w14:textId="77777777" w:rsidR="00577BCB" w:rsidRDefault="00577BCB" w:rsidP="00790CA8">
      <w:pPr>
        <w:pStyle w:val="Header"/>
        <w:tabs>
          <w:tab w:val="clear" w:pos="4153"/>
          <w:tab w:val="clear" w:pos="8306"/>
        </w:tabs>
        <w:rPr>
          <w:color w:val="000000" w:themeColor="text1"/>
          <w:sz w:val="20"/>
          <w:szCs w:val="20"/>
        </w:rPr>
      </w:pPr>
    </w:p>
    <w:p w14:paraId="450F1D50" w14:textId="77777777" w:rsidR="00577BCB" w:rsidRDefault="00577BCB" w:rsidP="00790CA8">
      <w:pPr>
        <w:pStyle w:val="Header"/>
        <w:tabs>
          <w:tab w:val="clear" w:pos="4153"/>
          <w:tab w:val="clear" w:pos="8306"/>
        </w:tabs>
        <w:rPr>
          <w:color w:val="000000" w:themeColor="text1"/>
          <w:sz w:val="20"/>
          <w:szCs w:val="20"/>
        </w:rPr>
      </w:pPr>
    </w:p>
    <w:p w14:paraId="6FE46B5D" w14:textId="77777777" w:rsidR="00577BCB" w:rsidRDefault="00577BCB" w:rsidP="00790CA8">
      <w:pPr>
        <w:pStyle w:val="Header"/>
        <w:tabs>
          <w:tab w:val="clear" w:pos="4153"/>
          <w:tab w:val="clear" w:pos="8306"/>
        </w:tabs>
        <w:rPr>
          <w:color w:val="000000" w:themeColor="text1"/>
          <w:sz w:val="20"/>
          <w:szCs w:val="20"/>
        </w:rPr>
      </w:pPr>
    </w:p>
    <w:p w14:paraId="28F7BECE" w14:textId="77777777" w:rsidR="00577BCB" w:rsidRDefault="00577BCB" w:rsidP="00790CA8">
      <w:pPr>
        <w:pStyle w:val="Header"/>
        <w:tabs>
          <w:tab w:val="clear" w:pos="4153"/>
          <w:tab w:val="clear" w:pos="8306"/>
        </w:tabs>
        <w:rPr>
          <w:color w:val="000000" w:themeColor="text1"/>
          <w:sz w:val="20"/>
          <w:szCs w:val="20"/>
        </w:rPr>
      </w:pPr>
    </w:p>
    <w:p w14:paraId="435FAD97" w14:textId="77777777" w:rsidR="00577BCB" w:rsidRDefault="00577BCB" w:rsidP="00790CA8">
      <w:pPr>
        <w:pStyle w:val="Header"/>
        <w:tabs>
          <w:tab w:val="clear" w:pos="4153"/>
          <w:tab w:val="clear" w:pos="8306"/>
        </w:tabs>
        <w:rPr>
          <w:color w:val="000000" w:themeColor="text1"/>
          <w:sz w:val="20"/>
          <w:szCs w:val="20"/>
        </w:rPr>
      </w:pPr>
    </w:p>
    <w:p w14:paraId="48936201" w14:textId="77777777" w:rsidR="00577BCB" w:rsidRDefault="00577BCB" w:rsidP="00790CA8">
      <w:pPr>
        <w:pStyle w:val="Header"/>
        <w:tabs>
          <w:tab w:val="clear" w:pos="4153"/>
          <w:tab w:val="clear" w:pos="8306"/>
        </w:tabs>
        <w:rPr>
          <w:color w:val="000000" w:themeColor="text1"/>
          <w:sz w:val="20"/>
          <w:szCs w:val="20"/>
        </w:rPr>
      </w:pPr>
    </w:p>
    <w:p w14:paraId="5923ACA2" w14:textId="77777777" w:rsidR="00577BCB" w:rsidRDefault="00577BCB" w:rsidP="00790CA8">
      <w:pPr>
        <w:pStyle w:val="Header"/>
        <w:tabs>
          <w:tab w:val="clear" w:pos="4153"/>
          <w:tab w:val="clear" w:pos="8306"/>
        </w:tabs>
        <w:rPr>
          <w:color w:val="000000" w:themeColor="text1"/>
          <w:sz w:val="20"/>
          <w:szCs w:val="20"/>
        </w:rPr>
      </w:pPr>
    </w:p>
    <w:p w14:paraId="48A2AEC0" w14:textId="77777777" w:rsidR="00577BCB" w:rsidRDefault="00577BCB" w:rsidP="00790CA8">
      <w:pPr>
        <w:pStyle w:val="Header"/>
        <w:tabs>
          <w:tab w:val="clear" w:pos="4153"/>
          <w:tab w:val="clear" w:pos="8306"/>
        </w:tabs>
        <w:rPr>
          <w:color w:val="000000" w:themeColor="text1"/>
          <w:sz w:val="20"/>
          <w:szCs w:val="20"/>
        </w:rPr>
      </w:pPr>
    </w:p>
    <w:p w14:paraId="2416C4CF" w14:textId="77777777" w:rsidR="00577BCB" w:rsidRDefault="00577BCB" w:rsidP="00790CA8">
      <w:pPr>
        <w:pStyle w:val="Header"/>
        <w:tabs>
          <w:tab w:val="clear" w:pos="4153"/>
          <w:tab w:val="clear" w:pos="8306"/>
        </w:tabs>
        <w:rPr>
          <w:color w:val="000000" w:themeColor="text1"/>
          <w:sz w:val="20"/>
          <w:szCs w:val="20"/>
        </w:rPr>
      </w:pPr>
    </w:p>
    <w:p w14:paraId="1888F080" w14:textId="77777777" w:rsidR="00577BCB" w:rsidRDefault="00577BCB" w:rsidP="00790CA8">
      <w:pPr>
        <w:pStyle w:val="Header"/>
        <w:tabs>
          <w:tab w:val="clear" w:pos="4153"/>
          <w:tab w:val="clear" w:pos="8306"/>
        </w:tabs>
        <w:rPr>
          <w:color w:val="000000" w:themeColor="text1"/>
          <w:sz w:val="20"/>
          <w:szCs w:val="20"/>
        </w:rPr>
      </w:pPr>
    </w:p>
    <w:p w14:paraId="587F13EC" w14:textId="77777777" w:rsidR="00577BCB" w:rsidRDefault="00577BCB" w:rsidP="00790CA8">
      <w:pPr>
        <w:pStyle w:val="Header"/>
        <w:tabs>
          <w:tab w:val="clear" w:pos="4153"/>
          <w:tab w:val="clear" w:pos="8306"/>
        </w:tabs>
        <w:rPr>
          <w:color w:val="000000" w:themeColor="text1"/>
          <w:sz w:val="20"/>
          <w:szCs w:val="20"/>
        </w:rPr>
      </w:pPr>
    </w:p>
    <w:p w14:paraId="1E2C3222" w14:textId="77777777" w:rsidR="00577BCB" w:rsidRDefault="00577BCB" w:rsidP="00790CA8">
      <w:pPr>
        <w:pStyle w:val="Header"/>
        <w:tabs>
          <w:tab w:val="clear" w:pos="4153"/>
          <w:tab w:val="clear" w:pos="8306"/>
        </w:tabs>
        <w:rPr>
          <w:color w:val="000000" w:themeColor="text1"/>
          <w:sz w:val="20"/>
          <w:szCs w:val="20"/>
        </w:rPr>
      </w:pPr>
    </w:p>
    <w:p w14:paraId="208BFD53" w14:textId="77777777" w:rsidR="00577BCB" w:rsidRDefault="00577BCB" w:rsidP="00790CA8">
      <w:pPr>
        <w:pStyle w:val="Header"/>
        <w:tabs>
          <w:tab w:val="clear" w:pos="4153"/>
          <w:tab w:val="clear" w:pos="8306"/>
        </w:tabs>
        <w:rPr>
          <w:color w:val="000000" w:themeColor="text1"/>
          <w:sz w:val="20"/>
          <w:szCs w:val="20"/>
        </w:rPr>
      </w:pPr>
    </w:p>
    <w:p w14:paraId="35820AC1" w14:textId="77777777" w:rsidR="00577BCB" w:rsidRDefault="00577BCB" w:rsidP="00790CA8">
      <w:pPr>
        <w:pStyle w:val="Header"/>
        <w:tabs>
          <w:tab w:val="clear" w:pos="4153"/>
          <w:tab w:val="clear" w:pos="8306"/>
        </w:tabs>
        <w:rPr>
          <w:color w:val="000000" w:themeColor="text1"/>
          <w:sz w:val="20"/>
          <w:szCs w:val="20"/>
        </w:rPr>
      </w:pPr>
    </w:p>
    <w:p w14:paraId="58E37164" w14:textId="77777777" w:rsidR="00577BCB" w:rsidRDefault="00577BCB" w:rsidP="00790CA8">
      <w:pPr>
        <w:pStyle w:val="Header"/>
        <w:tabs>
          <w:tab w:val="clear" w:pos="4153"/>
          <w:tab w:val="clear" w:pos="8306"/>
        </w:tabs>
        <w:rPr>
          <w:color w:val="000000" w:themeColor="text1"/>
          <w:sz w:val="20"/>
          <w:szCs w:val="20"/>
        </w:rPr>
      </w:pPr>
    </w:p>
    <w:p w14:paraId="2881FD05" w14:textId="77777777" w:rsidR="00577BCB" w:rsidRPr="00577BCB" w:rsidRDefault="00577BCB" w:rsidP="00790CA8">
      <w:pPr>
        <w:pStyle w:val="Header"/>
        <w:tabs>
          <w:tab w:val="clear" w:pos="4153"/>
          <w:tab w:val="clear" w:pos="8306"/>
        </w:tabs>
        <w:rPr>
          <w:color w:val="000000" w:themeColor="text1"/>
          <w:sz w:val="20"/>
          <w:szCs w:val="20"/>
        </w:rPr>
      </w:pPr>
    </w:p>
    <w:p w14:paraId="1DD46DAE" w14:textId="77777777" w:rsidR="00577BCB" w:rsidRPr="00577BCB" w:rsidRDefault="00577BCB" w:rsidP="00790CA8">
      <w:pPr>
        <w:pStyle w:val="Header"/>
        <w:tabs>
          <w:tab w:val="clear" w:pos="4153"/>
          <w:tab w:val="clear" w:pos="8306"/>
        </w:tabs>
        <w:rPr>
          <w:color w:val="000000" w:themeColor="text1"/>
          <w:sz w:val="20"/>
          <w:szCs w:val="20"/>
        </w:rPr>
      </w:pPr>
    </w:p>
    <w:p w14:paraId="79805CE9" w14:textId="77777777" w:rsidR="00577BCB" w:rsidRPr="00577BCB" w:rsidRDefault="00577BCB" w:rsidP="00790CA8">
      <w:pPr>
        <w:pStyle w:val="Header"/>
        <w:tabs>
          <w:tab w:val="clear" w:pos="4153"/>
          <w:tab w:val="clear" w:pos="8306"/>
        </w:tabs>
        <w:rPr>
          <w:color w:val="000000" w:themeColor="text1"/>
          <w:sz w:val="20"/>
          <w:szCs w:val="20"/>
        </w:rPr>
      </w:pPr>
    </w:p>
    <w:p w14:paraId="4C795965" w14:textId="77777777" w:rsidR="00577BCB" w:rsidRPr="00577BCB" w:rsidRDefault="00577BCB" w:rsidP="00790CA8">
      <w:pPr>
        <w:pStyle w:val="Header"/>
        <w:tabs>
          <w:tab w:val="clear" w:pos="4153"/>
          <w:tab w:val="clear" w:pos="8306"/>
        </w:tabs>
        <w:rPr>
          <w:color w:val="000000" w:themeColor="text1"/>
          <w:sz w:val="20"/>
          <w:szCs w:val="20"/>
        </w:rPr>
      </w:pPr>
    </w:p>
    <w:p w14:paraId="6667502E" w14:textId="77777777" w:rsidR="00577BCB" w:rsidRPr="00577BCB" w:rsidRDefault="00577BCB" w:rsidP="00790CA8">
      <w:pPr>
        <w:pStyle w:val="Header"/>
        <w:tabs>
          <w:tab w:val="clear" w:pos="4153"/>
          <w:tab w:val="clear" w:pos="8306"/>
        </w:tabs>
        <w:rPr>
          <w:color w:val="000000" w:themeColor="text1"/>
          <w:sz w:val="20"/>
          <w:szCs w:val="20"/>
        </w:rPr>
      </w:pPr>
    </w:p>
    <w:p w14:paraId="247BE268" w14:textId="77777777" w:rsidR="00577BCB" w:rsidRPr="00577BCB" w:rsidRDefault="00577BCB" w:rsidP="00790CA8">
      <w:pPr>
        <w:pStyle w:val="Header"/>
        <w:tabs>
          <w:tab w:val="clear" w:pos="4153"/>
          <w:tab w:val="clear" w:pos="8306"/>
        </w:tabs>
        <w:rPr>
          <w:color w:val="000000" w:themeColor="text1"/>
          <w:sz w:val="20"/>
          <w:szCs w:val="20"/>
        </w:rPr>
      </w:pPr>
    </w:p>
    <w:p w14:paraId="3FA986A0" w14:textId="77777777" w:rsidR="00577BCB" w:rsidRPr="00577BCB" w:rsidRDefault="00577BCB" w:rsidP="00790CA8">
      <w:pPr>
        <w:pStyle w:val="Header"/>
        <w:tabs>
          <w:tab w:val="clear" w:pos="4153"/>
          <w:tab w:val="clear" w:pos="8306"/>
        </w:tabs>
        <w:rPr>
          <w:color w:val="000000" w:themeColor="text1"/>
          <w:sz w:val="20"/>
          <w:szCs w:val="20"/>
        </w:rPr>
      </w:pPr>
    </w:p>
    <w:p w14:paraId="5B9C6687" w14:textId="3B345E39" w:rsidR="0038787E" w:rsidRPr="00577BCB" w:rsidRDefault="006D689E" w:rsidP="00790CA8">
      <w:pPr>
        <w:pStyle w:val="Header"/>
        <w:tabs>
          <w:tab w:val="clear" w:pos="4153"/>
          <w:tab w:val="clear" w:pos="8306"/>
        </w:tabs>
        <w:rPr>
          <w:color w:val="000000" w:themeColor="text1"/>
          <w:sz w:val="20"/>
          <w:szCs w:val="20"/>
        </w:rPr>
      </w:pPr>
      <w:r w:rsidRPr="00577BCB">
        <w:rPr>
          <w:color w:val="000000" w:themeColor="text1"/>
          <w:sz w:val="20"/>
          <w:szCs w:val="20"/>
        </w:rPr>
        <w:t>0</w:t>
      </w:r>
      <w:r w:rsidR="00D11A81" w:rsidRPr="00577BCB">
        <w:rPr>
          <w:color w:val="000000" w:themeColor="text1"/>
          <w:sz w:val="20"/>
          <w:szCs w:val="20"/>
        </w:rPr>
        <w:t>6</w:t>
      </w:r>
      <w:r w:rsidR="0038787E" w:rsidRPr="00577BCB">
        <w:rPr>
          <w:color w:val="000000" w:themeColor="text1"/>
          <w:sz w:val="20"/>
          <w:szCs w:val="20"/>
        </w:rPr>
        <w:t>.</w:t>
      </w:r>
      <w:r w:rsidR="000C346D" w:rsidRPr="00577BCB">
        <w:rPr>
          <w:color w:val="000000" w:themeColor="text1"/>
          <w:sz w:val="20"/>
          <w:szCs w:val="20"/>
        </w:rPr>
        <w:t>0</w:t>
      </w:r>
      <w:r w:rsidRPr="00577BCB">
        <w:rPr>
          <w:color w:val="000000" w:themeColor="text1"/>
          <w:sz w:val="20"/>
          <w:szCs w:val="20"/>
        </w:rPr>
        <w:t>7</w:t>
      </w:r>
      <w:r w:rsidR="0038787E" w:rsidRPr="00577BCB">
        <w:rPr>
          <w:color w:val="000000" w:themeColor="text1"/>
          <w:sz w:val="20"/>
          <w:szCs w:val="20"/>
        </w:rPr>
        <w:t>.201</w:t>
      </w:r>
      <w:r w:rsidR="0004237E" w:rsidRPr="00577BCB">
        <w:rPr>
          <w:color w:val="000000" w:themeColor="text1"/>
          <w:sz w:val="20"/>
          <w:szCs w:val="20"/>
        </w:rPr>
        <w:t>5</w:t>
      </w:r>
      <w:r w:rsidR="0038787E" w:rsidRPr="00577BCB">
        <w:rPr>
          <w:color w:val="000000" w:themeColor="text1"/>
          <w:sz w:val="20"/>
          <w:szCs w:val="20"/>
        </w:rPr>
        <w:t xml:space="preserve">. </w:t>
      </w:r>
      <w:r w:rsidR="00D11A81" w:rsidRPr="00577BCB">
        <w:rPr>
          <w:color w:val="000000" w:themeColor="text1"/>
          <w:sz w:val="20"/>
          <w:szCs w:val="20"/>
        </w:rPr>
        <w:t>09</w:t>
      </w:r>
      <w:r w:rsidR="00D67176" w:rsidRPr="00577BCB">
        <w:rPr>
          <w:color w:val="000000" w:themeColor="text1"/>
          <w:sz w:val="20"/>
          <w:szCs w:val="20"/>
        </w:rPr>
        <w:t>:</w:t>
      </w:r>
      <w:r w:rsidR="00D11A81" w:rsidRPr="00577BCB">
        <w:rPr>
          <w:color w:val="000000" w:themeColor="text1"/>
          <w:sz w:val="20"/>
          <w:szCs w:val="20"/>
        </w:rPr>
        <w:t>47</w:t>
      </w:r>
    </w:p>
    <w:p w14:paraId="1A161F37" w14:textId="3DFD399A" w:rsidR="00A01FDC" w:rsidRPr="00577BCB" w:rsidRDefault="00C42CA8" w:rsidP="00790CA8">
      <w:pPr>
        <w:pStyle w:val="Header"/>
        <w:tabs>
          <w:tab w:val="clear" w:pos="4153"/>
          <w:tab w:val="clear" w:pos="8306"/>
        </w:tabs>
        <w:rPr>
          <w:color w:val="000000" w:themeColor="text1"/>
          <w:sz w:val="20"/>
          <w:szCs w:val="20"/>
        </w:rPr>
      </w:pPr>
      <w:r w:rsidRPr="00577BCB">
        <w:rPr>
          <w:color w:val="000000" w:themeColor="text1"/>
          <w:sz w:val="20"/>
          <w:szCs w:val="20"/>
        </w:rPr>
        <w:t>41</w:t>
      </w:r>
      <w:r w:rsidR="00577BCB" w:rsidRPr="00577BCB">
        <w:rPr>
          <w:color w:val="000000" w:themeColor="text1"/>
          <w:sz w:val="20"/>
          <w:szCs w:val="20"/>
        </w:rPr>
        <w:t>99</w:t>
      </w:r>
    </w:p>
    <w:p w14:paraId="66F2FD9C" w14:textId="77777777" w:rsidR="00D11A81" w:rsidRPr="00577BCB" w:rsidRDefault="0038787E" w:rsidP="00790CA8">
      <w:pPr>
        <w:pStyle w:val="Header"/>
        <w:tabs>
          <w:tab w:val="clear" w:pos="4153"/>
          <w:tab w:val="clear" w:pos="8306"/>
        </w:tabs>
        <w:rPr>
          <w:color w:val="000000" w:themeColor="text1"/>
          <w:sz w:val="20"/>
          <w:szCs w:val="20"/>
        </w:rPr>
      </w:pPr>
      <w:r w:rsidRPr="00577BCB">
        <w:rPr>
          <w:color w:val="000000" w:themeColor="text1"/>
          <w:sz w:val="20"/>
          <w:szCs w:val="20"/>
        </w:rPr>
        <w:t>K.Piģēns,</w:t>
      </w:r>
    </w:p>
    <w:p w14:paraId="7E1A85AC" w14:textId="36978F4E" w:rsidR="00435C4E" w:rsidRPr="00577BCB" w:rsidRDefault="00D82CA1" w:rsidP="00790CA8">
      <w:pPr>
        <w:pStyle w:val="Header"/>
        <w:tabs>
          <w:tab w:val="clear" w:pos="4153"/>
          <w:tab w:val="clear" w:pos="8306"/>
        </w:tabs>
        <w:rPr>
          <w:color w:val="000000" w:themeColor="text1"/>
          <w:sz w:val="20"/>
          <w:szCs w:val="20"/>
        </w:rPr>
      </w:pPr>
      <w:r w:rsidRPr="00577BCB">
        <w:rPr>
          <w:color w:val="000000" w:themeColor="text1"/>
          <w:sz w:val="20"/>
          <w:szCs w:val="20"/>
        </w:rPr>
        <w:t>6</w:t>
      </w:r>
      <w:r w:rsidR="0038787E" w:rsidRPr="00577BCB">
        <w:rPr>
          <w:color w:val="000000" w:themeColor="text1"/>
          <w:sz w:val="20"/>
          <w:szCs w:val="20"/>
        </w:rPr>
        <w:t>7013133</w:t>
      </w:r>
    </w:p>
    <w:p w14:paraId="5A872014" w14:textId="77777777" w:rsidR="007C1F2A" w:rsidRPr="00577BCB" w:rsidRDefault="00415BBB" w:rsidP="00790CA8">
      <w:pPr>
        <w:pStyle w:val="Header"/>
        <w:tabs>
          <w:tab w:val="clear" w:pos="4153"/>
          <w:tab w:val="clear" w:pos="8306"/>
        </w:tabs>
        <w:rPr>
          <w:color w:val="000000" w:themeColor="text1"/>
          <w:sz w:val="16"/>
          <w:szCs w:val="16"/>
        </w:rPr>
      </w:pPr>
      <w:hyperlink r:id="rId10" w:history="1">
        <w:r w:rsidR="007C1F2A" w:rsidRPr="00577BCB">
          <w:rPr>
            <w:rStyle w:val="Hyperlink"/>
            <w:color w:val="000000" w:themeColor="text1"/>
            <w:sz w:val="16"/>
            <w:szCs w:val="16"/>
          </w:rPr>
          <w:t>Karlis.Pigens@em.gov.lv</w:t>
        </w:r>
      </w:hyperlink>
      <w:r w:rsidR="007C1F2A" w:rsidRPr="00577BCB">
        <w:rPr>
          <w:color w:val="000000" w:themeColor="text1"/>
          <w:sz w:val="16"/>
          <w:szCs w:val="16"/>
        </w:rPr>
        <w:t xml:space="preserve"> </w:t>
      </w:r>
    </w:p>
    <w:sectPr w:rsidR="007C1F2A" w:rsidRPr="00577BCB" w:rsidSect="0094759F">
      <w:headerReference w:type="default" r:id="rId11"/>
      <w:footerReference w:type="default" r:id="rId12"/>
      <w:headerReference w:type="first" r:id="rId13"/>
      <w:footerReference w:type="first" r:id="rId14"/>
      <w:pgSz w:w="11906" w:h="16838"/>
      <w:pgMar w:top="1418" w:right="1134"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08D4" w14:textId="77777777" w:rsidR="00415BBB" w:rsidRDefault="00415BBB">
      <w:r>
        <w:separator/>
      </w:r>
    </w:p>
  </w:endnote>
  <w:endnote w:type="continuationSeparator" w:id="0">
    <w:p w14:paraId="27FAAFAF" w14:textId="77777777" w:rsidR="00415BBB" w:rsidRDefault="0041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D82B2" w14:textId="08269238" w:rsidR="004B51F5" w:rsidRPr="002443A1" w:rsidRDefault="004B51F5" w:rsidP="007B1134">
    <w:pPr>
      <w:jc w:val="both"/>
    </w:pPr>
    <w:r w:rsidRPr="00EC42BA">
      <w:rPr>
        <w:sz w:val="20"/>
        <w:szCs w:val="20"/>
      </w:rPr>
      <w:t>EManot_</w:t>
    </w:r>
    <w:r w:rsidR="00577BCB">
      <w:rPr>
        <w:sz w:val="20"/>
        <w:szCs w:val="20"/>
      </w:rPr>
      <w:t>06</w:t>
    </w:r>
    <w:r>
      <w:rPr>
        <w:sz w:val="20"/>
        <w:szCs w:val="20"/>
      </w:rPr>
      <w:t>07</w:t>
    </w:r>
    <w:r w:rsidRPr="00EC42BA">
      <w:rPr>
        <w:sz w:val="20"/>
        <w:szCs w:val="20"/>
      </w:rPr>
      <w:t xml:space="preserve">15_energintens; </w:t>
    </w:r>
    <w:r w:rsidRPr="00EC42BA">
      <w:rPr>
        <w:color w:val="000000"/>
        <w:sz w:val="20"/>
        <w:szCs w:val="20"/>
      </w:rPr>
      <w:t xml:space="preserve">Ministru kabineta noteikumu projekta </w:t>
    </w:r>
    <w:r w:rsidRPr="00EC42BA">
      <w:rPr>
        <w:bCs/>
        <w:sz w:val="20"/>
        <w:szCs w:val="20"/>
      </w:rPr>
      <w:t>„</w:t>
    </w:r>
    <w:r w:rsidRPr="00A35364">
      <w:rPr>
        <w:color w:val="000000" w:themeColor="text1"/>
        <w:sz w:val="20"/>
      </w:rPr>
      <w:t>„</w:t>
    </w:r>
    <w:r w:rsidRPr="00A35364">
      <w:rPr>
        <w:bCs/>
        <w:color w:val="000000" w:themeColor="text1"/>
        <w:sz w:val="20"/>
      </w:rPr>
      <w:t xml:space="preserve">Kārtība, </w:t>
    </w:r>
    <w:r w:rsidRPr="00A35364">
      <w:rPr>
        <w:sz w:val="20"/>
      </w:rPr>
      <w:t>kādā energoietilpīgi apstrādes rūpniecības uzņēmumi</w:t>
    </w:r>
    <w:r w:rsidRPr="00A35364">
      <w:rPr>
        <w:rStyle w:val="apple-converted-space"/>
        <w:color w:val="000000" w:themeColor="text1"/>
        <w:sz w:val="20"/>
        <w:shd w:val="clear" w:color="auto" w:fill="FFFFFF"/>
      </w:rPr>
      <w:t> </w:t>
    </w:r>
    <w:r w:rsidRPr="00A35364">
      <w:rPr>
        <w:bCs/>
        <w:color w:val="000000" w:themeColor="text1"/>
        <w:sz w:val="20"/>
      </w:rPr>
      <w:t>iegūst tiesības uz samazinātu līdzdalību obligātā iepirkuma komponentes maksājumam”</w:t>
    </w:r>
    <w:r w:rsidRPr="00A35364">
      <w:rPr>
        <w:color w:val="000000" w:themeColor="text1"/>
        <w:sz w:val="20"/>
      </w:rPr>
      <w:t xml:space="preserve"> </w:t>
    </w:r>
    <w:r w:rsidRPr="00EC42BA">
      <w:rPr>
        <w:bCs/>
        <w:sz w:val="20"/>
        <w:szCs w:val="20"/>
      </w:rPr>
      <w:t>sākotnējās ietekmes</w:t>
    </w:r>
    <w:r w:rsidRPr="002443A1">
      <w:rPr>
        <w:bCs/>
        <w:sz w:val="20"/>
        <w:szCs w:val="20"/>
      </w:rPr>
      <w:t xml:space="preserve">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5FB8A" w14:textId="60A2EED9" w:rsidR="004B51F5" w:rsidRPr="007C1F2A" w:rsidRDefault="004B51F5" w:rsidP="002E72DF">
    <w:pPr>
      <w:jc w:val="both"/>
    </w:pPr>
    <w:r w:rsidRPr="00EC42BA">
      <w:rPr>
        <w:sz w:val="20"/>
        <w:szCs w:val="20"/>
      </w:rPr>
      <w:t>EManot_</w:t>
    </w:r>
    <w:r w:rsidR="00577BCB">
      <w:rPr>
        <w:sz w:val="20"/>
        <w:szCs w:val="20"/>
      </w:rPr>
      <w:t>06</w:t>
    </w:r>
    <w:r>
      <w:rPr>
        <w:sz w:val="20"/>
        <w:szCs w:val="20"/>
      </w:rPr>
      <w:t>07</w:t>
    </w:r>
    <w:r w:rsidRPr="00EC42BA">
      <w:rPr>
        <w:sz w:val="20"/>
        <w:szCs w:val="20"/>
      </w:rPr>
      <w:t xml:space="preserve">15_energintens; </w:t>
    </w:r>
    <w:r w:rsidRPr="00EC42BA">
      <w:rPr>
        <w:color w:val="000000"/>
        <w:sz w:val="20"/>
        <w:szCs w:val="20"/>
      </w:rPr>
      <w:t xml:space="preserve">Ministru kabineta noteikumu projekta </w:t>
    </w:r>
    <w:r w:rsidRPr="00A35364">
      <w:rPr>
        <w:color w:val="000000" w:themeColor="text1"/>
        <w:sz w:val="20"/>
      </w:rPr>
      <w:t>„</w:t>
    </w:r>
    <w:r w:rsidRPr="00A35364">
      <w:rPr>
        <w:bCs/>
        <w:color w:val="000000" w:themeColor="text1"/>
        <w:sz w:val="20"/>
      </w:rPr>
      <w:t xml:space="preserve">Kārtība, </w:t>
    </w:r>
    <w:r w:rsidRPr="00A35364">
      <w:rPr>
        <w:sz w:val="20"/>
      </w:rPr>
      <w:t>kādā energoietilpīgi apstrādes rūpniecības uzņēmumi</w:t>
    </w:r>
    <w:r w:rsidRPr="00A35364">
      <w:rPr>
        <w:rStyle w:val="apple-converted-space"/>
        <w:color w:val="000000" w:themeColor="text1"/>
        <w:sz w:val="20"/>
        <w:shd w:val="clear" w:color="auto" w:fill="FFFFFF"/>
      </w:rPr>
      <w:t> </w:t>
    </w:r>
    <w:r w:rsidRPr="00A35364">
      <w:rPr>
        <w:bCs/>
        <w:color w:val="000000" w:themeColor="text1"/>
        <w:sz w:val="20"/>
      </w:rPr>
      <w:t>iegūst tiesības uz samazinātu līdzdalību obligātā iepirkuma komponentes maksājumam”</w:t>
    </w:r>
    <w:r w:rsidRPr="00A35364">
      <w:rPr>
        <w:color w:val="000000" w:themeColor="text1"/>
        <w:sz w:val="20"/>
      </w:rPr>
      <w:t xml:space="preserve"> </w:t>
    </w:r>
    <w:r w:rsidRPr="00EC42BA">
      <w:rPr>
        <w:bCs/>
        <w:sz w:val="20"/>
        <w:szCs w:val="20"/>
      </w:rPr>
      <w:t>sākotnējās ietekmes</w:t>
    </w:r>
    <w:r w:rsidRPr="002443A1">
      <w:rPr>
        <w:bCs/>
        <w:sz w:val="20"/>
        <w:szCs w:val="20"/>
      </w:rPr>
      <w:t xml:space="preserve">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3F4FC" w14:textId="77777777" w:rsidR="00415BBB" w:rsidRDefault="00415BBB">
      <w:r>
        <w:separator/>
      </w:r>
    </w:p>
  </w:footnote>
  <w:footnote w:type="continuationSeparator" w:id="0">
    <w:p w14:paraId="4626D900" w14:textId="77777777" w:rsidR="00415BBB" w:rsidRDefault="00415BBB">
      <w:r>
        <w:continuationSeparator/>
      </w:r>
    </w:p>
  </w:footnote>
  <w:footnote w:id="1">
    <w:p w14:paraId="71BB8379" w14:textId="6C4990AC" w:rsidR="004B51F5" w:rsidRDefault="004B51F5" w:rsidP="006B0B61">
      <w:pPr>
        <w:pStyle w:val="FootnoteText"/>
        <w:jc w:val="both"/>
      </w:pPr>
      <w:r>
        <w:rPr>
          <w:rStyle w:val="FootnoteReference"/>
        </w:rPr>
        <w:footnoteRef/>
      </w:r>
      <w:r>
        <w:t xml:space="preserve"> </w:t>
      </w:r>
      <w:r w:rsidRPr="007C2F8A">
        <w:rPr>
          <w:color w:val="000000" w:themeColor="text1"/>
          <w:sz w:val="16"/>
          <w:szCs w:val="16"/>
        </w:rPr>
        <w:t xml:space="preserve">Informācija par Rumānijas atbalsta mehānismu angļu valodā pieejama Eiropas Komisijas </w:t>
      </w:r>
      <w:r>
        <w:rPr>
          <w:color w:val="000000" w:themeColor="text1"/>
          <w:sz w:val="16"/>
          <w:szCs w:val="16"/>
        </w:rPr>
        <w:t>oficiālajā</w:t>
      </w:r>
      <w:r w:rsidRPr="007C2F8A">
        <w:rPr>
          <w:color w:val="000000" w:themeColor="text1"/>
          <w:sz w:val="16"/>
          <w:szCs w:val="16"/>
        </w:rPr>
        <w:t xml:space="preserve"> tīmekļa vietnē: (</w:t>
      </w:r>
      <w:hyperlink r:id="rId1" w:history="1">
        <w:r w:rsidRPr="007C2F8A">
          <w:rPr>
            <w:rStyle w:val="Hyperlink"/>
            <w:color w:val="000000" w:themeColor="text1"/>
            <w:sz w:val="16"/>
            <w:szCs w:val="16"/>
          </w:rPr>
          <w:t>http://ec.europa.eu/competition/elojade/isef/case_details.cfm?proc_code=3_SA_39042</w:t>
        </w:r>
      </w:hyperlink>
      <w:r w:rsidRPr="007C2F8A">
        <w:rPr>
          <w:color w:val="000000" w:themeColor="text1"/>
          <w:sz w:val="16"/>
          <w:szCs w:val="16"/>
        </w:rPr>
        <w:t>).</w:t>
      </w:r>
    </w:p>
  </w:footnote>
  <w:footnote w:id="2">
    <w:p w14:paraId="2B5AF009" w14:textId="6866B0E8" w:rsidR="004B51F5" w:rsidRDefault="004B51F5" w:rsidP="006B0B61">
      <w:pPr>
        <w:pStyle w:val="FootnoteText"/>
        <w:jc w:val="both"/>
      </w:pPr>
      <w:r>
        <w:rPr>
          <w:rStyle w:val="FootnoteReference"/>
        </w:rPr>
        <w:footnoteRef/>
      </w:r>
      <w:r>
        <w:t xml:space="preserve"> </w:t>
      </w:r>
      <w:r w:rsidRPr="007C2F8A">
        <w:rPr>
          <w:color w:val="000000" w:themeColor="text1"/>
          <w:sz w:val="16"/>
          <w:szCs w:val="16"/>
        </w:rPr>
        <w:t xml:space="preserve">Informācija par Vācijas atbalsta mehānismu angļu valodā pieejama Eiropas Komisijas </w:t>
      </w:r>
      <w:r>
        <w:rPr>
          <w:color w:val="000000" w:themeColor="text1"/>
          <w:sz w:val="16"/>
          <w:szCs w:val="16"/>
        </w:rPr>
        <w:t>oficiālajā</w:t>
      </w:r>
      <w:r w:rsidRPr="007C2F8A">
        <w:rPr>
          <w:color w:val="000000" w:themeColor="text1"/>
          <w:sz w:val="16"/>
          <w:szCs w:val="16"/>
        </w:rPr>
        <w:t xml:space="preserve"> tīmekļa vietnē: (</w:t>
      </w:r>
      <w:hyperlink r:id="rId2" w:history="1">
        <w:r w:rsidRPr="007C2F8A">
          <w:rPr>
            <w:rStyle w:val="Hyperlink"/>
            <w:color w:val="000000" w:themeColor="text1"/>
            <w:sz w:val="16"/>
            <w:szCs w:val="16"/>
          </w:rPr>
          <w:t>http://ec.europa.eu/competition/elojade/isef/case_details.cfm?proc_code=3_SA_33995</w:t>
        </w:r>
      </w:hyperlink>
      <w:r w:rsidRPr="007C2F8A">
        <w:rPr>
          <w:color w:val="000000" w:themeColor="text1"/>
          <w:sz w:val="16"/>
          <w:szCs w:val="16"/>
        </w:rPr>
        <w:t>).</w:t>
      </w:r>
    </w:p>
  </w:footnote>
  <w:footnote w:id="3">
    <w:p w14:paraId="4B0BB2A3" w14:textId="77777777" w:rsidR="004B51F5" w:rsidRDefault="004B51F5">
      <w:pPr>
        <w:pStyle w:val="FootnoteText"/>
      </w:pPr>
      <w:r>
        <w:rPr>
          <w:rStyle w:val="FootnoteReference"/>
        </w:rPr>
        <w:footnoteRef/>
      </w:r>
      <w:r>
        <w:t xml:space="preserve"> </w:t>
      </w:r>
      <w:r>
        <w:rPr>
          <w:color w:val="000000" w:themeColor="text1"/>
          <w:sz w:val="16"/>
          <w:szCs w:val="16"/>
        </w:rPr>
        <w:t>Pieejams latviešu valodā Eiropas Komisijas oficiālajā tīmekļa vietnē: (</w:t>
      </w:r>
      <w:hyperlink r:id="rId3" w:history="1">
        <w:r>
          <w:rPr>
            <w:rStyle w:val="Hyperlink"/>
            <w:color w:val="000000" w:themeColor="text1"/>
            <w:sz w:val="16"/>
            <w:szCs w:val="16"/>
          </w:rPr>
          <w:t>http://eur-lex.europa.eu/legal-content/LV/TXT/HTML/?uri=CELEX:52014XC0628%2801%29&amp;from=EN</w:t>
        </w:r>
      </w:hyperlink>
      <w:r>
        <w:rPr>
          <w:color w:val="000000" w:themeColor="text1"/>
          <w:sz w:val="16"/>
          <w:szCs w:val="16"/>
        </w:rPr>
        <w:t>).</w:t>
      </w:r>
    </w:p>
  </w:footnote>
  <w:footnote w:id="4">
    <w:p w14:paraId="1AD0FEEB" w14:textId="7E114012" w:rsidR="004B51F5" w:rsidRDefault="004B51F5" w:rsidP="00C60740">
      <w:pPr>
        <w:pStyle w:val="FootnoteText"/>
        <w:jc w:val="both"/>
      </w:pPr>
      <w:r>
        <w:rPr>
          <w:vanish/>
          <w:color w:val="000000"/>
        </w:rPr>
        <w:t xml:space="preserve"> (</w:t>
      </w:r>
      <w:r>
        <w:t xml:space="preserve"> Vienošanos par kritērija vērtību tiek izlemts Ministru kabineta sēdē.</w:t>
      </w:r>
      <w:r w:rsidRPr="00C60740">
        <w:t xml:space="preserve"> </w:t>
      </w:r>
      <w:r w:rsidRPr="007421FC">
        <w:t>D</w:t>
      </w:r>
      <w:r w:rsidRPr="007421FC">
        <w:rPr>
          <w:bCs/>
        </w:rPr>
        <w:t>ivas alternatīvas, par kurām</w:t>
      </w:r>
      <w:r w:rsidRPr="007421FC">
        <w:t xml:space="preserve"> Ministru kabineta protokollēmumā ir iekļauts papildus punkts attiecībā uz </w:t>
      </w:r>
      <w:r>
        <w:t xml:space="preserve">Ministra kabineta koleģiāla </w:t>
      </w:r>
      <w:r w:rsidRPr="007421FC">
        <w:t>lēmuma pieņemšanu par kritērija vērtību.</w:t>
      </w:r>
    </w:p>
  </w:footnote>
  <w:footnote w:id="5">
    <w:p w14:paraId="6454DF38" w14:textId="77777777" w:rsidR="004B51F5" w:rsidRDefault="004B51F5" w:rsidP="00FA241D">
      <w:pPr>
        <w:pStyle w:val="FootnoteText"/>
        <w:jc w:val="both"/>
      </w:pPr>
      <w:r>
        <w:rPr>
          <w:rStyle w:val="FootnoteReference"/>
        </w:rPr>
        <w:footnoteRef/>
      </w:r>
      <w:r>
        <w:t xml:space="preserve"> Latvijas Nacionālā Akreditācijas centra sniegtā informācija: (</w:t>
      </w:r>
      <w:hyperlink r:id="rId4" w:history="1">
        <w:r w:rsidRPr="00FA241D">
          <w:rPr>
            <w:rStyle w:val="Hyperlink"/>
            <w:color w:val="auto"/>
            <w:sz w:val="16"/>
            <w:szCs w:val="16"/>
          </w:rPr>
          <w:t>http://www.samc.lv/lv/lvs-biroja-zinas/249-latvijas-standarta-status%C4%81-pie%C5%86emts-ilgi-gaid%C4%ABtais-energop%C4%81rvald%C4%ABbas-standarts-lvs-en-iso-50001.html</w:t>
        </w:r>
      </w:hyperlink>
      <w:r>
        <w:t>).</w:t>
      </w:r>
    </w:p>
  </w:footnote>
  <w:footnote w:id="6">
    <w:p w14:paraId="5ED04B4C" w14:textId="77777777" w:rsidR="004B51F5" w:rsidRDefault="004B51F5" w:rsidP="00FA241D">
      <w:pPr>
        <w:pStyle w:val="FootnoteText"/>
        <w:jc w:val="both"/>
      </w:pPr>
      <w:r w:rsidRPr="00A108D4">
        <w:rPr>
          <w:rStyle w:val="FootnoteReference"/>
          <w:color w:val="000000" w:themeColor="text1"/>
        </w:rPr>
        <w:footnoteRef/>
      </w:r>
      <w:r w:rsidRPr="00A108D4">
        <w:rPr>
          <w:color w:val="000000" w:themeColor="text1"/>
        </w:rPr>
        <w:t xml:space="preserve"> Centrālās statistikas pārvaldes sniegtie dati: </w:t>
      </w:r>
      <w:hyperlink r:id="rId5" w:history="1">
        <w:r w:rsidRPr="00A108D4">
          <w:rPr>
            <w:rStyle w:val="Hyperlink"/>
            <w:color w:val="000000" w:themeColor="text1"/>
          </w:rPr>
          <w:t>http://www.csb.gov.lv/dati/statistikas-datubazes-28270.html</w:t>
        </w:r>
      </w:hyperlink>
      <w:r w:rsidRPr="00A108D4">
        <w:rPr>
          <w:color w:val="000000" w:themeColor="text1"/>
        </w:rPr>
        <w:t xml:space="preserve"> </w:t>
      </w:r>
    </w:p>
  </w:footnote>
  <w:footnote w:id="7">
    <w:p w14:paraId="77E578D9" w14:textId="77777777" w:rsidR="004B51F5" w:rsidRDefault="004B51F5">
      <w:pPr>
        <w:pStyle w:val="FootnoteText"/>
      </w:pPr>
      <w:r>
        <w:rPr>
          <w:rStyle w:val="FootnoteReference"/>
        </w:rPr>
        <w:footnoteRef/>
      </w:r>
      <w:r>
        <w:t xml:space="preserve"> Ja</w:t>
      </w:r>
      <w:r w:rsidRPr="00D04F9A">
        <w:t xml:space="preserve"> </w:t>
      </w:r>
      <w:r>
        <w:t xml:space="preserve">minimālā </w:t>
      </w:r>
      <w:r w:rsidRPr="007D4CF8">
        <w:rPr>
          <w:bCs/>
          <w:szCs w:val="28"/>
        </w:rPr>
        <w:t>elektroenerģijas patēriņ</w:t>
      </w:r>
      <w:r>
        <w:rPr>
          <w:bCs/>
          <w:szCs w:val="28"/>
        </w:rPr>
        <w:t xml:space="preserve">a slieksnis tiek noteikts </w:t>
      </w:r>
      <w:r w:rsidRPr="00D23B18">
        <w:rPr>
          <w:b/>
          <w:bCs/>
          <w:szCs w:val="28"/>
        </w:rPr>
        <w:t>30 GWh</w:t>
      </w:r>
      <w:r>
        <w:rPr>
          <w:bCs/>
          <w:szCs w:val="28"/>
        </w:rPr>
        <w:t>.</w:t>
      </w:r>
    </w:p>
  </w:footnote>
  <w:footnote w:id="8">
    <w:p w14:paraId="0AB19549" w14:textId="0CA7C431" w:rsidR="004B51F5" w:rsidRDefault="004B51F5">
      <w:pPr>
        <w:pStyle w:val="FootnoteText"/>
      </w:pPr>
      <w:r>
        <w:rPr>
          <w:rStyle w:val="FootnoteReference"/>
        </w:rPr>
        <w:footnoteRef/>
      </w:r>
      <w:r>
        <w:t xml:space="preserve"> Pievienotās vērtības nodokļa pieaugums no komersantiem, kas saņēmuši atbalstu, pieņemot, ka AS “KVV Liepājas Metalurgs” veic saimniecisko darbību.</w:t>
      </w:r>
    </w:p>
  </w:footnote>
  <w:footnote w:id="9">
    <w:p w14:paraId="395A1FA8" w14:textId="77777777" w:rsidR="004B51F5" w:rsidRDefault="004B51F5">
      <w:pPr>
        <w:pStyle w:val="FootnoteText"/>
      </w:pPr>
      <w:r>
        <w:rPr>
          <w:rStyle w:val="FootnoteReference"/>
        </w:rPr>
        <w:footnoteRef/>
      </w:r>
      <w:r>
        <w:t xml:space="preserve"> Ja</w:t>
      </w:r>
      <w:r w:rsidRPr="00D04F9A">
        <w:t xml:space="preserve"> </w:t>
      </w:r>
      <w:r>
        <w:t xml:space="preserve">minimālā </w:t>
      </w:r>
      <w:r w:rsidRPr="007D4CF8">
        <w:rPr>
          <w:bCs/>
          <w:szCs w:val="28"/>
        </w:rPr>
        <w:t>elektroenerģijas patēriņ</w:t>
      </w:r>
      <w:r>
        <w:rPr>
          <w:bCs/>
          <w:szCs w:val="28"/>
        </w:rPr>
        <w:t xml:space="preserve">a slieksnis tiek noteikts </w:t>
      </w:r>
      <w:r w:rsidRPr="00D23B18">
        <w:rPr>
          <w:b/>
          <w:bCs/>
          <w:szCs w:val="28"/>
        </w:rPr>
        <w:t>10 GWh</w:t>
      </w:r>
      <w:r>
        <w:rPr>
          <w:bCs/>
          <w:szCs w:val="28"/>
        </w:rPr>
        <w:t>.</w:t>
      </w:r>
    </w:p>
  </w:footnote>
  <w:footnote w:id="10">
    <w:p w14:paraId="03A35618" w14:textId="23616D4B" w:rsidR="004B51F5" w:rsidRDefault="004B51F5">
      <w:pPr>
        <w:pStyle w:val="FootnoteText"/>
      </w:pPr>
      <w:r>
        <w:rPr>
          <w:rStyle w:val="FootnoteReference"/>
        </w:rPr>
        <w:footnoteRef/>
      </w:r>
      <w:r>
        <w:t xml:space="preserve"> Pievienotās vērtības nodokļa pieaugums no komersantiem, kas saņēmuši atbalstu, pieņemot, ka AS “KVV Liepājas Metalurgs” veic saimniecisko darbību.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391"/>
      <w:docPartObj>
        <w:docPartGallery w:val="Page Numbers (Top of Page)"/>
        <w:docPartUnique/>
      </w:docPartObj>
    </w:sdtPr>
    <w:sdtEndPr/>
    <w:sdtContent>
      <w:p w14:paraId="06059FA8" w14:textId="77777777" w:rsidR="004B51F5" w:rsidRDefault="004B51F5">
        <w:pPr>
          <w:pStyle w:val="Header"/>
          <w:jc w:val="center"/>
        </w:pPr>
        <w:r>
          <w:fldChar w:fldCharType="begin"/>
        </w:r>
        <w:r>
          <w:instrText xml:space="preserve"> PAGE   \* MERGEFORMAT </w:instrText>
        </w:r>
        <w:r>
          <w:fldChar w:fldCharType="separate"/>
        </w:r>
        <w:r w:rsidR="00577BCB">
          <w:rPr>
            <w:noProof/>
          </w:rPr>
          <w:t>15</w:t>
        </w:r>
        <w:r>
          <w:rPr>
            <w:noProof/>
          </w:rPr>
          <w:fldChar w:fldCharType="end"/>
        </w:r>
      </w:p>
    </w:sdtContent>
  </w:sdt>
  <w:p w14:paraId="20CAB45E" w14:textId="77777777" w:rsidR="004B51F5" w:rsidRDefault="004B5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941B3" w14:textId="77777777" w:rsidR="004B51F5" w:rsidRPr="00EC42BA" w:rsidRDefault="004B51F5" w:rsidP="0004237E">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28B7"/>
    <w:multiLevelType w:val="hybridMultilevel"/>
    <w:tmpl w:val="9CA84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0A6C90"/>
    <w:multiLevelType w:val="hybridMultilevel"/>
    <w:tmpl w:val="A540320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49C504C"/>
    <w:multiLevelType w:val="hybridMultilevel"/>
    <w:tmpl w:val="79A4F49C"/>
    <w:lvl w:ilvl="0" w:tplc="96E07510">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2F3B43"/>
    <w:multiLevelType w:val="hybridMultilevel"/>
    <w:tmpl w:val="4F723D0A"/>
    <w:lvl w:ilvl="0" w:tplc="105634A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4E360F4"/>
    <w:multiLevelType w:val="hybridMultilevel"/>
    <w:tmpl w:val="CD62CB12"/>
    <w:lvl w:ilvl="0" w:tplc="C2C82A6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6C4028A7"/>
    <w:multiLevelType w:val="hybridMultilevel"/>
    <w:tmpl w:val="A5AEA1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DB342C1"/>
    <w:multiLevelType w:val="hybridMultilevel"/>
    <w:tmpl w:val="BE3482BC"/>
    <w:lvl w:ilvl="0" w:tplc="DA82601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0C"/>
    <w:rsid w:val="00002533"/>
    <w:rsid w:val="00002CFB"/>
    <w:rsid w:val="00003034"/>
    <w:rsid w:val="00006186"/>
    <w:rsid w:val="00006263"/>
    <w:rsid w:val="000078D5"/>
    <w:rsid w:val="00007E6D"/>
    <w:rsid w:val="00012D30"/>
    <w:rsid w:val="00015274"/>
    <w:rsid w:val="000209D1"/>
    <w:rsid w:val="00023BE0"/>
    <w:rsid w:val="000307EC"/>
    <w:rsid w:val="00030E08"/>
    <w:rsid w:val="0003565C"/>
    <w:rsid w:val="000411A2"/>
    <w:rsid w:val="0004237E"/>
    <w:rsid w:val="00052598"/>
    <w:rsid w:val="00053AC9"/>
    <w:rsid w:val="00054C94"/>
    <w:rsid w:val="00061C59"/>
    <w:rsid w:val="00062AFB"/>
    <w:rsid w:val="00062D74"/>
    <w:rsid w:val="00062DE9"/>
    <w:rsid w:val="0008083E"/>
    <w:rsid w:val="00083D0E"/>
    <w:rsid w:val="000848D7"/>
    <w:rsid w:val="00085095"/>
    <w:rsid w:val="00085923"/>
    <w:rsid w:val="0009208B"/>
    <w:rsid w:val="00092EC2"/>
    <w:rsid w:val="00093D2B"/>
    <w:rsid w:val="0009703B"/>
    <w:rsid w:val="00097237"/>
    <w:rsid w:val="00097DCC"/>
    <w:rsid w:val="000A5F3B"/>
    <w:rsid w:val="000B1299"/>
    <w:rsid w:val="000B2F14"/>
    <w:rsid w:val="000B654C"/>
    <w:rsid w:val="000C346D"/>
    <w:rsid w:val="000C3A7F"/>
    <w:rsid w:val="000C3E28"/>
    <w:rsid w:val="000C4407"/>
    <w:rsid w:val="000C5C51"/>
    <w:rsid w:val="000C624C"/>
    <w:rsid w:val="000D0970"/>
    <w:rsid w:val="000D3014"/>
    <w:rsid w:val="000D4C2E"/>
    <w:rsid w:val="000D7D82"/>
    <w:rsid w:val="000E2245"/>
    <w:rsid w:val="000E22E3"/>
    <w:rsid w:val="000E2715"/>
    <w:rsid w:val="000E4E45"/>
    <w:rsid w:val="000E690F"/>
    <w:rsid w:val="000F0035"/>
    <w:rsid w:val="000F1A3F"/>
    <w:rsid w:val="000F37F8"/>
    <w:rsid w:val="000F6095"/>
    <w:rsid w:val="000F6CDC"/>
    <w:rsid w:val="001072CB"/>
    <w:rsid w:val="00107F49"/>
    <w:rsid w:val="0011496F"/>
    <w:rsid w:val="0012248A"/>
    <w:rsid w:val="00131719"/>
    <w:rsid w:val="00131941"/>
    <w:rsid w:val="00140334"/>
    <w:rsid w:val="00141922"/>
    <w:rsid w:val="00144309"/>
    <w:rsid w:val="00146184"/>
    <w:rsid w:val="00147B5F"/>
    <w:rsid w:val="001548CE"/>
    <w:rsid w:val="00155A90"/>
    <w:rsid w:val="00157464"/>
    <w:rsid w:val="0015761D"/>
    <w:rsid w:val="00160E18"/>
    <w:rsid w:val="00166445"/>
    <w:rsid w:val="00171647"/>
    <w:rsid w:val="00171B35"/>
    <w:rsid w:val="00171C09"/>
    <w:rsid w:val="00175246"/>
    <w:rsid w:val="001817C3"/>
    <w:rsid w:val="00183897"/>
    <w:rsid w:val="0018683F"/>
    <w:rsid w:val="00186BBC"/>
    <w:rsid w:val="00187797"/>
    <w:rsid w:val="001A3BE3"/>
    <w:rsid w:val="001A6C2B"/>
    <w:rsid w:val="001A72AA"/>
    <w:rsid w:val="001B0300"/>
    <w:rsid w:val="001B0D84"/>
    <w:rsid w:val="001B4DC7"/>
    <w:rsid w:val="001B7772"/>
    <w:rsid w:val="001C1A2E"/>
    <w:rsid w:val="001C41C1"/>
    <w:rsid w:val="001C6026"/>
    <w:rsid w:val="001D1B66"/>
    <w:rsid w:val="001D539B"/>
    <w:rsid w:val="001D5950"/>
    <w:rsid w:val="001E3264"/>
    <w:rsid w:val="001E3714"/>
    <w:rsid w:val="001E3CBD"/>
    <w:rsid w:val="001F1A2E"/>
    <w:rsid w:val="001F257E"/>
    <w:rsid w:val="001F72E1"/>
    <w:rsid w:val="002000B5"/>
    <w:rsid w:val="00204A0F"/>
    <w:rsid w:val="002051F5"/>
    <w:rsid w:val="002056DF"/>
    <w:rsid w:val="00205ACF"/>
    <w:rsid w:val="00205CFC"/>
    <w:rsid w:val="00205F55"/>
    <w:rsid w:val="00210D81"/>
    <w:rsid w:val="00212C50"/>
    <w:rsid w:val="00213196"/>
    <w:rsid w:val="00213A4F"/>
    <w:rsid w:val="00225654"/>
    <w:rsid w:val="002306DE"/>
    <w:rsid w:val="00230712"/>
    <w:rsid w:val="00231462"/>
    <w:rsid w:val="00233DD3"/>
    <w:rsid w:val="002351F4"/>
    <w:rsid w:val="00235C64"/>
    <w:rsid w:val="002365F1"/>
    <w:rsid w:val="00237503"/>
    <w:rsid w:val="00242F8C"/>
    <w:rsid w:val="002443A1"/>
    <w:rsid w:val="00245DB5"/>
    <w:rsid w:val="002612CE"/>
    <w:rsid w:val="00261418"/>
    <w:rsid w:val="00263785"/>
    <w:rsid w:val="00263ED5"/>
    <w:rsid w:val="002662C5"/>
    <w:rsid w:val="00270F42"/>
    <w:rsid w:val="002711F5"/>
    <w:rsid w:val="002762A5"/>
    <w:rsid w:val="00281053"/>
    <w:rsid w:val="0028211E"/>
    <w:rsid w:val="0028250F"/>
    <w:rsid w:val="002830FC"/>
    <w:rsid w:val="00290844"/>
    <w:rsid w:val="00292262"/>
    <w:rsid w:val="00292AA8"/>
    <w:rsid w:val="00292D91"/>
    <w:rsid w:val="002A5405"/>
    <w:rsid w:val="002A5AE6"/>
    <w:rsid w:val="002A69EF"/>
    <w:rsid w:val="002B151E"/>
    <w:rsid w:val="002B2BD5"/>
    <w:rsid w:val="002B44AF"/>
    <w:rsid w:val="002B54F6"/>
    <w:rsid w:val="002B708A"/>
    <w:rsid w:val="002B7F18"/>
    <w:rsid w:val="002C4FC7"/>
    <w:rsid w:val="002C60F0"/>
    <w:rsid w:val="002D2349"/>
    <w:rsid w:val="002D7C67"/>
    <w:rsid w:val="002E584A"/>
    <w:rsid w:val="002E72DF"/>
    <w:rsid w:val="002F032A"/>
    <w:rsid w:val="002F136D"/>
    <w:rsid w:val="002F255C"/>
    <w:rsid w:val="0030164A"/>
    <w:rsid w:val="00310DCB"/>
    <w:rsid w:val="00311005"/>
    <w:rsid w:val="00314470"/>
    <w:rsid w:val="0031785A"/>
    <w:rsid w:val="00317874"/>
    <w:rsid w:val="00321F7E"/>
    <w:rsid w:val="00322ACC"/>
    <w:rsid w:val="00325030"/>
    <w:rsid w:val="003255EE"/>
    <w:rsid w:val="00326F82"/>
    <w:rsid w:val="00334FA4"/>
    <w:rsid w:val="00340BC1"/>
    <w:rsid w:val="0035169E"/>
    <w:rsid w:val="00355EED"/>
    <w:rsid w:val="00360978"/>
    <w:rsid w:val="00367663"/>
    <w:rsid w:val="003716AE"/>
    <w:rsid w:val="00372A13"/>
    <w:rsid w:val="00374BAD"/>
    <w:rsid w:val="003754C8"/>
    <w:rsid w:val="003757D2"/>
    <w:rsid w:val="00377D1F"/>
    <w:rsid w:val="00380920"/>
    <w:rsid w:val="0038787E"/>
    <w:rsid w:val="003938D5"/>
    <w:rsid w:val="00397020"/>
    <w:rsid w:val="003A0930"/>
    <w:rsid w:val="003A57D4"/>
    <w:rsid w:val="003A6D6A"/>
    <w:rsid w:val="003B6256"/>
    <w:rsid w:val="003C23DE"/>
    <w:rsid w:val="003C5082"/>
    <w:rsid w:val="003D05DD"/>
    <w:rsid w:val="003D3091"/>
    <w:rsid w:val="003D30E4"/>
    <w:rsid w:val="003D44D3"/>
    <w:rsid w:val="003D4EB3"/>
    <w:rsid w:val="003D56E0"/>
    <w:rsid w:val="003E00E1"/>
    <w:rsid w:val="003E0379"/>
    <w:rsid w:val="003F2944"/>
    <w:rsid w:val="003F7923"/>
    <w:rsid w:val="004024C2"/>
    <w:rsid w:val="00415BBB"/>
    <w:rsid w:val="00416B4B"/>
    <w:rsid w:val="004202F0"/>
    <w:rsid w:val="0042119B"/>
    <w:rsid w:val="0042350B"/>
    <w:rsid w:val="00424FCE"/>
    <w:rsid w:val="00430F2F"/>
    <w:rsid w:val="004339C8"/>
    <w:rsid w:val="0043460D"/>
    <w:rsid w:val="00435C4E"/>
    <w:rsid w:val="00436FED"/>
    <w:rsid w:val="00441B62"/>
    <w:rsid w:val="00444F36"/>
    <w:rsid w:val="00445CE6"/>
    <w:rsid w:val="004474B4"/>
    <w:rsid w:val="004522F8"/>
    <w:rsid w:val="00452F0A"/>
    <w:rsid w:val="00454A67"/>
    <w:rsid w:val="0045606C"/>
    <w:rsid w:val="00456AB4"/>
    <w:rsid w:val="00456DFD"/>
    <w:rsid w:val="004602E5"/>
    <w:rsid w:val="004625CB"/>
    <w:rsid w:val="0046388B"/>
    <w:rsid w:val="00466943"/>
    <w:rsid w:val="00467807"/>
    <w:rsid w:val="00467AE2"/>
    <w:rsid w:val="0047011B"/>
    <w:rsid w:val="00470C42"/>
    <w:rsid w:val="00473F82"/>
    <w:rsid w:val="00476C69"/>
    <w:rsid w:val="0048687E"/>
    <w:rsid w:val="004874F2"/>
    <w:rsid w:val="00496E0A"/>
    <w:rsid w:val="0049712D"/>
    <w:rsid w:val="004A1688"/>
    <w:rsid w:val="004A25EE"/>
    <w:rsid w:val="004A4A18"/>
    <w:rsid w:val="004A5F46"/>
    <w:rsid w:val="004A7C3C"/>
    <w:rsid w:val="004B0A2B"/>
    <w:rsid w:val="004B1CB8"/>
    <w:rsid w:val="004B48E9"/>
    <w:rsid w:val="004B51EA"/>
    <w:rsid w:val="004B51F5"/>
    <w:rsid w:val="004B5CB2"/>
    <w:rsid w:val="004B6002"/>
    <w:rsid w:val="004C0384"/>
    <w:rsid w:val="004C1E1A"/>
    <w:rsid w:val="004C27A3"/>
    <w:rsid w:val="004D4B71"/>
    <w:rsid w:val="004D76AD"/>
    <w:rsid w:val="004E361F"/>
    <w:rsid w:val="004E4FC5"/>
    <w:rsid w:val="004F08C3"/>
    <w:rsid w:val="004F0CD0"/>
    <w:rsid w:val="00504184"/>
    <w:rsid w:val="00507CF9"/>
    <w:rsid w:val="0051005F"/>
    <w:rsid w:val="00510E71"/>
    <w:rsid w:val="00514A91"/>
    <w:rsid w:val="00515281"/>
    <w:rsid w:val="00515AF7"/>
    <w:rsid w:val="00516161"/>
    <w:rsid w:val="005229C9"/>
    <w:rsid w:val="005236F7"/>
    <w:rsid w:val="00525153"/>
    <w:rsid w:val="0052711C"/>
    <w:rsid w:val="00527E2C"/>
    <w:rsid w:val="005332C8"/>
    <w:rsid w:val="00536D26"/>
    <w:rsid w:val="005401D5"/>
    <w:rsid w:val="005454FB"/>
    <w:rsid w:val="005502A9"/>
    <w:rsid w:val="0055172B"/>
    <w:rsid w:val="005665A2"/>
    <w:rsid w:val="00566AC0"/>
    <w:rsid w:val="005674CF"/>
    <w:rsid w:val="00577BCB"/>
    <w:rsid w:val="00580579"/>
    <w:rsid w:val="005845C5"/>
    <w:rsid w:val="00586632"/>
    <w:rsid w:val="005877BA"/>
    <w:rsid w:val="005905EA"/>
    <w:rsid w:val="00594FB0"/>
    <w:rsid w:val="005953F7"/>
    <w:rsid w:val="00596A37"/>
    <w:rsid w:val="00597319"/>
    <w:rsid w:val="005A2D88"/>
    <w:rsid w:val="005A3F8B"/>
    <w:rsid w:val="005A4CC9"/>
    <w:rsid w:val="005B12F7"/>
    <w:rsid w:val="005B1DE9"/>
    <w:rsid w:val="005B4627"/>
    <w:rsid w:val="005B49C4"/>
    <w:rsid w:val="005B4A2B"/>
    <w:rsid w:val="005B4D9A"/>
    <w:rsid w:val="005C134B"/>
    <w:rsid w:val="005D2283"/>
    <w:rsid w:val="005D3F9C"/>
    <w:rsid w:val="005D52E5"/>
    <w:rsid w:val="005E4FB7"/>
    <w:rsid w:val="005E5231"/>
    <w:rsid w:val="005E59EE"/>
    <w:rsid w:val="005F1654"/>
    <w:rsid w:val="005F2E1A"/>
    <w:rsid w:val="005F40E9"/>
    <w:rsid w:val="005F499B"/>
    <w:rsid w:val="00600499"/>
    <w:rsid w:val="0060359C"/>
    <w:rsid w:val="00603644"/>
    <w:rsid w:val="00605930"/>
    <w:rsid w:val="00606F0F"/>
    <w:rsid w:val="0060706A"/>
    <w:rsid w:val="006070AD"/>
    <w:rsid w:val="00607FC1"/>
    <w:rsid w:val="0061098D"/>
    <w:rsid w:val="0061285C"/>
    <w:rsid w:val="006153C6"/>
    <w:rsid w:val="00621CFE"/>
    <w:rsid w:val="006233BE"/>
    <w:rsid w:val="00634C4B"/>
    <w:rsid w:val="00636316"/>
    <w:rsid w:val="0063700E"/>
    <w:rsid w:val="00642ED1"/>
    <w:rsid w:val="006444BD"/>
    <w:rsid w:val="006448A9"/>
    <w:rsid w:val="006450D6"/>
    <w:rsid w:val="00646084"/>
    <w:rsid w:val="006479B8"/>
    <w:rsid w:val="006534DE"/>
    <w:rsid w:val="00655565"/>
    <w:rsid w:val="00655F4E"/>
    <w:rsid w:val="0065682C"/>
    <w:rsid w:val="00656E5C"/>
    <w:rsid w:val="00667AC4"/>
    <w:rsid w:val="00677470"/>
    <w:rsid w:val="00677ED4"/>
    <w:rsid w:val="00682CE4"/>
    <w:rsid w:val="00683362"/>
    <w:rsid w:val="00684126"/>
    <w:rsid w:val="006876A3"/>
    <w:rsid w:val="0069091D"/>
    <w:rsid w:val="00693AC9"/>
    <w:rsid w:val="006943D4"/>
    <w:rsid w:val="006A06DE"/>
    <w:rsid w:val="006A1BF9"/>
    <w:rsid w:val="006A7797"/>
    <w:rsid w:val="006B07E1"/>
    <w:rsid w:val="006B0B61"/>
    <w:rsid w:val="006B5BA5"/>
    <w:rsid w:val="006B6539"/>
    <w:rsid w:val="006B65CC"/>
    <w:rsid w:val="006B7369"/>
    <w:rsid w:val="006C121E"/>
    <w:rsid w:val="006C4639"/>
    <w:rsid w:val="006C6203"/>
    <w:rsid w:val="006C626F"/>
    <w:rsid w:val="006D0B21"/>
    <w:rsid w:val="006D1678"/>
    <w:rsid w:val="006D1AD3"/>
    <w:rsid w:val="006D4B30"/>
    <w:rsid w:val="006D689E"/>
    <w:rsid w:val="006E1E86"/>
    <w:rsid w:val="006E207C"/>
    <w:rsid w:val="006E4BB6"/>
    <w:rsid w:val="006E56FB"/>
    <w:rsid w:val="006F044E"/>
    <w:rsid w:val="006F22B7"/>
    <w:rsid w:val="006F320B"/>
    <w:rsid w:val="006F4123"/>
    <w:rsid w:val="006F54B3"/>
    <w:rsid w:val="00701CE2"/>
    <w:rsid w:val="00702562"/>
    <w:rsid w:val="007040BF"/>
    <w:rsid w:val="0071109E"/>
    <w:rsid w:val="00712DF9"/>
    <w:rsid w:val="007135F5"/>
    <w:rsid w:val="007167BA"/>
    <w:rsid w:val="00720C43"/>
    <w:rsid w:val="007213EE"/>
    <w:rsid w:val="00722569"/>
    <w:rsid w:val="00722889"/>
    <w:rsid w:val="00722D04"/>
    <w:rsid w:val="00726DBD"/>
    <w:rsid w:val="00727F9E"/>
    <w:rsid w:val="00731681"/>
    <w:rsid w:val="0073218E"/>
    <w:rsid w:val="007339F1"/>
    <w:rsid w:val="007343BB"/>
    <w:rsid w:val="0073624C"/>
    <w:rsid w:val="0074075A"/>
    <w:rsid w:val="0074115E"/>
    <w:rsid w:val="007417C4"/>
    <w:rsid w:val="007423D7"/>
    <w:rsid w:val="00743D7C"/>
    <w:rsid w:val="00745135"/>
    <w:rsid w:val="00752EA8"/>
    <w:rsid w:val="0075376F"/>
    <w:rsid w:val="00764D5D"/>
    <w:rsid w:val="007712CD"/>
    <w:rsid w:val="0077397C"/>
    <w:rsid w:val="00774214"/>
    <w:rsid w:val="00775742"/>
    <w:rsid w:val="0077644F"/>
    <w:rsid w:val="00781525"/>
    <w:rsid w:val="00781A6D"/>
    <w:rsid w:val="00781E1C"/>
    <w:rsid w:val="00785ED6"/>
    <w:rsid w:val="00790CA8"/>
    <w:rsid w:val="00791490"/>
    <w:rsid w:val="00791D2C"/>
    <w:rsid w:val="00794236"/>
    <w:rsid w:val="007970B2"/>
    <w:rsid w:val="00797AEE"/>
    <w:rsid w:val="007A2129"/>
    <w:rsid w:val="007A4CFE"/>
    <w:rsid w:val="007A5511"/>
    <w:rsid w:val="007A5E34"/>
    <w:rsid w:val="007A6A26"/>
    <w:rsid w:val="007A72E5"/>
    <w:rsid w:val="007A7613"/>
    <w:rsid w:val="007A7D3D"/>
    <w:rsid w:val="007B1134"/>
    <w:rsid w:val="007B21A3"/>
    <w:rsid w:val="007B3C6A"/>
    <w:rsid w:val="007B4233"/>
    <w:rsid w:val="007B4C35"/>
    <w:rsid w:val="007C1F2A"/>
    <w:rsid w:val="007C2F8A"/>
    <w:rsid w:val="007C3EA1"/>
    <w:rsid w:val="007C5647"/>
    <w:rsid w:val="007D2420"/>
    <w:rsid w:val="007D39C8"/>
    <w:rsid w:val="007D4CF8"/>
    <w:rsid w:val="007F11D4"/>
    <w:rsid w:val="00803BDE"/>
    <w:rsid w:val="00804CFF"/>
    <w:rsid w:val="008076B9"/>
    <w:rsid w:val="00814312"/>
    <w:rsid w:val="00815C3A"/>
    <w:rsid w:val="00817316"/>
    <w:rsid w:val="00817B25"/>
    <w:rsid w:val="00822526"/>
    <w:rsid w:val="00822FE8"/>
    <w:rsid w:val="008323C5"/>
    <w:rsid w:val="00840817"/>
    <w:rsid w:val="00844AA2"/>
    <w:rsid w:val="008477FC"/>
    <w:rsid w:val="00851C84"/>
    <w:rsid w:val="0085230A"/>
    <w:rsid w:val="00863ADD"/>
    <w:rsid w:val="008667DC"/>
    <w:rsid w:val="00870EB7"/>
    <w:rsid w:val="00870EE3"/>
    <w:rsid w:val="00871475"/>
    <w:rsid w:val="008745B3"/>
    <w:rsid w:val="00877271"/>
    <w:rsid w:val="00877C8E"/>
    <w:rsid w:val="00877F4F"/>
    <w:rsid w:val="008856E1"/>
    <w:rsid w:val="00892FDE"/>
    <w:rsid w:val="0089380C"/>
    <w:rsid w:val="008A2240"/>
    <w:rsid w:val="008A3446"/>
    <w:rsid w:val="008A513D"/>
    <w:rsid w:val="008A64B2"/>
    <w:rsid w:val="008B3FFB"/>
    <w:rsid w:val="008B6D9B"/>
    <w:rsid w:val="008C022B"/>
    <w:rsid w:val="008C222E"/>
    <w:rsid w:val="008C7745"/>
    <w:rsid w:val="008D0DDD"/>
    <w:rsid w:val="008D6852"/>
    <w:rsid w:val="008E1079"/>
    <w:rsid w:val="008E1EA2"/>
    <w:rsid w:val="008E32A8"/>
    <w:rsid w:val="008E6080"/>
    <w:rsid w:val="008F2A22"/>
    <w:rsid w:val="008F7768"/>
    <w:rsid w:val="00900F89"/>
    <w:rsid w:val="00903F26"/>
    <w:rsid w:val="00911250"/>
    <w:rsid w:val="00911738"/>
    <w:rsid w:val="00912828"/>
    <w:rsid w:val="00915B57"/>
    <w:rsid w:val="00915B81"/>
    <w:rsid w:val="00916830"/>
    <w:rsid w:val="00921DC0"/>
    <w:rsid w:val="009352A5"/>
    <w:rsid w:val="009426AE"/>
    <w:rsid w:val="009437FF"/>
    <w:rsid w:val="009442B3"/>
    <w:rsid w:val="00944E33"/>
    <w:rsid w:val="00946975"/>
    <w:rsid w:val="0094759F"/>
    <w:rsid w:val="00947A9C"/>
    <w:rsid w:val="009515C4"/>
    <w:rsid w:val="009519B3"/>
    <w:rsid w:val="009555C0"/>
    <w:rsid w:val="0095727B"/>
    <w:rsid w:val="00961359"/>
    <w:rsid w:val="009622AF"/>
    <w:rsid w:val="00965CDD"/>
    <w:rsid w:val="00967388"/>
    <w:rsid w:val="00972580"/>
    <w:rsid w:val="00976704"/>
    <w:rsid w:val="009830E1"/>
    <w:rsid w:val="00987DAD"/>
    <w:rsid w:val="0099332E"/>
    <w:rsid w:val="00993B8A"/>
    <w:rsid w:val="0099482E"/>
    <w:rsid w:val="009A090E"/>
    <w:rsid w:val="009A16A1"/>
    <w:rsid w:val="009A289E"/>
    <w:rsid w:val="009A3831"/>
    <w:rsid w:val="009A6606"/>
    <w:rsid w:val="009A775F"/>
    <w:rsid w:val="009B0D25"/>
    <w:rsid w:val="009B2190"/>
    <w:rsid w:val="009B2DAC"/>
    <w:rsid w:val="009B3275"/>
    <w:rsid w:val="009C444F"/>
    <w:rsid w:val="009D068D"/>
    <w:rsid w:val="009D07A5"/>
    <w:rsid w:val="009D2285"/>
    <w:rsid w:val="009D2517"/>
    <w:rsid w:val="009D3F9F"/>
    <w:rsid w:val="009D4B9C"/>
    <w:rsid w:val="009D502D"/>
    <w:rsid w:val="009E09BC"/>
    <w:rsid w:val="009E1A19"/>
    <w:rsid w:val="009E1CB5"/>
    <w:rsid w:val="009E385B"/>
    <w:rsid w:val="009E454D"/>
    <w:rsid w:val="009E5789"/>
    <w:rsid w:val="009E5F29"/>
    <w:rsid w:val="009E6086"/>
    <w:rsid w:val="009E6554"/>
    <w:rsid w:val="009E78D5"/>
    <w:rsid w:val="009F02E3"/>
    <w:rsid w:val="009F062C"/>
    <w:rsid w:val="009F2491"/>
    <w:rsid w:val="009F5490"/>
    <w:rsid w:val="009F7096"/>
    <w:rsid w:val="00A01D4D"/>
    <w:rsid w:val="00A01FDC"/>
    <w:rsid w:val="00A022C8"/>
    <w:rsid w:val="00A14A7D"/>
    <w:rsid w:val="00A21C02"/>
    <w:rsid w:val="00A2407C"/>
    <w:rsid w:val="00A24608"/>
    <w:rsid w:val="00A257A8"/>
    <w:rsid w:val="00A31910"/>
    <w:rsid w:val="00A3191B"/>
    <w:rsid w:val="00A3255A"/>
    <w:rsid w:val="00A33CC1"/>
    <w:rsid w:val="00A45F3F"/>
    <w:rsid w:val="00A45F8E"/>
    <w:rsid w:val="00A465DC"/>
    <w:rsid w:val="00A5330F"/>
    <w:rsid w:val="00A53A71"/>
    <w:rsid w:val="00A54FC3"/>
    <w:rsid w:val="00A57199"/>
    <w:rsid w:val="00A62D5D"/>
    <w:rsid w:val="00A63D1F"/>
    <w:rsid w:val="00A71726"/>
    <w:rsid w:val="00A74C7A"/>
    <w:rsid w:val="00A75B93"/>
    <w:rsid w:val="00A76255"/>
    <w:rsid w:val="00A8143F"/>
    <w:rsid w:val="00A84158"/>
    <w:rsid w:val="00A85146"/>
    <w:rsid w:val="00A926CF"/>
    <w:rsid w:val="00A92C0C"/>
    <w:rsid w:val="00A92CCB"/>
    <w:rsid w:val="00A97C70"/>
    <w:rsid w:val="00AA20D7"/>
    <w:rsid w:val="00AA2980"/>
    <w:rsid w:val="00AA2F10"/>
    <w:rsid w:val="00AA4A81"/>
    <w:rsid w:val="00AB264F"/>
    <w:rsid w:val="00AB5276"/>
    <w:rsid w:val="00AC0250"/>
    <w:rsid w:val="00AC0DCF"/>
    <w:rsid w:val="00AC1F53"/>
    <w:rsid w:val="00AC2257"/>
    <w:rsid w:val="00AC3AEF"/>
    <w:rsid w:val="00AC4672"/>
    <w:rsid w:val="00AC55C7"/>
    <w:rsid w:val="00AD12E3"/>
    <w:rsid w:val="00AD2D6E"/>
    <w:rsid w:val="00AD3373"/>
    <w:rsid w:val="00AD445A"/>
    <w:rsid w:val="00AD7DC7"/>
    <w:rsid w:val="00AD7E04"/>
    <w:rsid w:val="00AE10FF"/>
    <w:rsid w:val="00AE2232"/>
    <w:rsid w:val="00AE6D4C"/>
    <w:rsid w:val="00AF1682"/>
    <w:rsid w:val="00B045BE"/>
    <w:rsid w:val="00B06E68"/>
    <w:rsid w:val="00B078C3"/>
    <w:rsid w:val="00B1634A"/>
    <w:rsid w:val="00B20FBD"/>
    <w:rsid w:val="00B21B3B"/>
    <w:rsid w:val="00B21B97"/>
    <w:rsid w:val="00B22DDF"/>
    <w:rsid w:val="00B27AAD"/>
    <w:rsid w:val="00B302B4"/>
    <w:rsid w:val="00B307CB"/>
    <w:rsid w:val="00B318BB"/>
    <w:rsid w:val="00B338CE"/>
    <w:rsid w:val="00B362E2"/>
    <w:rsid w:val="00B3641B"/>
    <w:rsid w:val="00B36AE9"/>
    <w:rsid w:val="00B45AEB"/>
    <w:rsid w:val="00B46EB7"/>
    <w:rsid w:val="00B54E69"/>
    <w:rsid w:val="00B56B89"/>
    <w:rsid w:val="00B61505"/>
    <w:rsid w:val="00B6178C"/>
    <w:rsid w:val="00B640A2"/>
    <w:rsid w:val="00B64DB5"/>
    <w:rsid w:val="00B65E42"/>
    <w:rsid w:val="00B673DC"/>
    <w:rsid w:val="00B772E7"/>
    <w:rsid w:val="00B800AE"/>
    <w:rsid w:val="00B807CD"/>
    <w:rsid w:val="00B81588"/>
    <w:rsid w:val="00B8232C"/>
    <w:rsid w:val="00B83810"/>
    <w:rsid w:val="00B85E4C"/>
    <w:rsid w:val="00B8600D"/>
    <w:rsid w:val="00B87A66"/>
    <w:rsid w:val="00B91CA0"/>
    <w:rsid w:val="00BA0ADB"/>
    <w:rsid w:val="00BA4D59"/>
    <w:rsid w:val="00BA71FF"/>
    <w:rsid w:val="00BB31D7"/>
    <w:rsid w:val="00BB5653"/>
    <w:rsid w:val="00BC2F20"/>
    <w:rsid w:val="00BC3650"/>
    <w:rsid w:val="00BC404F"/>
    <w:rsid w:val="00BC53EE"/>
    <w:rsid w:val="00BC6D16"/>
    <w:rsid w:val="00BD0455"/>
    <w:rsid w:val="00BD0E45"/>
    <w:rsid w:val="00BD263B"/>
    <w:rsid w:val="00BD4304"/>
    <w:rsid w:val="00BD4772"/>
    <w:rsid w:val="00BD548E"/>
    <w:rsid w:val="00BD56BE"/>
    <w:rsid w:val="00BE2C72"/>
    <w:rsid w:val="00BE62A5"/>
    <w:rsid w:val="00BF18D6"/>
    <w:rsid w:val="00BF2755"/>
    <w:rsid w:val="00BF3143"/>
    <w:rsid w:val="00BF5924"/>
    <w:rsid w:val="00C0118A"/>
    <w:rsid w:val="00C1175D"/>
    <w:rsid w:val="00C1367F"/>
    <w:rsid w:val="00C13CB6"/>
    <w:rsid w:val="00C15E77"/>
    <w:rsid w:val="00C16044"/>
    <w:rsid w:val="00C21F1D"/>
    <w:rsid w:val="00C32216"/>
    <w:rsid w:val="00C3315D"/>
    <w:rsid w:val="00C3663E"/>
    <w:rsid w:val="00C37A2A"/>
    <w:rsid w:val="00C42CA8"/>
    <w:rsid w:val="00C52054"/>
    <w:rsid w:val="00C60740"/>
    <w:rsid w:val="00C63108"/>
    <w:rsid w:val="00C65467"/>
    <w:rsid w:val="00C72E68"/>
    <w:rsid w:val="00C73BD5"/>
    <w:rsid w:val="00C743B8"/>
    <w:rsid w:val="00C770AD"/>
    <w:rsid w:val="00C80191"/>
    <w:rsid w:val="00C870DB"/>
    <w:rsid w:val="00C96074"/>
    <w:rsid w:val="00C9755D"/>
    <w:rsid w:val="00CA4C33"/>
    <w:rsid w:val="00CA6B76"/>
    <w:rsid w:val="00CB270A"/>
    <w:rsid w:val="00CB4654"/>
    <w:rsid w:val="00CB6163"/>
    <w:rsid w:val="00CF0035"/>
    <w:rsid w:val="00D04B59"/>
    <w:rsid w:val="00D04F9A"/>
    <w:rsid w:val="00D05A30"/>
    <w:rsid w:val="00D11A81"/>
    <w:rsid w:val="00D147F5"/>
    <w:rsid w:val="00D15C01"/>
    <w:rsid w:val="00D23B18"/>
    <w:rsid w:val="00D25A97"/>
    <w:rsid w:val="00D31906"/>
    <w:rsid w:val="00D31EA1"/>
    <w:rsid w:val="00D34BD0"/>
    <w:rsid w:val="00D35394"/>
    <w:rsid w:val="00D508DB"/>
    <w:rsid w:val="00D6038E"/>
    <w:rsid w:val="00D62F85"/>
    <w:rsid w:val="00D67176"/>
    <w:rsid w:val="00D70509"/>
    <w:rsid w:val="00D71EE4"/>
    <w:rsid w:val="00D725F0"/>
    <w:rsid w:val="00D72D4D"/>
    <w:rsid w:val="00D732F6"/>
    <w:rsid w:val="00D73CEF"/>
    <w:rsid w:val="00D747BD"/>
    <w:rsid w:val="00D751B0"/>
    <w:rsid w:val="00D76697"/>
    <w:rsid w:val="00D800A7"/>
    <w:rsid w:val="00D81689"/>
    <w:rsid w:val="00D82CA1"/>
    <w:rsid w:val="00D83C5A"/>
    <w:rsid w:val="00D8433F"/>
    <w:rsid w:val="00D85761"/>
    <w:rsid w:val="00D95161"/>
    <w:rsid w:val="00D95162"/>
    <w:rsid w:val="00D976BB"/>
    <w:rsid w:val="00D9781A"/>
    <w:rsid w:val="00D97B81"/>
    <w:rsid w:val="00DA176A"/>
    <w:rsid w:val="00DA264D"/>
    <w:rsid w:val="00DA26CB"/>
    <w:rsid w:val="00DA479C"/>
    <w:rsid w:val="00DA7022"/>
    <w:rsid w:val="00DB08E1"/>
    <w:rsid w:val="00DB173C"/>
    <w:rsid w:val="00DB1DA9"/>
    <w:rsid w:val="00DC0D3A"/>
    <w:rsid w:val="00DC42CE"/>
    <w:rsid w:val="00DC5C95"/>
    <w:rsid w:val="00DC7B61"/>
    <w:rsid w:val="00DD13EA"/>
    <w:rsid w:val="00DD394D"/>
    <w:rsid w:val="00DD3FB8"/>
    <w:rsid w:val="00DD528A"/>
    <w:rsid w:val="00DD6BE1"/>
    <w:rsid w:val="00DE0E8D"/>
    <w:rsid w:val="00DE1024"/>
    <w:rsid w:val="00DE3B12"/>
    <w:rsid w:val="00DF012F"/>
    <w:rsid w:val="00DF18D9"/>
    <w:rsid w:val="00DF6696"/>
    <w:rsid w:val="00DF6DF3"/>
    <w:rsid w:val="00E04040"/>
    <w:rsid w:val="00E04F4C"/>
    <w:rsid w:val="00E12E17"/>
    <w:rsid w:val="00E13D07"/>
    <w:rsid w:val="00E1658A"/>
    <w:rsid w:val="00E2090B"/>
    <w:rsid w:val="00E23870"/>
    <w:rsid w:val="00E33C97"/>
    <w:rsid w:val="00E35D65"/>
    <w:rsid w:val="00E40368"/>
    <w:rsid w:val="00E40631"/>
    <w:rsid w:val="00E40CD5"/>
    <w:rsid w:val="00E440E8"/>
    <w:rsid w:val="00E45548"/>
    <w:rsid w:val="00E46082"/>
    <w:rsid w:val="00E46713"/>
    <w:rsid w:val="00E5176C"/>
    <w:rsid w:val="00E521E8"/>
    <w:rsid w:val="00E52CBB"/>
    <w:rsid w:val="00E53245"/>
    <w:rsid w:val="00E53352"/>
    <w:rsid w:val="00E54FB0"/>
    <w:rsid w:val="00E60D37"/>
    <w:rsid w:val="00E620BE"/>
    <w:rsid w:val="00E636BE"/>
    <w:rsid w:val="00E6657E"/>
    <w:rsid w:val="00E71495"/>
    <w:rsid w:val="00E80004"/>
    <w:rsid w:val="00E841D3"/>
    <w:rsid w:val="00E87F12"/>
    <w:rsid w:val="00E90158"/>
    <w:rsid w:val="00E9226D"/>
    <w:rsid w:val="00EA04BE"/>
    <w:rsid w:val="00EA18F1"/>
    <w:rsid w:val="00EA2AA3"/>
    <w:rsid w:val="00EA43AB"/>
    <w:rsid w:val="00EA7A72"/>
    <w:rsid w:val="00EB01F6"/>
    <w:rsid w:val="00EB1766"/>
    <w:rsid w:val="00EB2194"/>
    <w:rsid w:val="00EB3A46"/>
    <w:rsid w:val="00EB3C4C"/>
    <w:rsid w:val="00EB7FA3"/>
    <w:rsid w:val="00EC0350"/>
    <w:rsid w:val="00EC0E32"/>
    <w:rsid w:val="00EC14D6"/>
    <w:rsid w:val="00EC42BA"/>
    <w:rsid w:val="00EC4F25"/>
    <w:rsid w:val="00ED01AA"/>
    <w:rsid w:val="00ED044D"/>
    <w:rsid w:val="00ED1F5B"/>
    <w:rsid w:val="00ED30F1"/>
    <w:rsid w:val="00ED42A3"/>
    <w:rsid w:val="00ED708F"/>
    <w:rsid w:val="00ED7F25"/>
    <w:rsid w:val="00ED7FE2"/>
    <w:rsid w:val="00EE1FDB"/>
    <w:rsid w:val="00EE2530"/>
    <w:rsid w:val="00EE2FD6"/>
    <w:rsid w:val="00EF5C9D"/>
    <w:rsid w:val="00EF687E"/>
    <w:rsid w:val="00F0170A"/>
    <w:rsid w:val="00F017AC"/>
    <w:rsid w:val="00F032FA"/>
    <w:rsid w:val="00F04B95"/>
    <w:rsid w:val="00F0583F"/>
    <w:rsid w:val="00F05DA1"/>
    <w:rsid w:val="00F17731"/>
    <w:rsid w:val="00F17D87"/>
    <w:rsid w:val="00F20DA3"/>
    <w:rsid w:val="00F2340B"/>
    <w:rsid w:val="00F25D11"/>
    <w:rsid w:val="00F25D4D"/>
    <w:rsid w:val="00F309AC"/>
    <w:rsid w:val="00F323C4"/>
    <w:rsid w:val="00F349EB"/>
    <w:rsid w:val="00F36583"/>
    <w:rsid w:val="00F3674D"/>
    <w:rsid w:val="00F3698F"/>
    <w:rsid w:val="00F36B3B"/>
    <w:rsid w:val="00F36C57"/>
    <w:rsid w:val="00F40385"/>
    <w:rsid w:val="00F403FF"/>
    <w:rsid w:val="00F41EFF"/>
    <w:rsid w:val="00F421D7"/>
    <w:rsid w:val="00F43CD5"/>
    <w:rsid w:val="00F503BA"/>
    <w:rsid w:val="00F50DC4"/>
    <w:rsid w:val="00F51AD6"/>
    <w:rsid w:val="00F54A75"/>
    <w:rsid w:val="00F72E13"/>
    <w:rsid w:val="00F77128"/>
    <w:rsid w:val="00F813D1"/>
    <w:rsid w:val="00F855DA"/>
    <w:rsid w:val="00F87271"/>
    <w:rsid w:val="00F87FA1"/>
    <w:rsid w:val="00F90FD9"/>
    <w:rsid w:val="00F91240"/>
    <w:rsid w:val="00F91726"/>
    <w:rsid w:val="00F9798A"/>
    <w:rsid w:val="00FA0F12"/>
    <w:rsid w:val="00FA241D"/>
    <w:rsid w:val="00FA546D"/>
    <w:rsid w:val="00FA6868"/>
    <w:rsid w:val="00FB0404"/>
    <w:rsid w:val="00FB2C7D"/>
    <w:rsid w:val="00FB4700"/>
    <w:rsid w:val="00FB47EF"/>
    <w:rsid w:val="00FC1CC8"/>
    <w:rsid w:val="00FC72A4"/>
    <w:rsid w:val="00FD02B2"/>
    <w:rsid w:val="00FD307C"/>
    <w:rsid w:val="00FE164A"/>
    <w:rsid w:val="00FE7B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3E111"/>
  <w15:docId w15:val="{418355C1-0021-420A-9BD2-81535253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FB"/>
    <w:rPr>
      <w:sz w:val="24"/>
      <w:szCs w:val="24"/>
    </w:rPr>
  </w:style>
  <w:style w:type="paragraph" w:styleId="Heading1">
    <w:name w:val="heading 1"/>
    <w:basedOn w:val="Normal"/>
    <w:link w:val="Heading1Char"/>
    <w:uiPriority w:val="9"/>
    <w:qFormat/>
    <w:rsid w:val="00DC5C9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aliases w:val="2"/>
    <w:basedOn w:val="Normal"/>
    <w:link w:val="ListParagraphChar"/>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1C1A2E"/>
  </w:style>
  <w:style w:type="character" w:styleId="FootnoteReference">
    <w:name w:val="footnote reference"/>
    <w:aliases w:val="Footnote Reference Number,SUPERS"/>
    <w:basedOn w:val="DefaultParagraphFont"/>
    <w:uiPriority w:val="99"/>
    <w:rsid w:val="001C1A2E"/>
    <w:rPr>
      <w:vertAlign w:val="superscript"/>
    </w:rPr>
  </w:style>
  <w:style w:type="character" w:customStyle="1" w:styleId="CommentTextChar">
    <w:name w:val="Comment Text Char"/>
    <w:basedOn w:val="DefaultParagraphFont"/>
    <w:link w:val="CommentText"/>
    <w:rsid w:val="00504184"/>
  </w:style>
  <w:style w:type="paragraph" w:customStyle="1" w:styleId="doc-ti">
    <w:name w:val="doc-ti"/>
    <w:basedOn w:val="Normal"/>
    <w:rsid w:val="004024C2"/>
    <w:pPr>
      <w:spacing w:before="240" w:after="120"/>
      <w:jc w:val="center"/>
    </w:pPr>
    <w:rPr>
      <w:b/>
      <w:bCs/>
      <w:sz w:val="18"/>
      <w:szCs w:val="18"/>
    </w:rPr>
  </w:style>
  <w:style w:type="character" w:customStyle="1" w:styleId="Heading1Char">
    <w:name w:val="Heading 1 Char"/>
    <w:basedOn w:val="DefaultParagraphFont"/>
    <w:link w:val="Heading1"/>
    <w:uiPriority w:val="9"/>
    <w:rsid w:val="00DC5C95"/>
    <w:rPr>
      <w:b/>
      <w:bCs/>
      <w:kern w:val="36"/>
      <w:sz w:val="48"/>
      <w:szCs w:val="48"/>
    </w:rPr>
  </w:style>
  <w:style w:type="paragraph" w:customStyle="1" w:styleId="tvhtml">
    <w:name w:val="tv_html"/>
    <w:basedOn w:val="Normal"/>
    <w:rsid w:val="009A289E"/>
    <w:pPr>
      <w:spacing w:before="100" w:beforeAutospacing="1" w:after="100" w:afterAutospacing="1"/>
    </w:pPr>
  </w:style>
  <w:style w:type="character" w:customStyle="1" w:styleId="apple-converted-space">
    <w:name w:val="apple-converted-space"/>
    <w:basedOn w:val="DefaultParagraphFont"/>
    <w:rsid w:val="009A289E"/>
  </w:style>
  <w:style w:type="character" w:styleId="FollowedHyperlink">
    <w:name w:val="FollowedHyperlink"/>
    <w:basedOn w:val="DefaultParagraphFont"/>
    <w:semiHidden/>
    <w:unhideWhenUsed/>
    <w:rsid w:val="007417C4"/>
    <w:rPr>
      <w:color w:val="800080" w:themeColor="followedHyperlink"/>
      <w:u w:val="single"/>
    </w:rPr>
  </w:style>
  <w:style w:type="character" w:customStyle="1" w:styleId="st1">
    <w:name w:val="st1"/>
    <w:basedOn w:val="DefaultParagraphFont"/>
    <w:rsid w:val="00FD307C"/>
  </w:style>
  <w:style w:type="character" w:customStyle="1" w:styleId="italic">
    <w:name w:val="italic"/>
    <w:basedOn w:val="DefaultParagraphFont"/>
    <w:rsid w:val="00D9781A"/>
  </w:style>
  <w:style w:type="character" w:customStyle="1" w:styleId="ListParagraphChar">
    <w:name w:val="List Paragraph Char"/>
    <w:aliases w:val="2 Char"/>
    <w:link w:val="ListParagraph"/>
    <w:uiPriority w:val="34"/>
    <w:locked/>
    <w:rsid w:val="00600499"/>
    <w:rPr>
      <w:sz w:val="28"/>
      <w:szCs w:val="28"/>
    </w:rPr>
  </w:style>
  <w:style w:type="paragraph" w:styleId="Revision">
    <w:name w:val="Revision"/>
    <w:hidden/>
    <w:uiPriority w:val="99"/>
    <w:semiHidden/>
    <w:rsid w:val="009E45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87">
      <w:bodyDiv w:val="1"/>
      <w:marLeft w:val="0"/>
      <w:marRight w:val="0"/>
      <w:marTop w:val="0"/>
      <w:marBottom w:val="0"/>
      <w:divBdr>
        <w:top w:val="none" w:sz="0" w:space="0" w:color="auto"/>
        <w:left w:val="none" w:sz="0" w:space="0" w:color="auto"/>
        <w:bottom w:val="none" w:sz="0" w:space="0" w:color="auto"/>
        <w:right w:val="none" w:sz="0" w:space="0" w:color="auto"/>
      </w:divBdr>
    </w:div>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364600077">
      <w:bodyDiv w:val="1"/>
      <w:marLeft w:val="0"/>
      <w:marRight w:val="0"/>
      <w:marTop w:val="0"/>
      <w:marBottom w:val="0"/>
      <w:divBdr>
        <w:top w:val="none" w:sz="0" w:space="0" w:color="auto"/>
        <w:left w:val="none" w:sz="0" w:space="0" w:color="auto"/>
        <w:bottom w:val="none" w:sz="0" w:space="0" w:color="auto"/>
        <w:right w:val="none" w:sz="0" w:space="0" w:color="auto"/>
      </w:divBdr>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540483397">
      <w:bodyDiv w:val="1"/>
      <w:marLeft w:val="0"/>
      <w:marRight w:val="0"/>
      <w:marTop w:val="0"/>
      <w:marBottom w:val="0"/>
      <w:divBdr>
        <w:top w:val="none" w:sz="0" w:space="0" w:color="auto"/>
        <w:left w:val="none" w:sz="0" w:space="0" w:color="auto"/>
        <w:bottom w:val="none" w:sz="0" w:space="0" w:color="auto"/>
        <w:right w:val="none" w:sz="0" w:space="0" w:color="auto"/>
      </w:divBdr>
    </w:div>
    <w:div w:id="565185067">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845051574">
      <w:bodyDiv w:val="1"/>
      <w:marLeft w:val="0"/>
      <w:marRight w:val="0"/>
      <w:marTop w:val="0"/>
      <w:marBottom w:val="0"/>
      <w:divBdr>
        <w:top w:val="none" w:sz="0" w:space="0" w:color="auto"/>
        <w:left w:val="none" w:sz="0" w:space="0" w:color="auto"/>
        <w:bottom w:val="none" w:sz="0" w:space="0" w:color="auto"/>
        <w:right w:val="none" w:sz="0" w:space="0" w:color="auto"/>
      </w:divBdr>
    </w:div>
    <w:div w:id="860313327">
      <w:bodyDiv w:val="1"/>
      <w:marLeft w:val="0"/>
      <w:marRight w:val="0"/>
      <w:marTop w:val="0"/>
      <w:marBottom w:val="0"/>
      <w:divBdr>
        <w:top w:val="none" w:sz="0" w:space="0" w:color="auto"/>
        <w:left w:val="none" w:sz="0" w:space="0" w:color="auto"/>
        <w:bottom w:val="none" w:sz="0" w:space="0" w:color="auto"/>
        <w:right w:val="none" w:sz="0" w:space="0" w:color="auto"/>
      </w:divBdr>
    </w:div>
    <w:div w:id="878202648">
      <w:bodyDiv w:val="1"/>
      <w:marLeft w:val="0"/>
      <w:marRight w:val="0"/>
      <w:marTop w:val="0"/>
      <w:marBottom w:val="0"/>
      <w:divBdr>
        <w:top w:val="none" w:sz="0" w:space="0" w:color="auto"/>
        <w:left w:val="none" w:sz="0" w:space="0" w:color="auto"/>
        <w:bottom w:val="none" w:sz="0" w:space="0" w:color="auto"/>
        <w:right w:val="none" w:sz="0" w:space="0" w:color="auto"/>
      </w:divBdr>
    </w:div>
    <w:div w:id="1065689281">
      <w:bodyDiv w:val="1"/>
      <w:marLeft w:val="0"/>
      <w:marRight w:val="0"/>
      <w:marTop w:val="0"/>
      <w:marBottom w:val="0"/>
      <w:divBdr>
        <w:top w:val="none" w:sz="0" w:space="0" w:color="auto"/>
        <w:left w:val="none" w:sz="0" w:space="0" w:color="auto"/>
        <w:bottom w:val="none" w:sz="0" w:space="0" w:color="auto"/>
        <w:right w:val="none" w:sz="0" w:space="0" w:color="auto"/>
      </w:divBdr>
    </w:div>
    <w:div w:id="1090003310">
      <w:bodyDiv w:val="1"/>
      <w:marLeft w:val="0"/>
      <w:marRight w:val="0"/>
      <w:marTop w:val="0"/>
      <w:marBottom w:val="0"/>
      <w:divBdr>
        <w:top w:val="none" w:sz="0" w:space="0" w:color="auto"/>
        <w:left w:val="none" w:sz="0" w:space="0" w:color="auto"/>
        <w:bottom w:val="none" w:sz="0" w:space="0" w:color="auto"/>
        <w:right w:val="none" w:sz="0" w:space="0" w:color="auto"/>
      </w:divBdr>
    </w:div>
    <w:div w:id="1120028747">
      <w:bodyDiv w:val="1"/>
      <w:marLeft w:val="0"/>
      <w:marRight w:val="0"/>
      <w:marTop w:val="0"/>
      <w:marBottom w:val="0"/>
      <w:divBdr>
        <w:top w:val="none" w:sz="0" w:space="0" w:color="auto"/>
        <w:left w:val="none" w:sz="0" w:space="0" w:color="auto"/>
        <w:bottom w:val="none" w:sz="0" w:space="0" w:color="auto"/>
        <w:right w:val="none" w:sz="0" w:space="0" w:color="auto"/>
      </w:divBdr>
    </w:div>
    <w:div w:id="1156216273">
      <w:bodyDiv w:val="1"/>
      <w:marLeft w:val="0"/>
      <w:marRight w:val="0"/>
      <w:marTop w:val="0"/>
      <w:marBottom w:val="0"/>
      <w:divBdr>
        <w:top w:val="none" w:sz="0" w:space="0" w:color="auto"/>
        <w:left w:val="none" w:sz="0" w:space="0" w:color="auto"/>
        <w:bottom w:val="none" w:sz="0" w:space="0" w:color="auto"/>
        <w:right w:val="none" w:sz="0" w:space="0" w:color="auto"/>
      </w:divBdr>
    </w:div>
    <w:div w:id="1186673441">
      <w:bodyDiv w:val="1"/>
      <w:marLeft w:val="0"/>
      <w:marRight w:val="0"/>
      <w:marTop w:val="0"/>
      <w:marBottom w:val="0"/>
      <w:divBdr>
        <w:top w:val="none" w:sz="0" w:space="0" w:color="auto"/>
        <w:left w:val="none" w:sz="0" w:space="0" w:color="auto"/>
        <w:bottom w:val="none" w:sz="0" w:space="0" w:color="auto"/>
        <w:right w:val="none" w:sz="0" w:space="0" w:color="auto"/>
      </w:divBdr>
    </w:div>
    <w:div w:id="1244099195">
      <w:bodyDiv w:val="1"/>
      <w:marLeft w:val="0"/>
      <w:marRight w:val="0"/>
      <w:marTop w:val="0"/>
      <w:marBottom w:val="0"/>
      <w:divBdr>
        <w:top w:val="none" w:sz="0" w:space="0" w:color="auto"/>
        <w:left w:val="none" w:sz="0" w:space="0" w:color="auto"/>
        <w:bottom w:val="none" w:sz="0" w:space="0" w:color="auto"/>
        <w:right w:val="none" w:sz="0" w:space="0" w:color="auto"/>
      </w:divBdr>
    </w:div>
    <w:div w:id="1253776685">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329287547">
      <w:bodyDiv w:val="1"/>
      <w:marLeft w:val="0"/>
      <w:marRight w:val="0"/>
      <w:marTop w:val="0"/>
      <w:marBottom w:val="0"/>
      <w:divBdr>
        <w:top w:val="none" w:sz="0" w:space="0" w:color="auto"/>
        <w:left w:val="none" w:sz="0" w:space="0" w:color="auto"/>
        <w:bottom w:val="none" w:sz="0" w:space="0" w:color="auto"/>
        <w:right w:val="none" w:sz="0" w:space="0" w:color="auto"/>
      </w:divBdr>
    </w:div>
    <w:div w:id="1382368306">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1186098779">
                      <w:marLeft w:val="0"/>
                      <w:marRight w:val="0"/>
                      <w:marTop w:val="0"/>
                      <w:marBottom w:val="0"/>
                      <w:divBdr>
                        <w:top w:val="none" w:sz="0" w:space="0" w:color="auto"/>
                        <w:left w:val="none" w:sz="0" w:space="0" w:color="auto"/>
                        <w:bottom w:val="none" w:sz="0" w:space="0" w:color="auto"/>
                        <w:right w:val="none" w:sz="0" w:space="0" w:color="auto"/>
                      </w:divBdr>
                    </w:div>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311204950">
                              <w:marLeft w:val="0"/>
                              <w:marRight w:val="0"/>
                              <w:marTop w:val="0"/>
                              <w:marBottom w:val="0"/>
                              <w:divBdr>
                                <w:top w:val="none" w:sz="0" w:space="0" w:color="auto"/>
                                <w:left w:val="none" w:sz="0" w:space="0" w:color="auto"/>
                                <w:bottom w:val="none" w:sz="0" w:space="0" w:color="auto"/>
                                <w:right w:val="none" w:sz="0" w:space="0" w:color="auto"/>
                              </w:divBdr>
                            </w:div>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76720843">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20017317">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sChild>
            </w:div>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94190980">
                      <w:marLeft w:val="0"/>
                      <w:marRight w:val="0"/>
                      <w:marTop w:val="0"/>
                      <w:marBottom w:val="0"/>
                      <w:divBdr>
                        <w:top w:val="none" w:sz="0" w:space="0" w:color="auto"/>
                        <w:left w:val="none" w:sz="0" w:space="0" w:color="auto"/>
                        <w:bottom w:val="none" w:sz="0" w:space="0" w:color="auto"/>
                        <w:right w:val="none" w:sz="0" w:space="0" w:color="auto"/>
                      </w:divBdr>
                    </w:div>
                    <w:div w:id="1601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869687634">
                  <w:marLeft w:val="0"/>
                  <w:marRight w:val="0"/>
                  <w:marTop w:val="0"/>
                  <w:marBottom w:val="0"/>
                  <w:divBdr>
                    <w:top w:val="none" w:sz="0" w:space="0" w:color="auto"/>
                    <w:left w:val="none" w:sz="0" w:space="0" w:color="auto"/>
                    <w:bottom w:val="none" w:sz="0" w:space="0" w:color="auto"/>
                    <w:right w:val="none" w:sz="0" w:space="0" w:color="auto"/>
                  </w:divBdr>
                </w:div>
                <w:div w:id="23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1818">
      <w:bodyDiv w:val="1"/>
      <w:marLeft w:val="0"/>
      <w:marRight w:val="0"/>
      <w:marTop w:val="0"/>
      <w:marBottom w:val="0"/>
      <w:divBdr>
        <w:top w:val="none" w:sz="0" w:space="0" w:color="auto"/>
        <w:left w:val="none" w:sz="0" w:space="0" w:color="auto"/>
        <w:bottom w:val="none" w:sz="0" w:space="0" w:color="auto"/>
        <w:right w:val="none" w:sz="0" w:space="0" w:color="auto"/>
      </w:divBdr>
    </w:div>
    <w:div w:id="1626348386">
      <w:bodyDiv w:val="1"/>
      <w:marLeft w:val="0"/>
      <w:marRight w:val="0"/>
      <w:marTop w:val="0"/>
      <w:marBottom w:val="0"/>
      <w:divBdr>
        <w:top w:val="none" w:sz="0" w:space="0" w:color="auto"/>
        <w:left w:val="none" w:sz="0" w:space="0" w:color="auto"/>
        <w:bottom w:val="none" w:sz="0" w:space="0" w:color="auto"/>
        <w:right w:val="none" w:sz="0" w:space="0" w:color="auto"/>
      </w:divBdr>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850097860">
      <w:bodyDiv w:val="1"/>
      <w:marLeft w:val="0"/>
      <w:marRight w:val="0"/>
      <w:marTop w:val="0"/>
      <w:marBottom w:val="0"/>
      <w:divBdr>
        <w:top w:val="none" w:sz="0" w:space="0" w:color="auto"/>
        <w:left w:val="none" w:sz="0" w:space="0" w:color="auto"/>
        <w:bottom w:val="none" w:sz="0" w:space="0" w:color="auto"/>
        <w:right w:val="none" w:sz="0" w:space="0" w:color="auto"/>
      </w:divBdr>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 w:id="1963416556">
      <w:bodyDiv w:val="1"/>
      <w:marLeft w:val="0"/>
      <w:marRight w:val="0"/>
      <w:marTop w:val="0"/>
      <w:marBottom w:val="0"/>
      <w:divBdr>
        <w:top w:val="none" w:sz="0" w:space="0" w:color="auto"/>
        <w:left w:val="none" w:sz="0" w:space="0" w:color="auto"/>
        <w:bottom w:val="none" w:sz="0" w:space="0" w:color="auto"/>
        <w:right w:val="none" w:sz="0" w:space="0" w:color="auto"/>
      </w:divBdr>
    </w:div>
    <w:div w:id="2063794991">
      <w:bodyDiv w:val="1"/>
      <w:marLeft w:val="0"/>
      <w:marRight w:val="0"/>
      <w:marTop w:val="0"/>
      <w:marBottom w:val="0"/>
      <w:divBdr>
        <w:top w:val="none" w:sz="0" w:space="0" w:color="auto"/>
        <w:left w:val="none" w:sz="0" w:space="0" w:color="auto"/>
        <w:bottom w:val="none" w:sz="0" w:space="0" w:color="auto"/>
        <w:right w:val="none" w:sz="0" w:space="0" w:color="auto"/>
      </w:divBdr>
    </w:div>
    <w:div w:id="20750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lis.Pigens@e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HTML/?uri=CELEX:52014XC0628%2801%29&amp;from=EN" TargetMode="External"/><Relationship Id="rId2" Type="http://schemas.openxmlformats.org/officeDocument/2006/relationships/hyperlink" Target="http://ec.europa.eu/competition/elojade/isef/case_details.cfm?proc_code=3_SA_33995" TargetMode="External"/><Relationship Id="rId1" Type="http://schemas.openxmlformats.org/officeDocument/2006/relationships/hyperlink" Target="http://ec.europa.eu/competition/elojade/isef/case_details.cfm?proc_code=3_SA_39042" TargetMode="External"/><Relationship Id="rId5" Type="http://schemas.openxmlformats.org/officeDocument/2006/relationships/hyperlink" Target="http://www.csb.gov.lv/dati/statistikas-datubazes-28270.html" TargetMode="External"/><Relationship Id="rId4" Type="http://schemas.openxmlformats.org/officeDocument/2006/relationships/hyperlink" Target="http://www.samc.lv/lv/lvs-biroja-zinas/249-latvijas-standarta-status%C4%81-pie%C5%86emts-ilgi-gaid%C4%ABtais-energop%C4%81rvald%C4%ABbas-standarts-lvs-en-iso-50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9FA5-2F7C-4729-A85B-5FEB39DE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21433</Words>
  <Characters>12218</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33584</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Piģēns;67013133</dc:creator>
  <cp:lastModifiedBy>Kārlis Piģēns</cp:lastModifiedBy>
  <cp:revision>5</cp:revision>
  <cp:lastPrinted>2015-07-06T06:48:00Z</cp:lastPrinted>
  <dcterms:created xsi:type="dcterms:W3CDTF">2015-07-06T06:45:00Z</dcterms:created>
  <dcterms:modified xsi:type="dcterms:W3CDTF">2015-07-06T06:48:00Z</dcterms:modified>
</cp:coreProperties>
</file>