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F5" w:rsidRPr="00A93F52" w:rsidRDefault="005241F5" w:rsidP="005241F5">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A93F52">
        <w:rPr>
          <w:b/>
          <w:sz w:val="28"/>
          <w:szCs w:val="28"/>
          <w:lang w:val="lv-LV"/>
        </w:rPr>
        <w:t>Ministru kabineta noteikumu projekta</w:t>
      </w:r>
    </w:p>
    <w:p w:rsidR="005241F5" w:rsidRPr="00A93F52" w:rsidRDefault="005241F5" w:rsidP="005241F5">
      <w:pPr>
        <w:ind w:firstLine="720"/>
        <w:jc w:val="center"/>
        <w:rPr>
          <w:b/>
          <w:bCs/>
          <w:sz w:val="28"/>
          <w:szCs w:val="28"/>
          <w:lang w:val="lv-LV"/>
        </w:rPr>
      </w:pPr>
      <w:r w:rsidRPr="00A93F52">
        <w:rPr>
          <w:b/>
          <w:sz w:val="28"/>
          <w:szCs w:val="28"/>
          <w:lang w:val="lv-LV"/>
        </w:rPr>
        <w:t>„</w:t>
      </w:r>
      <w:r w:rsidRPr="00493C4B">
        <w:rPr>
          <w:b/>
          <w:sz w:val="28"/>
          <w:szCs w:val="28"/>
          <w:lang w:val="lv-LV"/>
        </w:rPr>
        <w:t xml:space="preserve">Noteikumi par Latvijas būvnormatīvu </w:t>
      </w:r>
      <w:r w:rsidRPr="00B5593F">
        <w:rPr>
          <w:b/>
          <w:sz w:val="28"/>
          <w:szCs w:val="28"/>
          <w:lang w:val="lv-LV"/>
        </w:rPr>
        <w:t>LBN 22</w:t>
      </w:r>
      <w:r>
        <w:rPr>
          <w:b/>
          <w:sz w:val="28"/>
          <w:szCs w:val="28"/>
          <w:lang w:val="lv-LV"/>
        </w:rPr>
        <w:t>1</w:t>
      </w:r>
      <w:r w:rsidRPr="00B5593F">
        <w:rPr>
          <w:b/>
          <w:sz w:val="28"/>
          <w:szCs w:val="28"/>
          <w:lang w:val="lv-LV"/>
        </w:rPr>
        <w:t xml:space="preserve">-15 </w:t>
      </w:r>
      <w:r w:rsidRPr="00157951">
        <w:rPr>
          <w:b/>
          <w:sz w:val="28"/>
          <w:szCs w:val="28"/>
          <w:lang w:val="lv-LV"/>
        </w:rPr>
        <w:t>„</w:t>
      </w:r>
      <w:r w:rsidRPr="00157951">
        <w:rPr>
          <w:b/>
          <w:bCs/>
          <w:color w:val="000000" w:themeColor="text1"/>
          <w:sz w:val="28"/>
          <w:szCs w:val="28"/>
        </w:rPr>
        <w:t xml:space="preserve"> Ēku iekšējais ūdensvads un kanalizācija</w:t>
      </w:r>
      <w:r w:rsidRPr="00B5593F">
        <w:rPr>
          <w:b/>
          <w:sz w:val="28"/>
          <w:szCs w:val="28"/>
          <w:lang w:val="lv-LV"/>
        </w:rPr>
        <w:t>”</w:t>
      </w:r>
      <w:r w:rsidRPr="00A93F52">
        <w:rPr>
          <w:b/>
          <w:sz w:val="28"/>
          <w:szCs w:val="28"/>
          <w:lang w:val="lv-LV"/>
        </w:rPr>
        <w:t xml:space="preserve">” sākotnējās ietekmes novērtējuma </w:t>
      </w:r>
      <w:smartTag w:uri="schemas-tilde-lv/tildestengine" w:element="veidnes">
        <w:smartTagPr>
          <w:attr w:name="id" w:val="-1"/>
          <w:attr w:name="baseform" w:val="ziņojums"/>
          <w:attr w:name="text" w:val="ziņojums"/>
        </w:smartTagPr>
        <w:r w:rsidRPr="00A93F52">
          <w:rPr>
            <w:b/>
            <w:sz w:val="28"/>
            <w:szCs w:val="28"/>
            <w:lang w:val="lv-LV"/>
          </w:rPr>
          <w:t>ziņojums</w:t>
        </w:r>
      </w:smartTag>
      <w:r w:rsidRPr="00A93F52">
        <w:rPr>
          <w:b/>
          <w:sz w:val="28"/>
          <w:szCs w:val="28"/>
          <w:lang w:val="lv-LV"/>
        </w:rPr>
        <w:t xml:space="preserve"> (</w:t>
      </w:r>
      <w:r w:rsidRPr="00A93F52">
        <w:rPr>
          <w:b/>
          <w:bCs/>
          <w:sz w:val="28"/>
          <w:szCs w:val="28"/>
          <w:lang w:val="lv-LV"/>
        </w:rPr>
        <w:t>anotācija)</w:t>
      </w:r>
      <w:bookmarkEnd w:id="0"/>
      <w:bookmarkEnd w:id="1"/>
      <w:bookmarkEnd w:id="2"/>
      <w:bookmarkEnd w:id="3"/>
      <w:bookmarkEnd w:id="4"/>
    </w:p>
    <w:p w:rsidR="005241F5" w:rsidRPr="00A93F52" w:rsidRDefault="005241F5" w:rsidP="005241F5">
      <w:pPr>
        <w:tabs>
          <w:tab w:val="left" w:pos="7230"/>
        </w:tabs>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
        <w:gridCol w:w="3177"/>
        <w:gridCol w:w="5360"/>
      </w:tblGrid>
      <w:tr w:rsidR="005241F5" w:rsidRPr="00DF184D" w:rsidTr="00324D68">
        <w:tc>
          <w:tcPr>
            <w:tcW w:w="5000" w:type="pct"/>
            <w:gridSpan w:val="3"/>
            <w:vAlign w:val="center"/>
          </w:tcPr>
          <w:p w:rsidR="005241F5" w:rsidRPr="00A93F52" w:rsidRDefault="005241F5" w:rsidP="00324D68">
            <w:pPr>
              <w:contextualSpacing/>
              <w:jc w:val="center"/>
              <w:rPr>
                <w:sz w:val="28"/>
                <w:szCs w:val="28"/>
                <w:lang w:val="lv-LV"/>
              </w:rPr>
            </w:pPr>
            <w:r w:rsidRPr="00A93F52">
              <w:rPr>
                <w:b/>
                <w:sz w:val="28"/>
                <w:szCs w:val="28"/>
                <w:lang w:val="lv-LV"/>
              </w:rPr>
              <w:t>I. Tiesību akta projekta izstrādes nepieciešamība</w:t>
            </w:r>
          </w:p>
        </w:tc>
      </w:tr>
      <w:tr w:rsidR="005241F5" w:rsidRPr="00DF184D" w:rsidTr="00324D68">
        <w:trPr>
          <w:trHeight w:val="439"/>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t> 1.</w:t>
            </w:r>
          </w:p>
        </w:tc>
        <w:tc>
          <w:tcPr>
            <w:tcW w:w="1753" w:type="pct"/>
          </w:tcPr>
          <w:p w:rsidR="005241F5" w:rsidRPr="00CF5FBA" w:rsidRDefault="005241F5" w:rsidP="00324D68">
            <w:pPr>
              <w:ind w:left="57" w:right="57"/>
              <w:contextualSpacing/>
              <w:rPr>
                <w:sz w:val="26"/>
                <w:szCs w:val="26"/>
                <w:lang w:val="lv-LV"/>
              </w:rPr>
            </w:pPr>
            <w:r w:rsidRPr="00CF5FBA">
              <w:rPr>
                <w:sz w:val="26"/>
                <w:szCs w:val="26"/>
                <w:lang w:val="lv-LV"/>
              </w:rPr>
              <w:t>Pamatojums</w:t>
            </w:r>
          </w:p>
        </w:tc>
        <w:tc>
          <w:tcPr>
            <w:tcW w:w="2958" w:type="pct"/>
          </w:tcPr>
          <w:p w:rsidR="005241F5" w:rsidRPr="00CF5FBA" w:rsidRDefault="005241F5" w:rsidP="00324D68">
            <w:pPr>
              <w:shd w:val="clear" w:color="auto" w:fill="FFFFFF"/>
              <w:spacing w:before="100" w:beforeAutospacing="1" w:after="100" w:afterAutospacing="1"/>
              <w:jc w:val="both"/>
              <w:rPr>
                <w:sz w:val="26"/>
                <w:szCs w:val="26"/>
                <w:lang w:val="lv-LV"/>
              </w:rPr>
            </w:pPr>
            <w:r w:rsidRPr="00CF5FBA">
              <w:rPr>
                <w:rFonts w:eastAsia="SimSun"/>
                <w:sz w:val="26"/>
                <w:szCs w:val="26"/>
                <w:lang w:val="lv-LV" w:eastAsia="zh-CN"/>
              </w:rPr>
              <w:t xml:space="preserve">Ministru kabineta noteikumu projekts „Noteikumi par Latvijas būvnormatīvu LBN 221-15 </w:t>
            </w:r>
            <w:r w:rsidRPr="00CF5FBA">
              <w:rPr>
                <w:bCs/>
                <w:color w:val="000000" w:themeColor="text1"/>
                <w:sz w:val="26"/>
                <w:szCs w:val="26"/>
                <w:lang w:val="lv-LV"/>
              </w:rPr>
              <w:t>„Ēku iekšējais ūdensvads un kanalizācija</w:t>
            </w:r>
            <w:r w:rsidRPr="00CF5FBA">
              <w:rPr>
                <w:rFonts w:eastAsia="SimSun"/>
                <w:sz w:val="26"/>
                <w:szCs w:val="26"/>
                <w:lang w:val="lv-LV" w:eastAsia="zh-CN"/>
              </w:rPr>
              <w:t xml:space="preserve">”” (turpmāk – noteikumu projekts) tiek izdots saskaņā ar 07.09.2013. pieņemtā Būvniecības likuma (turpmāk – likums) 5. panta pirmās daļas 3.punktu, kā arī, lai </w:t>
            </w:r>
            <w:r w:rsidRPr="00CF5FBA">
              <w:rPr>
                <w:sz w:val="26"/>
                <w:szCs w:val="26"/>
                <w:lang w:val="lv-LV"/>
              </w:rPr>
              <w:t>nodrošinātu likuma pārejas noteikumu 2. punkta izpildi.</w:t>
            </w:r>
          </w:p>
        </w:tc>
      </w:tr>
      <w:tr w:rsidR="005241F5" w:rsidRPr="00DF184D" w:rsidTr="00324D68">
        <w:trPr>
          <w:trHeight w:val="1544"/>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t> 2.</w:t>
            </w:r>
          </w:p>
        </w:tc>
        <w:tc>
          <w:tcPr>
            <w:tcW w:w="1753" w:type="pct"/>
          </w:tcPr>
          <w:p w:rsidR="005241F5" w:rsidRPr="00CF5FBA" w:rsidRDefault="005241F5" w:rsidP="00324D68">
            <w:pPr>
              <w:ind w:left="57" w:right="57"/>
              <w:contextualSpacing/>
              <w:rPr>
                <w:sz w:val="26"/>
                <w:szCs w:val="26"/>
                <w:lang w:val="lv-LV"/>
              </w:rPr>
            </w:pPr>
            <w:r w:rsidRPr="00CF5FBA">
              <w:rPr>
                <w:sz w:val="26"/>
                <w:szCs w:val="26"/>
                <w:lang w:val="lv-LV"/>
              </w:rPr>
              <w:t>Pašreizējā situācija un problēmas kuru risināšanai tiesību akta projekts izstrādāts, tiesiskā regulējuma mērķis un būtība</w:t>
            </w:r>
          </w:p>
        </w:tc>
        <w:tc>
          <w:tcPr>
            <w:tcW w:w="2958" w:type="pct"/>
          </w:tcPr>
          <w:p w:rsidR="005241F5" w:rsidRPr="00CF5FBA" w:rsidRDefault="005241F5" w:rsidP="00324D68">
            <w:pPr>
              <w:shd w:val="clear" w:color="auto" w:fill="FFFFFF"/>
              <w:spacing w:before="100" w:beforeAutospacing="1" w:line="293" w:lineRule="atLeast"/>
              <w:ind w:firstLine="284"/>
              <w:jc w:val="both"/>
              <w:rPr>
                <w:sz w:val="26"/>
                <w:szCs w:val="26"/>
                <w:lang w:val="lv-LV"/>
              </w:rPr>
            </w:pPr>
            <w:r w:rsidRPr="00CF5FBA">
              <w:rPr>
                <w:sz w:val="26"/>
                <w:szCs w:val="26"/>
                <w:lang w:val="lv-LV"/>
              </w:rPr>
              <w:t xml:space="preserve">Atbilstoši likuma pārejas noteikumu 2. punktam Latvijas būvnormatīvs LBN 221-98 </w:t>
            </w:r>
            <w:r w:rsidRPr="00CF5FBA">
              <w:rPr>
                <w:bCs/>
                <w:color w:val="000000" w:themeColor="text1"/>
                <w:sz w:val="26"/>
                <w:szCs w:val="26"/>
                <w:lang w:val="lv-LV"/>
              </w:rPr>
              <w:t>„Ēku iekšējais ūdensvads un kanalizācija</w:t>
            </w:r>
            <w:r w:rsidRPr="00CF5FBA">
              <w:rPr>
                <w:rFonts w:eastAsia="SimSun"/>
                <w:sz w:val="26"/>
                <w:szCs w:val="26"/>
                <w:lang w:val="lv-LV" w:eastAsia="zh-CN"/>
              </w:rPr>
              <w:t>”</w:t>
            </w:r>
            <w:r w:rsidRPr="00CF5FBA">
              <w:rPr>
                <w:sz w:val="26"/>
                <w:szCs w:val="26"/>
                <w:lang w:val="lv-LV"/>
              </w:rPr>
              <w:t xml:space="preserve"> ir piemērojams ne ilgāk kā līdz 2015. gada 1. jūlijam. Līdz ar to, līdz šim laikam ir nepieciešamas izdot jaunus atbilstošus būvnormatīvus, lai noteiktu prasības attiecībā uz ūdensvada un kanalizācijas iekšējo inženiertīklu (izņemot ugunsdzēsības sistēmas, siltummezglu ūdensapgādes sistēmas,  karstā ūdens apstrādes iekārtas, ražošanas un tehnoloģisko iekārtu, arī medicīnas procedūru ūdensapgādes sistēmas) projektēšanai.</w:t>
            </w:r>
          </w:p>
          <w:p w:rsidR="005241F5" w:rsidRPr="00CF5FBA" w:rsidRDefault="005241F5" w:rsidP="00324D68">
            <w:pPr>
              <w:pStyle w:val="naiskr"/>
              <w:spacing w:before="0" w:after="0"/>
              <w:ind w:left="57" w:right="57"/>
              <w:contextualSpacing/>
              <w:jc w:val="both"/>
              <w:rPr>
                <w:sz w:val="26"/>
                <w:szCs w:val="26"/>
              </w:rPr>
            </w:pPr>
            <w:r w:rsidRPr="00CF5FBA">
              <w:rPr>
                <w:sz w:val="26"/>
                <w:szCs w:val="26"/>
              </w:rPr>
              <w:t xml:space="preserve">  Noteikumu projekts apstiprina būvnormatīvu, ar ko nosaka prasības ūdensvada un kanalizācijas ēku iekšējo inženiertīklu, tai skaitā lietusūdens novadīšanas sistēmu projektēšanai. </w:t>
            </w:r>
          </w:p>
          <w:p w:rsidR="005241F5" w:rsidRPr="00CF5FBA" w:rsidRDefault="005241F5" w:rsidP="00324D68">
            <w:pPr>
              <w:pStyle w:val="naiskr"/>
              <w:spacing w:before="0" w:after="0"/>
              <w:ind w:left="57" w:right="57"/>
              <w:contextualSpacing/>
              <w:jc w:val="both"/>
              <w:rPr>
                <w:sz w:val="26"/>
                <w:szCs w:val="26"/>
              </w:rPr>
            </w:pPr>
            <w:r w:rsidRPr="00CF5FBA">
              <w:rPr>
                <w:sz w:val="26"/>
                <w:szCs w:val="26"/>
              </w:rPr>
              <w:t xml:space="preserve">  Ar noteikumu projekta spēkā stāšanos spēku zaudēs Latvijas būvnormatīvs LBN 221-98 </w:t>
            </w:r>
            <w:r w:rsidRPr="00CF5FBA">
              <w:rPr>
                <w:bCs/>
                <w:color w:val="000000" w:themeColor="text1"/>
                <w:sz w:val="26"/>
                <w:szCs w:val="26"/>
              </w:rPr>
              <w:t>„Ēku iekšējais ūdensvads un kanalizācija</w:t>
            </w:r>
            <w:r w:rsidRPr="00CF5FBA">
              <w:rPr>
                <w:rFonts w:eastAsia="SimSun"/>
                <w:sz w:val="26"/>
                <w:szCs w:val="26"/>
                <w:lang w:eastAsia="zh-CN"/>
              </w:rPr>
              <w:t>”</w:t>
            </w:r>
            <w:r w:rsidRPr="00CF5FBA">
              <w:rPr>
                <w:sz w:val="26"/>
                <w:szCs w:val="26"/>
              </w:rPr>
              <w:t xml:space="preserve">, kas apstiprināts ar Ministru kabineta 1998.gada 21.jūlija noteikumiem Nr.256  „Noteikumi par Latvijas būvnormatīvu LBN 221-98 </w:t>
            </w:r>
            <w:r w:rsidRPr="00CF5FBA">
              <w:rPr>
                <w:bCs/>
                <w:color w:val="000000" w:themeColor="text1"/>
                <w:sz w:val="26"/>
                <w:szCs w:val="26"/>
              </w:rPr>
              <w:t>„Ēku iekšējais ūdensvads un kanalizācija</w:t>
            </w:r>
            <w:r w:rsidRPr="00CF5FBA">
              <w:rPr>
                <w:rFonts w:eastAsia="SimSun"/>
                <w:sz w:val="26"/>
                <w:szCs w:val="26"/>
                <w:lang w:eastAsia="zh-CN"/>
              </w:rPr>
              <w:t>”</w:t>
            </w:r>
            <w:r w:rsidRPr="00CF5FBA">
              <w:rPr>
                <w:sz w:val="26"/>
                <w:szCs w:val="26"/>
              </w:rPr>
              <w:t>”.</w:t>
            </w:r>
          </w:p>
        </w:tc>
      </w:tr>
      <w:tr w:rsidR="005241F5" w:rsidRPr="00DF184D" w:rsidTr="00324D68">
        <w:trPr>
          <w:trHeight w:val="706"/>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t> 3.</w:t>
            </w:r>
          </w:p>
        </w:tc>
        <w:tc>
          <w:tcPr>
            <w:tcW w:w="1753" w:type="pct"/>
          </w:tcPr>
          <w:p w:rsidR="005241F5" w:rsidRPr="00CF5FBA" w:rsidRDefault="005241F5" w:rsidP="00324D68">
            <w:pPr>
              <w:ind w:left="57" w:right="57"/>
              <w:contextualSpacing/>
              <w:rPr>
                <w:sz w:val="26"/>
                <w:szCs w:val="26"/>
                <w:lang w:val="lv-LV"/>
              </w:rPr>
            </w:pPr>
            <w:r w:rsidRPr="00CF5FBA">
              <w:rPr>
                <w:sz w:val="26"/>
                <w:szCs w:val="26"/>
                <w:lang w:val="lv-LV"/>
              </w:rPr>
              <w:t>Projekta izstrādē iesaistītās institūcijas</w:t>
            </w:r>
          </w:p>
        </w:tc>
        <w:tc>
          <w:tcPr>
            <w:tcW w:w="2958" w:type="pct"/>
          </w:tcPr>
          <w:p w:rsidR="005241F5" w:rsidRPr="00CF5FBA" w:rsidRDefault="005241F5" w:rsidP="00324D68">
            <w:pPr>
              <w:ind w:left="57" w:right="57"/>
              <w:contextualSpacing/>
              <w:jc w:val="both"/>
              <w:rPr>
                <w:sz w:val="26"/>
                <w:szCs w:val="26"/>
                <w:lang w:val="lv-LV"/>
              </w:rPr>
            </w:pPr>
            <w:r w:rsidRPr="00CF5FBA">
              <w:rPr>
                <w:sz w:val="26"/>
                <w:szCs w:val="26"/>
                <w:lang w:val="lv-LV"/>
              </w:rPr>
              <w:t>Noteikumu projekts šo jomu neskar.</w:t>
            </w:r>
          </w:p>
        </w:tc>
      </w:tr>
      <w:tr w:rsidR="005241F5" w:rsidRPr="00CF5FBA" w:rsidTr="00324D68">
        <w:trPr>
          <w:trHeight w:val="384"/>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t> 4.</w:t>
            </w:r>
          </w:p>
        </w:tc>
        <w:tc>
          <w:tcPr>
            <w:tcW w:w="1753" w:type="pct"/>
          </w:tcPr>
          <w:p w:rsidR="005241F5" w:rsidRPr="00CF5FBA" w:rsidRDefault="005241F5" w:rsidP="00324D68">
            <w:pPr>
              <w:ind w:left="57" w:right="57"/>
              <w:contextualSpacing/>
              <w:rPr>
                <w:sz w:val="26"/>
                <w:szCs w:val="26"/>
                <w:lang w:val="lv-LV"/>
              </w:rPr>
            </w:pPr>
            <w:r w:rsidRPr="00CF5FBA">
              <w:rPr>
                <w:sz w:val="26"/>
                <w:szCs w:val="26"/>
                <w:lang w:val="lv-LV"/>
              </w:rPr>
              <w:t>Cita informācija</w:t>
            </w:r>
          </w:p>
        </w:tc>
        <w:tc>
          <w:tcPr>
            <w:tcW w:w="2958" w:type="pct"/>
          </w:tcPr>
          <w:p w:rsidR="005241F5" w:rsidRPr="00CF5FBA" w:rsidRDefault="005241F5" w:rsidP="00324D68">
            <w:pPr>
              <w:pStyle w:val="naiskr"/>
              <w:spacing w:before="0" w:after="0"/>
              <w:ind w:right="57"/>
              <w:contextualSpacing/>
              <w:jc w:val="both"/>
              <w:rPr>
                <w:sz w:val="26"/>
                <w:szCs w:val="26"/>
              </w:rPr>
            </w:pPr>
            <w:r w:rsidRPr="00CF5FBA">
              <w:rPr>
                <w:sz w:val="26"/>
                <w:szCs w:val="26"/>
              </w:rPr>
              <w:t>Nav</w:t>
            </w:r>
          </w:p>
        </w:tc>
      </w:tr>
    </w:tbl>
    <w:p w:rsidR="005241F5" w:rsidRPr="00A93F52" w:rsidRDefault="005241F5" w:rsidP="005241F5">
      <w:pPr>
        <w:ind w:left="57" w:right="57"/>
        <w:contextualSpacing/>
        <w:rPr>
          <w:sz w:val="28"/>
          <w:szCs w:val="28"/>
          <w:lang w:val="lv-LV"/>
        </w:rPr>
      </w:pPr>
    </w:p>
    <w:tbl>
      <w:tblPr>
        <w:tblW w:w="5000"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4"/>
        <w:gridCol w:w="3153"/>
        <w:gridCol w:w="5384"/>
      </w:tblGrid>
      <w:tr w:rsidR="005241F5" w:rsidRPr="00DF184D" w:rsidTr="00324D68">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41F5" w:rsidRPr="00A93F52" w:rsidRDefault="005241F5" w:rsidP="00324D68">
            <w:pPr>
              <w:ind w:left="57" w:right="57"/>
              <w:contextualSpacing/>
              <w:jc w:val="center"/>
              <w:rPr>
                <w:b/>
                <w:sz w:val="28"/>
                <w:szCs w:val="28"/>
                <w:lang w:val="lv-LV"/>
              </w:rPr>
            </w:pPr>
            <w:r w:rsidRPr="00A93F52">
              <w:rPr>
                <w:b/>
                <w:sz w:val="28"/>
                <w:szCs w:val="28"/>
                <w:lang w:val="lv-LV"/>
              </w:rPr>
              <w:t>II. Tiesību akta projekta ietekme uz sabiedrību tautsaimniecības attīstību un administratīvo slogu</w:t>
            </w:r>
          </w:p>
        </w:tc>
      </w:tr>
      <w:tr w:rsidR="005241F5" w:rsidRPr="00CF5FBA" w:rsidTr="00324D68">
        <w:trPr>
          <w:trHeight w:val="467"/>
        </w:trPr>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1.</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Sabiedrības mērķgrupas, kuras tiesiskais regulējums  ietekmē vai varētu ietekmēt</w:t>
            </w:r>
          </w:p>
        </w:tc>
        <w:tc>
          <w:tcPr>
            <w:tcW w:w="2972"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jc w:val="both"/>
              <w:rPr>
                <w:sz w:val="26"/>
                <w:szCs w:val="26"/>
                <w:lang w:val="lv-LV"/>
              </w:rPr>
            </w:pPr>
            <w:r w:rsidRPr="00CF5FBA">
              <w:rPr>
                <w:iCs/>
                <w:sz w:val="26"/>
                <w:szCs w:val="26"/>
                <w:lang w:val="lv-LV"/>
              </w:rPr>
              <w:t xml:space="preserve">Noteikumu projekta regulējums var ietekmēt jebkuru personu, kura ierosinās un veiks būvniecību, kā arī institūcijas, kuras iesaistītas </w:t>
            </w:r>
            <w:r w:rsidRPr="00CF5FBA">
              <w:rPr>
                <w:iCs/>
                <w:sz w:val="26"/>
                <w:szCs w:val="26"/>
                <w:lang w:val="lv-LV"/>
              </w:rPr>
              <w:lastRenderedPageBreak/>
              <w:t>būvniecības procesā. Tāpat arī ietekmēs būvniecības nozarē strādājošos būvdarbu veicējus.</w:t>
            </w:r>
          </w:p>
        </w:tc>
      </w:tr>
      <w:tr w:rsidR="005241F5" w:rsidRPr="00DF184D" w:rsidTr="00324D68">
        <w:trPr>
          <w:trHeight w:val="523"/>
        </w:trPr>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lastRenderedPageBreak/>
              <w:t> 2.</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Tiesiskā regulējuma ietekme uz tautsaimniecību un administratīvo slogu</w:t>
            </w:r>
          </w:p>
        </w:tc>
        <w:tc>
          <w:tcPr>
            <w:tcW w:w="2972"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right="57"/>
              <w:contextualSpacing/>
              <w:jc w:val="both"/>
              <w:rPr>
                <w:sz w:val="26"/>
                <w:szCs w:val="26"/>
                <w:lang w:val="lv-LV"/>
              </w:rPr>
            </w:pPr>
            <w:r w:rsidRPr="00CF5FBA">
              <w:rPr>
                <w:sz w:val="26"/>
                <w:szCs w:val="26"/>
                <w:lang w:val="lv-LV"/>
              </w:rPr>
              <w:t>Šīs sadaļas 1. punktā minētajām sabiedrības mērķgrupām un institūcijām projekta tiesiskais regulējums nemaina tiesības un pienākumus, kā arī veicamās darbības salīdzinājumā ar līdzšinējo normatīvo regulējumu.</w:t>
            </w:r>
          </w:p>
        </w:tc>
      </w:tr>
      <w:tr w:rsidR="005241F5" w:rsidRPr="00DF184D" w:rsidTr="00324D68">
        <w:trPr>
          <w:trHeight w:val="517"/>
        </w:trPr>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3.</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Administratīvo izmaksu monetārs novērtējums</w:t>
            </w:r>
          </w:p>
        </w:tc>
        <w:tc>
          <w:tcPr>
            <w:tcW w:w="2972"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jc w:val="both"/>
              <w:rPr>
                <w:sz w:val="26"/>
                <w:szCs w:val="26"/>
                <w:lang w:val="lv-LV"/>
              </w:rPr>
            </w:pPr>
            <w:r w:rsidRPr="00CF5FBA">
              <w:rPr>
                <w:sz w:val="26"/>
                <w:szCs w:val="26"/>
                <w:lang w:val="lv-LV"/>
              </w:rPr>
              <w:t>Noteikumu projekts šo jomu neskar</w:t>
            </w:r>
          </w:p>
        </w:tc>
      </w:tr>
      <w:tr w:rsidR="005241F5" w:rsidRPr="00CF5FBA" w:rsidTr="00324D68">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4.</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Cita informācija</w:t>
            </w:r>
          </w:p>
        </w:tc>
        <w:tc>
          <w:tcPr>
            <w:tcW w:w="2972"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jc w:val="both"/>
              <w:rPr>
                <w:sz w:val="26"/>
                <w:szCs w:val="26"/>
                <w:lang w:val="lv-LV"/>
              </w:rPr>
            </w:pPr>
            <w:r w:rsidRPr="00CF5FBA">
              <w:rPr>
                <w:sz w:val="26"/>
                <w:szCs w:val="26"/>
                <w:lang w:val="lv-LV"/>
              </w:rPr>
              <w:t>Nav</w:t>
            </w:r>
          </w:p>
        </w:tc>
      </w:tr>
    </w:tbl>
    <w:p w:rsidR="005241F5" w:rsidRPr="00A93F52" w:rsidRDefault="005241F5" w:rsidP="005241F5">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2885"/>
        <w:gridCol w:w="5618"/>
      </w:tblGrid>
      <w:tr w:rsidR="005241F5" w:rsidRPr="00DF184D" w:rsidTr="00324D68">
        <w:trPr>
          <w:jc w:val="center"/>
        </w:trPr>
        <w:tc>
          <w:tcPr>
            <w:tcW w:w="5000" w:type="pct"/>
            <w:gridSpan w:val="3"/>
          </w:tcPr>
          <w:p w:rsidR="005241F5" w:rsidRPr="00A93F52" w:rsidRDefault="005241F5" w:rsidP="00324D68">
            <w:pPr>
              <w:pStyle w:val="naisnod"/>
              <w:spacing w:before="0" w:after="0"/>
              <w:ind w:left="57" w:right="57"/>
              <w:contextualSpacing/>
              <w:rPr>
                <w:sz w:val="28"/>
                <w:szCs w:val="28"/>
              </w:rPr>
            </w:pPr>
            <w:r w:rsidRPr="00A93F52">
              <w:rPr>
                <w:sz w:val="28"/>
                <w:szCs w:val="28"/>
              </w:rPr>
              <w:t>VI. Sabiedrības līdzdalība un komunikācijas aktivitātes</w:t>
            </w:r>
          </w:p>
        </w:tc>
      </w:tr>
      <w:tr w:rsidR="005241F5" w:rsidRPr="00DF184D" w:rsidTr="00324D68">
        <w:trPr>
          <w:trHeight w:val="553"/>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t>1.</w:t>
            </w:r>
          </w:p>
        </w:tc>
        <w:tc>
          <w:tcPr>
            <w:tcW w:w="1592" w:type="pct"/>
          </w:tcPr>
          <w:p w:rsidR="005241F5" w:rsidRPr="00CF5FBA" w:rsidRDefault="005241F5" w:rsidP="00324D68">
            <w:pPr>
              <w:pStyle w:val="naiskr"/>
              <w:tabs>
                <w:tab w:val="left" w:pos="170"/>
              </w:tabs>
              <w:spacing w:before="0" w:after="0"/>
              <w:ind w:left="57" w:right="57"/>
              <w:contextualSpacing/>
              <w:rPr>
                <w:sz w:val="26"/>
                <w:szCs w:val="26"/>
              </w:rPr>
            </w:pPr>
            <w:r w:rsidRPr="00CF5FBA">
              <w:rPr>
                <w:sz w:val="26"/>
                <w:szCs w:val="26"/>
              </w:rPr>
              <w:t>Sabiedrības informēšana par projekta izstrādes uzsākšanu</w:t>
            </w:r>
          </w:p>
        </w:tc>
        <w:tc>
          <w:tcPr>
            <w:tcW w:w="3100" w:type="pct"/>
          </w:tcPr>
          <w:p w:rsidR="005241F5" w:rsidRPr="00CF5FBA" w:rsidRDefault="005241F5" w:rsidP="00324D68">
            <w:pPr>
              <w:pStyle w:val="naiskr"/>
              <w:spacing w:before="0" w:after="0"/>
              <w:ind w:left="57" w:right="57"/>
              <w:contextualSpacing/>
              <w:jc w:val="both"/>
              <w:rPr>
                <w:rFonts w:eastAsiaTheme="minorHAnsi"/>
                <w:sz w:val="26"/>
                <w:szCs w:val="26"/>
                <w:lang w:eastAsia="en-US"/>
              </w:rPr>
            </w:pPr>
            <w:r w:rsidRPr="00CF5FBA">
              <w:rPr>
                <w:sz w:val="26"/>
                <w:szCs w:val="26"/>
                <w:lang w:eastAsia="en-US"/>
              </w:rPr>
              <w:t xml:space="preserve">Par noteikumu projekta pārstrādi sabiedrība tika informēta Ekonomikas ministrijas rīkotajos semināros par jauno būvniecības regulējumu. Noteikumu projekts sabiedrībai publiski ir pieejams Ekonomikas ministrijas mājās lapā internetā sākto ar 2015. gada 20.aprīli, kā arī pēc izsludināšanas Valsts sekretāra sanāksmē būs pieejams Ministru kabineta mājās lapā internetā. </w:t>
            </w:r>
          </w:p>
          <w:p w:rsidR="005241F5" w:rsidRPr="00CF5FBA" w:rsidRDefault="005241F5" w:rsidP="00324D68">
            <w:pPr>
              <w:pStyle w:val="naiskr"/>
              <w:spacing w:before="0" w:after="0"/>
              <w:ind w:left="57" w:right="57"/>
              <w:contextualSpacing/>
              <w:jc w:val="both"/>
              <w:rPr>
                <w:sz w:val="26"/>
                <w:szCs w:val="26"/>
              </w:rPr>
            </w:pPr>
            <w:r w:rsidRPr="00CF5FBA">
              <w:rPr>
                <w:sz w:val="26"/>
                <w:szCs w:val="26"/>
                <w:lang w:eastAsia="en-US"/>
              </w:rPr>
              <w:t>Ministru kabineta 2009. gada 25. augusta noteikumu Nr.970 „Sabiedrības līdzdalības kārtība attīstības plānošanas procesā” 13. punktā minētās darbības nav jāveic, jo noteikumu projektā paredzētais tiesiskais regulējums nemaina līdzšinējo spēkā esošo regulējumu.</w:t>
            </w:r>
          </w:p>
        </w:tc>
      </w:tr>
      <w:tr w:rsidR="005241F5" w:rsidRPr="00DF184D" w:rsidTr="00324D68">
        <w:trPr>
          <w:trHeight w:val="339"/>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t>2.</w:t>
            </w:r>
          </w:p>
        </w:tc>
        <w:tc>
          <w:tcPr>
            <w:tcW w:w="1592" w:type="pct"/>
          </w:tcPr>
          <w:p w:rsidR="005241F5" w:rsidRPr="00CF5FBA" w:rsidRDefault="005241F5" w:rsidP="00324D68">
            <w:pPr>
              <w:pStyle w:val="naiskr"/>
              <w:spacing w:before="0" w:after="0"/>
              <w:ind w:left="57" w:right="57"/>
              <w:contextualSpacing/>
              <w:rPr>
                <w:sz w:val="26"/>
                <w:szCs w:val="26"/>
              </w:rPr>
            </w:pPr>
            <w:r w:rsidRPr="00CF5FBA">
              <w:rPr>
                <w:sz w:val="26"/>
                <w:szCs w:val="26"/>
              </w:rPr>
              <w:t xml:space="preserve">Sabiedrības līdzdalība projekta izstrādē </w:t>
            </w:r>
          </w:p>
        </w:tc>
        <w:tc>
          <w:tcPr>
            <w:tcW w:w="3100" w:type="pct"/>
          </w:tcPr>
          <w:p w:rsidR="005241F5" w:rsidRPr="00CF5FBA" w:rsidRDefault="005241F5" w:rsidP="00324D68">
            <w:pPr>
              <w:pStyle w:val="naiskr"/>
              <w:spacing w:before="0" w:after="0"/>
              <w:ind w:left="57" w:right="57"/>
              <w:contextualSpacing/>
              <w:jc w:val="both"/>
              <w:rPr>
                <w:sz w:val="26"/>
                <w:szCs w:val="26"/>
              </w:rPr>
            </w:pPr>
            <w:r w:rsidRPr="00CF5FBA">
              <w:rPr>
                <w:sz w:val="26"/>
                <w:szCs w:val="26"/>
                <w:lang w:eastAsia="en-US"/>
              </w:rPr>
              <w:t>Sabiedrības priekšlikumi vai iebildumi nav saņemti.</w:t>
            </w:r>
          </w:p>
        </w:tc>
      </w:tr>
      <w:tr w:rsidR="005241F5" w:rsidRPr="00DF184D" w:rsidTr="00324D68">
        <w:trPr>
          <w:trHeight w:val="375"/>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t>3.</w:t>
            </w:r>
          </w:p>
        </w:tc>
        <w:tc>
          <w:tcPr>
            <w:tcW w:w="1592" w:type="pct"/>
          </w:tcPr>
          <w:p w:rsidR="005241F5" w:rsidRPr="00CF5FBA" w:rsidRDefault="005241F5" w:rsidP="00324D68">
            <w:pPr>
              <w:pStyle w:val="naiskr"/>
              <w:spacing w:before="0" w:after="0"/>
              <w:ind w:left="57" w:right="57"/>
              <w:contextualSpacing/>
              <w:rPr>
                <w:sz w:val="26"/>
                <w:szCs w:val="26"/>
              </w:rPr>
            </w:pPr>
            <w:r w:rsidRPr="00CF5FBA">
              <w:rPr>
                <w:sz w:val="26"/>
                <w:szCs w:val="26"/>
              </w:rPr>
              <w:t xml:space="preserve">Sabiedrības līdzdalības rezultāti </w:t>
            </w:r>
          </w:p>
        </w:tc>
        <w:tc>
          <w:tcPr>
            <w:tcW w:w="3100" w:type="pct"/>
          </w:tcPr>
          <w:p w:rsidR="005241F5" w:rsidRPr="00CF5FBA" w:rsidRDefault="005241F5" w:rsidP="00324D68">
            <w:pPr>
              <w:pStyle w:val="naiskr"/>
              <w:spacing w:before="0" w:after="0"/>
              <w:ind w:left="57" w:right="57"/>
              <w:contextualSpacing/>
              <w:jc w:val="both"/>
              <w:rPr>
                <w:sz w:val="26"/>
                <w:szCs w:val="26"/>
              </w:rPr>
            </w:pPr>
            <w:r w:rsidRPr="00CF5FBA">
              <w:rPr>
                <w:sz w:val="26"/>
                <w:szCs w:val="26"/>
                <w:lang w:eastAsia="en-US"/>
              </w:rPr>
              <w:t>Sadaļa tiks precizēta atbilstoši saņemtajiem atzinumiem.</w:t>
            </w:r>
          </w:p>
        </w:tc>
      </w:tr>
      <w:tr w:rsidR="005241F5" w:rsidRPr="00CF5FBA" w:rsidTr="00324D68">
        <w:trPr>
          <w:trHeight w:val="476"/>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t>4.</w:t>
            </w:r>
          </w:p>
        </w:tc>
        <w:tc>
          <w:tcPr>
            <w:tcW w:w="1592" w:type="pct"/>
          </w:tcPr>
          <w:p w:rsidR="005241F5" w:rsidRPr="00CF5FBA" w:rsidRDefault="005241F5" w:rsidP="00324D68">
            <w:pPr>
              <w:pStyle w:val="naiskr"/>
              <w:spacing w:before="0" w:after="0"/>
              <w:ind w:left="57" w:right="57"/>
              <w:contextualSpacing/>
              <w:rPr>
                <w:sz w:val="26"/>
                <w:szCs w:val="26"/>
              </w:rPr>
            </w:pPr>
            <w:r w:rsidRPr="00CF5FBA">
              <w:rPr>
                <w:sz w:val="26"/>
                <w:szCs w:val="26"/>
              </w:rPr>
              <w:t>Cita informācija</w:t>
            </w:r>
          </w:p>
        </w:tc>
        <w:tc>
          <w:tcPr>
            <w:tcW w:w="3100" w:type="pct"/>
          </w:tcPr>
          <w:p w:rsidR="005241F5" w:rsidRPr="00CF5FBA" w:rsidRDefault="005241F5" w:rsidP="00324D68">
            <w:pPr>
              <w:pStyle w:val="naiskr"/>
              <w:spacing w:before="0" w:after="0"/>
              <w:ind w:left="57" w:right="57"/>
              <w:contextualSpacing/>
              <w:jc w:val="both"/>
              <w:rPr>
                <w:sz w:val="26"/>
                <w:szCs w:val="26"/>
              </w:rPr>
            </w:pPr>
            <w:r w:rsidRPr="00CF5FBA">
              <w:rPr>
                <w:sz w:val="26"/>
                <w:szCs w:val="26"/>
              </w:rPr>
              <w:t>Nav</w:t>
            </w:r>
          </w:p>
        </w:tc>
      </w:tr>
    </w:tbl>
    <w:p w:rsidR="005241F5" w:rsidRPr="00CF5FBA" w:rsidRDefault="005241F5" w:rsidP="005241F5">
      <w:pPr>
        <w:pStyle w:val="naisf"/>
        <w:tabs>
          <w:tab w:val="left" w:pos="6710"/>
        </w:tabs>
        <w:spacing w:before="120" w:after="240"/>
        <w:rPr>
          <w:i/>
          <w:sz w:val="28"/>
          <w:szCs w:val="28"/>
        </w:rPr>
      </w:pPr>
      <w:r w:rsidRPr="00CF5FBA">
        <w:rPr>
          <w:i/>
          <w:sz w:val="28"/>
          <w:szCs w:val="28"/>
        </w:rPr>
        <w:t>Anotācijas III, IV, V un VII sadaļa – projekts šīs jomas neskar.</w:t>
      </w:r>
    </w:p>
    <w:p w:rsidR="005241F5" w:rsidRPr="00CF5FBA" w:rsidRDefault="005241F5" w:rsidP="005241F5">
      <w:pPr>
        <w:jc w:val="both"/>
        <w:rPr>
          <w:sz w:val="28"/>
          <w:szCs w:val="28"/>
          <w:lang w:val="lv-LV"/>
        </w:rPr>
      </w:pPr>
      <w:r w:rsidRPr="00CF5FBA">
        <w:rPr>
          <w:sz w:val="28"/>
          <w:szCs w:val="28"/>
          <w:lang w:val="lv-LV"/>
        </w:rPr>
        <w:t>Ekonomikas ministre</w:t>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t>D.Reizniece-Ozola</w:t>
      </w:r>
    </w:p>
    <w:p w:rsidR="005241F5" w:rsidRPr="00CF5FBA" w:rsidRDefault="005241F5" w:rsidP="005241F5">
      <w:pPr>
        <w:jc w:val="both"/>
        <w:rPr>
          <w:sz w:val="28"/>
          <w:szCs w:val="28"/>
          <w:lang w:val="lv-LV"/>
        </w:rPr>
      </w:pPr>
    </w:p>
    <w:p w:rsidR="005241F5" w:rsidRPr="00CF5FBA" w:rsidRDefault="005241F5" w:rsidP="005241F5">
      <w:pPr>
        <w:jc w:val="both"/>
        <w:rPr>
          <w:sz w:val="28"/>
          <w:szCs w:val="28"/>
          <w:lang w:val="lv-LV"/>
        </w:rPr>
      </w:pPr>
      <w:r w:rsidRPr="00CF5FBA">
        <w:rPr>
          <w:sz w:val="28"/>
          <w:szCs w:val="28"/>
          <w:lang w:val="lv-LV"/>
        </w:rPr>
        <w:t>Iesniedzējs:</w:t>
      </w:r>
    </w:p>
    <w:p w:rsidR="005241F5" w:rsidRPr="00CF5FBA" w:rsidRDefault="005241F5" w:rsidP="005241F5">
      <w:pPr>
        <w:jc w:val="both"/>
        <w:rPr>
          <w:sz w:val="28"/>
          <w:szCs w:val="28"/>
          <w:lang w:val="lv-LV"/>
        </w:rPr>
      </w:pPr>
      <w:r w:rsidRPr="00CF5FBA">
        <w:rPr>
          <w:sz w:val="28"/>
          <w:szCs w:val="28"/>
          <w:lang w:val="lv-LV"/>
        </w:rPr>
        <w:t>Ekonomikas ministre</w:t>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t>D.Reizniece-Ozola</w:t>
      </w:r>
    </w:p>
    <w:p w:rsidR="005241F5" w:rsidRPr="00CF5FBA" w:rsidRDefault="005241F5" w:rsidP="005241F5">
      <w:pPr>
        <w:rPr>
          <w:sz w:val="28"/>
          <w:szCs w:val="28"/>
          <w:lang w:val="lv-LV"/>
        </w:rPr>
      </w:pPr>
    </w:p>
    <w:p w:rsidR="005241F5" w:rsidRPr="00CF5FBA" w:rsidRDefault="005241F5" w:rsidP="005241F5">
      <w:pPr>
        <w:rPr>
          <w:sz w:val="28"/>
          <w:szCs w:val="28"/>
          <w:lang w:val="lv-LV"/>
        </w:rPr>
      </w:pPr>
      <w:r w:rsidRPr="00CF5FBA">
        <w:rPr>
          <w:sz w:val="28"/>
          <w:szCs w:val="28"/>
          <w:lang w:val="lv-LV"/>
        </w:rPr>
        <w:t>Vīza:</w:t>
      </w:r>
    </w:p>
    <w:p w:rsidR="005241F5" w:rsidRPr="00CF5FBA" w:rsidRDefault="005241F5" w:rsidP="005241F5">
      <w:pPr>
        <w:rPr>
          <w:sz w:val="28"/>
          <w:szCs w:val="28"/>
          <w:lang w:val="lv-LV"/>
        </w:rPr>
      </w:pPr>
      <w:r w:rsidRPr="00CF5FBA">
        <w:rPr>
          <w:sz w:val="28"/>
          <w:szCs w:val="28"/>
          <w:lang w:val="lv-LV"/>
        </w:rPr>
        <w:t>Valsts sekretāra pienākumu izpildītājs</w:t>
      </w:r>
    </w:p>
    <w:p w:rsidR="005241F5" w:rsidRPr="00CF5FBA" w:rsidRDefault="005241F5" w:rsidP="005241F5">
      <w:pPr>
        <w:rPr>
          <w:sz w:val="28"/>
          <w:szCs w:val="28"/>
          <w:lang w:val="lv-LV"/>
        </w:rPr>
      </w:pPr>
      <w:r w:rsidRPr="00CF5FBA">
        <w:rPr>
          <w:sz w:val="28"/>
          <w:szCs w:val="28"/>
          <w:lang w:val="lv-LV"/>
        </w:rPr>
        <w:t>Valsts sekretāra vietnieks</w:t>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t>J.Spiridonovs</w:t>
      </w:r>
    </w:p>
    <w:p w:rsidR="005241F5" w:rsidRPr="00CF5FBA" w:rsidRDefault="005241F5" w:rsidP="005241F5">
      <w:pPr>
        <w:tabs>
          <w:tab w:val="left" w:pos="1080"/>
        </w:tabs>
        <w:ind w:firstLine="720"/>
        <w:jc w:val="both"/>
        <w:rPr>
          <w:sz w:val="28"/>
          <w:szCs w:val="28"/>
          <w:lang w:val="lv-LV"/>
        </w:rPr>
      </w:pPr>
    </w:p>
    <w:p w:rsidR="005241F5" w:rsidRPr="00CF5FBA" w:rsidRDefault="005241F5" w:rsidP="005241F5">
      <w:pPr>
        <w:tabs>
          <w:tab w:val="left" w:pos="1080"/>
        </w:tabs>
        <w:ind w:firstLine="720"/>
        <w:jc w:val="both"/>
        <w:rPr>
          <w:szCs w:val="28"/>
          <w:lang w:val="lv-LV"/>
        </w:rPr>
      </w:pPr>
    </w:p>
    <w:p w:rsidR="005241F5" w:rsidRPr="00CF5FBA" w:rsidRDefault="005241F5" w:rsidP="005241F5">
      <w:pPr>
        <w:rPr>
          <w:sz w:val="16"/>
          <w:szCs w:val="16"/>
          <w:lang w:val="de-DE"/>
        </w:rPr>
      </w:pPr>
      <w:r w:rsidRPr="003D4E82">
        <w:rPr>
          <w:sz w:val="16"/>
          <w:szCs w:val="16"/>
        </w:rPr>
        <w:fldChar w:fldCharType="begin"/>
      </w:r>
      <w:r w:rsidRPr="003D4E82">
        <w:rPr>
          <w:sz w:val="16"/>
          <w:szCs w:val="16"/>
        </w:rPr>
        <w:instrText xml:space="preserve"> DATE  \@ "dd.MM.yyyy HH:mm"  \* MERGEFORMAT </w:instrText>
      </w:r>
      <w:r w:rsidRPr="003D4E82">
        <w:rPr>
          <w:sz w:val="16"/>
          <w:szCs w:val="16"/>
        </w:rPr>
        <w:fldChar w:fldCharType="separate"/>
      </w:r>
      <w:r>
        <w:rPr>
          <w:noProof/>
          <w:sz w:val="16"/>
          <w:szCs w:val="16"/>
        </w:rPr>
        <w:t>17.06.2015 14:28</w:t>
      </w:r>
      <w:r w:rsidRPr="003D4E82">
        <w:rPr>
          <w:sz w:val="16"/>
          <w:szCs w:val="16"/>
        </w:rPr>
        <w:fldChar w:fldCharType="end"/>
      </w:r>
    </w:p>
    <w:p w:rsidR="005241F5" w:rsidRPr="00CF5FBA" w:rsidRDefault="005241F5" w:rsidP="005241F5">
      <w:pPr>
        <w:rPr>
          <w:sz w:val="16"/>
          <w:szCs w:val="16"/>
          <w:lang w:val="de-DE"/>
        </w:rPr>
      </w:pPr>
      <w:r w:rsidRPr="003D4E82">
        <w:rPr>
          <w:sz w:val="16"/>
          <w:szCs w:val="16"/>
        </w:rPr>
        <w:fldChar w:fldCharType="begin"/>
      </w:r>
      <w:r w:rsidRPr="00CF5FBA">
        <w:rPr>
          <w:sz w:val="16"/>
          <w:szCs w:val="16"/>
          <w:lang w:val="de-DE"/>
        </w:rPr>
        <w:instrText xml:space="preserve"> NUMWORDS   \* MERGEFORMAT </w:instrText>
      </w:r>
      <w:r w:rsidRPr="003D4E82">
        <w:rPr>
          <w:sz w:val="16"/>
          <w:szCs w:val="16"/>
        </w:rPr>
        <w:fldChar w:fldCharType="separate"/>
      </w:r>
      <w:r w:rsidR="003440F0">
        <w:rPr>
          <w:noProof/>
          <w:sz w:val="16"/>
          <w:szCs w:val="16"/>
          <w:lang w:val="de-DE"/>
        </w:rPr>
        <w:t>469</w:t>
      </w:r>
      <w:r w:rsidRPr="003D4E82">
        <w:rPr>
          <w:sz w:val="16"/>
          <w:szCs w:val="16"/>
        </w:rPr>
        <w:fldChar w:fldCharType="end"/>
      </w:r>
      <w:bookmarkStart w:id="5" w:name="_GoBack"/>
      <w:bookmarkEnd w:id="5"/>
    </w:p>
    <w:p w:rsidR="005241F5" w:rsidRPr="00CF5FBA" w:rsidRDefault="005241F5" w:rsidP="005241F5">
      <w:pPr>
        <w:rPr>
          <w:sz w:val="16"/>
          <w:szCs w:val="16"/>
          <w:lang w:val="de-DE"/>
        </w:rPr>
      </w:pPr>
      <w:r w:rsidRPr="00CF5FBA">
        <w:rPr>
          <w:sz w:val="16"/>
          <w:szCs w:val="16"/>
          <w:lang w:val="de-DE"/>
        </w:rPr>
        <w:t>E.Bučinska,</w:t>
      </w:r>
    </w:p>
    <w:p w:rsidR="00F259AE" w:rsidRDefault="005241F5">
      <w:r w:rsidRPr="00CF5FBA">
        <w:rPr>
          <w:sz w:val="16"/>
          <w:szCs w:val="16"/>
          <w:lang w:val="de-DE"/>
        </w:rPr>
        <w:t xml:space="preserve">67013032, </w:t>
      </w:r>
      <w:hyperlink r:id="rId6" w:history="1">
        <w:r w:rsidRPr="00CF5FBA">
          <w:rPr>
            <w:rStyle w:val="Hyperlink"/>
            <w:color w:val="auto"/>
            <w:sz w:val="16"/>
            <w:szCs w:val="16"/>
            <w:lang w:val="de-DE"/>
          </w:rPr>
          <w:t>Elga.Bucinska@em.gov.lv</w:t>
        </w:r>
      </w:hyperlink>
    </w:p>
    <w:sectPr w:rsidR="00F259AE" w:rsidSect="00FD2D53">
      <w:headerReference w:type="default" r:id="rId7"/>
      <w:footerReference w:type="default" r:id="rId8"/>
      <w:footerReference w:type="first" r:id="rId9"/>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3D" w:rsidRDefault="004B753D" w:rsidP="003440F0">
      <w:r>
        <w:separator/>
      </w:r>
    </w:p>
  </w:endnote>
  <w:endnote w:type="continuationSeparator" w:id="0">
    <w:p w:rsidR="004B753D" w:rsidRDefault="004B753D" w:rsidP="0034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Pr="001622EA" w:rsidRDefault="004B753D" w:rsidP="00724C04">
    <w:pPr>
      <w:jc w:val="both"/>
      <w:rPr>
        <w:lang w:val="lv-LV"/>
      </w:rPr>
    </w:pPr>
    <w:r w:rsidRPr="001622EA">
      <w:rPr>
        <w:sz w:val="20"/>
        <w:lang w:val="lv-LV"/>
      </w:rPr>
      <w:fldChar w:fldCharType="begin"/>
    </w:r>
    <w:r w:rsidRPr="001622EA">
      <w:rPr>
        <w:sz w:val="20"/>
        <w:lang w:val="lv-LV"/>
      </w:rPr>
      <w:instrText xml:space="preserve"> FILENAME   \* MERGEFORMAT </w:instrText>
    </w:r>
    <w:r w:rsidRPr="001622EA">
      <w:rPr>
        <w:sz w:val="20"/>
        <w:lang w:val="lv-LV"/>
      </w:rPr>
      <w:fldChar w:fldCharType="separate"/>
    </w:r>
    <w:r w:rsidR="003440F0">
      <w:rPr>
        <w:noProof/>
        <w:sz w:val="20"/>
        <w:lang w:val="lv-LV"/>
      </w:rPr>
      <w:t>EManot_170615_LBN221</w:t>
    </w:r>
    <w:r w:rsidRPr="001622EA">
      <w:rPr>
        <w:noProof/>
        <w:sz w:val="20"/>
        <w:lang w:val="lv-LV"/>
      </w:rPr>
      <w:fldChar w:fldCharType="end"/>
    </w:r>
    <w:r w:rsidRPr="001622EA">
      <w:rPr>
        <w:sz w:val="20"/>
        <w:lang w:val="lv-LV"/>
      </w:rPr>
      <w:t>; Ministru kabineta noteikumu projekta „Noteikumi par Latvijas būvnormatīvu LBN 22</w:t>
    </w:r>
    <w:r w:rsidRPr="001622EA">
      <w:rPr>
        <w:sz w:val="20"/>
        <w:lang w:val="lv-LV"/>
      </w:rPr>
      <w:t xml:space="preserve">1-15 </w:t>
    </w:r>
    <w:r w:rsidRPr="001622EA">
      <w:rPr>
        <w:sz w:val="20"/>
        <w:lang w:val="lv-LV"/>
      </w:rPr>
      <w:t>“</w:t>
    </w:r>
    <w:r w:rsidRPr="001622EA">
      <w:rPr>
        <w:bCs/>
        <w:color w:val="000000" w:themeColor="text1"/>
        <w:sz w:val="20"/>
        <w:lang w:val="lv-LV"/>
      </w:rPr>
      <w:t>Ēku iekšējais ūdensvads un kanalizācija</w:t>
    </w:r>
    <w:r w:rsidRPr="001622EA">
      <w:rPr>
        <w:sz w:val="20"/>
        <w:lang w:val="lv-LV"/>
      </w:rPr>
      <w:t xml:space="preserve">”” sākotnējās ietekmes novērtējuma </w:t>
    </w:r>
    <w:smartTag w:uri="schemas-tilde-lv/tildestengine" w:element="veidnes">
      <w:smartTagPr>
        <w:attr w:name="id" w:val="-1"/>
        <w:attr w:name="baseform" w:val="ziņojums"/>
        <w:attr w:name="text" w:val="ziņojums"/>
      </w:smartTagPr>
      <w:r w:rsidRPr="001622EA">
        <w:rPr>
          <w:sz w:val="20"/>
          <w:lang w:val="lv-LV"/>
        </w:rPr>
        <w:t>ziņojums</w:t>
      </w:r>
    </w:smartTag>
    <w:r w:rsidRPr="001622EA">
      <w:rPr>
        <w:sz w:val="20"/>
        <w:lang w:val="lv-LV"/>
      </w:rPr>
      <w:t xml:space="preserve"> (</w:t>
    </w:r>
    <w:r w:rsidRPr="001622EA">
      <w:rPr>
        <w:bCs/>
        <w:sz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4" w:rsidRPr="001622EA" w:rsidRDefault="004B753D" w:rsidP="004E4344">
    <w:pPr>
      <w:jc w:val="both"/>
      <w:rPr>
        <w:lang w:val="lv-LV"/>
      </w:rPr>
    </w:pPr>
    <w:r w:rsidRPr="001622EA">
      <w:rPr>
        <w:sz w:val="20"/>
        <w:lang w:val="lv-LV"/>
      </w:rPr>
      <w:fldChar w:fldCharType="begin"/>
    </w:r>
    <w:r w:rsidRPr="001622EA">
      <w:rPr>
        <w:sz w:val="20"/>
        <w:lang w:val="lv-LV"/>
      </w:rPr>
      <w:instrText xml:space="preserve"> FILENAME   \* MERGEFORMAT </w:instrText>
    </w:r>
    <w:r w:rsidRPr="001622EA">
      <w:rPr>
        <w:sz w:val="20"/>
        <w:lang w:val="lv-LV"/>
      </w:rPr>
      <w:fldChar w:fldCharType="separate"/>
    </w:r>
    <w:r w:rsidR="003440F0">
      <w:rPr>
        <w:noProof/>
        <w:sz w:val="20"/>
        <w:lang w:val="lv-LV"/>
      </w:rPr>
      <w:t>EManot_170615_LBN221</w:t>
    </w:r>
    <w:r w:rsidRPr="001622EA">
      <w:rPr>
        <w:noProof/>
        <w:sz w:val="20"/>
        <w:lang w:val="lv-LV"/>
      </w:rPr>
      <w:fldChar w:fldCharType="end"/>
    </w:r>
    <w:r w:rsidRPr="001622EA">
      <w:rPr>
        <w:sz w:val="20"/>
        <w:lang w:val="lv-LV"/>
      </w:rPr>
      <w:t>; Ministru kabineta noteikumu projekta „Noteikumi par Latvijas būvnormatīvu LBN 221-15 “</w:t>
    </w:r>
    <w:r w:rsidRPr="001622EA">
      <w:rPr>
        <w:bCs/>
        <w:color w:val="000000" w:themeColor="text1"/>
        <w:sz w:val="20"/>
        <w:lang w:val="lv-LV"/>
      </w:rPr>
      <w:t xml:space="preserve">Ēku iekšējais </w:t>
    </w:r>
    <w:r w:rsidRPr="001622EA">
      <w:rPr>
        <w:bCs/>
        <w:color w:val="000000" w:themeColor="text1"/>
        <w:sz w:val="20"/>
        <w:lang w:val="lv-LV"/>
      </w:rPr>
      <w:t>ūdensvads un kanalizācija</w:t>
    </w:r>
    <w:r w:rsidRPr="001622EA">
      <w:rPr>
        <w:sz w:val="20"/>
        <w:lang w:val="lv-LV"/>
      </w:rPr>
      <w:t xml:space="preserve">”” sākotnējās ietekmes novērtējuma </w:t>
    </w:r>
    <w:smartTag w:uri="schemas-tilde-lv/tildestengine" w:element="veidnes">
      <w:smartTagPr>
        <w:attr w:name="id" w:val="-1"/>
        <w:attr w:name="baseform" w:val="ziņojums"/>
        <w:attr w:name="text" w:val="ziņojums"/>
      </w:smartTagPr>
      <w:r w:rsidRPr="001622EA">
        <w:rPr>
          <w:sz w:val="20"/>
          <w:lang w:val="lv-LV"/>
        </w:rPr>
        <w:t>ziņojums</w:t>
      </w:r>
    </w:smartTag>
    <w:r w:rsidRPr="001622EA">
      <w:rPr>
        <w:sz w:val="20"/>
        <w:lang w:val="lv-LV"/>
      </w:rPr>
      <w:t xml:space="preserve"> (</w:t>
    </w:r>
    <w:r w:rsidRPr="001622EA">
      <w:rPr>
        <w:bCs/>
        <w:sz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3D" w:rsidRDefault="004B753D" w:rsidP="003440F0">
      <w:r>
        <w:separator/>
      </w:r>
    </w:p>
  </w:footnote>
  <w:footnote w:type="continuationSeparator" w:id="0">
    <w:p w:rsidR="004B753D" w:rsidRDefault="004B753D" w:rsidP="0034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4B753D">
    <w:pPr>
      <w:pStyle w:val="Header"/>
      <w:jc w:val="center"/>
      <w:rPr>
        <w:sz w:val="24"/>
      </w:rPr>
    </w:pPr>
    <w:r>
      <w:rPr>
        <w:sz w:val="24"/>
      </w:rPr>
      <w:fldChar w:fldCharType="begin"/>
    </w:r>
    <w:r>
      <w:rPr>
        <w:sz w:val="24"/>
      </w:rPr>
      <w:instrText xml:space="preserve"> PAGE   \* MERGEFORMAT </w:instrText>
    </w:r>
    <w:r>
      <w:rPr>
        <w:sz w:val="24"/>
      </w:rPr>
      <w:fldChar w:fldCharType="separate"/>
    </w:r>
    <w:r w:rsidR="003440F0">
      <w:rPr>
        <w:noProof/>
        <w:sz w:val="24"/>
      </w:rPr>
      <w:t>2</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5"/>
    <w:rsid w:val="003440F0"/>
    <w:rsid w:val="004B753D"/>
    <w:rsid w:val="005241F5"/>
    <w:rsid w:val="00F25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1A20459-8148-4E79-9B29-9845EB7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F5"/>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241F5"/>
    <w:pPr>
      <w:spacing w:before="100" w:after="100"/>
    </w:pPr>
    <w:rPr>
      <w:lang w:val="lv-LV"/>
    </w:rPr>
  </w:style>
  <w:style w:type="paragraph" w:styleId="Header">
    <w:name w:val="header"/>
    <w:basedOn w:val="Normal"/>
    <w:link w:val="HeaderChar"/>
    <w:uiPriority w:val="99"/>
    <w:rsid w:val="005241F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5241F5"/>
    <w:rPr>
      <w:rFonts w:ascii="Times New Roman" w:eastAsia="Times New Roman" w:hAnsi="Times New Roman" w:cs="Times New Roman"/>
      <w:szCs w:val="20"/>
      <w:lang w:eastAsia="lv-LV"/>
    </w:rPr>
  </w:style>
  <w:style w:type="paragraph" w:customStyle="1" w:styleId="naiskr">
    <w:name w:val="naiskr"/>
    <w:basedOn w:val="Normal"/>
    <w:rsid w:val="005241F5"/>
    <w:pPr>
      <w:spacing w:before="75" w:after="75"/>
    </w:pPr>
    <w:rPr>
      <w:szCs w:val="24"/>
      <w:lang w:val="lv-LV"/>
    </w:rPr>
  </w:style>
  <w:style w:type="paragraph" w:customStyle="1" w:styleId="naisnod">
    <w:name w:val="naisnod"/>
    <w:basedOn w:val="Normal"/>
    <w:rsid w:val="005241F5"/>
    <w:pPr>
      <w:spacing w:before="150" w:after="150"/>
      <w:jc w:val="center"/>
    </w:pPr>
    <w:rPr>
      <w:b/>
      <w:bCs/>
      <w:szCs w:val="24"/>
      <w:lang w:val="lv-LV"/>
    </w:rPr>
  </w:style>
  <w:style w:type="paragraph" w:styleId="Footer">
    <w:name w:val="footer"/>
    <w:basedOn w:val="Normal"/>
    <w:link w:val="FooterChar"/>
    <w:uiPriority w:val="99"/>
    <w:unhideWhenUsed/>
    <w:rsid w:val="005241F5"/>
    <w:pPr>
      <w:tabs>
        <w:tab w:val="center" w:pos="4153"/>
        <w:tab w:val="right" w:pos="8306"/>
      </w:tabs>
    </w:pPr>
  </w:style>
  <w:style w:type="character" w:customStyle="1" w:styleId="FooterChar">
    <w:name w:val="Footer Char"/>
    <w:basedOn w:val="DefaultParagraphFont"/>
    <w:link w:val="Footer"/>
    <w:uiPriority w:val="99"/>
    <w:rsid w:val="005241F5"/>
    <w:rPr>
      <w:rFonts w:ascii="Times New Roman" w:eastAsia="Times New Roman" w:hAnsi="Times New Roman" w:cs="Times New Roman"/>
      <w:sz w:val="24"/>
      <w:szCs w:val="20"/>
      <w:lang w:val="en-AU" w:eastAsia="lv-LV"/>
    </w:rPr>
  </w:style>
  <w:style w:type="character" w:styleId="Hyperlink">
    <w:name w:val="Hyperlink"/>
    <w:basedOn w:val="DefaultParagraphFont"/>
    <w:uiPriority w:val="99"/>
    <w:semiHidden/>
    <w:unhideWhenUsed/>
    <w:rsid w:val="00524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3588</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cp:revision>
  <dcterms:created xsi:type="dcterms:W3CDTF">2015-06-17T11:28:00Z</dcterms:created>
  <dcterms:modified xsi:type="dcterms:W3CDTF">2015-06-17T11:29:00Z</dcterms:modified>
</cp:coreProperties>
</file>