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EA" w:rsidRPr="00F51BB3" w:rsidRDefault="004607EA" w:rsidP="004607EA">
      <w:pPr>
        <w:spacing w:after="0" w:line="240" w:lineRule="auto"/>
        <w:jc w:val="center"/>
        <w:rPr>
          <w:rFonts w:ascii="Times New Roman" w:hAnsi="Times New Roman" w:cs="Times New Roman"/>
          <w:b/>
          <w:sz w:val="28"/>
          <w:szCs w:val="28"/>
        </w:rPr>
      </w:pPr>
      <w:bookmarkStart w:id="0" w:name="OLE_LINK3"/>
      <w:bookmarkStart w:id="1" w:name="OLE_LINK4"/>
      <w:bookmarkStart w:id="2" w:name="OLE_LINK5"/>
      <w:bookmarkStart w:id="3" w:name="OLE_LINK1"/>
      <w:bookmarkStart w:id="4" w:name="OLE_LINK2"/>
      <w:r w:rsidRPr="00F51BB3">
        <w:rPr>
          <w:rFonts w:ascii="Times New Roman" w:hAnsi="Times New Roman" w:cs="Times New Roman"/>
          <w:b/>
          <w:sz w:val="28"/>
          <w:szCs w:val="28"/>
        </w:rPr>
        <w:t xml:space="preserve">Ministru kabineta noteikumu projekta </w:t>
      </w:r>
    </w:p>
    <w:p w:rsidR="004607EA" w:rsidRPr="00F51BB3" w:rsidRDefault="004607EA" w:rsidP="004607EA">
      <w:pPr>
        <w:spacing w:after="0" w:line="240" w:lineRule="auto"/>
        <w:jc w:val="center"/>
        <w:rPr>
          <w:rFonts w:ascii="Times New Roman" w:hAnsi="Times New Roman" w:cs="Times New Roman"/>
          <w:b/>
          <w:bCs/>
          <w:sz w:val="28"/>
          <w:szCs w:val="28"/>
        </w:rPr>
      </w:pPr>
      <w:r w:rsidRPr="00F51BB3">
        <w:rPr>
          <w:rFonts w:ascii="Times New Roman" w:hAnsi="Times New Roman" w:cs="Times New Roman"/>
          <w:b/>
          <w:sz w:val="28"/>
          <w:szCs w:val="28"/>
        </w:rPr>
        <w:t xml:space="preserve">„Noteikumi par Latvijas būvnormatīvu LBN 211-15 „Dzīvojamās ēkas”” sākotnējās ietekmes novērtējuma </w:t>
      </w:r>
      <w:smartTag w:uri="schemas-tilde-lv/tildestengine" w:element="veidnes">
        <w:smartTagPr>
          <w:attr w:name="id" w:val="-1"/>
          <w:attr w:name="baseform" w:val="ziņojums"/>
          <w:attr w:name="text" w:val="ziņojums"/>
        </w:smartTagPr>
        <w:r w:rsidRPr="00F51BB3">
          <w:rPr>
            <w:rFonts w:ascii="Times New Roman" w:hAnsi="Times New Roman" w:cs="Times New Roman"/>
            <w:b/>
            <w:sz w:val="28"/>
            <w:szCs w:val="28"/>
          </w:rPr>
          <w:t>ziņojums</w:t>
        </w:r>
      </w:smartTag>
      <w:r w:rsidRPr="00F51BB3">
        <w:rPr>
          <w:rFonts w:ascii="Times New Roman" w:hAnsi="Times New Roman" w:cs="Times New Roman"/>
          <w:b/>
          <w:sz w:val="28"/>
          <w:szCs w:val="28"/>
        </w:rPr>
        <w:t xml:space="preserve"> (</w:t>
      </w:r>
      <w:r w:rsidRPr="00F51BB3">
        <w:rPr>
          <w:rFonts w:ascii="Times New Roman" w:hAnsi="Times New Roman" w:cs="Times New Roman"/>
          <w:b/>
          <w:bCs/>
          <w:sz w:val="28"/>
          <w:szCs w:val="28"/>
        </w:rPr>
        <w:t>anotācija)</w:t>
      </w:r>
      <w:bookmarkEnd w:id="0"/>
      <w:bookmarkEnd w:id="1"/>
      <w:bookmarkEnd w:id="2"/>
      <w:bookmarkEnd w:id="3"/>
      <w:bookmarkEnd w:id="4"/>
    </w:p>
    <w:p w:rsidR="004607EA" w:rsidRPr="00F51BB3" w:rsidRDefault="004607EA" w:rsidP="004607EA">
      <w:pPr>
        <w:tabs>
          <w:tab w:val="left" w:pos="7230"/>
        </w:tabs>
        <w:spacing w:after="0" w:line="240" w:lineRule="auto"/>
        <w:rPr>
          <w:rFonts w:ascii="Times New Roman" w:hAnsi="Times New Roman" w:cs="Times New Roman"/>
          <w:sz w:val="28"/>
          <w:szCs w:val="2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52"/>
        <w:gridCol w:w="25"/>
        <w:gridCol w:w="5361"/>
      </w:tblGrid>
      <w:tr w:rsidR="004607EA" w:rsidRPr="00E13A68" w:rsidTr="00450C14">
        <w:tc>
          <w:tcPr>
            <w:tcW w:w="9062" w:type="dxa"/>
            <w:gridSpan w:val="4"/>
            <w:vAlign w:val="center"/>
          </w:tcPr>
          <w:p w:rsidR="004607EA" w:rsidRPr="00E13A68" w:rsidRDefault="004607EA" w:rsidP="00450C14">
            <w:pPr>
              <w:spacing w:after="0" w:line="240" w:lineRule="auto"/>
              <w:jc w:val="center"/>
              <w:rPr>
                <w:rFonts w:ascii="Times New Roman" w:hAnsi="Times New Roman" w:cs="Times New Roman"/>
                <w:sz w:val="26"/>
                <w:szCs w:val="26"/>
              </w:rPr>
            </w:pPr>
            <w:r w:rsidRPr="00E13A68">
              <w:rPr>
                <w:rFonts w:ascii="Times New Roman" w:hAnsi="Times New Roman" w:cs="Times New Roman"/>
                <w:b/>
                <w:sz w:val="26"/>
                <w:szCs w:val="26"/>
              </w:rPr>
              <w:t>I. Tiesību akta projekta izstrādes nepieciešamība</w:t>
            </w:r>
          </w:p>
        </w:tc>
      </w:tr>
      <w:tr w:rsidR="004607EA" w:rsidRPr="00E13A68" w:rsidTr="00450C14">
        <w:trPr>
          <w:trHeight w:val="439"/>
        </w:trPr>
        <w:tc>
          <w:tcPr>
            <w:tcW w:w="524" w:type="dxa"/>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 1.</w:t>
            </w:r>
          </w:p>
        </w:tc>
        <w:tc>
          <w:tcPr>
            <w:tcW w:w="3177" w:type="dxa"/>
            <w:gridSpan w:val="2"/>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Pamatojums</w:t>
            </w:r>
          </w:p>
        </w:tc>
        <w:tc>
          <w:tcPr>
            <w:tcW w:w="5361" w:type="dxa"/>
          </w:tcPr>
          <w:p w:rsidR="004607EA" w:rsidRPr="00E13A68" w:rsidRDefault="004607EA" w:rsidP="00450C14">
            <w:pPr>
              <w:spacing w:after="0" w:line="240" w:lineRule="auto"/>
              <w:ind w:left="66" w:right="140"/>
              <w:jc w:val="both"/>
              <w:rPr>
                <w:rFonts w:ascii="Times New Roman" w:hAnsi="Times New Roman" w:cs="Times New Roman"/>
                <w:sz w:val="26"/>
                <w:szCs w:val="26"/>
              </w:rPr>
            </w:pPr>
            <w:r w:rsidRPr="00E13A68">
              <w:rPr>
                <w:rFonts w:ascii="Times New Roman" w:eastAsia="SimSun" w:hAnsi="Times New Roman" w:cs="Times New Roman"/>
                <w:sz w:val="26"/>
                <w:szCs w:val="26"/>
                <w:lang w:eastAsia="zh-CN"/>
              </w:rPr>
              <w:t xml:space="preserve">Ministru kabineta noteikumu projekts „Noteikumi par Latvijas būvnormatīvu </w:t>
            </w:r>
            <w:r w:rsidRPr="00E13A68">
              <w:rPr>
                <w:rFonts w:ascii="Times New Roman" w:hAnsi="Times New Roman" w:cs="Times New Roman"/>
                <w:sz w:val="26"/>
                <w:szCs w:val="26"/>
              </w:rPr>
              <w:t xml:space="preserve">LBN 211-15 „Dzīvojamās ēkas”” </w:t>
            </w:r>
            <w:r w:rsidRPr="00E13A68">
              <w:rPr>
                <w:rFonts w:ascii="Times New Roman" w:eastAsia="SimSun" w:hAnsi="Times New Roman" w:cs="Times New Roman"/>
                <w:sz w:val="26"/>
                <w:szCs w:val="26"/>
                <w:lang w:eastAsia="zh-CN"/>
              </w:rPr>
              <w:t xml:space="preserve">(turpmāk – būvnormatīvs) tiek izdots saskaņā ar Būvniecības likuma 5.panta pirmās daļas 3.punktu, kā arī, lai </w:t>
            </w:r>
            <w:r w:rsidRPr="00E13A68">
              <w:rPr>
                <w:rFonts w:ascii="Times New Roman" w:hAnsi="Times New Roman" w:cs="Times New Roman"/>
                <w:sz w:val="26"/>
                <w:szCs w:val="26"/>
              </w:rPr>
              <w:t>nodrošinātu Būvniecības likuma pārejas noteikumu 2.punkta izpildi.</w:t>
            </w:r>
          </w:p>
          <w:p w:rsidR="004607EA" w:rsidRPr="00E13A68" w:rsidRDefault="004607EA" w:rsidP="00450C14">
            <w:pPr>
              <w:spacing w:after="0" w:line="240" w:lineRule="auto"/>
              <w:ind w:left="66" w:right="140"/>
              <w:jc w:val="both"/>
              <w:rPr>
                <w:rFonts w:ascii="Times New Roman" w:hAnsi="Times New Roman" w:cs="Times New Roman"/>
                <w:sz w:val="26"/>
                <w:szCs w:val="26"/>
              </w:rPr>
            </w:pPr>
          </w:p>
        </w:tc>
      </w:tr>
      <w:tr w:rsidR="004607EA" w:rsidRPr="00E13A68" w:rsidTr="00450C14">
        <w:trPr>
          <w:trHeight w:val="410"/>
        </w:trPr>
        <w:tc>
          <w:tcPr>
            <w:tcW w:w="524" w:type="dxa"/>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 2.</w:t>
            </w:r>
          </w:p>
        </w:tc>
        <w:tc>
          <w:tcPr>
            <w:tcW w:w="3152" w:type="dxa"/>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Pašreizējā situācija un problēmas kuru risināšanai tiesību akta projekts izstrādāts, tiesiskā regulējuma mērķis un būtība</w:t>
            </w:r>
          </w:p>
        </w:tc>
        <w:tc>
          <w:tcPr>
            <w:tcW w:w="5386" w:type="dxa"/>
            <w:gridSpan w:val="2"/>
          </w:tcPr>
          <w:p w:rsidR="004607EA" w:rsidRPr="00E13A68" w:rsidRDefault="004607EA" w:rsidP="00450C14">
            <w:pPr>
              <w:pStyle w:val="naiskr"/>
              <w:spacing w:before="120" w:after="0"/>
              <w:ind w:left="57" w:right="57"/>
              <w:jc w:val="both"/>
              <w:rPr>
                <w:sz w:val="26"/>
                <w:szCs w:val="26"/>
              </w:rPr>
            </w:pPr>
            <w:r w:rsidRPr="00E13A68">
              <w:rPr>
                <w:sz w:val="26"/>
                <w:szCs w:val="26"/>
              </w:rPr>
              <w:t>Ņemot vērā Būvniecības likuma pārejas noteikumu 2.punktu līdz attiecīgo Ministru kabineta noteikumu aizvietojošo Ministru kabineta noteikumu spēkā stāšanas dienai, bet ne ilgāk kā līdz 2015.gada 1.jūlijam piemērojams Latvijas būvnormatīvs LBN 211-08 „Daudzstāvu daudzdzīvokļu dzīvojamie nami” un Latvijas būvnormatīvs LBN 209-09 “</w:t>
            </w:r>
            <w:proofErr w:type="spellStart"/>
            <w:r w:rsidRPr="00E13A68">
              <w:rPr>
                <w:sz w:val="26"/>
                <w:szCs w:val="26"/>
              </w:rPr>
              <w:t>Mazstāvu</w:t>
            </w:r>
            <w:proofErr w:type="spellEnd"/>
            <w:r w:rsidRPr="00E13A68">
              <w:rPr>
                <w:sz w:val="26"/>
                <w:szCs w:val="26"/>
              </w:rPr>
              <w:t xml:space="preserve"> dzīvojamās mājas”. Līdz ar to līdz 2015.gada 1.jūlijam ir jāapstiprina jauns atbilstošs būvnormatīvs. Savukārt savlaicīga noteikumu projekta nepieņemšana, var pasliktināt sabiedrībai pieejamu vidi, kurā ikviena persona var ērti pārvietoties un izmantot būvi atbilstoši tās lietošanas veidam, kā arī var apdraudēt sabiedrības drošību kopumā, neizpildot būves būtiskās prasības.</w:t>
            </w:r>
          </w:p>
          <w:p w:rsidR="004607EA" w:rsidRPr="00FC416D" w:rsidRDefault="004607EA" w:rsidP="00450C14">
            <w:pPr>
              <w:pStyle w:val="naiskr"/>
              <w:spacing w:before="120" w:after="0"/>
              <w:ind w:left="57" w:right="57"/>
              <w:jc w:val="both"/>
              <w:rPr>
                <w:sz w:val="26"/>
                <w:szCs w:val="26"/>
              </w:rPr>
            </w:pPr>
            <w:r w:rsidRPr="00FC416D">
              <w:rPr>
                <w:sz w:val="26"/>
                <w:szCs w:val="26"/>
              </w:rPr>
              <w:t>Būvnormatīva tiesiskais regulējums salīdzinājumā ar līdzšinējo regulējumu pēc būtības netiek mainīts.</w:t>
            </w:r>
          </w:p>
          <w:p w:rsidR="004607EA" w:rsidRPr="00E13A68" w:rsidRDefault="004607EA" w:rsidP="00450C14">
            <w:pPr>
              <w:pStyle w:val="naiskr"/>
              <w:spacing w:before="120" w:after="0"/>
              <w:ind w:left="57" w:right="57"/>
              <w:jc w:val="both"/>
              <w:rPr>
                <w:sz w:val="26"/>
                <w:szCs w:val="26"/>
              </w:rPr>
            </w:pPr>
            <w:r w:rsidRPr="00E13A68">
              <w:rPr>
                <w:sz w:val="26"/>
                <w:szCs w:val="26"/>
              </w:rPr>
              <w:t>Būvnormatīvā ir apvienoti divi Latvijas būvnormatīvi - LBN 211-08 „Daudzstāvu daudzdzīvokļu dzīvojamie nami” un LBN 209-09 “</w:t>
            </w:r>
            <w:proofErr w:type="spellStart"/>
            <w:r w:rsidRPr="00E13A68">
              <w:rPr>
                <w:sz w:val="26"/>
                <w:szCs w:val="26"/>
              </w:rPr>
              <w:t>Mazstāvu</w:t>
            </w:r>
            <w:proofErr w:type="spellEnd"/>
            <w:r w:rsidRPr="00E13A68">
              <w:rPr>
                <w:sz w:val="26"/>
                <w:szCs w:val="26"/>
              </w:rPr>
              <w:t xml:space="preserve"> dzīvojamās mājas”, tā kā abi būvnormatīvi attiecas uz dzīvojamām ēkām un projektēšanas prasības ir līdzīgas.</w:t>
            </w:r>
          </w:p>
          <w:p w:rsidR="004607EA" w:rsidRPr="00E13A68" w:rsidRDefault="004607EA" w:rsidP="00450C14">
            <w:pPr>
              <w:shd w:val="clear" w:color="auto" w:fill="FFFFFF"/>
              <w:spacing w:before="120" w:after="0" w:line="240" w:lineRule="auto"/>
              <w:ind w:left="57" w:right="57"/>
              <w:jc w:val="both"/>
              <w:rPr>
                <w:rFonts w:ascii="Times New Roman" w:eastAsia="Times New Roman" w:hAnsi="Times New Roman" w:cs="Times New Roman"/>
                <w:sz w:val="26"/>
                <w:szCs w:val="26"/>
                <w:lang w:eastAsia="lv-LV"/>
              </w:rPr>
            </w:pPr>
            <w:r w:rsidRPr="00E13A68">
              <w:rPr>
                <w:rFonts w:ascii="Times New Roman" w:eastAsia="Times New Roman" w:hAnsi="Times New Roman" w:cs="Times New Roman"/>
                <w:sz w:val="26"/>
                <w:szCs w:val="26"/>
                <w:lang w:eastAsia="lv-LV"/>
              </w:rPr>
              <w:t xml:space="preserve">Būvnormatīvs nosaka prasības, kādas ievēro projektējot </w:t>
            </w:r>
            <w:proofErr w:type="spellStart"/>
            <w:r w:rsidRPr="00E13A68">
              <w:rPr>
                <w:rFonts w:ascii="Times New Roman" w:eastAsia="Times New Roman" w:hAnsi="Times New Roman" w:cs="Times New Roman"/>
                <w:sz w:val="26"/>
                <w:szCs w:val="26"/>
                <w:lang w:eastAsia="lv-LV"/>
              </w:rPr>
              <w:t>jaunbūvējamas</w:t>
            </w:r>
            <w:proofErr w:type="spellEnd"/>
            <w:r w:rsidRPr="00E13A68">
              <w:rPr>
                <w:rFonts w:ascii="Times New Roman" w:eastAsia="Times New Roman" w:hAnsi="Times New Roman" w:cs="Times New Roman"/>
                <w:sz w:val="26"/>
                <w:szCs w:val="26"/>
                <w:lang w:eastAsia="lv-LV"/>
              </w:rPr>
              <w:t xml:space="preserve">, atjaunojamas un pārbūvējamas dzīvojamās ēkas (daudzstāvu daudzdzīvokļu dzīvojamās ēkas un </w:t>
            </w:r>
            <w:proofErr w:type="spellStart"/>
            <w:r w:rsidRPr="00E13A68">
              <w:rPr>
                <w:rFonts w:ascii="Times New Roman" w:eastAsia="Times New Roman" w:hAnsi="Times New Roman" w:cs="Times New Roman"/>
                <w:sz w:val="26"/>
                <w:szCs w:val="26"/>
                <w:lang w:eastAsia="lv-LV"/>
              </w:rPr>
              <w:t>mazstāvu</w:t>
            </w:r>
            <w:proofErr w:type="spellEnd"/>
            <w:r w:rsidRPr="00E13A68">
              <w:rPr>
                <w:rFonts w:ascii="Times New Roman" w:eastAsia="Times New Roman" w:hAnsi="Times New Roman" w:cs="Times New Roman"/>
                <w:sz w:val="26"/>
                <w:szCs w:val="26"/>
                <w:lang w:eastAsia="lv-LV"/>
              </w:rPr>
              <w:t xml:space="preserve"> dzīvojamās ēkas), ciktāl tas nav pretrunā ar kultūras pieminekļu aizsardzību reglamentējošajiem normatīvajiem aktiem. Šis </w:t>
            </w:r>
            <w:r w:rsidRPr="00E13A68">
              <w:rPr>
                <w:rFonts w:ascii="Times New Roman" w:eastAsia="Times New Roman" w:hAnsi="Times New Roman" w:cs="Times New Roman"/>
                <w:sz w:val="26"/>
                <w:szCs w:val="26"/>
                <w:lang w:eastAsia="lv-LV"/>
              </w:rPr>
              <w:lastRenderedPageBreak/>
              <w:t>būvnormatīvs piemērojams visa veida dzīvojamo ēku projektēšanai:</w:t>
            </w:r>
          </w:p>
          <w:p w:rsidR="00580CDD" w:rsidRPr="00580CDD" w:rsidRDefault="004607EA" w:rsidP="00580CDD">
            <w:pPr>
              <w:shd w:val="clear" w:color="auto" w:fill="FFFFFF"/>
              <w:spacing w:before="120" w:after="0" w:line="240" w:lineRule="auto"/>
              <w:ind w:left="57" w:right="57"/>
              <w:jc w:val="both"/>
              <w:rPr>
                <w:rFonts w:ascii="Times New Roman" w:eastAsia="Times New Roman" w:hAnsi="Times New Roman" w:cs="Times New Roman"/>
                <w:sz w:val="26"/>
                <w:szCs w:val="26"/>
                <w:lang w:eastAsia="lv-LV"/>
              </w:rPr>
            </w:pPr>
            <w:r w:rsidRPr="00E13A68">
              <w:rPr>
                <w:rFonts w:ascii="Times New Roman" w:eastAsia="Times New Roman" w:hAnsi="Times New Roman" w:cs="Times New Roman"/>
                <w:sz w:val="26"/>
                <w:szCs w:val="26"/>
                <w:lang w:eastAsia="lv-LV"/>
              </w:rPr>
              <w:t>1) </w:t>
            </w:r>
            <w:r w:rsidR="00580CDD" w:rsidRPr="00580CDD">
              <w:rPr>
                <w:rFonts w:ascii="Times New Roman" w:eastAsia="Times New Roman" w:hAnsi="Times New Roman" w:cs="Times New Roman"/>
                <w:sz w:val="26"/>
                <w:szCs w:val="26"/>
                <w:lang w:eastAsia="lv-LV"/>
              </w:rPr>
              <w:t xml:space="preserve">daudzdzīvokļu ēku – </w:t>
            </w:r>
            <w:r w:rsidR="00580CDD" w:rsidRPr="00580CDD">
              <w:rPr>
                <w:rFonts w:ascii="Times New Roman" w:eastAsia="Times New Roman" w:hAnsi="Times New Roman" w:cs="Times New Roman"/>
                <w:sz w:val="26"/>
                <w:szCs w:val="26"/>
                <w:u w:val="single"/>
                <w:lang w:eastAsia="lv-LV"/>
              </w:rPr>
              <w:t>trīs un vairāk dzīvokļu ēka, kur ieeja dzīvokļos</w:t>
            </w:r>
            <w:r w:rsidR="00580CDD" w:rsidRPr="00580CDD">
              <w:rPr>
                <w:rFonts w:ascii="Times New Roman" w:eastAsia="Times New Roman" w:hAnsi="Times New Roman" w:cs="Times New Roman"/>
                <w:sz w:val="26"/>
                <w:szCs w:val="26"/>
                <w:lang w:eastAsia="lv-LV"/>
              </w:rPr>
              <w:t xml:space="preserve"> ir no koplietošanas kāpņu telpas, </w:t>
            </w:r>
            <w:r w:rsidR="00580CDD" w:rsidRPr="00580CDD">
              <w:rPr>
                <w:rFonts w:ascii="Times New Roman" w:eastAsia="Times New Roman" w:hAnsi="Times New Roman" w:cs="Times New Roman"/>
                <w:sz w:val="26"/>
                <w:szCs w:val="26"/>
                <w:u w:val="single"/>
                <w:lang w:eastAsia="lv-LV"/>
              </w:rPr>
              <w:t>gaiteņa</w:t>
            </w:r>
            <w:r w:rsidR="00580CDD" w:rsidRPr="00580CDD">
              <w:rPr>
                <w:rFonts w:ascii="Times New Roman" w:eastAsia="Times New Roman" w:hAnsi="Times New Roman" w:cs="Times New Roman"/>
                <w:sz w:val="26"/>
                <w:szCs w:val="26"/>
                <w:lang w:eastAsia="lv-LV"/>
              </w:rPr>
              <w:t xml:space="preserve"> vai galerijas un ja visu dzīvokļu kopējā platība (ēkas dzīvojamā daļa) ir vismaz 50 % no ēkas virszemes stāvu kopējās lietderīgās platības;</w:t>
            </w:r>
          </w:p>
          <w:p w:rsidR="004607EA" w:rsidRPr="00E13A68" w:rsidRDefault="004607EA" w:rsidP="00450C14">
            <w:pPr>
              <w:shd w:val="clear" w:color="auto" w:fill="FFFFFF"/>
              <w:spacing w:before="120" w:after="0" w:line="240" w:lineRule="auto"/>
              <w:ind w:left="57" w:right="57"/>
              <w:jc w:val="both"/>
              <w:rPr>
                <w:rFonts w:ascii="Times New Roman" w:eastAsia="Times New Roman" w:hAnsi="Times New Roman" w:cs="Times New Roman"/>
                <w:sz w:val="26"/>
                <w:szCs w:val="26"/>
                <w:lang w:eastAsia="lv-LV"/>
              </w:rPr>
            </w:pPr>
            <w:r w:rsidRPr="00E13A68">
              <w:rPr>
                <w:rFonts w:ascii="Times New Roman" w:eastAsia="Times New Roman" w:hAnsi="Times New Roman" w:cs="Times New Roman"/>
                <w:sz w:val="26"/>
                <w:szCs w:val="26"/>
                <w:lang w:eastAsia="lv-LV"/>
              </w:rPr>
              <w:t>2) </w:t>
            </w:r>
            <w:proofErr w:type="spellStart"/>
            <w:r w:rsidRPr="00E13A68">
              <w:rPr>
                <w:rFonts w:ascii="Times New Roman" w:eastAsia="Times New Roman" w:hAnsi="Times New Roman" w:cs="Times New Roman"/>
                <w:sz w:val="26"/>
                <w:szCs w:val="26"/>
                <w:lang w:eastAsia="lv-LV"/>
              </w:rPr>
              <w:t>mazstāvu</w:t>
            </w:r>
            <w:proofErr w:type="spellEnd"/>
            <w:r w:rsidRPr="00E13A68">
              <w:rPr>
                <w:rFonts w:ascii="Times New Roman" w:eastAsia="Times New Roman" w:hAnsi="Times New Roman" w:cs="Times New Roman"/>
                <w:sz w:val="26"/>
                <w:szCs w:val="26"/>
                <w:lang w:eastAsia="lv-LV"/>
              </w:rPr>
              <w:t xml:space="preserve"> dzīvojamo ēku - ēkas, kurās ir ne vairāk kā trīs stāvi, viens vai divi dzīvokļi ar atsevišķu </w:t>
            </w:r>
            <w:proofErr w:type="spellStart"/>
            <w:r w:rsidRPr="00E13A68">
              <w:rPr>
                <w:rFonts w:ascii="Times New Roman" w:eastAsia="Times New Roman" w:hAnsi="Times New Roman" w:cs="Times New Roman"/>
                <w:sz w:val="26"/>
                <w:szCs w:val="26"/>
                <w:lang w:eastAsia="lv-LV"/>
              </w:rPr>
              <w:t>āras</w:t>
            </w:r>
            <w:proofErr w:type="spellEnd"/>
            <w:r w:rsidRPr="00E13A68">
              <w:rPr>
                <w:rFonts w:ascii="Times New Roman" w:eastAsia="Times New Roman" w:hAnsi="Times New Roman" w:cs="Times New Roman"/>
                <w:sz w:val="26"/>
                <w:szCs w:val="26"/>
                <w:lang w:eastAsia="lv-LV"/>
              </w:rPr>
              <w:t xml:space="preserve"> ieeju katram dzīvoklim, bloķētas vai rindu ēkas, patstāvīgi iekšējie inženiertīkli, kā arī citas izmantošanas telpas ir ne vairāk kā 50 % no ēkas virszemes stāvu kopējās platības.</w:t>
            </w:r>
          </w:p>
          <w:p w:rsidR="00580CDD" w:rsidRPr="00425241" w:rsidRDefault="004607EA" w:rsidP="00580CDD">
            <w:pPr>
              <w:pStyle w:val="tv2131"/>
              <w:spacing w:line="240" w:lineRule="auto"/>
              <w:ind w:left="57" w:right="57" w:firstLine="0"/>
              <w:jc w:val="both"/>
              <w:rPr>
                <w:color w:val="auto"/>
                <w:sz w:val="26"/>
                <w:szCs w:val="26"/>
                <w:u w:val="single"/>
              </w:rPr>
            </w:pPr>
            <w:r w:rsidRPr="00FE75F9">
              <w:rPr>
                <w:color w:val="auto"/>
                <w:sz w:val="26"/>
                <w:szCs w:val="26"/>
              </w:rPr>
              <w:t xml:space="preserve">Būvnormatīvs definē dzīvojamo ēku galvenos raksturlielumus, piemēram, stāvu skaitu, apbūves laukumu, </w:t>
            </w:r>
            <w:proofErr w:type="spellStart"/>
            <w:r w:rsidRPr="00FE75F9">
              <w:rPr>
                <w:color w:val="auto"/>
                <w:sz w:val="26"/>
                <w:szCs w:val="26"/>
              </w:rPr>
              <w:t>būvtilpumu</w:t>
            </w:r>
            <w:proofErr w:type="spellEnd"/>
            <w:r w:rsidRPr="00FE75F9">
              <w:rPr>
                <w:color w:val="auto"/>
                <w:sz w:val="26"/>
                <w:szCs w:val="26"/>
              </w:rPr>
              <w:t>, ēkas platību u.c., kā arī projektēšanas pamatprasības dzīvojamām ēkām un to telpām, tai skaitā vides pieejamības prasības.</w:t>
            </w:r>
            <w:r w:rsidR="00580CDD" w:rsidRPr="00FE75F9">
              <w:rPr>
                <w:color w:val="auto"/>
                <w:sz w:val="26"/>
                <w:szCs w:val="26"/>
              </w:rPr>
              <w:t xml:space="preserve"> </w:t>
            </w:r>
            <w:proofErr w:type="spellStart"/>
            <w:r w:rsidR="00580CDD" w:rsidRPr="00FE75F9">
              <w:rPr>
                <w:color w:val="auto"/>
                <w:sz w:val="26"/>
                <w:szCs w:val="26"/>
                <w:u w:val="single"/>
              </w:rPr>
              <w:t>Mazstāvu</w:t>
            </w:r>
            <w:proofErr w:type="spellEnd"/>
            <w:r w:rsidR="00580CDD" w:rsidRPr="00FE75F9">
              <w:rPr>
                <w:color w:val="auto"/>
                <w:sz w:val="26"/>
                <w:szCs w:val="26"/>
                <w:u w:val="single"/>
              </w:rPr>
              <w:t xml:space="preserve"> dzīvojamām ēkām vides pieejamības prasības ēkas ieejā un galvenajā stāvā nav obligātas, jo persona var izvēlēties – ‘piemērot vai nepiemērot šīs prasības. </w:t>
            </w:r>
            <w:proofErr w:type="spellStart"/>
            <w:r w:rsidR="00580CDD" w:rsidRPr="00FE75F9">
              <w:rPr>
                <w:color w:val="auto"/>
                <w:sz w:val="26"/>
                <w:szCs w:val="26"/>
                <w:u w:val="single"/>
              </w:rPr>
              <w:t>Mazstāvu</w:t>
            </w:r>
            <w:proofErr w:type="spellEnd"/>
            <w:r w:rsidR="00580CDD" w:rsidRPr="00FE75F9">
              <w:rPr>
                <w:color w:val="auto"/>
                <w:sz w:val="26"/>
                <w:szCs w:val="26"/>
                <w:u w:val="single"/>
              </w:rPr>
              <w:t xml:space="preserve"> dzīvojamās ēkas ieteicams projektēt tā, lai, nepieciešamības gadījumā, prasības vides pieejamībai </w:t>
            </w:r>
            <w:r w:rsidR="00580CDD" w:rsidRPr="00425241">
              <w:rPr>
                <w:color w:val="auto"/>
                <w:sz w:val="26"/>
                <w:szCs w:val="26"/>
                <w:u w:val="single"/>
              </w:rPr>
              <w:t xml:space="preserve">būtu iespējams ievērot. Tātad personai būvniecības gadījumā vai iegādājoties šādu ēku būtu jāvērtē vides pieejamības prasību ievērošana, kā arī, nepieciešamības gadījumā, cik izmaksās pārbūvēt ēku, lai tiktu ievērotas šīs prasības. </w:t>
            </w:r>
          </w:p>
          <w:p w:rsidR="004607EA" w:rsidRPr="00580CDD" w:rsidRDefault="004607EA" w:rsidP="00580CDD">
            <w:pPr>
              <w:pStyle w:val="tv2131"/>
              <w:spacing w:line="240" w:lineRule="auto"/>
              <w:ind w:left="57" w:right="57" w:firstLine="0"/>
              <w:jc w:val="both"/>
              <w:rPr>
                <w:color w:val="auto"/>
                <w:sz w:val="26"/>
                <w:szCs w:val="26"/>
              </w:rPr>
            </w:pPr>
            <w:r w:rsidRPr="00580CDD">
              <w:rPr>
                <w:color w:val="auto"/>
                <w:sz w:val="26"/>
                <w:szCs w:val="26"/>
              </w:rPr>
              <w:t>Būvnormatīvā ir iekļautas prasības, kuras līdz šim tika noteiktas Latvijas būvnormatīvā LBN 209-09 “</w:t>
            </w:r>
            <w:proofErr w:type="spellStart"/>
            <w:r w:rsidRPr="00580CDD">
              <w:rPr>
                <w:color w:val="auto"/>
                <w:sz w:val="26"/>
                <w:szCs w:val="26"/>
              </w:rPr>
              <w:t>Mazstāvu</w:t>
            </w:r>
            <w:proofErr w:type="spellEnd"/>
            <w:r w:rsidRPr="00580CDD">
              <w:rPr>
                <w:color w:val="auto"/>
                <w:sz w:val="26"/>
                <w:szCs w:val="26"/>
              </w:rPr>
              <w:t xml:space="preserve"> dzīvojamās mājas” attiecībā uz vides pieejamības prasībām, kā arī pienākumu izstrādāt ekspluatācijas instrukciju, kurā ir jānosaka: </w:t>
            </w:r>
          </w:p>
          <w:p w:rsidR="004607EA" w:rsidRPr="00E13A68" w:rsidRDefault="004607EA" w:rsidP="00450C14">
            <w:pPr>
              <w:pStyle w:val="naiskr"/>
              <w:spacing w:before="0" w:after="0"/>
              <w:ind w:left="57" w:right="57"/>
              <w:jc w:val="both"/>
              <w:rPr>
                <w:sz w:val="26"/>
                <w:szCs w:val="26"/>
              </w:rPr>
            </w:pPr>
            <w:r w:rsidRPr="00580CDD">
              <w:rPr>
                <w:sz w:val="26"/>
                <w:szCs w:val="26"/>
              </w:rPr>
              <w:t xml:space="preserve">1)elementu, detaļu un iekārtu remonta, </w:t>
            </w:r>
            <w:r w:rsidRPr="00E13A68">
              <w:rPr>
                <w:sz w:val="26"/>
                <w:szCs w:val="26"/>
              </w:rPr>
              <w:t>apkopes vai nomaiņas termiņu, ja attiecīgajam elementam, detaļai un iekārtai ir īsāks kalpošanas laiks par ēkas kopējo kalpošanas laiku;</w:t>
            </w:r>
          </w:p>
          <w:p w:rsidR="004607EA" w:rsidRPr="00E13A68" w:rsidRDefault="004607EA" w:rsidP="00450C14">
            <w:pPr>
              <w:pStyle w:val="naiskr"/>
              <w:spacing w:before="0" w:after="0"/>
              <w:ind w:left="57" w:right="57"/>
              <w:jc w:val="both"/>
              <w:rPr>
                <w:sz w:val="26"/>
                <w:szCs w:val="26"/>
              </w:rPr>
            </w:pPr>
            <w:r w:rsidRPr="00E13A68">
              <w:rPr>
                <w:sz w:val="26"/>
                <w:szCs w:val="26"/>
              </w:rPr>
              <w:t>2) rādītājus, kas nepieciešami ēkas ekspluatācijas procesā, tai skaitā informāciju par galvenajām konstrukcijām un iekšējo inženiertīklu sistēmām, karkasa slēpto elementu, slēpto pievadu un inženiertīklu izvietojuma shēmas, kā arī maksimālo slodžu rādītājus uz ēkas konstrukcijām un elektrotīkliem;</w:t>
            </w:r>
          </w:p>
          <w:p w:rsidR="004607EA" w:rsidRDefault="004607EA" w:rsidP="00580CDD">
            <w:pPr>
              <w:pStyle w:val="naiskr"/>
              <w:spacing w:before="0" w:after="0"/>
              <w:ind w:left="57" w:right="57"/>
              <w:jc w:val="both"/>
              <w:rPr>
                <w:sz w:val="26"/>
                <w:szCs w:val="26"/>
              </w:rPr>
            </w:pPr>
            <w:r w:rsidRPr="00E13A68">
              <w:rPr>
                <w:sz w:val="26"/>
                <w:szCs w:val="26"/>
              </w:rPr>
              <w:lastRenderedPageBreak/>
              <w:t>3) </w:t>
            </w:r>
            <w:r w:rsidR="00580CDD">
              <w:rPr>
                <w:sz w:val="26"/>
                <w:szCs w:val="26"/>
              </w:rPr>
              <w:t xml:space="preserve">ja iespējams, </w:t>
            </w:r>
            <w:r w:rsidRPr="00E13A68">
              <w:rPr>
                <w:sz w:val="26"/>
                <w:szCs w:val="26"/>
              </w:rPr>
              <w:t>ieteicamo uzņēmumu sarakstu, kas var veikt ēkā iebūvēto iekārtu apkopi un remontu.</w:t>
            </w:r>
          </w:p>
          <w:p w:rsidR="00580CDD" w:rsidRPr="00425241" w:rsidRDefault="00580CDD" w:rsidP="00580CDD">
            <w:pPr>
              <w:pStyle w:val="naiskr"/>
              <w:spacing w:before="0" w:after="0"/>
              <w:ind w:left="57" w:right="57"/>
              <w:jc w:val="both"/>
              <w:rPr>
                <w:sz w:val="26"/>
                <w:szCs w:val="26"/>
                <w:u w:val="single"/>
              </w:rPr>
            </w:pPr>
            <w:r w:rsidRPr="00425241">
              <w:rPr>
                <w:sz w:val="26"/>
                <w:szCs w:val="26"/>
                <w:u w:val="single"/>
              </w:rPr>
              <w:t>Būvnormatīvs nosaka projektēšanas prasības, līdz ar to instrukciju sākotnēji sagatavo projektētājs, tā kā būvprojektā jau tiek norādītas iekārtas, kuras tiks paredzētas. Mainot būvdarbu laikā būvprojektu, instrukciju precizē</w:t>
            </w:r>
            <w:r w:rsidR="001C5517" w:rsidRPr="00425241">
              <w:rPr>
                <w:sz w:val="26"/>
                <w:szCs w:val="26"/>
                <w:u w:val="single"/>
              </w:rPr>
              <w:t>s</w:t>
            </w:r>
            <w:r w:rsidRPr="00425241">
              <w:rPr>
                <w:sz w:val="26"/>
                <w:szCs w:val="26"/>
                <w:u w:val="single"/>
              </w:rPr>
              <w:t xml:space="preserve"> vai papildin</w:t>
            </w:r>
            <w:r w:rsidR="001C5517" w:rsidRPr="00425241">
              <w:rPr>
                <w:sz w:val="26"/>
                <w:szCs w:val="26"/>
                <w:u w:val="single"/>
              </w:rPr>
              <w:t>ās</w:t>
            </w:r>
            <w:r w:rsidRPr="00425241">
              <w:rPr>
                <w:sz w:val="26"/>
                <w:szCs w:val="26"/>
                <w:u w:val="single"/>
              </w:rPr>
              <w:t xml:space="preserve"> </w:t>
            </w:r>
            <w:r w:rsidR="001C5517" w:rsidRPr="00425241">
              <w:rPr>
                <w:sz w:val="26"/>
                <w:szCs w:val="26"/>
                <w:u w:val="single"/>
              </w:rPr>
              <w:t xml:space="preserve">projektētājs vai </w:t>
            </w:r>
            <w:r w:rsidRPr="00425241">
              <w:rPr>
                <w:sz w:val="26"/>
                <w:szCs w:val="26"/>
                <w:u w:val="single"/>
              </w:rPr>
              <w:t>būvdarbu veicējs. Instrukcija nav būvprojekta sastāvdaļa, jo tā ir nepieciešama tieši būves lietotājam.</w:t>
            </w:r>
          </w:p>
          <w:p w:rsidR="004607EA" w:rsidRPr="00E13A68" w:rsidRDefault="004607EA" w:rsidP="00450C14">
            <w:pPr>
              <w:pStyle w:val="tv2131"/>
              <w:spacing w:before="120" w:line="240" w:lineRule="auto"/>
              <w:ind w:left="57" w:right="57" w:firstLine="0"/>
              <w:jc w:val="both"/>
              <w:rPr>
                <w:color w:val="auto"/>
                <w:sz w:val="26"/>
                <w:szCs w:val="26"/>
              </w:rPr>
            </w:pPr>
            <w:r w:rsidRPr="00E13A68">
              <w:rPr>
                <w:color w:val="auto"/>
                <w:sz w:val="26"/>
                <w:szCs w:val="26"/>
              </w:rPr>
              <w:t>Būvnormatīvs nosaka vides pieejamības prasības tūristu mītnēm, kuru ēkas kopējā platība nav lielāka par 150 m</w:t>
            </w:r>
            <w:r w:rsidRPr="00E13A68">
              <w:rPr>
                <w:color w:val="auto"/>
                <w:sz w:val="26"/>
                <w:szCs w:val="26"/>
                <w:vertAlign w:val="superscript"/>
              </w:rPr>
              <w:t>2</w:t>
            </w:r>
            <w:r w:rsidRPr="00E13A68">
              <w:rPr>
                <w:color w:val="auto"/>
                <w:sz w:val="26"/>
                <w:szCs w:val="26"/>
              </w:rPr>
              <w:t xml:space="preserve">. </w:t>
            </w:r>
            <w:r>
              <w:rPr>
                <w:color w:val="auto"/>
                <w:sz w:val="26"/>
                <w:szCs w:val="26"/>
              </w:rPr>
              <w:t>Šādām tūristu mītnēm netiek piemērots Latvijas būvnormatīvs LBN 208 “Publiskas būves”. Gadījumos, kad</w:t>
            </w:r>
            <w:r w:rsidRPr="00E13A68">
              <w:rPr>
                <w:color w:val="auto"/>
                <w:sz w:val="26"/>
                <w:szCs w:val="26"/>
              </w:rPr>
              <w:t xml:space="preserve"> paredzētas divas līdz piecas tūristu mītnes, vides pieejamība ir jāparedz vismaz vienā no piecām ēkām. Ja paredzētas vairāk par piecām tūristu mītnēm, vides pieejamība jānodrošina vismaz 20% ēkās no kopējā ēku skaita. </w:t>
            </w:r>
          </w:p>
          <w:p w:rsidR="004607EA" w:rsidRPr="00E13A68" w:rsidRDefault="004607EA" w:rsidP="00450C14">
            <w:pPr>
              <w:pStyle w:val="naiskr"/>
              <w:spacing w:before="0" w:after="0"/>
              <w:ind w:left="57" w:right="57"/>
              <w:jc w:val="both"/>
              <w:rPr>
                <w:sz w:val="26"/>
                <w:szCs w:val="26"/>
              </w:rPr>
            </w:pPr>
            <w:r w:rsidRPr="00E13A68">
              <w:rPr>
                <w:sz w:val="26"/>
                <w:szCs w:val="26"/>
              </w:rPr>
              <w:t>Ar noteikumu projekta spēkā stāšanos spēku zaudēs:</w:t>
            </w:r>
          </w:p>
          <w:p w:rsidR="004607EA" w:rsidRPr="00E13A68" w:rsidRDefault="004607EA" w:rsidP="00450C14">
            <w:pPr>
              <w:pStyle w:val="naiskr"/>
              <w:spacing w:before="0" w:after="0"/>
              <w:ind w:left="57" w:right="57"/>
              <w:jc w:val="both"/>
              <w:rPr>
                <w:sz w:val="26"/>
                <w:szCs w:val="26"/>
              </w:rPr>
            </w:pPr>
            <w:r w:rsidRPr="00E13A68">
              <w:rPr>
                <w:sz w:val="26"/>
                <w:szCs w:val="26"/>
              </w:rPr>
              <w:t>1) Ministru kabineta 2009.gada 3.februāra noteikumi Nr.102 „Noteikumi par Latvijas būvnormatīvu LBN 211-08 „Daudzstāvu daudzdzīvokļu dzīvojamie nami””;</w:t>
            </w:r>
          </w:p>
          <w:p w:rsidR="004607EA" w:rsidRPr="00E13A68" w:rsidRDefault="004607EA" w:rsidP="00450C14">
            <w:pPr>
              <w:pStyle w:val="naiskr"/>
              <w:spacing w:before="0" w:after="0"/>
              <w:ind w:left="57" w:right="57"/>
              <w:jc w:val="both"/>
              <w:rPr>
                <w:sz w:val="26"/>
                <w:szCs w:val="26"/>
              </w:rPr>
            </w:pPr>
            <w:r w:rsidRPr="00E13A68">
              <w:rPr>
                <w:sz w:val="26"/>
                <w:szCs w:val="26"/>
              </w:rPr>
              <w:t>2) Ministru kabineta 2009.gada 1.septembra noteikumi Nr.1000 “Noteikumi par Latvijas būvnormatīvu LBN 209-09 “</w:t>
            </w:r>
            <w:proofErr w:type="spellStart"/>
            <w:r w:rsidRPr="00E13A68">
              <w:rPr>
                <w:sz w:val="26"/>
                <w:szCs w:val="26"/>
              </w:rPr>
              <w:t>Mazstāvu</w:t>
            </w:r>
            <w:proofErr w:type="spellEnd"/>
            <w:r w:rsidRPr="00E13A68">
              <w:rPr>
                <w:sz w:val="26"/>
                <w:szCs w:val="26"/>
              </w:rPr>
              <w:t xml:space="preserve"> dzīvojamās mājas””</w:t>
            </w:r>
          </w:p>
          <w:p w:rsidR="004607EA" w:rsidRPr="00E13A68" w:rsidRDefault="004607EA" w:rsidP="00450C14">
            <w:pPr>
              <w:pStyle w:val="naiskr"/>
              <w:spacing w:before="120" w:after="0"/>
              <w:ind w:left="57" w:right="57"/>
              <w:jc w:val="both"/>
              <w:rPr>
                <w:sz w:val="26"/>
                <w:szCs w:val="26"/>
              </w:rPr>
            </w:pPr>
            <w:r w:rsidRPr="00E13A68">
              <w:rPr>
                <w:sz w:val="26"/>
                <w:szCs w:val="26"/>
              </w:rPr>
              <w:t>.</w:t>
            </w:r>
          </w:p>
        </w:tc>
      </w:tr>
      <w:tr w:rsidR="004607EA" w:rsidRPr="00E13A68" w:rsidTr="00450C14">
        <w:trPr>
          <w:trHeight w:val="706"/>
        </w:trPr>
        <w:tc>
          <w:tcPr>
            <w:tcW w:w="524" w:type="dxa"/>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lastRenderedPageBreak/>
              <w:t> 3.</w:t>
            </w:r>
          </w:p>
        </w:tc>
        <w:tc>
          <w:tcPr>
            <w:tcW w:w="3177" w:type="dxa"/>
            <w:gridSpan w:val="2"/>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Projekta izstrādē iesaistītās institūcijas</w:t>
            </w:r>
          </w:p>
        </w:tc>
        <w:tc>
          <w:tcPr>
            <w:tcW w:w="5361" w:type="dxa"/>
          </w:tcPr>
          <w:p w:rsidR="004607EA" w:rsidRPr="00E13A68" w:rsidRDefault="004607EA" w:rsidP="00C231A8">
            <w:pPr>
              <w:spacing w:after="0" w:line="240" w:lineRule="auto"/>
              <w:ind w:left="57" w:right="57"/>
              <w:jc w:val="both"/>
              <w:rPr>
                <w:rFonts w:ascii="Times New Roman" w:hAnsi="Times New Roman" w:cs="Times New Roman"/>
                <w:sz w:val="26"/>
                <w:szCs w:val="26"/>
              </w:rPr>
            </w:pPr>
            <w:r w:rsidRPr="00E13A68">
              <w:rPr>
                <w:rFonts w:ascii="Times New Roman" w:hAnsi="Times New Roman" w:cs="Times New Roman"/>
                <w:sz w:val="26"/>
                <w:szCs w:val="26"/>
              </w:rPr>
              <w:t>Noteikumu projekt</w:t>
            </w:r>
            <w:r w:rsidR="00C231A8">
              <w:rPr>
                <w:rFonts w:ascii="Times New Roman" w:hAnsi="Times New Roman" w:cs="Times New Roman"/>
                <w:sz w:val="26"/>
                <w:szCs w:val="26"/>
              </w:rPr>
              <w:t>a izstrādē citas institūcijas netika iesaistītas</w:t>
            </w:r>
          </w:p>
        </w:tc>
      </w:tr>
      <w:tr w:rsidR="004607EA" w:rsidRPr="00E13A68" w:rsidTr="00450C14">
        <w:trPr>
          <w:trHeight w:val="384"/>
        </w:trPr>
        <w:tc>
          <w:tcPr>
            <w:tcW w:w="524" w:type="dxa"/>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 4.</w:t>
            </w:r>
          </w:p>
        </w:tc>
        <w:tc>
          <w:tcPr>
            <w:tcW w:w="3177" w:type="dxa"/>
            <w:gridSpan w:val="2"/>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Cita informācija</w:t>
            </w:r>
          </w:p>
        </w:tc>
        <w:tc>
          <w:tcPr>
            <w:tcW w:w="5361" w:type="dxa"/>
          </w:tcPr>
          <w:p w:rsidR="004607EA" w:rsidRPr="00425241" w:rsidRDefault="00C231A8" w:rsidP="00C231A8">
            <w:pPr>
              <w:pStyle w:val="naiskr"/>
              <w:spacing w:before="0" w:after="0"/>
              <w:ind w:left="57" w:right="57"/>
              <w:jc w:val="both"/>
              <w:rPr>
                <w:sz w:val="26"/>
                <w:szCs w:val="26"/>
                <w:u w:val="single"/>
              </w:rPr>
            </w:pPr>
            <w:r w:rsidRPr="00425241">
              <w:rPr>
                <w:sz w:val="26"/>
                <w:szCs w:val="26"/>
                <w:u w:val="single"/>
              </w:rPr>
              <w:t>Ekonomikas ministrija nodrošinās Noteikumu par Latvijas būvnormatīvu LBN 211-15 “Dzīvojamās ēkas” pārskatīšanu, diferencējot specifiskās prasības atkarībā no projektējamā objekta lietošanas veida un tā nepieciešamās funkcionalitātes, kā arī ieviešot Būvniecības likumā definēto vides pieejamības principu. Tāpat arī tiks pārvērti dzīvojamo ēku galvenie raksturlielumi (apbūves rādītāju noteikšana, platību aprēķini) un lietotā terminoloģija.</w:t>
            </w:r>
          </w:p>
          <w:p w:rsidR="00C231A8" w:rsidRPr="00C231A8" w:rsidRDefault="00C231A8" w:rsidP="00C231A8">
            <w:pPr>
              <w:pStyle w:val="naiskr"/>
              <w:spacing w:before="0" w:after="0"/>
              <w:ind w:left="57" w:right="57"/>
              <w:jc w:val="both"/>
              <w:rPr>
                <w:sz w:val="26"/>
                <w:szCs w:val="26"/>
              </w:rPr>
            </w:pPr>
          </w:p>
        </w:tc>
      </w:tr>
    </w:tbl>
    <w:p w:rsidR="004607EA" w:rsidRPr="00E13A68" w:rsidRDefault="004607EA" w:rsidP="004607EA">
      <w:pPr>
        <w:spacing w:after="0" w:line="240" w:lineRule="auto"/>
        <w:ind w:left="57" w:right="57"/>
        <w:rPr>
          <w:rFonts w:ascii="Times New Roman" w:hAnsi="Times New Roman" w:cs="Times New Roman"/>
          <w:sz w:val="26"/>
          <w:szCs w:val="26"/>
        </w:rPr>
      </w:pPr>
    </w:p>
    <w:tbl>
      <w:tblPr>
        <w:tblW w:w="9062"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386"/>
      </w:tblGrid>
      <w:tr w:rsidR="004607EA" w:rsidRPr="00E13A68" w:rsidTr="00450C14">
        <w:tc>
          <w:tcPr>
            <w:tcW w:w="9062" w:type="dxa"/>
            <w:gridSpan w:val="3"/>
            <w:tcBorders>
              <w:top w:val="single" w:sz="4" w:space="0" w:color="auto"/>
              <w:left w:val="single" w:sz="4" w:space="0" w:color="auto"/>
              <w:bottom w:val="single" w:sz="4" w:space="0" w:color="auto"/>
              <w:right w:val="single" w:sz="4" w:space="0" w:color="auto"/>
            </w:tcBorders>
            <w:vAlign w:val="center"/>
            <w:hideMark/>
          </w:tcPr>
          <w:p w:rsidR="004607EA" w:rsidRPr="00E13A68" w:rsidRDefault="004607EA" w:rsidP="00450C14">
            <w:pPr>
              <w:spacing w:after="0" w:line="240" w:lineRule="auto"/>
              <w:ind w:left="57" w:right="57"/>
              <w:jc w:val="center"/>
              <w:rPr>
                <w:rFonts w:ascii="Times New Roman" w:hAnsi="Times New Roman" w:cs="Times New Roman"/>
                <w:b/>
                <w:sz w:val="26"/>
                <w:szCs w:val="26"/>
              </w:rPr>
            </w:pPr>
            <w:r w:rsidRPr="00E13A68">
              <w:rPr>
                <w:rFonts w:ascii="Times New Roman" w:hAnsi="Times New Roman" w:cs="Times New Roman"/>
                <w:b/>
                <w:sz w:val="26"/>
                <w:szCs w:val="26"/>
              </w:rPr>
              <w:lastRenderedPageBreak/>
              <w:t>II. Tiesību akta projekta ietekme uz sabiedrību tautsaimniecības attīstību un administratīvo slogu</w:t>
            </w:r>
          </w:p>
        </w:tc>
      </w:tr>
      <w:tr w:rsidR="004607EA" w:rsidRPr="00E13A68" w:rsidTr="00450C14">
        <w:trPr>
          <w:trHeight w:val="467"/>
        </w:trPr>
        <w:tc>
          <w:tcPr>
            <w:tcW w:w="523"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 1.</w:t>
            </w:r>
          </w:p>
        </w:tc>
        <w:tc>
          <w:tcPr>
            <w:tcW w:w="3153"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 xml:space="preserve"> Sabiedrības </w:t>
            </w:r>
            <w:proofErr w:type="spellStart"/>
            <w:r w:rsidRPr="00E13A68">
              <w:rPr>
                <w:rFonts w:ascii="Times New Roman" w:hAnsi="Times New Roman" w:cs="Times New Roman"/>
                <w:sz w:val="26"/>
                <w:szCs w:val="26"/>
              </w:rPr>
              <w:t>mērķgrupas</w:t>
            </w:r>
            <w:proofErr w:type="spellEnd"/>
            <w:r w:rsidRPr="00E13A68">
              <w:rPr>
                <w:rFonts w:ascii="Times New Roman" w:hAnsi="Times New Roman" w:cs="Times New Roman"/>
                <w:sz w:val="26"/>
                <w:szCs w:val="26"/>
              </w:rPr>
              <w:t>, kuras tiesiskais regulējums  ietekmē vai varētu ietekmēt</w:t>
            </w:r>
          </w:p>
        </w:tc>
        <w:tc>
          <w:tcPr>
            <w:tcW w:w="5386"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jc w:val="both"/>
              <w:rPr>
                <w:rFonts w:ascii="Times New Roman" w:hAnsi="Times New Roman" w:cs="Times New Roman"/>
                <w:iCs/>
                <w:sz w:val="26"/>
                <w:szCs w:val="26"/>
              </w:rPr>
            </w:pPr>
            <w:r w:rsidRPr="00E13A68">
              <w:rPr>
                <w:rFonts w:ascii="Times New Roman" w:hAnsi="Times New Roman" w:cs="Times New Roman"/>
                <w:iCs/>
                <w:sz w:val="26"/>
                <w:szCs w:val="26"/>
              </w:rPr>
              <w:t>Noteikumu projekta regulējums var ietekmēt jebkuru personu, kura ierosinās un veiks jaunu dzīvojamo ēku būvniecību, esošas dzīvojamās ēkas atjaunošanu vai pārbūvi, kā arī institūcijas, kuras iesaistītas būvniecības procesā. Tāpat arī ietekmēs būvniecības nozarē strādājošos būvprojekta izstrādātājus un šo dzīvojamo ēku lietotājus (īpašniekus, īrniekus, nomniekus).</w:t>
            </w:r>
          </w:p>
          <w:p w:rsidR="004607EA" w:rsidRPr="00E13A68" w:rsidRDefault="004607EA" w:rsidP="00450C14">
            <w:pPr>
              <w:spacing w:after="0" w:line="240" w:lineRule="auto"/>
              <w:ind w:left="57" w:right="57"/>
              <w:jc w:val="both"/>
              <w:rPr>
                <w:rFonts w:ascii="Times New Roman" w:hAnsi="Times New Roman" w:cs="Times New Roman"/>
                <w:sz w:val="26"/>
                <w:szCs w:val="26"/>
              </w:rPr>
            </w:pPr>
          </w:p>
        </w:tc>
      </w:tr>
      <w:tr w:rsidR="004607EA" w:rsidRPr="00E13A68" w:rsidTr="00450C14">
        <w:trPr>
          <w:trHeight w:val="523"/>
        </w:trPr>
        <w:tc>
          <w:tcPr>
            <w:tcW w:w="523"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 2.</w:t>
            </w:r>
          </w:p>
        </w:tc>
        <w:tc>
          <w:tcPr>
            <w:tcW w:w="3153"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Tiesiskā regulējuma ietekme uz tautsaimniecību un administratīvo slogu</w:t>
            </w:r>
          </w:p>
        </w:tc>
        <w:tc>
          <w:tcPr>
            <w:tcW w:w="5386"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jc w:val="both"/>
              <w:rPr>
                <w:rFonts w:ascii="Times New Roman" w:hAnsi="Times New Roman" w:cs="Times New Roman"/>
                <w:sz w:val="26"/>
                <w:szCs w:val="26"/>
              </w:rPr>
            </w:pPr>
            <w:r w:rsidRPr="00E13A68">
              <w:rPr>
                <w:rFonts w:ascii="Times New Roman" w:hAnsi="Times New Roman" w:cs="Times New Roman"/>
                <w:sz w:val="26"/>
                <w:szCs w:val="26"/>
              </w:rPr>
              <w:t xml:space="preserve">Šīs sadaļas 1.punktā minētajām sabiedrības </w:t>
            </w:r>
            <w:proofErr w:type="spellStart"/>
            <w:r w:rsidRPr="00E13A68">
              <w:rPr>
                <w:rFonts w:ascii="Times New Roman" w:hAnsi="Times New Roman" w:cs="Times New Roman"/>
                <w:sz w:val="26"/>
                <w:szCs w:val="26"/>
              </w:rPr>
              <w:t>mērķgrupām</w:t>
            </w:r>
            <w:proofErr w:type="spellEnd"/>
            <w:r w:rsidRPr="00E13A68">
              <w:rPr>
                <w:rFonts w:ascii="Times New Roman" w:hAnsi="Times New Roman" w:cs="Times New Roman"/>
                <w:sz w:val="26"/>
                <w:szCs w:val="26"/>
              </w:rPr>
              <w:t xml:space="preserve"> projekta tiesiskais regulējums nemaina tiesības un pienākumus, kā arī veicamās darbības salīdzinājumā ar līdzšinējo normatīvo regulējumu.</w:t>
            </w:r>
          </w:p>
          <w:p w:rsidR="004607EA" w:rsidRPr="00E13A68" w:rsidRDefault="004607EA" w:rsidP="00450C14">
            <w:pPr>
              <w:spacing w:after="0" w:line="240" w:lineRule="auto"/>
              <w:ind w:right="57"/>
              <w:jc w:val="both"/>
              <w:rPr>
                <w:rFonts w:ascii="Times New Roman" w:hAnsi="Times New Roman" w:cs="Times New Roman"/>
                <w:sz w:val="26"/>
                <w:szCs w:val="26"/>
              </w:rPr>
            </w:pPr>
          </w:p>
        </w:tc>
      </w:tr>
      <w:tr w:rsidR="004607EA" w:rsidRPr="00E13A68" w:rsidTr="00450C14">
        <w:trPr>
          <w:trHeight w:val="517"/>
        </w:trPr>
        <w:tc>
          <w:tcPr>
            <w:tcW w:w="523"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 3.</w:t>
            </w:r>
          </w:p>
        </w:tc>
        <w:tc>
          <w:tcPr>
            <w:tcW w:w="3153"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Administratīvo izmaksu monetārs novērtējums</w:t>
            </w:r>
          </w:p>
        </w:tc>
        <w:tc>
          <w:tcPr>
            <w:tcW w:w="5386"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jc w:val="both"/>
              <w:rPr>
                <w:rFonts w:ascii="Times New Roman" w:hAnsi="Times New Roman" w:cs="Times New Roman"/>
                <w:sz w:val="26"/>
                <w:szCs w:val="26"/>
              </w:rPr>
            </w:pPr>
            <w:r w:rsidRPr="00E13A68">
              <w:rPr>
                <w:rFonts w:ascii="Times New Roman" w:hAnsi="Times New Roman" w:cs="Times New Roman"/>
                <w:sz w:val="26"/>
                <w:szCs w:val="26"/>
              </w:rPr>
              <w:t>Noteikumu projekts šo jomu neskar</w:t>
            </w:r>
          </w:p>
        </w:tc>
      </w:tr>
      <w:tr w:rsidR="004607EA" w:rsidRPr="00E13A68" w:rsidTr="00450C14">
        <w:tc>
          <w:tcPr>
            <w:tcW w:w="523"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 4.</w:t>
            </w:r>
          </w:p>
        </w:tc>
        <w:tc>
          <w:tcPr>
            <w:tcW w:w="3153"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rPr>
                <w:rFonts w:ascii="Times New Roman" w:hAnsi="Times New Roman" w:cs="Times New Roman"/>
                <w:sz w:val="26"/>
                <w:szCs w:val="26"/>
              </w:rPr>
            </w:pPr>
            <w:r w:rsidRPr="00E13A68">
              <w:rPr>
                <w:rFonts w:ascii="Times New Roman" w:hAnsi="Times New Roman" w:cs="Times New Roman"/>
                <w:sz w:val="26"/>
                <w:szCs w:val="26"/>
              </w:rPr>
              <w:t> Cita informācija</w:t>
            </w:r>
          </w:p>
        </w:tc>
        <w:tc>
          <w:tcPr>
            <w:tcW w:w="5386" w:type="dxa"/>
            <w:tcBorders>
              <w:top w:val="single" w:sz="4" w:space="0" w:color="auto"/>
              <w:left w:val="single" w:sz="4" w:space="0" w:color="auto"/>
              <w:bottom w:val="single" w:sz="4" w:space="0" w:color="auto"/>
              <w:right w:val="single" w:sz="4" w:space="0" w:color="auto"/>
            </w:tcBorders>
            <w:hideMark/>
          </w:tcPr>
          <w:p w:rsidR="004607EA" w:rsidRPr="00E13A68" w:rsidRDefault="004607EA" w:rsidP="00450C14">
            <w:pPr>
              <w:spacing w:after="0" w:line="240" w:lineRule="auto"/>
              <w:ind w:left="57" w:right="57"/>
              <w:jc w:val="both"/>
              <w:rPr>
                <w:rFonts w:ascii="Times New Roman" w:hAnsi="Times New Roman" w:cs="Times New Roman"/>
                <w:sz w:val="26"/>
                <w:szCs w:val="26"/>
              </w:rPr>
            </w:pPr>
            <w:r w:rsidRPr="00E13A68">
              <w:rPr>
                <w:rFonts w:ascii="Times New Roman" w:hAnsi="Times New Roman" w:cs="Times New Roman"/>
                <w:sz w:val="26"/>
                <w:szCs w:val="26"/>
              </w:rPr>
              <w:t>Nav</w:t>
            </w:r>
          </w:p>
        </w:tc>
      </w:tr>
    </w:tbl>
    <w:p w:rsidR="004607EA" w:rsidRPr="00E13A68" w:rsidRDefault="004607EA" w:rsidP="004607EA">
      <w:pPr>
        <w:spacing w:after="0" w:line="240" w:lineRule="auto"/>
        <w:ind w:left="57" w:right="57"/>
        <w:rPr>
          <w:rFonts w:ascii="Times New Roman" w:hAnsi="Times New Roman" w:cs="Times New Roman"/>
          <w:sz w:val="26"/>
          <w:szCs w:val="26"/>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7"/>
        <w:gridCol w:w="3191"/>
        <w:gridCol w:w="5457"/>
      </w:tblGrid>
      <w:tr w:rsidR="004607EA" w:rsidRPr="00E13A68" w:rsidTr="00450C14">
        <w:trPr>
          <w:jc w:val="center"/>
        </w:trPr>
        <w:tc>
          <w:tcPr>
            <w:tcW w:w="9215" w:type="dxa"/>
            <w:gridSpan w:val="3"/>
          </w:tcPr>
          <w:p w:rsidR="004607EA" w:rsidRPr="00E13A68" w:rsidRDefault="004607EA" w:rsidP="00450C14">
            <w:pPr>
              <w:pStyle w:val="naisnod"/>
              <w:spacing w:before="0" w:after="0"/>
              <w:ind w:left="57" w:right="57"/>
              <w:rPr>
                <w:sz w:val="26"/>
                <w:szCs w:val="26"/>
              </w:rPr>
            </w:pPr>
            <w:r w:rsidRPr="00E13A68">
              <w:rPr>
                <w:sz w:val="26"/>
                <w:szCs w:val="26"/>
              </w:rPr>
              <w:t>VI. Sabiedrības līdzdalība un komunikācijas aktivitātes</w:t>
            </w:r>
          </w:p>
        </w:tc>
      </w:tr>
      <w:tr w:rsidR="004607EA" w:rsidRPr="00E13A68" w:rsidTr="00450C14">
        <w:trPr>
          <w:trHeight w:val="553"/>
          <w:jc w:val="center"/>
        </w:trPr>
        <w:tc>
          <w:tcPr>
            <w:tcW w:w="567" w:type="dxa"/>
          </w:tcPr>
          <w:p w:rsidR="004607EA" w:rsidRPr="00E13A68" w:rsidRDefault="004607EA" w:rsidP="00450C14">
            <w:pPr>
              <w:pStyle w:val="naiskr"/>
              <w:spacing w:before="0" w:after="0"/>
              <w:ind w:left="57" w:right="57"/>
              <w:rPr>
                <w:bCs/>
                <w:sz w:val="26"/>
                <w:szCs w:val="26"/>
              </w:rPr>
            </w:pPr>
            <w:r w:rsidRPr="00E13A68">
              <w:rPr>
                <w:bCs/>
                <w:sz w:val="26"/>
                <w:szCs w:val="26"/>
              </w:rPr>
              <w:t> 1.</w:t>
            </w:r>
          </w:p>
        </w:tc>
        <w:tc>
          <w:tcPr>
            <w:tcW w:w="3191" w:type="dxa"/>
          </w:tcPr>
          <w:p w:rsidR="004607EA" w:rsidRPr="00E13A68" w:rsidRDefault="004607EA" w:rsidP="00450C14">
            <w:pPr>
              <w:pStyle w:val="naiskr"/>
              <w:tabs>
                <w:tab w:val="left" w:pos="170"/>
              </w:tabs>
              <w:spacing w:before="0" w:after="0"/>
              <w:ind w:left="57" w:right="57"/>
              <w:rPr>
                <w:sz w:val="26"/>
                <w:szCs w:val="26"/>
              </w:rPr>
            </w:pPr>
            <w:r w:rsidRPr="00E13A68">
              <w:rPr>
                <w:sz w:val="26"/>
                <w:szCs w:val="26"/>
              </w:rPr>
              <w:t xml:space="preserve">Plānotās sabiedrības līdzdalības un komunikācijas aktivitātes saistībā ar projektu </w:t>
            </w:r>
          </w:p>
        </w:tc>
        <w:tc>
          <w:tcPr>
            <w:tcW w:w="5457" w:type="dxa"/>
          </w:tcPr>
          <w:p w:rsidR="004607EA" w:rsidRPr="00E13A68" w:rsidRDefault="004607EA" w:rsidP="00450C14">
            <w:pPr>
              <w:pStyle w:val="naiskr"/>
              <w:spacing w:before="0" w:after="0"/>
              <w:ind w:left="57" w:right="57"/>
              <w:jc w:val="both"/>
              <w:rPr>
                <w:iCs/>
                <w:sz w:val="26"/>
                <w:szCs w:val="26"/>
              </w:rPr>
            </w:pPr>
            <w:r w:rsidRPr="00E13A68">
              <w:rPr>
                <w:iCs/>
                <w:sz w:val="26"/>
                <w:szCs w:val="26"/>
              </w:rPr>
              <w:t>Par noteikumu projekta pārstrādi sabiedrība tika informēta Ekonomikas ministrijas rīkotajos semināros par jauno būvniecības regulējumu. Noteikumu projekts sabiedrībai publiski ir pieejams Ekonomikas ministrijas mājās lapā internetā, kā arī pēc izsludināšanas Valsts sekretāra sanāksmē būs pieejams Ministru kabineta mājās lapā internetā.</w:t>
            </w:r>
          </w:p>
          <w:p w:rsidR="004607EA" w:rsidRPr="00E13A68" w:rsidRDefault="004607EA" w:rsidP="00450C14">
            <w:pPr>
              <w:pStyle w:val="naiskr"/>
              <w:spacing w:before="0" w:after="0"/>
              <w:ind w:left="57" w:right="57"/>
              <w:jc w:val="both"/>
              <w:rPr>
                <w:iCs/>
                <w:sz w:val="26"/>
                <w:szCs w:val="26"/>
              </w:rPr>
            </w:pPr>
            <w:r w:rsidRPr="00E13A68">
              <w:rPr>
                <w:iCs/>
                <w:sz w:val="26"/>
                <w:szCs w:val="26"/>
              </w:rPr>
              <w:t>Ministru kabineta 2009.gada 25.augusta noteikumu Nr.970 „Sabiedrības līdzdalības kārtība attīstības plānošanas procesā” 13.punktā minētās darbības nav jāveic, jo noteikumu projektā paredzētais tiesiskais regulējums nemaina līdzšinējo spēkā esošo regulējumu.</w:t>
            </w:r>
          </w:p>
          <w:p w:rsidR="004607EA" w:rsidRPr="00E13A68" w:rsidRDefault="004607EA" w:rsidP="00450C14">
            <w:pPr>
              <w:pStyle w:val="naiskr"/>
              <w:spacing w:before="0" w:after="0"/>
              <w:ind w:left="57" w:right="57"/>
              <w:jc w:val="both"/>
              <w:rPr>
                <w:iCs/>
                <w:sz w:val="26"/>
                <w:szCs w:val="26"/>
              </w:rPr>
            </w:pPr>
          </w:p>
        </w:tc>
      </w:tr>
      <w:tr w:rsidR="004607EA" w:rsidRPr="00E13A68" w:rsidTr="00450C14">
        <w:trPr>
          <w:trHeight w:val="339"/>
          <w:jc w:val="center"/>
        </w:trPr>
        <w:tc>
          <w:tcPr>
            <w:tcW w:w="567" w:type="dxa"/>
          </w:tcPr>
          <w:p w:rsidR="004607EA" w:rsidRPr="00E13A68" w:rsidRDefault="004607EA" w:rsidP="00450C14">
            <w:pPr>
              <w:pStyle w:val="naiskr"/>
              <w:spacing w:before="0" w:after="0"/>
              <w:ind w:left="57" w:right="57"/>
              <w:rPr>
                <w:bCs/>
                <w:sz w:val="26"/>
                <w:szCs w:val="26"/>
              </w:rPr>
            </w:pPr>
            <w:r w:rsidRPr="00E13A68">
              <w:rPr>
                <w:bCs/>
                <w:sz w:val="26"/>
                <w:szCs w:val="26"/>
              </w:rPr>
              <w:t> 2.</w:t>
            </w:r>
          </w:p>
        </w:tc>
        <w:tc>
          <w:tcPr>
            <w:tcW w:w="3191" w:type="dxa"/>
          </w:tcPr>
          <w:p w:rsidR="004607EA" w:rsidRPr="00E13A68" w:rsidRDefault="004607EA" w:rsidP="00450C14">
            <w:pPr>
              <w:pStyle w:val="naiskr"/>
              <w:spacing w:before="0" w:after="0"/>
              <w:ind w:left="57" w:right="57"/>
              <w:rPr>
                <w:sz w:val="26"/>
                <w:szCs w:val="26"/>
              </w:rPr>
            </w:pPr>
            <w:r w:rsidRPr="00E13A68">
              <w:rPr>
                <w:sz w:val="26"/>
                <w:szCs w:val="26"/>
              </w:rPr>
              <w:t>Sabiedrības līdzdalība projekta izstrādē</w:t>
            </w:r>
          </w:p>
        </w:tc>
        <w:tc>
          <w:tcPr>
            <w:tcW w:w="5457" w:type="dxa"/>
          </w:tcPr>
          <w:p w:rsidR="004607EA" w:rsidRPr="00E13A68" w:rsidRDefault="004607EA" w:rsidP="00450C14">
            <w:pPr>
              <w:pStyle w:val="naiskr"/>
              <w:spacing w:before="0" w:after="0"/>
              <w:ind w:left="57" w:right="57"/>
              <w:jc w:val="both"/>
              <w:rPr>
                <w:sz w:val="26"/>
                <w:szCs w:val="26"/>
              </w:rPr>
            </w:pPr>
            <w:r w:rsidRPr="00E13A68">
              <w:rPr>
                <w:sz w:val="26"/>
                <w:szCs w:val="26"/>
              </w:rPr>
              <w:t>Sabiedrības priekšlikumi vai iebildumi nav saņemti.</w:t>
            </w:r>
          </w:p>
          <w:p w:rsidR="004607EA" w:rsidRPr="00E13A68" w:rsidRDefault="004607EA" w:rsidP="00450C14">
            <w:pPr>
              <w:pStyle w:val="naiskr"/>
              <w:spacing w:before="0" w:after="0"/>
              <w:ind w:left="57" w:right="57"/>
              <w:jc w:val="both"/>
              <w:rPr>
                <w:sz w:val="26"/>
                <w:szCs w:val="26"/>
              </w:rPr>
            </w:pPr>
          </w:p>
        </w:tc>
      </w:tr>
      <w:tr w:rsidR="004607EA" w:rsidRPr="00E13A68" w:rsidTr="00450C14">
        <w:trPr>
          <w:trHeight w:val="375"/>
          <w:jc w:val="center"/>
        </w:trPr>
        <w:tc>
          <w:tcPr>
            <w:tcW w:w="567" w:type="dxa"/>
          </w:tcPr>
          <w:p w:rsidR="004607EA" w:rsidRPr="00E13A68" w:rsidRDefault="004607EA" w:rsidP="00450C14">
            <w:pPr>
              <w:pStyle w:val="naiskr"/>
              <w:spacing w:before="0" w:after="0"/>
              <w:ind w:left="57" w:right="57"/>
              <w:rPr>
                <w:bCs/>
                <w:sz w:val="26"/>
                <w:szCs w:val="26"/>
              </w:rPr>
            </w:pPr>
            <w:r w:rsidRPr="00E13A68">
              <w:rPr>
                <w:bCs/>
                <w:sz w:val="26"/>
                <w:szCs w:val="26"/>
              </w:rPr>
              <w:t> 3.</w:t>
            </w:r>
          </w:p>
        </w:tc>
        <w:tc>
          <w:tcPr>
            <w:tcW w:w="3191" w:type="dxa"/>
          </w:tcPr>
          <w:p w:rsidR="004607EA" w:rsidRPr="00E13A68" w:rsidRDefault="004607EA" w:rsidP="00450C14">
            <w:pPr>
              <w:pStyle w:val="naiskr"/>
              <w:spacing w:before="0" w:after="0"/>
              <w:ind w:left="57" w:right="57"/>
              <w:rPr>
                <w:sz w:val="26"/>
                <w:szCs w:val="26"/>
              </w:rPr>
            </w:pPr>
            <w:r w:rsidRPr="00E13A68">
              <w:rPr>
                <w:sz w:val="26"/>
                <w:szCs w:val="26"/>
              </w:rPr>
              <w:t>Sabiedrības līdzdalības rezultāti</w:t>
            </w:r>
          </w:p>
        </w:tc>
        <w:tc>
          <w:tcPr>
            <w:tcW w:w="5457" w:type="dxa"/>
          </w:tcPr>
          <w:p w:rsidR="004607EA" w:rsidRPr="00E13A68" w:rsidRDefault="004607EA" w:rsidP="00450C14">
            <w:pPr>
              <w:pStyle w:val="naiskr"/>
              <w:spacing w:before="0" w:after="0"/>
              <w:ind w:left="57" w:right="57"/>
              <w:jc w:val="both"/>
              <w:rPr>
                <w:sz w:val="26"/>
                <w:szCs w:val="26"/>
              </w:rPr>
            </w:pPr>
            <w:r w:rsidRPr="00E13A68">
              <w:rPr>
                <w:sz w:val="26"/>
                <w:szCs w:val="26"/>
              </w:rPr>
              <w:t>Sadaļa tiks precizēta atbilstoši saņemtajiem atzinumiem.</w:t>
            </w:r>
          </w:p>
          <w:p w:rsidR="004607EA" w:rsidRPr="00E13A68" w:rsidRDefault="004607EA" w:rsidP="00450C14">
            <w:pPr>
              <w:pStyle w:val="naiskr"/>
              <w:spacing w:before="0" w:after="0"/>
              <w:ind w:left="57" w:right="57"/>
              <w:jc w:val="both"/>
              <w:rPr>
                <w:sz w:val="26"/>
                <w:szCs w:val="26"/>
              </w:rPr>
            </w:pPr>
          </w:p>
        </w:tc>
      </w:tr>
      <w:tr w:rsidR="004607EA" w:rsidRPr="00E13A68" w:rsidTr="00450C14">
        <w:trPr>
          <w:trHeight w:val="476"/>
          <w:jc w:val="center"/>
        </w:trPr>
        <w:tc>
          <w:tcPr>
            <w:tcW w:w="567" w:type="dxa"/>
          </w:tcPr>
          <w:p w:rsidR="004607EA" w:rsidRPr="00E13A68" w:rsidRDefault="004607EA" w:rsidP="00450C14">
            <w:pPr>
              <w:pStyle w:val="naiskr"/>
              <w:spacing w:before="0" w:after="0"/>
              <w:ind w:left="57" w:right="57"/>
              <w:rPr>
                <w:bCs/>
                <w:sz w:val="26"/>
                <w:szCs w:val="26"/>
              </w:rPr>
            </w:pPr>
            <w:r w:rsidRPr="00E13A68">
              <w:rPr>
                <w:bCs/>
                <w:sz w:val="26"/>
                <w:szCs w:val="26"/>
              </w:rPr>
              <w:t> 4.</w:t>
            </w:r>
          </w:p>
        </w:tc>
        <w:tc>
          <w:tcPr>
            <w:tcW w:w="3191" w:type="dxa"/>
          </w:tcPr>
          <w:p w:rsidR="004607EA" w:rsidRPr="00E13A68" w:rsidRDefault="004607EA" w:rsidP="00450C14">
            <w:pPr>
              <w:pStyle w:val="naiskr"/>
              <w:spacing w:before="0" w:after="0"/>
              <w:ind w:left="57" w:right="57"/>
              <w:rPr>
                <w:sz w:val="26"/>
                <w:szCs w:val="26"/>
              </w:rPr>
            </w:pPr>
            <w:r w:rsidRPr="00E13A68">
              <w:rPr>
                <w:sz w:val="26"/>
                <w:szCs w:val="26"/>
              </w:rPr>
              <w:t>Cita informācija</w:t>
            </w:r>
          </w:p>
        </w:tc>
        <w:tc>
          <w:tcPr>
            <w:tcW w:w="5457" w:type="dxa"/>
          </w:tcPr>
          <w:p w:rsidR="004607EA" w:rsidRPr="00E13A68" w:rsidRDefault="004607EA" w:rsidP="00450C14">
            <w:pPr>
              <w:pStyle w:val="naiskr"/>
              <w:spacing w:before="0" w:after="0"/>
              <w:ind w:left="57" w:right="57"/>
              <w:jc w:val="both"/>
              <w:rPr>
                <w:sz w:val="26"/>
                <w:szCs w:val="26"/>
              </w:rPr>
            </w:pPr>
            <w:r w:rsidRPr="00E13A68">
              <w:rPr>
                <w:sz w:val="26"/>
                <w:szCs w:val="26"/>
              </w:rPr>
              <w:t>Nav</w:t>
            </w:r>
          </w:p>
        </w:tc>
      </w:tr>
    </w:tbl>
    <w:p w:rsidR="004607EA" w:rsidRPr="00E13A68" w:rsidRDefault="004607EA" w:rsidP="004607EA">
      <w:pPr>
        <w:pStyle w:val="naisf"/>
        <w:tabs>
          <w:tab w:val="left" w:pos="6710"/>
        </w:tabs>
        <w:spacing w:before="0" w:after="0"/>
        <w:ind w:left="57" w:right="57"/>
        <w:rPr>
          <w:sz w:val="26"/>
          <w:szCs w:val="26"/>
        </w:rPr>
      </w:pP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14"/>
        <w:gridCol w:w="3172"/>
        <w:gridCol w:w="5386"/>
      </w:tblGrid>
      <w:tr w:rsidR="004607EA" w:rsidRPr="00E13A68" w:rsidTr="00450C14">
        <w:trPr>
          <w:trHeight w:val="65"/>
        </w:trPr>
        <w:tc>
          <w:tcPr>
            <w:tcW w:w="9072" w:type="dxa"/>
            <w:gridSpan w:val="3"/>
          </w:tcPr>
          <w:p w:rsidR="004607EA" w:rsidRPr="00E13A68" w:rsidRDefault="004607EA" w:rsidP="00450C14">
            <w:pPr>
              <w:pStyle w:val="naisf"/>
              <w:tabs>
                <w:tab w:val="left" w:pos="6710"/>
              </w:tabs>
              <w:spacing w:before="0" w:after="0"/>
              <w:ind w:left="57" w:right="57"/>
              <w:jc w:val="center"/>
              <w:rPr>
                <w:sz w:val="26"/>
                <w:szCs w:val="26"/>
              </w:rPr>
            </w:pPr>
            <w:r w:rsidRPr="00E13A68">
              <w:rPr>
                <w:b/>
                <w:sz w:val="26"/>
                <w:szCs w:val="26"/>
              </w:rPr>
              <w:t>VII. Tiesību akta projekta izpildes nodrošināšana un tās ietekme uz institūcijām</w:t>
            </w:r>
          </w:p>
        </w:tc>
      </w:tr>
      <w:tr w:rsidR="004607EA" w:rsidRPr="00E13A68" w:rsidTr="00450C14">
        <w:trPr>
          <w:trHeight w:val="427"/>
        </w:trPr>
        <w:tc>
          <w:tcPr>
            <w:tcW w:w="514" w:type="dxa"/>
          </w:tcPr>
          <w:p w:rsidR="004607EA" w:rsidRPr="00E13A68" w:rsidRDefault="004607EA" w:rsidP="00450C14">
            <w:pPr>
              <w:pStyle w:val="naisf"/>
              <w:tabs>
                <w:tab w:val="left" w:pos="6710"/>
              </w:tabs>
              <w:spacing w:before="0" w:after="0"/>
              <w:ind w:left="57" w:right="57"/>
              <w:rPr>
                <w:sz w:val="26"/>
                <w:szCs w:val="26"/>
              </w:rPr>
            </w:pPr>
            <w:r w:rsidRPr="00E13A68">
              <w:rPr>
                <w:sz w:val="26"/>
                <w:szCs w:val="26"/>
              </w:rPr>
              <w:lastRenderedPageBreak/>
              <w:t> 1.</w:t>
            </w:r>
          </w:p>
        </w:tc>
        <w:tc>
          <w:tcPr>
            <w:tcW w:w="3172" w:type="dxa"/>
          </w:tcPr>
          <w:p w:rsidR="004607EA" w:rsidRPr="00E13A68" w:rsidRDefault="004607EA" w:rsidP="00450C14">
            <w:pPr>
              <w:pStyle w:val="naisf"/>
              <w:tabs>
                <w:tab w:val="left" w:pos="6710"/>
              </w:tabs>
              <w:spacing w:before="0" w:after="0"/>
              <w:ind w:left="57" w:right="57"/>
              <w:rPr>
                <w:sz w:val="26"/>
                <w:szCs w:val="26"/>
              </w:rPr>
            </w:pPr>
            <w:r w:rsidRPr="00E13A68">
              <w:rPr>
                <w:sz w:val="26"/>
                <w:szCs w:val="26"/>
              </w:rPr>
              <w:t> Projekta izpildē iesaistītās institūcijas</w:t>
            </w:r>
          </w:p>
        </w:tc>
        <w:tc>
          <w:tcPr>
            <w:tcW w:w="5386" w:type="dxa"/>
          </w:tcPr>
          <w:p w:rsidR="004607EA" w:rsidRPr="00E13A68" w:rsidRDefault="004607EA" w:rsidP="00450C14">
            <w:pPr>
              <w:pStyle w:val="naisf"/>
              <w:tabs>
                <w:tab w:val="left" w:pos="6710"/>
              </w:tabs>
              <w:spacing w:before="0" w:after="0"/>
              <w:ind w:left="57" w:right="57"/>
              <w:jc w:val="both"/>
              <w:rPr>
                <w:bCs/>
                <w:sz w:val="26"/>
                <w:szCs w:val="26"/>
              </w:rPr>
            </w:pPr>
            <w:r w:rsidRPr="00E13A68">
              <w:rPr>
                <w:bCs/>
                <w:sz w:val="26"/>
                <w:szCs w:val="26"/>
              </w:rPr>
              <w:t>Pašvaldības būvvaldes un institūcijas, kas kontrolē būvniecības procesu.</w:t>
            </w:r>
          </w:p>
          <w:p w:rsidR="004607EA" w:rsidRPr="00E13A68" w:rsidRDefault="004607EA" w:rsidP="00450C14">
            <w:pPr>
              <w:pStyle w:val="naisf"/>
              <w:tabs>
                <w:tab w:val="left" w:pos="6710"/>
              </w:tabs>
              <w:spacing w:before="0" w:after="0"/>
              <w:ind w:left="57" w:right="57"/>
              <w:jc w:val="both"/>
              <w:rPr>
                <w:bCs/>
                <w:sz w:val="26"/>
                <w:szCs w:val="26"/>
              </w:rPr>
            </w:pPr>
          </w:p>
        </w:tc>
      </w:tr>
      <w:tr w:rsidR="004607EA" w:rsidRPr="00E13A68" w:rsidTr="00450C14">
        <w:trPr>
          <w:trHeight w:val="463"/>
        </w:trPr>
        <w:tc>
          <w:tcPr>
            <w:tcW w:w="514" w:type="dxa"/>
          </w:tcPr>
          <w:p w:rsidR="004607EA" w:rsidRPr="00E13A68" w:rsidRDefault="004607EA" w:rsidP="00450C14">
            <w:pPr>
              <w:pStyle w:val="naisf"/>
              <w:tabs>
                <w:tab w:val="left" w:pos="6710"/>
              </w:tabs>
              <w:spacing w:before="0" w:after="0"/>
              <w:ind w:left="57" w:right="57"/>
              <w:rPr>
                <w:sz w:val="26"/>
                <w:szCs w:val="26"/>
              </w:rPr>
            </w:pPr>
            <w:r w:rsidRPr="00E13A68">
              <w:rPr>
                <w:sz w:val="26"/>
                <w:szCs w:val="26"/>
              </w:rPr>
              <w:t> 2.</w:t>
            </w:r>
          </w:p>
        </w:tc>
        <w:tc>
          <w:tcPr>
            <w:tcW w:w="3172" w:type="dxa"/>
          </w:tcPr>
          <w:p w:rsidR="004607EA" w:rsidRPr="00E13A68" w:rsidRDefault="004607EA" w:rsidP="00450C14">
            <w:pPr>
              <w:pStyle w:val="naisf"/>
              <w:tabs>
                <w:tab w:val="left" w:pos="6710"/>
              </w:tabs>
              <w:spacing w:before="0" w:after="0"/>
              <w:ind w:left="57" w:right="57"/>
              <w:rPr>
                <w:sz w:val="26"/>
                <w:szCs w:val="26"/>
              </w:rPr>
            </w:pPr>
            <w:r w:rsidRPr="00E13A68">
              <w:rPr>
                <w:sz w:val="26"/>
                <w:szCs w:val="26"/>
              </w:rPr>
              <w:t> Projekta izpildes ietekme uz pārvaldes funkcijām un institucionālo struktūru.</w:t>
            </w:r>
          </w:p>
          <w:p w:rsidR="004607EA" w:rsidRPr="00E13A68" w:rsidRDefault="004607EA" w:rsidP="00450C14">
            <w:pPr>
              <w:pStyle w:val="naisf"/>
              <w:tabs>
                <w:tab w:val="left" w:pos="6710"/>
              </w:tabs>
              <w:spacing w:before="0" w:after="0"/>
              <w:ind w:left="57" w:right="57"/>
              <w:rPr>
                <w:sz w:val="26"/>
                <w:szCs w:val="26"/>
              </w:rPr>
            </w:pPr>
            <w:r w:rsidRPr="00E13A68">
              <w:rPr>
                <w:sz w:val="26"/>
                <w:szCs w:val="26"/>
              </w:rPr>
              <w:t>Jaunu institūciju izveide, esošu institūciju likvidācija vai reorganizācija, to ietekme uz institūcijas cilvēkresursiem</w:t>
            </w:r>
          </w:p>
          <w:p w:rsidR="004607EA" w:rsidRPr="00E13A68" w:rsidRDefault="004607EA" w:rsidP="00450C14">
            <w:pPr>
              <w:pStyle w:val="naisf"/>
              <w:tabs>
                <w:tab w:val="left" w:pos="6710"/>
              </w:tabs>
              <w:spacing w:before="0" w:after="0"/>
              <w:ind w:left="57" w:right="57"/>
              <w:rPr>
                <w:sz w:val="26"/>
                <w:szCs w:val="26"/>
              </w:rPr>
            </w:pPr>
          </w:p>
        </w:tc>
        <w:tc>
          <w:tcPr>
            <w:tcW w:w="5386" w:type="dxa"/>
          </w:tcPr>
          <w:p w:rsidR="004607EA" w:rsidRPr="00E13A68" w:rsidRDefault="004607EA" w:rsidP="00450C14">
            <w:pPr>
              <w:pStyle w:val="naisf"/>
              <w:tabs>
                <w:tab w:val="left" w:pos="6710"/>
              </w:tabs>
              <w:spacing w:before="0" w:after="0"/>
              <w:ind w:left="57" w:right="57"/>
              <w:jc w:val="both"/>
              <w:rPr>
                <w:bCs/>
                <w:sz w:val="26"/>
                <w:szCs w:val="26"/>
              </w:rPr>
            </w:pPr>
            <w:r w:rsidRPr="00E13A68">
              <w:rPr>
                <w:bCs/>
                <w:sz w:val="26"/>
                <w:szCs w:val="26"/>
              </w:rPr>
              <w:t>Jaunas institūcijas netiks veidotas un nav nepieciešams likvidēt vai reorganizēt esošās institūcijas. Līdz ar to noteikumu projekta izpilde neietekmēs institūciju cilvēkresursus.</w:t>
            </w:r>
          </w:p>
        </w:tc>
      </w:tr>
      <w:tr w:rsidR="004607EA" w:rsidRPr="00E13A68" w:rsidTr="00450C14">
        <w:trPr>
          <w:trHeight w:val="476"/>
        </w:trPr>
        <w:tc>
          <w:tcPr>
            <w:tcW w:w="514" w:type="dxa"/>
          </w:tcPr>
          <w:p w:rsidR="004607EA" w:rsidRPr="00E13A68" w:rsidRDefault="004607EA" w:rsidP="00450C14">
            <w:pPr>
              <w:pStyle w:val="naisf"/>
              <w:tabs>
                <w:tab w:val="left" w:pos="6710"/>
              </w:tabs>
              <w:spacing w:before="0" w:after="0"/>
              <w:ind w:left="57" w:right="57"/>
              <w:rPr>
                <w:sz w:val="26"/>
                <w:szCs w:val="26"/>
              </w:rPr>
            </w:pPr>
            <w:r w:rsidRPr="00E13A68">
              <w:rPr>
                <w:sz w:val="26"/>
                <w:szCs w:val="26"/>
              </w:rPr>
              <w:t> 3.</w:t>
            </w:r>
          </w:p>
        </w:tc>
        <w:tc>
          <w:tcPr>
            <w:tcW w:w="3172" w:type="dxa"/>
          </w:tcPr>
          <w:p w:rsidR="004607EA" w:rsidRPr="00E13A68" w:rsidRDefault="004607EA" w:rsidP="00450C14">
            <w:pPr>
              <w:pStyle w:val="naisf"/>
              <w:tabs>
                <w:tab w:val="left" w:pos="6710"/>
              </w:tabs>
              <w:spacing w:before="0" w:after="0"/>
              <w:ind w:left="57" w:right="57"/>
              <w:rPr>
                <w:sz w:val="26"/>
                <w:szCs w:val="26"/>
              </w:rPr>
            </w:pPr>
            <w:r w:rsidRPr="00E13A68">
              <w:rPr>
                <w:sz w:val="26"/>
                <w:szCs w:val="26"/>
              </w:rPr>
              <w:t> Cita informācija</w:t>
            </w:r>
          </w:p>
        </w:tc>
        <w:tc>
          <w:tcPr>
            <w:tcW w:w="5386" w:type="dxa"/>
          </w:tcPr>
          <w:p w:rsidR="004607EA" w:rsidRPr="00E13A68" w:rsidRDefault="004607EA" w:rsidP="00450C14">
            <w:pPr>
              <w:pStyle w:val="naisf"/>
              <w:tabs>
                <w:tab w:val="left" w:pos="6710"/>
              </w:tabs>
              <w:spacing w:before="0" w:after="0"/>
              <w:ind w:left="57" w:right="57"/>
              <w:rPr>
                <w:sz w:val="26"/>
                <w:szCs w:val="26"/>
              </w:rPr>
            </w:pPr>
            <w:r w:rsidRPr="00E13A68">
              <w:rPr>
                <w:sz w:val="26"/>
                <w:szCs w:val="26"/>
              </w:rPr>
              <w:t>Nav</w:t>
            </w:r>
          </w:p>
        </w:tc>
      </w:tr>
    </w:tbl>
    <w:p w:rsidR="008737E7" w:rsidRDefault="008737E7" w:rsidP="004607EA">
      <w:pPr>
        <w:pStyle w:val="naisf"/>
        <w:tabs>
          <w:tab w:val="left" w:pos="6710"/>
        </w:tabs>
        <w:spacing w:before="0" w:after="0"/>
        <w:rPr>
          <w:i/>
          <w:sz w:val="26"/>
          <w:szCs w:val="26"/>
        </w:rPr>
      </w:pPr>
    </w:p>
    <w:p w:rsidR="004607EA" w:rsidRPr="00E13A68" w:rsidRDefault="004607EA" w:rsidP="004607EA">
      <w:pPr>
        <w:pStyle w:val="naisf"/>
        <w:tabs>
          <w:tab w:val="left" w:pos="6710"/>
        </w:tabs>
        <w:spacing w:before="0" w:after="0"/>
        <w:rPr>
          <w:i/>
          <w:sz w:val="26"/>
          <w:szCs w:val="26"/>
        </w:rPr>
      </w:pPr>
      <w:r w:rsidRPr="00E13A68">
        <w:rPr>
          <w:i/>
          <w:sz w:val="26"/>
          <w:szCs w:val="26"/>
        </w:rPr>
        <w:t>Anotācijas III, IV un V sadaļa - projekts šīs jomas neskar.</w:t>
      </w:r>
    </w:p>
    <w:p w:rsidR="004607EA" w:rsidRPr="00E13A68" w:rsidRDefault="004607EA" w:rsidP="004607EA">
      <w:pPr>
        <w:tabs>
          <w:tab w:val="left" w:pos="6804"/>
        </w:tabs>
        <w:spacing w:after="0" w:line="240" w:lineRule="auto"/>
        <w:jc w:val="both"/>
        <w:rPr>
          <w:rFonts w:ascii="Times New Roman" w:hAnsi="Times New Roman" w:cs="Times New Roman"/>
          <w:bCs/>
          <w:sz w:val="26"/>
          <w:szCs w:val="26"/>
        </w:rPr>
      </w:pPr>
    </w:p>
    <w:p w:rsidR="004607EA" w:rsidRPr="00F51BB3" w:rsidRDefault="004607EA" w:rsidP="004607EA">
      <w:pPr>
        <w:tabs>
          <w:tab w:val="left" w:pos="6804"/>
        </w:tabs>
        <w:spacing w:after="0" w:line="240" w:lineRule="auto"/>
        <w:jc w:val="both"/>
        <w:rPr>
          <w:rFonts w:ascii="Times New Roman" w:hAnsi="Times New Roman" w:cs="Times New Roman"/>
          <w:bCs/>
          <w:sz w:val="28"/>
          <w:szCs w:val="28"/>
        </w:rPr>
      </w:pPr>
    </w:p>
    <w:p w:rsidR="004607EA" w:rsidRPr="00F51BB3" w:rsidRDefault="004607EA" w:rsidP="004607EA">
      <w:pPr>
        <w:tabs>
          <w:tab w:val="left" w:pos="6804"/>
        </w:tabs>
        <w:spacing w:after="0" w:line="240" w:lineRule="auto"/>
        <w:jc w:val="both"/>
        <w:rPr>
          <w:rFonts w:ascii="Times New Roman" w:hAnsi="Times New Roman" w:cs="Times New Roman"/>
          <w:bCs/>
          <w:sz w:val="28"/>
          <w:szCs w:val="28"/>
        </w:rPr>
      </w:pPr>
      <w:r w:rsidRPr="00F51BB3">
        <w:rPr>
          <w:rFonts w:ascii="Times New Roman" w:hAnsi="Times New Roman" w:cs="Times New Roman"/>
          <w:bCs/>
          <w:sz w:val="28"/>
          <w:szCs w:val="28"/>
        </w:rPr>
        <w:t>Ekonomikas ministre</w:t>
      </w:r>
      <w:r w:rsidRPr="00F51BB3">
        <w:rPr>
          <w:rFonts w:ascii="Times New Roman" w:hAnsi="Times New Roman" w:cs="Times New Roman"/>
          <w:bCs/>
          <w:sz w:val="28"/>
          <w:szCs w:val="28"/>
        </w:rPr>
        <w:tab/>
      </w:r>
      <w:proofErr w:type="spellStart"/>
      <w:r w:rsidRPr="00F51BB3">
        <w:rPr>
          <w:rFonts w:ascii="Times New Roman" w:hAnsi="Times New Roman" w:cs="Times New Roman"/>
          <w:bCs/>
          <w:iCs/>
          <w:sz w:val="28"/>
          <w:szCs w:val="28"/>
        </w:rPr>
        <w:t>D.Reizniece</w:t>
      </w:r>
      <w:proofErr w:type="spellEnd"/>
      <w:r w:rsidRPr="00F51BB3">
        <w:rPr>
          <w:rFonts w:ascii="Times New Roman" w:hAnsi="Times New Roman" w:cs="Times New Roman"/>
          <w:bCs/>
          <w:iCs/>
          <w:sz w:val="28"/>
          <w:szCs w:val="28"/>
        </w:rPr>
        <w:t>-Ozola</w:t>
      </w:r>
    </w:p>
    <w:p w:rsidR="004607EA" w:rsidRDefault="004607EA" w:rsidP="004607EA">
      <w:pPr>
        <w:pStyle w:val="Heading1"/>
        <w:ind w:left="0" w:right="-1" w:firstLine="0"/>
        <w:rPr>
          <w:szCs w:val="28"/>
        </w:rPr>
      </w:pPr>
    </w:p>
    <w:p w:rsidR="004607EA" w:rsidRPr="00EF40F9" w:rsidRDefault="004607EA" w:rsidP="004607EA">
      <w:pPr>
        <w:rPr>
          <w:lang w:eastAsia="lv-LV"/>
        </w:rPr>
      </w:pPr>
    </w:p>
    <w:p w:rsidR="004607EA" w:rsidRPr="00F51BB3" w:rsidRDefault="004607EA" w:rsidP="004607EA">
      <w:pPr>
        <w:pStyle w:val="Heading1"/>
        <w:ind w:left="0" w:right="-1" w:firstLine="0"/>
        <w:rPr>
          <w:szCs w:val="28"/>
        </w:rPr>
      </w:pPr>
      <w:r w:rsidRPr="00F51BB3">
        <w:rPr>
          <w:szCs w:val="28"/>
        </w:rPr>
        <w:t xml:space="preserve">Vīza: </w:t>
      </w:r>
    </w:p>
    <w:p w:rsidR="004607EA" w:rsidRPr="00F51BB3" w:rsidRDefault="004607EA" w:rsidP="004607EA">
      <w:pPr>
        <w:pStyle w:val="Heading1"/>
        <w:ind w:left="0" w:right="-1" w:firstLine="0"/>
        <w:rPr>
          <w:szCs w:val="28"/>
        </w:rPr>
      </w:pPr>
      <w:r w:rsidRPr="00F51BB3">
        <w:rPr>
          <w:szCs w:val="28"/>
        </w:rPr>
        <w:t xml:space="preserve">Valsts sekretāra </w:t>
      </w:r>
    </w:p>
    <w:p w:rsidR="004607EA" w:rsidRPr="00F51BB3" w:rsidRDefault="004607EA" w:rsidP="004607EA">
      <w:pPr>
        <w:pStyle w:val="Heading1"/>
        <w:ind w:left="0" w:right="-1" w:firstLine="0"/>
        <w:rPr>
          <w:szCs w:val="28"/>
        </w:rPr>
      </w:pPr>
      <w:r w:rsidRPr="00F51BB3">
        <w:rPr>
          <w:szCs w:val="28"/>
        </w:rPr>
        <w:t>pienākumu izpildītājs,</w:t>
      </w:r>
    </w:p>
    <w:p w:rsidR="004607EA" w:rsidRPr="00F51BB3" w:rsidRDefault="004607EA" w:rsidP="004607EA">
      <w:pPr>
        <w:pStyle w:val="Heading1"/>
        <w:ind w:left="0" w:right="-1" w:firstLine="0"/>
        <w:rPr>
          <w:szCs w:val="28"/>
        </w:rPr>
      </w:pPr>
      <w:r w:rsidRPr="00F51BB3">
        <w:rPr>
          <w:szCs w:val="28"/>
        </w:rPr>
        <w:t>valsts sekretāra vietnieks</w:t>
      </w:r>
      <w:r w:rsidRPr="00F51BB3">
        <w:rPr>
          <w:szCs w:val="28"/>
        </w:rPr>
        <w:tab/>
      </w:r>
      <w:r w:rsidRPr="00F51BB3">
        <w:rPr>
          <w:szCs w:val="28"/>
        </w:rPr>
        <w:tab/>
      </w:r>
      <w:r w:rsidRPr="00F51BB3">
        <w:rPr>
          <w:szCs w:val="28"/>
        </w:rPr>
        <w:tab/>
      </w:r>
      <w:r w:rsidRPr="00F51BB3">
        <w:rPr>
          <w:szCs w:val="28"/>
        </w:rPr>
        <w:tab/>
      </w:r>
      <w:r w:rsidRPr="00F51BB3">
        <w:rPr>
          <w:szCs w:val="28"/>
        </w:rPr>
        <w:tab/>
      </w:r>
      <w:r w:rsidRPr="00F51BB3">
        <w:rPr>
          <w:szCs w:val="28"/>
        </w:rPr>
        <w:tab/>
      </w:r>
      <w:r w:rsidRPr="00F51BB3">
        <w:rPr>
          <w:szCs w:val="28"/>
        </w:rPr>
        <w:tab/>
      </w:r>
      <w:proofErr w:type="spellStart"/>
      <w:r w:rsidRPr="00F51BB3">
        <w:rPr>
          <w:szCs w:val="28"/>
        </w:rPr>
        <w:t>J.Spiridonovs</w:t>
      </w:r>
      <w:proofErr w:type="spellEnd"/>
    </w:p>
    <w:p w:rsidR="004607EA" w:rsidRPr="00F51BB3" w:rsidRDefault="004607EA" w:rsidP="004607EA">
      <w:pPr>
        <w:spacing w:after="0" w:line="240" w:lineRule="auto"/>
        <w:rPr>
          <w:rFonts w:ascii="Times New Roman" w:hAnsi="Times New Roman" w:cs="Times New Roman"/>
          <w:sz w:val="20"/>
        </w:rPr>
      </w:pPr>
    </w:p>
    <w:p w:rsidR="004607EA" w:rsidRDefault="004607EA" w:rsidP="004607EA">
      <w:pPr>
        <w:spacing w:after="0" w:line="240" w:lineRule="auto"/>
        <w:rPr>
          <w:rFonts w:ascii="Times New Roman" w:hAnsi="Times New Roman" w:cs="Times New Roman"/>
          <w:sz w:val="20"/>
          <w:szCs w:val="20"/>
        </w:rPr>
      </w:pPr>
    </w:p>
    <w:p w:rsidR="008737E7" w:rsidRDefault="008737E7" w:rsidP="004607EA">
      <w:pPr>
        <w:spacing w:after="0" w:line="240" w:lineRule="auto"/>
        <w:rPr>
          <w:rFonts w:ascii="Times New Roman" w:hAnsi="Times New Roman" w:cs="Times New Roman"/>
          <w:sz w:val="20"/>
          <w:szCs w:val="20"/>
        </w:rPr>
      </w:pPr>
    </w:p>
    <w:p w:rsidR="008737E7" w:rsidRDefault="008737E7" w:rsidP="004607EA">
      <w:pPr>
        <w:spacing w:after="0" w:line="240" w:lineRule="auto"/>
        <w:rPr>
          <w:rFonts w:ascii="Times New Roman" w:hAnsi="Times New Roman" w:cs="Times New Roman"/>
          <w:sz w:val="20"/>
          <w:szCs w:val="20"/>
        </w:rPr>
      </w:pPr>
    </w:p>
    <w:p w:rsidR="008737E7" w:rsidRPr="00F51BB3" w:rsidRDefault="008737E7" w:rsidP="004607EA">
      <w:pPr>
        <w:spacing w:after="0" w:line="240" w:lineRule="auto"/>
        <w:rPr>
          <w:rFonts w:ascii="Times New Roman" w:hAnsi="Times New Roman" w:cs="Times New Roman"/>
          <w:sz w:val="20"/>
          <w:szCs w:val="20"/>
        </w:rPr>
      </w:pPr>
    </w:p>
    <w:p w:rsidR="004607EA" w:rsidRPr="00F51BB3" w:rsidRDefault="004607EA" w:rsidP="004607EA">
      <w:pPr>
        <w:keepLines/>
        <w:widowControl w:val="0"/>
        <w:spacing w:after="0" w:line="240" w:lineRule="auto"/>
        <w:rPr>
          <w:rFonts w:ascii="Times New Roman" w:eastAsia="Times New Roman" w:hAnsi="Times New Roman" w:cs="Times New Roman"/>
          <w:sz w:val="20"/>
          <w:szCs w:val="20"/>
        </w:rPr>
      </w:pPr>
      <w:r w:rsidRPr="00F51BB3">
        <w:rPr>
          <w:rFonts w:ascii="Times New Roman" w:eastAsia="Times New Roman" w:hAnsi="Times New Roman" w:cs="Times New Roman"/>
          <w:sz w:val="20"/>
          <w:szCs w:val="20"/>
        </w:rPr>
        <w:t>2</w:t>
      </w:r>
      <w:r w:rsidR="00942EA2">
        <w:rPr>
          <w:rFonts w:ascii="Times New Roman" w:eastAsia="Times New Roman" w:hAnsi="Times New Roman" w:cs="Times New Roman"/>
          <w:sz w:val="20"/>
          <w:szCs w:val="20"/>
        </w:rPr>
        <w:t>7</w:t>
      </w:r>
      <w:r w:rsidRPr="00F51BB3">
        <w:rPr>
          <w:rFonts w:ascii="Times New Roman" w:eastAsia="Times New Roman" w:hAnsi="Times New Roman" w:cs="Times New Roman"/>
          <w:sz w:val="20"/>
          <w:szCs w:val="20"/>
        </w:rPr>
        <w:t>.0</w:t>
      </w:r>
      <w:r w:rsidR="00ED4BD7">
        <w:rPr>
          <w:rFonts w:ascii="Times New Roman" w:eastAsia="Times New Roman" w:hAnsi="Times New Roman" w:cs="Times New Roman"/>
          <w:sz w:val="20"/>
          <w:szCs w:val="20"/>
        </w:rPr>
        <w:t>6</w:t>
      </w:r>
      <w:r w:rsidRPr="00F51BB3">
        <w:rPr>
          <w:rFonts w:ascii="Times New Roman" w:eastAsia="Times New Roman" w:hAnsi="Times New Roman" w:cs="Times New Roman"/>
          <w:sz w:val="20"/>
          <w:szCs w:val="20"/>
        </w:rPr>
        <w:t>.2015.</w:t>
      </w:r>
    </w:p>
    <w:p w:rsidR="004607EA" w:rsidRPr="00FC416D" w:rsidRDefault="004607EA" w:rsidP="004607EA">
      <w:pPr>
        <w:tabs>
          <w:tab w:val="left" w:pos="1080"/>
        </w:tabs>
        <w:spacing w:after="0" w:line="240" w:lineRule="auto"/>
        <w:jc w:val="both"/>
        <w:rPr>
          <w:rFonts w:ascii="Times New Roman" w:eastAsia="Times New Roman" w:hAnsi="Times New Roman" w:cs="Times New Roman"/>
          <w:sz w:val="20"/>
          <w:szCs w:val="20"/>
          <w:lang w:val="de-DE"/>
        </w:rPr>
      </w:pPr>
      <w:r w:rsidRPr="00F51BB3">
        <w:rPr>
          <w:rFonts w:ascii="Times New Roman" w:eastAsia="Times New Roman" w:hAnsi="Times New Roman" w:cs="Times New Roman"/>
          <w:sz w:val="20"/>
          <w:szCs w:val="20"/>
          <w:lang w:val="en-AU"/>
        </w:rPr>
        <w:fldChar w:fldCharType="begin"/>
      </w:r>
      <w:r w:rsidRPr="00FC416D">
        <w:rPr>
          <w:rFonts w:ascii="Times New Roman" w:eastAsia="Times New Roman" w:hAnsi="Times New Roman" w:cs="Times New Roman"/>
          <w:sz w:val="20"/>
          <w:szCs w:val="20"/>
          <w:lang w:val="de-DE"/>
        </w:rPr>
        <w:instrText xml:space="preserve"> NUMWORDS   \* MERGEFORMAT </w:instrText>
      </w:r>
      <w:r w:rsidRPr="00F51BB3">
        <w:rPr>
          <w:rFonts w:ascii="Times New Roman" w:eastAsia="Times New Roman" w:hAnsi="Times New Roman" w:cs="Times New Roman"/>
          <w:sz w:val="20"/>
          <w:szCs w:val="20"/>
          <w:lang w:val="en-AU"/>
        </w:rPr>
        <w:fldChar w:fldCharType="separate"/>
      </w:r>
      <w:r w:rsidR="00FE75F9">
        <w:rPr>
          <w:rFonts w:ascii="Times New Roman" w:eastAsia="Times New Roman" w:hAnsi="Times New Roman" w:cs="Times New Roman"/>
          <w:noProof/>
          <w:sz w:val="20"/>
          <w:szCs w:val="20"/>
          <w:lang w:val="de-DE"/>
        </w:rPr>
        <w:t>1060</w:t>
      </w:r>
      <w:r w:rsidRPr="00F51BB3">
        <w:rPr>
          <w:rFonts w:ascii="Times New Roman" w:eastAsia="Times New Roman" w:hAnsi="Times New Roman" w:cs="Times New Roman"/>
          <w:sz w:val="20"/>
          <w:szCs w:val="20"/>
          <w:lang w:val="en-AU"/>
        </w:rPr>
        <w:fldChar w:fldCharType="end"/>
      </w:r>
    </w:p>
    <w:p w:rsidR="004607EA" w:rsidRPr="00F51BB3" w:rsidRDefault="004607EA" w:rsidP="004607EA">
      <w:pPr>
        <w:tabs>
          <w:tab w:val="left" w:pos="6840"/>
        </w:tabs>
        <w:spacing w:after="0" w:line="240" w:lineRule="auto"/>
        <w:jc w:val="both"/>
        <w:rPr>
          <w:rFonts w:ascii="Times New Roman" w:eastAsia="Times New Roman" w:hAnsi="Times New Roman" w:cs="Times New Roman"/>
          <w:sz w:val="20"/>
          <w:szCs w:val="20"/>
        </w:rPr>
      </w:pPr>
      <w:proofErr w:type="spellStart"/>
      <w:r w:rsidRPr="00F51BB3">
        <w:rPr>
          <w:rFonts w:ascii="Times New Roman" w:eastAsia="Times New Roman" w:hAnsi="Times New Roman" w:cs="Times New Roman"/>
          <w:sz w:val="20"/>
          <w:szCs w:val="20"/>
        </w:rPr>
        <w:t>E.Bučinska</w:t>
      </w:r>
      <w:proofErr w:type="spellEnd"/>
    </w:p>
    <w:p w:rsidR="004607EA" w:rsidRPr="00F51BB3" w:rsidRDefault="004607EA" w:rsidP="004607EA">
      <w:pPr>
        <w:tabs>
          <w:tab w:val="left" w:pos="6840"/>
        </w:tabs>
        <w:spacing w:after="0" w:line="240" w:lineRule="auto"/>
        <w:jc w:val="both"/>
        <w:rPr>
          <w:rFonts w:ascii="Times New Roman" w:hAnsi="Times New Roman" w:cs="Times New Roman"/>
        </w:rPr>
      </w:pPr>
      <w:r w:rsidRPr="00F51BB3">
        <w:rPr>
          <w:rFonts w:ascii="Times New Roman" w:eastAsia="Times New Roman" w:hAnsi="Times New Roman" w:cs="Times New Roman"/>
          <w:sz w:val="20"/>
          <w:szCs w:val="20"/>
        </w:rPr>
        <w:t xml:space="preserve">67013032, </w:t>
      </w:r>
      <w:hyperlink r:id="rId6" w:history="1">
        <w:r w:rsidRPr="00F51BB3">
          <w:rPr>
            <w:rStyle w:val="Hyperlink"/>
            <w:rFonts w:ascii="Times New Roman" w:hAnsi="Times New Roman" w:cs="Times New Roman"/>
            <w:sz w:val="20"/>
            <w:szCs w:val="20"/>
          </w:rPr>
          <w:t>Elga.Bucinska@em.gov.lv</w:t>
        </w:r>
      </w:hyperlink>
    </w:p>
    <w:p w:rsidR="009B5BF2" w:rsidRDefault="009B5BF2">
      <w:bookmarkStart w:id="5" w:name="_GoBack"/>
      <w:bookmarkEnd w:id="5"/>
    </w:p>
    <w:sectPr w:rsidR="009B5BF2" w:rsidSect="00FD2D53">
      <w:headerReference w:type="default" r:id="rId7"/>
      <w:footerReference w:type="default" r:id="rId8"/>
      <w:footerReference w:type="first" r:id="rId9"/>
      <w:pgSz w:w="11906" w:h="16838"/>
      <w:pgMar w:top="1418" w:right="1134" w:bottom="1134" w:left="1701" w:header="720"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F8" w:rsidRDefault="007E59F8" w:rsidP="00ED4BD7">
      <w:pPr>
        <w:spacing w:after="0" w:line="240" w:lineRule="auto"/>
      </w:pPr>
      <w:r>
        <w:separator/>
      </w:r>
    </w:p>
  </w:endnote>
  <w:endnote w:type="continuationSeparator" w:id="0">
    <w:p w:rsidR="007E59F8" w:rsidRDefault="007E59F8" w:rsidP="00ED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Pr="007F7D67" w:rsidRDefault="00A67F93" w:rsidP="007F7D67">
    <w:pPr>
      <w:spacing w:after="0" w:line="240" w:lineRule="auto"/>
      <w:jc w:val="both"/>
      <w:rPr>
        <w:rFonts w:ascii="Times New Roman" w:hAnsi="Times New Roman" w:cs="Times New Roman"/>
      </w:rPr>
    </w:pPr>
    <w:r w:rsidRPr="007F7D67">
      <w:rPr>
        <w:rFonts w:ascii="Times New Roman" w:hAnsi="Times New Roman" w:cs="Times New Roman"/>
        <w:sz w:val="20"/>
      </w:rPr>
      <w:fldChar w:fldCharType="begin"/>
    </w:r>
    <w:r w:rsidRPr="007F7D67">
      <w:rPr>
        <w:rFonts w:ascii="Times New Roman" w:hAnsi="Times New Roman" w:cs="Times New Roman"/>
        <w:sz w:val="20"/>
        <w:lang w:val="de-DE"/>
      </w:rPr>
      <w:instrText xml:space="preserve"> FILENAME   \* MERGEFORMAT </w:instrText>
    </w:r>
    <w:r w:rsidRPr="007F7D67">
      <w:rPr>
        <w:rFonts w:ascii="Times New Roman" w:hAnsi="Times New Roman" w:cs="Times New Roman"/>
        <w:sz w:val="20"/>
      </w:rPr>
      <w:fldChar w:fldCharType="separate"/>
    </w:r>
    <w:r w:rsidR="00FE75F9" w:rsidRPr="00FE75F9">
      <w:rPr>
        <w:rFonts w:ascii="Times New Roman" w:hAnsi="Times New Roman" w:cs="Times New Roman"/>
        <w:noProof/>
        <w:sz w:val="20"/>
      </w:rPr>
      <w:t>EManot_270615_LBN211</w:t>
    </w:r>
    <w:r w:rsidRPr="007F7D67">
      <w:rPr>
        <w:rFonts w:ascii="Times New Roman" w:hAnsi="Times New Roman" w:cs="Times New Roman"/>
        <w:noProof/>
        <w:sz w:val="20"/>
      </w:rPr>
      <w:fldChar w:fldCharType="end"/>
    </w:r>
    <w:r w:rsidRPr="007F7D67">
      <w:rPr>
        <w:rFonts w:ascii="Times New Roman" w:hAnsi="Times New Roman" w:cs="Times New Roman"/>
        <w:sz w:val="20"/>
      </w:rPr>
      <w:t xml:space="preserve">; Ministru kabineta noteikumu projekta „Noteikumi par Latvijas būvnormatīvu LBN 211-15 „Dzīvojamās ēkas”” sākotnējās ietekmes novērtējuma </w:t>
    </w:r>
    <w:smartTag w:uri="schemas-tilde-lv/tildestengine" w:element="veidnes">
      <w:smartTagPr>
        <w:attr w:name="id" w:val="-1"/>
        <w:attr w:name="baseform" w:val="ziņojums"/>
        <w:attr w:name="text" w:val="ziņojums"/>
      </w:smartTagPr>
      <w:r w:rsidRPr="007F7D67">
        <w:rPr>
          <w:rFonts w:ascii="Times New Roman" w:hAnsi="Times New Roman" w:cs="Times New Roman"/>
          <w:sz w:val="20"/>
        </w:rPr>
        <w:t>ziņojums</w:t>
      </w:r>
    </w:smartTag>
    <w:r w:rsidRPr="007F7D67">
      <w:rPr>
        <w:rFonts w:ascii="Times New Roman" w:hAnsi="Times New Roman" w:cs="Times New Roman"/>
        <w:sz w:val="20"/>
      </w:rPr>
      <w:t xml:space="preserve"> (</w:t>
    </w:r>
    <w:r w:rsidRPr="007F7D67">
      <w:rPr>
        <w:rFonts w:ascii="Times New Roman" w:hAnsi="Times New Roman" w:cs="Times New Roman"/>
        <w:bCs/>
        <w:sz w:val="20"/>
      </w:rPr>
      <w:t>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67" w:rsidRPr="007F7D67" w:rsidRDefault="00A67F93" w:rsidP="007F7D67">
    <w:pPr>
      <w:spacing w:after="0" w:line="240" w:lineRule="auto"/>
      <w:jc w:val="both"/>
      <w:rPr>
        <w:rFonts w:ascii="Times New Roman" w:hAnsi="Times New Roman" w:cs="Times New Roman"/>
      </w:rPr>
    </w:pPr>
    <w:r w:rsidRPr="007F7D67">
      <w:rPr>
        <w:rFonts w:ascii="Times New Roman" w:hAnsi="Times New Roman" w:cs="Times New Roman"/>
        <w:sz w:val="20"/>
      </w:rPr>
      <w:fldChar w:fldCharType="begin"/>
    </w:r>
    <w:r w:rsidRPr="007F7D67">
      <w:rPr>
        <w:rFonts w:ascii="Times New Roman" w:hAnsi="Times New Roman" w:cs="Times New Roman"/>
        <w:sz w:val="20"/>
        <w:lang w:val="de-DE"/>
      </w:rPr>
      <w:instrText xml:space="preserve"> FILENAME   \* MERGEFORMAT </w:instrText>
    </w:r>
    <w:r w:rsidRPr="007F7D67">
      <w:rPr>
        <w:rFonts w:ascii="Times New Roman" w:hAnsi="Times New Roman" w:cs="Times New Roman"/>
        <w:sz w:val="20"/>
      </w:rPr>
      <w:fldChar w:fldCharType="separate"/>
    </w:r>
    <w:r w:rsidR="00FE75F9" w:rsidRPr="00FE75F9">
      <w:rPr>
        <w:rFonts w:ascii="Times New Roman" w:hAnsi="Times New Roman" w:cs="Times New Roman"/>
        <w:noProof/>
        <w:sz w:val="20"/>
      </w:rPr>
      <w:t>EManot_270615_LBN211</w:t>
    </w:r>
    <w:r w:rsidRPr="007F7D67">
      <w:rPr>
        <w:rFonts w:ascii="Times New Roman" w:hAnsi="Times New Roman" w:cs="Times New Roman"/>
        <w:noProof/>
        <w:sz w:val="20"/>
      </w:rPr>
      <w:fldChar w:fldCharType="end"/>
    </w:r>
    <w:r w:rsidRPr="007F7D67">
      <w:rPr>
        <w:rFonts w:ascii="Times New Roman" w:hAnsi="Times New Roman" w:cs="Times New Roman"/>
        <w:sz w:val="20"/>
      </w:rPr>
      <w:t xml:space="preserve">; Ministru kabineta noteikumu projekta „Noteikumi par Latvijas būvnormatīvu LBN 211-15 „Dzīvojamās ēkas”” sākotnējās ietekmes novērtējuma </w:t>
    </w:r>
    <w:smartTag w:uri="schemas-tilde-lv/tildestengine" w:element="veidnes">
      <w:smartTagPr>
        <w:attr w:name="id" w:val="-1"/>
        <w:attr w:name="baseform" w:val="ziņojums"/>
        <w:attr w:name="text" w:val="ziņojums"/>
      </w:smartTagPr>
      <w:r w:rsidRPr="007F7D67">
        <w:rPr>
          <w:rFonts w:ascii="Times New Roman" w:hAnsi="Times New Roman" w:cs="Times New Roman"/>
          <w:sz w:val="20"/>
        </w:rPr>
        <w:t>ziņojums</w:t>
      </w:r>
    </w:smartTag>
    <w:r w:rsidRPr="007F7D67">
      <w:rPr>
        <w:rFonts w:ascii="Times New Roman" w:hAnsi="Times New Roman" w:cs="Times New Roman"/>
        <w:sz w:val="20"/>
      </w:rPr>
      <w:t xml:space="preserve"> (</w:t>
    </w:r>
    <w:r w:rsidRPr="007F7D67">
      <w:rPr>
        <w:rFonts w:ascii="Times New Roman" w:hAnsi="Times New Roman" w:cs="Times New Roman"/>
        <w:bCs/>
        <w:sz w:val="20"/>
      </w:rPr>
      <w:t>anotācija)</w:t>
    </w:r>
  </w:p>
  <w:p w:rsidR="00727BC6" w:rsidRPr="007F7D67" w:rsidRDefault="007E59F8" w:rsidP="007F7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F8" w:rsidRDefault="007E59F8" w:rsidP="00ED4BD7">
      <w:pPr>
        <w:spacing w:after="0" w:line="240" w:lineRule="auto"/>
      </w:pPr>
      <w:r>
        <w:separator/>
      </w:r>
    </w:p>
  </w:footnote>
  <w:footnote w:type="continuationSeparator" w:id="0">
    <w:p w:rsidR="007E59F8" w:rsidRDefault="007E59F8" w:rsidP="00ED4B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BC6" w:rsidRDefault="00A67F93">
    <w:pPr>
      <w:pStyle w:val="Header"/>
      <w:jc w:val="center"/>
      <w:rPr>
        <w:sz w:val="24"/>
      </w:rPr>
    </w:pPr>
    <w:r>
      <w:rPr>
        <w:sz w:val="24"/>
      </w:rPr>
      <w:fldChar w:fldCharType="begin"/>
    </w:r>
    <w:r>
      <w:rPr>
        <w:sz w:val="24"/>
      </w:rPr>
      <w:instrText xml:space="preserve"> PAGE   \* MERGEFORMAT </w:instrText>
    </w:r>
    <w:r>
      <w:rPr>
        <w:sz w:val="24"/>
      </w:rPr>
      <w:fldChar w:fldCharType="separate"/>
    </w:r>
    <w:r w:rsidR="00FE75F9">
      <w:rPr>
        <w:noProof/>
        <w:sz w:val="24"/>
      </w:rPr>
      <w:t>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EA"/>
    <w:rsid w:val="0010025C"/>
    <w:rsid w:val="001C5517"/>
    <w:rsid w:val="002C10A8"/>
    <w:rsid w:val="00353708"/>
    <w:rsid w:val="00425241"/>
    <w:rsid w:val="004607EA"/>
    <w:rsid w:val="00580CDD"/>
    <w:rsid w:val="007E59F8"/>
    <w:rsid w:val="00803214"/>
    <w:rsid w:val="008737E7"/>
    <w:rsid w:val="00942EA2"/>
    <w:rsid w:val="009B5BF2"/>
    <w:rsid w:val="00A67F93"/>
    <w:rsid w:val="00C231A8"/>
    <w:rsid w:val="00ED4BD7"/>
    <w:rsid w:val="00F358BF"/>
    <w:rsid w:val="00FE75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3DC81A7-563B-44EA-90B0-6749C0316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EA"/>
  </w:style>
  <w:style w:type="paragraph" w:styleId="Heading1">
    <w:name w:val="heading 1"/>
    <w:basedOn w:val="Normal"/>
    <w:next w:val="Normal"/>
    <w:link w:val="Heading1Char"/>
    <w:qFormat/>
    <w:rsid w:val="004607EA"/>
    <w:pPr>
      <w:keepNext/>
      <w:spacing w:after="0" w:line="240" w:lineRule="auto"/>
      <w:ind w:left="709" w:right="-427" w:hanging="709"/>
      <w:jc w:val="both"/>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7EA"/>
    <w:rPr>
      <w:rFonts w:ascii="Times New Roman" w:eastAsia="Times New Roman" w:hAnsi="Times New Roman" w:cs="Times New Roman"/>
      <w:sz w:val="28"/>
      <w:szCs w:val="20"/>
      <w:lang w:eastAsia="lv-LV"/>
    </w:rPr>
  </w:style>
  <w:style w:type="paragraph" w:customStyle="1" w:styleId="naisf">
    <w:name w:val="naisf"/>
    <w:basedOn w:val="Normal"/>
    <w:rsid w:val="004607EA"/>
    <w:pPr>
      <w:spacing w:before="100" w:after="100" w:line="240" w:lineRule="auto"/>
    </w:pPr>
    <w:rPr>
      <w:rFonts w:ascii="Times New Roman" w:eastAsia="Times New Roman" w:hAnsi="Times New Roman" w:cs="Times New Roman"/>
      <w:sz w:val="24"/>
      <w:szCs w:val="20"/>
      <w:lang w:eastAsia="lv-LV"/>
    </w:rPr>
  </w:style>
  <w:style w:type="paragraph" w:styleId="Header">
    <w:name w:val="header"/>
    <w:basedOn w:val="Normal"/>
    <w:link w:val="HeaderChar"/>
    <w:uiPriority w:val="99"/>
    <w:rsid w:val="004607EA"/>
    <w:pPr>
      <w:tabs>
        <w:tab w:val="center" w:pos="4153"/>
        <w:tab w:val="right" w:pos="8306"/>
      </w:tabs>
      <w:spacing w:after="200" w:line="276" w:lineRule="auto"/>
    </w:pPr>
    <w:rPr>
      <w:rFonts w:ascii="Times New Roman" w:eastAsia="Times New Roman" w:hAnsi="Times New Roman" w:cs="Times New Roman"/>
      <w:szCs w:val="20"/>
      <w:lang w:eastAsia="lv-LV"/>
    </w:rPr>
  </w:style>
  <w:style w:type="character" w:customStyle="1" w:styleId="HeaderChar">
    <w:name w:val="Header Char"/>
    <w:basedOn w:val="DefaultParagraphFont"/>
    <w:link w:val="Header"/>
    <w:uiPriority w:val="99"/>
    <w:rsid w:val="004607EA"/>
    <w:rPr>
      <w:rFonts w:ascii="Times New Roman" w:eastAsia="Times New Roman" w:hAnsi="Times New Roman" w:cs="Times New Roman"/>
      <w:szCs w:val="20"/>
      <w:lang w:eastAsia="lv-LV"/>
    </w:rPr>
  </w:style>
  <w:style w:type="character" w:styleId="Hyperlink">
    <w:name w:val="Hyperlink"/>
    <w:basedOn w:val="DefaultParagraphFont"/>
    <w:semiHidden/>
    <w:rsid w:val="004607EA"/>
    <w:rPr>
      <w:color w:val="0000FF"/>
      <w:u w:val="single"/>
    </w:rPr>
  </w:style>
  <w:style w:type="paragraph" w:customStyle="1" w:styleId="naiskr">
    <w:name w:val="naiskr"/>
    <w:basedOn w:val="Normal"/>
    <w:rsid w:val="004607EA"/>
    <w:pPr>
      <w:spacing w:before="75" w:after="75"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4607EA"/>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tv2131">
    <w:name w:val="tv2131"/>
    <w:basedOn w:val="Normal"/>
    <w:rsid w:val="004607EA"/>
    <w:pPr>
      <w:spacing w:after="0" w:line="360" w:lineRule="auto"/>
      <w:ind w:firstLine="300"/>
    </w:pPr>
    <w:rPr>
      <w:rFonts w:ascii="Times New Roman" w:eastAsia="Times New Roman" w:hAnsi="Times New Roman" w:cs="Times New Roman"/>
      <w:color w:val="414142"/>
      <w:sz w:val="20"/>
      <w:szCs w:val="20"/>
      <w:lang w:eastAsia="lv-LV"/>
    </w:rPr>
  </w:style>
  <w:style w:type="paragraph" w:styleId="Footer">
    <w:name w:val="footer"/>
    <w:basedOn w:val="Normal"/>
    <w:link w:val="FooterChar"/>
    <w:uiPriority w:val="99"/>
    <w:unhideWhenUsed/>
    <w:rsid w:val="004607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07EA"/>
  </w:style>
  <w:style w:type="paragraph" w:styleId="BalloonText">
    <w:name w:val="Balloon Text"/>
    <w:basedOn w:val="Normal"/>
    <w:link w:val="BalloonTextChar"/>
    <w:uiPriority w:val="99"/>
    <w:semiHidden/>
    <w:unhideWhenUsed/>
    <w:rsid w:val="00FE7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5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1080</Words>
  <Characters>7648</Characters>
  <Application>Microsoft Office Word</Application>
  <DocSecurity>0</DocSecurity>
  <Lines>273</Lines>
  <Paragraphs>90</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Elga Bučinska</cp:lastModifiedBy>
  <cp:revision>4</cp:revision>
  <cp:lastPrinted>2015-06-27T06:15:00Z</cp:lastPrinted>
  <dcterms:created xsi:type="dcterms:W3CDTF">2015-06-27T05:53:00Z</dcterms:created>
  <dcterms:modified xsi:type="dcterms:W3CDTF">2015-06-27T06:16:00Z</dcterms:modified>
</cp:coreProperties>
</file>