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7A36" w14:textId="77777777" w:rsidR="00BD24A5" w:rsidRPr="00053BD2" w:rsidRDefault="007D6EEE" w:rsidP="007D6EEE">
      <w:pPr>
        <w:jc w:val="right"/>
        <w:rPr>
          <w:szCs w:val="28"/>
          <w:lang w:eastAsia="lv-LV"/>
        </w:rPr>
      </w:pPr>
      <w:r w:rsidRPr="00053BD2">
        <w:rPr>
          <w:szCs w:val="28"/>
          <w:lang w:eastAsia="lv-LV"/>
        </w:rPr>
        <w:t xml:space="preserve">3. pielikums </w:t>
      </w:r>
      <w:r w:rsidRPr="00053BD2">
        <w:rPr>
          <w:szCs w:val="28"/>
          <w:lang w:eastAsia="lv-LV"/>
        </w:rPr>
        <w:br/>
        <w:t xml:space="preserve">Ministru kabineta </w:t>
      </w:r>
      <w:r w:rsidRPr="00053BD2">
        <w:rPr>
          <w:szCs w:val="28"/>
          <w:lang w:eastAsia="lv-LV"/>
        </w:rPr>
        <w:br/>
        <w:t xml:space="preserve">2015. gada </w:t>
      </w:r>
      <w:r w:rsidR="00053BD2">
        <w:rPr>
          <w:szCs w:val="28"/>
          <w:lang w:eastAsia="lv-LV"/>
        </w:rPr>
        <w:t>____ noteikumiem Nr.___</w:t>
      </w:r>
    </w:p>
    <w:p w14:paraId="19255152" w14:textId="77777777" w:rsidR="00862AA7" w:rsidRDefault="00862AA7" w:rsidP="007D6EEE">
      <w:pPr>
        <w:jc w:val="center"/>
        <w:rPr>
          <w:b/>
          <w:color w:val="000000"/>
          <w:sz w:val="26"/>
        </w:rPr>
      </w:pPr>
    </w:p>
    <w:p w14:paraId="47AD7940" w14:textId="77777777" w:rsidR="00053BD2" w:rsidRDefault="00053BD2" w:rsidP="007D6EEE">
      <w:pPr>
        <w:jc w:val="center"/>
        <w:rPr>
          <w:b/>
          <w:color w:val="000000"/>
          <w:szCs w:val="28"/>
        </w:rPr>
      </w:pPr>
    </w:p>
    <w:p w14:paraId="65116A82" w14:textId="77777777" w:rsidR="007D6EEE" w:rsidRPr="007E454E" w:rsidRDefault="001A18FB" w:rsidP="007D6EEE">
      <w:pPr>
        <w:jc w:val="center"/>
        <w:rPr>
          <w:b/>
          <w:color w:val="000000"/>
          <w:szCs w:val="28"/>
        </w:rPr>
      </w:pPr>
      <w:r w:rsidRPr="007E454E">
        <w:rPr>
          <w:b/>
          <w:color w:val="000000"/>
          <w:szCs w:val="28"/>
        </w:rPr>
        <w:t>K</w:t>
      </w:r>
      <w:r w:rsidR="005C1998" w:rsidRPr="007E454E">
        <w:rPr>
          <w:b/>
          <w:color w:val="000000"/>
          <w:szCs w:val="28"/>
        </w:rPr>
        <w:t xml:space="preserve">omersanta, </w:t>
      </w:r>
      <w:r w:rsidR="00786C3C" w:rsidRPr="007E454E">
        <w:rPr>
          <w:b/>
          <w:szCs w:val="28"/>
          <w:lang w:eastAsia="lv-LV"/>
        </w:rPr>
        <w:t xml:space="preserve">kas </w:t>
      </w:r>
      <w:r w:rsidR="005D2D63" w:rsidRPr="007E454E">
        <w:rPr>
          <w:b/>
          <w:szCs w:val="28"/>
          <w:lang w:eastAsia="lv-LV"/>
        </w:rPr>
        <w:t xml:space="preserve">pretendē uz </w:t>
      </w:r>
      <w:r w:rsidR="00786C3C" w:rsidRPr="007E454E">
        <w:rPr>
          <w:b/>
          <w:szCs w:val="28"/>
          <w:lang w:eastAsia="lv-LV"/>
        </w:rPr>
        <w:t xml:space="preserve">tiesību </w:t>
      </w:r>
      <w:r w:rsidR="005D2D63" w:rsidRPr="007E454E">
        <w:rPr>
          <w:b/>
          <w:szCs w:val="28"/>
          <w:lang w:eastAsia="lv-LV"/>
        </w:rPr>
        <w:t xml:space="preserve">iegūšanu saņemt </w:t>
      </w:r>
      <w:r w:rsidR="00786C3C" w:rsidRPr="007E454E">
        <w:rPr>
          <w:b/>
          <w:szCs w:val="28"/>
          <w:lang w:eastAsia="lv-LV"/>
        </w:rPr>
        <w:t>obligātā iepirkuma komponentes samazinājumu, atbilstības kritēriji</w:t>
      </w:r>
    </w:p>
    <w:p w14:paraId="682FEA65" w14:textId="77777777" w:rsidR="007D6EEE" w:rsidRDefault="007D6EEE" w:rsidP="007D6EEE">
      <w:pPr>
        <w:jc w:val="center"/>
        <w:rPr>
          <w:b/>
          <w:color w:val="000000"/>
          <w:sz w:val="26"/>
        </w:rPr>
      </w:pPr>
    </w:p>
    <w:p w14:paraId="1140177C" w14:textId="77777777" w:rsidR="00053BD2" w:rsidRPr="00786C3C" w:rsidRDefault="00053BD2" w:rsidP="007D6EEE">
      <w:pPr>
        <w:jc w:val="center"/>
        <w:rPr>
          <w:b/>
          <w:color w:val="000000"/>
          <w:sz w:val="26"/>
        </w:rPr>
      </w:pPr>
    </w:p>
    <w:p w14:paraId="62D1AE03" w14:textId="77777777" w:rsidR="00C56D84" w:rsidRPr="007E454E" w:rsidRDefault="007D6EEE" w:rsidP="00C56D84">
      <w:pPr>
        <w:ind w:firstLine="720"/>
        <w:jc w:val="both"/>
        <w:rPr>
          <w:szCs w:val="28"/>
        </w:rPr>
      </w:pPr>
      <w:r w:rsidRPr="007E454E">
        <w:rPr>
          <w:szCs w:val="28"/>
        </w:rPr>
        <w:t>1. Uzņēmuma bruto pievienot</w:t>
      </w:r>
      <w:r w:rsidR="005C1998" w:rsidRPr="007E454E">
        <w:rPr>
          <w:szCs w:val="28"/>
        </w:rPr>
        <w:t>o</w:t>
      </w:r>
      <w:r w:rsidRPr="007E454E">
        <w:rPr>
          <w:szCs w:val="28"/>
        </w:rPr>
        <w:t xml:space="preserve"> vērtību, kas nosakāma kopā par saistītiem uzņēmumiem vai uzņēmumu grupu, </w:t>
      </w:r>
      <w:r w:rsidR="00C56D84" w:rsidRPr="007E454E">
        <w:rPr>
          <w:szCs w:val="28"/>
        </w:rPr>
        <w:t>aprēķina, izmantojot šādu formulu:</w:t>
      </w:r>
    </w:p>
    <w:p w14:paraId="210D8B40" w14:textId="77777777" w:rsidR="00C56D84" w:rsidRPr="007E454E" w:rsidRDefault="00C56D84" w:rsidP="00C56D84">
      <w:pPr>
        <w:spacing w:before="120" w:after="120"/>
        <w:jc w:val="center"/>
        <w:rPr>
          <w:i/>
          <w:szCs w:val="28"/>
        </w:rPr>
      </w:pPr>
      <w:r w:rsidRPr="007E454E">
        <w:rPr>
          <w:i/>
          <w:szCs w:val="28"/>
        </w:rPr>
        <w:t>BPV=PVR-N</w:t>
      </w:r>
      <w:r w:rsidRPr="007E454E">
        <w:rPr>
          <w:i/>
          <w:szCs w:val="28"/>
          <w:vertAlign w:val="subscript"/>
        </w:rPr>
        <w:t>n</w:t>
      </w:r>
      <w:r w:rsidRPr="007E454E">
        <w:rPr>
          <w:i/>
          <w:szCs w:val="28"/>
        </w:rPr>
        <w:t xml:space="preserve">+S, </w:t>
      </w:r>
      <w:r w:rsidRPr="007E454E">
        <w:rPr>
          <w:szCs w:val="28"/>
        </w:rPr>
        <w:t>kur</w:t>
      </w:r>
    </w:p>
    <w:p w14:paraId="1FA3C7C8" w14:textId="77777777" w:rsidR="00C56D84" w:rsidRPr="007E454E" w:rsidRDefault="00C56D84" w:rsidP="00C56D84">
      <w:pPr>
        <w:rPr>
          <w:szCs w:val="28"/>
        </w:rPr>
      </w:pPr>
      <w:r w:rsidRPr="007E454E">
        <w:rPr>
          <w:szCs w:val="28"/>
        </w:rPr>
        <w:t>PVR – pievienotā vērtība pēc ražošanas faktoru izmaksām (EUR);</w:t>
      </w:r>
    </w:p>
    <w:p w14:paraId="6933F99A" w14:textId="77777777" w:rsidR="00C56D84" w:rsidRPr="007E454E" w:rsidRDefault="00C56D84" w:rsidP="00C56D84">
      <w:pPr>
        <w:rPr>
          <w:szCs w:val="28"/>
        </w:rPr>
      </w:pPr>
      <w:r w:rsidRPr="007E454E">
        <w:rPr>
          <w:szCs w:val="28"/>
        </w:rPr>
        <w:t>N</w:t>
      </w:r>
      <w:r w:rsidRPr="007E454E">
        <w:rPr>
          <w:szCs w:val="28"/>
          <w:vertAlign w:val="subscript"/>
        </w:rPr>
        <w:t>n</w:t>
      </w:r>
      <w:r w:rsidRPr="007E454E">
        <w:rPr>
          <w:szCs w:val="28"/>
        </w:rPr>
        <w:t xml:space="preserve"> – netiešie nodokļi (EUR);</w:t>
      </w:r>
    </w:p>
    <w:p w14:paraId="09FB80C2" w14:textId="77777777" w:rsidR="00C56D84" w:rsidRPr="007E454E" w:rsidRDefault="00C56D84" w:rsidP="00C56D84">
      <w:pPr>
        <w:rPr>
          <w:szCs w:val="28"/>
        </w:rPr>
      </w:pPr>
      <w:r w:rsidRPr="007E454E">
        <w:rPr>
          <w:szCs w:val="28"/>
        </w:rPr>
        <w:t xml:space="preserve">S – </w:t>
      </w:r>
      <w:r w:rsidR="005C1998" w:rsidRPr="007E454E">
        <w:rPr>
          <w:szCs w:val="28"/>
        </w:rPr>
        <w:t xml:space="preserve">jebkādas </w:t>
      </w:r>
      <w:r w:rsidRPr="007E454E">
        <w:rPr>
          <w:szCs w:val="28"/>
        </w:rPr>
        <w:t>subsīdijas (EUR);</w:t>
      </w:r>
    </w:p>
    <w:p w14:paraId="108756F7" w14:textId="77777777" w:rsidR="00C56D84" w:rsidRPr="007E454E" w:rsidRDefault="00C56D84" w:rsidP="00C56D84">
      <w:pPr>
        <w:rPr>
          <w:szCs w:val="28"/>
        </w:rPr>
      </w:pPr>
    </w:p>
    <w:p w14:paraId="331FF5F5" w14:textId="77777777" w:rsidR="00481F57" w:rsidRPr="007E454E" w:rsidRDefault="007D6EEE" w:rsidP="007D6EEE">
      <w:pPr>
        <w:ind w:firstLine="720"/>
        <w:jc w:val="both"/>
        <w:rPr>
          <w:szCs w:val="28"/>
        </w:rPr>
      </w:pPr>
      <w:r w:rsidRPr="007E454E">
        <w:rPr>
          <w:szCs w:val="28"/>
        </w:rPr>
        <w:t xml:space="preserve">1.1. </w:t>
      </w:r>
      <w:r w:rsidR="00C56D84" w:rsidRPr="007E454E">
        <w:rPr>
          <w:szCs w:val="28"/>
        </w:rPr>
        <w:t>P</w:t>
      </w:r>
      <w:r w:rsidRPr="007E454E">
        <w:rPr>
          <w:szCs w:val="28"/>
        </w:rPr>
        <w:t>ievienoto vērtību pēc ražošanas faktoru izmaksām</w:t>
      </w:r>
      <w:r w:rsidR="00C56D84" w:rsidRPr="007E454E">
        <w:rPr>
          <w:szCs w:val="28"/>
        </w:rPr>
        <w:t xml:space="preserve"> aprēķina, izmantojot </w:t>
      </w:r>
      <w:r w:rsidR="00481F57" w:rsidRPr="007E454E">
        <w:rPr>
          <w:szCs w:val="28"/>
        </w:rPr>
        <w:t>vienu no divām aprēķināšanas formulām:</w:t>
      </w:r>
    </w:p>
    <w:p w14:paraId="6C2B82A1" w14:textId="77777777" w:rsidR="007D6EEE" w:rsidRPr="007E454E" w:rsidRDefault="00481F57" w:rsidP="007D6EEE">
      <w:pPr>
        <w:ind w:firstLine="720"/>
        <w:jc w:val="both"/>
        <w:rPr>
          <w:szCs w:val="28"/>
        </w:rPr>
      </w:pPr>
      <w:r w:rsidRPr="007E454E">
        <w:rPr>
          <w:szCs w:val="28"/>
        </w:rPr>
        <w:t>1.1.1. pirmā aprēķināšanas formula</w:t>
      </w:r>
      <w:r w:rsidR="007D6EEE" w:rsidRPr="007E454E">
        <w:rPr>
          <w:szCs w:val="28"/>
        </w:rPr>
        <w:t>:</w:t>
      </w:r>
    </w:p>
    <w:p w14:paraId="5C3F5764" w14:textId="77777777" w:rsidR="007D6EEE" w:rsidRPr="007E454E" w:rsidRDefault="007D6EEE" w:rsidP="00140C0B">
      <w:pPr>
        <w:spacing w:before="120" w:after="120"/>
        <w:jc w:val="center"/>
        <w:rPr>
          <w:szCs w:val="28"/>
        </w:rPr>
      </w:pPr>
      <w:r w:rsidRPr="007E454E">
        <w:rPr>
          <w:i/>
          <w:szCs w:val="28"/>
        </w:rPr>
        <w:t>PVR=</w:t>
      </w:r>
      <w:r w:rsidR="00140C0B" w:rsidRPr="007E454E">
        <w:rPr>
          <w:i/>
          <w:szCs w:val="28"/>
        </w:rPr>
        <w:t>A+KP+I</w:t>
      </w:r>
      <w:r w:rsidR="00140C0B" w:rsidRPr="007E454E">
        <w:rPr>
          <w:i/>
          <w:szCs w:val="28"/>
          <w:vertAlign w:val="subscript"/>
        </w:rPr>
        <w:t>csd</w:t>
      </w:r>
      <w:r w:rsidR="00140C0B" w:rsidRPr="007E454E">
        <w:rPr>
          <w:i/>
          <w:szCs w:val="28"/>
        </w:rPr>
        <w:t>+KI-I</w:t>
      </w:r>
      <w:r w:rsidR="00140C0B" w:rsidRPr="007E454E">
        <w:rPr>
          <w:i/>
          <w:szCs w:val="28"/>
          <w:vertAlign w:val="subscript"/>
        </w:rPr>
        <w:t>pp</w:t>
      </w:r>
      <w:r w:rsidR="00140C0B" w:rsidRPr="007E454E">
        <w:rPr>
          <w:i/>
          <w:szCs w:val="28"/>
        </w:rPr>
        <w:t>-N</w:t>
      </w:r>
      <w:r w:rsidR="00140C0B" w:rsidRPr="007E454E">
        <w:rPr>
          <w:i/>
          <w:szCs w:val="28"/>
          <w:vertAlign w:val="subscript"/>
        </w:rPr>
        <w:t>c</w:t>
      </w:r>
      <w:r w:rsidR="00140C0B" w:rsidRPr="007E454E">
        <w:rPr>
          <w:i/>
          <w:szCs w:val="28"/>
        </w:rPr>
        <w:t>-N</w:t>
      </w:r>
      <w:r w:rsidR="00140C0B" w:rsidRPr="007E454E">
        <w:rPr>
          <w:i/>
          <w:szCs w:val="28"/>
          <w:vertAlign w:val="subscript"/>
        </w:rPr>
        <w:t>r</w:t>
      </w:r>
      <w:r w:rsidRPr="007E454E">
        <w:rPr>
          <w:szCs w:val="28"/>
        </w:rPr>
        <w:t>, kur</w:t>
      </w:r>
    </w:p>
    <w:p w14:paraId="05088FBE" w14:textId="77777777" w:rsidR="007D6EEE" w:rsidRPr="007E454E" w:rsidRDefault="007D6EEE" w:rsidP="007D6EEE">
      <w:pPr>
        <w:rPr>
          <w:szCs w:val="28"/>
        </w:rPr>
      </w:pPr>
      <w:r w:rsidRPr="007E454E">
        <w:rPr>
          <w:szCs w:val="28"/>
        </w:rPr>
        <w:t>A – apgrozījums (EUR);</w:t>
      </w:r>
    </w:p>
    <w:p w14:paraId="347F1B87" w14:textId="77777777" w:rsidR="007D6EEE" w:rsidRPr="007E454E" w:rsidRDefault="007D6EEE" w:rsidP="007D6EEE">
      <w:pPr>
        <w:rPr>
          <w:szCs w:val="28"/>
        </w:rPr>
      </w:pPr>
      <w:r w:rsidRPr="007E454E">
        <w:rPr>
          <w:szCs w:val="28"/>
        </w:rPr>
        <w:t>KP – kapitalizētā produkcija (EUR);</w:t>
      </w:r>
    </w:p>
    <w:p w14:paraId="0B4FEA08" w14:textId="77777777" w:rsidR="007D6EEE" w:rsidRPr="007E454E" w:rsidRDefault="000C46AB" w:rsidP="007D6EEE">
      <w:pPr>
        <w:rPr>
          <w:szCs w:val="28"/>
        </w:rPr>
      </w:pPr>
      <w:r w:rsidRPr="007E454E">
        <w:rPr>
          <w:szCs w:val="28"/>
        </w:rPr>
        <w:t>I</w:t>
      </w:r>
      <w:r w:rsidRPr="007E454E">
        <w:rPr>
          <w:szCs w:val="28"/>
          <w:vertAlign w:val="subscript"/>
        </w:rPr>
        <w:t>csd</w:t>
      </w:r>
      <w:r w:rsidR="007D6EEE" w:rsidRPr="007E454E">
        <w:rPr>
          <w:szCs w:val="28"/>
        </w:rPr>
        <w:t xml:space="preserve"> – citi saimnieciskās darbības ienākumi (EUR)</w:t>
      </w:r>
      <w:r w:rsidRPr="007E454E">
        <w:rPr>
          <w:szCs w:val="28"/>
        </w:rPr>
        <w:t>;</w:t>
      </w:r>
    </w:p>
    <w:p w14:paraId="13D1DC2C" w14:textId="77777777" w:rsidR="000C46AB" w:rsidRPr="007E454E" w:rsidRDefault="000C46AB" w:rsidP="007D6EEE">
      <w:pPr>
        <w:rPr>
          <w:szCs w:val="28"/>
        </w:rPr>
      </w:pPr>
      <w:r w:rsidRPr="007E454E">
        <w:rPr>
          <w:szCs w:val="28"/>
        </w:rPr>
        <w:t>KI – krājumu izmaiņas</w:t>
      </w:r>
      <w:r w:rsidR="007E66FA" w:rsidRPr="007E454E">
        <w:rPr>
          <w:szCs w:val="28"/>
          <w:vertAlign w:val="superscript"/>
        </w:rPr>
        <w:t>1</w:t>
      </w:r>
      <w:r w:rsidR="00481F57" w:rsidRPr="007E454E">
        <w:rPr>
          <w:szCs w:val="28"/>
        </w:rPr>
        <w:t xml:space="preserve"> </w:t>
      </w:r>
      <w:r w:rsidRPr="007E454E">
        <w:rPr>
          <w:szCs w:val="28"/>
        </w:rPr>
        <w:t>(EUR);</w:t>
      </w:r>
    </w:p>
    <w:p w14:paraId="74F83E5A" w14:textId="77777777" w:rsidR="000C46AB" w:rsidRPr="007E454E" w:rsidRDefault="000C46AB" w:rsidP="007D6EEE">
      <w:pPr>
        <w:rPr>
          <w:szCs w:val="28"/>
        </w:rPr>
      </w:pPr>
      <w:r w:rsidRPr="007E454E">
        <w:rPr>
          <w:szCs w:val="28"/>
        </w:rPr>
        <w:t>I</w:t>
      </w:r>
      <w:r w:rsidRPr="007E454E">
        <w:rPr>
          <w:szCs w:val="28"/>
          <w:vertAlign w:val="subscript"/>
        </w:rPr>
        <w:t>pp</w:t>
      </w:r>
      <w:r w:rsidRPr="007E454E">
        <w:rPr>
          <w:szCs w:val="28"/>
        </w:rPr>
        <w:t xml:space="preserve"> – preču un pakalpojumu</w:t>
      </w:r>
      <w:r w:rsidR="001B34D5" w:rsidRPr="007E454E">
        <w:rPr>
          <w:szCs w:val="28"/>
          <w:vertAlign w:val="superscript"/>
        </w:rPr>
        <w:t>2</w:t>
      </w:r>
      <w:r w:rsidRPr="007E454E">
        <w:rPr>
          <w:szCs w:val="28"/>
        </w:rPr>
        <w:t xml:space="preserve"> iepirkumi (EUR);</w:t>
      </w:r>
    </w:p>
    <w:p w14:paraId="727CEFA3" w14:textId="77777777" w:rsidR="000C46AB" w:rsidRPr="007E454E" w:rsidRDefault="000C46AB" w:rsidP="007D6EEE">
      <w:pPr>
        <w:rPr>
          <w:szCs w:val="28"/>
        </w:rPr>
      </w:pPr>
      <w:r w:rsidRPr="007E454E">
        <w:rPr>
          <w:szCs w:val="28"/>
        </w:rPr>
        <w:t>N</w:t>
      </w:r>
      <w:r w:rsidR="00140C0B" w:rsidRPr="007E454E">
        <w:rPr>
          <w:szCs w:val="28"/>
          <w:vertAlign w:val="subscript"/>
        </w:rPr>
        <w:t>c</w:t>
      </w:r>
      <w:r w:rsidRPr="007E454E">
        <w:rPr>
          <w:szCs w:val="28"/>
        </w:rPr>
        <w:t xml:space="preserve"> – citi nodokļi par produktiem, kas saistīti ar apgrozījum</w:t>
      </w:r>
      <w:r w:rsidR="005C1998" w:rsidRPr="007E454E">
        <w:rPr>
          <w:szCs w:val="28"/>
        </w:rPr>
        <w:t>u</w:t>
      </w:r>
      <w:r w:rsidRPr="007E454E">
        <w:rPr>
          <w:szCs w:val="28"/>
        </w:rPr>
        <w:t>, bet</w:t>
      </w:r>
      <w:r w:rsidR="00C56D84" w:rsidRPr="007E454E">
        <w:rPr>
          <w:szCs w:val="28"/>
        </w:rPr>
        <w:t xml:space="preserve"> nav</w:t>
      </w:r>
      <w:r w:rsidRPr="007E454E">
        <w:rPr>
          <w:szCs w:val="28"/>
        </w:rPr>
        <w:t xml:space="preserve"> atskaitāmi (EUR);</w:t>
      </w:r>
    </w:p>
    <w:p w14:paraId="3E02449D" w14:textId="77777777" w:rsidR="000C46AB" w:rsidRPr="007E454E" w:rsidRDefault="000C46AB" w:rsidP="007D6EEE">
      <w:pPr>
        <w:rPr>
          <w:szCs w:val="28"/>
        </w:rPr>
      </w:pPr>
      <w:r w:rsidRPr="007E454E">
        <w:rPr>
          <w:szCs w:val="28"/>
        </w:rPr>
        <w:t>N</w:t>
      </w:r>
      <w:r w:rsidR="00140C0B" w:rsidRPr="007E454E">
        <w:rPr>
          <w:szCs w:val="28"/>
          <w:vertAlign w:val="subscript"/>
        </w:rPr>
        <w:t>r</w:t>
      </w:r>
      <w:r w:rsidR="00140C0B" w:rsidRPr="007E454E">
        <w:rPr>
          <w:szCs w:val="28"/>
        </w:rPr>
        <w:t xml:space="preserve"> – ar ražošanu saistītās nodevas un nodokļi (EUR).</w:t>
      </w:r>
    </w:p>
    <w:p w14:paraId="780F135F" w14:textId="77777777" w:rsidR="007E66FA" w:rsidRPr="007E454E" w:rsidRDefault="007E66FA" w:rsidP="007D6EEE">
      <w:pPr>
        <w:rPr>
          <w:szCs w:val="28"/>
        </w:rPr>
      </w:pPr>
      <w:r w:rsidRPr="007E454E">
        <w:rPr>
          <w:szCs w:val="28"/>
        </w:rPr>
        <w:t>Piezīmes.</w:t>
      </w:r>
    </w:p>
    <w:p w14:paraId="756729A1" w14:textId="77777777" w:rsidR="007E66FA" w:rsidRPr="007E454E" w:rsidRDefault="007E66FA" w:rsidP="007D6EEE">
      <w:pPr>
        <w:rPr>
          <w:szCs w:val="28"/>
        </w:rPr>
      </w:pPr>
      <w:r w:rsidRPr="007E454E">
        <w:rPr>
          <w:szCs w:val="28"/>
          <w:vertAlign w:val="superscript"/>
        </w:rPr>
        <w:t>1</w:t>
      </w:r>
      <w:r w:rsidRPr="007E454E">
        <w:rPr>
          <w:szCs w:val="28"/>
        </w:rPr>
        <w:t xml:space="preserve"> Krājumu samazinājuma gadījumā – negatīvs lielums</w:t>
      </w:r>
    </w:p>
    <w:p w14:paraId="11B50B17" w14:textId="77777777" w:rsidR="007E66FA" w:rsidRPr="007E454E" w:rsidRDefault="007E66FA" w:rsidP="007D6EEE">
      <w:pPr>
        <w:rPr>
          <w:szCs w:val="28"/>
        </w:rPr>
      </w:pPr>
      <w:r w:rsidRPr="007E454E">
        <w:rPr>
          <w:szCs w:val="28"/>
          <w:vertAlign w:val="superscript"/>
        </w:rPr>
        <w:t xml:space="preserve">2 </w:t>
      </w:r>
      <w:r w:rsidRPr="007E454E">
        <w:rPr>
          <w:szCs w:val="28"/>
        </w:rPr>
        <w:t>Preces un pakalpojumi neietver personāla izmaksas.</w:t>
      </w:r>
    </w:p>
    <w:p w14:paraId="69771FBC" w14:textId="77777777" w:rsidR="00481F57" w:rsidRPr="007E454E" w:rsidRDefault="00481F57" w:rsidP="007E66FA">
      <w:pPr>
        <w:spacing w:before="240" w:after="120"/>
        <w:ind w:firstLine="720"/>
        <w:jc w:val="both"/>
        <w:rPr>
          <w:szCs w:val="28"/>
        </w:rPr>
      </w:pPr>
      <w:r w:rsidRPr="007E454E">
        <w:rPr>
          <w:szCs w:val="28"/>
        </w:rPr>
        <w:t>1.1.2. otrā aprēķināšanas formula:</w:t>
      </w:r>
    </w:p>
    <w:p w14:paraId="1A0959D9" w14:textId="77777777" w:rsidR="007D6EEE" w:rsidRPr="007E454E" w:rsidRDefault="00481F57" w:rsidP="00481F57">
      <w:pPr>
        <w:spacing w:before="120" w:after="120"/>
        <w:ind w:firstLine="720"/>
        <w:jc w:val="center"/>
        <w:rPr>
          <w:szCs w:val="28"/>
        </w:rPr>
      </w:pPr>
      <w:r w:rsidRPr="007E454E">
        <w:rPr>
          <w:i/>
          <w:szCs w:val="28"/>
        </w:rPr>
        <w:t>PVR=DR+PI</w:t>
      </w:r>
      <w:r w:rsidRPr="007E454E">
        <w:rPr>
          <w:szCs w:val="28"/>
        </w:rPr>
        <w:t>, kur</w:t>
      </w:r>
    </w:p>
    <w:p w14:paraId="73C8988B" w14:textId="77777777" w:rsidR="00481F57" w:rsidRPr="007E454E" w:rsidRDefault="00481F57" w:rsidP="00481F57">
      <w:pPr>
        <w:jc w:val="both"/>
        <w:rPr>
          <w:szCs w:val="28"/>
        </w:rPr>
      </w:pPr>
      <w:r w:rsidRPr="007E454E">
        <w:rPr>
          <w:szCs w:val="28"/>
        </w:rPr>
        <w:t>DR – bruto darbības rezultāts (EUR);</w:t>
      </w:r>
    </w:p>
    <w:p w14:paraId="71910DF8" w14:textId="77777777" w:rsidR="00481F57" w:rsidRPr="007E454E" w:rsidRDefault="00481F57" w:rsidP="00481F57">
      <w:pPr>
        <w:jc w:val="both"/>
        <w:rPr>
          <w:szCs w:val="28"/>
        </w:rPr>
      </w:pPr>
      <w:r w:rsidRPr="007E454E">
        <w:rPr>
          <w:szCs w:val="28"/>
        </w:rPr>
        <w:t>PI – personāla izmaksas (EUR).</w:t>
      </w:r>
    </w:p>
    <w:p w14:paraId="64D1DE80" w14:textId="77777777" w:rsidR="00481F57" w:rsidRPr="007E454E" w:rsidRDefault="00481F57" w:rsidP="00481F57">
      <w:pPr>
        <w:jc w:val="both"/>
        <w:rPr>
          <w:szCs w:val="28"/>
        </w:rPr>
      </w:pPr>
    </w:p>
    <w:p w14:paraId="6251B4A2" w14:textId="6FBEC20A" w:rsidR="00481F57" w:rsidRPr="007E454E" w:rsidRDefault="00481F57" w:rsidP="00481F57">
      <w:pPr>
        <w:ind w:firstLine="720"/>
        <w:jc w:val="both"/>
        <w:rPr>
          <w:rFonts w:cs="Times New Roman"/>
          <w:color w:val="000000" w:themeColor="text1"/>
          <w:szCs w:val="28"/>
        </w:rPr>
      </w:pPr>
      <w:r w:rsidRPr="007E454E">
        <w:rPr>
          <w:rFonts w:cs="Times New Roman"/>
          <w:color w:val="000000" w:themeColor="text1"/>
          <w:szCs w:val="28"/>
        </w:rPr>
        <w:t>1.</w:t>
      </w:r>
      <w:r w:rsidR="007E66FA" w:rsidRPr="007E454E">
        <w:rPr>
          <w:rFonts w:cs="Times New Roman"/>
          <w:color w:val="000000" w:themeColor="text1"/>
          <w:szCs w:val="28"/>
        </w:rPr>
        <w:t>2</w:t>
      </w:r>
      <w:r w:rsidRPr="007E454E">
        <w:rPr>
          <w:rFonts w:cs="Times New Roman"/>
          <w:color w:val="000000" w:themeColor="text1"/>
          <w:szCs w:val="28"/>
        </w:rPr>
        <w:t xml:space="preserve">. Ieņēmumus un izdevumus, ko </w:t>
      </w:r>
      <w:r w:rsidR="000F1E42">
        <w:rPr>
          <w:rFonts w:cs="Times New Roman"/>
          <w:color w:val="000000" w:themeColor="text1"/>
          <w:szCs w:val="28"/>
        </w:rPr>
        <w:t>komersants</w:t>
      </w:r>
      <w:r w:rsidR="000F1E42" w:rsidRPr="007E454E">
        <w:rPr>
          <w:rFonts w:cs="Times New Roman"/>
          <w:color w:val="000000" w:themeColor="text1"/>
          <w:szCs w:val="28"/>
        </w:rPr>
        <w:t xml:space="preserve"> </w:t>
      </w:r>
      <w:r w:rsidRPr="007E454E">
        <w:rPr>
          <w:rFonts w:cs="Times New Roman"/>
          <w:color w:val="000000" w:themeColor="text1"/>
          <w:szCs w:val="28"/>
        </w:rPr>
        <w:t>grāmatvedībā klasificē kā finanšu ieņēmumus un izdevumus, pievienotajā vērtībā neieskaita.</w:t>
      </w:r>
    </w:p>
    <w:p w14:paraId="738B8669" w14:textId="77777777" w:rsidR="00481F57" w:rsidRPr="007E454E" w:rsidRDefault="00481F57" w:rsidP="00481F57">
      <w:pPr>
        <w:jc w:val="both"/>
        <w:rPr>
          <w:szCs w:val="28"/>
        </w:rPr>
      </w:pPr>
      <w:r w:rsidRPr="007E454E">
        <w:rPr>
          <w:szCs w:val="28"/>
        </w:rPr>
        <w:tab/>
        <w:t xml:space="preserve">1.3. </w:t>
      </w:r>
      <w:r w:rsidRPr="007E454E">
        <w:rPr>
          <w:rFonts w:cs="Times New Roman"/>
          <w:color w:val="000000" w:themeColor="text1"/>
          <w:szCs w:val="28"/>
        </w:rPr>
        <w:t>Pievienoto vērtību pēc ražošanas faktoru izmaksām aprēķina bruto līmenī</w:t>
      </w:r>
      <w:r w:rsidR="00DE6FFA" w:rsidRPr="007E454E">
        <w:rPr>
          <w:rFonts w:cs="Times New Roman"/>
          <w:color w:val="000000" w:themeColor="text1"/>
          <w:szCs w:val="28"/>
        </w:rPr>
        <w:t>.</w:t>
      </w:r>
    </w:p>
    <w:p w14:paraId="4AB068FF" w14:textId="77777777" w:rsidR="00481F57" w:rsidRPr="007E454E" w:rsidRDefault="00481F57" w:rsidP="00481F57">
      <w:pPr>
        <w:spacing w:before="120"/>
        <w:jc w:val="both"/>
        <w:rPr>
          <w:color w:val="000000" w:themeColor="text1"/>
          <w:szCs w:val="28"/>
        </w:rPr>
      </w:pPr>
      <w:r w:rsidRPr="007E454E">
        <w:rPr>
          <w:szCs w:val="28"/>
        </w:rPr>
        <w:lastRenderedPageBreak/>
        <w:tab/>
        <w:t xml:space="preserve">2. </w:t>
      </w:r>
      <w:r w:rsidRPr="007E454E">
        <w:rPr>
          <w:color w:val="000000" w:themeColor="text1"/>
          <w:szCs w:val="28"/>
        </w:rPr>
        <w:t>E</w:t>
      </w:r>
      <w:r w:rsidRPr="007E454E">
        <w:rPr>
          <w:szCs w:val="28"/>
        </w:rPr>
        <w:t xml:space="preserve">nergoietilpīgu komersantu, kas darbojas apstrādes rūpniecībā, </w:t>
      </w:r>
      <w:r w:rsidRPr="007E454E">
        <w:rPr>
          <w:bCs/>
          <w:color w:val="000000"/>
          <w:szCs w:val="28"/>
          <w:shd w:val="clear" w:color="auto" w:fill="FFFFFF"/>
        </w:rPr>
        <w:t>elektroenerģijas izmaksu īpatsvaru bruto pievienotajā vērtībā</w:t>
      </w:r>
      <w:r w:rsidRPr="007E454E" w:rsidDel="000D7B15">
        <w:rPr>
          <w:color w:val="000000" w:themeColor="text1"/>
          <w:szCs w:val="28"/>
        </w:rPr>
        <w:t xml:space="preserve"> </w:t>
      </w:r>
      <w:r w:rsidRPr="007E454E">
        <w:rPr>
          <w:color w:val="000000" w:themeColor="text1"/>
          <w:szCs w:val="28"/>
        </w:rPr>
        <w:t>aprēķina</w:t>
      </w:r>
      <w:r w:rsidR="00323637" w:rsidRPr="007E454E">
        <w:rPr>
          <w:color w:val="000000" w:themeColor="text1"/>
          <w:szCs w:val="28"/>
        </w:rPr>
        <w:t>, izmantojot šādu formulu</w:t>
      </w:r>
      <w:r w:rsidRPr="007E454E">
        <w:rPr>
          <w:color w:val="000000" w:themeColor="text1"/>
          <w:szCs w:val="28"/>
        </w:rPr>
        <w:t>:</w:t>
      </w:r>
    </w:p>
    <w:p w14:paraId="6CB8EC67" w14:textId="77777777" w:rsidR="00323637" w:rsidRPr="007E454E" w:rsidRDefault="007B4F78" w:rsidP="00323637">
      <w:pPr>
        <w:spacing w:before="120"/>
        <w:jc w:val="center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EII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BPV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el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BPV</m:t>
              </m:r>
            </m:den>
          </m:f>
          <m:r>
            <w:rPr>
              <w:rFonts w:ascii="Cambria Math" w:hAnsi="Cambria Math" w:cs="Times New Roman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 xml:space="preserve"> kur</m:t>
          </m:r>
        </m:oMath>
      </m:oMathPara>
    </w:p>
    <w:p w14:paraId="0D522F98" w14:textId="1B9C29BB" w:rsidR="00323637" w:rsidRPr="007E454E" w:rsidRDefault="00323637" w:rsidP="00053BD2">
      <w:pPr>
        <w:spacing w:before="120"/>
        <w:jc w:val="both"/>
        <w:rPr>
          <w:rFonts w:eastAsiaTheme="minorEastAsia" w:cs="Times New Roman"/>
          <w:szCs w:val="28"/>
        </w:rPr>
      </w:pPr>
      <w:r w:rsidRPr="007E454E">
        <w:rPr>
          <w:rFonts w:eastAsiaTheme="minorEastAsia" w:cs="Times New Roman"/>
          <w:szCs w:val="28"/>
        </w:rPr>
        <w:t>I</w:t>
      </w:r>
      <w:r w:rsidRPr="007E454E">
        <w:rPr>
          <w:rFonts w:eastAsiaTheme="minorEastAsia" w:cs="Times New Roman"/>
          <w:szCs w:val="28"/>
          <w:vertAlign w:val="subscript"/>
        </w:rPr>
        <w:t>el</w:t>
      </w:r>
      <w:r w:rsidRPr="007E454E">
        <w:rPr>
          <w:rFonts w:eastAsiaTheme="minorEastAsia" w:cs="Times New Roman"/>
          <w:szCs w:val="28"/>
        </w:rPr>
        <w:t xml:space="preserve"> –elektroenerģijas </w:t>
      </w:r>
      <w:r w:rsidR="007C242B">
        <w:rPr>
          <w:rFonts w:eastAsiaTheme="minorEastAsia" w:cs="Times New Roman"/>
          <w:szCs w:val="28"/>
        </w:rPr>
        <w:t xml:space="preserve">faktiskās </w:t>
      </w:r>
      <w:r w:rsidRPr="007E454E">
        <w:rPr>
          <w:rFonts w:eastAsiaTheme="minorEastAsia" w:cs="Times New Roman"/>
          <w:szCs w:val="28"/>
        </w:rPr>
        <w:t>izmaksas;</w:t>
      </w:r>
    </w:p>
    <w:p w14:paraId="24F89D95" w14:textId="64B04AE8" w:rsidR="00323637" w:rsidRPr="007E454E" w:rsidRDefault="00323637" w:rsidP="00053BD2">
      <w:pPr>
        <w:spacing w:before="120"/>
        <w:jc w:val="both"/>
        <w:rPr>
          <w:rFonts w:eastAsiaTheme="minorEastAsia" w:cs="Times New Roman"/>
          <w:szCs w:val="28"/>
        </w:rPr>
      </w:pPr>
      <w:r w:rsidRPr="007E454E">
        <w:rPr>
          <w:rFonts w:eastAsiaTheme="minorEastAsia" w:cs="Times New Roman"/>
          <w:szCs w:val="28"/>
        </w:rPr>
        <w:t xml:space="preserve">BPV –aprēķināta saskaņā ar šā pielikuma 1. </w:t>
      </w:r>
      <w:r w:rsidR="005C55F8" w:rsidRPr="007E454E">
        <w:rPr>
          <w:rFonts w:eastAsiaTheme="minorEastAsia" w:cs="Times New Roman"/>
          <w:szCs w:val="28"/>
        </w:rPr>
        <w:t>p</w:t>
      </w:r>
      <w:r w:rsidRPr="007E454E">
        <w:rPr>
          <w:rFonts w:eastAsiaTheme="minorEastAsia" w:cs="Times New Roman"/>
          <w:szCs w:val="28"/>
        </w:rPr>
        <w:t>unktu (EUR).</w:t>
      </w:r>
    </w:p>
    <w:p w14:paraId="165AC113" w14:textId="7631AC8F" w:rsidR="00507A44" w:rsidRPr="007E454E" w:rsidRDefault="00EC05C2" w:rsidP="004B31EF">
      <w:pPr>
        <w:spacing w:before="120"/>
        <w:jc w:val="both"/>
        <w:rPr>
          <w:color w:val="000000" w:themeColor="text1"/>
          <w:szCs w:val="28"/>
        </w:rPr>
      </w:pPr>
      <w:r w:rsidRPr="007E454E">
        <w:rPr>
          <w:rFonts w:cs="Times New Roman"/>
          <w:szCs w:val="28"/>
        </w:rPr>
        <w:tab/>
      </w:r>
      <w:r w:rsidR="00FB4603">
        <w:rPr>
          <w:color w:val="000000" w:themeColor="text1"/>
          <w:szCs w:val="28"/>
        </w:rPr>
        <w:t>3</w:t>
      </w:r>
      <w:r w:rsidR="00507A44" w:rsidRPr="007E454E">
        <w:rPr>
          <w:color w:val="000000" w:themeColor="text1"/>
          <w:szCs w:val="28"/>
        </w:rPr>
        <w:t xml:space="preserve">. </w:t>
      </w:r>
      <w:r w:rsidR="00FB4603">
        <w:rPr>
          <w:color w:val="000000" w:themeColor="text1"/>
          <w:szCs w:val="28"/>
        </w:rPr>
        <w:t>J</w:t>
      </w:r>
      <w:r w:rsidR="00507A44" w:rsidRPr="007E454E">
        <w:rPr>
          <w:color w:val="000000" w:themeColor="text1"/>
          <w:szCs w:val="28"/>
        </w:rPr>
        <w:t xml:space="preserve">a komersants darbojās vairākās nozarēs saskaņā ar šo noteikumu </w:t>
      </w:r>
      <w:r w:rsidR="005D3E31">
        <w:rPr>
          <w:color w:val="000000" w:themeColor="text1"/>
          <w:szCs w:val="28"/>
        </w:rPr>
        <w:t>1</w:t>
      </w:r>
      <w:r w:rsidR="00507A44" w:rsidRPr="007E454E">
        <w:rPr>
          <w:color w:val="000000" w:themeColor="text1"/>
          <w:szCs w:val="28"/>
        </w:rPr>
        <w:t>.</w:t>
      </w:r>
      <w:r w:rsidR="000162D2">
        <w:rPr>
          <w:color w:val="000000" w:themeColor="text1"/>
          <w:szCs w:val="28"/>
        </w:rPr>
        <w:t> </w:t>
      </w:r>
      <w:r w:rsidR="00507A44" w:rsidRPr="007E454E">
        <w:rPr>
          <w:color w:val="000000" w:themeColor="text1"/>
          <w:szCs w:val="28"/>
        </w:rPr>
        <w:t xml:space="preserve">pielikumu, tad, vērtējot komersanta atbilstību kritērijiem, jāņem vērā attiecīgā komersanta elektroenerģijas patēriņa īpatsvars tikai ar apstrādes rūpniecību saistītajās nozarēs saskaņā ar </w:t>
      </w:r>
      <w:r w:rsidR="005D3E31">
        <w:rPr>
          <w:color w:val="000000" w:themeColor="text1"/>
          <w:szCs w:val="28"/>
        </w:rPr>
        <w:t>1</w:t>
      </w:r>
      <w:r w:rsidR="00507A44" w:rsidRPr="007E454E">
        <w:rPr>
          <w:color w:val="000000" w:themeColor="text1"/>
          <w:szCs w:val="28"/>
        </w:rPr>
        <w:t>.</w:t>
      </w:r>
      <w:r w:rsidR="000162D2">
        <w:rPr>
          <w:color w:val="000000" w:themeColor="text1"/>
          <w:szCs w:val="28"/>
        </w:rPr>
        <w:t> </w:t>
      </w:r>
      <w:r w:rsidR="00507A44" w:rsidRPr="007E454E">
        <w:rPr>
          <w:color w:val="000000" w:themeColor="text1"/>
          <w:szCs w:val="28"/>
        </w:rPr>
        <w:t xml:space="preserve">pielikumu. </w:t>
      </w:r>
    </w:p>
    <w:p w14:paraId="32ADA149" w14:textId="77777777" w:rsidR="00EC05C2" w:rsidRPr="007E454E" w:rsidRDefault="00EC05C2" w:rsidP="00323637">
      <w:pPr>
        <w:spacing w:before="120"/>
        <w:rPr>
          <w:rFonts w:cs="Times New Roman"/>
          <w:szCs w:val="28"/>
        </w:rPr>
      </w:pPr>
    </w:p>
    <w:p w14:paraId="4A114DE1" w14:textId="77777777" w:rsidR="00FA5E83" w:rsidRDefault="00FA5E83" w:rsidP="00FA5E83">
      <w:pPr>
        <w:jc w:val="both"/>
        <w:rPr>
          <w:rFonts w:eastAsia="Calibri"/>
          <w:szCs w:val="28"/>
        </w:rPr>
      </w:pPr>
    </w:p>
    <w:p w14:paraId="6468F773" w14:textId="77777777" w:rsidR="004B31EF" w:rsidRDefault="004B31EF" w:rsidP="00FA5E83">
      <w:pPr>
        <w:jc w:val="both"/>
        <w:rPr>
          <w:rFonts w:eastAsia="Calibri"/>
          <w:szCs w:val="28"/>
        </w:rPr>
      </w:pPr>
    </w:p>
    <w:p w14:paraId="14E57AD8" w14:textId="77777777" w:rsidR="00FA5E83" w:rsidRDefault="00FA5E83" w:rsidP="00FA5E8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Ministru prezidente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L.Straujuma</w:t>
      </w:r>
    </w:p>
    <w:p w14:paraId="42A67C99" w14:textId="77777777" w:rsidR="00FA5E83" w:rsidRDefault="00FA5E83" w:rsidP="00FA5E83">
      <w:pPr>
        <w:tabs>
          <w:tab w:val="left" w:pos="6330"/>
        </w:tabs>
        <w:jc w:val="both"/>
        <w:rPr>
          <w:rFonts w:eastAsia="Calibri"/>
          <w:szCs w:val="28"/>
        </w:rPr>
      </w:pPr>
    </w:p>
    <w:p w14:paraId="0806C20B" w14:textId="77777777" w:rsidR="00FA5E83" w:rsidRDefault="00FA5E83" w:rsidP="00FA5E83">
      <w:pPr>
        <w:tabs>
          <w:tab w:val="left" w:pos="6330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14:paraId="064EC5EA" w14:textId="77777777" w:rsidR="00FA5E83" w:rsidRDefault="00FA5E83" w:rsidP="00FA5E8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Valsts kancelejas direktora pienākumu izpildītāja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I.Gailīte</w:t>
      </w:r>
    </w:p>
    <w:p w14:paraId="170B520A" w14:textId="77777777" w:rsidR="00FA5E83" w:rsidRDefault="00FA5E83" w:rsidP="00FA5E83">
      <w:pPr>
        <w:tabs>
          <w:tab w:val="right" w:pos="9000"/>
        </w:tabs>
        <w:jc w:val="both"/>
        <w:rPr>
          <w:rFonts w:eastAsia="Calibri"/>
          <w:szCs w:val="28"/>
        </w:rPr>
      </w:pPr>
    </w:p>
    <w:p w14:paraId="28570DAB" w14:textId="77777777" w:rsidR="00FA5E83" w:rsidRDefault="00FA5E83" w:rsidP="00FA5E83">
      <w:pPr>
        <w:rPr>
          <w:rFonts w:eastAsia="Calibri"/>
          <w:szCs w:val="28"/>
        </w:rPr>
      </w:pPr>
      <w:r>
        <w:rPr>
          <w:rFonts w:eastAsia="Calibri"/>
          <w:szCs w:val="28"/>
        </w:rPr>
        <w:t>Iesniedzējs:</w:t>
      </w:r>
    </w:p>
    <w:p w14:paraId="2EB43044" w14:textId="77777777" w:rsidR="00FA5E83" w:rsidRDefault="00FA5E83" w:rsidP="00FA5E83">
      <w:pPr>
        <w:jc w:val="both"/>
        <w:rPr>
          <w:rFonts w:eastAsia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t>ekonomikas ministra pienākumu izpildītājs,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</w:p>
    <w:p w14:paraId="51AC5DB2" w14:textId="6FC5F657" w:rsidR="00FA5E83" w:rsidRDefault="00A76643" w:rsidP="00FA5E83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veselības</w:t>
      </w:r>
      <w:r w:rsidR="00FA5E83">
        <w:rPr>
          <w:bCs/>
          <w:color w:val="000000"/>
          <w:szCs w:val="28"/>
        </w:rPr>
        <w:t xml:space="preserve"> ministrs</w:t>
      </w:r>
      <w:r w:rsidR="00FA5E83">
        <w:rPr>
          <w:bCs/>
          <w:color w:val="000000"/>
          <w:szCs w:val="28"/>
        </w:rPr>
        <w:tab/>
      </w:r>
      <w:r w:rsidR="00FA5E83">
        <w:rPr>
          <w:bCs/>
          <w:color w:val="000000"/>
          <w:szCs w:val="28"/>
        </w:rPr>
        <w:tab/>
      </w:r>
      <w:r w:rsidR="00FA5E83">
        <w:rPr>
          <w:bCs/>
          <w:color w:val="000000"/>
          <w:szCs w:val="28"/>
        </w:rPr>
        <w:tab/>
      </w:r>
      <w:r w:rsidR="00FA5E83">
        <w:rPr>
          <w:bCs/>
          <w:color w:val="000000"/>
          <w:szCs w:val="28"/>
        </w:rPr>
        <w:tab/>
      </w:r>
      <w:r w:rsidR="00FA5E83">
        <w:rPr>
          <w:bCs/>
          <w:color w:val="000000"/>
          <w:szCs w:val="28"/>
        </w:rPr>
        <w:tab/>
      </w:r>
      <w:r w:rsidR="00FA5E83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szCs w:val="28"/>
        </w:rPr>
        <w:t>G.Belēvičs</w:t>
      </w:r>
    </w:p>
    <w:p w14:paraId="5C9349F5" w14:textId="77777777" w:rsidR="00FA5E83" w:rsidRDefault="00FA5E83" w:rsidP="00FA5E83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14:paraId="1989231C" w14:textId="77777777" w:rsidR="00FA5E83" w:rsidRDefault="00FA5E83" w:rsidP="00FA5E83">
      <w:pPr>
        <w:rPr>
          <w:rFonts w:eastAsia="Calibri"/>
          <w:szCs w:val="28"/>
        </w:rPr>
      </w:pPr>
      <w:r>
        <w:rPr>
          <w:rFonts w:eastAsia="Calibri"/>
          <w:szCs w:val="28"/>
        </w:rPr>
        <w:t>Vīza:</w:t>
      </w:r>
    </w:p>
    <w:p w14:paraId="5A6E621D" w14:textId="22517F6C" w:rsidR="00FA5E83" w:rsidRDefault="00FA5E83" w:rsidP="00236943">
      <w:pPr>
        <w:rPr>
          <w:color w:val="000000"/>
          <w:szCs w:val="28"/>
        </w:rPr>
      </w:pPr>
      <w:r>
        <w:rPr>
          <w:rFonts w:eastAsia="Calibri"/>
          <w:szCs w:val="28"/>
        </w:rPr>
        <w:t>valsts sekretār</w:t>
      </w:r>
      <w:r w:rsidR="00236943">
        <w:rPr>
          <w:rFonts w:eastAsia="Calibri"/>
          <w:szCs w:val="28"/>
        </w:rPr>
        <w:t>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236943">
        <w:rPr>
          <w:color w:val="000000"/>
          <w:szCs w:val="28"/>
        </w:rPr>
        <w:tab/>
      </w:r>
      <w:r w:rsidR="00236943">
        <w:rPr>
          <w:color w:val="000000"/>
          <w:szCs w:val="28"/>
        </w:rPr>
        <w:tab/>
        <w:t>R.Beinarovičs</w:t>
      </w:r>
    </w:p>
    <w:p w14:paraId="57B6DCB5" w14:textId="77777777" w:rsidR="005C1998" w:rsidRPr="007E454E" w:rsidRDefault="005C1998" w:rsidP="005C1998">
      <w:pPr>
        <w:jc w:val="both"/>
        <w:rPr>
          <w:szCs w:val="28"/>
        </w:rPr>
      </w:pPr>
    </w:p>
    <w:p w14:paraId="1D3DF45B" w14:textId="77777777" w:rsidR="005C1998" w:rsidRDefault="005C1998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6CD41069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1E8685AE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29C32FAA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4008633A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6FCFE948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16355E0E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29E9EAD8" w14:textId="77777777" w:rsidR="004B31EF" w:rsidRDefault="004B31EF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0DE321CF" w14:textId="77777777" w:rsidR="004B31EF" w:rsidRDefault="004B31EF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5D94C4A9" w14:textId="77777777" w:rsidR="004B31EF" w:rsidRDefault="004B31EF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6AB5F1B8" w14:textId="77777777" w:rsidR="004B31EF" w:rsidRDefault="004B31EF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6106FEC7" w14:textId="77777777" w:rsidR="004B31EF" w:rsidRDefault="004B31EF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1865EBF9" w14:textId="77777777" w:rsidR="007E454E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191A5B5E" w14:textId="77777777" w:rsidR="007E454E" w:rsidRPr="00786C3C" w:rsidRDefault="007E454E" w:rsidP="005C1998">
      <w:pPr>
        <w:jc w:val="both"/>
        <w:rPr>
          <w:rFonts w:eastAsia="Times New Roman"/>
          <w:color w:val="000000" w:themeColor="text1"/>
          <w:sz w:val="14"/>
          <w:szCs w:val="16"/>
          <w:lang w:eastAsia="lv-LV"/>
        </w:rPr>
      </w:pPr>
    </w:p>
    <w:p w14:paraId="232FE98F" w14:textId="056C1045" w:rsidR="005C1998" w:rsidRPr="00862AA7" w:rsidRDefault="00A76643" w:rsidP="005C1998">
      <w:pPr>
        <w:jc w:val="both"/>
        <w:rPr>
          <w:rFonts w:eastAsia="Times New Roman"/>
          <w:color w:val="000000" w:themeColor="text1"/>
          <w:sz w:val="20"/>
          <w:szCs w:val="20"/>
          <w:lang w:eastAsia="lv-LV"/>
        </w:rPr>
      </w:pPr>
      <w:r>
        <w:rPr>
          <w:rFonts w:eastAsia="Times New Roman"/>
          <w:color w:val="000000" w:themeColor="text1"/>
          <w:sz w:val="20"/>
          <w:szCs w:val="20"/>
          <w:lang w:eastAsia="lv-LV"/>
        </w:rPr>
        <w:t>0</w:t>
      </w:r>
      <w:r w:rsidR="00236943">
        <w:rPr>
          <w:rFonts w:eastAsia="Times New Roman"/>
          <w:color w:val="000000" w:themeColor="text1"/>
          <w:sz w:val="20"/>
          <w:szCs w:val="20"/>
          <w:lang w:eastAsia="lv-LV"/>
        </w:rPr>
        <w:t>6</w:t>
      </w:r>
      <w:r w:rsidR="005C1998" w:rsidRPr="00862AA7">
        <w:rPr>
          <w:rFonts w:eastAsia="Times New Roman"/>
          <w:color w:val="000000" w:themeColor="text1"/>
          <w:sz w:val="20"/>
          <w:szCs w:val="20"/>
          <w:lang w:eastAsia="lv-LV"/>
        </w:rPr>
        <w:t>.0</w:t>
      </w:r>
      <w:r>
        <w:rPr>
          <w:rFonts w:eastAsia="Times New Roman"/>
          <w:color w:val="000000" w:themeColor="text1"/>
          <w:sz w:val="20"/>
          <w:szCs w:val="20"/>
          <w:lang w:eastAsia="lv-LV"/>
        </w:rPr>
        <w:t>7</w:t>
      </w:r>
      <w:r w:rsidR="005C1998" w:rsidRPr="00862AA7">
        <w:rPr>
          <w:rFonts w:eastAsia="Times New Roman"/>
          <w:color w:val="000000" w:themeColor="text1"/>
          <w:sz w:val="20"/>
          <w:szCs w:val="20"/>
          <w:lang w:eastAsia="lv-LV"/>
        </w:rPr>
        <w:t xml:space="preserve">.2015. </w:t>
      </w:r>
      <w:r w:rsidR="00FB4603">
        <w:rPr>
          <w:rFonts w:eastAsia="Times New Roman"/>
          <w:color w:val="000000" w:themeColor="text1"/>
          <w:sz w:val="20"/>
          <w:szCs w:val="20"/>
          <w:lang w:eastAsia="lv-LV"/>
        </w:rPr>
        <w:t>0</w:t>
      </w:r>
      <w:r w:rsidR="0037777D">
        <w:rPr>
          <w:rFonts w:eastAsia="Times New Roman"/>
          <w:color w:val="000000" w:themeColor="text1"/>
          <w:sz w:val="20"/>
          <w:szCs w:val="20"/>
          <w:lang w:eastAsia="lv-LV"/>
        </w:rPr>
        <w:t>9</w:t>
      </w:r>
      <w:r w:rsidR="00395A0D" w:rsidRPr="00862AA7">
        <w:rPr>
          <w:rFonts w:eastAsia="Times New Roman"/>
          <w:color w:val="000000" w:themeColor="text1"/>
          <w:sz w:val="20"/>
          <w:szCs w:val="20"/>
          <w:lang w:eastAsia="lv-LV"/>
        </w:rPr>
        <w:t>:</w:t>
      </w:r>
      <w:r w:rsidR="00236943">
        <w:rPr>
          <w:rFonts w:eastAsia="Times New Roman"/>
          <w:color w:val="000000" w:themeColor="text1"/>
          <w:sz w:val="20"/>
          <w:szCs w:val="20"/>
          <w:lang w:eastAsia="lv-LV"/>
        </w:rPr>
        <w:t>11</w:t>
      </w:r>
      <w:bookmarkStart w:id="0" w:name="_GoBack"/>
      <w:bookmarkEnd w:id="0"/>
    </w:p>
    <w:p w14:paraId="001FE693" w14:textId="1C64E39E" w:rsidR="005C1998" w:rsidRPr="00862AA7" w:rsidRDefault="00FB4603" w:rsidP="005C1998">
      <w:pPr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  <w:lang w:eastAsia="lv-LV"/>
        </w:rPr>
        <w:t>2</w:t>
      </w:r>
      <w:r w:rsidR="00236943">
        <w:rPr>
          <w:rFonts w:eastAsia="Times New Roman"/>
          <w:color w:val="000000" w:themeColor="text1"/>
          <w:sz w:val="20"/>
          <w:szCs w:val="20"/>
          <w:lang w:eastAsia="lv-LV"/>
        </w:rPr>
        <w:t>69</w:t>
      </w:r>
    </w:p>
    <w:p w14:paraId="62DD3DC9" w14:textId="77777777" w:rsidR="005C1998" w:rsidRPr="00862AA7" w:rsidRDefault="005C1998" w:rsidP="005C1998">
      <w:pPr>
        <w:rPr>
          <w:color w:val="000000" w:themeColor="text1"/>
          <w:sz w:val="20"/>
          <w:szCs w:val="20"/>
        </w:rPr>
      </w:pPr>
      <w:r w:rsidRPr="00862AA7">
        <w:rPr>
          <w:color w:val="000000" w:themeColor="text1"/>
          <w:sz w:val="20"/>
          <w:szCs w:val="20"/>
        </w:rPr>
        <w:t>K.Piģēns</w:t>
      </w:r>
    </w:p>
    <w:p w14:paraId="5C98448D" w14:textId="77777777" w:rsidR="005C1998" w:rsidRPr="00862AA7" w:rsidRDefault="005C1998" w:rsidP="005C1998">
      <w:pPr>
        <w:rPr>
          <w:color w:val="000000" w:themeColor="text1"/>
          <w:sz w:val="20"/>
          <w:szCs w:val="20"/>
        </w:rPr>
      </w:pPr>
      <w:r w:rsidRPr="00862AA7">
        <w:rPr>
          <w:color w:val="000000" w:themeColor="text1"/>
          <w:sz w:val="20"/>
          <w:szCs w:val="20"/>
        </w:rPr>
        <w:t>67013133</w:t>
      </w:r>
    </w:p>
    <w:p w14:paraId="588AB91A" w14:textId="77777777" w:rsidR="00EC05C2" w:rsidRPr="00053BD2" w:rsidRDefault="007B4F78" w:rsidP="00786C3C">
      <w:pPr>
        <w:jc w:val="both"/>
        <w:rPr>
          <w:rFonts w:cs="Times New Roman"/>
          <w:sz w:val="20"/>
          <w:szCs w:val="20"/>
          <w:u w:val="single"/>
        </w:rPr>
      </w:pPr>
      <w:hyperlink r:id="rId8" w:history="1">
        <w:r w:rsidR="005C1998" w:rsidRPr="00053BD2">
          <w:rPr>
            <w:rFonts w:eastAsia="Times New Roman"/>
            <w:sz w:val="20"/>
            <w:szCs w:val="20"/>
            <w:u w:val="single"/>
            <w:lang w:eastAsia="lv-LV"/>
          </w:rPr>
          <w:t>Karlis.Pigens@em.gov.lv</w:t>
        </w:r>
      </w:hyperlink>
      <w:r w:rsidR="00053BD2" w:rsidRPr="00053BD2">
        <w:rPr>
          <w:rFonts w:eastAsia="Times New Roman"/>
          <w:sz w:val="20"/>
          <w:szCs w:val="20"/>
          <w:u w:val="single"/>
          <w:lang w:eastAsia="lv-LV"/>
        </w:rPr>
        <w:t xml:space="preserve"> </w:t>
      </w:r>
      <w:r w:rsidR="005C1998" w:rsidRPr="00053BD2">
        <w:rPr>
          <w:rFonts w:eastAsia="Times New Roman"/>
          <w:color w:val="000000" w:themeColor="text1"/>
          <w:sz w:val="20"/>
          <w:szCs w:val="20"/>
          <w:u w:val="single"/>
          <w:lang w:eastAsia="lv-LV"/>
        </w:rPr>
        <w:t xml:space="preserve"> </w:t>
      </w:r>
    </w:p>
    <w:sectPr w:rsidR="00EC05C2" w:rsidRPr="00053BD2" w:rsidSect="00F9643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F644" w14:textId="77777777" w:rsidR="007B4F78" w:rsidRDefault="007B4F78" w:rsidP="007E66FA">
      <w:r>
        <w:separator/>
      </w:r>
    </w:p>
  </w:endnote>
  <w:endnote w:type="continuationSeparator" w:id="0">
    <w:p w14:paraId="23842382" w14:textId="77777777" w:rsidR="007B4F78" w:rsidRDefault="007B4F78" w:rsidP="007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BC14" w14:textId="2AAA265C" w:rsidR="005C1998" w:rsidRDefault="001E01C2" w:rsidP="00FB4603">
    <w:pPr>
      <w:jc w:val="both"/>
    </w:pPr>
    <w:r>
      <w:rPr>
        <w:sz w:val="20"/>
        <w:szCs w:val="20"/>
      </w:rPr>
      <w:t>EM</w:t>
    </w:r>
    <w:r w:rsidRPr="00242566">
      <w:rPr>
        <w:sz w:val="20"/>
        <w:szCs w:val="20"/>
      </w:rPr>
      <w:t>notp3_</w:t>
    </w:r>
    <w:r w:rsidR="00A76643">
      <w:rPr>
        <w:sz w:val="20"/>
        <w:szCs w:val="20"/>
      </w:rPr>
      <w:t>0</w:t>
    </w:r>
    <w:r w:rsidR="00236943">
      <w:rPr>
        <w:sz w:val="20"/>
        <w:szCs w:val="20"/>
      </w:rPr>
      <w:t>6</w:t>
    </w:r>
    <w:r w:rsidR="00A76643">
      <w:rPr>
        <w:sz w:val="20"/>
        <w:szCs w:val="20"/>
      </w:rPr>
      <w:t>07</w:t>
    </w:r>
    <w:r w:rsidR="00A76643" w:rsidRPr="00242566">
      <w:rPr>
        <w:sz w:val="20"/>
        <w:szCs w:val="20"/>
      </w:rPr>
      <w:t>15</w:t>
    </w:r>
    <w:r w:rsidRPr="00242566">
      <w:rPr>
        <w:sz w:val="20"/>
        <w:szCs w:val="20"/>
      </w:rPr>
      <w:t>_energintens</w:t>
    </w:r>
    <w:r w:rsidRPr="004964C7">
      <w:rPr>
        <w:sz w:val="20"/>
        <w:szCs w:val="20"/>
      </w:rPr>
      <w:t xml:space="preserve">; </w:t>
    </w:r>
    <w:r>
      <w:rPr>
        <w:sz w:val="20"/>
        <w:szCs w:val="20"/>
      </w:rPr>
      <w:t xml:space="preserve">3. pielikums </w:t>
    </w:r>
    <w:r w:rsidRPr="004964C7">
      <w:rPr>
        <w:sz w:val="20"/>
        <w:szCs w:val="20"/>
      </w:rPr>
      <w:t>Ministru kabineta noteikumu projekt</w:t>
    </w:r>
    <w:r>
      <w:rPr>
        <w:sz w:val="20"/>
        <w:szCs w:val="20"/>
      </w:rPr>
      <w:t>am</w:t>
    </w:r>
    <w:r w:rsidRPr="004964C7">
      <w:rPr>
        <w:sz w:val="20"/>
        <w:szCs w:val="20"/>
      </w:rPr>
      <w:t xml:space="preserve"> </w:t>
    </w:r>
    <w:r w:rsidR="00FB4603" w:rsidRPr="00A35364">
      <w:rPr>
        <w:color w:val="000000" w:themeColor="text1"/>
        <w:sz w:val="20"/>
      </w:rPr>
      <w:t>„</w:t>
    </w:r>
    <w:r w:rsidR="00FB4603" w:rsidRPr="00A35364">
      <w:rPr>
        <w:bCs/>
        <w:color w:val="000000" w:themeColor="text1"/>
        <w:sz w:val="20"/>
        <w:lang w:eastAsia="lv-LV"/>
      </w:rPr>
      <w:t xml:space="preserve">Kārtība, </w:t>
    </w:r>
    <w:r w:rsidR="00FB4603" w:rsidRPr="00A35364">
      <w:rPr>
        <w:sz w:val="20"/>
      </w:rPr>
      <w:t>kādā energoietilpīgi apstrādes rūpniecības uzņēmumi</w:t>
    </w:r>
    <w:r w:rsidR="00FB4603" w:rsidRPr="00A35364">
      <w:rPr>
        <w:rStyle w:val="apple-converted-space"/>
        <w:color w:val="000000" w:themeColor="text1"/>
        <w:sz w:val="20"/>
        <w:shd w:val="clear" w:color="auto" w:fill="FFFFFF"/>
      </w:rPr>
      <w:t> </w:t>
    </w:r>
    <w:r w:rsidR="00FB4603" w:rsidRPr="00A35364">
      <w:rPr>
        <w:bCs/>
        <w:color w:val="000000" w:themeColor="text1"/>
        <w:sz w:val="20"/>
        <w:lang w:eastAsia="lv-LV"/>
      </w:rPr>
      <w:t>iegūst tiesības uz samazinātu līdzdalību obligātā iepirkuma komponentes maksājumam”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A0BD" w14:textId="639ADCD3" w:rsidR="00FA5E83" w:rsidRDefault="00FB4603" w:rsidP="00FB4603">
    <w:pPr>
      <w:jc w:val="both"/>
    </w:pPr>
    <w:r>
      <w:rPr>
        <w:sz w:val="20"/>
        <w:szCs w:val="20"/>
      </w:rPr>
      <w:t>EM</w:t>
    </w:r>
    <w:r w:rsidRPr="00242566">
      <w:rPr>
        <w:sz w:val="20"/>
        <w:szCs w:val="20"/>
      </w:rPr>
      <w:t>notp3_</w:t>
    </w:r>
    <w:r>
      <w:rPr>
        <w:sz w:val="20"/>
        <w:szCs w:val="20"/>
      </w:rPr>
      <w:t>0</w:t>
    </w:r>
    <w:r w:rsidR="00236943">
      <w:rPr>
        <w:sz w:val="20"/>
        <w:szCs w:val="20"/>
      </w:rPr>
      <w:t>6</w:t>
    </w:r>
    <w:r>
      <w:rPr>
        <w:sz w:val="20"/>
        <w:szCs w:val="20"/>
      </w:rPr>
      <w:t>07</w:t>
    </w:r>
    <w:r w:rsidRPr="00242566">
      <w:rPr>
        <w:sz w:val="20"/>
        <w:szCs w:val="20"/>
      </w:rPr>
      <w:t>15_energintens</w:t>
    </w:r>
    <w:r w:rsidRPr="004964C7">
      <w:rPr>
        <w:sz w:val="20"/>
        <w:szCs w:val="20"/>
      </w:rPr>
      <w:t xml:space="preserve">; </w:t>
    </w:r>
    <w:r>
      <w:rPr>
        <w:sz w:val="20"/>
        <w:szCs w:val="20"/>
      </w:rPr>
      <w:t xml:space="preserve">3. pielikums </w:t>
    </w:r>
    <w:r w:rsidRPr="004964C7">
      <w:rPr>
        <w:sz w:val="20"/>
        <w:szCs w:val="20"/>
      </w:rPr>
      <w:t>Ministru kabineta noteikumu projekt</w:t>
    </w:r>
    <w:r>
      <w:rPr>
        <w:sz w:val="20"/>
        <w:szCs w:val="20"/>
      </w:rPr>
      <w:t>am</w:t>
    </w:r>
    <w:r w:rsidRPr="004964C7">
      <w:rPr>
        <w:sz w:val="20"/>
        <w:szCs w:val="20"/>
      </w:rPr>
      <w:t xml:space="preserve"> </w:t>
    </w:r>
    <w:r w:rsidRPr="00A35364">
      <w:rPr>
        <w:color w:val="000000" w:themeColor="text1"/>
        <w:sz w:val="20"/>
      </w:rPr>
      <w:t>„</w:t>
    </w:r>
    <w:r w:rsidRPr="00A35364">
      <w:rPr>
        <w:bCs/>
        <w:color w:val="000000" w:themeColor="text1"/>
        <w:sz w:val="20"/>
        <w:lang w:eastAsia="lv-LV"/>
      </w:rPr>
      <w:t xml:space="preserve">Kārtība, </w:t>
    </w:r>
    <w:r w:rsidRPr="00A35364">
      <w:rPr>
        <w:sz w:val="20"/>
      </w:rPr>
      <w:t>kādā energoietilpīgi apstrādes rūpniecības uzņēmumi</w:t>
    </w:r>
    <w:r w:rsidRPr="00A35364">
      <w:rPr>
        <w:rStyle w:val="apple-converted-space"/>
        <w:color w:val="000000" w:themeColor="text1"/>
        <w:sz w:val="20"/>
        <w:shd w:val="clear" w:color="auto" w:fill="FFFFFF"/>
      </w:rPr>
      <w:t> </w:t>
    </w:r>
    <w:r w:rsidRPr="00A35364">
      <w:rPr>
        <w:bCs/>
        <w:color w:val="000000" w:themeColor="text1"/>
        <w:sz w:val="20"/>
        <w:lang w:eastAsia="lv-LV"/>
      </w:rPr>
      <w:t>iegūst tiesības uz samazinātu līdzdalību obligātā iepirkuma komponentes maksājumam”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94CBA" w14:textId="77777777" w:rsidR="007B4F78" w:rsidRDefault="007B4F78" w:rsidP="007E66FA">
      <w:r>
        <w:separator/>
      </w:r>
    </w:p>
  </w:footnote>
  <w:footnote w:type="continuationSeparator" w:id="0">
    <w:p w14:paraId="7FC289E2" w14:textId="77777777" w:rsidR="007B4F78" w:rsidRDefault="007B4F78" w:rsidP="007E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15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713DC3" w14:textId="77777777" w:rsidR="00F9643B" w:rsidRDefault="00F964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B3DED" w14:textId="77777777" w:rsidR="00F9643B" w:rsidRDefault="00F96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577"/>
    <w:multiLevelType w:val="hybridMultilevel"/>
    <w:tmpl w:val="0CC8C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9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E"/>
    <w:rsid w:val="000162D2"/>
    <w:rsid w:val="00053BD2"/>
    <w:rsid w:val="00081F43"/>
    <w:rsid w:val="000A3C4D"/>
    <w:rsid w:val="000C46AB"/>
    <w:rsid w:val="000F1E42"/>
    <w:rsid w:val="00106B8C"/>
    <w:rsid w:val="00140C0B"/>
    <w:rsid w:val="001665E6"/>
    <w:rsid w:val="001A18FB"/>
    <w:rsid w:val="001B34D5"/>
    <w:rsid w:val="001D301D"/>
    <w:rsid w:val="001E01C2"/>
    <w:rsid w:val="00236943"/>
    <w:rsid w:val="0025231E"/>
    <w:rsid w:val="00290A47"/>
    <w:rsid w:val="00323637"/>
    <w:rsid w:val="0037777D"/>
    <w:rsid w:val="003878D9"/>
    <w:rsid w:val="00395A0D"/>
    <w:rsid w:val="003F1C7F"/>
    <w:rsid w:val="00481F57"/>
    <w:rsid w:val="00485167"/>
    <w:rsid w:val="004A0840"/>
    <w:rsid w:val="004B31EF"/>
    <w:rsid w:val="004D7639"/>
    <w:rsid w:val="00507A44"/>
    <w:rsid w:val="005C1998"/>
    <w:rsid w:val="005C55F8"/>
    <w:rsid w:val="005D0009"/>
    <w:rsid w:val="005D2D63"/>
    <w:rsid w:val="005D3E31"/>
    <w:rsid w:val="006026C2"/>
    <w:rsid w:val="006059BD"/>
    <w:rsid w:val="00656D30"/>
    <w:rsid w:val="006722BA"/>
    <w:rsid w:val="006D2833"/>
    <w:rsid w:val="00786C3C"/>
    <w:rsid w:val="007B4F78"/>
    <w:rsid w:val="007C242B"/>
    <w:rsid w:val="007D6EEE"/>
    <w:rsid w:val="007E454E"/>
    <w:rsid w:val="007E66FA"/>
    <w:rsid w:val="0082048D"/>
    <w:rsid w:val="00862AA7"/>
    <w:rsid w:val="008E63AA"/>
    <w:rsid w:val="009031CD"/>
    <w:rsid w:val="0092614D"/>
    <w:rsid w:val="00932FA5"/>
    <w:rsid w:val="00943502"/>
    <w:rsid w:val="009A07F0"/>
    <w:rsid w:val="009B3319"/>
    <w:rsid w:val="009E1434"/>
    <w:rsid w:val="00A76643"/>
    <w:rsid w:val="00A962CB"/>
    <w:rsid w:val="00AD39E4"/>
    <w:rsid w:val="00B03C24"/>
    <w:rsid w:val="00B13AD1"/>
    <w:rsid w:val="00B313BF"/>
    <w:rsid w:val="00BD24A5"/>
    <w:rsid w:val="00C314B2"/>
    <w:rsid w:val="00C371D4"/>
    <w:rsid w:val="00C56D84"/>
    <w:rsid w:val="00D02781"/>
    <w:rsid w:val="00D737EC"/>
    <w:rsid w:val="00D959FA"/>
    <w:rsid w:val="00DE6FFA"/>
    <w:rsid w:val="00E54E34"/>
    <w:rsid w:val="00E745AB"/>
    <w:rsid w:val="00E7659C"/>
    <w:rsid w:val="00EA59F0"/>
    <w:rsid w:val="00EC05C2"/>
    <w:rsid w:val="00EF14D1"/>
    <w:rsid w:val="00F26692"/>
    <w:rsid w:val="00F9643B"/>
    <w:rsid w:val="00FA5E83"/>
    <w:rsid w:val="00FB4603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0A30"/>
  <w15:docId w15:val="{3FF6EE61-D7CF-43CF-8438-768CC8FC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3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5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5C2"/>
    <w:rPr>
      <w:color w:val="0000FF"/>
      <w:u w:val="single"/>
    </w:rPr>
  </w:style>
  <w:style w:type="character" w:customStyle="1" w:styleId="super">
    <w:name w:val="super"/>
    <w:basedOn w:val="DefaultParagraphFont"/>
    <w:rsid w:val="00EC05C2"/>
  </w:style>
  <w:style w:type="paragraph" w:styleId="FootnoteText">
    <w:name w:val="footnote text"/>
    <w:basedOn w:val="Normal"/>
    <w:link w:val="FootnoteTextChar"/>
    <w:uiPriority w:val="99"/>
    <w:semiHidden/>
    <w:unhideWhenUsed/>
    <w:rsid w:val="007E6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6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6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1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998"/>
  </w:style>
  <w:style w:type="paragraph" w:styleId="Footer">
    <w:name w:val="footer"/>
    <w:basedOn w:val="Normal"/>
    <w:link w:val="FooterChar"/>
    <w:uiPriority w:val="99"/>
    <w:unhideWhenUsed/>
    <w:rsid w:val="005C1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998"/>
  </w:style>
  <w:style w:type="character" w:customStyle="1" w:styleId="apple-converted-space">
    <w:name w:val="apple-converted-space"/>
    <w:basedOn w:val="DefaultParagraphFont"/>
    <w:rsid w:val="00FB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Pigen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E4EE-BA00-49CE-A9A8-C345626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Meijers</dc:creator>
  <cp:lastModifiedBy>Kārlis Piģēns</cp:lastModifiedBy>
  <cp:revision>5</cp:revision>
  <cp:lastPrinted>2015-05-29T12:18:00Z</cp:lastPrinted>
  <dcterms:created xsi:type="dcterms:W3CDTF">2015-07-03T06:41:00Z</dcterms:created>
  <dcterms:modified xsi:type="dcterms:W3CDTF">2015-07-06T06:11:00Z</dcterms:modified>
</cp:coreProperties>
</file>