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F2E" w:rsidRPr="00FB4D29" w:rsidRDefault="00106F2E" w:rsidP="00106F2E">
      <w:pPr>
        <w:pStyle w:val="BodyText"/>
        <w:rPr>
          <w:sz w:val="25"/>
          <w:szCs w:val="25"/>
        </w:rPr>
      </w:pPr>
      <w:bookmarkStart w:id="0" w:name="_GoBack"/>
      <w:bookmarkEnd w:id="0"/>
      <w:r w:rsidRPr="00FB4D29">
        <w:rPr>
          <w:sz w:val="25"/>
          <w:szCs w:val="25"/>
        </w:rPr>
        <w:t xml:space="preserve">Ministru kabineta noteikumu projekta </w:t>
      </w:r>
      <w:r w:rsidR="00F14287" w:rsidRPr="00FB4D29">
        <w:rPr>
          <w:sz w:val="25"/>
          <w:szCs w:val="25"/>
        </w:rPr>
        <w:t xml:space="preserve">„Kārtība, kādā </w:t>
      </w:r>
      <w:r w:rsidR="00FE43BF" w:rsidRPr="00FB4D29">
        <w:rPr>
          <w:sz w:val="25"/>
          <w:szCs w:val="25"/>
        </w:rPr>
        <w:t xml:space="preserve">nozares </w:t>
      </w:r>
      <w:r w:rsidR="00F14287" w:rsidRPr="00FB4D29">
        <w:rPr>
          <w:sz w:val="25"/>
          <w:szCs w:val="25"/>
        </w:rPr>
        <w:t xml:space="preserve">ministrijas un citas centrālās valsts iestādes iekļauj gadskārtējā valsts budžeta likumprojektā valsts aizdevumu pieprasījumus, un valsts aizdevumu izsniegšanas un apkalpošanas kārtība” </w:t>
      </w:r>
      <w:r w:rsidRPr="00FB4D29">
        <w:rPr>
          <w:sz w:val="25"/>
          <w:szCs w:val="25"/>
        </w:rPr>
        <w:t>sākotnējās ietekmes novērtējuma ziņojums</w:t>
      </w:r>
    </w:p>
    <w:p w:rsidR="00CF666C" w:rsidRPr="00FB4D29" w:rsidRDefault="00106F2E" w:rsidP="00FB4D29">
      <w:pPr>
        <w:pStyle w:val="BodyText"/>
        <w:rPr>
          <w:sz w:val="25"/>
          <w:szCs w:val="25"/>
        </w:rPr>
      </w:pPr>
      <w:r w:rsidRPr="00FB4D29">
        <w:rPr>
          <w:sz w:val="25"/>
          <w:szCs w:val="25"/>
        </w:rPr>
        <w:t xml:space="preserve">(anotācija) </w:t>
      </w:r>
    </w:p>
    <w:p w:rsidR="00FB4D29" w:rsidRPr="00FB4D29" w:rsidRDefault="00FB4D29" w:rsidP="00FB4D29">
      <w:pPr>
        <w:rPr>
          <w:b/>
          <w:bCs/>
          <w:color w:val="414142"/>
          <w:sz w:val="25"/>
          <w:szCs w:val="25"/>
        </w:rPr>
      </w:pPr>
    </w:p>
    <w:tbl>
      <w:tblPr>
        <w:tblW w:w="511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2"/>
        <w:gridCol w:w="2795"/>
        <w:gridCol w:w="5939"/>
      </w:tblGrid>
      <w:tr w:rsidR="00CF666C" w:rsidRPr="00FB4D29" w:rsidTr="00CF666C">
        <w:trPr>
          <w:trHeight w:val="405"/>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rsidR="00CF666C" w:rsidRPr="00FB4D29" w:rsidRDefault="00CF666C" w:rsidP="00521438">
            <w:pPr>
              <w:spacing w:before="100" w:beforeAutospacing="1" w:after="100" w:afterAutospacing="1" w:line="360" w:lineRule="auto"/>
              <w:ind w:firstLine="300"/>
              <w:jc w:val="center"/>
              <w:rPr>
                <w:b/>
                <w:bCs/>
                <w:sz w:val="25"/>
                <w:szCs w:val="25"/>
              </w:rPr>
            </w:pPr>
            <w:r w:rsidRPr="00FB4D29">
              <w:rPr>
                <w:b/>
                <w:bCs/>
                <w:sz w:val="25"/>
                <w:szCs w:val="25"/>
              </w:rPr>
              <w:t>I. Tiesību akta projekta izstrādes nepieciešamība</w:t>
            </w:r>
          </w:p>
        </w:tc>
      </w:tr>
      <w:tr w:rsidR="00CF666C" w:rsidRPr="00FB4D29" w:rsidTr="00106F2E">
        <w:trPr>
          <w:trHeight w:val="405"/>
          <w:tblCellSpacing w:w="15" w:type="dxa"/>
        </w:trPr>
        <w:tc>
          <w:tcPr>
            <w:tcW w:w="345" w:type="pct"/>
            <w:tcBorders>
              <w:top w:val="outset" w:sz="6" w:space="0" w:color="auto"/>
              <w:left w:val="outset" w:sz="6" w:space="0" w:color="auto"/>
              <w:bottom w:val="outset" w:sz="6" w:space="0" w:color="auto"/>
              <w:right w:val="outset" w:sz="6" w:space="0" w:color="auto"/>
            </w:tcBorders>
            <w:hideMark/>
          </w:tcPr>
          <w:p w:rsidR="00CF666C" w:rsidRPr="00FB4D29" w:rsidRDefault="00CF666C" w:rsidP="00CF666C">
            <w:pPr>
              <w:spacing w:before="100" w:beforeAutospacing="1" w:after="100" w:afterAutospacing="1" w:line="360" w:lineRule="auto"/>
              <w:ind w:firstLine="300"/>
              <w:jc w:val="center"/>
              <w:rPr>
                <w:sz w:val="25"/>
                <w:szCs w:val="25"/>
              </w:rPr>
            </w:pPr>
            <w:r w:rsidRPr="00FB4D29">
              <w:rPr>
                <w:sz w:val="25"/>
                <w:szCs w:val="25"/>
              </w:rPr>
              <w:t>1.</w:t>
            </w:r>
          </w:p>
        </w:tc>
        <w:tc>
          <w:tcPr>
            <w:tcW w:w="1475" w:type="pct"/>
            <w:tcBorders>
              <w:top w:val="outset" w:sz="6" w:space="0" w:color="auto"/>
              <w:left w:val="outset" w:sz="6" w:space="0" w:color="auto"/>
              <w:bottom w:val="outset" w:sz="6" w:space="0" w:color="auto"/>
              <w:right w:val="outset" w:sz="6" w:space="0" w:color="auto"/>
            </w:tcBorders>
            <w:hideMark/>
          </w:tcPr>
          <w:p w:rsidR="00CF666C" w:rsidRPr="00FB4D29" w:rsidRDefault="00CF666C" w:rsidP="00CF666C">
            <w:pPr>
              <w:rPr>
                <w:sz w:val="25"/>
                <w:szCs w:val="25"/>
              </w:rPr>
            </w:pPr>
            <w:r w:rsidRPr="00FB4D29">
              <w:rPr>
                <w:sz w:val="25"/>
                <w:szCs w:val="25"/>
              </w:rPr>
              <w:t>Pamatojums</w:t>
            </w:r>
          </w:p>
        </w:tc>
        <w:tc>
          <w:tcPr>
            <w:tcW w:w="3111" w:type="pct"/>
            <w:tcBorders>
              <w:top w:val="outset" w:sz="6" w:space="0" w:color="auto"/>
              <w:left w:val="outset" w:sz="6" w:space="0" w:color="auto"/>
              <w:bottom w:val="outset" w:sz="6" w:space="0" w:color="auto"/>
              <w:right w:val="outset" w:sz="6" w:space="0" w:color="auto"/>
            </w:tcBorders>
          </w:tcPr>
          <w:p w:rsidR="00E40D93" w:rsidRPr="00FB4D29" w:rsidRDefault="00106F2E" w:rsidP="00FA63C2">
            <w:pPr>
              <w:pStyle w:val="naislab"/>
              <w:spacing w:before="0" w:beforeAutospacing="0" w:after="0" w:afterAutospacing="0"/>
              <w:jc w:val="both"/>
              <w:rPr>
                <w:sz w:val="25"/>
                <w:szCs w:val="25"/>
              </w:rPr>
            </w:pPr>
            <w:r w:rsidRPr="00FB4D29">
              <w:rPr>
                <w:bCs/>
                <w:sz w:val="25"/>
                <w:szCs w:val="25"/>
              </w:rPr>
              <w:t xml:space="preserve">Ministru kabineta noteikumu projekts </w:t>
            </w:r>
            <w:r w:rsidR="00F14287" w:rsidRPr="00FB4D29">
              <w:rPr>
                <w:sz w:val="25"/>
                <w:szCs w:val="25"/>
              </w:rPr>
              <w:t>„</w:t>
            </w:r>
            <w:r w:rsidR="00F14287" w:rsidRPr="00FB4D29">
              <w:rPr>
                <w:bCs/>
                <w:sz w:val="25"/>
                <w:szCs w:val="25"/>
              </w:rPr>
              <w:t xml:space="preserve">Kārtība, </w:t>
            </w:r>
            <w:r w:rsidR="00F14287" w:rsidRPr="00FB4D29">
              <w:rPr>
                <w:sz w:val="25"/>
                <w:szCs w:val="25"/>
              </w:rPr>
              <w:t xml:space="preserve">kādā </w:t>
            </w:r>
            <w:r w:rsidR="00FE43BF" w:rsidRPr="00FB4D29">
              <w:rPr>
                <w:sz w:val="25"/>
                <w:szCs w:val="25"/>
              </w:rPr>
              <w:t xml:space="preserve">nozares </w:t>
            </w:r>
            <w:r w:rsidR="00F14287" w:rsidRPr="00FB4D29">
              <w:rPr>
                <w:sz w:val="25"/>
                <w:szCs w:val="25"/>
              </w:rPr>
              <w:t>ministrijas un citas centrālās valsts iestādes iekļauj gadskārtējā valsts budžeta likumprojektā valsts aizdevumu pieprasījumus, un v</w:t>
            </w:r>
            <w:r w:rsidR="00F14287" w:rsidRPr="00FB4D29">
              <w:rPr>
                <w:bCs/>
                <w:sz w:val="25"/>
                <w:szCs w:val="25"/>
              </w:rPr>
              <w:t>alsts aizdevumu izsniegšanas un apkalpošanas kārtība”</w:t>
            </w:r>
            <w:r w:rsidR="00FA63C2" w:rsidRPr="00FB4D29">
              <w:rPr>
                <w:bCs/>
                <w:sz w:val="25"/>
                <w:szCs w:val="25"/>
              </w:rPr>
              <w:t xml:space="preserve"> </w:t>
            </w:r>
            <w:r w:rsidR="00C81FA2" w:rsidRPr="00FB4D29">
              <w:rPr>
                <w:sz w:val="25"/>
                <w:szCs w:val="25"/>
              </w:rPr>
              <w:t xml:space="preserve">(turpmāk – Noteikumu projekts) </w:t>
            </w:r>
            <w:r w:rsidR="00FA63C2" w:rsidRPr="00FB4D29">
              <w:rPr>
                <w:bCs/>
                <w:sz w:val="25"/>
                <w:szCs w:val="25"/>
              </w:rPr>
              <w:t>ir</w:t>
            </w:r>
            <w:r w:rsidR="00F14287" w:rsidRPr="00FB4D29">
              <w:rPr>
                <w:bCs/>
                <w:sz w:val="25"/>
                <w:szCs w:val="25"/>
              </w:rPr>
              <w:t xml:space="preserve"> </w:t>
            </w:r>
            <w:r w:rsidRPr="00FB4D29">
              <w:rPr>
                <w:sz w:val="25"/>
                <w:szCs w:val="25"/>
              </w:rPr>
              <w:t xml:space="preserve">sagatavots, </w:t>
            </w:r>
            <w:r w:rsidR="00E40D93" w:rsidRPr="00FB4D29">
              <w:rPr>
                <w:sz w:val="25"/>
                <w:szCs w:val="25"/>
              </w:rPr>
              <w:t xml:space="preserve">lai </w:t>
            </w:r>
            <w:r w:rsidR="00FA63C2" w:rsidRPr="00FB4D29">
              <w:rPr>
                <w:sz w:val="25"/>
                <w:szCs w:val="25"/>
              </w:rPr>
              <w:t>izpildītu Valsts kontroles Revīzijas ziņojumā par Latvijas Republikas 2012.</w:t>
            </w:r>
            <w:r w:rsidR="00E40F56" w:rsidRPr="00FB4D29">
              <w:rPr>
                <w:sz w:val="25"/>
                <w:szCs w:val="25"/>
              </w:rPr>
              <w:t xml:space="preserve"> </w:t>
            </w:r>
            <w:r w:rsidR="00FA63C2" w:rsidRPr="00FB4D29">
              <w:rPr>
                <w:sz w:val="25"/>
                <w:szCs w:val="25"/>
              </w:rPr>
              <w:t>gada pārskatu par valsts budžeta izpildi un pašvaldību budžetiem Nr.</w:t>
            </w:r>
            <w:r w:rsidR="00E40F56" w:rsidRPr="00FB4D29">
              <w:rPr>
                <w:sz w:val="25"/>
                <w:szCs w:val="25"/>
              </w:rPr>
              <w:t xml:space="preserve"> </w:t>
            </w:r>
            <w:r w:rsidR="00FA63C2" w:rsidRPr="00FB4D29">
              <w:rPr>
                <w:sz w:val="25"/>
                <w:szCs w:val="25"/>
              </w:rPr>
              <w:t>5.1-2-33/2012</w:t>
            </w:r>
            <w:r w:rsidR="00977C73" w:rsidRPr="00FB4D29">
              <w:rPr>
                <w:sz w:val="25"/>
                <w:szCs w:val="25"/>
              </w:rPr>
              <w:t xml:space="preserve"> (turpmāk – Valsts kontroles Revīzijas ziņojums)</w:t>
            </w:r>
            <w:r w:rsidR="00FA63C2" w:rsidRPr="00FB4D29">
              <w:rPr>
                <w:sz w:val="25"/>
                <w:szCs w:val="25"/>
              </w:rPr>
              <w:t xml:space="preserve"> sniegtos ieteikumu</w:t>
            </w:r>
            <w:r w:rsidR="00C46956" w:rsidRPr="00FB4D29">
              <w:rPr>
                <w:sz w:val="25"/>
                <w:szCs w:val="25"/>
              </w:rPr>
              <w:t>s  normatīvo aktu</w:t>
            </w:r>
            <w:r w:rsidR="00FA63C2" w:rsidRPr="00FB4D29">
              <w:rPr>
                <w:sz w:val="25"/>
                <w:szCs w:val="25"/>
              </w:rPr>
              <w:t xml:space="preserve"> pilnveidošanai.</w:t>
            </w:r>
          </w:p>
        </w:tc>
      </w:tr>
      <w:tr w:rsidR="00CF666C" w:rsidRPr="00FB4D29" w:rsidTr="00CF666C">
        <w:trPr>
          <w:trHeight w:val="465"/>
          <w:tblCellSpacing w:w="15" w:type="dxa"/>
        </w:trPr>
        <w:tc>
          <w:tcPr>
            <w:tcW w:w="345" w:type="pct"/>
            <w:tcBorders>
              <w:top w:val="outset" w:sz="6" w:space="0" w:color="auto"/>
              <w:left w:val="outset" w:sz="6" w:space="0" w:color="auto"/>
              <w:bottom w:val="outset" w:sz="6" w:space="0" w:color="auto"/>
              <w:right w:val="outset" w:sz="6" w:space="0" w:color="auto"/>
            </w:tcBorders>
            <w:hideMark/>
          </w:tcPr>
          <w:p w:rsidR="00CF666C" w:rsidRPr="00FB4D29" w:rsidRDefault="00CF666C" w:rsidP="00CF666C">
            <w:pPr>
              <w:spacing w:before="100" w:beforeAutospacing="1" w:after="100" w:afterAutospacing="1" w:line="360" w:lineRule="auto"/>
              <w:ind w:firstLine="300"/>
              <w:jc w:val="center"/>
              <w:rPr>
                <w:sz w:val="25"/>
                <w:szCs w:val="25"/>
              </w:rPr>
            </w:pPr>
            <w:r w:rsidRPr="00FB4D29">
              <w:rPr>
                <w:sz w:val="25"/>
                <w:szCs w:val="25"/>
              </w:rPr>
              <w:t>2.</w:t>
            </w:r>
          </w:p>
        </w:tc>
        <w:tc>
          <w:tcPr>
            <w:tcW w:w="1475" w:type="pct"/>
            <w:tcBorders>
              <w:top w:val="outset" w:sz="6" w:space="0" w:color="auto"/>
              <w:left w:val="outset" w:sz="6" w:space="0" w:color="auto"/>
              <w:bottom w:val="outset" w:sz="6" w:space="0" w:color="auto"/>
              <w:right w:val="outset" w:sz="6" w:space="0" w:color="auto"/>
            </w:tcBorders>
            <w:hideMark/>
          </w:tcPr>
          <w:p w:rsidR="00CF666C" w:rsidRPr="00FB4D29" w:rsidRDefault="00CF666C" w:rsidP="00CF666C">
            <w:pPr>
              <w:rPr>
                <w:sz w:val="25"/>
                <w:szCs w:val="25"/>
              </w:rPr>
            </w:pPr>
            <w:r w:rsidRPr="00FB4D29">
              <w:rPr>
                <w:sz w:val="25"/>
                <w:szCs w:val="25"/>
              </w:rPr>
              <w:t>Pašreizējā situācija un problēmas, kuru risināšanai tiesību akta projekts izstrādāts, tiesiskā regulējuma mērķis un būtība</w:t>
            </w:r>
          </w:p>
        </w:tc>
        <w:tc>
          <w:tcPr>
            <w:tcW w:w="3111" w:type="pct"/>
            <w:tcBorders>
              <w:top w:val="outset" w:sz="6" w:space="0" w:color="auto"/>
              <w:left w:val="outset" w:sz="6" w:space="0" w:color="auto"/>
              <w:bottom w:val="outset" w:sz="6" w:space="0" w:color="auto"/>
              <w:right w:val="outset" w:sz="6" w:space="0" w:color="auto"/>
            </w:tcBorders>
            <w:hideMark/>
          </w:tcPr>
          <w:p w:rsidR="004917B7" w:rsidRDefault="000C6201" w:rsidP="00FB4D29">
            <w:pPr>
              <w:ind w:left="72"/>
              <w:jc w:val="both"/>
              <w:rPr>
                <w:sz w:val="25"/>
                <w:szCs w:val="25"/>
              </w:rPr>
            </w:pPr>
            <w:r w:rsidRPr="00FB4D29">
              <w:rPr>
                <w:sz w:val="25"/>
                <w:szCs w:val="25"/>
              </w:rPr>
              <w:t xml:space="preserve">Valsts kontroles Revīzijas ziņojumā sniegts ieteikums pilnveidot </w:t>
            </w:r>
            <w:r w:rsidR="00977C73" w:rsidRPr="00FB4D29">
              <w:rPr>
                <w:sz w:val="25"/>
                <w:szCs w:val="25"/>
              </w:rPr>
              <w:t xml:space="preserve">valsts aizdevumu sniegšanas un uzraudzības procesu reglamentējošos </w:t>
            </w:r>
            <w:r w:rsidRPr="00FB4D29">
              <w:rPr>
                <w:sz w:val="25"/>
                <w:szCs w:val="25"/>
              </w:rPr>
              <w:t>normatīvos aktus, nosakot rīcī</w:t>
            </w:r>
            <w:r w:rsidR="00742EF5" w:rsidRPr="00FB4D29">
              <w:rPr>
                <w:sz w:val="25"/>
                <w:szCs w:val="25"/>
              </w:rPr>
              <w:t>bu valsts aizdevum</w:t>
            </w:r>
            <w:r w:rsidR="000F13EF" w:rsidRPr="00FB4D29">
              <w:rPr>
                <w:sz w:val="25"/>
                <w:szCs w:val="25"/>
              </w:rPr>
              <w:t>u</w:t>
            </w:r>
            <w:r w:rsidR="00742EF5" w:rsidRPr="00FB4D29">
              <w:rPr>
                <w:sz w:val="25"/>
                <w:szCs w:val="25"/>
              </w:rPr>
              <w:t xml:space="preserve"> piešķiršan</w:t>
            </w:r>
            <w:r w:rsidR="00977C73" w:rsidRPr="00FB4D29">
              <w:rPr>
                <w:sz w:val="25"/>
                <w:szCs w:val="25"/>
              </w:rPr>
              <w:t>as procesā</w:t>
            </w:r>
            <w:r w:rsidRPr="00FB4D29">
              <w:rPr>
                <w:sz w:val="25"/>
                <w:szCs w:val="25"/>
              </w:rPr>
              <w:t>, kad konstatētas novirzes aizņēmēja finansiālajā stāvoklī un projekta realizācijas laikā var iestāties aizņēmēja maksātnespēja</w:t>
            </w:r>
            <w:r w:rsidR="00977C73" w:rsidRPr="00FB4D29">
              <w:rPr>
                <w:sz w:val="25"/>
                <w:szCs w:val="25"/>
              </w:rPr>
              <w:t>, ar mērķi izvairīties no valsts aizdevumu piešķiršanas projektiem ar zemu atmaksas iespējamību, tādējādi mazinot valsts aizdevumu neatmaksas riskus</w:t>
            </w:r>
            <w:r w:rsidRPr="00FB4D29">
              <w:rPr>
                <w:sz w:val="25"/>
                <w:szCs w:val="25"/>
              </w:rPr>
              <w:t>.</w:t>
            </w:r>
          </w:p>
          <w:p w:rsidR="00FB4D29" w:rsidRPr="00FB4D29" w:rsidRDefault="00FB4D29" w:rsidP="00FB4D29">
            <w:pPr>
              <w:ind w:left="72"/>
              <w:jc w:val="both"/>
              <w:rPr>
                <w:sz w:val="25"/>
                <w:szCs w:val="25"/>
              </w:rPr>
            </w:pPr>
          </w:p>
          <w:p w:rsidR="009A2C77" w:rsidRDefault="00CB77CF" w:rsidP="00CB77CF">
            <w:pPr>
              <w:jc w:val="both"/>
              <w:rPr>
                <w:sz w:val="25"/>
                <w:szCs w:val="25"/>
              </w:rPr>
            </w:pPr>
            <w:r w:rsidRPr="00FB4D29">
              <w:rPr>
                <w:sz w:val="25"/>
                <w:szCs w:val="25"/>
              </w:rPr>
              <w:t xml:space="preserve">Šobrīd spēkā esošie Ministru kabineta noteikumi nenosaka Finanšu ministrijas rīcību </w:t>
            </w:r>
            <w:r w:rsidR="00977C73" w:rsidRPr="00FB4D29">
              <w:rPr>
                <w:sz w:val="25"/>
                <w:szCs w:val="25"/>
              </w:rPr>
              <w:t xml:space="preserve">šādos </w:t>
            </w:r>
            <w:r w:rsidRPr="00FB4D29">
              <w:rPr>
                <w:sz w:val="25"/>
                <w:szCs w:val="25"/>
              </w:rPr>
              <w:t>gadījumos</w:t>
            </w:r>
            <w:r w:rsidR="00977C73" w:rsidRPr="00FB4D29">
              <w:rPr>
                <w:sz w:val="25"/>
                <w:szCs w:val="25"/>
              </w:rPr>
              <w:t>.</w:t>
            </w:r>
            <w:r w:rsidR="00CB7C79" w:rsidRPr="00FB4D29">
              <w:rPr>
                <w:sz w:val="25"/>
                <w:szCs w:val="25"/>
              </w:rPr>
              <w:t xml:space="preserve"> Līdz ar to </w:t>
            </w:r>
            <w:r w:rsidR="009A2C77" w:rsidRPr="00FB4D29">
              <w:rPr>
                <w:sz w:val="25"/>
                <w:szCs w:val="25"/>
              </w:rPr>
              <w:t xml:space="preserve">Noteikumu projektā ir iekļauti paaugstināta aizdevuma atmaksas riska noteikšanas kritēriji, lai maksimāli tiktu nodrošināta valsts </w:t>
            </w:r>
            <w:r w:rsidR="00B17CF0" w:rsidRPr="00FB4D29">
              <w:rPr>
                <w:sz w:val="25"/>
                <w:szCs w:val="25"/>
              </w:rPr>
              <w:t>kā kreditora</w:t>
            </w:r>
            <w:r w:rsidR="009A2C77" w:rsidRPr="00FB4D29">
              <w:rPr>
                <w:sz w:val="25"/>
                <w:szCs w:val="25"/>
              </w:rPr>
              <w:t xml:space="preserve"> interešu aizsardzība.</w:t>
            </w:r>
          </w:p>
          <w:p w:rsidR="00FB4D29" w:rsidRPr="00FB4D29" w:rsidRDefault="00FB4D29" w:rsidP="00CB77CF">
            <w:pPr>
              <w:jc w:val="both"/>
              <w:rPr>
                <w:sz w:val="25"/>
                <w:szCs w:val="25"/>
              </w:rPr>
            </w:pPr>
          </w:p>
          <w:p w:rsidR="00D507DB" w:rsidRDefault="0031240D" w:rsidP="00FB4D29">
            <w:pPr>
              <w:ind w:left="72"/>
              <w:jc w:val="both"/>
              <w:rPr>
                <w:sz w:val="25"/>
                <w:szCs w:val="25"/>
              </w:rPr>
            </w:pPr>
            <w:r w:rsidRPr="00FB4D29">
              <w:rPr>
                <w:sz w:val="25"/>
                <w:szCs w:val="25"/>
              </w:rPr>
              <w:t>Vienlaicīgi Noteikumu projektā ir iestrādāti Valsts kases apkopotie priekšlikumi par nepieciešamajiem procesa pilnveidojumiem, ņemot vērā Valsts kases līdzšinējo pieredzi valsts aizdevumu izsniegšanas procesā</w:t>
            </w:r>
            <w:r w:rsidR="00BE337F" w:rsidRPr="00FB4D29">
              <w:rPr>
                <w:sz w:val="25"/>
                <w:szCs w:val="25"/>
              </w:rPr>
              <w:t>, kas nodrošinās valsts aizdevumu plānošanas un izsniegšanas procesu efektivitātes pilnveidošanu</w:t>
            </w:r>
            <w:r w:rsidRPr="00FB4D29">
              <w:rPr>
                <w:sz w:val="25"/>
                <w:szCs w:val="25"/>
              </w:rPr>
              <w:t>.</w:t>
            </w:r>
            <w:r w:rsidR="00D507DB" w:rsidRPr="00FB4D29">
              <w:rPr>
                <w:sz w:val="25"/>
                <w:szCs w:val="25"/>
              </w:rPr>
              <w:t xml:space="preserve"> </w:t>
            </w:r>
          </w:p>
          <w:p w:rsidR="00FB4D29" w:rsidRPr="00FB4D29" w:rsidRDefault="00FB4D29" w:rsidP="00FB4D29">
            <w:pPr>
              <w:ind w:left="72"/>
              <w:jc w:val="both"/>
              <w:rPr>
                <w:sz w:val="25"/>
                <w:szCs w:val="25"/>
              </w:rPr>
            </w:pPr>
          </w:p>
          <w:p w:rsidR="0031240D" w:rsidRPr="00FB4D29" w:rsidRDefault="00D507DB" w:rsidP="00FB4D29">
            <w:pPr>
              <w:ind w:left="72"/>
              <w:jc w:val="both"/>
              <w:rPr>
                <w:sz w:val="25"/>
                <w:szCs w:val="25"/>
              </w:rPr>
            </w:pPr>
            <w:r w:rsidRPr="00FB4D29">
              <w:rPr>
                <w:sz w:val="25"/>
                <w:szCs w:val="25"/>
              </w:rPr>
              <w:t>Noteikumu projekta nodrošinās ilgtspējīgas fiskālās politikas principa ievērošanu, kā arī valsts budžeta deficīta un vispārējās valdības parāda stingru kontroli.</w:t>
            </w:r>
          </w:p>
          <w:p w:rsidR="00C81FA2" w:rsidRPr="00FB4D29" w:rsidRDefault="000F13EF" w:rsidP="00C81FA2">
            <w:pPr>
              <w:ind w:left="72"/>
              <w:jc w:val="both"/>
              <w:rPr>
                <w:sz w:val="25"/>
                <w:szCs w:val="25"/>
              </w:rPr>
            </w:pPr>
            <w:r w:rsidRPr="00FB4D29">
              <w:rPr>
                <w:sz w:val="25"/>
                <w:szCs w:val="25"/>
              </w:rPr>
              <w:t xml:space="preserve">Ņemot vērā tiesību normu grozījumu apjomu, kas </w:t>
            </w:r>
            <w:r w:rsidRPr="00FB4D29">
              <w:rPr>
                <w:sz w:val="25"/>
                <w:szCs w:val="25"/>
              </w:rPr>
              <w:lastRenderedPageBreak/>
              <w:t>nepieciešams, lai precizētu prasī</w:t>
            </w:r>
            <w:r w:rsidR="001C3429" w:rsidRPr="00FB4D29">
              <w:rPr>
                <w:sz w:val="25"/>
                <w:szCs w:val="25"/>
              </w:rPr>
              <w:t xml:space="preserve">bas valsts aizdevumu izsniegšanas un </w:t>
            </w:r>
            <w:r w:rsidRPr="00FB4D29">
              <w:rPr>
                <w:sz w:val="25"/>
                <w:szCs w:val="25"/>
              </w:rPr>
              <w:t>apkalpošanas procesā, kas izriet gan no Valsts kontroles Revīzijas ziņojumā sniegtajiem  ieteikumiem, ga</w:t>
            </w:r>
            <w:r w:rsidR="00265EB3" w:rsidRPr="00FB4D29">
              <w:rPr>
                <w:sz w:val="25"/>
                <w:szCs w:val="25"/>
              </w:rPr>
              <w:t>n Valsts kases identificētājie</w:t>
            </w:r>
            <w:r w:rsidRPr="00FB4D29">
              <w:rPr>
                <w:sz w:val="25"/>
                <w:szCs w:val="25"/>
              </w:rPr>
              <w:t xml:space="preserve">m </w:t>
            </w:r>
            <w:r w:rsidR="00265EB3" w:rsidRPr="00FB4D29">
              <w:rPr>
                <w:sz w:val="25"/>
                <w:szCs w:val="25"/>
              </w:rPr>
              <w:t>nepieciešamajiem procesa pilnveidojumiem</w:t>
            </w:r>
            <w:r w:rsidRPr="00FB4D29">
              <w:rPr>
                <w:sz w:val="25"/>
                <w:szCs w:val="25"/>
              </w:rPr>
              <w:t xml:space="preserve">, kas ļautu nodrošināt valsts aizdevumu plānošanas, </w:t>
            </w:r>
            <w:r w:rsidR="001C3429" w:rsidRPr="00FB4D29">
              <w:rPr>
                <w:sz w:val="25"/>
                <w:szCs w:val="25"/>
              </w:rPr>
              <w:t>iz</w:t>
            </w:r>
            <w:r w:rsidRPr="00FB4D29">
              <w:rPr>
                <w:sz w:val="25"/>
                <w:szCs w:val="25"/>
              </w:rPr>
              <w:t xml:space="preserve">sniegšanas un apkalpošanas procesa administrēšanu atbilstoši labai praksei, kā arī atbilstu kvalitatīvas un efektīvas pakalpojuma sniegšanas principiem, tika izstrādāts jauns </w:t>
            </w:r>
            <w:r w:rsidR="00C81FA2" w:rsidRPr="00FB4D29">
              <w:rPr>
                <w:sz w:val="25"/>
                <w:szCs w:val="25"/>
              </w:rPr>
              <w:t>Noteikumu projekts</w:t>
            </w:r>
            <w:r w:rsidRPr="00FB4D29">
              <w:rPr>
                <w:sz w:val="25"/>
                <w:szCs w:val="25"/>
              </w:rPr>
              <w:t xml:space="preserve">, nevis veikti grozījumi Ministru kabineta noteikumos, kas pašreiz regulē valsts aizdevumu </w:t>
            </w:r>
            <w:r w:rsidR="001C3429" w:rsidRPr="00FB4D29">
              <w:rPr>
                <w:sz w:val="25"/>
                <w:szCs w:val="25"/>
              </w:rPr>
              <w:t>iz</w:t>
            </w:r>
            <w:r w:rsidRPr="00FB4D29">
              <w:rPr>
                <w:sz w:val="25"/>
                <w:szCs w:val="25"/>
              </w:rPr>
              <w:t>sniegšanas un apkalpošanas kārtību.</w:t>
            </w:r>
          </w:p>
          <w:p w:rsidR="00C81FA2" w:rsidRPr="00FB4D29" w:rsidRDefault="00C81FA2" w:rsidP="00C81FA2">
            <w:pPr>
              <w:ind w:left="72"/>
              <w:jc w:val="both"/>
              <w:rPr>
                <w:sz w:val="25"/>
                <w:szCs w:val="25"/>
                <w:highlight w:val="yellow"/>
              </w:rPr>
            </w:pPr>
          </w:p>
          <w:p w:rsidR="000E3436" w:rsidRPr="00FB4D29" w:rsidRDefault="0074561F" w:rsidP="0012642B">
            <w:pPr>
              <w:autoSpaceDE w:val="0"/>
              <w:autoSpaceDN w:val="0"/>
              <w:adjustRightInd w:val="0"/>
              <w:jc w:val="both"/>
              <w:rPr>
                <w:sz w:val="25"/>
                <w:szCs w:val="25"/>
              </w:rPr>
            </w:pPr>
            <w:r w:rsidRPr="00FB4D29">
              <w:rPr>
                <w:sz w:val="25"/>
                <w:szCs w:val="25"/>
              </w:rPr>
              <w:t xml:space="preserve">Salīdzinot ar spēkā esošo </w:t>
            </w:r>
            <w:r w:rsidR="0092462A" w:rsidRPr="00FB4D29">
              <w:rPr>
                <w:sz w:val="25"/>
                <w:szCs w:val="25"/>
              </w:rPr>
              <w:t xml:space="preserve">regulējumu, </w:t>
            </w:r>
            <w:r w:rsidR="009C4A25" w:rsidRPr="00FB4D29">
              <w:rPr>
                <w:sz w:val="25"/>
                <w:szCs w:val="25"/>
              </w:rPr>
              <w:t>N</w:t>
            </w:r>
            <w:r w:rsidR="0092462A" w:rsidRPr="00FB4D29">
              <w:rPr>
                <w:sz w:val="25"/>
                <w:szCs w:val="25"/>
              </w:rPr>
              <w:t>oteikumu projektā</w:t>
            </w:r>
            <w:r w:rsidRPr="00FB4D29">
              <w:rPr>
                <w:sz w:val="25"/>
                <w:szCs w:val="25"/>
              </w:rPr>
              <w:t xml:space="preserve"> ir paredzētas šād</w:t>
            </w:r>
            <w:r w:rsidR="00BC49D4" w:rsidRPr="00FB4D29">
              <w:rPr>
                <w:sz w:val="25"/>
                <w:szCs w:val="25"/>
              </w:rPr>
              <w:t>a</w:t>
            </w:r>
            <w:r w:rsidRPr="00FB4D29">
              <w:rPr>
                <w:sz w:val="25"/>
                <w:szCs w:val="25"/>
              </w:rPr>
              <w:t>s</w:t>
            </w:r>
            <w:r w:rsidR="00B17CF0" w:rsidRPr="00FB4D29">
              <w:rPr>
                <w:sz w:val="25"/>
                <w:szCs w:val="25"/>
              </w:rPr>
              <w:t xml:space="preserve"> </w:t>
            </w:r>
            <w:r w:rsidRPr="00FB4D29">
              <w:rPr>
                <w:sz w:val="25"/>
                <w:szCs w:val="25"/>
              </w:rPr>
              <w:t>izmaiņas:</w:t>
            </w:r>
          </w:p>
          <w:p w:rsidR="004169AF" w:rsidRPr="00FB4D29" w:rsidRDefault="00B17CF0" w:rsidP="00D1490A">
            <w:pPr>
              <w:numPr>
                <w:ilvl w:val="0"/>
                <w:numId w:val="31"/>
              </w:numPr>
              <w:ind w:left="497" w:firstLine="0"/>
              <w:jc w:val="both"/>
              <w:rPr>
                <w:sz w:val="25"/>
                <w:szCs w:val="25"/>
              </w:rPr>
            </w:pPr>
            <w:r w:rsidRPr="00FB4D29">
              <w:rPr>
                <w:sz w:val="25"/>
                <w:szCs w:val="25"/>
              </w:rPr>
              <w:t>šobrīd valsts aizdevumu plānošanas, izsniegšanas un apkalpošanas kārtību reglamentē divi normatīvie akti, t.i., Ministru kabineta 2010. gada 19. janvāra noteikumi Nr. 63 „Valsts aizdevumu izsniegšanas un apkalpošanas kārtība” (turpmāk – MK noteikumi Nr. 63) un Ministru kabineta 2012. gada 12. jūnija noteikumi Nr. 397 “Kārtība, kādā ministrijas un citas centrālās valsts iestādes iekļauj gadskārtējā valsts budžeta likumprojektā valsts aizdevumu pieprasījumus” (turpmāk – MK noteikumi Nr. 397).</w:t>
            </w:r>
            <w:r w:rsidR="003069C6" w:rsidRPr="00FB4D29">
              <w:rPr>
                <w:sz w:val="25"/>
                <w:szCs w:val="25"/>
              </w:rPr>
              <w:t xml:space="preserve"> </w:t>
            </w:r>
            <w:r w:rsidRPr="00FB4D29">
              <w:rPr>
                <w:sz w:val="25"/>
                <w:szCs w:val="25"/>
              </w:rPr>
              <w:t xml:space="preserve">Līdz ar to, lai </w:t>
            </w:r>
            <w:r w:rsidR="004169AF" w:rsidRPr="00FB4D29">
              <w:rPr>
                <w:sz w:val="25"/>
                <w:szCs w:val="25"/>
              </w:rPr>
              <w:t xml:space="preserve">ar </w:t>
            </w:r>
            <w:r w:rsidRPr="00FB4D29">
              <w:rPr>
                <w:sz w:val="25"/>
                <w:szCs w:val="25"/>
              </w:rPr>
              <w:t>valsts aizdevumu plānošanas un izsniegšanas procesu saistītos jautājumus regulētu viens normatīvais akts, Noteikumu projektā ir iekļauta sadaļa „II. Valsts aizdevuma pieprasījumu vidējam termiņam iekļaušana gadskārtējā valsts budžeta likumprojektā”</w:t>
            </w:r>
            <w:r w:rsidR="002312AB" w:rsidRPr="00FB4D29">
              <w:rPr>
                <w:sz w:val="25"/>
                <w:szCs w:val="25"/>
              </w:rPr>
              <w:t xml:space="preserve"> (</w:t>
            </w:r>
            <w:r w:rsidRPr="00FB4D29">
              <w:rPr>
                <w:sz w:val="25"/>
                <w:szCs w:val="25"/>
              </w:rPr>
              <w:t xml:space="preserve">šobrīd regulē MK noteikumi Nr. </w:t>
            </w:r>
            <w:r w:rsidR="002312AB" w:rsidRPr="00FB4D29">
              <w:rPr>
                <w:sz w:val="25"/>
                <w:szCs w:val="25"/>
              </w:rPr>
              <w:t>397),</w:t>
            </w:r>
            <w:r w:rsidR="004169AF" w:rsidRPr="00FB4D29">
              <w:rPr>
                <w:sz w:val="25"/>
                <w:szCs w:val="25"/>
              </w:rPr>
              <w:t xml:space="preserve"> kurā saglabāta šobrīd spēkā esošā kārtība, kādā ministrijas un citas centrālās valsts iestādes  (turpmāk – ministrija)</w:t>
            </w:r>
            <w:r w:rsidR="002312AB" w:rsidRPr="00FB4D29">
              <w:rPr>
                <w:sz w:val="25"/>
                <w:szCs w:val="25"/>
              </w:rPr>
              <w:t xml:space="preserve"> sniedz informāciju par ministrijas pārraudzībā esošu nozīmīgu investīciju projektu, valsts atbalsta programmu vai Eiropas Savienības līdzfinansēto projektu īstenošanu, kuru īstenošanai nepieciešams piesaistīt finanšu resursus valsts aizdevumu veidā</w:t>
            </w:r>
            <w:r w:rsidR="0057317C" w:rsidRPr="00FB4D29">
              <w:rPr>
                <w:sz w:val="25"/>
                <w:szCs w:val="25"/>
              </w:rPr>
              <w:t>. Līdz ar to ir veikta normatīvo aktu kopuma uzlabošana, veicot normatīvo aktu konsolidēšanu</w:t>
            </w:r>
            <w:r w:rsidR="002312AB" w:rsidRPr="00FB4D29">
              <w:rPr>
                <w:sz w:val="25"/>
                <w:szCs w:val="25"/>
              </w:rPr>
              <w:t>;</w:t>
            </w:r>
          </w:p>
          <w:p w:rsidR="00C0407B" w:rsidRPr="00FB4D29" w:rsidRDefault="00493AEC" w:rsidP="00D1490A">
            <w:pPr>
              <w:numPr>
                <w:ilvl w:val="0"/>
                <w:numId w:val="31"/>
              </w:numPr>
              <w:ind w:left="497" w:firstLine="0"/>
              <w:jc w:val="both"/>
              <w:rPr>
                <w:sz w:val="25"/>
                <w:szCs w:val="25"/>
              </w:rPr>
            </w:pPr>
            <w:r w:rsidRPr="00FB4D29">
              <w:rPr>
                <w:sz w:val="25"/>
                <w:szCs w:val="25"/>
              </w:rPr>
              <w:t xml:space="preserve">MK noteikumu Nr.397 </w:t>
            </w:r>
            <w:r w:rsidR="00C0407B" w:rsidRPr="00FB4D29">
              <w:rPr>
                <w:sz w:val="25"/>
                <w:szCs w:val="25"/>
              </w:rPr>
              <w:t>7.</w:t>
            </w:r>
            <w:r w:rsidR="0036000B" w:rsidRPr="00FB4D29">
              <w:rPr>
                <w:sz w:val="25"/>
                <w:szCs w:val="25"/>
              </w:rPr>
              <w:t xml:space="preserve"> </w:t>
            </w:r>
            <w:r w:rsidR="00C0407B" w:rsidRPr="00FB4D29">
              <w:rPr>
                <w:sz w:val="25"/>
                <w:szCs w:val="25"/>
              </w:rPr>
              <w:t>punktā noteikts, ka ministrija izvērtē konkrētā projekta atbilstību politikas plānošanas dokumentos noteiktajiem prioritārajiem attīstības virzieniem.</w:t>
            </w:r>
            <w:r w:rsidR="003069C6" w:rsidRPr="00FB4D29">
              <w:rPr>
                <w:sz w:val="25"/>
                <w:szCs w:val="25"/>
              </w:rPr>
              <w:t xml:space="preserve"> Ņemot vērā, ka faktiski tas ir vienīgais kritērijs valsts aizdevuma atbalstam pēc būtības un tā kā šobrīd spēkā esošie </w:t>
            </w:r>
            <w:r w:rsidR="003069C6" w:rsidRPr="00FB4D29">
              <w:rPr>
                <w:sz w:val="25"/>
                <w:szCs w:val="25"/>
              </w:rPr>
              <w:lastRenderedPageBreak/>
              <w:t>politikas plānošanas dokumenti nav saistīti ar augsta līmeņa plānošanas dokumentiem un tajos izvirzītajiem mērķiem (Latvijas Nacionālo attīstības plānu 2014.-2020. gadam, valsts budžetu), Noteikumu projekt</w:t>
            </w:r>
            <w:r w:rsidR="00FE1A04" w:rsidRPr="00FB4D29">
              <w:rPr>
                <w:sz w:val="25"/>
                <w:szCs w:val="25"/>
              </w:rPr>
              <w:t>ā</w:t>
            </w:r>
            <w:r w:rsidR="003069C6" w:rsidRPr="00FB4D29">
              <w:rPr>
                <w:sz w:val="25"/>
                <w:szCs w:val="25"/>
              </w:rPr>
              <w:t xml:space="preserve"> politikas plānošanas dokumenti tiek aizstāti ar attīstības plānošanas dokumentiem;</w:t>
            </w:r>
          </w:p>
          <w:p w:rsidR="00115279" w:rsidRPr="00FB4D29" w:rsidRDefault="00580B27" w:rsidP="00D1490A">
            <w:pPr>
              <w:pStyle w:val="ListParagraph"/>
              <w:numPr>
                <w:ilvl w:val="0"/>
                <w:numId w:val="31"/>
              </w:numPr>
              <w:ind w:left="497" w:firstLine="0"/>
              <w:jc w:val="both"/>
              <w:rPr>
                <w:sz w:val="25"/>
                <w:szCs w:val="25"/>
              </w:rPr>
            </w:pPr>
            <w:r w:rsidRPr="00FB4D29">
              <w:rPr>
                <w:sz w:val="25"/>
                <w:szCs w:val="25"/>
              </w:rPr>
              <w:t xml:space="preserve">atsevišķos gadījumos ir saīsināts dokumentu </w:t>
            </w:r>
            <w:r w:rsidR="003069C6" w:rsidRPr="00FB4D29">
              <w:rPr>
                <w:sz w:val="25"/>
                <w:szCs w:val="25"/>
              </w:rPr>
              <w:t xml:space="preserve">izskatīšanas </w:t>
            </w:r>
            <w:r w:rsidRPr="00FB4D29">
              <w:rPr>
                <w:sz w:val="25"/>
                <w:szCs w:val="25"/>
              </w:rPr>
              <w:t>laiks</w:t>
            </w:r>
            <w:r w:rsidR="00BD5DBE" w:rsidRPr="00FB4D29">
              <w:rPr>
                <w:sz w:val="25"/>
                <w:szCs w:val="25"/>
              </w:rPr>
              <w:t xml:space="preserve">, piemēram, </w:t>
            </w:r>
            <w:r w:rsidR="00115279" w:rsidRPr="00FB4D29">
              <w:rPr>
                <w:sz w:val="25"/>
                <w:szCs w:val="25"/>
              </w:rPr>
              <w:t>Noteikumu projekta 14.punktā paredzēts, ka vienošanos par izmaiņām aizdevuma līgumā vai atteikumu Valsts kases sagatavo 10 darbdienu laikā, nevis kā šobrīd – piecpadsmit darbdienu laikā</w:t>
            </w:r>
            <w:r w:rsidR="006B39E6" w:rsidRPr="00FB4D29">
              <w:rPr>
                <w:sz w:val="25"/>
                <w:szCs w:val="25"/>
              </w:rPr>
              <w:t>.</w:t>
            </w:r>
            <w:r w:rsidRPr="00FB4D29">
              <w:rPr>
                <w:sz w:val="25"/>
                <w:szCs w:val="25"/>
              </w:rPr>
              <w:t xml:space="preserve"> </w:t>
            </w:r>
            <w:r w:rsidR="006B39E6" w:rsidRPr="00FB4D29">
              <w:rPr>
                <w:sz w:val="25"/>
                <w:szCs w:val="25"/>
              </w:rPr>
              <w:t>T</w:t>
            </w:r>
            <w:r w:rsidRPr="00FB4D29">
              <w:rPr>
                <w:sz w:val="25"/>
                <w:szCs w:val="25"/>
              </w:rPr>
              <w:t>o ir sekmējusi elektronisko dokumentu ieviešana – aizdevuma līgumi, vienošanās u.c.,  tiek parakstīti ar e-parakstu. Elektronisko dokumentu izmantošana ne tikai nodrošina ātrāku saziņu ar Valsts kases klientiem, bet arī optimizē procesu Valsts kases ietvaros, vienlaikus nodrošinot kvalificētu dokumentu izskatīšanu</w:t>
            </w:r>
            <w:r w:rsidR="00115279" w:rsidRPr="00FB4D29">
              <w:rPr>
                <w:sz w:val="25"/>
                <w:szCs w:val="25"/>
              </w:rPr>
              <w:t>;</w:t>
            </w:r>
          </w:p>
          <w:p w:rsidR="00114EFC" w:rsidRPr="00FB4D29" w:rsidRDefault="00115279" w:rsidP="00D1490A">
            <w:pPr>
              <w:pStyle w:val="ListParagraph"/>
              <w:numPr>
                <w:ilvl w:val="0"/>
                <w:numId w:val="31"/>
              </w:numPr>
              <w:ind w:left="497" w:firstLine="0"/>
              <w:jc w:val="both"/>
              <w:rPr>
                <w:sz w:val="25"/>
                <w:szCs w:val="25"/>
              </w:rPr>
            </w:pPr>
            <w:r w:rsidRPr="00FB4D29">
              <w:rPr>
                <w:sz w:val="25"/>
                <w:szCs w:val="25"/>
              </w:rPr>
              <w:t>tā kā valsts aizdevuma sniegšana valsts sociālās apdrošināšanas speciālajam budžetam ir atbalstāma situācijā, kad vērojams būtisks ieņēmumu samazinājums konkrētajā valsts sociālās apdrošināšanas speciālajā budžetā, tad Noteikumu projekta 17.punktā ir izslēgts dokumentu iesniegšanas  termiņš</w:t>
            </w:r>
            <w:r w:rsidR="0015770D" w:rsidRPr="00FB4D29">
              <w:rPr>
                <w:sz w:val="25"/>
                <w:szCs w:val="25"/>
              </w:rPr>
              <w:t xml:space="preserve"> maksimālais termiņš – līdz kārtējā gada 20.decembrim</w:t>
            </w:r>
            <w:r w:rsidRPr="00FB4D29">
              <w:rPr>
                <w:sz w:val="25"/>
                <w:szCs w:val="25"/>
              </w:rPr>
              <w:t xml:space="preserve">, </w:t>
            </w:r>
            <w:r w:rsidR="0015770D" w:rsidRPr="00FB4D29">
              <w:rPr>
                <w:sz w:val="25"/>
                <w:szCs w:val="25"/>
              </w:rPr>
              <w:t xml:space="preserve">līdz ar to turpmāk ir plānots, ka valsts speciālā budžeta izpildītājs dokumentus valsts aizdevuma saņemšanai varēs iesniegt </w:t>
            </w:r>
            <w:r w:rsidRPr="00FB4D29">
              <w:rPr>
                <w:sz w:val="25"/>
                <w:szCs w:val="25"/>
              </w:rPr>
              <w:t>līdz budžeta gada beigām</w:t>
            </w:r>
            <w:r w:rsidR="00114EFC" w:rsidRPr="00FB4D29">
              <w:rPr>
                <w:sz w:val="25"/>
                <w:szCs w:val="25"/>
              </w:rPr>
              <w:t>;</w:t>
            </w:r>
          </w:p>
          <w:p w:rsidR="00580B27" w:rsidRPr="00FB4D29" w:rsidRDefault="000647D3" w:rsidP="00D1490A">
            <w:pPr>
              <w:pStyle w:val="ListParagraph"/>
              <w:numPr>
                <w:ilvl w:val="0"/>
                <w:numId w:val="31"/>
              </w:numPr>
              <w:ind w:left="497" w:firstLine="0"/>
              <w:jc w:val="both"/>
              <w:rPr>
                <w:sz w:val="25"/>
                <w:szCs w:val="25"/>
              </w:rPr>
            </w:pPr>
            <w:r w:rsidRPr="00FB4D29">
              <w:rPr>
                <w:sz w:val="25"/>
                <w:szCs w:val="25"/>
              </w:rPr>
              <w:t>s</w:t>
            </w:r>
            <w:r w:rsidR="00F237AC" w:rsidRPr="00FB4D29">
              <w:rPr>
                <w:sz w:val="25"/>
                <w:szCs w:val="25"/>
              </w:rPr>
              <w:t xml:space="preserve">avukārt </w:t>
            </w:r>
            <w:r w:rsidRPr="00FB4D29">
              <w:rPr>
                <w:sz w:val="25"/>
                <w:szCs w:val="25"/>
              </w:rPr>
              <w:t>N</w:t>
            </w:r>
            <w:r w:rsidR="00F237AC" w:rsidRPr="00FB4D29">
              <w:rPr>
                <w:sz w:val="25"/>
                <w:szCs w:val="25"/>
              </w:rPr>
              <w:t>oteikumu projekta 25.punktā, izvērtējot Valsts kases iespējas savlaicīgi un kvalitatīvi izvērtēt  valsts aizdevuma pieprasījumus, dokumentu iesniegšanas termiņš ir pagarināts no   kārtējā gada 1.novembra līdz 15.novembrim. Līdz ar to valsts aizdevuma pretendentam ir iespēja ilgāku laika periodu iesniegt pieprasīju</w:t>
            </w:r>
            <w:r w:rsidR="00C26840" w:rsidRPr="00FB4D29">
              <w:rPr>
                <w:sz w:val="25"/>
                <w:szCs w:val="25"/>
              </w:rPr>
              <w:t>mus valsts aizdevuma saņemšanai</w:t>
            </w:r>
            <w:r w:rsidR="00F237AC" w:rsidRPr="00FB4D29">
              <w:rPr>
                <w:sz w:val="25"/>
                <w:szCs w:val="25"/>
              </w:rPr>
              <w:t>;</w:t>
            </w:r>
          </w:p>
          <w:p w:rsidR="000647D3" w:rsidRPr="00FB4D29" w:rsidRDefault="000647D3" w:rsidP="000647D3">
            <w:pPr>
              <w:numPr>
                <w:ilvl w:val="0"/>
                <w:numId w:val="31"/>
              </w:numPr>
              <w:ind w:left="497" w:firstLine="0"/>
              <w:jc w:val="both"/>
              <w:rPr>
                <w:sz w:val="25"/>
                <w:szCs w:val="25"/>
              </w:rPr>
            </w:pPr>
            <w:r w:rsidRPr="00FB4D29">
              <w:rPr>
                <w:sz w:val="25"/>
                <w:szCs w:val="25"/>
              </w:rPr>
              <w:t>a</w:t>
            </w:r>
            <w:r w:rsidR="007C3BDD" w:rsidRPr="00FB4D29">
              <w:rPr>
                <w:sz w:val="25"/>
                <w:szCs w:val="25"/>
              </w:rPr>
              <w:t xml:space="preserve">tbilstoši spēkā esošajam regulējumam </w:t>
            </w:r>
            <w:r w:rsidR="0083618D" w:rsidRPr="00FB4D29">
              <w:rPr>
                <w:sz w:val="25"/>
                <w:szCs w:val="25"/>
              </w:rPr>
              <w:t>(MK noteikumi</w:t>
            </w:r>
            <w:r w:rsidR="00493AEC" w:rsidRPr="00FB4D29">
              <w:rPr>
                <w:sz w:val="25"/>
                <w:szCs w:val="25"/>
              </w:rPr>
              <w:t xml:space="preserve"> Nr.</w:t>
            </w:r>
            <w:r w:rsidR="00E40F56" w:rsidRPr="00FB4D29">
              <w:rPr>
                <w:sz w:val="25"/>
                <w:szCs w:val="25"/>
              </w:rPr>
              <w:t xml:space="preserve"> </w:t>
            </w:r>
            <w:r w:rsidR="00493AEC" w:rsidRPr="00FB4D29">
              <w:rPr>
                <w:sz w:val="25"/>
                <w:szCs w:val="25"/>
              </w:rPr>
              <w:t xml:space="preserve">63) </w:t>
            </w:r>
            <w:r w:rsidR="006974CC" w:rsidRPr="00FB4D29">
              <w:rPr>
                <w:sz w:val="25"/>
                <w:szCs w:val="25"/>
              </w:rPr>
              <w:t xml:space="preserve">valsts aizdevuma </w:t>
            </w:r>
            <w:r w:rsidR="007C3BDD" w:rsidRPr="00FB4D29">
              <w:rPr>
                <w:sz w:val="25"/>
                <w:szCs w:val="25"/>
              </w:rPr>
              <w:t>pretendenti</w:t>
            </w:r>
            <w:r w:rsidR="0088733E" w:rsidRPr="00FB4D29">
              <w:rPr>
                <w:sz w:val="25"/>
                <w:szCs w:val="25"/>
              </w:rPr>
              <w:t xml:space="preserve"> –</w:t>
            </w:r>
            <w:r w:rsidR="007C3BDD" w:rsidRPr="00FB4D29">
              <w:rPr>
                <w:sz w:val="25"/>
                <w:szCs w:val="25"/>
              </w:rPr>
              <w:t xml:space="preserve"> </w:t>
            </w:r>
            <w:r w:rsidR="0088733E" w:rsidRPr="00FB4D29">
              <w:rPr>
                <w:sz w:val="25"/>
                <w:szCs w:val="25"/>
              </w:rPr>
              <w:t xml:space="preserve">zinātniskais institūts vai augstskola, kam ir noteikts atvasinātas publiskas personas statuss, kapitālsabiedrība, kurā valsts vai pašvaldības daļa pamatkapitālā atsevišķi vai kopsummā pārsniedz 50 % vai vairāku pašvaldību veidota kapitālsabiedrība, kurā pašvaldību daļa pamatkapitālā kopsummā pārsniedz 65 %,  ostas </w:t>
            </w:r>
            <w:r w:rsidR="0088733E" w:rsidRPr="00FB4D29">
              <w:rPr>
                <w:sz w:val="25"/>
                <w:szCs w:val="25"/>
              </w:rPr>
              <w:lastRenderedPageBreak/>
              <w:t xml:space="preserve">pārvalde (turpmāk – aizņēmējs) </w:t>
            </w:r>
            <w:r w:rsidR="007C3BDD" w:rsidRPr="00FB4D29">
              <w:rPr>
                <w:sz w:val="25"/>
                <w:szCs w:val="25"/>
              </w:rPr>
              <w:t xml:space="preserve">var pieteikties </w:t>
            </w:r>
            <w:r w:rsidR="006974CC" w:rsidRPr="00FB4D29">
              <w:rPr>
                <w:sz w:val="25"/>
                <w:szCs w:val="25"/>
              </w:rPr>
              <w:t>valsts aizdevuma saņemšanai</w:t>
            </w:r>
            <w:r w:rsidR="00941A6D" w:rsidRPr="00FB4D29">
              <w:rPr>
                <w:sz w:val="25"/>
                <w:szCs w:val="25"/>
              </w:rPr>
              <w:t>,</w:t>
            </w:r>
            <w:r w:rsidR="006974CC" w:rsidRPr="00FB4D29">
              <w:rPr>
                <w:sz w:val="25"/>
                <w:szCs w:val="25"/>
              </w:rPr>
              <w:t xml:space="preserve"> </w:t>
            </w:r>
            <w:r w:rsidR="007C3BDD" w:rsidRPr="00FB4D29">
              <w:rPr>
                <w:sz w:val="25"/>
                <w:szCs w:val="25"/>
              </w:rPr>
              <w:t>iesniedzot</w:t>
            </w:r>
            <w:r w:rsidR="000E3436" w:rsidRPr="00FB4D29">
              <w:rPr>
                <w:sz w:val="25"/>
                <w:szCs w:val="25"/>
              </w:rPr>
              <w:t xml:space="preserve"> </w:t>
            </w:r>
            <w:r w:rsidRPr="00FB4D29">
              <w:rPr>
                <w:sz w:val="25"/>
                <w:szCs w:val="25"/>
              </w:rPr>
              <w:t>Valsts kasē</w:t>
            </w:r>
            <w:r w:rsidR="00BF6CEF" w:rsidRPr="00FB4D29">
              <w:rPr>
                <w:sz w:val="25"/>
                <w:szCs w:val="25"/>
              </w:rPr>
              <w:t xml:space="preserve"> paredzētos dokumentus. </w:t>
            </w:r>
            <w:r w:rsidR="001D0EC2" w:rsidRPr="00FB4D29">
              <w:rPr>
                <w:sz w:val="25"/>
                <w:szCs w:val="25"/>
              </w:rPr>
              <w:t>Lai novērstu gadījumus, kad aizdevuma saņemšanai nepilnīgi</w:t>
            </w:r>
            <w:r w:rsidR="00281C60" w:rsidRPr="00FB4D29">
              <w:rPr>
                <w:sz w:val="25"/>
                <w:szCs w:val="25"/>
              </w:rPr>
              <w:t xml:space="preserve"> iesniegtas informācijas dēļ, </w:t>
            </w:r>
            <w:r w:rsidR="001D0EC2" w:rsidRPr="00FB4D29">
              <w:rPr>
                <w:sz w:val="25"/>
                <w:szCs w:val="25"/>
              </w:rPr>
              <w:t>Valsts kase ir spiesta</w:t>
            </w:r>
            <w:r w:rsidR="00281C60" w:rsidRPr="00FB4D29">
              <w:rPr>
                <w:sz w:val="25"/>
                <w:szCs w:val="25"/>
              </w:rPr>
              <w:t xml:space="preserve"> prasīt papildu informāciju</w:t>
            </w:r>
            <w:r w:rsidRPr="00FB4D29">
              <w:rPr>
                <w:sz w:val="25"/>
                <w:szCs w:val="25"/>
              </w:rPr>
              <w:t xml:space="preserve"> vai precizēt iesniegtos dokumentus</w:t>
            </w:r>
            <w:r w:rsidR="00281C60" w:rsidRPr="00FB4D29">
              <w:rPr>
                <w:sz w:val="25"/>
                <w:szCs w:val="25"/>
              </w:rPr>
              <w:t>, tādējādi aizdevuma izsniegšanas procesu paildzinot</w:t>
            </w:r>
            <w:r w:rsidR="00BF6CEF" w:rsidRPr="00FB4D29">
              <w:rPr>
                <w:sz w:val="25"/>
                <w:szCs w:val="25"/>
              </w:rPr>
              <w:t>, tad</w:t>
            </w:r>
            <w:r w:rsidR="007C3BDD" w:rsidRPr="00FB4D29">
              <w:rPr>
                <w:sz w:val="25"/>
                <w:szCs w:val="25"/>
              </w:rPr>
              <w:t xml:space="preserve">, lai visiem </w:t>
            </w:r>
            <w:r w:rsidR="00E97A08" w:rsidRPr="00FB4D29">
              <w:rPr>
                <w:sz w:val="25"/>
                <w:szCs w:val="25"/>
              </w:rPr>
              <w:t xml:space="preserve">aizņēmējiem </w:t>
            </w:r>
            <w:r w:rsidR="007C3BDD" w:rsidRPr="00FB4D29">
              <w:rPr>
                <w:sz w:val="25"/>
                <w:szCs w:val="25"/>
              </w:rPr>
              <w:t xml:space="preserve">būtu vienota izpratne par iesniedzamo dokumentu saturu, Noteikumu projektā ir </w:t>
            </w:r>
            <w:r w:rsidR="00BF6CEF" w:rsidRPr="00FB4D29">
              <w:rPr>
                <w:sz w:val="25"/>
                <w:szCs w:val="25"/>
              </w:rPr>
              <w:t xml:space="preserve">ne tikai </w:t>
            </w:r>
            <w:r w:rsidR="007C3BDD" w:rsidRPr="00FB4D29">
              <w:rPr>
                <w:sz w:val="25"/>
                <w:szCs w:val="25"/>
              </w:rPr>
              <w:t>precizēt</w:t>
            </w:r>
            <w:r w:rsidR="00BF6CEF" w:rsidRPr="00FB4D29">
              <w:rPr>
                <w:sz w:val="25"/>
                <w:szCs w:val="25"/>
              </w:rPr>
              <w:t>s</w:t>
            </w:r>
            <w:r w:rsidR="006C6CA3" w:rsidRPr="00FB4D29">
              <w:rPr>
                <w:sz w:val="25"/>
                <w:szCs w:val="25"/>
              </w:rPr>
              <w:t xml:space="preserve"> iesniedzam</w:t>
            </w:r>
            <w:r w:rsidR="00BF6CEF" w:rsidRPr="00FB4D29">
              <w:rPr>
                <w:sz w:val="25"/>
                <w:szCs w:val="25"/>
              </w:rPr>
              <w:t>o</w:t>
            </w:r>
            <w:r w:rsidR="006C6CA3" w:rsidRPr="00FB4D29">
              <w:rPr>
                <w:sz w:val="25"/>
                <w:szCs w:val="25"/>
              </w:rPr>
              <w:t xml:space="preserve"> dokument</w:t>
            </w:r>
            <w:r w:rsidR="00BF6CEF" w:rsidRPr="00FB4D29">
              <w:rPr>
                <w:sz w:val="25"/>
                <w:szCs w:val="25"/>
              </w:rPr>
              <w:t xml:space="preserve">u klāsts, bet arī </w:t>
            </w:r>
            <w:r w:rsidR="007A121D" w:rsidRPr="00FB4D29">
              <w:rPr>
                <w:sz w:val="25"/>
                <w:szCs w:val="25"/>
              </w:rPr>
              <w:t xml:space="preserve">noteikta augstāka </w:t>
            </w:r>
            <w:r w:rsidRPr="00FB4D29">
              <w:rPr>
                <w:sz w:val="25"/>
                <w:szCs w:val="25"/>
              </w:rPr>
              <w:t>dokumentu</w:t>
            </w:r>
            <w:r w:rsidR="007A121D" w:rsidRPr="00FB4D29">
              <w:rPr>
                <w:sz w:val="25"/>
                <w:szCs w:val="25"/>
              </w:rPr>
              <w:t xml:space="preserve"> </w:t>
            </w:r>
            <w:r w:rsidR="007C3BDD" w:rsidRPr="00FB4D29">
              <w:rPr>
                <w:sz w:val="25"/>
                <w:szCs w:val="25"/>
              </w:rPr>
              <w:t>detalizācijas pakāpe</w:t>
            </w:r>
            <w:r w:rsidR="00E2337F" w:rsidRPr="00FB4D29">
              <w:rPr>
                <w:sz w:val="25"/>
                <w:szCs w:val="25"/>
              </w:rPr>
              <w:t xml:space="preserve"> ar mērķi panākt, ka iesniegtie dokumenti satur kvalitatīvu, lēmuma pieņemšanai pietiekošu informāciju un ka informācija tiek iesniegta uzreiz, Valsts kasei nav jātērē administratīvie resursi, lai iegūtu nepiec</w:t>
            </w:r>
            <w:r w:rsidR="001D0EC2" w:rsidRPr="00FB4D29">
              <w:rPr>
                <w:sz w:val="25"/>
                <w:szCs w:val="25"/>
              </w:rPr>
              <w:t>iešamo informāciju no aizņēmēja</w:t>
            </w:r>
            <w:r w:rsidRPr="00FB4D29">
              <w:rPr>
                <w:sz w:val="25"/>
                <w:szCs w:val="25"/>
              </w:rPr>
              <w:t>, kā arī lai aizņēmējam nodrošinātu savlaicīgu valsts aizdevuma līdzekļu pieejamību projekta īstenošanai;</w:t>
            </w:r>
          </w:p>
          <w:p w:rsidR="00EA4339" w:rsidRPr="00FB4D29" w:rsidRDefault="00182653" w:rsidP="000647D3">
            <w:pPr>
              <w:numPr>
                <w:ilvl w:val="0"/>
                <w:numId w:val="31"/>
              </w:numPr>
              <w:ind w:left="497" w:firstLine="0"/>
              <w:jc w:val="both"/>
              <w:rPr>
                <w:sz w:val="25"/>
                <w:szCs w:val="25"/>
              </w:rPr>
            </w:pPr>
            <w:r w:rsidRPr="00FB4D29">
              <w:rPr>
                <w:sz w:val="25"/>
                <w:szCs w:val="25"/>
              </w:rPr>
              <w:t>spēkā eso</w:t>
            </w:r>
            <w:r w:rsidR="00941A6D" w:rsidRPr="00FB4D29">
              <w:rPr>
                <w:sz w:val="25"/>
                <w:szCs w:val="25"/>
              </w:rPr>
              <w:t>š</w:t>
            </w:r>
            <w:r w:rsidR="000647D3" w:rsidRPr="00FB4D29">
              <w:rPr>
                <w:sz w:val="25"/>
                <w:szCs w:val="25"/>
              </w:rPr>
              <w:t>ais regulējums</w:t>
            </w:r>
            <w:r w:rsidRPr="00FB4D29">
              <w:rPr>
                <w:sz w:val="25"/>
                <w:szCs w:val="25"/>
              </w:rPr>
              <w:t xml:space="preserve"> nosaka</w:t>
            </w:r>
            <w:r w:rsidR="00EA4339" w:rsidRPr="00FB4D29">
              <w:rPr>
                <w:sz w:val="25"/>
                <w:szCs w:val="25"/>
              </w:rPr>
              <w:t>, ka aizņēmējs iesniedz Valsts kasē „</w:t>
            </w:r>
            <w:r w:rsidR="00265EB3" w:rsidRPr="00FB4D29">
              <w:rPr>
                <w:sz w:val="25"/>
                <w:szCs w:val="25"/>
              </w:rPr>
              <w:t>a</w:t>
            </w:r>
            <w:r w:rsidR="00EA4339" w:rsidRPr="00FB4D29">
              <w:rPr>
                <w:sz w:val="25"/>
                <w:szCs w:val="25"/>
              </w:rPr>
              <w:t>ttīstības plānu</w:t>
            </w:r>
            <w:r w:rsidR="0088733E" w:rsidRPr="00FB4D29">
              <w:rPr>
                <w:sz w:val="25"/>
                <w:szCs w:val="25"/>
              </w:rPr>
              <w:t xml:space="preserve">”. </w:t>
            </w:r>
            <w:r w:rsidR="000647D3" w:rsidRPr="00FB4D29">
              <w:rPr>
                <w:sz w:val="25"/>
                <w:szCs w:val="25"/>
              </w:rPr>
              <w:t>S</w:t>
            </w:r>
            <w:r w:rsidR="00E2337F" w:rsidRPr="00FB4D29">
              <w:rPr>
                <w:sz w:val="25"/>
                <w:szCs w:val="25"/>
              </w:rPr>
              <w:t xml:space="preserve">amērā bieži ir gadījumi, kad aizņēmēja iesniegtais </w:t>
            </w:r>
            <w:r w:rsidR="00A77BBD" w:rsidRPr="00FB4D29">
              <w:rPr>
                <w:sz w:val="25"/>
                <w:szCs w:val="25"/>
              </w:rPr>
              <w:t>a</w:t>
            </w:r>
            <w:r w:rsidR="00E2337F" w:rsidRPr="00FB4D29">
              <w:rPr>
                <w:sz w:val="25"/>
                <w:szCs w:val="25"/>
              </w:rPr>
              <w:t>ttīstības plāns nesatur visu lēmuma pieņemšanai nepieciešamo informāciju</w:t>
            </w:r>
            <w:r w:rsidR="000647D3" w:rsidRPr="00FB4D29">
              <w:rPr>
                <w:sz w:val="25"/>
                <w:szCs w:val="25"/>
              </w:rPr>
              <w:t>, neskatoties uz to, ka</w:t>
            </w:r>
            <w:r w:rsidR="00E2337F" w:rsidRPr="00FB4D29">
              <w:rPr>
                <w:sz w:val="25"/>
                <w:szCs w:val="25"/>
              </w:rPr>
              <w:t xml:space="preserve"> a</w:t>
            </w:r>
            <w:r w:rsidR="0088733E" w:rsidRPr="00FB4D29">
              <w:rPr>
                <w:sz w:val="25"/>
                <w:szCs w:val="25"/>
              </w:rPr>
              <w:t xml:space="preserve">ttīstības </w:t>
            </w:r>
            <w:r w:rsidR="00EA4339" w:rsidRPr="00FB4D29">
              <w:rPr>
                <w:sz w:val="25"/>
                <w:szCs w:val="25"/>
              </w:rPr>
              <w:t xml:space="preserve">plānam ir jābūt konkrētam, pārdomātam, jāatspoguļo </w:t>
            </w:r>
            <w:r w:rsidR="00265EB3" w:rsidRPr="00FB4D29">
              <w:rPr>
                <w:sz w:val="25"/>
                <w:szCs w:val="25"/>
              </w:rPr>
              <w:t>aktuālā</w:t>
            </w:r>
            <w:r w:rsidR="00EA4339" w:rsidRPr="00FB4D29">
              <w:rPr>
                <w:sz w:val="25"/>
                <w:szCs w:val="25"/>
              </w:rPr>
              <w:t xml:space="preserve"> situācija un nākotnes perspektīvas</w:t>
            </w:r>
            <w:r w:rsidR="00E97A08" w:rsidRPr="00FB4D29">
              <w:rPr>
                <w:sz w:val="25"/>
                <w:szCs w:val="25"/>
              </w:rPr>
              <w:t>,</w:t>
            </w:r>
            <w:r w:rsidR="00EA4339" w:rsidRPr="00FB4D29">
              <w:rPr>
                <w:sz w:val="25"/>
                <w:szCs w:val="25"/>
              </w:rPr>
              <w:t xml:space="preserve"> taču </w:t>
            </w:r>
            <w:r w:rsidR="00E97A08" w:rsidRPr="00FB4D29">
              <w:rPr>
                <w:sz w:val="25"/>
                <w:szCs w:val="25"/>
              </w:rPr>
              <w:t>pēc satura</w:t>
            </w:r>
            <w:r w:rsidRPr="00FB4D29">
              <w:rPr>
                <w:sz w:val="25"/>
                <w:szCs w:val="25"/>
              </w:rPr>
              <w:t xml:space="preserve"> tas</w:t>
            </w:r>
            <w:r w:rsidR="00E97A08" w:rsidRPr="00FB4D29">
              <w:rPr>
                <w:sz w:val="25"/>
                <w:szCs w:val="25"/>
              </w:rPr>
              <w:t xml:space="preserve"> var atšķirties</w:t>
            </w:r>
            <w:r w:rsidR="00EE0F67" w:rsidRPr="00FB4D29">
              <w:rPr>
                <w:sz w:val="25"/>
                <w:szCs w:val="25"/>
              </w:rPr>
              <w:t>, l</w:t>
            </w:r>
            <w:r w:rsidR="00941A6D" w:rsidRPr="00FB4D29">
              <w:rPr>
                <w:sz w:val="25"/>
                <w:szCs w:val="25"/>
              </w:rPr>
              <w:t>īdz ar to</w:t>
            </w:r>
            <w:r w:rsidR="00EA4339" w:rsidRPr="00FB4D29">
              <w:rPr>
                <w:sz w:val="25"/>
                <w:szCs w:val="25"/>
              </w:rPr>
              <w:t xml:space="preserve"> tiesiskās skaidrības nodrošināšanai</w:t>
            </w:r>
            <w:r w:rsidR="00265EB3" w:rsidRPr="00FB4D29">
              <w:rPr>
                <w:sz w:val="25"/>
                <w:szCs w:val="25"/>
              </w:rPr>
              <w:t>,</w:t>
            </w:r>
            <w:r w:rsidR="00EA4339" w:rsidRPr="00FB4D29">
              <w:rPr>
                <w:sz w:val="25"/>
                <w:szCs w:val="25"/>
              </w:rPr>
              <w:t xml:space="preserve"> Noteikumu projekt</w:t>
            </w:r>
            <w:r w:rsidR="00EE0F67" w:rsidRPr="00FB4D29">
              <w:rPr>
                <w:sz w:val="25"/>
                <w:szCs w:val="25"/>
              </w:rPr>
              <w:t>a 2</w:t>
            </w:r>
            <w:r w:rsidR="000854E3" w:rsidRPr="00FB4D29">
              <w:rPr>
                <w:sz w:val="25"/>
                <w:szCs w:val="25"/>
              </w:rPr>
              <w:t>6</w:t>
            </w:r>
            <w:r w:rsidR="00EE0F67" w:rsidRPr="00FB4D29">
              <w:rPr>
                <w:sz w:val="25"/>
                <w:szCs w:val="25"/>
              </w:rPr>
              <w:t xml:space="preserve">.3. </w:t>
            </w:r>
            <w:r w:rsidR="00504B10" w:rsidRPr="00FB4D29">
              <w:rPr>
                <w:sz w:val="25"/>
                <w:szCs w:val="25"/>
              </w:rPr>
              <w:t>apakš</w:t>
            </w:r>
            <w:r w:rsidR="00EE0F67" w:rsidRPr="00FB4D29">
              <w:rPr>
                <w:sz w:val="25"/>
                <w:szCs w:val="25"/>
              </w:rPr>
              <w:t>punktā</w:t>
            </w:r>
            <w:r w:rsidR="00EA4339" w:rsidRPr="00FB4D29">
              <w:rPr>
                <w:sz w:val="25"/>
                <w:szCs w:val="25"/>
              </w:rPr>
              <w:t xml:space="preserve"> ir </w:t>
            </w:r>
            <w:r w:rsidR="00EE0F67" w:rsidRPr="00FB4D29">
              <w:rPr>
                <w:sz w:val="25"/>
                <w:szCs w:val="25"/>
              </w:rPr>
              <w:t xml:space="preserve">precizētas </w:t>
            </w:r>
            <w:r w:rsidR="0088733E" w:rsidRPr="00FB4D29">
              <w:rPr>
                <w:sz w:val="25"/>
                <w:szCs w:val="25"/>
              </w:rPr>
              <w:t xml:space="preserve">attīstības </w:t>
            </w:r>
            <w:r w:rsidR="00EA4339" w:rsidRPr="00FB4D29">
              <w:rPr>
                <w:sz w:val="25"/>
                <w:szCs w:val="25"/>
              </w:rPr>
              <w:t xml:space="preserve">plāna galvenās sadaļas un ietveramās informācijas saturs, kas </w:t>
            </w:r>
            <w:r w:rsidR="000647D3" w:rsidRPr="00FB4D29">
              <w:rPr>
                <w:sz w:val="25"/>
                <w:szCs w:val="25"/>
              </w:rPr>
              <w:t xml:space="preserve">vienlaikus </w:t>
            </w:r>
            <w:r w:rsidR="00EA4339" w:rsidRPr="00FB4D29">
              <w:rPr>
                <w:sz w:val="25"/>
                <w:szCs w:val="25"/>
              </w:rPr>
              <w:t>nerada papildu slogu un neatšķiras no iepriekš pieprasītā informācijas satura un apjoma</w:t>
            </w:r>
            <w:r w:rsidR="00941A6D" w:rsidRPr="00FB4D29">
              <w:rPr>
                <w:sz w:val="25"/>
                <w:szCs w:val="25"/>
              </w:rPr>
              <w:t>;</w:t>
            </w:r>
          </w:p>
          <w:p w:rsidR="001D0EC2" w:rsidRPr="00FB4D29" w:rsidRDefault="001D0EC2" w:rsidP="000647D3">
            <w:pPr>
              <w:numPr>
                <w:ilvl w:val="0"/>
                <w:numId w:val="31"/>
              </w:numPr>
              <w:ind w:left="497" w:firstLine="0"/>
              <w:jc w:val="both"/>
              <w:rPr>
                <w:sz w:val="25"/>
                <w:szCs w:val="25"/>
              </w:rPr>
            </w:pPr>
            <w:r w:rsidRPr="00FB4D29">
              <w:rPr>
                <w:sz w:val="25"/>
                <w:szCs w:val="25"/>
              </w:rPr>
              <w:t xml:space="preserve">lai novērstu situāciju, kad lēmuma pieņēmējam nav informācijas par aizņēmēja </w:t>
            </w:r>
            <w:r w:rsidR="00504B10" w:rsidRPr="00FB4D29">
              <w:rPr>
                <w:sz w:val="25"/>
                <w:szCs w:val="25"/>
              </w:rPr>
              <w:t>aktuālo</w:t>
            </w:r>
            <w:r w:rsidRPr="00FB4D29">
              <w:rPr>
                <w:sz w:val="25"/>
                <w:szCs w:val="25"/>
              </w:rPr>
              <w:t xml:space="preserve"> finanšu situāciju, jo no gada pārskata sagatavošanas brīža līdz aizdevuma izsniegšanai ir pagājis laiks un aizņēmēja finanšu situācija var būt būtiski mainījusies</w:t>
            </w:r>
            <w:r w:rsidR="00504B10" w:rsidRPr="00FB4D29">
              <w:rPr>
                <w:sz w:val="25"/>
                <w:szCs w:val="25"/>
              </w:rPr>
              <w:t xml:space="preserve"> (spēkā esošais regulējums nosaka, ka aizņēmējs vienlaikus ar aizdevuma pieprasījumu iesniedz vērtēšanai gada pārskatus)</w:t>
            </w:r>
            <w:r w:rsidRPr="00FB4D29">
              <w:rPr>
                <w:sz w:val="25"/>
                <w:szCs w:val="25"/>
              </w:rPr>
              <w:t>, noteikumi ir papildināti ar</w:t>
            </w:r>
            <w:r w:rsidR="00F5008D" w:rsidRPr="00FB4D29">
              <w:rPr>
                <w:sz w:val="25"/>
                <w:szCs w:val="25"/>
              </w:rPr>
              <w:t xml:space="preserve"> 2</w:t>
            </w:r>
            <w:r w:rsidR="000854E3" w:rsidRPr="00FB4D29">
              <w:rPr>
                <w:sz w:val="25"/>
                <w:szCs w:val="25"/>
              </w:rPr>
              <w:t>6</w:t>
            </w:r>
            <w:r w:rsidR="00F5008D" w:rsidRPr="00FB4D29">
              <w:rPr>
                <w:sz w:val="25"/>
                <w:szCs w:val="25"/>
              </w:rPr>
              <w:t>.1.</w:t>
            </w:r>
            <w:r w:rsidRPr="00FB4D29">
              <w:rPr>
                <w:sz w:val="25"/>
                <w:szCs w:val="25"/>
              </w:rPr>
              <w:t xml:space="preserve"> apak</w:t>
            </w:r>
            <w:r w:rsidR="00F5008D" w:rsidRPr="00FB4D29">
              <w:rPr>
                <w:sz w:val="25"/>
                <w:szCs w:val="25"/>
              </w:rPr>
              <w:t>špunktu</w:t>
            </w:r>
            <w:r w:rsidRPr="00FB4D29">
              <w:rPr>
                <w:sz w:val="25"/>
                <w:szCs w:val="25"/>
              </w:rPr>
              <w:t xml:space="preserve">, kas nosaka operatīvā finanšu pārskata izsniegšanu par laikposmu </w:t>
            </w:r>
            <w:r w:rsidR="00EE0F67" w:rsidRPr="00FB4D29">
              <w:rPr>
                <w:sz w:val="25"/>
                <w:szCs w:val="25"/>
              </w:rPr>
              <w:t>no pēdējā noslēgtā pārskata gada līdz pēdējam noslēgtajam mēnesim</w:t>
            </w:r>
            <w:r w:rsidR="00504B10" w:rsidRPr="00FB4D29">
              <w:rPr>
                <w:sz w:val="25"/>
                <w:szCs w:val="25"/>
              </w:rPr>
              <w:t>;</w:t>
            </w:r>
          </w:p>
          <w:p w:rsidR="00E43B01" w:rsidRPr="00FB4D29" w:rsidRDefault="007C6477" w:rsidP="00504B10">
            <w:pPr>
              <w:numPr>
                <w:ilvl w:val="0"/>
                <w:numId w:val="31"/>
              </w:numPr>
              <w:ind w:left="497" w:firstLine="0"/>
              <w:jc w:val="both"/>
              <w:rPr>
                <w:sz w:val="25"/>
                <w:szCs w:val="25"/>
              </w:rPr>
            </w:pPr>
            <w:r w:rsidRPr="00FB4D29">
              <w:rPr>
                <w:sz w:val="25"/>
                <w:szCs w:val="25"/>
              </w:rPr>
              <w:t>lai mazinātu aizņēmējam administrat</w:t>
            </w:r>
            <w:r w:rsidR="000854E3" w:rsidRPr="00FB4D29">
              <w:rPr>
                <w:sz w:val="25"/>
                <w:szCs w:val="25"/>
              </w:rPr>
              <w:t>īvo slogu, noteikumu projekta 26</w:t>
            </w:r>
            <w:r w:rsidRPr="00FB4D29">
              <w:rPr>
                <w:sz w:val="25"/>
                <w:szCs w:val="25"/>
              </w:rPr>
              <w:t xml:space="preserve">.2. apakšpunktā noteikts, ka turpmāk gada pārskatus par iepriekšējo periodu ir </w:t>
            </w:r>
            <w:r w:rsidRPr="00FB4D29">
              <w:rPr>
                <w:sz w:val="25"/>
                <w:szCs w:val="25"/>
              </w:rPr>
              <w:lastRenderedPageBreak/>
              <w:t>jāsniedz pie nosacījuma, ja tie jau nav iesniegti nozaru ministriju, centrālo valsts iestāžu un pašvaldību budžeta pārskatu informācijas sistēmā (e</w:t>
            </w:r>
            <w:r w:rsidR="0083618D" w:rsidRPr="00FB4D29">
              <w:rPr>
                <w:sz w:val="25"/>
                <w:szCs w:val="25"/>
              </w:rPr>
              <w:t>-</w:t>
            </w:r>
            <w:r w:rsidRPr="00FB4D29">
              <w:rPr>
                <w:sz w:val="25"/>
                <w:szCs w:val="25"/>
              </w:rPr>
              <w:t>Pārskati);</w:t>
            </w:r>
          </w:p>
          <w:p w:rsidR="00F5008D" w:rsidRPr="00FB4D29" w:rsidRDefault="00F5008D" w:rsidP="00504B10">
            <w:pPr>
              <w:numPr>
                <w:ilvl w:val="0"/>
                <w:numId w:val="31"/>
              </w:numPr>
              <w:ind w:left="497" w:firstLine="0"/>
              <w:jc w:val="both"/>
              <w:rPr>
                <w:sz w:val="25"/>
                <w:szCs w:val="25"/>
              </w:rPr>
            </w:pPr>
            <w:r w:rsidRPr="00FB4D29">
              <w:rPr>
                <w:sz w:val="25"/>
                <w:szCs w:val="25"/>
              </w:rPr>
              <w:t>lai novērstu gadījumus, kad zvērināti revidenti, sniedzot atzinumu par aizņēmēja finansiālo stāvokli un spēju atmaksāt aizdevumu sašaurina revīzijas</w:t>
            </w:r>
            <w:r w:rsidR="009767F6" w:rsidRPr="00FB4D29">
              <w:rPr>
                <w:sz w:val="25"/>
                <w:szCs w:val="25"/>
              </w:rPr>
              <w:t xml:space="preserve"> darba</w:t>
            </w:r>
            <w:r w:rsidRPr="00FB4D29">
              <w:rPr>
                <w:sz w:val="25"/>
                <w:szCs w:val="25"/>
              </w:rPr>
              <w:t xml:space="preserve"> uzdevumu, noteikumu 2</w:t>
            </w:r>
            <w:r w:rsidR="000854E3" w:rsidRPr="00FB4D29">
              <w:rPr>
                <w:sz w:val="25"/>
                <w:szCs w:val="25"/>
              </w:rPr>
              <w:t>6</w:t>
            </w:r>
            <w:r w:rsidRPr="00FB4D29">
              <w:rPr>
                <w:sz w:val="25"/>
                <w:szCs w:val="25"/>
              </w:rPr>
              <w:t>.6. apakšpunktā ir precizēts zvērināta revidenta darba uzdevums</w:t>
            </w:r>
            <w:r w:rsidR="00E94AE9" w:rsidRPr="00FB4D29">
              <w:rPr>
                <w:sz w:val="25"/>
                <w:szCs w:val="25"/>
              </w:rPr>
              <w:t>, nosakot, ka zvērinātajam revidentam ir jāsniedz ne tikai atzinums atbilstoši starptautiskajiem apliecinājuma uzdevuma standartiem, kas ietver pārbaudes par biznesa plāna prognozētās finanšu informācijas korektumu</w:t>
            </w:r>
            <w:r w:rsidR="00C819E2" w:rsidRPr="00FB4D29">
              <w:rPr>
                <w:sz w:val="25"/>
                <w:szCs w:val="25"/>
              </w:rPr>
              <w:t>, savukārt atbildību par izteiktajiem pieņēmumiem atstāj vadības ziņā</w:t>
            </w:r>
            <w:r w:rsidR="00E94AE9" w:rsidRPr="00FB4D29">
              <w:rPr>
                <w:sz w:val="25"/>
                <w:szCs w:val="25"/>
              </w:rPr>
              <w:t>, bet ir jānovērtē arī attīstības plān</w:t>
            </w:r>
            <w:r w:rsidR="00C819E2" w:rsidRPr="00FB4D29">
              <w:rPr>
                <w:sz w:val="25"/>
                <w:szCs w:val="25"/>
              </w:rPr>
              <w:t>a pieņēmumu ticamību</w:t>
            </w:r>
            <w:r w:rsidR="00E94AE9" w:rsidRPr="00FB4D29">
              <w:rPr>
                <w:sz w:val="25"/>
                <w:szCs w:val="25"/>
              </w:rPr>
              <w:t xml:space="preserve">, nepieciešamības gadījumā piesaistot ekspertus, </w:t>
            </w:r>
            <w:r w:rsidR="00C819E2" w:rsidRPr="00FB4D29">
              <w:rPr>
                <w:sz w:val="25"/>
                <w:szCs w:val="25"/>
              </w:rPr>
              <w:t xml:space="preserve">un </w:t>
            </w:r>
            <w:r w:rsidR="00E94AE9" w:rsidRPr="00FB4D29">
              <w:rPr>
                <w:sz w:val="25"/>
                <w:szCs w:val="25"/>
              </w:rPr>
              <w:t xml:space="preserve">tai skaitā sniedzot novērtējumu </w:t>
            </w:r>
            <w:r w:rsidR="009767F6" w:rsidRPr="00FB4D29">
              <w:rPr>
                <w:sz w:val="25"/>
                <w:szCs w:val="25"/>
              </w:rPr>
              <w:t xml:space="preserve">par </w:t>
            </w:r>
            <w:r w:rsidR="00E94AE9" w:rsidRPr="00FB4D29">
              <w:rPr>
                <w:sz w:val="25"/>
                <w:szCs w:val="25"/>
              </w:rPr>
              <w:t>pieņēmumiem, uz kuru pamata ir sastādīts biznesa plāns, kā arī sniedzot plānotā aizņēmēja finanšu rādītāju analīzi. Lai novērstu nelietderīgu aizņēmēja resursu izlietojumu, zvērināta revidenta atzinums par aizņēmēja finansiālo stāvokli un spēju atmaksāt aizdevumu ir jāiesniedz tikai tiem aizņēmējiem, par kuru saistībām nav sniegts pašvaldības galvojums 100% apmērā</w:t>
            </w:r>
            <w:r w:rsidR="00504B10" w:rsidRPr="00FB4D29">
              <w:rPr>
                <w:sz w:val="25"/>
                <w:szCs w:val="25"/>
              </w:rPr>
              <w:t>;</w:t>
            </w:r>
          </w:p>
          <w:p w:rsidR="00E43B01" w:rsidRPr="00FB4D29" w:rsidRDefault="008A5A00" w:rsidP="00504B10">
            <w:pPr>
              <w:numPr>
                <w:ilvl w:val="0"/>
                <w:numId w:val="31"/>
              </w:numPr>
              <w:ind w:left="497" w:firstLine="0"/>
              <w:jc w:val="both"/>
              <w:rPr>
                <w:sz w:val="25"/>
                <w:szCs w:val="25"/>
              </w:rPr>
            </w:pPr>
            <w:r w:rsidRPr="00FB4D29">
              <w:rPr>
                <w:sz w:val="25"/>
                <w:szCs w:val="25"/>
              </w:rPr>
              <w:t>v</w:t>
            </w:r>
            <w:r w:rsidR="00504B10" w:rsidRPr="00FB4D29">
              <w:rPr>
                <w:sz w:val="25"/>
                <w:szCs w:val="25"/>
              </w:rPr>
              <w:t xml:space="preserve">irkne pilnveidojumu Noteikumu projektā iekļauti ar mērķi, lai </w:t>
            </w:r>
            <w:r w:rsidRPr="00FB4D29">
              <w:rPr>
                <w:sz w:val="25"/>
                <w:szCs w:val="25"/>
              </w:rPr>
              <w:t xml:space="preserve">nodrošinātu </w:t>
            </w:r>
            <w:r w:rsidR="00020007" w:rsidRPr="00FB4D29">
              <w:rPr>
                <w:sz w:val="25"/>
                <w:szCs w:val="25"/>
              </w:rPr>
              <w:t xml:space="preserve">pilnīgas informācijas pieejamību valsts aizdevuma piešķiršanas procesā un tādējādi tiktu nodrošināta </w:t>
            </w:r>
            <w:r w:rsidR="00504B10" w:rsidRPr="00FB4D29">
              <w:rPr>
                <w:sz w:val="25"/>
                <w:szCs w:val="25"/>
              </w:rPr>
              <w:t>valsts aizdevumu izsniegšanas proces</w:t>
            </w:r>
            <w:r w:rsidRPr="00FB4D29">
              <w:rPr>
                <w:sz w:val="25"/>
                <w:szCs w:val="25"/>
              </w:rPr>
              <w:t>a atbilstīb</w:t>
            </w:r>
            <w:r w:rsidR="00020007" w:rsidRPr="00FB4D29">
              <w:rPr>
                <w:sz w:val="25"/>
                <w:szCs w:val="25"/>
              </w:rPr>
              <w:t>a</w:t>
            </w:r>
            <w:r w:rsidRPr="00FB4D29">
              <w:rPr>
                <w:sz w:val="25"/>
                <w:szCs w:val="25"/>
              </w:rPr>
              <w:t xml:space="preserve"> Eiropas Kopienas kopējam tirgum</w:t>
            </w:r>
            <w:r w:rsidR="00020007" w:rsidRPr="00FB4D29">
              <w:rPr>
                <w:sz w:val="25"/>
                <w:szCs w:val="25"/>
              </w:rPr>
              <w:t>.</w:t>
            </w:r>
            <w:r w:rsidRPr="00FB4D29">
              <w:rPr>
                <w:sz w:val="25"/>
                <w:szCs w:val="25"/>
              </w:rPr>
              <w:t xml:space="preserve"> </w:t>
            </w:r>
            <w:r w:rsidR="005616D0" w:rsidRPr="00FB4D29">
              <w:rPr>
                <w:sz w:val="25"/>
                <w:szCs w:val="25"/>
              </w:rPr>
              <w:t xml:space="preserve">Piemēram, </w:t>
            </w:r>
            <w:r w:rsidR="000854E3" w:rsidRPr="00FB4D29">
              <w:rPr>
                <w:sz w:val="25"/>
                <w:szCs w:val="25"/>
              </w:rPr>
              <w:t>N</w:t>
            </w:r>
            <w:r w:rsidR="00E43B01" w:rsidRPr="00FB4D29">
              <w:rPr>
                <w:sz w:val="25"/>
                <w:szCs w:val="25"/>
              </w:rPr>
              <w:t>oteikumu projekta 26.8.1. apakšpunkts paredz, ka ministrija vai pašvaldība sniedz apliecinājumu, ja valsts aizdevums ir paredzēts vispārējas tautsaimnieciskas nozīmes pakalpojumu sniegšanas nodrošināšanai atbilstoši šo noteikumu 2. pielikumam.</w:t>
            </w:r>
            <w:r w:rsidR="00504B10" w:rsidRPr="00FB4D29">
              <w:rPr>
                <w:sz w:val="25"/>
                <w:szCs w:val="25"/>
              </w:rPr>
              <w:t xml:space="preserve"> </w:t>
            </w:r>
            <w:r w:rsidR="00E43B01" w:rsidRPr="00FB4D29">
              <w:rPr>
                <w:sz w:val="25"/>
                <w:szCs w:val="25"/>
              </w:rPr>
              <w:t>26.8.1.apakšpunktā minēto apliecinājumu atbilstoši noteikumu projekta 2.pielikumam sniedz tā institūcija, kas uzticējusi sniegt vispārējas tautsaimnieciskas nozīmes pakalpojumu;</w:t>
            </w:r>
          </w:p>
          <w:p w:rsidR="000854E3" w:rsidRPr="00FB4D29" w:rsidRDefault="000854E3" w:rsidP="00504B10">
            <w:pPr>
              <w:numPr>
                <w:ilvl w:val="0"/>
                <w:numId w:val="31"/>
              </w:numPr>
              <w:ind w:left="497" w:firstLine="0"/>
              <w:jc w:val="both"/>
              <w:rPr>
                <w:sz w:val="25"/>
                <w:szCs w:val="25"/>
              </w:rPr>
            </w:pPr>
            <w:r w:rsidRPr="00FB4D29">
              <w:rPr>
                <w:sz w:val="25"/>
                <w:szCs w:val="25"/>
              </w:rPr>
              <w:t>Noteikumu projekta 26</w:t>
            </w:r>
            <w:r w:rsidR="009672E3" w:rsidRPr="00FB4D29">
              <w:rPr>
                <w:sz w:val="25"/>
                <w:szCs w:val="25"/>
              </w:rPr>
              <w:t xml:space="preserve">.5.2. apakšpunktā paredzēts pašvaldībām, ja tās sniedz galvojumu par savām kapitālsabiedrībām, sniegt apliecinājumu, ka ir ievēroti Komercdarbības atbalsta kontroles likuma 4.pantā norādītie tiesību akti. </w:t>
            </w:r>
          </w:p>
          <w:p w:rsidR="009672E3" w:rsidRPr="00FB4D29" w:rsidRDefault="000C159D" w:rsidP="005616D0">
            <w:pPr>
              <w:ind w:left="497"/>
              <w:jc w:val="both"/>
              <w:rPr>
                <w:sz w:val="25"/>
                <w:szCs w:val="25"/>
              </w:rPr>
            </w:pPr>
            <w:r w:rsidRPr="00FB4D29">
              <w:rPr>
                <w:sz w:val="25"/>
                <w:szCs w:val="25"/>
              </w:rPr>
              <w:t>Minētajā apliecinājumā ir jāietver šāda informācija:</w:t>
            </w:r>
          </w:p>
          <w:p w:rsidR="000C159D" w:rsidRPr="00FB4D29" w:rsidRDefault="000C159D" w:rsidP="00BB177C">
            <w:pPr>
              <w:numPr>
                <w:ilvl w:val="1"/>
                <w:numId w:val="31"/>
              </w:numPr>
              <w:ind w:left="497" w:firstLine="0"/>
              <w:jc w:val="both"/>
              <w:rPr>
                <w:sz w:val="25"/>
                <w:szCs w:val="25"/>
              </w:rPr>
            </w:pPr>
            <w:r w:rsidRPr="00FB4D29">
              <w:rPr>
                <w:sz w:val="25"/>
                <w:szCs w:val="25"/>
              </w:rPr>
              <w:lastRenderedPageBreak/>
              <w:t xml:space="preserve">vai galvojums tiek sniegts kā </w:t>
            </w:r>
            <w:r w:rsidR="00C46956" w:rsidRPr="00FB4D29">
              <w:rPr>
                <w:sz w:val="25"/>
                <w:szCs w:val="25"/>
              </w:rPr>
              <w:t>komercdarbības atbalsts vai nē;</w:t>
            </w:r>
          </w:p>
          <w:p w:rsidR="000C159D" w:rsidRPr="00FB4D29" w:rsidRDefault="00D6399C" w:rsidP="00BB177C">
            <w:pPr>
              <w:numPr>
                <w:ilvl w:val="1"/>
                <w:numId w:val="31"/>
              </w:numPr>
              <w:ind w:left="497" w:firstLine="0"/>
              <w:jc w:val="both"/>
              <w:rPr>
                <w:sz w:val="25"/>
                <w:szCs w:val="25"/>
              </w:rPr>
            </w:pPr>
            <w:r w:rsidRPr="00FB4D29">
              <w:rPr>
                <w:sz w:val="25"/>
                <w:szCs w:val="25"/>
              </w:rPr>
              <w:t>normatīvais akts</w:t>
            </w:r>
            <w:r w:rsidR="000C159D" w:rsidRPr="00FB4D29">
              <w:rPr>
                <w:sz w:val="25"/>
                <w:szCs w:val="25"/>
              </w:rPr>
              <w:t xml:space="preserve">/i, uz kura/u pamata </w:t>
            </w:r>
            <w:r w:rsidRPr="00FB4D29">
              <w:rPr>
                <w:sz w:val="25"/>
                <w:szCs w:val="25"/>
              </w:rPr>
              <w:t xml:space="preserve">un </w:t>
            </w:r>
            <w:r w:rsidR="000C159D" w:rsidRPr="00FB4D29">
              <w:rPr>
                <w:sz w:val="25"/>
                <w:szCs w:val="25"/>
              </w:rPr>
              <w:t xml:space="preserve">uz kādiem </w:t>
            </w:r>
            <w:r w:rsidRPr="00FB4D29">
              <w:rPr>
                <w:sz w:val="25"/>
                <w:szCs w:val="25"/>
              </w:rPr>
              <w:t xml:space="preserve">nosacījumiem tiek sniegts </w:t>
            </w:r>
            <w:r w:rsidR="000C159D" w:rsidRPr="00FB4D29">
              <w:rPr>
                <w:sz w:val="25"/>
                <w:szCs w:val="25"/>
              </w:rPr>
              <w:t>galvojums;</w:t>
            </w:r>
          </w:p>
          <w:p w:rsidR="000C159D" w:rsidRPr="00FB4D29" w:rsidRDefault="000C159D" w:rsidP="00BB177C">
            <w:pPr>
              <w:numPr>
                <w:ilvl w:val="1"/>
                <w:numId w:val="31"/>
              </w:numPr>
              <w:ind w:left="497" w:firstLine="0"/>
              <w:jc w:val="both"/>
              <w:rPr>
                <w:sz w:val="25"/>
                <w:szCs w:val="25"/>
              </w:rPr>
            </w:pPr>
            <w:r w:rsidRPr="00FB4D29">
              <w:rPr>
                <w:sz w:val="25"/>
                <w:szCs w:val="25"/>
              </w:rPr>
              <w:t>gadījumā, ja nepieciešams Eiropas Komisijas lēmums, vai tāds ir pieņemts.</w:t>
            </w:r>
          </w:p>
          <w:p w:rsidR="00140AD3" w:rsidRPr="00FB4D29" w:rsidRDefault="000854E3" w:rsidP="005616D0">
            <w:pPr>
              <w:numPr>
                <w:ilvl w:val="0"/>
                <w:numId w:val="31"/>
              </w:numPr>
              <w:ind w:left="497" w:firstLine="0"/>
              <w:jc w:val="both"/>
              <w:rPr>
                <w:sz w:val="25"/>
                <w:szCs w:val="25"/>
              </w:rPr>
            </w:pPr>
            <w:r w:rsidRPr="00FB4D29">
              <w:rPr>
                <w:sz w:val="25"/>
                <w:szCs w:val="25"/>
              </w:rPr>
              <w:t>N</w:t>
            </w:r>
            <w:r w:rsidR="00B60CB3" w:rsidRPr="00FB4D29">
              <w:rPr>
                <w:sz w:val="25"/>
                <w:szCs w:val="25"/>
              </w:rPr>
              <w:t>oteikumu</w:t>
            </w:r>
            <w:r w:rsidR="00B64B64" w:rsidRPr="00FB4D29">
              <w:rPr>
                <w:sz w:val="25"/>
                <w:szCs w:val="25"/>
              </w:rPr>
              <w:t xml:space="preserve"> projekta 26</w:t>
            </w:r>
            <w:r w:rsidR="00B60CB3" w:rsidRPr="00FB4D29">
              <w:rPr>
                <w:sz w:val="25"/>
                <w:szCs w:val="25"/>
              </w:rPr>
              <w:t xml:space="preserve">.5.3 apakšpunktā </w:t>
            </w:r>
            <w:r w:rsidR="00140AD3" w:rsidRPr="00FB4D29">
              <w:rPr>
                <w:sz w:val="25"/>
                <w:szCs w:val="25"/>
              </w:rPr>
              <w:t xml:space="preserve"> precizēts nosacījums, ka</w:t>
            </w:r>
            <w:r w:rsidR="000E3F3B" w:rsidRPr="00FB4D29">
              <w:rPr>
                <w:sz w:val="25"/>
                <w:szCs w:val="25"/>
              </w:rPr>
              <w:t>,</w:t>
            </w:r>
            <w:r w:rsidR="00140AD3" w:rsidRPr="00FB4D29">
              <w:rPr>
                <w:sz w:val="25"/>
                <w:szCs w:val="25"/>
              </w:rPr>
              <w:t xml:space="preserve"> ja paredzamais valsts aizdevuma nodrošinājums ir pašvaldības vai vairāku pašvaldību sniegts galvojums, pašvaldība</w:t>
            </w:r>
            <w:r w:rsidR="000E3F3B" w:rsidRPr="00FB4D29">
              <w:rPr>
                <w:sz w:val="25"/>
                <w:szCs w:val="25"/>
              </w:rPr>
              <w:t>i jā</w:t>
            </w:r>
            <w:r w:rsidR="00140AD3" w:rsidRPr="00FB4D29">
              <w:rPr>
                <w:sz w:val="25"/>
                <w:szCs w:val="25"/>
              </w:rPr>
              <w:t xml:space="preserve">sniedz </w:t>
            </w:r>
            <w:r w:rsidR="000E3F3B" w:rsidRPr="00FB4D29">
              <w:rPr>
                <w:sz w:val="25"/>
                <w:szCs w:val="25"/>
              </w:rPr>
              <w:t>apliecinājums</w:t>
            </w:r>
            <w:r w:rsidR="00140AD3" w:rsidRPr="00FB4D29">
              <w:rPr>
                <w:sz w:val="25"/>
                <w:szCs w:val="25"/>
              </w:rPr>
              <w:t>, ka ir ievēroti visi Komercdarbības atbalsta kontroles likuma 4.</w:t>
            </w:r>
            <w:r w:rsidR="00E40F56" w:rsidRPr="00FB4D29">
              <w:rPr>
                <w:sz w:val="25"/>
                <w:szCs w:val="25"/>
              </w:rPr>
              <w:t xml:space="preserve"> </w:t>
            </w:r>
            <w:r w:rsidR="00140AD3" w:rsidRPr="00FB4D29">
              <w:rPr>
                <w:sz w:val="25"/>
                <w:szCs w:val="25"/>
              </w:rPr>
              <w:t>pantā norādītie tiesību akti</w:t>
            </w:r>
            <w:r w:rsidR="000E3F3B" w:rsidRPr="00FB4D29">
              <w:rPr>
                <w:sz w:val="25"/>
                <w:szCs w:val="25"/>
              </w:rPr>
              <w:t xml:space="preserve"> (noteikumu projekta 3.</w:t>
            </w:r>
            <w:r w:rsidR="00E40F56" w:rsidRPr="00FB4D29">
              <w:rPr>
                <w:sz w:val="25"/>
                <w:szCs w:val="25"/>
              </w:rPr>
              <w:t xml:space="preserve"> </w:t>
            </w:r>
            <w:r w:rsidR="000E3F3B" w:rsidRPr="00FB4D29">
              <w:rPr>
                <w:sz w:val="25"/>
                <w:szCs w:val="25"/>
              </w:rPr>
              <w:t>pielikums)</w:t>
            </w:r>
            <w:r w:rsidR="00140AD3" w:rsidRPr="00FB4D29">
              <w:rPr>
                <w:sz w:val="25"/>
                <w:szCs w:val="25"/>
              </w:rPr>
              <w:t>;</w:t>
            </w:r>
          </w:p>
          <w:p w:rsidR="000E3F3B" w:rsidRPr="00FB4D29" w:rsidRDefault="00B64B64" w:rsidP="005616D0">
            <w:pPr>
              <w:numPr>
                <w:ilvl w:val="0"/>
                <w:numId w:val="31"/>
              </w:numPr>
              <w:ind w:left="497" w:firstLine="0"/>
              <w:jc w:val="both"/>
              <w:rPr>
                <w:sz w:val="25"/>
                <w:szCs w:val="25"/>
              </w:rPr>
            </w:pPr>
            <w:r w:rsidRPr="00FB4D29">
              <w:rPr>
                <w:sz w:val="25"/>
                <w:szCs w:val="25"/>
              </w:rPr>
              <w:t xml:space="preserve">MK noteikumu Nr.63 </w:t>
            </w:r>
            <w:r w:rsidR="000E3F3B" w:rsidRPr="00FB4D29">
              <w:rPr>
                <w:sz w:val="25"/>
                <w:szCs w:val="25"/>
              </w:rPr>
              <w:t>17.7.</w:t>
            </w:r>
            <w:r w:rsidR="00E40F56" w:rsidRPr="00FB4D29">
              <w:rPr>
                <w:sz w:val="25"/>
                <w:szCs w:val="25"/>
              </w:rPr>
              <w:t xml:space="preserve"> </w:t>
            </w:r>
            <w:r w:rsidRPr="00FB4D29">
              <w:rPr>
                <w:sz w:val="25"/>
                <w:szCs w:val="25"/>
              </w:rPr>
              <w:t>apakš</w:t>
            </w:r>
            <w:r w:rsidR="000E3F3B" w:rsidRPr="00FB4D29">
              <w:rPr>
                <w:sz w:val="25"/>
                <w:szCs w:val="25"/>
              </w:rPr>
              <w:t xml:space="preserve">punkts nosaka, ka aizņēmējam jāsniedz informācija </w:t>
            </w:r>
            <w:r w:rsidR="005616D0" w:rsidRPr="00FB4D29">
              <w:rPr>
                <w:sz w:val="25"/>
                <w:szCs w:val="25"/>
              </w:rPr>
              <w:t xml:space="preserve">tikai </w:t>
            </w:r>
            <w:r w:rsidR="000E3F3B" w:rsidRPr="00FB4D29">
              <w:rPr>
                <w:sz w:val="25"/>
                <w:szCs w:val="25"/>
              </w:rPr>
              <w:t xml:space="preserve">par pieļaujamo valsts atbalsta apmēru. </w:t>
            </w:r>
            <w:r w:rsidR="009627FF" w:rsidRPr="00FB4D29">
              <w:rPr>
                <w:sz w:val="25"/>
                <w:szCs w:val="25"/>
              </w:rPr>
              <w:t xml:space="preserve">Līdz ar to </w:t>
            </w:r>
            <w:r w:rsidR="005616D0" w:rsidRPr="00FB4D29">
              <w:rPr>
                <w:sz w:val="25"/>
                <w:szCs w:val="25"/>
              </w:rPr>
              <w:t>Noteikumu projekta 26.7. apakšpunktā ir precizēta iesniedzamā informācija par kopējo saņemto un saņemt plānoto valsts atbalstu, atbalsta apmēru un atbalsta intensitāti. Minētā informācija ir tikai aizņēmēja rīcībā;</w:t>
            </w:r>
          </w:p>
          <w:p w:rsidR="00E63917" w:rsidRPr="00FB4D29" w:rsidRDefault="005616D0" w:rsidP="00BA7948">
            <w:pPr>
              <w:numPr>
                <w:ilvl w:val="0"/>
                <w:numId w:val="31"/>
              </w:numPr>
              <w:ind w:left="497" w:firstLine="0"/>
              <w:jc w:val="both"/>
              <w:rPr>
                <w:sz w:val="25"/>
                <w:szCs w:val="25"/>
              </w:rPr>
            </w:pPr>
            <w:r w:rsidRPr="00FB4D29">
              <w:rPr>
                <w:sz w:val="25"/>
                <w:szCs w:val="25"/>
              </w:rPr>
              <w:t xml:space="preserve">MK noteikumu Nr.63 </w:t>
            </w:r>
            <w:r w:rsidR="00E63917" w:rsidRPr="00FB4D29">
              <w:rPr>
                <w:sz w:val="25"/>
                <w:szCs w:val="25"/>
              </w:rPr>
              <w:t>17.8.</w:t>
            </w:r>
            <w:r w:rsidR="00E40F56" w:rsidRPr="00FB4D29">
              <w:rPr>
                <w:sz w:val="25"/>
                <w:szCs w:val="25"/>
              </w:rPr>
              <w:t xml:space="preserve"> </w:t>
            </w:r>
            <w:r w:rsidRPr="00FB4D29">
              <w:rPr>
                <w:sz w:val="25"/>
                <w:szCs w:val="25"/>
              </w:rPr>
              <w:t>apakš</w:t>
            </w:r>
            <w:r w:rsidR="00E63917" w:rsidRPr="00FB4D29">
              <w:rPr>
                <w:sz w:val="25"/>
                <w:szCs w:val="25"/>
              </w:rPr>
              <w:t>punktā ir noteikts, ka</w:t>
            </w:r>
            <w:r w:rsidR="00265EB3" w:rsidRPr="00FB4D29">
              <w:rPr>
                <w:sz w:val="25"/>
                <w:szCs w:val="25"/>
              </w:rPr>
              <w:t>,</w:t>
            </w:r>
            <w:r w:rsidR="00E63917" w:rsidRPr="00FB4D29">
              <w:rPr>
                <w:sz w:val="25"/>
                <w:szCs w:val="25"/>
              </w:rPr>
              <w:t xml:space="preserve"> ja plānots komercdarbības projekts, aizņēmējs iesniedz bankas izsniegtu aizdevuma saņēmēja reitinga novērtējumu, kas noteikts saskaņā ar tādu bankas kredītriska novērtēšanas sistēmu, kas salīdzināma ar starptautisko reitingu aģentūru novērtējuma sistēmām un apstiprināta Finanšu un kapitāla tirgus komisijā.</w:t>
            </w:r>
            <w:r w:rsidR="00FB223A" w:rsidRPr="00FB4D29">
              <w:rPr>
                <w:sz w:val="25"/>
                <w:szCs w:val="25"/>
              </w:rPr>
              <w:t xml:space="preserve"> </w:t>
            </w:r>
            <w:r w:rsidR="00E63917" w:rsidRPr="00FB4D29">
              <w:rPr>
                <w:sz w:val="25"/>
                <w:szCs w:val="25"/>
              </w:rPr>
              <w:t>Savukārt Noteikumu projekta 2</w:t>
            </w:r>
            <w:r w:rsidR="000854E3" w:rsidRPr="00FB4D29">
              <w:rPr>
                <w:sz w:val="25"/>
                <w:szCs w:val="25"/>
              </w:rPr>
              <w:t>6</w:t>
            </w:r>
            <w:r w:rsidR="00E63917" w:rsidRPr="00FB4D29">
              <w:rPr>
                <w:sz w:val="25"/>
                <w:szCs w:val="25"/>
              </w:rPr>
              <w:t>.9.</w:t>
            </w:r>
            <w:r w:rsidR="00E40F56" w:rsidRPr="00FB4D29">
              <w:rPr>
                <w:sz w:val="25"/>
                <w:szCs w:val="25"/>
              </w:rPr>
              <w:t xml:space="preserve"> </w:t>
            </w:r>
            <w:r w:rsidR="00E63917" w:rsidRPr="00FB4D29">
              <w:rPr>
                <w:sz w:val="25"/>
                <w:szCs w:val="25"/>
              </w:rPr>
              <w:t>punktā ir precizēts,</w:t>
            </w:r>
            <w:r w:rsidR="00FB223A" w:rsidRPr="00FB4D29">
              <w:rPr>
                <w:sz w:val="25"/>
                <w:szCs w:val="25"/>
              </w:rPr>
              <w:t xml:space="preserve"> ka</w:t>
            </w:r>
            <w:r w:rsidR="00E63917" w:rsidRPr="00FB4D29">
              <w:rPr>
                <w:sz w:val="25"/>
                <w:szCs w:val="25"/>
              </w:rPr>
              <w:t xml:space="preserve"> aizņēmējs iesniedz kredītiestādes izsniegtu reitinga novērtējumu, kas pielīdzināms starptautisko kredītreitinga aģentūru “Moody’s Investors Service”, “Standard &amp; Poor’s” vai “Fitch Ratings” noteiktajiem ilgtermiņa noguldījumu reitingiem, lai nodrošinātu informācijas salīdzināmību</w:t>
            </w:r>
            <w:r w:rsidR="00FB223A" w:rsidRPr="00FB4D29">
              <w:rPr>
                <w:sz w:val="25"/>
                <w:szCs w:val="25"/>
              </w:rPr>
              <w:t>.</w:t>
            </w:r>
            <w:r w:rsidR="00E63917" w:rsidRPr="00FB4D29">
              <w:rPr>
                <w:sz w:val="25"/>
                <w:szCs w:val="25"/>
              </w:rPr>
              <w:t xml:space="preserve"> Vienlaicīgi Finanšu un kapitāla tirgus komisija tikai šīs starptautiskās kredītreitingu aģentūras ir atzinusi par piemērotām kredītu novērtējuma izmantošanai bankām. </w:t>
            </w:r>
            <w:r w:rsidR="00E40F56" w:rsidRPr="00FB4D29">
              <w:rPr>
                <w:sz w:val="25"/>
                <w:szCs w:val="25"/>
              </w:rPr>
              <w:t>Kā arī</w:t>
            </w:r>
            <w:r w:rsidR="00E63917" w:rsidRPr="00FB4D29">
              <w:rPr>
                <w:sz w:val="25"/>
                <w:szCs w:val="25"/>
              </w:rPr>
              <w:t xml:space="preserve"> šīs trīs kredītreitinga aģentūras ir lielākās reitinga aģentūras, kuru pakalpojumi ir plaši izmantoti visā pasaulē un to izmantotā pieeja ir labi saprotama finanšu un kapitāla tirgus dalībniekiem</w:t>
            </w:r>
            <w:r w:rsidR="00941A6D" w:rsidRPr="00FB4D29">
              <w:rPr>
                <w:sz w:val="25"/>
                <w:szCs w:val="25"/>
              </w:rPr>
              <w:t>,</w:t>
            </w:r>
            <w:r w:rsidR="00E63917" w:rsidRPr="00FB4D29">
              <w:rPr>
                <w:sz w:val="25"/>
                <w:szCs w:val="25"/>
              </w:rPr>
              <w:t xml:space="preserve"> kā arī aģentūru piemērotie kredītreitinga līmeņi ir savstarpēji salīdzināmi;</w:t>
            </w:r>
          </w:p>
          <w:p w:rsidR="00FB223A" w:rsidRPr="00FB4D29" w:rsidRDefault="00FB223A" w:rsidP="00BA7948">
            <w:pPr>
              <w:numPr>
                <w:ilvl w:val="0"/>
                <w:numId w:val="31"/>
              </w:numPr>
              <w:ind w:left="497" w:firstLine="0"/>
              <w:jc w:val="both"/>
              <w:rPr>
                <w:sz w:val="25"/>
                <w:szCs w:val="25"/>
              </w:rPr>
            </w:pPr>
            <w:r w:rsidRPr="00FB4D29">
              <w:rPr>
                <w:sz w:val="25"/>
                <w:szCs w:val="25"/>
              </w:rPr>
              <w:t>Not</w:t>
            </w:r>
            <w:r w:rsidR="00E40F56" w:rsidRPr="00FB4D29">
              <w:rPr>
                <w:sz w:val="25"/>
                <w:szCs w:val="25"/>
              </w:rPr>
              <w:t>eikumu projekta 2</w:t>
            </w:r>
            <w:r w:rsidR="000854E3" w:rsidRPr="00FB4D29">
              <w:rPr>
                <w:sz w:val="25"/>
                <w:szCs w:val="25"/>
              </w:rPr>
              <w:t>6</w:t>
            </w:r>
            <w:r w:rsidR="00E40F56" w:rsidRPr="00FB4D29">
              <w:rPr>
                <w:sz w:val="25"/>
                <w:szCs w:val="25"/>
              </w:rPr>
              <w:t>.10</w:t>
            </w:r>
            <w:r w:rsidRPr="00FB4D29">
              <w:rPr>
                <w:sz w:val="25"/>
                <w:szCs w:val="25"/>
              </w:rPr>
              <w:t>.</w:t>
            </w:r>
            <w:r w:rsidR="00E40F56" w:rsidRPr="00FB4D29">
              <w:rPr>
                <w:sz w:val="25"/>
                <w:szCs w:val="25"/>
              </w:rPr>
              <w:t xml:space="preserve"> </w:t>
            </w:r>
            <w:r w:rsidR="00BA7948" w:rsidRPr="00FB4D29">
              <w:rPr>
                <w:sz w:val="25"/>
                <w:szCs w:val="25"/>
              </w:rPr>
              <w:t>apakš</w:t>
            </w:r>
            <w:r w:rsidRPr="00FB4D29">
              <w:rPr>
                <w:sz w:val="25"/>
                <w:szCs w:val="25"/>
              </w:rPr>
              <w:t xml:space="preserve">punkts paredz, ka papildu būs jāiesniedz izziņa no Latvijas Bankas </w:t>
            </w:r>
            <w:r w:rsidRPr="00FB4D29">
              <w:rPr>
                <w:sz w:val="25"/>
                <w:szCs w:val="25"/>
              </w:rPr>
              <w:lastRenderedPageBreak/>
              <w:t>kredītreģistra</w:t>
            </w:r>
            <w:r w:rsidR="009767F6" w:rsidRPr="00FB4D29">
              <w:rPr>
                <w:sz w:val="25"/>
                <w:szCs w:val="25"/>
              </w:rPr>
              <w:t xml:space="preserve">, lai varētu nodrošināt, ka izvērtējot aizņēmēja kredītvēsturi, </w:t>
            </w:r>
            <w:r w:rsidR="00CB77CF" w:rsidRPr="00FB4D29">
              <w:rPr>
                <w:sz w:val="25"/>
                <w:szCs w:val="25"/>
              </w:rPr>
              <w:t xml:space="preserve">vērtējums nav balstīts </w:t>
            </w:r>
            <w:r w:rsidR="009767F6" w:rsidRPr="00FB4D29">
              <w:rPr>
                <w:sz w:val="25"/>
                <w:szCs w:val="25"/>
              </w:rPr>
              <w:t xml:space="preserve"> tikai uz Valsts kasei pieejamo informāciju par aizņēmēja kredītvēsturi</w:t>
            </w:r>
            <w:r w:rsidRPr="00FB4D29">
              <w:rPr>
                <w:sz w:val="25"/>
                <w:szCs w:val="25"/>
              </w:rPr>
              <w:t xml:space="preserve">; </w:t>
            </w:r>
          </w:p>
          <w:p w:rsidR="005A4C51" w:rsidRPr="00FB4D29" w:rsidRDefault="00EE56C7" w:rsidP="00BA7948">
            <w:pPr>
              <w:numPr>
                <w:ilvl w:val="0"/>
                <w:numId w:val="31"/>
              </w:numPr>
              <w:ind w:left="497" w:firstLine="0"/>
              <w:jc w:val="both"/>
              <w:rPr>
                <w:sz w:val="25"/>
                <w:szCs w:val="25"/>
              </w:rPr>
            </w:pPr>
            <w:r w:rsidRPr="00FB4D29">
              <w:rPr>
                <w:sz w:val="25"/>
                <w:szCs w:val="25"/>
              </w:rPr>
              <w:t>Noteikumu projekta 3</w:t>
            </w:r>
            <w:r w:rsidR="001C5990" w:rsidRPr="00FB4D29">
              <w:rPr>
                <w:sz w:val="25"/>
                <w:szCs w:val="25"/>
              </w:rPr>
              <w:t>4</w:t>
            </w:r>
            <w:r w:rsidR="009320B6" w:rsidRPr="00FB4D29">
              <w:rPr>
                <w:sz w:val="25"/>
                <w:szCs w:val="25"/>
              </w:rPr>
              <w:t>.</w:t>
            </w:r>
            <w:r w:rsidR="00E40F56" w:rsidRPr="00FB4D29">
              <w:rPr>
                <w:sz w:val="25"/>
                <w:szCs w:val="25"/>
              </w:rPr>
              <w:t xml:space="preserve"> </w:t>
            </w:r>
            <w:r w:rsidR="00EC1A84" w:rsidRPr="00FB4D29">
              <w:rPr>
                <w:sz w:val="25"/>
                <w:szCs w:val="25"/>
              </w:rPr>
              <w:t xml:space="preserve">punktā </w:t>
            </w:r>
            <w:r w:rsidR="00E97A08" w:rsidRPr="00FB4D29">
              <w:rPr>
                <w:sz w:val="25"/>
                <w:szCs w:val="25"/>
              </w:rPr>
              <w:t xml:space="preserve">iekļauti </w:t>
            </w:r>
            <w:r w:rsidR="000E3F3B" w:rsidRPr="00FB4D29">
              <w:rPr>
                <w:sz w:val="25"/>
                <w:szCs w:val="25"/>
              </w:rPr>
              <w:t xml:space="preserve">grūtībās nonākuša uzņēmuma kritēriji atbilstoši 2014.gada 31.jūlija Eiropas Komisijas paziņojuma “Pamatnostādnes par valsts atbalstu grūtībās nonākušu nefinanšu uzņēmumu glābšanai un pārstrukturēšanai”, pamatojoties uz kuriem </w:t>
            </w:r>
            <w:r w:rsidR="00F60FFD" w:rsidRPr="00FB4D29">
              <w:rPr>
                <w:sz w:val="25"/>
                <w:szCs w:val="25"/>
              </w:rPr>
              <w:t xml:space="preserve">aizņēmējam var </w:t>
            </w:r>
            <w:r w:rsidR="000E3F3B" w:rsidRPr="00FB4D29">
              <w:rPr>
                <w:sz w:val="25"/>
                <w:szCs w:val="25"/>
              </w:rPr>
              <w:t xml:space="preserve">tiek noteikts </w:t>
            </w:r>
            <w:r w:rsidR="00941A6D" w:rsidRPr="00FB4D29">
              <w:rPr>
                <w:sz w:val="25"/>
                <w:szCs w:val="25"/>
              </w:rPr>
              <w:t xml:space="preserve"> </w:t>
            </w:r>
            <w:r w:rsidR="000E3F3B" w:rsidRPr="00FB4D29">
              <w:rPr>
                <w:sz w:val="25"/>
                <w:szCs w:val="25"/>
              </w:rPr>
              <w:t>paaugstināt</w:t>
            </w:r>
            <w:r w:rsidR="00F60FFD" w:rsidRPr="00FB4D29">
              <w:rPr>
                <w:sz w:val="25"/>
                <w:szCs w:val="25"/>
              </w:rPr>
              <w:t>s</w:t>
            </w:r>
            <w:r w:rsidR="000E3F3B" w:rsidRPr="00FB4D29">
              <w:rPr>
                <w:sz w:val="25"/>
                <w:szCs w:val="25"/>
              </w:rPr>
              <w:t xml:space="preserve"> valsts aizdevuma atmaksas risk</w:t>
            </w:r>
            <w:r w:rsidR="00F60FFD" w:rsidRPr="00FB4D29">
              <w:rPr>
                <w:sz w:val="25"/>
                <w:szCs w:val="25"/>
              </w:rPr>
              <w:t>s un finanšu ministrs var pieņemt lēmumu par valsts aizdevuma piešķiršanas atteikumu</w:t>
            </w:r>
            <w:r w:rsidR="000E3F3B" w:rsidRPr="00FB4D29">
              <w:rPr>
                <w:sz w:val="25"/>
                <w:szCs w:val="25"/>
              </w:rPr>
              <w:t>;</w:t>
            </w:r>
          </w:p>
          <w:p w:rsidR="000E3F3B" w:rsidRPr="00FB4D29" w:rsidRDefault="001A098F" w:rsidP="001A098F">
            <w:pPr>
              <w:numPr>
                <w:ilvl w:val="0"/>
                <w:numId w:val="31"/>
              </w:numPr>
              <w:ind w:left="497" w:firstLine="0"/>
              <w:jc w:val="both"/>
              <w:rPr>
                <w:sz w:val="25"/>
                <w:szCs w:val="25"/>
              </w:rPr>
            </w:pPr>
            <w:r w:rsidRPr="00FB4D29">
              <w:rPr>
                <w:sz w:val="25"/>
                <w:szCs w:val="25"/>
              </w:rPr>
              <w:t>N</w:t>
            </w:r>
            <w:r w:rsidR="00EE56C7" w:rsidRPr="00FB4D29">
              <w:rPr>
                <w:sz w:val="25"/>
                <w:szCs w:val="25"/>
              </w:rPr>
              <w:t>oteikumu projekta 3</w:t>
            </w:r>
            <w:r w:rsidR="0029467C" w:rsidRPr="00FB4D29">
              <w:rPr>
                <w:sz w:val="25"/>
                <w:szCs w:val="25"/>
              </w:rPr>
              <w:t>2</w:t>
            </w:r>
            <w:r w:rsidR="005A4C51" w:rsidRPr="00FB4D29">
              <w:rPr>
                <w:sz w:val="25"/>
                <w:szCs w:val="25"/>
              </w:rPr>
              <w:t>.</w:t>
            </w:r>
            <w:r w:rsidR="00E40F56" w:rsidRPr="00FB4D29">
              <w:rPr>
                <w:sz w:val="25"/>
                <w:szCs w:val="25"/>
              </w:rPr>
              <w:t xml:space="preserve"> </w:t>
            </w:r>
            <w:r w:rsidR="005A4C51" w:rsidRPr="00FB4D29">
              <w:rPr>
                <w:sz w:val="25"/>
                <w:szCs w:val="25"/>
              </w:rPr>
              <w:t>punktā noteikt</w:t>
            </w:r>
            <w:r w:rsidR="0029467C" w:rsidRPr="00FB4D29">
              <w:rPr>
                <w:sz w:val="25"/>
                <w:szCs w:val="25"/>
              </w:rPr>
              <w:t xml:space="preserve">s, ka gadījumā, </w:t>
            </w:r>
            <w:r w:rsidR="005A4C51" w:rsidRPr="00FB4D29">
              <w:rPr>
                <w:sz w:val="25"/>
                <w:szCs w:val="25"/>
              </w:rPr>
              <w:t xml:space="preserve"> </w:t>
            </w:r>
            <w:r w:rsidR="002D6762" w:rsidRPr="00FB4D29">
              <w:rPr>
                <w:sz w:val="25"/>
                <w:szCs w:val="25"/>
              </w:rPr>
              <w:t xml:space="preserve">kad aizņēmējs būs kvalificējams kā grūtībās nonācis atbilstoši </w:t>
            </w:r>
            <w:r w:rsidRPr="00FB4D29">
              <w:rPr>
                <w:sz w:val="25"/>
                <w:szCs w:val="25"/>
              </w:rPr>
              <w:t>N</w:t>
            </w:r>
            <w:r w:rsidR="002D6762" w:rsidRPr="00FB4D29">
              <w:rPr>
                <w:sz w:val="25"/>
                <w:szCs w:val="25"/>
              </w:rPr>
              <w:t>oteikumu projekta 3. pielikumam un netiks sniegts glābšanas vai pārstrukturēšanas, vai pagaidu pārstrukturēšanas atbalsts atbilstoši E</w:t>
            </w:r>
            <w:r w:rsidRPr="00FB4D29">
              <w:rPr>
                <w:sz w:val="25"/>
                <w:szCs w:val="25"/>
              </w:rPr>
              <w:t xml:space="preserve">iropas </w:t>
            </w:r>
            <w:r w:rsidR="002D6762" w:rsidRPr="00FB4D29">
              <w:rPr>
                <w:sz w:val="25"/>
                <w:szCs w:val="25"/>
              </w:rPr>
              <w:t>S</w:t>
            </w:r>
            <w:r w:rsidRPr="00FB4D29">
              <w:rPr>
                <w:sz w:val="25"/>
                <w:szCs w:val="25"/>
              </w:rPr>
              <w:t>avienības</w:t>
            </w:r>
            <w:r w:rsidR="002D6762" w:rsidRPr="00FB4D29">
              <w:rPr>
                <w:sz w:val="25"/>
                <w:szCs w:val="25"/>
              </w:rPr>
              <w:t xml:space="preserve"> aktiem komercdarbības atbalsta jomā, </w:t>
            </w:r>
            <w:r w:rsidRPr="00FB4D29">
              <w:rPr>
                <w:sz w:val="25"/>
                <w:szCs w:val="25"/>
              </w:rPr>
              <w:t>f</w:t>
            </w:r>
            <w:r w:rsidR="002D6762" w:rsidRPr="00FB4D29">
              <w:rPr>
                <w:sz w:val="25"/>
                <w:szCs w:val="25"/>
              </w:rPr>
              <w:t>inanšu ministrs pieņem lēmumu par aizdevuma izsniegšanas atteikšanu</w:t>
            </w:r>
            <w:r w:rsidR="00941A6D" w:rsidRPr="00FB4D29">
              <w:rPr>
                <w:sz w:val="25"/>
                <w:szCs w:val="25"/>
              </w:rPr>
              <w:t>;</w:t>
            </w:r>
          </w:p>
          <w:p w:rsidR="00843347" w:rsidRPr="00FB4D29" w:rsidRDefault="00843347" w:rsidP="00723C29">
            <w:pPr>
              <w:numPr>
                <w:ilvl w:val="0"/>
                <w:numId w:val="31"/>
              </w:numPr>
              <w:ind w:left="497" w:firstLine="0"/>
              <w:jc w:val="both"/>
              <w:rPr>
                <w:sz w:val="25"/>
                <w:szCs w:val="25"/>
              </w:rPr>
            </w:pPr>
            <w:r w:rsidRPr="00FB4D29">
              <w:rPr>
                <w:sz w:val="25"/>
                <w:szCs w:val="25"/>
              </w:rPr>
              <w:t xml:space="preserve">paredzot stingrākas normas valsts aizdevumu izsniegšanas kārtībā, </w:t>
            </w:r>
            <w:r w:rsidR="0029467C" w:rsidRPr="00FB4D29">
              <w:rPr>
                <w:sz w:val="25"/>
                <w:szCs w:val="25"/>
              </w:rPr>
              <w:t xml:space="preserve">Noteikumu projekta 33. punktā noteikti gadījumi, kad finanšu ministrs var pieņemt lēmumu valsts aizdevuma izsniegšanai, </w:t>
            </w:r>
          </w:p>
          <w:p w:rsidR="00FB223A" w:rsidRPr="00FB4D29" w:rsidRDefault="001A098F" w:rsidP="00723C29">
            <w:pPr>
              <w:numPr>
                <w:ilvl w:val="0"/>
                <w:numId w:val="31"/>
              </w:numPr>
              <w:ind w:left="497" w:firstLine="0"/>
              <w:jc w:val="both"/>
              <w:rPr>
                <w:sz w:val="25"/>
                <w:szCs w:val="25"/>
              </w:rPr>
            </w:pPr>
            <w:r w:rsidRPr="00FB4D29">
              <w:rPr>
                <w:sz w:val="25"/>
                <w:szCs w:val="25"/>
              </w:rPr>
              <w:t>N</w:t>
            </w:r>
            <w:r w:rsidR="005A263C" w:rsidRPr="00FB4D29">
              <w:rPr>
                <w:sz w:val="25"/>
                <w:szCs w:val="25"/>
              </w:rPr>
              <w:t xml:space="preserve">oteikumu projektā </w:t>
            </w:r>
            <w:r w:rsidR="00E97A08" w:rsidRPr="00FB4D29">
              <w:rPr>
                <w:sz w:val="25"/>
                <w:szCs w:val="25"/>
              </w:rPr>
              <w:t>noteiktas papildu prasības gadījumos, kad pasliktinās aizņēmēja finanšu rādītāji un samazinās</w:t>
            </w:r>
            <w:r w:rsidR="003B242B" w:rsidRPr="00FB4D29">
              <w:rPr>
                <w:sz w:val="25"/>
                <w:szCs w:val="25"/>
              </w:rPr>
              <w:t xml:space="preserve"> komercķīlas priekšmeta vērtība,</w:t>
            </w:r>
            <w:r w:rsidR="00E97A08" w:rsidRPr="00FB4D29">
              <w:rPr>
                <w:sz w:val="25"/>
                <w:szCs w:val="25"/>
              </w:rPr>
              <w:t xml:space="preserve"> lai maksimāli tiktu nodrošināta valsts interešu aizsardzība</w:t>
            </w:r>
            <w:r w:rsidR="00FB223A" w:rsidRPr="00FB4D29">
              <w:rPr>
                <w:sz w:val="25"/>
                <w:szCs w:val="25"/>
              </w:rPr>
              <w:t>;</w:t>
            </w:r>
            <w:r w:rsidR="00E97A08" w:rsidRPr="00FB4D29">
              <w:rPr>
                <w:sz w:val="25"/>
                <w:szCs w:val="25"/>
              </w:rPr>
              <w:t xml:space="preserve"> </w:t>
            </w:r>
          </w:p>
          <w:p w:rsidR="00FB223A" w:rsidRPr="00FB4D29" w:rsidRDefault="00715F64" w:rsidP="001A098F">
            <w:pPr>
              <w:numPr>
                <w:ilvl w:val="0"/>
                <w:numId w:val="31"/>
              </w:numPr>
              <w:ind w:left="497" w:firstLine="0"/>
              <w:jc w:val="both"/>
              <w:rPr>
                <w:sz w:val="25"/>
                <w:szCs w:val="25"/>
              </w:rPr>
            </w:pPr>
            <w:r w:rsidRPr="00FB4D29">
              <w:rPr>
                <w:sz w:val="25"/>
                <w:szCs w:val="25"/>
              </w:rPr>
              <w:t xml:space="preserve">šobrīd spēkā esošā kārtība paredz, ka valsts aizdevumu nosacījumu maiņas process notiek saskaņā ar </w:t>
            </w:r>
            <w:r w:rsidR="00E5160A" w:rsidRPr="00FB4D29">
              <w:rPr>
                <w:sz w:val="25"/>
                <w:szCs w:val="25"/>
              </w:rPr>
              <w:t xml:space="preserve">MK </w:t>
            </w:r>
            <w:r w:rsidRPr="00FB4D29">
              <w:rPr>
                <w:sz w:val="25"/>
                <w:szCs w:val="25"/>
              </w:rPr>
              <w:t>noteikumu</w:t>
            </w:r>
            <w:r w:rsidR="00E5160A" w:rsidRPr="00FB4D29">
              <w:rPr>
                <w:sz w:val="25"/>
                <w:szCs w:val="25"/>
              </w:rPr>
              <w:t xml:space="preserve"> Nr.63</w:t>
            </w:r>
            <w:r w:rsidRPr="00FB4D29">
              <w:rPr>
                <w:sz w:val="25"/>
                <w:szCs w:val="25"/>
              </w:rPr>
              <w:t xml:space="preserve"> 29.</w:t>
            </w:r>
            <w:r w:rsidR="00E40F56" w:rsidRPr="00FB4D29">
              <w:rPr>
                <w:sz w:val="25"/>
                <w:szCs w:val="25"/>
              </w:rPr>
              <w:t xml:space="preserve"> </w:t>
            </w:r>
            <w:r w:rsidRPr="00FB4D29">
              <w:rPr>
                <w:sz w:val="25"/>
                <w:szCs w:val="25"/>
              </w:rPr>
              <w:t>punkta nosacījumiem, kas nosaka, ka, lai mainītu aizdevuma nosacījumus</w:t>
            </w:r>
            <w:r w:rsidR="00941A6D" w:rsidRPr="00FB4D29">
              <w:rPr>
                <w:sz w:val="25"/>
                <w:szCs w:val="25"/>
              </w:rPr>
              <w:t>,</w:t>
            </w:r>
            <w:r w:rsidRPr="00FB4D29">
              <w:rPr>
                <w:sz w:val="25"/>
                <w:szCs w:val="25"/>
              </w:rPr>
              <w:t xml:space="preserve"> aizņēmējam ir jāiesniedz Valsts kasē </w:t>
            </w:r>
            <w:r w:rsidR="005A263C" w:rsidRPr="00FB4D29">
              <w:rPr>
                <w:sz w:val="25"/>
                <w:szCs w:val="25"/>
              </w:rPr>
              <w:t xml:space="preserve">visi </w:t>
            </w:r>
            <w:r w:rsidRPr="00FB4D29">
              <w:rPr>
                <w:sz w:val="25"/>
                <w:szCs w:val="25"/>
              </w:rPr>
              <w:t>šajā punktā minētie dokumenti (precizēts attīstības plāns, ietverot prognozētos bilances, peļņas vai zaudējumu aprēķinu un naudas plūsmas pārskatu līdz aizdevuma atmaksas beigu termiņam, un pamatojumu minēto finanšu prognožu īstenošanai, tai skaitā informāciju par pieņēmumiem, kas izmantoti finanšu prognožu sagatavošanā, zvērināta revidenta atzinumu par kapitālsabiedrības finansiālo stāvokli un aizdevuma atmaksas iespējām utt</w:t>
            </w:r>
            <w:r w:rsidR="00941A6D" w:rsidRPr="00FB4D29">
              <w:rPr>
                <w:sz w:val="25"/>
                <w:szCs w:val="25"/>
              </w:rPr>
              <w:t>.</w:t>
            </w:r>
            <w:r w:rsidRPr="00FB4D29">
              <w:rPr>
                <w:sz w:val="25"/>
                <w:szCs w:val="25"/>
              </w:rPr>
              <w:t xml:space="preserve">). </w:t>
            </w:r>
            <w:r w:rsidR="00EE56C7" w:rsidRPr="00FB4D29">
              <w:rPr>
                <w:sz w:val="25"/>
                <w:szCs w:val="25"/>
              </w:rPr>
              <w:t xml:space="preserve">Noteikumu projektā </w:t>
            </w:r>
            <w:r w:rsidR="00BF35C2" w:rsidRPr="00FB4D29">
              <w:rPr>
                <w:sz w:val="25"/>
                <w:szCs w:val="25"/>
              </w:rPr>
              <w:t xml:space="preserve">samazināts aizņēmējam </w:t>
            </w:r>
            <w:r w:rsidR="00BF35C2" w:rsidRPr="00FB4D29">
              <w:rPr>
                <w:sz w:val="25"/>
                <w:szCs w:val="25"/>
              </w:rPr>
              <w:lastRenderedPageBreak/>
              <w:t>iesniedzamo dokumentu klā</w:t>
            </w:r>
            <w:r w:rsidR="001A098F" w:rsidRPr="00FB4D29">
              <w:rPr>
                <w:sz w:val="25"/>
                <w:szCs w:val="25"/>
              </w:rPr>
              <w:t>s</w:t>
            </w:r>
            <w:r w:rsidR="00BF35C2" w:rsidRPr="00FB4D29">
              <w:rPr>
                <w:sz w:val="25"/>
                <w:szCs w:val="25"/>
              </w:rPr>
              <w:t>ts, maksimāli optimizējot minēto procesu</w:t>
            </w:r>
            <w:r w:rsidR="00D51A96" w:rsidRPr="00FB4D29">
              <w:rPr>
                <w:sz w:val="25"/>
                <w:szCs w:val="25"/>
              </w:rPr>
              <w:t>,</w:t>
            </w:r>
            <w:r w:rsidRPr="00FB4D29">
              <w:rPr>
                <w:sz w:val="25"/>
                <w:szCs w:val="25"/>
              </w:rPr>
              <w:t xml:space="preserve"> </w:t>
            </w:r>
            <w:r w:rsidR="00EE56C7" w:rsidRPr="00FB4D29">
              <w:rPr>
                <w:sz w:val="25"/>
                <w:szCs w:val="25"/>
              </w:rPr>
              <w:t xml:space="preserve">un </w:t>
            </w:r>
            <w:r w:rsidR="00E5160A" w:rsidRPr="00FB4D29">
              <w:rPr>
                <w:sz w:val="25"/>
                <w:szCs w:val="25"/>
              </w:rPr>
              <w:t xml:space="preserve">Noteikumu projekta </w:t>
            </w:r>
            <w:r w:rsidR="00843347" w:rsidRPr="00FB4D29">
              <w:rPr>
                <w:sz w:val="25"/>
                <w:szCs w:val="25"/>
              </w:rPr>
              <w:t>40</w:t>
            </w:r>
            <w:r w:rsidR="005E3C66" w:rsidRPr="00FB4D29">
              <w:rPr>
                <w:sz w:val="25"/>
                <w:szCs w:val="25"/>
              </w:rPr>
              <w:t>.</w:t>
            </w:r>
            <w:r w:rsidR="00E40F56" w:rsidRPr="00FB4D29">
              <w:rPr>
                <w:sz w:val="25"/>
                <w:szCs w:val="25"/>
              </w:rPr>
              <w:t xml:space="preserve"> </w:t>
            </w:r>
            <w:r w:rsidR="005E3C66" w:rsidRPr="00FB4D29">
              <w:rPr>
                <w:sz w:val="25"/>
                <w:szCs w:val="25"/>
              </w:rPr>
              <w:t xml:space="preserve">punktā atrunāti valsts aizdevuma </w:t>
            </w:r>
            <w:r w:rsidRPr="00FB4D29">
              <w:rPr>
                <w:sz w:val="25"/>
                <w:szCs w:val="25"/>
              </w:rPr>
              <w:t>nosacījumu maiņas gadījumi</w:t>
            </w:r>
            <w:r w:rsidR="00E5642A" w:rsidRPr="00FB4D29">
              <w:rPr>
                <w:sz w:val="25"/>
                <w:szCs w:val="25"/>
              </w:rPr>
              <w:t xml:space="preserve"> un iesniedzamie dokumenti</w:t>
            </w:r>
            <w:r w:rsidR="003B242B" w:rsidRPr="00FB4D29">
              <w:rPr>
                <w:sz w:val="25"/>
                <w:szCs w:val="25"/>
              </w:rPr>
              <w:t xml:space="preserve"> katrā</w:t>
            </w:r>
            <w:r w:rsidR="005A263C" w:rsidRPr="00FB4D29">
              <w:rPr>
                <w:sz w:val="25"/>
                <w:szCs w:val="25"/>
              </w:rPr>
              <w:t xml:space="preserve"> konkrētā gadījumā</w:t>
            </w:r>
            <w:r w:rsidR="00E5642A" w:rsidRPr="00FB4D29">
              <w:rPr>
                <w:sz w:val="25"/>
                <w:szCs w:val="25"/>
              </w:rPr>
              <w:t>;</w:t>
            </w:r>
            <w:r w:rsidRPr="00FB4D29">
              <w:rPr>
                <w:sz w:val="25"/>
                <w:szCs w:val="25"/>
              </w:rPr>
              <w:t xml:space="preserve"> </w:t>
            </w:r>
          </w:p>
          <w:p w:rsidR="00FB223A" w:rsidRPr="00FB4D29" w:rsidRDefault="005A263C" w:rsidP="001A098F">
            <w:pPr>
              <w:numPr>
                <w:ilvl w:val="0"/>
                <w:numId w:val="31"/>
              </w:numPr>
              <w:ind w:left="497" w:firstLine="0"/>
              <w:jc w:val="both"/>
              <w:rPr>
                <w:sz w:val="25"/>
                <w:szCs w:val="25"/>
              </w:rPr>
            </w:pPr>
            <w:r w:rsidRPr="00FB4D29">
              <w:rPr>
                <w:sz w:val="25"/>
                <w:szCs w:val="25"/>
              </w:rPr>
              <w:t xml:space="preserve">papildus </w:t>
            </w:r>
            <w:r w:rsidR="00EC1A84" w:rsidRPr="00FB4D29">
              <w:rPr>
                <w:sz w:val="25"/>
                <w:szCs w:val="25"/>
              </w:rPr>
              <w:t>Noteikumu projekta 4</w:t>
            </w:r>
            <w:r w:rsidR="001C5990" w:rsidRPr="00FB4D29">
              <w:rPr>
                <w:sz w:val="25"/>
                <w:szCs w:val="25"/>
              </w:rPr>
              <w:t>1</w:t>
            </w:r>
            <w:r w:rsidR="00EC1A84" w:rsidRPr="00FB4D29">
              <w:rPr>
                <w:sz w:val="25"/>
                <w:szCs w:val="25"/>
              </w:rPr>
              <w:t>.</w:t>
            </w:r>
            <w:r w:rsidR="00E40F56" w:rsidRPr="00FB4D29">
              <w:rPr>
                <w:sz w:val="25"/>
                <w:szCs w:val="25"/>
              </w:rPr>
              <w:t xml:space="preserve"> </w:t>
            </w:r>
            <w:r w:rsidR="00EC1A84" w:rsidRPr="00FB4D29">
              <w:rPr>
                <w:sz w:val="25"/>
                <w:szCs w:val="25"/>
              </w:rPr>
              <w:t>punktā atrunāta kārtība aizdevuma nodrošinājuma līguma nosacījumu maiņai</w:t>
            </w:r>
            <w:r w:rsidR="0061593C" w:rsidRPr="00FB4D29">
              <w:rPr>
                <w:sz w:val="25"/>
                <w:szCs w:val="25"/>
              </w:rPr>
              <w:t>, kas līdz šim esošajā regulējumā netika atrunāta</w:t>
            </w:r>
            <w:r w:rsidR="00EC1A84" w:rsidRPr="00FB4D29">
              <w:rPr>
                <w:sz w:val="25"/>
                <w:szCs w:val="25"/>
              </w:rPr>
              <w:t>;</w:t>
            </w:r>
          </w:p>
          <w:p w:rsidR="008B3254" w:rsidRPr="00FB4D29" w:rsidRDefault="00E97A08" w:rsidP="00847275">
            <w:pPr>
              <w:numPr>
                <w:ilvl w:val="0"/>
                <w:numId w:val="31"/>
              </w:numPr>
              <w:ind w:left="497" w:firstLine="0"/>
              <w:jc w:val="both"/>
              <w:rPr>
                <w:sz w:val="25"/>
                <w:szCs w:val="25"/>
              </w:rPr>
            </w:pPr>
            <w:r w:rsidRPr="00FB4D29">
              <w:rPr>
                <w:sz w:val="25"/>
                <w:szCs w:val="25"/>
              </w:rPr>
              <w:t>Noteikumu projektā iekļauta jauna sadaļa „</w:t>
            </w:r>
            <w:r w:rsidR="00E5642A" w:rsidRPr="00FB4D29">
              <w:rPr>
                <w:sz w:val="25"/>
                <w:szCs w:val="25"/>
              </w:rPr>
              <w:t>V</w:t>
            </w:r>
            <w:r w:rsidR="00EC1A84" w:rsidRPr="00FB4D29">
              <w:rPr>
                <w:sz w:val="25"/>
                <w:szCs w:val="25"/>
              </w:rPr>
              <w:t>I</w:t>
            </w:r>
            <w:r w:rsidR="00E5642A" w:rsidRPr="00FB4D29">
              <w:rPr>
                <w:sz w:val="25"/>
                <w:szCs w:val="25"/>
              </w:rPr>
              <w:t>. Aizdevuma procentu un aizdevuma</w:t>
            </w:r>
            <w:r w:rsidRPr="00FB4D29">
              <w:rPr>
                <w:sz w:val="25"/>
                <w:szCs w:val="25"/>
              </w:rPr>
              <w:t xml:space="preserve"> riska </w:t>
            </w:r>
            <w:r w:rsidR="00E5642A" w:rsidRPr="00FB4D29">
              <w:rPr>
                <w:sz w:val="25"/>
                <w:szCs w:val="25"/>
              </w:rPr>
              <w:t>procentu likmes noteikšanas un maiņas kārtība”, kurā ir precizēta valsts aizde</w:t>
            </w:r>
            <w:r w:rsidR="005A263C" w:rsidRPr="00FB4D29">
              <w:rPr>
                <w:sz w:val="25"/>
                <w:szCs w:val="25"/>
              </w:rPr>
              <w:t>vuma likmju noteikšanas kārtība</w:t>
            </w:r>
            <w:r w:rsidR="00E5642A" w:rsidRPr="00FB4D29">
              <w:rPr>
                <w:sz w:val="25"/>
                <w:szCs w:val="25"/>
              </w:rPr>
              <w:t xml:space="preserve"> un papildus noteikts regulējums aizdevuma un riska procentu likmju maiņai,</w:t>
            </w:r>
            <w:r w:rsidRPr="00FB4D29">
              <w:rPr>
                <w:sz w:val="25"/>
                <w:szCs w:val="25"/>
              </w:rPr>
              <w:t xml:space="preserve"> ko līdz šim reg</w:t>
            </w:r>
            <w:r w:rsidR="00E5642A" w:rsidRPr="00FB4D29">
              <w:rPr>
                <w:sz w:val="25"/>
                <w:szCs w:val="25"/>
              </w:rPr>
              <w:t>ulē finanšu ministra rīkojums;</w:t>
            </w:r>
          </w:p>
          <w:p w:rsidR="00240F61" w:rsidRPr="00FB4D29" w:rsidRDefault="005606E6" w:rsidP="00847275">
            <w:pPr>
              <w:numPr>
                <w:ilvl w:val="0"/>
                <w:numId w:val="31"/>
              </w:numPr>
              <w:ind w:left="497" w:firstLine="0"/>
              <w:jc w:val="both"/>
              <w:rPr>
                <w:sz w:val="25"/>
                <w:szCs w:val="25"/>
              </w:rPr>
            </w:pPr>
            <w:r w:rsidRPr="00FB4D29">
              <w:rPr>
                <w:sz w:val="25"/>
                <w:szCs w:val="25"/>
              </w:rPr>
              <w:t>Noteikumu projekta 4</w:t>
            </w:r>
            <w:r w:rsidR="00C153FF" w:rsidRPr="00FB4D29">
              <w:rPr>
                <w:sz w:val="25"/>
                <w:szCs w:val="25"/>
              </w:rPr>
              <w:t>9</w:t>
            </w:r>
            <w:r w:rsidR="00240F61" w:rsidRPr="00FB4D29">
              <w:rPr>
                <w:sz w:val="25"/>
                <w:szCs w:val="25"/>
              </w:rPr>
              <w:t xml:space="preserve">. punktā paredzēts, ka, lai izslēgtu nesaskaņota valsts atbalsta sniegšanu, piemērojamās procentu likmes tiks noteiktas atbilstoši Eiropas Komisijas publicētajām vai Eiropas Komisijas lēmumā noteiktajām bāzes likmēm, bet </w:t>
            </w:r>
            <w:r w:rsidR="00C83810" w:rsidRPr="00FB4D29">
              <w:rPr>
                <w:sz w:val="25"/>
                <w:szCs w:val="25"/>
              </w:rPr>
              <w:t>ne mazāk par Latvijas Republikas faktiskajām vai iespējamajām aizņemšanās izmaksām;</w:t>
            </w:r>
          </w:p>
          <w:p w:rsidR="00BB780E" w:rsidRPr="00FB4D29" w:rsidRDefault="00E5160A" w:rsidP="00723C29">
            <w:pPr>
              <w:numPr>
                <w:ilvl w:val="0"/>
                <w:numId w:val="31"/>
              </w:numPr>
              <w:ind w:left="497" w:firstLine="0"/>
              <w:jc w:val="both"/>
              <w:rPr>
                <w:sz w:val="25"/>
                <w:szCs w:val="25"/>
              </w:rPr>
            </w:pPr>
            <w:r w:rsidRPr="00FB4D29">
              <w:rPr>
                <w:sz w:val="25"/>
                <w:szCs w:val="25"/>
              </w:rPr>
              <w:t>N</w:t>
            </w:r>
            <w:r w:rsidR="00BB780E" w:rsidRPr="00FB4D29">
              <w:rPr>
                <w:sz w:val="25"/>
                <w:szCs w:val="25"/>
              </w:rPr>
              <w:t>oteikumu projekta 6</w:t>
            </w:r>
            <w:r w:rsidR="00C153FF" w:rsidRPr="00FB4D29">
              <w:rPr>
                <w:sz w:val="25"/>
                <w:szCs w:val="25"/>
              </w:rPr>
              <w:t>1</w:t>
            </w:r>
            <w:r w:rsidR="00BB780E" w:rsidRPr="00FB4D29">
              <w:rPr>
                <w:sz w:val="25"/>
                <w:szCs w:val="25"/>
              </w:rPr>
              <w:t>.</w:t>
            </w:r>
            <w:r w:rsidRPr="00FB4D29">
              <w:rPr>
                <w:sz w:val="25"/>
                <w:szCs w:val="25"/>
              </w:rPr>
              <w:t>1. apakš</w:t>
            </w:r>
            <w:r w:rsidR="00BB780E" w:rsidRPr="00FB4D29">
              <w:rPr>
                <w:sz w:val="25"/>
                <w:szCs w:val="25"/>
              </w:rPr>
              <w:t>punktā iekļautā regulējuma ietvaros Valsts kase</w:t>
            </w:r>
            <w:r w:rsidR="006902BE" w:rsidRPr="00FB4D29">
              <w:rPr>
                <w:sz w:val="25"/>
                <w:szCs w:val="25"/>
              </w:rPr>
              <w:t>,</w:t>
            </w:r>
            <w:r w:rsidR="00BB780E" w:rsidRPr="00FB4D29">
              <w:rPr>
                <w:sz w:val="25"/>
                <w:szCs w:val="25"/>
              </w:rPr>
              <w:t xml:space="preserve"> izsniedzot valsts aizdevumu</w:t>
            </w:r>
            <w:r w:rsidR="006902BE" w:rsidRPr="00FB4D29">
              <w:rPr>
                <w:sz w:val="25"/>
                <w:szCs w:val="25"/>
              </w:rPr>
              <w:t>,</w:t>
            </w:r>
            <w:r w:rsidR="00BB780E" w:rsidRPr="00FB4D29">
              <w:rPr>
                <w:sz w:val="25"/>
                <w:szCs w:val="25"/>
              </w:rPr>
              <w:t xml:space="preserve"> rīkojas atbilstoši privātā investora principiem, t.i.</w:t>
            </w:r>
            <w:r w:rsidR="006902BE" w:rsidRPr="00FB4D29">
              <w:rPr>
                <w:sz w:val="25"/>
                <w:szCs w:val="25"/>
              </w:rPr>
              <w:t>,</w:t>
            </w:r>
            <w:r w:rsidR="00BB780E" w:rsidRPr="00FB4D29">
              <w:rPr>
                <w:sz w:val="25"/>
                <w:szCs w:val="25"/>
              </w:rPr>
              <w:t xml:space="preserve"> par valsts atbalsta normu ievērošanu atbildīgs ir atbalsta </w:t>
            </w:r>
            <w:r w:rsidR="00883727" w:rsidRPr="00FB4D29">
              <w:rPr>
                <w:sz w:val="25"/>
                <w:szCs w:val="25"/>
              </w:rPr>
              <w:t xml:space="preserve">(galvojuma) </w:t>
            </w:r>
            <w:r w:rsidR="00BB780E" w:rsidRPr="00FB4D29">
              <w:rPr>
                <w:sz w:val="25"/>
                <w:szCs w:val="25"/>
              </w:rPr>
              <w:t>sniedzējs;</w:t>
            </w:r>
          </w:p>
          <w:p w:rsidR="00B60CB3" w:rsidRPr="00FB4D29" w:rsidRDefault="006902BE" w:rsidP="006902BE">
            <w:pPr>
              <w:numPr>
                <w:ilvl w:val="0"/>
                <w:numId w:val="31"/>
              </w:numPr>
              <w:ind w:left="497" w:firstLine="0"/>
              <w:jc w:val="both"/>
              <w:rPr>
                <w:sz w:val="25"/>
                <w:szCs w:val="25"/>
              </w:rPr>
            </w:pPr>
            <w:r w:rsidRPr="00FB4D29">
              <w:rPr>
                <w:sz w:val="25"/>
                <w:szCs w:val="25"/>
              </w:rPr>
              <w:t xml:space="preserve"> </w:t>
            </w:r>
            <w:r w:rsidR="00E5160A" w:rsidRPr="00FB4D29">
              <w:rPr>
                <w:sz w:val="25"/>
                <w:szCs w:val="25"/>
              </w:rPr>
              <w:t>N</w:t>
            </w:r>
            <w:r w:rsidR="00B60CB3" w:rsidRPr="00FB4D29">
              <w:rPr>
                <w:sz w:val="25"/>
                <w:szCs w:val="25"/>
              </w:rPr>
              <w:t>oteikumu projekta 6</w:t>
            </w:r>
            <w:r w:rsidR="00C153FF" w:rsidRPr="00FB4D29">
              <w:rPr>
                <w:sz w:val="25"/>
                <w:szCs w:val="25"/>
              </w:rPr>
              <w:t>7</w:t>
            </w:r>
            <w:r w:rsidR="00B60CB3" w:rsidRPr="00FB4D29">
              <w:rPr>
                <w:sz w:val="25"/>
                <w:szCs w:val="25"/>
              </w:rPr>
              <w:t>.</w:t>
            </w:r>
            <w:r w:rsidR="00E40F56" w:rsidRPr="00FB4D29">
              <w:rPr>
                <w:sz w:val="25"/>
                <w:szCs w:val="25"/>
              </w:rPr>
              <w:t xml:space="preserve"> </w:t>
            </w:r>
            <w:r w:rsidR="00B60CB3" w:rsidRPr="00FB4D29">
              <w:rPr>
                <w:sz w:val="25"/>
                <w:szCs w:val="25"/>
              </w:rPr>
              <w:t>punktā papildus ir atrunāts, ka visiem valsts aizdevuma saņēmējiem, kas īsteno E</w:t>
            </w:r>
            <w:r w:rsidR="005924DB" w:rsidRPr="00FB4D29">
              <w:rPr>
                <w:sz w:val="25"/>
                <w:szCs w:val="25"/>
              </w:rPr>
              <w:t xml:space="preserve">iropas </w:t>
            </w:r>
            <w:r w:rsidR="00B60CB3" w:rsidRPr="00FB4D29">
              <w:rPr>
                <w:sz w:val="25"/>
                <w:szCs w:val="25"/>
              </w:rPr>
              <w:t>S</w:t>
            </w:r>
            <w:r w:rsidR="005924DB" w:rsidRPr="00FB4D29">
              <w:rPr>
                <w:sz w:val="25"/>
                <w:szCs w:val="25"/>
              </w:rPr>
              <w:t>avienības</w:t>
            </w:r>
            <w:r w:rsidR="00B60CB3" w:rsidRPr="00FB4D29">
              <w:rPr>
                <w:sz w:val="25"/>
                <w:szCs w:val="25"/>
              </w:rPr>
              <w:t xml:space="preserve"> projektus, piecu darbdienu laikā pēc attiecīgā finansējuma saņemšanas </w:t>
            </w:r>
            <w:r w:rsidR="00D51A96" w:rsidRPr="00FB4D29">
              <w:rPr>
                <w:sz w:val="25"/>
                <w:szCs w:val="25"/>
              </w:rPr>
              <w:t>jāatmaksā valsts aizdevuma daļa</w:t>
            </w:r>
            <w:r w:rsidR="00B60CB3" w:rsidRPr="00FB4D29">
              <w:rPr>
                <w:sz w:val="25"/>
                <w:szCs w:val="25"/>
              </w:rPr>
              <w:t xml:space="preserve"> saņemtā finansējuma apmērā</w:t>
            </w:r>
            <w:r w:rsidR="005924DB" w:rsidRPr="00FB4D29">
              <w:rPr>
                <w:sz w:val="25"/>
                <w:szCs w:val="25"/>
              </w:rPr>
              <w:t>, kas līdz šim esošajā regulējumā netika paredzēts, līdz ar to izslēdzot iespēju, ka aizņēmējs varētu izmantot saņemto Eiropas Savienības finansējumu neatbilstoši mērķim un finansēt ar projekta īstenošanu ne</w:t>
            </w:r>
            <w:r w:rsidR="00D7178B" w:rsidRPr="00FB4D29">
              <w:rPr>
                <w:sz w:val="25"/>
                <w:szCs w:val="25"/>
              </w:rPr>
              <w:t>s</w:t>
            </w:r>
            <w:r w:rsidR="005924DB" w:rsidRPr="00FB4D29">
              <w:rPr>
                <w:sz w:val="25"/>
                <w:szCs w:val="25"/>
              </w:rPr>
              <w:t>aistītus izdevumus</w:t>
            </w:r>
            <w:r w:rsidR="00B60CB3" w:rsidRPr="00FB4D29">
              <w:rPr>
                <w:sz w:val="25"/>
                <w:szCs w:val="25"/>
              </w:rPr>
              <w:t>;</w:t>
            </w:r>
          </w:p>
          <w:p w:rsidR="009B1E9F" w:rsidRPr="00FB4D29" w:rsidRDefault="004D23D7" w:rsidP="005924DB">
            <w:pPr>
              <w:numPr>
                <w:ilvl w:val="0"/>
                <w:numId w:val="31"/>
              </w:numPr>
              <w:ind w:left="497" w:firstLine="0"/>
              <w:jc w:val="both"/>
              <w:rPr>
                <w:sz w:val="25"/>
                <w:szCs w:val="25"/>
              </w:rPr>
            </w:pPr>
            <w:r w:rsidRPr="00FB4D29">
              <w:rPr>
                <w:sz w:val="25"/>
                <w:szCs w:val="25"/>
              </w:rPr>
              <w:t xml:space="preserve">lai mazinātu pastāvošos riskus, kas saistīti ar projektu īstenošanu un </w:t>
            </w:r>
            <w:r w:rsidR="00521695" w:rsidRPr="00FB4D29">
              <w:rPr>
                <w:sz w:val="25"/>
                <w:szCs w:val="25"/>
              </w:rPr>
              <w:t>valsts aiz</w:t>
            </w:r>
            <w:r w:rsidR="003B242B" w:rsidRPr="00FB4D29">
              <w:rPr>
                <w:sz w:val="25"/>
                <w:szCs w:val="25"/>
              </w:rPr>
              <w:t>devumu atmaksu</w:t>
            </w:r>
            <w:r w:rsidR="005A263C" w:rsidRPr="00FB4D29">
              <w:rPr>
                <w:sz w:val="25"/>
                <w:szCs w:val="25"/>
              </w:rPr>
              <w:t xml:space="preserve">, Noteikumu projekta </w:t>
            </w:r>
            <w:r w:rsidR="00CB77CF" w:rsidRPr="00FB4D29">
              <w:rPr>
                <w:sz w:val="25"/>
                <w:szCs w:val="25"/>
              </w:rPr>
              <w:t>7</w:t>
            </w:r>
            <w:r w:rsidR="001C5990" w:rsidRPr="00FB4D29">
              <w:rPr>
                <w:sz w:val="25"/>
                <w:szCs w:val="25"/>
              </w:rPr>
              <w:t>2</w:t>
            </w:r>
            <w:r w:rsidR="002D6762" w:rsidRPr="00FB4D29">
              <w:rPr>
                <w:sz w:val="25"/>
                <w:szCs w:val="25"/>
              </w:rPr>
              <w:t xml:space="preserve">., </w:t>
            </w:r>
            <w:r w:rsidR="00CB77CF" w:rsidRPr="00FB4D29">
              <w:rPr>
                <w:sz w:val="25"/>
                <w:szCs w:val="25"/>
              </w:rPr>
              <w:t>7</w:t>
            </w:r>
            <w:r w:rsidR="001C5990" w:rsidRPr="00FB4D29">
              <w:rPr>
                <w:sz w:val="25"/>
                <w:szCs w:val="25"/>
              </w:rPr>
              <w:t>3</w:t>
            </w:r>
            <w:r w:rsidR="005A263C" w:rsidRPr="00FB4D29">
              <w:rPr>
                <w:sz w:val="25"/>
                <w:szCs w:val="25"/>
              </w:rPr>
              <w:t>.</w:t>
            </w:r>
            <w:r w:rsidR="001C5990" w:rsidRPr="00FB4D29">
              <w:rPr>
                <w:sz w:val="25"/>
                <w:szCs w:val="25"/>
              </w:rPr>
              <w:t>, 74.</w:t>
            </w:r>
            <w:r w:rsidR="005A263C" w:rsidRPr="00FB4D29">
              <w:rPr>
                <w:sz w:val="25"/>
                <w:szCs w:val="25"/>
              </w:rPr>
              <w:t xml:space="preserve"> u</w:t>
            </w:r>
            <w:r w:rsidR="00521695" w:rsidRPr="00FB4D29">
              <w:rPr>
                <w:sz w:val="25"/>
                <w:szCs w:val="25"/>
              </w:rPr>
              <w:t>n 7</w:t>
            </w:r>
            <w:r w:rsidR="00C153FF" w:rsidRPr="00FB4D29">
              <w:rPr>
                <w:sz w:val="25"/>
                <w:szCs w:val="25"/>
              </w:rPr>
              <w:t>5</w:t>
            </w:r>
            <w:r w:rsidR="00521695" w:rsidRPr="00FB4D29">
              <w:rPr>
                <w:sz w:val="25"/>
                <w:szCs w:val="25"/>
              </w:rPr>
              <w:t>.</w:t>
            </w:r>
            <w:r w:rsidR="00E40F56" w:rsidRPr="00FB4D29">
              <w:rPr>
                <w:sz w:val="25"/>
                <w:szCs w:val="25"/>
              </w:rPr>
              <w:t xml:space="preserve"> </w:t>
            </w:r>
            <w:r w:rsidR="00521695" w:rsidRPr="00FB4D29">
              <w:rPr>
                <w:sz w:val="25"/>
                <w:szCs w:val="25"/>
              </w:rPr>
              <w:t>punktā ir atrunāta Valsts kases</w:t>
            </w:r>
            <w:r w:rsidR="00CB77CF" w:rsidRPr="00FB4D29">
              <w:rPr>
                <w:sz w:val="25"/>
                <w:szCs w:val="25"/>
              </w:rPr>
              <w:t>, aizņēmēja</w:t>
            </w:r>
            <w:r w:rsidR="00521695" w:rsidRPr="00FB4D29">
              <w:rPr>
                <w:sz w:val="25"/>
                <w:szCs w:val="25"/>
              </w:rPr>
              <w:t xml:space="preserve"> un ministrijas</w:t>
            </w:r>
            <w:r w:rsidR="00CB77CF" w:rsidRPr="00FB4D29">
              <w:rPr>
                <w:sz w:val="25"/>
                <w:szCs w:val="25"/>
              </w:rPr>
              <w:t>, kuras</w:t>
            </w:r>
            <w:r w:rsidRPr="00FB4D29">
              <w:rPr>
                <w:sz w:val="25"/>
                <w:szCs w:val="25"/>
              </w:rPr>
              <w:t xml:space="preserve"> pārzina attiecīgo nozari un to reglamentējošos dokumentus un jau savlaicīgi var konstatēt iespējamos riskus, kas var ietekmēt </w:t>
            </w:r>
            <w:r w:rsidR="00521695" w:rsidRPr="00FB4D29">
              <w:rPr>
                <w:sz w:val="25"/>
                <w:szCs w:val="25"/>
              </w:rPr>
              <w:t xml:space="preserve">valsts </w:t>
            </w:r>
            <w:r w:rsidR="00521695" w:rsidRPr="00FB4D29">
              <w:rPr>
                <w:sz w:val="25"/>
                <w:szCs w:val="25"/>
              </w:rPr>
              <w:lastRenderedPageBreak/>
              <w:t xml:space="preserve">aizdevuma </w:t>
            </w:r>
            <w:r w:rsidRPr="00FB4D29">
              <w:rPr>
                <w:sz w:val="25"/>
                <w:szCs w:val="25"/>
              </w:rPr>
              <w:t>atmaksu</w:t>
            </w:r>
            <w:r w:rsidR="003B242B" w:rsidRPr="00FB4D29">
              <w:rPr>
                <w:sz w:val="25"/>
                <w:szCs w:val="25"/>
              </w:rPr>
              <w:t>, rīcība</w:t>
            </w:r>
            <w:r w:rsidR="00CB77CF" w:rsidRPr="00FB4D29">
              <w:rPr>
                <w:sz w:val="25"/>
                <w:szCs w:val="25"/>
              </w:rPr>
              <w:t>;</w:t>
            </w:r>
          </w:p>
          <w:p w:rsidR="009A2C77" w:rsidRPr="00FB4D29" w:rsidRDefault="00CB77CF" w:rsidP="00EF4DCA">
            <w:pPr>
              <w:numPr>
                <w:ilvl w:val="0"/>
                <w:numId w:val="31"/>
              </w:numPr>
              <w:ind w:left="497" w:firstLine="0"/>
              <w:jc w:val="both"/>
              <w:rPr>
                <w:sz w:val="25"/>
                <w:szCs w:val="25"/>
              </w:rPr>
            </w:pPr>
            <w:r w:rsidRPr="00FB4D29">
              <w:rPr>
                <w:sz w:val="25"/>
                <w:szCs w:val="25"/>
              </w:rPr>
              <w:t>N</w:t>
            </w:r>
            <w:r w:rsidR="009B1E9F" w:rsidRPr="00FB4D29">
              <w:rPr>
                <w:sz w:val="25"/>
                <w:szCs w:val="25"/>
              </w:rPr>
              <w:t>oteikumu projekta noslēguma jautāju</w:t>
            </w:r>
            <w:r w:rsidRPr="00FB4D29">
              <w:rPr>
                <w:sz w:val="25"/>
                <w:szCs w:val="25"/>
              </w:rPr>
              <w:t>mos (</w:t>
            </w:r>
            <w:r w:rsidR="00C153FF" w:rsidRPr="00FB4D29">
              <w:rPr>
                <w:sz w:val="25"/>
                <w:szCs w:val="25"/>
              </w:rPr>
              <w:t>80</w:t>
            </w:r>
            <w:r w:rsidRPr="00FB4D29">
              <w:rPr>
                <w:sz w:val="25"/>
                <w:szCs w:val="25"/>
              </w:rPr>
              <w:t>., 8</w:t>
            </w:r>
            <w:r w:rsidR="00C153FF" w:rsidRPr="00FB4D29">
              <w:rPr>
                <w:sz w:val="25"/>
                <w:szCs w:val="25"/>
              </w:rPr>
              <w:t>1</w:t>
            </w:r>
            <w:r w:rsidRPr="00FB4D29">
              <w:rPr>
                <w:sz w:val="25"/>
                <w:szCs w:val="25"/>
              </w:rPr>
              <w:t>. un 8</w:t>
            </w:r>
            <w:r w:rsidR="00C153FF" w:rsidRPr="00FB4D29">
              <w:rPr>
                <w:sz w:val="25"/>
                <w:szCs w:val="25"/>
              </w:rPr>
              <w:t>2</w:t>
            </w:r>
            <w:r w:rsidR="009B1E9F" w:rsidRPr="00FB4D29">
              <w:rPr>
                <w:sz w:val="25"/>
                <w:szCs w:val="25"/>
              </w:rPr>
              <w:t>.</w:t>
            </w:r>
            <w:r w:rsidRPr="00FB4D29">
              <w:rPr>
                <w:sz w:val="25"/>
                <w:szCs w:val="25"/>
              </w:rPr>
              <w:t xml:space="preserve"> </w:t>
            </w:r>
            <w:r w:rsidR="009B1E9F" w:rsidRPr="00FB4D29">
              <w:rPr>
                <w:sz w:val="25"/>
                <w:szCs w:val="25"/>
              </w:rPr>
              <w:t>punktā) ir saglabāts šobrīd spēkā esošais regulējums.</w:t>
            </w:r>
            <w:r w:rsidR="00EF4DCA" w:rsidRPr="00FB4D29">
              <w:rPr>
                <w:sz w:val="25"/>
                <w:szCs w:val="25"/>
              </w:rPr>
              <w:t xml:space="preserve"> </w:t>
            </w:r>
            <w:r w:rsidR="009A2C77" w:rsidRPr="00FB4D29">
              <w:rPr>
                <w:sz w:val="25"/>
                <w:szCs w:val="25"/>
              </w:rPr>
              <w:t xml:space="preserve">Lai rastu iespēju tiem zinātniskajiem institūtiem un augstskolām, kam ir noteikts atvasinātas publiskas personas statuss (turpmāk – augstskolas), </w:t>
            </w:r>
            <w:r w:rsidR="009A2C77" w:rsidRPr="00FB4D29">
              <w:rPr>
                <w:b/>
                <w:sz w:val="25"/>
                <w:szCs w:val="25"/>
              </w:rPr>
              <w:t xml:space="preserve"> </w:t>
            </w:r>
            <w:r w:rsidR="009A2C77" w:rsidRPr="00FB4D29">
              <w:rPr>
                <w:sz w:val="25"/>
                <w:szCs w:val="25"/>
              </w:rPr>
              <w:t>saņemt valsts aizdevumu ES līdzfinansēto projektu un pasākumu īstenošanai, MK noteikumos Nr.63 tika paredzēts nestandarta kreditēšanas modelis, ka valsts aizdevums var tiek izsniegts bez nodrošinājuma. Neskatoties uz to, ka jau 2011.gada 1.augustā stājās spēkā grozījumi Augstskolu likumā un Publiskas personas mantas atsavināšanas likumā, paredzot valsts nekustamā īpašuma bez atlīdzības nodošanu augstskolām, joprojām, pieprasot valsts aizdevumu, lielākā daļa augstskolu nespēj nodrošināt valsts aizdevumu ar ķīlu, jo nekustamais īpašums, kas ir nepieciešams izglītības un zinātnes funkciju nodrošināšanai augstskolām, nav nodots to īpašumā. Jānorāda, ka augstskolu nodrošinājuma iesniegšana vai neiesniegšana neatstāj būtisku iespaidu uz valsts aizdevuma atmaksas iespējamības novērtējumu, jo augstskolu sniegtais nodrošinājums vairāk kalpo, lai ierobežotu augstskolas pašas iespējamos finanšu riskus, ierobežojot augstskolu spēju aizņemties kredītiestādes un uzņemties pārlieku lielas saistības. Ņemot vērā to, ka augstskolu sniegtais nodrošinājums ir augstskolas funkciju realizēšanai nepieciešamie nekustamie īpašumi, tad šī nodrošinājuma izmantošana valsts aizdevuma atmaksas problēmu gadījumā visticamāk ir ierobežota.</w:t>
            </w:r>
          </w:p>
          <w:p w:rsidR="002C0EAE" w:rsidRPr="00FB4D29" w:rsidRDefault="009B1E9F" w:rsidP="002C0EAE">
            <w:pPr>
              <w:ind w:left="497"/>
              <w:jc w:val="both"/>
              <w:rPr>
                <w:sz w:val="25"/>
                <w:szCs w:val="25"/>
              </w:rPr>
            </w:pPr>
            <w:r w:rsidRPr="00FB4D29">
              <w:rPr>
                <w:sz w:val="25"/>
                <w:szCs w:val="25"/>
              </w:rPr>
              <w:t xml:space="preserve">Izglītības un zinātnes ministrija šobrīd risina jautājumu par valsts nekustamo īpašumu nodošanu bez atlīdzības atvasinātas publiskas personas īpašumā, lai novērstu riskus, ka valsts aizdevumi tiek izsniegti bez nodrošinājuma, uzņemoties </w:t>
            </w:r>
            <w:r w:rsidR="00EF4DCA" w:rsidRPr="00FB4D29">
              <w:rPr>
                <w:sz w:val="25"/>
                <w:szCs w:val="25"/>
              </w:rPr>
              <w:t>būtiskus riskus valsts budžetam;</w:t>
            </w:r>
          </w:p>
          <w:p w:rsidR="002C0EAE" w:rsidRPr="00FB4D29" w:rsidRDefault="002C0EAE" w:rsidP="002C0EAE">
            <w:pPr>
              <w:ind w:left="497"/>
              <w:jc w:val="both"/>
              <w:rPr>
                <w:sz w:val="25"/>
                <w:szCs w:val="25"/>
              </w:rPr>
            </w:pPr>
            <w:r w:rsidRPr="00FB4D29">
              <w:rPr>
                <w:sz w:val="25"/>
                <w:szCs w:val="25"/>
              </w:rPr>
              <w:t>- lai nodrošinātu Ministru Kabineta lēmuma izpildi attiecībā uz Valsts atbalsta programmu izpildi, gadījumā, kad Ministru kabinets ir apstiprinājis gan Valsts atbalsta programmu, gan Valsts atbalsta programmas īstenotāju, neveic atkārtotu</w:t>
            </w:r>
            <w:r w:rsidRPr="00FB4D29">
              <w:rPr>
                <w:b/>
                <w:sz w:val="25"/>
                <w:szCs w:val="25"/>
              </w:rPr>
              <w:t xml:space="preserve"> </w:t>
            </w:r>
            <w:r w:rsidRPr="00FB4D29">
              <w:rPr>
                <w:sz w:val="25"/>
                <w:szCs w:val="25"/>
              </w:rPr>
              <w:t>aizņēmēja finanšu stāvokļa izvērtējumu</w:t>
            </w:r>
            <w:r w:rsidRPr="00FB4D29">
              <w:rPr>
                <w:b/>
                <w:sz w:val="25"/>
                <w:szCs w:val="25"/>
              </w:rPr>
              <w:t xml:space="preserve">, </w:t>
            </w:r>
            <w:r w:rsidRPr="00FB4D29">
              <w:rPr>
                <w:sz w:val="25"/>
                <w:szCs w:val="25"/>
              </w:rPr>
              <w:t>Finanšu ministrija šo noteikumu „Noslēguma jautājumi”  papildus ir iekļāvusi 8</w:t>
            </w:r>
            <w:r w:rsidR="00C153FF" w:rsidRPr="00FB4D29">
              <w:rPr>
                <w:sz w:val="25"/>
                <w:szCs w:val="25"/>
              </w:rPr>
              <w:t>3</w:t>
            </w:r>
            <w:r w:rsidRPr="00FB4D29">
              <w:rPr>
                <w:sz w:val="25"/>
                <w:szCs w:val="25"/>
              </w:rPr>
              <w:t xml:space="preserve">. </w:t>
            </w:r>
            <w:r w:rsidR="00C153FF" w:rsidRPr="00FB4D29">
              <w:rPr>
                <w:sz w:val="25"/>
                <w:szCs w:val="25"/>
              </w:rPr>
              <w:t>p</w:t>
            </w:r>
            <w:r w:rsidRPr="00FB4D29">
              <w:rPr>
                <w:sz w:val="25"/>
                <w:szCs w:val="25"/>
              </w:rPr>
              <w:t>unktu</w:t>
            </w:r>
            <w:r w:rsidR="00C153FF" w:rsidRPr="00FB4D29">
              <w:rPr>
                <w:sz w:val="25"/>
                <w:szCs w:val="25"/>
              </w:rPr>
              <w:t>;</w:t>
            </w:r>
          </w:p>
          <w:p w:rsidR="00FC188E" w:rsidRPr="00FB4D29" w:rsidRDefault="00EF4DCA" w:rsidP="00FC188E">
            <w:pPr>
              <w:pStyle w:val="ListParagraph"/>
              <w:numPr>
                <w:ilvl w:val="0"/>
                <w:numId w:val="31"/>
              </w:numPr>
              <w:ind w:left="497" w:firstLine="0"/>
              <w:jc w:val="both"/>
              <w:rPr>
                <w:sz w:val="25"/>
                <w:szCs w:val="25"/>
              </w:rPr>
            </w:pPr>
            <w:r w:rsidRPr="00FB4D29">
              <w:rPr>
                <w:sz w:val="25"/>
                <w:szCs w:val="25"/>
              </w:rPr>
              <w:lastRenderedPageBreak/>
              <w:t>papildus tam Noteikumu projektā ir veikta terminoloģijas precizēšana, kā arī citi tehniskie grozījumi</w:t>
            </w:r>
            <w:r w:rsidR="00FC188E" w:rsidRPr="00FB4D29">
              <w:rPr>
                <w:sz w:val="25"/>
                <w:szCs w:val="25"/>
              </w:rPr>
              <w:t>;</w:t>
            </w:r>
          </w:p>
          <w:p w:rsidR="00FC188E" w:rsidRPr="00FB4D29" w:rsidRDefault="00FC188E" w:rsidP="00FC188E">
            <w:pPr>
              <w:pStyle w:val="ListParagraph"/>
              <w:numPr>
                <w:ilvl w:val="0"/>
                <w:numId w:val="31"/>
              </w:numPr>
              <w:ind w:left="497" w:firstLine="0"/>
              <w:jc w:val="both"/>
              <w:rPr>
                <w:sz w:val="25"/>
                <w:szCs w:val="25"/>
              </w:rPr>
            </w:pPr>
            <w:r w:rsidRPr="00FB4D29">
              <w:rPr>
                <w:sz w:val="25"/>
                <w:szCs w:val="25"/>
              </w:rPr>
              <w:t xml:space="preserve">vienlaikus sniedzam skaidrojumu, ka </w:t>
            </w:r>
            <w:r w:rsidRPr="00FB4D29">
              <w:rPr>
                <w:rFonts w:eastAsia="Calibri"/>
                <w:sz w:val="25"/>
                <w:szCs w:val="25"/>
              </w:rPr>
              <w:t xml:space="preserve">„būtiskas” atkāpes šī noteikumu projekta kontekstā ir tādas atkāpes, kas var lēmuma pieņēmējam (finanšu ministram)  likt pieņemt citādus lēmumus. Līdz ar to Noteikumu projekta kontekstā būtiskums tiks izvērtēts no valsts viedokļa, </w:t>
            </w:r>
            <w:r w:rsidRPr="00FB4D29">
              <w:rPr>
                <w:sz w:val="25"/>
                <w:szCs w:val="25"/>
              </w:rPr>
              <w:t xml:space="preserve">atbilstoši labai finanšu praksei un Finanšu ministrijas </w:t>
            </w:r>
            <w:r w:rsidRPr="00FB4D29">
              <w:rPr>
                <w:bCs/>
                <w:sz w:val="25"/>
                <w:szCs w:val="25"/>
              </w:rPr>
              <w:t>iekšējai metodoloģijai</w:t>
            </w:r>
            <w:r w:rsidRPr="00FB4D29">
              <w:rPr>
                <w:sz w:val="25"/>
                <w:szCs w:val="25"/>
              </w:rPr>
              <w:t xml:space="preserve">, </w:t>
            </w:r>
            <w:r w:rsidRPr="00FB4D29">
              <w:rPr>
                <w:rFonts w:eastAsia="Calibri"/>
                <w:sz w:val="25"/>
                <w:szCs w:val="25"/>
              </w:rPr>
              <w:t xml:space="preserve">lai maksimāli novērstu riskus, kas </w:t>
            </w:r>
            <w:r w:rsidRPr="00FB4D29">
              <w:rPr>
                <w:sz w:val="25"/>
                <w:szCs w:val="25"/>
              </w:rPr>
              <w:t xml:space="preserve">var negatīvi ietekmēt valsts aizdevuma atmaksu un investīciju projekta mērķa sasniegšanu.  </w:t>
            </w:r>
          </w:p>
          <w:p w:rsidR="00FC188E" w:rsidRPr="00FB4D29" w:rsidRDefault="00FC188E" w:rsidP="00FC188E">
            <w:pPr>
              <w:pStyle w:val="ListParagraph"/>
              <w:ind w:left="497"/>
              <w:jc w:val="both"/>
              <w:rPr>
                <w:sz w:val="25"/>
                <w:szCs w:val="25"/>
              </w:rPr>
            </w:pPr>
            <w:r w:rsidRPr="00FB4D29">
              <w:rPr>
                <w:sz w:val="25"/>
                <w:szCs w:val="25"/>
              </w:rPr>
              <w:t>Katrā gadījumā individuāli tiek vērtēti  aizņēmēja finanšu rādītāji (saistību rādītāju, likviditātes rādītāju un pelnītspējas rādītāju), izmantojot pieejamos datus (operatīvos pārskatus un gada pārskatus, citu aizņēmēja sniegto informāciju, t.sk. par nodrošinājumu, un publiski pieejamo informāciju, piemēram interneta informāciju), veikts nodrošinājuma novērtējums vai projekta risku vērtējums, kas ne tikai ļauj  savlaicīgi  indentificēt riskus, kas var ietekmēt valsts aizdevuma atmaksu, bet ir būtiski kopējās valsts finanšu vadības kontekstā.</w:t>
            </w:r>
          </w:p>
          <w:p w:rsidR="00FC188E" w:rsidRPr="00FB4D29" w:rsidRDefault="00FC188E" w:rsidP="00FC188E">
            <w:pPr>
              <w:pStyle w:val="ListParagraph"/>
              <w:ind w:left="497"/>
              <w:jc w:val="both"/>
              <w:rPr>
                <w:sz w:val="25"/>
                <w:szCs w:val="25"/>
              </w:rPr>
            </w:pPr>
            <w:r w:rsidRPr="00FB4D29">
              <w:rPr>
                <w:sz w:val="25"/>
                <w:szCs w:val="25"/>
              </w:rPr>
              <w:t xml:space="preserve">Vienlaikus pastāv risks, ka iesniegto dokumentu izvērtēšanas laikā tiek konstatēti papildus  apstākļi, kas nav iepriekš ieklasificējami un paredzami, bet  kas liecina par  riskiem, kam kā sekas varētu būt aizņēmēja finanšu situācijas pasliktināšanās. Bez tam jāņem vērā, ka daļai aizņēmēju ievērojamu daļu ieņēmumu veido valsts budžeta finansējums (dotācijas). Ņemot vērā līdzšinējo praksi, var secināt, ka, nepiepildoties prognozēm par valsts budžeta dotāciju apjoma pieaugumu, (piemēram  -  izmaiņas nozares politikas jomā), var tikt negatīvi ietekmēta aizņēmēja maksātspēja un ir iespējams finansiālās darbības deficīts. </w:t>
            </w:r>
          </w:p>
          <w:p w:rsidR="00EF4DCA" w:rsidRPr="00FB4D29" w:rsidRDefault="00FC188E" w:rsidP="00FC188E">
            <w:pPr>
              <w:pStyle w:val="ListParagraph"/>
              <w:ind w:left="497"/>
              <w:jc w:val="both"/>
              <w:rPr>
                <w:sz w:val="25"/>
                <w:szCs w:val="25"/>
              </w:rPr>
            </w:pPr>
            <w:r w:rsidRPr="00FB4D29">
              <w:rPr>
                <w:sz w:val="25"/>
                <w:szCs w:val="25"/>
              </w:rPr>
              <w:t>Tādējādi katrā no gadījumiem individuāli tiks novērtēta noviržu ietekme uz aizņēmēja finanšu situāciju, lai valsts aizdevums kā valsts atbalsta instruments tiktu izmantots maksimāli lietderīgi un efektīvi.</w:t>
            </w:r>
          </w:p>
          <w:p w:rsidR="009B1E9F" w:rsidRPr="00FB4D29" w:rsidRDefault="009B1E9F" w:rsidP="009B1E9F">
            <w:pPr>
              <w:ind w:left="781"/>
              <w:jc w:val="both"/>
              <w:rPr>
                <w:sz w:val="25"/>
                <w:szCs w:val="25"/>
              </w:rPr>
            </w:pPr>
          </w:p>
        </w:tc>
      </w:tr>
      <w:tr w:rsidR="00CF666C" w:rsidRPr="00FB4D29" w:rsidTr="00CF1A96">
        <w:trPr>
          <w:trHeight w:val="834"/>
          <w:tblCellSpacing w:w="15" w:type="dxa"/>
        </w:trPr>
        <w:tc>
          <w:tcPr>
            <w:tcW w:w="345" w:type="pct"/>
            <w:tcBorders>
              <w:top w:val="outset" w:sz="6" w:space="0" w:color="auto"/>
              <w:left w:val="outset" w:sz="6" w:space="0" w:color="auto"/>
              <w:bottom w:val="outset" w:sz="6" w:space="0" w:color="auto"/>
              <w:right w:val="outset" w:sz="6" w:space="0" w:color="auto"/>
            </w:tcBorders>
            <w:hideMark/>
          </w:tcPr>
          <w:p w:rsidR="00CF666C" w:rsidRPr="00FB4D29" w:rsidRDefault="00CF666C" w:rsidP="00CF666C">
            <w:pPr>
              <w:spacing w:before="100" w:beforeAutospacing="1" w:after="100" w:afterAutospacing="1" w:line="360" w:lineRule="auto"/>
              <w:ind w:firstLine="300"/>
              <w:jc w:val="center"/>
              <w:rPr>
                <w:sz w:val="25"/>
                <w:szCs w:val="25"/>
              </w:rPr>
            </w:pPr>
            <w:r w:rsidRPr="00FB4D29">
              <w:rPr>
                <w:sz w:val="25"/>
                <w:szCs w:val="25"/>
              </w:rPr>
              <w:lastRenderedPageBreak/>
              <w:t>3.</w:t>
            </w:r>
          </w:p>
        </w:tc>
        <w:tc>
          <w:tcPr>
            <w:tcW w:w="1475" w:type="pct"/>
            <w:tcBorders>
              <w:top w:val="outset" w:sz="6" w:space="0" w:color="auto"/>
              <w:left w:val="outset" w:sz="6" w:space="0" w:color="auto"/>
              <w:bottom w:val="outset" w:sz="6" w:space="0" w:color="auto"/>
              <w:right w:val="outset" w:sz="6" w:space="0" w:color="auto"/>
            </w:tcBorders>
            <w:hideMark/>
          </w:tcPr>
          <w:p w:rsidR="00CF666C" w:rsidRPr="00FB4D29" w:rsidRDefault="00CF666C" w:rsidP="00CF666C">
            <w:pPr>
              <w:rPr>
                <w:sz w:val="25"/>
                <w:szCs w:val="25"/>
              </w:rPr>
            </w:pPr>
            <w:r w:rsidRPr="00FB4D29">
              <w:rPr>
                <w:sz w:val="25"/>
                <w:szCs w:val="25"/>
              </w:rPr>
              <w:t>Projekta izstrādē iesaistītās institūcijas</w:t>
            </w:r>
          </w:p>
        </w:tc>
        <w:tc>
          <w:tcPr>
            <w:tcW w:w="3111" w:type="pct"/>
            <w:tcBorders>
              <w:top w:val="outset" w:sz="6" w:space="0" w:color="auto"/>
              <w:left w:val="outset" w:sz="6" w:space="0" w:color="auto"/>
              <w:bottom w:val="outset" w:sz="6" w:space="0" w:color="auto"/>
              <w:right w:val="outset" w:sz="6" w:space="0" w:color="auto"/>
            </w:tcBorders>
            <w:hideMark/>
          </w:tcPr>
          <w:p w:rsidR="00CF666C" w:rsidRPr="00FB4D29" w:rsidRDefault="003A72B9" w:rsidP="003A72B9">
            <w:pPr>
              <w:rPr>
                <w:sz w:val="25"/>
                <w:szCs w:val="25"/>
              </w:rPr>
            </w:pPr>
            <w:r w:rsidRPr="00FB4D29">
              <w:rPr>
                <w:sz w:val="25"/>
                <w:szCs w:val="25"/>
              </w:rPr>
              <w:t>Finanšu ministrija, Valsts kase</w:t>
            </w:r>
          </w:p>
          <w:p w:rsidR="00D2658D" w:rsidRPr="00FB4D29" w:rsidRDefault="00D2658D" w:rsidP="003A72B9">
            <w:pPr>
              <w:rPr>
                <w:sz w:val="25"/>
                <w:szCs w:val="25"/>
              </w:rPr>
            </w:pPr>
          </w:p>
        </w:tc>
      </w:tr>
      <w:tr w:rsidR="00CF666C" w:rsidRPr="00FB4D29" w:rsidTr="00CF666C">
        <w:trPr>
          <w:tblCellSpacing w:w="15" w:type="dxa"/>
        </w:trPr>
        <w:tc>
          <w:tcPr>
            <w:tcW w:w="345" w:type="pct"/>
            <w:tcBorders>
              <w:top w:val="outset" w:sz="6" w:space="0" w:color="auto"/>
              <w:left w:val="outset" w:sz="6" w:space="0" w:color="auto"/>
              <w:bottom w:val="outset" w:sz="6" w:space="0" w:color="auto"/>
              <w:right w:val="outset" w:sz="6" w:space="0" w:color="auto"/>
            </w:tcBorders>
            <w:hideMark/>
          </w:tcPr>
          <w:p w:rsidR="00CF666C" w:rsidRPr="00FB4D29" w:rsidRDefault="00CF666C" w:rsidP="00CF666C">
            <w:pPr>
              <w:spacing w:before="100" w:beforeAutospacing="1" w:after="100" w:afterAutospacing="1" w:line="360" w:lineRule="auto"/>
              <w:ind w:firstLine="300"/>
              <w:jc w:val="center"/>
              <w:rPr>
                <w:sz w:val="25"/>
                <w:szCs w:val="25"/>
              </w:rPr>
            </w:pPr>
            <w:r w:rsidRPr="00FB4D29">
              <w:rPr>
                <w:sz w:val="25"/>
                <w:szCs w:val="25"/>
              </w:rPr>
              <w:lastRenderedPageBreak/>
              <w:t>4.</w:t>
            </w:r>
          </w:p>
        </w:tc>
        <w:tc>
          <w:tcPr>
            <w:tcW w:w="1475" w:type="pct"/>
            <w:tcBorders>
              <w:top w:val="outset" w:sz="6" w:space="0" w:color="auto"/>
              <w:left w:val="outset" w:sz="6" w:space="0" w:color="auto"/>
              <w:bottom w:val="outset" w:sz="6" w:space="0" w:color="auto"/>
              <w:right w:val="outset" w:sz="6" w:space="0" w:color="auto"/>
            </w:tcBorders>
            <w:hideMark/>
          </w:tcPr>
          <w:p w:rsidR="00CF666C" w:rsidRPr="00FB4D29" w:rsidRDefault="00CF666C" w:rsidP="00CF666C">
            <w:pPr>
              <w:rPr>
                <w:sz w:val="25"/>
                <w:szCs w:val="25"/>
              </w:rPr>
            </w:pPr>
            <w:r w:rsidRPr="00FB4D29">
              <w:rPr>
                <w:sz w:val="25"/>
                <w:szCs w:val="25"/>
              </w:rPr>
              <w:t>Cita informācija</w:t>
            </w:r>
          </w:p>
        </w:tc>
        <w:tc>
          <w:tcPr>
            <w:tcW w:w="3111" w:type="pct"/>
            <w:tcBorders>
              <w:top w:val="outset" w:sz="6" w:space="0" w:color="auto"/>
              <w:left w:val="outset" w:sz="6" w:space="0" w:color="auto"/>
              <w:bottom w:val="outset" w:sz="6" w:space="0" w:color="auto"/>
              <w:right w:val="outset" w:sz="6" w:space="0" w:color="auto"/>
            </w:tcBorders>
            <w:hideMark/>
          </w:tcPr>
          <w:p w:rsidR="00CF666C" w:rsidRPr="00FB4D29" w:rsidRDefault="00CF666C" w:rsidP="004C6A4D">
            <w:pPr>
              <w:spacing w:before="100" w:beforeAutospacing="1" w:after="100" w:afterAutospacing="1" w:line="360" w:lineRule="auto"/>
              <w:rPr>
                <w:sz w:val="25"/>
                <w:szCs w:val="25"/>
              </w:rPr>
            </w:pPr>
            <w:r w:rsidRPr="00FB4D29">
              <w:rPr>
                <w:sz w:val="25"/>
                <w:szCs w:val="25"/>
              </w:rPr>
              <w:t>Nav</w:t>
            </w:r>
          </w:p>
        </w:tc>
      </w:tr>
    </w:tbl>
    <w:p w:rsidR="00FB4D29" w:rsidRPr="00FB4D29" w:rsidRDefault="00FB4D29" w:rsidP="001150B8">
      <w:pPr>
        <w:spacing w:before="100" w:beforeAutospacing="1" w:after="100" w:afterAutospacing="1" w:line="360" w:lineRule="auto"/>
        <w:rPr>
          <w:color w:val="414142"/>
          <w:sz w:val="25"/>
          <w:szCs w:val="25"/>
        </w:rPr>
      </w:pPr>
    </w:p>
    <w:tbl>
      <w:tblPr>
        <w:tblW w:w="512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2"/>
        <w:gridCol w:w="2802"/>
        <w:gridCol w:w="5998"/>
      </w:tblGrid>
      <w:tr w:rsidR="00CF666C" w:rsidRPr="00FB4D29" w:rsidTr="00315DFD">
        <w:trPr>
          <w:trHeight w:val="746"/>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CF666C" w:rsidRPr="00FB4D29" w:rsidRDefault="00CF666C" w:rsidP="00521438">
            <w:pPr>
              <w:spacing w:before="100" w:beforeAutospacing="1" w:after="100" w:afterAutospacing="1" w:line="360" w:lineRule="auto"/>
              <w:jc w:val="center"/>
              <w:rPr>
                <w:b/>
                <w:bCs/>
                <w:sz w:val="25"/>
                <w:szCs w:val="25"/>
              </w:rPr>
            </w:pPr>
            <w:r w:rsidRPr="00FB4D29">
              <w:rPr>
                <w:b/>
                <w:bCs/>
                <w:sz w:val="25"/>
                <w:szCs w:val="25"/>
              </w:rPr>
              <w:t>II. Tiesību akta projekta ietekme uz sabiedrību, tautsaimniecības attīstību un administratīvo slogu</w:t>
            </w:r>
          </w:p>
        </w:tc>
      </w:tr>
      <w:tr w:rsidR="00315DFD" w:rsidRPr="00FB4D29" w:rsidTr="00315DFD">
        <w:trPr>
          <w:trHeight w:val="465"/>
          <w:tblCellSpacing w:w="15" w:type="dxa"/>
        </w:trPr>
        <w:tc>
          <w:tcPr>
            <w:tcW w:w="318" w:type="pct"/>
            <w:tcBorders>
              <w:top w:val="outset" w:sz="6" w:space="0" w:color="auto"/>
              <w:left w:val="outset" w:sz="6" w:space="0" w:color="auto"/>
              <w:bottom w:val="outset" w:sz="6" w:space="0" w:color="auto"/>
              <w:right w:val="outset" w:sz="6" w:space="0" w:color="auto"/>
            </w:tcBorders>
            <w:hideMark/>
          </w:tcPr>
          <w:p w:rsidR="00CF666C" w:rsidRPr="00FB4D29" w:rsidRDefault="00CF666C" w:rsidP="00CF666C">
            <w:pPr>
              <w:rPr>
                <w:sz w:val="25"/>
                <w:szCs w:val="25"/>
              </w:rPr>
            </w:pPr>
            <w:r w:rsidRPr="00FB4D29">
              <w:rPr>
                <w:sz w:val="25"/>
                <w:szCs w:val="25"/>
              </w:rPr>
              <w:t>1.</w:t>
            </w:r>
          </w:p>
        </w:tc>
        <w:tc>
          <w:tcPr>
            <w:tcW w:w="1477" w:type="pct"/>
            <w:tcBorders>
              <w:top w:val="outset" w:sz="6" w:space="0" w:color="auto"/>
              <w:left w:val="outset" w:sz="6" w:space="0" w:color="auto"/>
              <w:bottom w:val="outset" w:sz="6" w:space="0" w:color="auto"/>
              <w:right w:val="outset" w:sz="6" w:space="0" w:color="auto"/>
            </w:tcBorders>
            <w:hideMark/>
          </w:tcPr>
          <w:p w:rsidR="00CF666C" w:rsidRPr="00FB4D29" w:rsidRDefault="00CF666C" w:rsidP="00CF666C">
            <w:pPr>
              <w:rPr>
                <w:sz w:val="25"/>
                <w:szCs w:val="25"/>
              </w:rPr>
            </w:pPr>
            <w:r w:rsidRPr="00FB4D29">
              <w:rPr>
                <w:sz w:val="25"/>
                <w:szCs w:val="25"/>
              </w:rPr>
              <w:t>Sabiedrības mērķgrupas, kuras tiesiskais regulējums ietekmē vai varētu ietekmēt</w:t>
            </w:r>
          </w:p>
        </w:tc>
        <w:tc>
          <w:tcPr>
            <w:tcW w:w="3141" w:type="pct"/>
            <w:tcBorders>
              <w:top w:val="outset" w:sz="6" w:space="0" w:color="auto"/>
              <w:left w:val="outset" w:sz="6" w:space="0" w:color="auto"/>
              <w:bottom w:val="outset" w:sz="6" w:space="0" w:color="auto"/>
              <w:right w:val="outset" w:sz="6" w:space="0" w:color="auto"/>
            </w:tcBorders>
            <w:hideMark/>
          </w:tcPr>
          <w:p w:rsidR="00CE1BB0" w:rsidRPr="00FB4D29" w:rsidRDefault="003A72B9" w:rsidP="00CE1BB0">
            <w:pPr>
              <w:jc w:val="both"/>
              <w:rPr>
                <w:sz w:val="25"/>
                <w:szCs w:val="25"/>
              </w:rPr>
            </w:pPr>
            <w:r w:rsidRPr="00FB4D29">
              <w:rPr>
                <w:sz w:val="25"/>
                <w:szCs w:val="25"/>
              </w:rPr>
              <w:t>Noteikumu projekta tiesiskais regulējums attieksie</w:t>
            </w:r>
            <w:r w:rsidR="00DF4D5A" w:rsidRPr="00FB4D29">
              <w:rPr>
                <w:sz w:val="25"/>
                <w:szCs w:val="25"/>
              </w:rPr>
              <w:t xml:space="preserve">s uz </w:t>
            </w:r>
            <w:r w:rsidR="000D6556" w:rsidRPr="00FB4D29">
              <w:rPr>
                <w:sz w:val="25"/>
                <w:szCs w:val="25"/>
              </w:rPr>
              <w:t xml:space="preserve">Likumā par budžeta un finanšu vadību </w:t>
            </w:r>
            <w:r w:rsidR="00DF4D5A" w:rsidRPr="00FB4D29">
              <w:rPr>
                <w:sz w:val="25"/>
                <w:szCs w:val="25"/>
              </w:rPr>
              <w:t>noteiktajiem valsts aizdevuma</w:t>
            </w:r>
            <w:r w:rsidRPr="00FB4D29">
              <w:rPr>
                <w:sz w:val="25"/>
                <w:szCs w:val="25"/>
              </w:rPr>
              <w:t xml:space="preserve"> pretendentiem </w:t>
            </w:r>
            <w:r w:rsidR="00D7131F" w:rsidRPr="00FB4D29">
              <w:rPr>
                <w:sz w:val="25"/>
                <w:szCs w:val="25"/>
              </w:rPr>
              <w:t>–</w:t>
            </w:r>
            <w:r w:rsidR="00CE1BB0" w:rsidRPr="00FB4D29">
              <w:rPr>
                <w:sz w:val="25"/>
                <w:szCs w:val="25"/>
              </w:rPr>
              <w:t xml:space="preserve"> pašvaldībām, valsts speciālā budžeta izpildītājiem, zinātniskajiem institūtiem vai augstskolām, kam ir noteikts atvasinātas publiskas personas statuss, kapitālsabiedrībām, kurās valsts vai pašvaldības daļa pamatkapitālā atsevišķi vai kopsummā pārsniedz 50 %</w:t>
            </w:r>
            <w:r w:rsidR="00D51A96" w:rsidRPr="00FB4D29">
              <w:rPr>
                <w:sz w:val="25"/>
                <w:szCs w:val="25"/>
              </w:rPr>
              <w:t>,</w:t>
            </w:r>
            <w:r w:rsidR="00CE1BB0" w:rsidRPr="00FB4D29">
              <w:rPr>
                <w:sz w:val="25"/>
                <w:szCs w:val="25"/>
              </w:rPr>
              <w:t xml:space="preserve"> vai vairāku pašvaldību veidotām kapitālsabiedrībām, kurās pašvaldību daļa pamatkapitālā</w:t>
            </w:r>
            <w:r w:rsidR="00CB77CF" w:rsidRPr="00FB4D29">
              <w:rPr>
                <w:sz w:val="25"/>
                <w:szCs w:val="25"/>
              </w:rPr>
              <w:t xml:space="preserve"> kopsummā pārsniedz 65 %</w:t>
            </w:r>
            <w:r w:rsidR="000E1C15" w:rsidRPr="00FB4D29">
              <w:rPr>
                <w:sz w:val="25"/>
                <w:szCs w:val="25"/>
              </w:rPr>
              <w:t>,  ostu pārvaldēm</w:t>
            </w:r>
            <w:r w:rsidR="00CE1BB0" w:rsidRPr="00FB4D29">
              <w:rPr>
                <w:sz w:val="25"/>
                <w:szCs w:val="25"/>
              </w:rPr>
              <w:t xml:space="preserve">. </w:t>
            </w:r>
          </w:p>
          <w:p w:rsidR="00CF666C" w:rsidRPr="00FB4D29" w:rsidRDefault="00CF666C" w:rsidP="00CE1BB0">
            <w:pPr>
              <w:ind w:left="58" w:right="84"/>
              <w:jc w:val="both"/>
              <w:rPr>
                <w:sz w:val="25"/>
                <w:szCs w:val="25"/>
              </w:rPr>
            </w:pPr>
          </w:p>
        </w:tc>
      </w:tr>
      <w:tr w:rsidR="00315DFD" w:rsidRPr="00FB4D29" w:rsidTr="00315DFD">
        <w:trPr>
          <w:trHeight w:val="510"/>
          <w:tblCellSpacing w:w="15" w:type="dxa"/>
        </w:trPr>
        <w:tc>
          <w:tcPr>
            <w:tcW w:w="318" w:type="pct"/>
            <w:tcBorders>
              <w:top w:val="outset" w:sz="6" w:space="0" w:color="auto"/>
              <w:left w:val="outset" w:sz="6" w:space="0" w:color="auto"/>
              <w:bottom w:val="outset" w:sz="6" w:space="0" w:color="auto"/>
              <w:right w:val="outset" w:sz="6" w:space="0" w:color="auto"/>
            </w:tcBorders>
            <w:hideMark/>
          </w:tcPr>
          <w:p w:rsidR="00CF666C" w:rsidRPr="00FB4D29" w:rsidRDefault="00CF666C" w:rsidP="00CF666C">
            <w:pPr>
              <w:rPr>
                <w:sz w:val="25"/>
                <w:szCs w:val="25"/>
              </w:rPr>
            </w:pPr>
            <w:r w:rsidRPr="00FB4D29">
              <w:rPr>
                <w:sz w:val="25"/>
                <w:szCs w:val="25"/>
              </w:rPr>
              <w:t>2.</w:t>
            </w:r>
          </w:p>
        </w:tc>
        <w:tc>
          <w:tcPr>
            <w:tcW w:w="1477" w:type="pct"/>
            <w:tcBorders>
              <w:top w:val="outset" w:sz="6" w:space="0" w:color="auto"/>
              <w:left w:val="outset" w:sz="6" w:space="0" w:color="auto"/>
              <w:bottom w:val="outset" w:sz="6" w:space="0" w:color="auto"/>
              <w:right w:val="outset" w:sz="6" w:space="0" w:color="auto"/>
            </w:tcBorders>
            <w:hideMark/>
          </w:tcPr>
          <w:p w:rsidR="00CF666C" w:rsidRPr="00FB4D29" w:rsidRDefault="00CF666C" w:rsidP="00CF666C">
            <w:pPr>
              <w:rPr>
                <w:sz w:val="25"/>
                <w:szCs w:val="25"/>
              </w:rPr>
            </w:pPr>
            <w:r w:rsidRPr="00FB4D29">
              <w:rPr>
                <w:sz w:val="25"/>
                <w:szCs w:val="25"/>
              </w:rPr>
              <w:t>Tiesiskā regulējuma ietekme uz tautsaimniecību un administratīvo slogu</w:t>
            </w:r>
          </w:p>
        </w:tc>
        <w:tc>
          <w:tcPr>
            <w:tcW w:w="3141" w:type="pct"/>
            <w:tcBorders>
              <w:top w:val="outset" w:sz="6" w:space="0" w:color="auto"/>
              <w:left w:val="outset" w:sz="6" w:space="0" w:color="auto"/>
              <w:bottom w:val="outset" w:sz="6" w:space="0" w:color="auto"/>
              <w:right w:val="outset" w:sz="6" w:space="0" w:color="auto"/>
            </w:tcBorders>
            <w:hideMark/>
          </w:tcPr>
          <w:p w:rsidR="00E16042" w:rsidRPr="00FB4D29" w:rsidRDefault="00E16042" w:rsidP="007C3BDD">
            <w:pPr>
              <w:jc w:val="both"/>
              <w:rPr>
                <w:sz w:val="25"/>
                <w:szCs w:val="25"/>
              </w:rPr>
            </w:pPr>
            <w:r w:rsidRPr="00FB4D29">
              <w:rPr>
                <w:sz w:val="25"/>
                <w:szCs w:val="25"/>
              </w:rPr>
              <w:t>MK noteikumu projekta ietvaros ir precizēts t</w:t>
            </w:r>
            <w:r w:rsidR="00C04D6F" w:rsidRPr="00FB4D29">
              <w:rPr>
                <w:sz w:val="25"/>
                <w:szCs w:val="25"/>
              </w:rPr>
              <w:t xml:space="preserve">iesiskais regulējums attiecībā uz </w:t>
            </w:r>
            <w:r w:rsidR="00252AF8" w:rsidRPr="00FB4D29">
              <w:rPr>
                <w:sz w:val="25"/>
                <w:szCs w:val="25"/>
              </w:rPr>
              <w:t>valsts aizdevum</w:t>
            </w:r>
            <w:r w:rsidR="00E5642A" w:rsidRPr="00FB4D29">
              <w:rPr>
                <w:sz w:val="25"/>
                <w:szCs w:val="25"/>
              </w:rPr>
              <w:t>u</w:t>
            </w:r>
            <w:r w:rsidR="00252AF8" w:rsidRPr="00FB4D29">
              <w:rPr>
                <w:sz w:val="25"/>
                <w:szCs w:val="25"/>
              </w:rPr>
              <w:t xml:space="preserve"> </w:t>
            </w:r>
            <w:r w:rsidR="00C04D6F" w:rsidRPr="00FB4D29">
              <w:rPr>
                <w:sz w:val="25"/>
                <w:szCs w:val="25"/>
              </w:rPr>
              <w:t>sniegšanas</w:t>
            </w:r>
            <w:r w:rsidR="00252AF8" w:rsidRPr="00FB4D29">
              <w:rPr>
                <w:sz w:val="25"/>
                <w:szCs w:val="25"/>
              </w:rPr>
              <w:t>, apkalpošanas</w:t>
            </w:r>
            <w:r w:rsidRPr="00FB4D29">
              <w:rPr>
                <w:sz w:val="25"/>
                <w:szCs w:val="25"/>
              </w:rPr>
              <w:t xml:space="preserve"> un uzraudzības process valsts un pašvaldību institūcijām.</w:t>
            </w:r>
            <w:r w:rsidR="00FE1A04" w:rsidRPr="00FB4D29">
              <w:rPr>
                <w:sz w:val="25"/>
                <w:szCs w:val="25"/>
              </w:rPr>
              <w:t xml:space="preserve"> Tas turpmāk nodrošinās skaidrāku nacionālo tiesisko regulējumu valsts aizdevumu izsniegšanas procesā, vienlaicīgi nemainot iesaistītajām valsts un pašvaldību institūcijām administratīvo slogu.</w:t>
            </w:r>
          </w:p>
          <w:p w:rsidR="00EC6270" w:rsidRPr="00FB4D29" w:rsidRDefault="0053187F" w:rsidP="00F02689">
            <w:pPr>
              <w:jc w:val="both"/>
              <w:rPr>
                <w:sz w:val="25"/>
                <w:szCs w:val="25"/>
              </w:rPr>
            </w:pPr>
            <w:r w:rsidRPr="00FB4D29">
              <w:rPr>
                <w:sz w:val="25"/>
                <w:szCs w:val="25"/>
              </w:rPr>
              <w:t xml:space="preserve"> </w:t>
            </w:r>
          </w:p>
        </w:tc>
      </w:tr>
      <w:tr w:rsidR="00315DFD" w:rsidRPr="00FB4D29" w:rsidTr="00315DFD">
        <w:trPr>
          <w:trHeight w:val="510"/>
          <w:tblCellSpacing w:w="15" w:type="dxa"/>
        </w:trPr>
        <w:tc>
          <w:tcPr>
            <w:tcW w:w="318" w:type="pct"/>
            <w:tcBorders>
              <w:top w:val="outset" w:sz="6" w:space="0" w:color="auto"/>
              <w:left w:val="outset" w:sz="6" w:space="0" w:color="auto"/>
              <w:bottom w:val="outset" w:sz="6" w:space="0" w:color="auto"/>
              <w:right w:val="outset" w:sz="6" w:space="0" w:color="auto"/>
            </w:tcBorders>
            <w:hideMark/>
          </w:tcPr>
          <w:p w:rsidR="00CF666C" w:rsidRPr="00FB4D29" w:rsidRDefault="00CF666C" w:rsidP="00CF666C">
            <w:pPr>
              <w:rPr>
                <w:sz w:val="25"/>
                <w:szCs w:val="25"/>
              </w:rPr>
            </w:pPr>
            <w:r w:rsidRPr="00FB4D29">
              <w:rPr>
                <w:sz w:val="25"/>
                <w:szCs w:val="25"/>
              </w:rPr>
              <w:t>3.</w:t>
            </w:r>
          </w:p>
        </w:tc>
        <w:tc>
          <w:tcPr>
            <w:tcW w:w="1477" w:type="pct"/>
            <w:tcBorders>
              <w:top w:val="outset" w:sz="6" w:space="0" w:color="auto"/>
              <w:left w:val="outset" w:sz="6" w:space="0" w:color="auto"/>
              <w:bottom w:val="outset" w:sz="6" w:space="0" w:color="auto"/>
              <w:right w:val="outset" w:sz="6" w:space="0" w:color="auto"/>
            </w:tcBorders>
            <w:hideMark/>
          </w:tcPr>
          <w:p w:rsidR="00CF666C" w:rsidRPr="00FB4D29" w:rsidRDefault="00CF666C" w:rsidP="00CF666C">
            <w:pPr>
              <w:rPr>
                <w:sz w:val="25"/>
                <w:szCs w:val="25"/>
              </w:rPr>
            </w:pPr>
            <w:r w:rsidRPr="00FB4D29">
              <w:rPr>
                <w:sz w:val="25"/>
                <w:szCs w:val="25"/>
              </w:rPr>
              <w:t>Administratīvo izmaksu monetārs novērtējums</w:t>
            </w:r>
          </w:p>
        </w:tc>
        <w:tc>
          <w:tcPr>
            <w:tcW w:w="3141" w:type="pct"/>
            <w:tcBorders>
              <w:top w:val="outset" w:sz="6" w:space="0" w:color="auto"/>
              <w:left w:val="outset" w:sz="6" w:space="0" w:color="auto"/>
              <w:bottom w:val="outset" w:sz="6" w:space="0" w:color="auto"/>
              <w:right w:val="outset" w:sz="6" w:space="0" w:color="auto"/>
            </w:tcBorders>
            <w:hideMark/>
          </w:tcPr>
          <w:p w:rsidR="00E16042" w:rsidRPr="00FB4D29" w:rsidRDefault="00E16042" w:rsidP="00EB05FA">
            <w:pPr>
              <w:jc w:val="both"/>
              <w:rPr>
                <w:sz w:val="25"/>
                <w:szCs w:val="25"/>
              </w:rPr>
            </w:pPr>
            <w:r w:rsidRPr="00FB4D29">
              <w:rPr>
                <w:sz w:val="25"/>
                <w:szCs w:val="25"/>
              </w:rPr>
              <w:t>Nav attiecināms</w:t>
            </w:r>
          </w:p>
          <w:p w:rsidR="007C6B30" w:rsidRPr="00FB4D29" w:rsidRDefault="007C6B30" w:rsidP="00973E7F">
            <w:pPr>
              <w:jc w:val="both"/>
              <w:rPr>
                <w:sz w:val="25"/>
                <w:szCs w:val="25"/>
              </w:rPr>
            </w:pPr>
            <w:r w:rsidRPr="00FB4D29">
              <w:rPr>
                <w:sz w:val="25"/>
                <w:szCs w:val="25"/>
              </w:rPr>
              <w:t xml:space="preserve"> </w:t>
            </w:r>
          </w:p>
        </w:tc>
      </w:tr>
      <w:tr w:rsidR="00315DFD" w:rsidRPr="00FB4D29" w:rsidTr="00FB4D29">
        <w:trPr>
          <w:trHeight w:val="588"/>
          <w:tblCellSpacing w:w="15" w:type="dxa"/>
        </w:trPr>
        <w:tc>
          <w:tcPr>
            <w:tcW w:w="318" w:type="pct"/>
            <w:tcBorders>
              <w:top w:val="outset" w:sz="6" w:space="0" w:color="auto"/>
              <w:left w:val="outset" w:sz="6" w:space="0" w:color="auto"/>
              <w:bottom w:val="outset" w:sz="6" w:space="0" w:color="auto"/>
              <w:right w:val="outset" w:sz="6" w:space="0" w:color="auto"/>
            </w:tcBorders>
            <w:hideMark/>
          </w:tcPr>
          <w:p w:rsidR="00CF666C" w:rsidRPr="00FB4D29" w:rsidRDefault="00CF666C" w:rsidP="00CF666C">
            <w:pPr>
              <w:rPr>
                <w:sz w:val="25"/>
                <w:szCs w:val="25"/>
              </w:rPr>
            </w:pPr>
            <w:r w:rsidRPr="00FB4D29">
              <w:rPr>
                <w:sz w:val="25"/>
                <w:szCs w:val="25"/>
              </w:rPr>
              <w:t>4.</w:t>
            </w:r>
          </w:p>
        </w:tc>
        <w:tc>
          <w:tcPr>
            <w:tcW w:w="1477" w:type="pct"/>
            <w:tcBorders>
              <w:top w:val="outset" w:sz="6" w:space="0" w:color="auto"/>
              <w:left w:val="outset" w:sz="6" w:space="0" w:color="auto"/>
              <w:bottom w:val="outset" w:sz="6" w:space="0" w:color="auto"/>
              <w:right w:val="outset" w:sz="6" w:space="0" w:color="auto"/>
            </w:tcBorders>
            <w:hideMark/>
          </w:tcPr>
          <w:p w:rsidR="00CF666C" w:rsidRPr="00FB4D29" w:rsidRDefault="00CF666C" w:rsidP="00CF666C">
            <w:pPr>
              <w:rPr>
                <w:sz w:val="25"/>
                <w:szCs w:val="25"/>
              </w:rPr>
            </w:pPr>
            <w:r w:rsidRPr="00FB4D29">
              <w:rPr>
                <w:sz w:val="25"/>
                <w:szCs w:val="25"/>
              </w:rPr>
              <w:t>Cita informācija</w:t>
            </w:r>
          </w:p>
        </w:tc>
        <w:tc>
          <w:tcPr>
            <w:tcW w:w="3141" w:type="pct"/>
            <w:tcBorders>
              <w:top w:val="outset" w:sz="6" w:space="0" w:color="auto"/>
              <w:left w:val="outset" w:sz="6" w:space="0" w:color="auto"/>
              <w:bottom w:val="outset" w:sz="6" w:space="0" w:color="auto"/>
              <w:right w:val="outset" w:sz="6" w:space="0" w:color="auto"/>
            </w:tcBorders>
            <w:hideMark/>
          </w:tcPr>
          <w:p w:rsidR="00CF666C" w:rsidRPr="00FB4D29" w:rsidRDefault="00CF666C" w:rsidP="00521438">
            <w:pPr>
              <w:spacing w:before="100" w:beforeAutospacing="1" w:after="100" w:afterAutospacing="1" w:line="360" w:lineRule="auto"/>
              <w:rPr>
                <w:sz w:val="25"/>
                <w:szCs w:val="25"/>
              </w:rPr>
            </w:pPr>
            <w:r w:rsidRPr="00FB4D29">
              <w:rPr>
                <w:sz w:val="25"/>
                <w:szCs w:val="25"/>
              </w:rPr>
              <w:t>Nav</w:t>
            </w:r>
          </w:p>
        </w:tc>
      </w:tr>
    </w:tbl>
    <w:p w:rsidR="00CF666C" w:rsidRPr="00FB4D29" w:rsidRDefault="00CF666C" w:rsidP="005606E6">
      <w:pPr>
        <w:spacing w:before="100" w:beforeAutospacing="1" w:after="100" w:afterAutospacing="1" w:line="360" w:lineRule="auto"/>
        <w:rPr>
          <w:color w:val="414142"/>
          <w:sz w:val="25"/>
          <w:szCs w:val="25"/>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F666C" w:rsidRPr="00FB4D29" w:rsidTr="00CF666C">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666C" w:rsidRPr="00FB4D29" w:rsidRDefault="00CF666C" w:rsidP="00CF666C">
            <w:pPr>
              <w:spacing w:before="100" w:beforeAutospacing="1" w:after="100" w:afterAutospacing="1" w:line="360" w:lineRule="auto"/>
              <w:ind w:firstLine="300"/>
              <w:jc w:val="center"/>
              <w:rPr>
                <w:b/>
                <w:bCs/>
                <w:sz w:val="25"/>
                <w:szCs w:val="25"/>
              </w:rPr>
            </w:pPr>
            <w:r w:rsidRPr="00FB4D29">
              <w:rPr>
                <w:b/>
                <w:bCs/>
                <w:sz w:val="25"/>
                <w:szCs w:val="25"/>
              </w:rPr>
              <w:t>III. Tiesību akta projekta ietekme uz valsts budžetu un pašvaldību budžetiem</w:t>
            </w:r>
          </w:p>
        </w:tc>
      </w:tr>
      <w:tr w:rsidR="0039435E" w:rsidRPr="00FB4D29" w:rsidTr="00CF666C">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9435E" w:rsidRPr="00FB4D29" w:rsidRDefault="0039435E" w:rsidP="00CF666C">
            <w:pPr>
              <w:spacing w:before="100" w:beforeAutospacing="1" w:after="100" w:afterAutospacing="1" w:line="360" w:lineRule="auto"/>
              <w:ind w:firstLine="300"/>
              <w:jc w:val="center"/>
              <w:rPr>
                <w:bCs/>
                <w:sz w:val="25"/>
                <w:szCs w:val="25"/>
              </w:rPr>
            </w:pPr>
            <w:r w:rsidRPr="00FB4D29">
              <w:rPr>
                <w:bCs/>
                <w:sz w:val="25"/>
                <w:szCs w:val="25"/>
              </w:rPr>
              <w:t>Projekts šo jomu neskar</w:t>
            </w:r>
          </w:p>
        </w:tc>
      </w:tr>
    </w:tbl>
    <w:p w:rsidR="00D06E02" w:rsidRPr="00FB4D29" w:rsidRDefault="00D06E02" w:rsidP="002A5CEF">
      <w:pPr>
        <w:rPr>
          <w:color w:val="414142"/>
          <w:sz w:val="25"/>
          <w:szCs w:val="25"/>
        </w:rPr>
      </w:pPr>
    </w:p>
    <w:tbl>
      <w:tblPr>
        <w:tblpPr w:leftFromText="180" w:rightFromText="180" w:vertAnchor="text" w:horzAnchor="margin" w:tblpXSpec="center" w:tblpY="-119"/>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D06E02" w:rsidRPr="00FB4D29" w:rsidTr="000D626E">
        <w:trPr>
          <w:trHeight w:val="45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06E02" w:rsidRPr="00FB4D29" w:rsidRDefault="00D06E02" w:rsidP="000D626E">
            <w:pPr>
              <w:spacing w:before="100" w:beforeAutospacing="1" w:after="100" w:afterAutospacing="1" w:line="360" w:lineRule="auto"/>
              <w:ind w:firstLine="300"/>
              <w:jc w:val="center"/>
              <w:rPr>
                <w:b/>
                <w:bCs/>
                <w:color w:val="414142"/>
                <w:sz w:val="25"/>
                <w:szCs w:val="25"/>
              </w:rPr>
            </w:pPr>
            <w:r w:rsidRPr="00FB4D29">
              <w:rPr>
                <w:b/>
                <w:bCs/>
                <w:color w:val="414142"/>
                <w:sz w:val="25"/>
                <w:szCs w:val="25"/>
              </w:rPr>
              <w:lastRenderedPageBreak/>
              <w:t>IV. Tiesību akta projekta ietekme uz spēkā esošo tiesību normu sistēmu</w:t>
            </w:r>
          </w:p>
        </w:tc>
      </w:tr>
      <w:tr w:rsidR="00D06E02" w:rsidRPr="00FB4D29" w:rsidTr="000D626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D06E02" w:rsidRPr="00FB4D29" w:rsidRDefault="00D06E02" w:rsidP="000D626E">
            <w:pPr>
              <w:rPr>
                <w:color w:val="414142"/>
                <w:sz w:val="25"/>
                <w:szCs w:val="25"/>
              </w:rPr>
            </w:pPr>
            <w:r w:rsidRPr="00FB4D29">
              <w:rPr>
                <w:color w:val="414142"/>
                <w:sz w:val="25"/>
                <w:szCs w:val="25"/>
              </w:rPr>
              <w:t>1.</w:t>
            </w:r>
          </w:p>
        </w:tc>
        <w:tc>
          <w:tcPr>
            <w:tcW w:w="1431" w:type="pct"/>
            <w:tcBorders>
              <w:top w:val="outset" w:sz="6" w:space="0" w:color="auto"/>
              <w:left w:val="outset" w:sz="6" w:space="0" w:color="auto"/>
              <w:bottom w:val="outset" w:sz="6" w:space="0" w:color="auto"/>
              <w:right w:val="outset" w:sz="6" w:space="0" w:color="auto"/>
            </w:tcBorders>
            <w:hideMark/>
          </w:tcPr>
          <w:p w:rsidR="00D06E02" w:rsidRPr="00FB4D29" w:rsidRDefault="00D06E02" w:rsidP="000D626E">
            <w:pPr>
              <w:rPr>
                <w:color w:val="414142"/>
                <w:sz w:val="25"/>
                <w:szCs w:val="25"/>
              </w:rPr>
            </w:pPr>
            <w:r w:rsidRPr="00FB4D29">
              <w:rPr>
                <w:color w:val="414142"/>
                <w:sz w:val="25"/>
                <w:szCs w:val="25"/>
              </w:rPr>
              <w:t>Nepieciešamie saistītie tiesību aktu projekti</w:t>
            </w:r>
          </w:p>
        </w:tc>
        <w:tc>
          <w:tcPr>
            <w:tcW w:w="3257" w:type="pct"/>
            <w:tcBorders>
              <w:top w:val="outset" w:sz="6" w:space="0" w:color="auto"/>
              <w:left w:val="outset" w:sz="6" w:space="0" w:color="auto"/>
              <w:bottom w:val="outset" w:sz="6" w:space="0" w:color="auto"/>
              <w:right w:val="outset" w:sz="6" w:space="0" w:color="auto"/>
            </w:tcBorders>
            <w:hideMark/>
          </w:tcPr>
          <w:p w:rsidR="00D06E02" w:rsidRPr="00FB4D29" w:rsidRDefault="00D06E02" w:rsidP="000D626E">
            <w:pPr>
              <w:pStyle w:val="naispant"/>
              <w:spacing w:before="0" w:beforeAutospacing="0" w:after="0" w:afterAutospacing="0"/>
              <w:jc w:val="both"/>
              <w:rPr>
                <w:sz w:val="25"/>
                <w:szCs w:val="25"/>
              </w:rPr>
            </w:pPr>
            <w:r w:rsidRPr="00FB4D29">
              <w:rPr>
                <w:bCs/>
                <w:sz w:val="25"/>
                <w:szCs w:val="25"/>
              </w:rPr>
              <w:t>Projekts šo jomu neskar</w:t>
            </w:r>
          </w:p>
        </w:tc>
      </w:tr>
      <w:tr w:rsidR="00D06E02" w:rsidRPr="00FB4D29" w:rsidTr="000D626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D06E02" w:rsidRPr="00FB4D29" w:rsidRDefault="00D06E02" w:rsidP="000D626E">
            <w:pPr>
              <w:rPr>
                <w:color w:val="414142"/>
                <w:sz w:val="25"/>
                <w:szCs w:val="25"/>
              </w:rPr>
            </w:pPr>
            <w:r w:rsidRPr="00FB4D29">
              <w:rPr>
                <w:color w:val="414142"/>
                <w:sz w:val="25"/>
                <w:szCs w:val="25"/>
              </w:rPr>
              <w:t>2.</w:t>
            </w:r>
          </w:p>
        </w:tc>
        <w:tc>
          <w:tcPr>
            <w:tcW w:w="1431" w:type="pct"/>
            <w:tcBorders>
              <w:top w:val="outset" w:sz="6" w:space="0" w:color="auto"/>
              <w:left w:val="outset" w:sz="6" w:space="0" w:color="auto"/>
              <w:bottom w:val="outset" w:sz="6" w:space="0" w:color="auto"/>
              <w:right w:val="outset" w:sz="6" w:space="0" w:color="auto"/>
            </w:tcBorders>
            <w:hideMark/>
          </w:tcPr>
          <w:p w:rsidR="00D06E02" w:rsidRPr="00FB4D29" w:rsidRDefault="00D06E02" w:rsidP="000D626E">
            <w:pPr>
              <w:rPr>
                <w:color w:val="414142"/>
                <w:sz w:val="25"/>
                <w:szCs w:val="25"/>
              </w:rPr>
            </w:pPr>
            <w:r w:rsidRPr="00FB4D29">
              <w:rPr>
                <w:color w:val="414142"/>
                <w:sz w:val="25"/>
                <w:szCs w:val="25"/>
              </w:rPr>
              <w:t>Atbildīgā institūcija</w:t>
            </w:r>
          </w:p>
        </w:tc>
        <w:tc>
          <w:tcPr>
            <w:tcW w:w="3257" w:type="pct"/>
            <w:tcBorders>
              <w:top w:val="outset" w:sz="6" w:space="0" w:color="auto"/>
              <w:left w:val="outset" w:sz="6" w:space="0" w:color="auto"/>
              <w:bottom w:val="outset" w:sz="6" w:space="0" w:color="auto"/>
              <w:right w:val="outset" w:sz="6" w:space="0" w:color="auto"/>
            </w:tcBorders>
            <w:hideMark/>
          </w:tcPr>
          <w:p w:rsidR="00D06E02" w:rsidRPr="00FB4D29" w:rsidRDefault="00D06E02" w:rsidP="000D626E">
            <w:pPr>
              <w:rPr>
                <w:color w:val="414142"/>
                <w:sz w:val="25"/>
                <w:szCs w:val="25"/>
              </w:rPr>
            </w:pPr>
            <w:r w:rsidRPr="00FB4D29">
              <w:rPr>
                <w:bCs/>
                <w:sz w:val="25"/>
                <w:szCs w:val="25"/>
              </w:rPr>
              <w:t>Projekts šo jomu neskar</w:t>
            </w:r>
          </w:p>
        </w:tc>
      </w:tr>
      <w:tr w:rsidR="00D06E02" w:rsidRPr="00FB4D29" w:rsidTr="00792B1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D06E02" w:rsidRPr="00FB4D29" w:rsidRDefault="00D06E02" w:rsidP="000D626E">
            <w:pPr>
              <w:rPr>
                <w:color w:val="414142"/>
                <w:sz w:val="25"/>
                <w:szCs w:val="25"/>
              </w:rPr>
            </w:pPr>
            <w:r w:rsidRPr="00FB4D29">
              <w:rPr>
                <w:color w:val="414142"/>
                <w:sz w:val="25"/>
                <w:szCs w:val="25"/>
              </w:rPr>
              <w:t>3.</w:t>
            </w:r>
          </w:p>
        </w:tc>
        <w:tc>
          <w:tcPr>
            <w:tcW w:w="1431" w:type="pct"/>
            <w:tcBorders>
              <w:top w:val="outset" w:sz="6" w:space="0" w:color="auto"/>
              <w:left w:val="outset" w:sz="6" w:space="0" w:color="auto"/>
              <w:bottom w:val="outset" w:sz="6" w:space="0" w:color="auto"/>
              <w:right w:val="outset" w:sz="6" w:space="0" w:color="auto"/>
            </w:tcBorders>
            <w:hideMark/>
          </w:tcPr>
          <w:p w:rsidR="00D06E02" w:rsidRPr="00FB4D29" w:rsidRDefault="00D06E02" w:rsidP="000D626E">
            <w:pPr>
              <w:rPr>
                <w:color w:val="414142"/>
                <w:sz w:val="25"/>
                <w:szCs w:val="25"/>
              </w:rPr>
            </w:pPr>
            <w:r w:rsidRPr="00FB4D29">
              <w:rPr>
                <w:color w:val="414142"/>
                <w:sz w:val="25"/>
                <w:szCs w:val="25"/>
              </w:rPr>
              <w:t>Cita informācija</w:t>
            </w:r>
          </w:p>
        </w:tc>
        <w:tc>
          <w:tcPr>
            <w:tcW w:w="3257" w:type="pct"/>
            <w:tcBorders>
              <w:top w:val="outset" w:sz="6" w:space="0" w:color="auto"/>
              <w:left w:val="outset" w:sz="6" w:space="0" w:color="auto"/>
              <w:bottom w:val="outset" w:sz="6" w:space="0" w:color="auto"/>
              <w:right w:val="outset" w:sz="6" w:space="0" w:color="auto"/>
            </w:tcBorders>
          </w:tcPr>
          <w:p w:rsidR="00792B1A" w:rsidRPr="00FB4D29" w:rsidRDefault="00792B1A" w:rsidP="00CC3324">
            <w:pPr>
              <w:pStyle w:val="BodyText"/>
              <w:ind w:left="248"/>
              <w:jc w:val="both"/>
              <w:rPr>
                <w:b w:val="0"/>
                <w:bCs w:val="0"/>
                <w:sz w:val="25"/>
                <w:szCs w:val="25"/>
                <w:lang w:eastAsia="lv-LV"/>
              </w:rPr>
            </w:pPr>
            <w:r w:rsidRPr="00FB4D29">
              <w:rPr>
                <w:b w:val="0"/>
                <w:bCs w:val="0"/>
                <w:sz w:val="25"/>
                <w:szCs w:val="25"/>
                <w:lang w:eastAsia="lv-LV"/>
              </w:rPr>
              <w:t>Atzīt par spēku zaudējušiem Ministru kabin</w:t>
            </w:r>
            <w:r w:rsidR="00D51A96" w:rsidRPr="00FB4D29">
              <w:rPr>
                <w:b w:val="0"/>
                <w:bCs w:val="0"/>
                <w:sz w:val="25"/>
                <w:szCs w:val="25"/>
                <w:lang w:eastAsia="lv-LV"/>
              </w:rPr>
              <w:t>eta 2010.gada 19.</w:t>
            </w:r>
            <w:r w:rsidRPr="00FB4D29">
              <w:rPr>
                <w:b w:val="0"/>
                <w:bCs w:val="0"/>
                <w:sz w:val="25"/>
                <w:szCs w:val="25"/>
                <w:lang w:eastAsia="lv-LV"/>
              </w:rPr>
              <w:t>janvāra noteikumus Nr.63 "Valsts aizdevumu izsniegšanas un apkalpošanas kārtība" (Latvijas Vēstnesis, 2010, 14.nr.) un Ministru kabineta 2012.gada 12.jūnija noteikumus Nr.397 “Kārtība, kādā ministrijas un citas centrālās valsts iestādes iekļauj gadskārtējā valsts budžeta likumprojektā valsts aizdevumu pieprasījumus” (Latvijas Vēstnesis, 2012, 93.nr.)</w:t>
            </w:r>
          </w:p>
          <w:p w:rsidR="00D06E02" w:rsidRPr="00FB4D29" w:rsidRDefault="00D06E02" w:rsidP="000D3175">
            <w:pPr>
              <w:jc w:val="both"/>
              <w:rPr>
                <w:sz w:val="25"/>
                <w:szCs w:val="25"/>
              </w:rPr>
            </w:pPr>
          </w:p>
        </w:tc>
      </w:tr>
    </w:tbl>
    <w:p w:rsidR="00D95319" w:rsidRPr="00FB4D29" w:rsidRDefault="00D95319" w:rsidP="002A5CEF">
      <w:pPr>
        <w:rPr>
          <w:color w:val="414142"/>
          <w:sz w:val="25"/>
          <w:szCs w:val="25"/>
        </w:rPr>
      </w:pPr>
    </w:p>
    <w:p w:rsidR="006F21FC" w:rsidRPr="00FB4D29" w:rsidRDefault="006F21FC" w:rsidP="002A5CEF">
      <w:pPr>
        <w:rPr>
          <w:color w:val="414142"/>
          <w:sz w:val="25"/>
          <w:szCs w:val="25"/>
        </w:rPr>
      </w:pPr>
    </w:p>
    <w:p w:rsidR="00590041" w:rsidRPr="00FB4D29" w:rsidRDefault="00590041" w:rsidP="00590041">
      <w:pPr>
        <w:rPr>
          <w:vanish/>
          <w:sz w:val="25"/>
          <w:szCs w:val="25"/>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D95319" w:rsidRPr="00FB4D29" w:rsidTr="003A79BA">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D95319" w:rsidRPr="00FB4D29" w:rsidRDefault="00D95319" w:rsidP="001957F9">
            <w:pPr>
              <w:spacing w:before="100" w:beforeAutospacing="1" w:after="100" w:afterAutospacing="1" w:line="360" w:lineRule="auto"/>
              <w:ind w:firstLine="300"/>
              <w:jc w:val="center"/>
              <w:rPr>
                <w:b/>
                <w:bCs/>
                <w:color w:val="414142"/>
                <w:sz w:val="25"/>
                <w:szCs w:val="25"/>
              </w:rPr>
            </w:pPr>
            <w:r w:rsidRPr="00FB4D29">
              <w:rPr>
                <w:b/>
                <w:bCs/>
                <w:color w:val="414142"/>
                <w:sz w:val="25"/>
                <w:szCs w:val="25"/>
              </w:rPr>
              <w:t>V. Tiesību akta projekta atbilstība Latvijas Republikas starptautiskajām saistībām</w:t>
            </w:r>
          </w:p>
        </w:tc>
      </w:tr>
      <w:tr w:rsidR="00EB6912" w:rsidRPr="00FB4D29" w:rsidTr="003A79BA">
        <w:trPr>
          <w:trHeight w:val="219"/>
          <w:tblCellSpacing w:w="15" w:type="dxa"/>
        </w:trPr>
        <w:tc>
          <w:tcPr>
            <w:tcW w:w="9161" w:type="dxa"/>
            <w:tcBorders>
              <w:top w:val="outset" w:sz="6" w:space="0" w:color="auto"/>
              <w:left w:val="outset" w:sz="6" w:space="0" w:color="auto"/>
              <w:bottom w:val="outset" w:sz="6" w:space="0" w:color="auto"/>
              <w:right w:val="outset" w:sz="6" w:space="0" w:color="auto"/>
            </w:tcBorders>
          </w:tcPr>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544"/>
              <w:gridCol w:w="5103"/>
            </w:tblGrid>
            <w:tr w:rsidR="00EB6912" w:rsidRPr="00FB4D29" w:rsidTr="00590041">
              <w:tc>
                <w:tcPr>
                  <w:tcW w:w="568" w:type="dxa"/>
                </w:tcPr>
                <w:p w:rsidR="00EB6912" w:rsidRPr="00FB4D29" w:rsidRDefault="00EB6912" w:rsidP="00590041">
                  <w:pPr>
                    <w:pStyle w:val="naiskr"/>
                    <w:tabs>
                      <w:tab w:val="left" w:pos="2628"/>
                    </w:tabs>
                    <w:spacing w:before="0" w:beforeAutospacing="0" w:after="0"/>
                    <w:jc w:val="center"/>
                    <w:rPr>
                      <w:iCs/>
                      <w:sz w:val="25"/>
                      <w:szCs w:val="25"/>
                    </w:rPr>
                  </w:pPr>
                  <w:r w:rsidRPr="00FB4D29">
                    <w:rPr>
                      <w:iCs/>
                      <w:sz w:val="25"/>
                      <w:szCs w:val="25"/>
                    </w:rPr>
                    <w:t>1.</w:t>
                  </w:r>
                </w:p>
              </w:tc>
              <w:tc>
                <w:tcPr>
                  <w:tcW w:w="3544" w:type="dxa"/>
                </w:tcPr>
                <w:p w:rsidR="00EB6912" w:rsidRPr="00FB4D29" w:rsidRDefault="00EB6912" w:rsidP="00590041">
                  <w:pPr>
                    <w:pStyle w:val="naiskr"/>
                    <w:tabs>
                      <w:tab w:val="left" w:pos="2628"/>
                    </w:tabs>
                    <w:spacing w:before="0" w:beforeAutospacing="0" w:after="0"/>
                    <w:jc w:val="both"/>
                    <w:rPr>
                      <w:iCs/>
                      <w:sz w:val="25"/>
                      <w:szCs w:val="25"/>
                    </w:rPr>
                  </w:pPr>
                  <w:r w:rsidRPr="00FB4D29">
                    <w:rPr>
                      <w:sz w:val="25"/>
                      <w:szCs w:val="25"/>
                    </w:rPr>
                    <w:t>Saistības pret Eiropas Savienību</w:t>
                  </w:r>
                </w:p>
              </w:tc>
              <w:tc>
                <w:tcPr>
                  <w:tcW w:w="5103" w:type="dxa"/>
                </w:tcPr>
                <w:p w:rsidR="0041337E" w:rsidRPr="00FB4D29" w:rsidRDefault="0041337E" w:rsidP="008C0A81">
                  <w:pPr>
                    <w:pStyle w:val="naisc"/>
                    <w:spacing w:before="0" w:after="0"/>
                    <w:jc w:val="both"/>
                    <w:rPr>
                      <w:sz w:val="25"/>
                      <w:szCs w:val="25"/>
                    </w:rPr>
                  </w:pPr>
                  <w:r w:rsidRPr="00FB4D29">
                    <w:rPr>
                      <w:sz w:val="25"/>
                      <w:szCs w:val="25"/>
                    </w:rPr>
                    <w:t>Projekts šo jomu neskar.</w:t>
                  </w:r>
                </w:p>
              </w:tc>
            </w:tr>
            <w:tr w:rsidR="00EB6912" w:rsidRPr="00FB4D29" w:rsidTr="00590041">
              <w:tc>
                <w:tcPr>
                  <w:tcW w:w="568" w:type="dxa"/>
                </w:tcPr>
                <w:p w:rsidR="00EB6912" w:rsidRPr="00FB4D29" w:rsidRDefault="00EB6912" w:rsidP="00590041">
                  <w:pPr>
                    <w:pStyle w:val="naiskr"/>
                    <w:tabs>
                      <w:tab w:val="left" w:pos="2628"/>
                    </w:tabs>
                    <w:spacing w:before="0" w:beforeAutospacing="0" w:after="0"/>
                    <w:jc w:val="center"/>
                    <w:rPr>
                      <w:iCs/>
                      <w:sz w:val="25"/>
                      <w:szCs w:val="25"/>
                    </w:rPr>
                  </w:pPr>
                  <w:r w:rsidRPr="00FB4D29">
                    <w:rPr>
                      <w:iCs/>
                      <w:sz w:val="25"/>
                      <w:szCs w:val="25"/>
                    </w:rPr>
                    <w:t>2.</w:t>
                  </w:r>
                </w:p>
              </w:tc>
              <w:tc>
                <w:tcPr>
                  <w:tcW w:w="3544" w:type="dxa"/>
                </w:tcPr>
                <w:p w:rsidR="00EB6912" w:rsidRPr="00FB4D29" w:rsidRDefault="00EB6912" w:rsidP="00590041">
                  <w:pPr>
                    <w:pStyle w:val="naiskr"/>
                    <w:tabs>
                      <w:tab w:val="left" w:pos="2628"/>
                    </w:tabs>
                    <w:spacing w:before="0" w:beforeAutospacing="0" w:after="0"/>
                    <w:jc w:val="both"/>
                    <w:rPr>
                      <w:iCs/>
                      <w:sz w:val="25"/>
                      <w:szCs w:val="25"/>
                    </w:rPr>
                  </w:pPr>
                  <w:r w:rsidRPr="00FB4D29">
                    <w:rPr>
                      <w:sz w:val="25"/>
                      <w:szCs w:val="25"/>
                    </w:rPr>
                    <w:t>Citas starptautiskās saistības</w:t>
                  </w:r>
                </w:p>
              </w:tc>
              <w:tc>
                <w:tcPr>
                  <w:tcW w:w="5103" w:type="dxa"/>
                </w:tcPr>
                <w:p w:rsidR="00EB6912" w:rsidRPr="00FB4D29" w:rsidRDefault="00EB6912" w:rsidP="00590041">
                  <w:pPr>
                    <w:rPr>
                      <w:iCs/>
                      <w:sz w:val="25"/>
                      <w:szCs w:val="25"/>
                    </w:rPr>
                  </w:pPr>
                  <w:r w:rsidRPr="00FB4D29">
                    <w:rPr>
                      <w:sz w:val="25"/>
                      <w:szCs w:val="25"/>
                    </w:rPr>
                    <w:t>Projekts šo jomu neskar.</w:t>
                  </w:r>
                  <w:r w:rsidRPr="00FB4D29">
                    <w:rPr>
                      <w:iCs/>
                      <w:sz w:val="25"/>
                      <w:szCs w:val="25"/>
                    </w:rPr>
                    <w:t xml:space="preserve"> </w:t>
                  </w:r>
                </w:p>
                <w:p w:rsidR="00EB6912" w:rsidRPr="00FB4D29" w:rsidRDefault="00EB6912" w:rsidP="00590041">
                  <w:pPr>
                    <w:rPr>
                      <w:iCs/>
                      <w:sz w:val="25"/>
                      <w:szCs w:val="25"/>
                    </w:rPr>
                  </w:pPr>
                </w:p>
              </w:tc>
            </w:tr>
            <w:tr w:rsidR="00EB6912" w:rsidRPr="00FB4D29" w:rsidTr="00590041">
              <w:tc>
                <w:tcPr>
                  <w:tcW w:w="568" w:type="dxa"/>
                </w:tcPr>
                <w:p w:rsidR="00EB6912" w:rsidRPr="00FB4D29" w:rsidRDefault="00EB6912" w:rsidP="00590041">
                  <w:pPr>
                    <w:pStyle w:val="naiskr"/>
                    <w:tabs>
                      <w:tab w:val="left" w:pos="2628"/>
                    </w:tabs>
                    <w:spacing w:before="0" w:beforeAutospacing="0" w:after="0"/>
                    <w:jc w:val="center"/>
                    <w:rPr>
                      <w:iCs/>
                      <w:sz w:val="25"/>
                      <w:szCs w:val="25"/>
                    </w:rPr>
                  </w:pPr>
                  <w:r w:rsidRPr="00FB4D29">
                    <w:rPr>
                      <w:iCs/>
                      <w:sz w:val="25"/>
                      <w:szCs w:val="25"/>
                    </w:rPr>
                    <w:t>3.</w:t>
                  </w:r>
                </w:p>
              </w:tc>
              <w:tc>
                <w:tcPr>
                  <w:tcW w:w="3544" w:type="dxa"/>
                </w:tcPr>
                <w:p w:rsidR="00EB6912" w:rsidRPr="00FB4D29" w:rsidRDefault="00EB6912" w:rsidP="00590041">
                  <w:pPr>
                    <w:pStyle w:val="naiskr"/>
                    <w:tabs>
                      <w:tab w:val="left" w:pos="2628"/>
                    </w:tabs>
                    <w:spacing w:before="0" w:beforeAutospacing="0" w:after="0"/>
                    <w:jc w:val="both"/>
                    <w:rPr>
                      <w:sz w:val="25"/>
                      <w:szCs w:val="25"/>
                    </w:rPr>
                  </w:pPr>
                  <w:r w:rsidRPr="00FB4D29">
                    <w:rPr>
                      <w:sz w:val="25"/>
                      <w:szCs w:val="25"/>
                    </w:rPr>
                    <w:t>Cita informācija</w:t>
                  </w:r>
                </w:p>
              </w:tc>
              <w:tc>
                <w:tcPr>
                  <w:tcW w:w="5103" w:type="dxa"/>
                </w:tcPr>
                <w:p w:rsidR="008677D3" w:rsidRPr="00FB4D29" w:rsidRDefault="001779A4" w:rsidP="008C0A81">
                  <w:pPr>
                    <w:pStyle w:val="naisc"/>
                    <w:spacing w:before="0" w:after="0"/>
                    <w:ind w:right="40"/>
                    <w:jc w:val="both"/>
                    <w:rPr>
                      <w:sz w:val="25"/>
                      <w:szCs w:val="25"/>
                    </w:rPr>
                  </w:pPr>
                  <w:r w:rsidRPr="00FB4D29">
                    <w:rPr>
                      <w:sz w:val="25"/>
                      <w:szCs w:val="25"/>
                    </w:rPr>
                    <w:t>Kopienas pamatno</w:t>
                  </w:r>
                  <w:r w:rsidR="008C0A81" w:rsidRPr="00FB4D29">
                    <w:rPr>
                      <w:sz w:val="25"/>
                      <w:szCs w:val="25"/>
                    </w:rPr>
                    <w:t>stādnes par valsts atbalstu grūt</w:t>
                  </w:r>
                  <w:r w:rsidRPr="00FB4D29">
                    <w:rPr>
                      <w:sz w:val="25"/>
                      <w:szCs w:val="25"/>
                    </w:rPr>
                    <w:t>ībās nonākušu uzņēmumu glābšanai un pārstrukturēšanai Nr.</w:t>
                  </w:r>
                  <w:r w:rsidR="00DA1F63" w:rsidRPr="00FB4D29">
                    <w:rPr>
                      <w:sz w:val="25"/>
                      <w:szCs w:val="25"/>
                    </w:rPr>
                    <w:t>2014</w:t>
                  </w:r>
                  <w:r w:rsidRPr="00FB4D29">
                    <w:rPr>
                      <w:sz w:val="25"/>
                      <w:szCs w:val="25"/>
                    </w:rPr>
                    <w:t xml:space="preserve">/C </w:t>
                  </w:r>
                  <w:r w:rsidR="00DA1F63" w:rsidRPr="00FB4D29">
                    <w:rPr>
                      <w:sz w:val="25"/>
                      <w:szCs w:val="25"/>
                    </w:rPr>
                    <w:t>249</w:t>
                  </w:r>
                  <w:r w:rsidRPr="00FB4D29">
                    <w:rPr>
                      <w:sz w:val="25"/>
                      <w:szCs w:val="25"/>
                    </w:rPr>
                    <w:t>/0</w:t>
                  </w:r>
                  <w:r w:rsidR="00DA1F63" w:rsidRPr="00FB4D29">
                    <w:rPr>
                      <w:sz w:val="25"/>
                      <w:szCs w:val="25"/>
                    </w:rPr>
                    <w:t>1</w:t>
                  </w:r>
                  <w:r w:rsidRPr="00FB4D29">
                    <w:rPr>
                      <w:sz w:val="25"/>
                      <w:szCs w:val="25"/>
                    </w:rPr>
                    <w:t xml:space="preserve">, </w:t>
                  </w:r>
                  <w:r w:rsidR="001A24F8" w:rsidRPr="00FB4D29">
                    <w:rPr>
                      <w:sz w:val="25"/>
                      <w:szCs w:val="25"/>
                    </w:rPr>
                    <w:t xml:space="preserve">(OV </w:t>
                  </w:r>
                  <w:r w:rsidR="008C587A" w:rsidRPr="00FB4D29">
                    <w:rPr>
                      <w:sz w:val="25"/>
                      <w:szCs w:val="25"/>
                    </w:rPr>
                    <w:t xml:space="preserve">C </w:t>
                  </w:r>
                  <w:r w:rsidR="00DA1F63" w:rsidRPr="00FB4D29">
                    <w:rPr>
                      <w:sz w:val="25"/>
                      <w:szCs w:val="25"/>
                    </w:rPr>
                    <w:t>249</w:t>
                  </w:r>
                  <w:r w:rsidR="001A24F8" w:rsidRPr="00FB4D29">
                    <w:rPr>
                      <w:sz w:val="25"/>
                      <w:szCs w:val="25"/>
                    </w:rPr>
                    <w:t xml:space="preserve">, </w:t>
                  </w:r>
                  <w:r w:rsidR="00DA1F63" w:rsidRPr="00FB4D29">
                    <w:rPr>
                      <w:sz w:val="25"/>
                      <w:szCs w:val="25"/>
                    </w:rPr>
                    <w:t>31.07.2014</w:t>
                  </w:r>
                  <w:r w:rsidR="001A24F8" w:rsidRPr="00FB4D29">
                    <w:rPr>
                      <w:sz w:val="25"/>
                      <w:szCs w:val="25"/>
                    </w:rPr>
                    <w:t xml:space="preserve">., lpp. </w:t>
                  </w:r>
                  <w:r w:rsidR="00DA1F63" w:rsidRPr="00FB4D29">
                    <w:rPr>
                      <w:sz w:val="25"/>
                      <w:szCs w:val="25"/>
                    </w:rPr>
                    <w:t>0001 </w:t>
                  </w:r>
                  <w:r w:rsidR="008C587A" w:rsidRPr="00FB4D29">
                    <w:rPr>
                      <w:sz w:val="25"/>
                      <w:szCs w:val="25"/>
                    </w:rPr>
                    <w:t>- </w:t>
                  </w:r>
                  <w:r w:rsidR="00DA1F63" w:rsidRPr="00FB4D29">
                    <w:rPr>
                      <w:sz w:val="25"/>
                      <w:szCs w:val="25"/>
                    </w:rPr>
                    <w:t>0029</w:t>
                  </w:r>
                  <w:r w:rsidR="001A24F8" w:rsidRPr="00FB4D29">
                    <w:rPr>
                      <w:sz w:val="25"/>
                      <w:szCs w:val="25"/>
                    </w:rPr>
                    <w:t>)</w:t>
                  </w:r>
                  <w:r w:rsidR="0082554B" w:rsidRPr="00FB4D29">
                    <w:rPr>
                      <w:sz w:val="25"/>
                      <w:szCs w:val="25"/>
                    </w:rPr>
                    <w:t xml:space="preserve"> </w:t>
                  </w:r>
                  <w:r w:rsidR="00DA1F63" w:rsidRPr="00FB4D29">
                    <w:rPr>
                      <w:sz w:val="25"/>
                      <w:szCs w:val="25"/>
                    </w:rPr>
                    <w:t>20</w:t>
                  </w:r>
                  <w:r w:rsidR="0082554B" w:rsidRPr="00FB4D29">
                    <w:rPr>
                      <w:sz w:val="25"/>
                      <w:szCs w:val="25"/>
                    </w:rPr>
                    <w:t>.punkts, kas attiecināmi uz noteikumu projekt</w:t>
                  </w:r>
                  <w:r w:rsidR="00FF7BEC" w:rsidRPr="00FB4D29">
                    <w:rPr>
                      <w:sz w:val="25"/>
                      <w:szCs w:val="25"/>
                    </w:rPr>
                    <w:t xml:space="preserve">a </w:t>
                  </w:r>
                  <w:r w:rsidR="00DA1F63" w:rsidRPr="00FB4D29">
                    <w:rPr>
                      <w:sz w:val="25"/>
                      <w:szCs w:val="25"/>
                    </w:rPr>
                    <w:t xml:space="preserve">33. un </w:t>
                  </w:r>
                  <w:r w:rsidR="00FF7BEC" w:rsidRPr="00FB4D29">
                    <w:rPr>
                      <w:sz w:val="25"/>
                      <w:szCs w:val="25"/>
                    </w:rPr>
                    <w:t>34</w:t>
                  </w:r>
                  <w:r w:rsidR="0082554B" w:rsidRPr="00FB4D29">
                    <w:rPr>
                      <w:sz w:val="25"/>
                      <w:szCs w:val="25"/>
                    </w:rPr>
                    <w:t xml:space="preserve">.punktu un </w:t>
                  </w:r>
                  <w:r w:rsidR="00B60891" w:rsidRPr="00FB4D29">
                    <w:rPr>
                      <w:sz w:val="25"/>
                      <w:szCs w:val="25"/>
                    </w:rPr>
                    <w:t>3</w:t>
                  </w:r>
                  <w:r w:rsidR="0082554B" w:rsidRPr="00FB4D29">
                    <w:rPr>
                      <w:sz w:val="25"/>
                      <w:szCs w:val="25"/>
                    </w:rPr>
                    <w:t>.pielikumu</w:t>
                  </w:r>
                  <w:r w:rsidR="008C587A" w:rsidRPr="00FB4D29">
                    <w:rPr>
                      <w:sz w:val="25"/>
                      <w:szCs w:val="25"/>
                    </w:rPr>
                    <w:t>.</w:t>
                  </w:r>
                </w:p>
              </w:tc>
            </w:tr>
          </w:tbl>
          <w:p w:rsidR="00EB6912" w:rsidRPr="00FB4D29" w:rsidRDefault="00EB6912" w:rsidP="00EB6912">
            <w:pPr>
              <w:pStyle w:val="naisf"/>
              <w:spacing w:before="0" w:after="0"/>
              <w:rPr>
                <w:sz w:val="25"/>
                <w:szCs w:val="25"/>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443"/>
              <w:gridCol w:w="2552"/>
              <w:gridCol w:w="3260"/>
            </w:tblGrid>
            <w:tr w:rsidR="00EB6912" w:rsidRPr="00FB4D29" w:rsidTr="0013599C">
              <w:tc>
                <w:tcPr>
                  <w:tcW w:w="9215" w:type="dxa"/>
                  <w:gridSpan w:val="4"/>
                  <w:shd w:val="clear" w:color="auto" w:fill="auto"/>
                  <w:hideMark/>
                </w:tcPr>
                <w:p w:rsidR="00EB6912" w:rsidRPr="00FB4D29" w:rsidRDefault="00EB6912" w:rsidP="00590041">
                  <w:pPr>
                    <w:jc w:val="center"/>
                    <w:rPr>
                      <w:b/>
                      <w:bCs/>
                      <w:sz w:val="25"/>
                      <w:szCs w:val="25"/>
                    </w:rPr>
                  </w:pPr>
                  <w:r w:rsidRPr="00FB4D29">
                    <w:rPr>
                      <w:b/>
                      <w:bCs/>
                      <w:sz w:val="25"/>
                      <w:szCs w:val="25"/>
                    </w:rPr>
                    <w:t>1.tabula</w:t>
                  </w:r>
                  <w:r w:rsidRPr="00FB4D29">
                    <w:rPr>
                      <w:b/>
                      <w:bCs/>
                      <w:sz w:val="25"/>
                      <w:szCs w:val="25"/>
                    </w:rPr>
                    <w:br/>
                    <w:t>Tiesību akta projekta atbilstība ES tiesību aktiem</w:t>
                  </w:r>
                </w:p>
              </w:tc>
            </w:tr>
            <w:tr w:rsidR="00EB6912" w:rsidRPr="00FB4D29" w:rsidTr="007C6477">
              <w:tc>
                <w:tcPr>
                  <w:tcW w:w="1960" w:type="dxa"/>
                  <w:shd w:val="clear" w:color="auto" w:fill="auto"/>
                  <w:hideMark/>
                </w:tcPr>
                <w:p w:rsidR="00EB6912" w:rsidRPr="00FB4D29" w:rsidRDefault="00EB6912" w:rsidP="00590041">
                  <w:pPr>
                    <w:jc w:val="both"/>
                    <w:rPr>
                      <w:sz w:val="25"/>
                      <w:szCs w:val="25"/>
                    </w:rPr>
                  </w:pPr>
                  <w:r w:rsidRPr="00FB4D29">
                    <w:rPr>
                      <w:sz w:val="25"/>
                      <w:szCs w:val="25"/>
                    </w:rPr>
                    <w:t>Attiecīgā ES tiesību akta datums, numurs un nosaukums</w:t>
                  </w:r>
                </w:p>
              </w:tc>
              <w:tc>
                <w:tcPr>
                  <w:tcW w:w="7255" w:type="dxa"/>
                  <w:gridSpan w:val="3"/>
                  <w:shd w:val="clear" w:color="auto" w:fill="auto"/>
                </w:tcPr>
                <w:p w:rsidR="00EB6912" w:rsidRPr="00FB4D29" w:rsidRDefault="00EB6912" w:rsidP="00590041">
                  <w:pPr>
                    <w:pStyle w:val="naisc"/>
                    <w:spacing w:before="0" w:after="0"/>
                    <w:ind w:left="397"/>
                    <w:jc w:val="both"/>
                    <w:rPr>
                      <w:sz w:val="25"/>
                      <w:szCs w:val="25"/>
                    </w:rPr>
                  </w:pPr>
                </w:p>
              </w:tc>
            </w:tr>
            <w:tr w:rsidR="00EB6912" w:rsidRPr="00FB4D29" w:rsidTr="0013599C">
              <w:tc>
                <w:tcPr>
                  <w:tcW w:w="1960" w:type="dxa"/>
                  <w:shd w:val="clear" w:color="auto" w:fill="auto"/>
                  <w:hideMark/>
                </w:tcPr>
                <w:p w:rsidR="00EB6912" w:rsidRPr="00FB4D29" w:rsidRDefault="00EB6912" w:rsidP="00590041">
                  <w:pPr>
                    <w:jc w:val="center"/>
                    <w:rPr>
                      <w:sz w:val="25"/>
                      <w:szCs w:val="25"/>
                    </w:rPr>
                  </w:pPr>
                  <w:r w:rsidRPr="00FB4D29">
                    <w:rPr>
                      <w:sz w:val="25"/>
                      <w:szCs w:val="25"/>
                    </w:rPr>
                    <w:t>A</w:t>
                  </w:r>
                </w:p>
              </w:tc>
              <w:tc>
                <w:tcPr>
                  <w:tcW w:w="1443" w:type="dxa"/>
                  <w:shd w:val="clear" w:color="auto" w:fill="auto"/>
                  <w:hideMark/>
                </w:tcPr>
                <w:p w:rsidR="00EB6912" w:rsidRPr="00FB4D29" w:rsidRDefault="00EB6912" w:rsidP="00590041">
                  <w:pPr>
                    <w:jc w:val="center"/>
                    <w:rPr>
                      <w:sz w:val="25"/>
                      <w:szCs w:val="25"/>
                    </w:rPr>
                  </w:pPr>
                  <w:r w:rsidRPr="00FB4D29">
                    <w:rPr>
                      <w:sz w:val="25"/>
                      <w:szCs w:val="25"/>
                    </w:rPr>
                    <w:t>B</w:t>
                  </w:r>
                </w:p>
              </w:tc>
              <w:tc>
                <w:tcPr>
                  <w:tcW w:w="2552" w:type="dxa"/>
                  <w:shd w:val="clear" w:color="auto" w:fill="auto"/>
                  <w:hideMark/>
                </w:tcPr>
                <w:p w:rsidR="00EB6912" w:rsidRPr="00FB4D29" w:rsidRDefault="00EB6912" w:rsidP="00590041">
                  <w:pPr>
                    <w:jc w:val="center"/>
                    <w:rPr>
                      <w:sz w:val="25"/>
                      <w:szCs w:val="25"/>
                    </w:rPr>
                  </w:pPr>
                  <w:r w:rsidRPr="00FB4D29">
                    <w:rPr>
                      <w:sz w:val="25"/>
                      <w:szCs w:val="25"/>
                    </w:rPr>
                    <w:t>C</w:t>
                  </w:r>
                </w:p>
              </w:tc>
              <w:tc>
                <w:tcPr>
                  <w:tcW w:w="3260" w:type="dxa"/>
                  <w:shd w:val="clear" w:color="auto" w:fill="auto"/>
                  <w:hideMark/>
                </w:tcPr>
                <w:p w:rsidR="00EB6912" w:rsidRPr="00FB4D29" w:rsidRDefault="00EB6912" w:rsidP="00590041">
                  <w:pPr>
                    <w:jc w:val="center"/>
                    <w:rPr>
                      <w:sz w:val="25"/>
                      <w:szCs w:val="25"/>
                    </w:rPr>
                  </w:pPr>
                  <w:r w:rsidRPr="00FB4D29">
                    <w:rPr>
                      <w:sz w:val="25"/>
                      <w:szCs w:val="25"/>
                    </w:rPr>
                    <w:t>D</w:t>
                  </w:r>
                </w:p>
              </w:tc>
            </w:tr>
            <w:tr w:rsidR="00EB6912" w:rsidRPr="00FB4D29" w:rsidTr="0013599C">
              <w:tc>
                <w:tcPr>
                  <w:tcW w:w="1960" w:type="dxa"/>
                  <w:shd w:val="clear" w:color="auto" w:fill="auto"/>
                  <w:hideMark/>
                </w:tcPr>
                <w:p w:rsidR="00EB6912" w:rsidRPr="00FB4D29" w:rsidRDefault="00EB6912" w:rsidP="00590041">
                  <w:pPr>
                    <w:pStyle w:val="naiskr"/>
                    <w:spacing w:before="0" w:after="0"/>
                    <w:jc w:val="both"/>
                    <w:rPr>
                      <w:sz w:val="25"/>
                      <w:szCs w:val="25"/>
                      <w:lang w:eastAsia="en-US"/>
                    </w:rPr>
                  </w:pPr>
                  <w:r w:rsidRPr="00FB4D29">
                    <w:rPr>
                      <w:sz w:val="25"/>
                      <w:szCs w:val="25"/>
                      <w:lang w:eastAsia="en-US"/>
                    </w:rPr>
                    <w:t xml:space="preserve">Attiecīgā ES tiesību akta panta numurs (uzskaitot katru tiesību akta </w:t>
                  </w:r>
                  <w:r w:rsidRPr="00FB4D29">
                    <w:rPr>
                      <w:sz w:val="25"/>
                      <w:szCs w:val="25"/>
                      <w:lang w:eastAsia="en-US"/>
                    </w:rPr>
                    <w:br/>
                    <w:t>vienību – pantu, daļu, punktu, apakšpunktu)</w:t>
                  </w:r>
                </w:p>
              </w:tc>
              <w:tc>
                <w:tcPr>
                  <w:tcW w:w="1443" w:type="dxa"/>
                  <w:shd w:val="clear" w:color="auto" w:fill="auto"/>
                  <w:hideMark/>
                </w:tcPr>
                <w:p w:rsidR="00EB6912" w:rsidRPr="00FB4D29" w:rsidRDefault="00EB6912" w:rsidP="00590041">
                  <w:pPr>
                    <w:pStyle w:val="naiskr"/>
                    <w:spacing w:before="0" w:after="0"/>
                    <w:jc w:val="both"/>
                    <w:rPr>
                      <w:sz w:val="25"/>
                      <w:szCs w:val="25"/>
                      <w:lang w:eastAsia="en-US"/>
                    </w:rPr>
                  </w:pPr>
                  <w:r w:rsidRPr="00FB4D29">
                    <w:rPr>
                      <w:sz w:val="25"/>
                      <w:szCs w:val="25"/>
                      <w:lang w:eastAsia="en-US"/>
                    </w:rPr>
                    <w:t xml:space="preserve">Projekta vienība, kas pārņem vai ievieš katru šīs tabulas A ailē minēto ES tiesību akta </w:t>
                  </w:r>
                  <w:r w:rsidRPr="00FB4D29">
                    <w:rPr>
                      <w:sz w:val="25"/>
                      <w:szCs w:val="25"/>
                      <w:lang w:eastAsia="en-US"/>
                    </w:rPr>
                    <w:lastRenderedPageBreak/>
                    <w:t>vienību</w:t>
                  </w:r>
                </w:p>
              </w:tc>
              <w:tc>
                <w:tcPr>
                  <w:tcW w:w="2552" w:type="dxa"/>
                  <w:shd w:val="clear" w:color="auto" w:fill="auto"/>
                  <w:hideMark/>
                </w:tcPr>
                <w:p w:rsidR="00EB6912" w:rsidRPr="00FB4D29" w:rsidRDefault="00EB6912" w:rsidP="00590041">
                  <w:pPr>
                    <w:pStyle w:val="naiskr"/>
                    <w:spacing w:before="0" w:after="0"/>
                    <w:jc w:val="both"/>
                    <w:rPr>
                      <w:sz w:val="25"/>
                      <w:szCs w:val="25"/>
                      <w:lang w:eastAsia="en-US"/>
                    </w:rPr>
                  </w:pPr>
                  <w:r w:rsidRPr="00FB4D29">
                    <w:rPr>
                      <w:sz w:val="25"/>
                      <w:szCs w:val="25"/>
                      <w:lang w:eastAsia="en-US"/>
                    </w:rPr>
                    <w:lastRenderedPageBreak/>
                    <w:t>Informācija par to, vai šīs tabulas A ailē minētās ES tiesību akta vienības tiek pārņemtas vai ieviestas pilnībā vai daļēji.</w:t>
                  </w:r>
                </w:p>
                <w:p w:rsidR="00EB6912" w:rsidRPr="00FB4D29" w:rsidRDefault="00EB6912" w:rsidP="00590041">
                  <w:pPr>
                    <w:pStyle w:val="naiskr"/>
                    <w:spacing w:before="0" w:after="0"/>
                    <w:jc w:val="both"/>
                    <w:rPr>
                      <w:sz w:val="25"/>
                      <w:szCs w:val="25"/>
                      <w:lang w:eastAsia="en-US"/>
                    </w:rPr>
                  </w:pPr>
                  <w:r w:rsidRPr="00FB4D29">
                    <w:rPr>
                      <w:sz w:val="25"/>
                      <w:szCs w:val="25"/>
                      <w:lang w:eastAsia="en-US"/>
                    </w:rPr>
                    <w:t xml:space="preserve">Ja attiecīgā ES tiesību </w:t>
                  </w:r>
                  <w:r w:rsidRPr="00FB4D29">
                    <w:rPr>
                      <w:sz w:val="25"/>
                      <w:szCs w:val="25"/>
                      <w:lang w:eastAsia="en-US"/>
                    </w:rPr>
                    <w:lastRenderedPageBreak/>
                    <w:t>akta vienība tiek pārņemta vai ieviesta daļēji, sniedz attiecīgu skaidrojumu, kā arī precīzi norāda, kad un kādā veidā ES tiesību akta vienība tiks pārņemta vai ieviesta pilnībā.</w:t>
                  </w:r>
                </w:p>
                <w:p w:rsidR="00E057AA" w:rsidRPr="00FB4D29" w:rsidRDefault="00EB6912" w:rsidP="00590041">
                  <w:pPr>
                    <w:pStyle w:val="naiskr"/>
                    <w:spacing w:before="0" w:after="0"/>
                    <w:jc w:val="both"/>
                    <w:rPr>
                      <w:sz w:val="25"/>
                      <w:szCs w:val="25"/>
                      <w:lang w:eastAsia="en-US"/>
                    </w:rPr>
                  </w:pPr>
                  <w:r w:rsidRPr="00FB4D29">
                    <w:rPr>
                      <w:sz w:val="25"/>
                      <w:szCs w:val="25"/>
                      <w:lang w:eastAsia="en-US"/>
                    </w:rPr>
                    <w:t>Norāda institūciju, kas ir atbildīga par šo saistību izpildi pilnībā</w:t>
                  </w:r>
                  <w:r w:rsidR="00EF7972" w:rsidRPr="00FB4D29">
                    <w:rPr>
                      <w:sz w:val="25"/>
                      <w:szCs w:val="25"/>
                      <w:lang w:eastAsia="en-US"/>
                    </w:rPr>
                    <w:t>.</w:t>
                  </w:r>
                </w:p>
              </w:tc>
              <w:tc>
                <w:tcPr>
                  <w:tcW w:w="3260" w:type="dxa"/>
                  <w:shd w:val="clear" w:color="auto" w:fill="auto"/>
                  <w:hideMark/>
                </w:tcPr>
                <w:p w:rsidR="00EB6912" w:rsidRPr="00FB4D29" w:rsidRDefault="00EB6912" w:rsidP="00590041">
                  <w:pPr>
                    <w:pStyle w:val="naiskr"/>
                    <w:spacing w:before="0" w:after="0"/>
                    <w:jc w:val="both"/>
                    <w:rPr>
                      <w:sz w:val="25"/>
                      <w:szCs w:val="25"/>
                      <w:lang w:eastAsia="en-US"/>
                    </w:rPr>
                  </w:pPr>
                  <w:r w:rsidRPr="00FB4D29">
                    <w:rPr>
                      <w:sz w:val="25"/>
                      <w:szCs w:val="25"/>
                      <w:lang w:eastAsia="en-US"/>
                    </w:rPr>
                    <w:lastRenderedPageBreak/>
                    <w:t>Informācija par to, vai šīs tabulas B ailē minētās projekta vienības paredz stingrākas prasības nekā šīs tabulas A ailē minētās ES tiesību akta vienības.</w:t>
                  </w:r>
                </w:p>
                <w:p w:rsidR="00E057AA" w:rsidRPr="00FB4D29" w:rsidRDefault="00EB6912" w:rsidP="00590041">
                  <w:pPr>
                    <w:pStyle w:val="naiskr"/>
                    <w:spacing w:before="0" w:after="0"/>
                    <w:jc w:val="both"/>
                    <w:rPr>
                      <w:sz w:val="25"/>
                      <w:szCs w:val="25"/>
                      <w:lang w:eastAsia="en-US"/>
                    </w:rPr>
                  </w:pPr>
                  <w:r w:rsidRPr="00FB4D29">
                    <w:rPr>
                      <w:sz w:val="25"/>
                      <w:szCs w:val="25"/>
                      <w:lang w:eastAsia="en-US"/>
                    </w:rPr>
                    <w:t xml:space="preserve">Ja projekts satur stingrākas </w:t>
                  </w:r>
                  <w:r w:rsidRPr="00FB4D29">
                    <w:rPr>
                      <w:sz w:val="25"/>
                      <w:szCs w:val="25"/>
                      <w:lang w:eastAsia="en-US"/>
                    </w:rPr>
                    <w:lastRenderedPageBreak/>
                    <w:t>prasības nekā attiecīgais ES tiesību akts, norāda pamatojumu un samērīgumu.</w:t>
                  </w:r>
                </w:p>
                <w:p w:rsidR="00EB6912" w:rsidRPr="00FB4D29" w:rsidRDefault="00EB6912" w:rsidP="00590041">
                  <w:pPr>
                    <w:pStyle w:val="naiskr"/>
                    <w:spacing w:before="0" w:after="0"/>
                    <w:jc w:val="both"/>
                    <w:rPr>
                      <w:sz w:val="25"/>
                      <w:szCs w:val="25"/>
                      <w:lang w:eastAsia="en-US"/>
                    </w:rPr>
                  </w:pPr>
                  <w:r w:rsidRPr="00FB4D29">
                    <w:rPr>
                      <w:sz w:val="25"/>
                      <w:szCs w:val="25"/>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13599C" w:rsidRPr="00FB4D29" w:rsidTr="0013599C">
              <w:tc>
                <w:tcPr>
                  <w:tcW w:w="1960" w:type="dxa"/>
                  <w:shd w:val="clear" w:color="auto" w:fill="auto"/>
                </w:tcPr>
                <w:p w:rsidR="0013599C" w:rsidRPr="00FB4D29" w:rsidRDefault="0013599C" w:rsidP="00590041">
                  <w:pPr>
                    <w:pStyle w:val="naiskr"/>
                    <w:spacing w:before="0" w:after="0"/>
                    <w:jc w:val="both"/>
                    <w:rPr>
                      <w:i/>
                      <w:sz w:val="25"/>
                      <w:szCs w:val="25"/>
                      <w:lang w:eastAsia="en-US"/>
                    </w:rPr>
                  </w:pPr>
                  <w:r w:rsidRPr="00FB4D29">
                    <w:rPr>
                      <w:sz w:val="25"/>
                      <w:szCs w:val="25"/>
                    </w:rPr>
                    <w:lastRenderedPageBreak/>
                    <w:t>Kā ir izmantota ES tiesību aktā paredzētā rīcības brīvība dalībvalstij pārņemt vai ieviest noteiktas ES tiesību akta normas.</w:t>
                  </w:r>
                </w:p>
              </w:tc>
              <w:tc>
                <w:tcPr>
                  <w:tcW w:w="1443" w:type="dxa"/>
                  <w:shd w:val="clear" w:color="auto" w:fill="auto"/>
                </w:tcPr>
                <w:p w:rsidR="0013599C" w:rsidRPr="00FB4D29" w:rsidRDefault="0013599C" w:rsidP="00A67BE7">
                  <w:pPr>
                    <w:pStyle w:val="naiskr"/>
                    <w:jc w:val="both"/>
                    <w:rPr>
                      <w:b/>
                      <w:i/>
                      <w:sz w:val="25"/>
                      <w:szCs w:val="25"/>
                      <w:lang w:eastAsia="en-US"/>
                    </w:rPr>
                  </w:pPr>
                  <w:r w:rsidRPr="00FB4D29">
                    <w:rPr>
                      <w:sz w:val="25"/>
                      <w:szCs w:val="25"/>
                    </w:rPr>
                    <w:t>Nav attiecināms.</w:t>
                  </w:r>
                </w:p>
              </w:tc>
              <w:tc>
                <w:tcPr>
                  <w:tcW w:w="2552" w:type="dxa"/>
                </w:tcPr>
                <w:p w:rsidR="0013599C" w:rsidRPr="00FB4D29" w:rsidRDefault="0013599C" w:rsidP="00590041">
                  <w:pPr>
                    <w:pStyle w:val="naiskr"/>
                    <w:spacing w:before="0" w:after="0"/>
                    <w:jc w:val="both"/>
                    <w:rPr>
                      <w:i/>
                      <w:sz w:val="25"/>
                      <w:szCs w:val="25"/>
                      <w:lang w:eastAsia="en-US"/>
                    </w:rPr>
                  </w:pPr>
                </w:p>
              </w:tc>
              <w:tc>
                <w:tcPr>
                  <w:tcW w:w="3260" w:type="dxa"/>
                  <w:shd w:val="clear" w:color="auto" w:fill="auto"/>
                </w:tcPr>
                <w:p w:rsidR="0013599C" w:rsidRPr="00FB4D29" w:rsidRDefault="0013599C" w:rsidP="00590041">
                  <w:pPr>
                    <w:pStyle w:val="naiskr"/>
                    <w:spacing w:before="0" w:after="0"/>
                    <w:jc w:val="both"/>
                    <w:rPr>
                      <w:i/>
                      <w:sz w:val="25"/>
                      <w:szCs w:val="25"/>
                      <w:lang w:eastAsia="en-US"/>
                    </w:rPr>
                  </w:pPr>
                </w:p>
              </w:tc>
            </w:tr>
            <w:tr w:rsidR="0013599C" w:rsidRPr="00FB4D29" w:rsidTr="0013599C">
              <w:tc>
                <w:tcPr>
                  <w:tcW w:w="1960" w:type="dxa"/>
                  <w:shd w:val="clear" w:color="auto" w:fill="auto"/>
                </w:tcPr>
                <w:p w:rsidR="0013599C" w:rsidRPr="00FB4D29" w:rsidRDefault="0013599C" w:rsidP="00590041">
                  <w:pPr>
                    <w:pStyle w:val="naiskr"/>
                    <w:spacing w:before="0" w:after="0"/>
                    <w:jc w:val="both"/>
                    <w:rPr>
                      <w:sz w:val="25"/>
                      <w:szCs w:val="25"/>
                    </w:rPr>
                  </w:pPr>
                  <w:r w:rsidRPr="00FB4D29">
                    <w:rPr>
                      <w:sz w:val="25"/>
                      <w:szCs w:val="25"/>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443" w:type="dxa"/>
                  <w:shd w:val="clear" w:color="auto" w:fill="auto"/>
                </w:tcPr>
                <w:p w:rsidR="0013599C" w:rsidRPr="00FB4D29" w:rsidRDefault="0013599C" w:rsidP="00590041">
                  <w:pPr>
                    <w:pStyle w:val="naiskr"/>
                    <w:spacing w:before="0" w:after="0"/>
                    <w:jc w:val="both"/>
                    <w:rPr>
                      <w:i/>
                      <w:sz w:val="25"/>
                      <w:szCs w:val="25"/>
                      <w:lang w:eastAsia="en-US"/>
                    </w:rPr>
                  </w:pPr>
                  <w:r w:rsidRPr="00FB4D29">
                    <w:rPr>
                      <w:sz w:val="25"/>
                      <w:szCs w:val="25"/>
                    </w:rPr>
                    <w:t>Nav</w:t>
                  </w:r>
                </w:p>
              </w:tc>
              <w:tc>
                <w:tcPr>
                  <w:tcW w:w="2552" w:type="dxa"/>
                </w:tcPr>
                <w:p w:rsidR="0013599C" w:rsidRPr="00FB4D29" w:rsidRDefault="0013599C" w:rsidP="00590041">
                  <w:pPr>
                    <w:pStyle w:val="naiskr"/>
                    <w:spacing w:before="0" w:after="0"/>
                    <w:jc w:val="both"/>
                    <w:rPr>
                      <w:i/>
                      <w:sz w:val="25"/>
                      <w:szCs w:val="25"/>
                      <w:lang w:eastAsia="en-US"/>
                    </w:rPr>
                  </w:pPr>
                </w:p>
              </w:tc>
              <w:tc>
                <w:tcPr>
                  <w:tcW w:w="3260" w:type="dxa"/>
                  <w:shd w:val="clear" w:color="auto" w:fill="auto"/>
                </w:tcPr>
                <w:p w:rsidR="0013599C" w:rsidRPr="00FB4D29" w:rsidRDefault="0013599C" w:rsidP="00590041">
                  <w:pPr>
                    <w:pStyle w:val="naiskr"/>
                    <w:spacing w:before="0" w:after="0"/>
                    <w:jc w:val="both"/>
                    <w:rPr>
                      <w:i/>
                      <w:sz w:val="25"/>
                      <w:szCs w:val="25"/>
                      <w:lang w:eastAsia="en-US"/>
                    </w:rPr>
                  </w:pPr>
                </w:p>
              </w:tc>
            </w:tr>
            <w:tr w:rsidR="0013599C" w:rsidRPr="00FB4D29" w:rsidTr="0013599C">
              <w:tc>
                <w:tcPr>
                  <w:tcW w:w="3403" w:type="dxa"/>
                  <w:gridSpan w:val="2"/>
                  <w:shd w:val="clear" w:color="auto" w:fill="auto"/>
                  <w:hideMark/>
                </w:tcPr>
                <w:p w:rsidR="0013599C" w:rsidRPr="00FB4D29" w:rsidRDefault="0013599C" w:rsidP="00590041">
                  <w:pPr>
                    <w:jc w:val="both"/>
                    <w:rPr>
                      <w:sz w:val="25"/>
                      <w:szCs w:val="25"/>
                    </w:rPr>
                  </w:pPr>
                  <w:r w:rsidRPr="00FB4D29">
                    <w:rPr>
                      <w:sz w:val="25"/>
                      <w:szCs w:val="25"/>
                    </w:rPr>
                    <w:t>Cita informācija</w:t>
                  </w:r>
                </w:p>
              </w:tc>
              <w:tc>
                <w:tcPr>
                  <w:tcW w:w="5812" w:type="dxa"/>
                  <w:gridSpan w:val="2"/>
                  <w:shd w:val="clear" w:color="auto" w:fill="auto"/>
                  <w:hideMark/>
                </w:tcPr>
                <w:p w:rsidR="0013599C" w:rsidRPr="00FB4D29" w:rsidRDefault="0013599C" w:rsidP="00590041">
                  <w:pPr>
                    <w:jc w:val="both"/>
                    <w:rPr>
                      <w:sz w:val="25"/>
                      <w:szCs w:val="25"/>
                    </w:rPr>
                  </w:pPr>
                  <w:r w:rsidRPr="00FB4D29">
                    <w:rPr>
                      <w:sz w:val="25"/>
                      <w:szCs w:val="25"/>
                    </w:rPr>
                    <w:t>Nav</w:t>
                  </w:r>
                </w:p>
              </w:tc>
            </w:tr>
          </w:tbl>
          <w:p w:rsidR="00EB6912" w:rsidRPr="00FB4D29" w:rsidRDefault="00EB6912" w:rsidP="00EB6912">
            <w:pPr>
              <w:rPr>
                <w:sz w:val="25"/>
                <w:szCs w:val="25"/>
              </w:rPr>
            </w:pPr>
          </w:p>
          <w:p w:rsidR="00EB6912" w:rsidRPr="00FB4D29" w:rsidRDefault="00EB6912" w:rsidP="003A79BA">
            <w:pPr>
              <w:jc w:val="center"/>
              <w:rPr>
                <w:color w:val="414142"/>
                <w:sz w:val="25"/>
                <w:szCs w:val="25"/>
              </w:rPr>
            </w:pPr>
          </w:p>
        </w:tc>
      </w:tr>
    </w:tbl>
    <w:p w:rsidR="00322E24" w:rsidRPr="00FB4D29" w:rsidRDefault="00322E24" w:rsidP="002A5CEF">
      <w:pPr>
        <w:rPr>
          <w:color w:val="414142"/>
          <w:sz w:val="25"/>
          <w:szCs w:val="25"/>
        </w:rPr>
      </w:pPr>
    </w:p>
    <w:p w:rsidR="00FB4D29" w:rsidRPr="00FB4D29" w:rsidRDefault="00FB4D29" w:rsidP="002A5CEF">
      <w:pPr>
        <w:rPr>
          <w:color w:val="414142"/>
          <w:sz w:val="25"/>
          <w:szCs w:val="25"/>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F666C" w:rsidRPr="00FB4D29" w:rsidTr="00586C71">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666C" w:rsidRPr="00FB4D29" w:rsidRDefault="00322E24" w:rsidP="00CF666C">
            <w:pPr>
              <w:spacing w:before="100" w:beforeAutospacing="1" w:after="100" w:afterAutospacing="1" w:line="360" w:lineRule="auto"/>
              <w:ind w:firstLine="300"/>
              <w:jc w:val="center"/>
              <w:rPr>
                <w:b/>
                <w:bCs/>
                <w:sz w:val="25"/>
                <w:szCs w:val="25"/>
              </w:rPr>
            </w:pPr>
            <w:r w:rsidRPr="00FB4D29">
              <w:rPr>
                <w:color w:val="414142"/>
                <w:sz w:val="25"/>
                <w:szCs w:val="25"/>
              </w:rPr>
              <w:lastRenderedPageBreak/>
              <w:br w:type="page"/>
            </w:r>
            <w:r w:rsidR="00CF666C" w:rsidRPr="00FB4D29">
              <w:rPr>
                <w:b/>
                <w:bCs/>
                <w:sz w:val="25"/>
                <w:szCs w:val="25"/>
              </w:rPr>
              <w:t>VI. Sabiedrības līdzdalība un komunikācijas aktivitātes</w:t>
            </w:r>
          </w:p>
        </w:tc>
      </w:tr>
      <w:tr w:rsidR="0039435E" w:rsidRPr="00FB4D29" w:rsidTr="00586C71">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9435E" w:rsidRPr="00FB4D29" w:rsidRDefault="0039435E" w:rsidP="00CF666C">
            <w:pPr>
              <w:spacing w:before="100" w:beforeAutospacing="1" w:after="100" w:afterAutospacing="1" w:line="360" w:lineRule="auto"/>
              <w:ind w:firstLine="300"/>
              <w:jc w:val="center"/>
              <w:rPr>
                <w:b/>
                <w:bCs/>
                <w:sz w:val="25"/>
                <w:szCs w:val="25"/>
              </w:rPr>
            </w:pPr>
            <w:r w:rsidRPr="00FB4D29">
              <w:rPr>
                <w:color w:val="414142"/>
                <w:sz w:val="25"/>
                <w:szCs w:val="25"/>
              </w:rPr>
              <w:t>Projekts šo jomu neskar</w:t>
            </w:r>
          </w:p>
        </w:tc>
      </w:tr>
    </w:tbl>
    <w:p w:rsidR="00FB416A" w:rsidRPr="00FB4D29" w:rsidRDefault="00FB416A" w:rsidP="00586C71">
      <w:pPr>
        <w:rPr>
          <w:sz w:val="25"/>
          <w:szCs w:val="25"/>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5"/>
        <w:gridCol w:w="441"/>
        <w:gridCol w:w="3650"/>
        <w:gridCol w:w="5040"/>
        <w:gridCol w:w="45"/>
      </w:tblGrid>
      <w:tr w:rsidR="00A06CF5" w:rsidRPr="00FB4D29" w:rsidTr="008E7C13">
        <w:trPr>
          <w:tblCellSpacing w:w="15" w:type="dxa"/>
        </w:trPr>
        <w:tc>
          <w:tcPr>
            <w:tcW w:w="0" w:type="auto"/>
            <w:gridSpan w:val="5"/>
            <w:tcBorders>
              <w:top w:val="outset" w:sz="6" w:space="0" w:color="auto"/>
              <w:left w:val="outset" w:sz="6" w:space="0" w:color="auto"/>
              <w:bottom w:val="outset" w:sz="6" w:space="0" w:color="auto"/>
              <w:right w:val="outset" w:sz="6" w:space="0" w:color="auto"/>
            </w:tcBorders>
          </w:tcPr>
          <w:p w:rsidR="00A06CF5" w:rsidRPr="00FB4D29" w:rsidRDefault="00A06CF5" w:rsidP="00E45EA7">
            <w:pPr>
              <w:spacing w:before="100" w:beforeAutospacing="1" w:after="100" w:afterAutospacing="1"/>
              <w:jc w:val="center"/>
              <w:rPr>
                <w:b/>
                <w:bCs/>
                <w:sz w:val="25"/>
                <w:szCs w:val="25"/>
                <w:lang w:eastAsia="en-US"/>
              </w:rPr>
            </w:pPr>
            <w:r w:rsidRPr="00FB4D29">
              <w:rPr>
                <w:b/>
                <w:bCs/>
                <w:sz w:val="25"/>
                <w:szCs w:val="25"/>
                <w:lang w:eastAsia="en-US"/>
              </w:rPr>
              <w:t>VII. Tiesību akta projekta izpildes nodrošināšana un tās ietekme uz institūcijām</w:t>
            </w:r>
          </w:p>
        </w:tc>
      </w:tr>
      <w:tr w:rsidR="008E7C13" w:rsidRPr="00FB4D29" w:rsidTr="008E7C13">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trHeight w:val="427"/>
          <w:jc w:val="center"/>
        </w:trPr>
        <w:tc>
          <w:tcPr>
            <w:tcW w:w="407" w:type="dxa"/>
          </w:tcPr>
          <w:p w:rsidR="008E7C13" w:rsidRPr="00FB4D29" w:rsidRDefault="008E7C13" w:rsidP="008B5917">
            <w:pPr>
              <w:pStyle w:val="naisnod"/>
              <w:spacing w:before="0" w:beforeAutospacing="0" w:after="0" w:afterAutospacing="0"/>
              <w:ind w:left="57" w:right="57"/>
              <w:jc w:val="both"/>
              <w:rPr>
                <w:b w:val="0"/>
                <w:sz w:val="25"/>
                <w:szCs w:val="25"/>
              </w:rPr>
            </w:pPr>
            <w:r w:rsidRPr="00FB4D29">
              <w:rPr>
                <w:b w:val="0"/>
                <w:sz w:val="25"/>
                <w:szCs w:val="25"/>
              </w:rPr>
              <w:t>1.</w:t>
            </w:r>
          </w:p>
        </w:tc>
        <w:tc>
          <w:tcPr>
            <w:tcW w:w="3585" w:type="dxa"/>
          </w:tcPr>
          <w:p w:rsidR="008E7C13" w:rsidRPr="00FB4D29" w:rsidRDefault="008E7C13" w:rsidP="008B5917">
            <w:pPr>
              <w:pStyle w:val="naisf"/>
              <w:spacing w:before="0" w:after="0"/>
              <w:ind w:left="57" w:right="57"/>
              <w:rPr>
                <w:sz w:val="25"/>
                <w:szCs w:val="25"/>
              </w:rPr>
            </w:pPr>
            <w:r w:rsidRPr="00FB4D29">
              <w:rPr>
                <w:sz w:val="25"/>
                <w:szCs w:val="25"/>
              </w:rPr>
              <w:t>Projekta izpildē iesaistītās institūcijas</w:t>
            </w:r>
          </w:p>
        </w:tc>
        <w:tc>
          <w:tcPr>
            <w:tcW w:w="4961" w:type="dxa"/>
          </w:tcPr>
          <w:p w:rsidR="008E7C13" w:rsidRPr="00FB4D29" w:rsidRDefault="008E7C13" w:rsidP="008E7C13">
            <w:pPr>
              <w:shd w:val="clear" w:color="auto" w:fill="FFFFFF"/>
              <w:jc w:val="both"/>
              <w:rPr>
                <w:sz w:val="25"/>
                <w:szCs w:val="25"/>
              </w:rPr>
            </w:pPr>
            <w:bookmarkStart w:id="1" w:name="p66"/>
            <w:bookmarkStart w:id="2" w:name="p67"/>
            <w:bookmarkStart w:id="3" w:name="p68"/>
            <w:bookmarkStart w:id="4" w:name="p69"/>
            <w:bookmarkEnd w:id="1"/>
            <w:bookmarkEnd w:id="2"/>
            <w:bookmarkEnd w:id="3"/>
            <w:bookmarkEnd w:id="4"/>
            <w:r w:rsidRPr="00FB4D29">
              <w:rPr>
                <w:sz w:val="25"/>
                <w:szCs w:val="25"/>
              </w:rPr>
              <w:t xml:space="preserve">Finanšu ministrija, Valsts kase,  </w:t>
            </w:r>
            <w:r w:rsidR="00C67B9E" w:rsidRPr="00FB4D29">
              <w:rPr>
                <w:sz w:val="25"/>
                <w:szCs w:val="25"/>
              </w:rPr>
              <w:t>nozares ministrijas un citas centrālās valsts iestādes</w:t>
            </w:r>
            <w:r w:rsidR="00286EE5" w:rsidRPr="00FB4D29">
              <w:rPr>
                <w:sz w:val="25"/>
                <w:szCs w:val="25"/>
              </w:rPr>
              <w:t>, pašvaldības, valsts speciālā budžeta izpildītājs, zinātniskie institūti vai augstskolas, kam ir noteikts atvasinātas publiskas personas statuss, kapitālsabiedrības, kurās valsts vai pašvaldības daļa pamatkapitālā atsevišķi vai kopsummā pārsniedz 50 %, vai vairāku pašvaldību veidotām kapitālsabiedrības, kurās pašvaldību daļa pamatkapitālā kopsummā pārsniedz 65 %,  ostu pārvaldes.</w:t>
            </w:r>
          </w:p>
        </w:tc>
      </w:tr>
      <w:tr w:rsidR="008E7C13" w:rsidRPr="00FB4D29" w:rsidTr="008E7C13">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trHeight w:val="463"/>
          <w:jc w:val="center"/>
        </w:trPr>
        <w:tc>
          <w:tcPr>
            <w:tcW w:w="407" w:type="dxa"/>
          </w:tcPr>
          <w:p w:rsidR="008E7C13" w:rsidRPr="00FB4D29" w:rsidRDefault="008E7C13" w:rsidP="008B5917">
            <w:pPr>
              <w:pStyle w:val="naisnod"/>
              <w:spacing w:before="0" w:beforeAutospacing="0" w:after="0" w:afterAutospacing="0"/>
              <w:ind w:left="57" w:right="57"/>
              <w:jc w:val="both"/>
              <w:rPr>
                <w:b w:val="0"/>
                <w:sz w:val="25"/>
                <w:szCs w:val="25"/>
              </w:rPr>
            </w:pPr>
            <w:r w:rsidRPr="00FB4D29">
              <w:rPr>
                <w:b w:val="0"/>
                <w:sz w:val="25"/>
                <w:szCs w:val="25"/>
              </w:rPr>
              <w:t>2.</w:t>
            </w:r>
          </w:p>
        </w:tc>
        <w:tc>
          <w:tcPr>
            <w:tcW w:w="3585" w:type="dxa"/>
          </w:tcPr>
          <w:p w:rsidR="008E7C13" w:rsidRPr="00FB4D29" w:rsidRDefault="008E7C13" w:rsidP="008B5917">
            <w:pPr>
              <w:pStyle w:val="naisf"/>
              <w:spacing w:before="0" w:after="0"/>
              <w:ind w:left="57" w:right="57"/>
              <w:rPr>
                <w:sz w:val="25"/>
                <w:szCs w:val="25"/>
              </w:rPr>
            </w:pPr>
            <w:r w:rsidRPr="00FB4D29">
              <w:rPr>
                <w:sz w:val="25"/>
                <w:szCs w:val="25"/>
              </w:rPr>
              <w:t>Projekta izpildes ietekme uz pār</w:t>
            </w:r>
            <w:r w:rsidRPr="00FB4D29">
              <w:rPr>
                <w:sz w:val="25"/>
                <w:szCs w:val="25"/>
              </w:rPr>
              <w:softHyphen/>
              <w:t>valdes funkcijām un institucionālo struktūru.</w:t>
            </w:r>
          </w:p>
          <w:p w:rsidR="008E7C13" w:rsidRPr="00FB4D29" w:rsidRDefault="008E7C13" w:rsidP="008B5917">
            <w:pPr>
              <w:pStyle w:val="naisf"/>
              <w:spacing w:before="0" w:after="0"/>
              <w:ind w:left="57" w:right="57"/>
              <w:rPr>
                <w:sz w:val="25"/>
                <w:szCs w:val="25"/>
              </w:rPr>
            </w:pPr>
            <w:r w:rsidRPr="00FB4D29">
              <w:rPr>
                <w:sz w:val="25"/>
                <w:szCs w:val="25"/>
              </w:rPr>
              <w:t>Jaunu institūciju izveide, esošu institūciju likvidācija vai reorga</w:t>
            </w:r>
            <w:r w:rsidRPr="00FB4D29">
              <w:rPr>
                <w:sz w:val="25"/>
                <w:szCs w:val="25"/>
              </w:rPr>
              <w:softHyphen/>
              <w:t>nizācija, to ietekme uz institūcijas cilvēkresursiem.</w:t>
            </w:r>
          </w:p>
        </w:tc>
        <w:tc>
          <w:tcPr>
            <w:tcW w:w="4961" w:type="dxa"/>
          </w:tcPr>
          <w:p w:rsidR="008E7C13" w:rsidRPr="00FB4D29" w:rsidRDefault="008E7C13" w:rsidP="008B5917">
            <w:pPr>
              <w:shd w:val="clear" w:color="auto" w:fill="FFFFFF"/>
              <w:ind w:right="57"/>
              <w:jc w:val="both"/>
              <w:rPr>
                <w:sz w:val="25"/>
                <w:szCs w:val="25"/>
              </w:rPr>
            </w:pPr>
            <w:r w:rsidRPr="00FB4D29">
              <w:rPr>
                <w:sz w:val="25"/>
                <w:szCs w:val="25"/>
              </w:rPr>
              <w:t>Netiek plānota jaunu institūciju izveide un esošo institūciju likvidācija vai reorganizācija.</w:t>
            </w:r>
          </w:p>
        </w:tc>
      </w:tr>
      <w:tr w:rsidR="008E7C13" w:rsidRPr="00FB4D29" w:rsidTr="008E7C13">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gridAfter w:val="1"/>
          <w:trHeight w:val="402"/>
          <w:jc w:val="center"/>
        </w:trPr>
        <w:tc>
          <w:tcPr>
            <w:tcW w:w="407" w:type="dxa"/>
            <w:tcBorders>
              <w:top w:val="single" w:sz="4" w:space="0" w:color="auto"/>
              <w:left w:val="single" w:sz="4" w:space="0" w:color="auto"/>
              <w:bottom w:val="single" w:sz="4" w:space="0" w:color="auto"/>
              <w:right w:val="single" w:sz="4" w:space="0" w:color="auto"/>
            </w:tcBorders>
          </w:tcPr>
          <w:p w:rsidR="008E7C13" w:rsidRPr="00FB4D29" w:rsidRDefault="008E7C13" w:rsidP="008B5917">
            <w:pPr>
              <w:pStyle w:val="naisnod"/>
              <w:spacing w:before="0" w:beforeAutospacing="0" w:after="0" w:afterAutospacing="0"/>
              <w:ind w:left="57" w:right="57"/>
              <w:jc w:val="both"/>
              <w:rPr>
                <w:b w:val="0"/>
                <w:sz w:val="25"/>
                <w:szCs w:val="25"/>
              </w:rPr>
            </w:pPr>
            <w:r w:rsidRPr="00FB4D29">
              <w:rPr>
                <w:b w:val="0"/>
                <w:sz w:val="25"/>
                <w:szCs w:val="25"/>
              </w:rPr>
              <w:t>3.</w:t>
            </w:r>
          </w:p>
        </w:tc>
        <w:tc>
          <w:tcPr>
            <w:tcW w:w="3585" w:type="dxa"/>
            <w:tcBorders>
              <w:top w:val="single" w:sz="4" w:space="0" w:color="auto"/>
              <w:left w:val="single" w:sz="4" w:space="0" w:color="auto"/>
              <w:bottom w:val="single" w:sz="4" w:space="0" w:color="auto"/>
              <w:right w:val="single" w:sz="4" w:space="0" w:color="auto"/>
            </w:tcBorders>
          </w:tcPr>
          <w:p w:rsidR="008E7C13" w:rsidRPr="00FB4D29" w:rsidRDefault="008E7C13" w:rsidP="008B5917">
            <w:pPr>
              <w:pStyle w:val="naisf"/>
              <w:spacing w:before="0" w:after="0"/>
              <w:ind w:left="57" w:right="57"/>
              <w:rPr>
                <w:sz w:val="25"/>
                <w:szCs w:val="25"/>
              </w:rPr>
            </w:pPr>
            <w:r w:rsidRPr="00FB4D29">
              <w:rPr>
                <w:sz w:val="25"/>
                <w:szCs w:val="25"/>
              </w:rPr>
              <w:t>Cita informācija</w:t>
            </w:r>
          </w:p>
        </w:tc>
        <w:tc>
          <w:tcPr>
            <w:tcW w:w="4961" w:type="dxa"/>
            <w:tcBorders>
              <w:top w:val="single" w:sz="4" w:space="0" w:color="auto"/>
              <w:left w:val="single" w:sz="4" w:space="0" w:color="auto"/>
              <w:bottom w:val="single" w:sz="4" w:space="0" w:color="auto"/>
              <w:right w:val="single" w:sz="4" w:space="0" w:color="auto"/>
            </w:tcBorders>
          </w:tcPr>
          <w:p w:rsidR="008E7C13" w:rsidRPr="00FB4D29" w:rsidRDefault="008E7C13" w:rsidP="008B5917">
            <w:pPr>
              <w:ind w:left="57" w:right="57"/>
              <w:jc w:val="both"/>
              <w:rPr>
                <w:sz w:val="25"/>
                <w:szCs w:val="25"/>
              </w:rPr>
            </w:pPr>
            <w:r w:rsidRPr="00FB4D29">
              <w:rPr>
                <w:sz w:val="25"/>
                <w:szCs w:val="25"/>
              </w:rPr>
              <w:t>Nav</w:t>
            </w:r>
          </w:p>
        </w:tc>
      </w:tr>
    </w:tbl>
    <w:p w:rsidR="008B70A8" w:rsidRPr="00FB4D29" w:rsidRDefault="008B70A8" w:rsidP="00D95319">
      <w:pPr>
        <w:rPr>
          <w:sz w:val="25"/>
          <w:szCs w:val="25"/>
        </w:rPr>
      </w:pPr>
    </w:p>
    <w:p w:rsidR="00FB4D29" w:rsidRPr="00FB4D29" w:rsidRDefault="00FB4D29" w:rsidP="00D95319">
      <w:pPr>
        <w:rPr>
          <w:sz w:val="25"/>
          <w:szCs w:val="25"/>
        </w:rPr>
      </w:pPr>
    </w:p>
    <w:p w:rsidR="00FB4D29" w:rsidRPr="00FB4D29" w:rsidRDefault="00FB4D29" w:rsidP="00D95319">
      <w:pPr>
        <w:rPr>
          <w:sz w:val="25"/>
          <w:szCs w:val="25"/>
        </w:rPr>
      </w:pPr>
    </w:p>
    <w:p w:rsidR="00432F73" w:rsidRPr="00FB4D29" w:rsidRDefault="00EB6912" w:rsidP="00FB416A">
      <w:pPr>
        <w:rPr>
          <w:sz w:val="25"/>
          <w:szCs w:val="25"/>
        </w:rPr>
      </w:pPr>
      <w:r w:rsidRPr="00FB4D29">
        <w:rPr>
          <w:sz w:val="25"/>
          <w:szCs w:val="25"/>
        </w:rPr>
        <w:t xml:space="preserve">Finanšu </w:t>
      </w:r>
      <w:r w:rsidR="00A97E2F">
        <w:rPr>
          <w:sz w:val="25"/>
          <w:szCs w:val="25"/>
        </w:rPr>
        <w:t>ministrs</w:t>
      </w:r>
      <w:r w:rsidR="00A97E2F">
        <w:rPr>
          <w:sz w:val="25"/>
          <w:szCs w:val="25"/>
        </w:rPr>
        <w:tab/>
      </w:r>
      <w:r w:rsidR="00A97E2F">
        <w:rPr>
          <w:sz w:val="25"/>
          <w:szCs w:val="25"/>
        </w:rPr>
        <w:tab/>
      </w:r>
      <w:r w:rsidR="00A97E2F">
        <w:rPr>
          <w:sz w:val="25"/>
          <w:szCs w:val="25"/>
        </w:rPr>
        <w:tab/>
      </w:r>
      <w:r w:rsidR="00A97E2F">
        <w:rPr>
          <w:sz w:val="25"/>
          <w:szCs w:val="25"/>
        </w:rPr>
        <w:tab/>
      </w:r>
      <w:r w:rsidR="00A97E2F">
        <w:rPr>
          <w:sz w:val="25"/>
          <w:szCs w:val="25"/>
        </w:rPr>
        <w:tab/>
      </w:r>
      <w:r w:rsidR="00A97E2F">
        <w:rPr>
          <w:sz w:val="25"/>
          <w:szCs w:val="25"/>
        </w:rPr>
        <w:tab/>
      </w:r>
      <w:r w:rsidR="00A97E2F">
        <w:rPr>
          <w:sz w:val="25"/>
          <w:szCs w:val="25"/>
        </w:rPr>
        <w:tab/>
      </w:r>
      <w:r w:rsidR="00A97E2F">
        <w:rPr>
          <w:sz w:val="25"/>
          <w:szCs w:val="25"/>
        </w:rPr>
        <w:tab/>
      </w:r>
      <w:r w:rsidR="00A97E2F">
        <w:rPr>
          <w:sz w:val="25"/>
          <w:szCs w:val="25"/>
        </w:rPr>
        <w:tab/>
        <w:t>J.Reirs</w:t>
      </w:r>
    </w:p>
    <w:p w:rsidR="00241166" w:rsidRDefault="00FB4D29" w:rsidP="00FB416A">
      <w:pPr>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p>
    <w:p w:rsidR="00FB4D29" w:rsidRDefault="00FB4D29" w:rsidP="00FB416A">
      <w:pPr>
        <w:rPr>
          <w:sz w:val="25"/>
          <w:szCs w:val="25"/>
        </w:rPr>
      </w:pPr>
    </w:p>
    <w:p w:rsidR="00FB4D29" w:rsidRPr="00FB4D29" w:rsidRDefault="00FB4D29" w:rsidP="00FB416A">
      <w:pPr>
        <w:rPr>
          <w:sz w:val="25"/>
          <w:szCs w:val="25"/>
        </w:rPr>
      </w:pPr>
    </w:p>
    <w:p w:rsidR="00FB4D29" w:rsidRDefault="00FB4D29" w:rsidP="00FB4D29">
      <w:pPr>
        <w:rPr>
          <w:sz w:val="25"/>
          <w:szCs w:val="25"/>
        </w:rPr>
      </w:pPr>
    </w:p>
    <w:p w:rsidR="002706C6" w:rsidRDefault="002706C6" w:rsidP="00FB4D29">
      <w:pPr>
        <w:rPr>
          <w:sz w:val="25"/>
          <w:szCs w:val="25"/>
        </w:rPr>
      </w:pPr>
    </w:p>
    <w:p w:rsidR="002706C6" w:rsidRDefault="002706C6" w:rsidP="00FB4D29">
      <w:pPr>
        <w:rPr>
          <w:sz w:val="25"/>
          <w:szCs w:val="25"/>
        </w:rPr>
      </w:pPr>
    </w:p>
    <w:p w:rsidR="002706C6" w:rsidRDefault="002706C6" w:rsidP="00FB4D29">
      <w:pPr>
        <w:rPr>
          <w:sz w:val="25"/>
          <w:szCs w:val="25"/>
        </w:rPr>
      </w:pPr>
    </w:p>
    <w:p w:rsidR="00FB416A" w:rsidRPr="00FB4D29" w:rsidRDefault="00FB416A" w:rsidP="00FB4D29">
      <w:pPr>
        <w:rPr>
          <w:sz w:val="25"/>
          <w:szCs w:val="25"/>
        </w:rPr>
      </w:pPr>
      <w:r w:rsidRPr="00FB4D29">
        <w:rPr>
          <w:sz w:val="25"/>
          <w:szCs w:val="25"/>
        </w:rPr>
        <w:tab/>
      </w:r>
      <w:r w:rsidRPr="00FB4D29">
        <w:rPr>
          <w:sz w:val="25"/>
          <w:szCs w:val="25"/>
        </w:rPr>
        <w:tab/>
      </w:r>
      <w:r w:rsidRPr="00FB4D29">
        <w:rPr>
          <w:sz w:val="25"/>
          <w:szCs w:val="25"/>
        </w:rPr>
        <w:tab/>
        <w:t xml:space="preserve">                </w:t>
      </w:r>
      <w:r w:rsidRPr="00FB4D29">
        <w:rPr>
          <w:sz w:val="25"/>
          <w:szCs w:val="25"/>
        </w:rPr>
        <w:tab/>
      </w:r>
      <w:r w:rsidRPr="00FB4D29">
        <w:rPr>
          <w:sz w:val="25"/>
          <w:szCs w:val="25"/>
        </w:rPr>
        <w:tab/>
      </w:r>
      <w:r w:rsidRPr="00FB4D29">
        <w:rPr>
          <w:sz w:val="25"/>
          <w:szCs w:val="25"/>
        </w:rPr>
        <w:tab/>
      </w:r>
      <w:r w:rsidR="00FD4E5E" w:rsidRPr="00FB4D29">
        <w:rPr>
          <w:sz w:val="25"/>
          <w:szCs w:val="25"/>
        </w:rPr>
        <w:t xml:space="preserve">            </w:t>
      </w:r>
      <w:r w:rsidR="00EB6912" w:rsidRPr="00FB4D29">
        <w:rPr>
          <w:sz w:val="25"/>
          <w:szCs w:val="25"/>
        </w:rPr>
        <w:tab/>
      </w:r>
    </w:p>
    <w:p w:rsidR="005606E6" w:rsidRPr="00FB4D29" w:rsidRDefault="00322E24" w:rsidP="00FB416A">
      <w:pPr>
        <w:rPr>
          <w:sz w:val="20"/>
          <w:szCs w:val="20"/>
        </w:rPr>
      </w:pPr>
      <w:r w:rsidRPr="00FB4D29">
        <w:rPr>
          <w:sz w:val="20"/>
          <w:szCs w:val="20"/>
        </w:rPr>
        <w:fldChar w:fldCharType="begin"/>
      </w:r>
      <w:r w:rsidRPr="00FB4D29">
        <w:rPr>
          <w:sz w:val="20"/>
          <w:szCs w:val="20"/>
        </w:rPr>
        <w:instrText xml:space="preserve"> DATE  \@ "dd.MM.yyyy HH:mm"  \* MERGEFORMAT </w:instrText>
      </w:r>
      <w:r w:rsidRPr="00FB4D29">
        <w:rPr>
          <w:sz w:val="20"/>
          <w:szCs w:val="20"/>
        </w:rPr>
        <w:fldChar w:fldCharType="separate"/>
      </w:r>
      <w:r w:rsidR="000D4963">
        <w:rPr>
          <w:noProof/>
          <w:sz w:val="20"/>
          <w:szCs w:val="20"/>
        </w:rPr>
        <w:t>22.05.2015 15:13</w:t>
      </w:r>
      <w:r w:rsidRPr="00FB4D29">
        <w:rPr>
          <w:sz w:val="20"/>
          <w:szCs w:val="20"/>
        </w:rPr>
        <w:fldChar w:fldCharType="end"/>
      </w:r>
    </w:p>
    <w:p w:rsidR="00A97E2F" w:rsidRDefault="002706C6" w:rsidP="00FB416A">
      <w:pPr>
        <w:rPr>
          <w:sz w:val="20"/>
          <w:szCs w:val="20"/>
        </w:rPr>
      </w:pPr>
      <w:r>
        <w:rPr>
          <w:sz w:val="20"/>
          <w:szCs w:val="20"/>
        </w:rPr>
        <w:t>3298</w:t>
      </w:r>
    </w:p>
    <w:p w:rsidR="00EB6912" w:rsidRPr="00FB4D29" w:rsidRDefault="00EB6912" w:rsidP="00FB416A">
      <w:pPr>
        <w:rPr>
          <w:sz w:val="20"/>
          <w:szCs w:val="20"/>
        </w:rPr>
      </w:pPr>
      <w:r w:rsidRPr="00FB4D29">
        <w:rPr>
          <w:sz w:val="20"/>
          <w:szCs w:val="20"/>
        </w:rPr>
        <w:t>Bobrovska, 67094229</w:t>
      </w:r>
    </w:p>
    <w:p w:rsidR="00FB416A" w:rsidRPr="00FB4D29" w:rsidRDefault="00EB6912" w:rsidP="00FB416A">
      <w:pPr>
        <w:rPr>
          <w:sz w:val="20"/>
          <w:szCs w:val="20"/>
        </w:rPr>
      </w:pPr>
      <w:r w:rsidRPr="00FB4D29">
        <w:rPr>
          <w:sz w:val="20"/>
          <w:szCs w:val="20"/>
        </w:rPr>
        <w:t>Indra.Bobrovska@kase.gov.lv</w:t>
      </w:r>
    </w:p>
    <w:sectPr w:rsidR="00FB416A" w:rsidRPr="00FB4D29" w:rsidSect="00FB4D29">
      <w:headerReference w:type="default" r:id="rId8"/>
      <w:footerReference w:type="default" r:id="rId9"/>
      <w:footerReference w:type="first" r:id="rId10"/>
      <w:pgSz w:w="11906" w:h="16838"/>
      <w:pgMar w:top="1276"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D2F" w:rsidRDefault="007E5D2F" w:rsidP="00FB416A">
      <w:r>
        <w:separator/>
      </w:r>
    </w:p>
  </w:endnote>
  <w:endnote w:type="continuationSeparator" w:id="0">
    <w:p w:rsidR="007E5D2F" w:rsidRDefault="007E5D2F" w:rsidP="00FB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EC" w:rsidRPr="00FF7BEC" w:rsidRDefault="006D4B38" w:rsidP="00FF7BEC">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D4E5E">
      <w:rPr>
        <w:noProof/>
        <w:sz w:val="20"/>
        <w:szCs w:val="20"/>
      </w:rPr>
      <w:t>FManotacija_</w:t>
    </w:r>
    <w:r w:rsidR="00FD4E5E" w:rsidRPr="00FD4E5E">
      <w:rPr>
        <w:noProof/>
        <w:sz w:val="20"/>
        <w:szCs w:val="20"/>
        <w:lang w:val="lv-LV"/>
      </w:rPr>
      <w:t>01052015</w:t>
    </w:r>
    <w:r w:rsidR="00FD4E5E">
      <w:rPr>
        <w:noProof/>
        <w:sz w:val="20"/>
        <w:szCs w:val="20"/>
      </w:rPr>
      <w:t>_aizdevumi.docx</w:t>
    </w:r>
    <w:r>
      <w:rPr>
        <w:sz w:val="20"/>
        <w:szCs w:val="20"/>
      </w:rPr>
      <w:fldChar w:fldCharType="end"/>
    </w:r>
    <w:r w:rsidR="00FF7BEC">
      <w:rPr>
        <w:sz w:val="20"/>
        <w:szCs w:val="20"/>
      </w:rPr>
      <w:t xml:space="preserve">; Ministru kabineta noteikumu projekts </w:t>
    </w:r>
    <w:r w:rsidR="00FF7BEC" w:rsidRPr="00FF7BEC">
      <w:rPr>
        <w:sz w:val="20"/>
        <w:szCs w:val="20"/>
      </w:rPr>
      <w:t>„Kārtība, kādā ministrijas un citas centrālās valsts iestādes iekļauj gadskārtējā valsts budžeta likumprojektā valsts aizdevumu pieprasījumus, un valsts aizdevumu izsniegšanas un apkalpošanas kārtība”</w:t>
    </w:r>
  </w:p>
  <w:p w:rsidR="00FB416A" w:rsidRDefault="00FB4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33" w:rsidRPr="00550E82" w:rsidRDefault="006D4B38" w:rsidP="00930133">
    <w:pPr>
      <w:pStyle w:val="Footer"/>
      <w:rPr>
        <w:sz w:val="20"/>
        <w:szCs w:val="20"/>
      </w:rPr>
    </w:pPr>
    <w:r>
      <w:rPr>
        <w:sz w:val="20"/>
        <w:szCs w:val="20"/>
        <w:lang w:val="lv-LV"/>
      </w:rPr>
      <w:fldChar w:fldCharType="begin"/>
    </w:r>
    <w:r>
      <w:rPr>
        <w:sz w:val="20"/>
        <w:szCs w:val="20"/>
        <w:lang w:val="lv-LV"/>
      </w:rPr>
      <w:instrText xml:space="preserve"> FILENAME   \* MERGEFORMAT </w:instrText>
    </w:r>
    <w:r>
      <w:rPr>
        <w:sz w:val="20"/>
        <w:szCs w:val="20"/>
        <w:lang w:val="lv-LV"/>
      </w:rPr>
      <w:fldChar w:fldCharType="separate"/>
    </w:r>
    <w:r w:rsidR="00FD4E5E">
      <w:rPr>
        <w:noProof/>
        <w:sz w:val="20"/>
        <w:szCs w:val="20"/>
        <w:lang w:val="lv-LV"/>
      </w:rPr>
      <w:t>FManotacija_01052015_aizdevumi.docx</w:t>
    </w:r>
    <w:r>
      <w:rPr>
        <w:sz w:val="20"/>
        <w:szCs w:val="20"/>
        <w:lang w:val="lv-LV"/>
      </w:rPr>
      <w:fldChar w:fldCharType="end"/>
    </w:r>
    <w:r w:rsidR="005E23B4">
      <w:rPr>
        <w:sz w:val="20"/>
        <w:szCs w:val="20"/>
        <w:lang w:val="lv-LV"/>
      </w:rPr>
      <w:t>;</w:t>
    </w:r>
    <w:r w:rsidR="005E23B4" w:rsidRPr="0065187E">
      <w:rPr>
        <w:sz w:val="20"/>
        <w:szCs w:val="20"/>
      </w:rPr>
      <w:t>Mini</w:t>
    </w:r>
    <w:r w:rsidR="005E23B4">
      <w:rPr>
        <w:sz w:val="20"/>
        <w:szCs w:val="20"/>
      </w:rPr>
      <w:t>stru kabineta noteikumu projekta</w:t>
    </w:r>
    <w:r w:rsidR="005E23B4" w:rsidRPr="0065187E">
      <w:rPr>
        <w:sz w:val="20"/>
        <w:szCs w:val="20"/>
      </w:rPr>
      <w:t xml:space="preserve"> „</w:t>
    </w:r>
    <w:r w:rsidR="005E23B4" w:rsidRPr="007C06F2">
      <w:rPr>
        <w:sz w:val="20"/>
        <w:szCs w:val="20"/>
        <w:lang w:val="lv-LV"/>
      </w:rPr>
      <w:t xml:space="preserve">Kārtība, kādā ministrijas un citas centrālās valsts iestādes iekļauj gadskārtējā valsts budžeta likumprojektā valsts aizdevumu pieprasījumus, un valsts aizdevumu izsniegšanas un </w:t>
    </w:r>
    <w:r w:rsidR="00F95974">
      <w:rPr>
        <w:sz w:val="20"/>
        <w:szCs w:val="20"/>
        <w:lang w:val="lv-LV"/>
      </w:rPr>
      <w:t>apkalpošanas</w:t>
    </w:r>
    <w:r w:rsidR="005E23B4" w:rsidRPr="007C06F2">
      <w:rPr>
        <w:sz w:val="20"/>
        <w:szCs w:val="20"/>
        <w:lang w:val="lv-LV"/>
      </w:rPr>
      <w:t xml:space="preserve"> kārtība</w:t>
    </w:r>
    <w:r w:rsidR="005E23B4">
      <w:rPr>
        <w:sz w:val="20"/>
        <w:szCs w:val="20"/>
        <w:lang w:val="lv-LV"/>
      </w:rPr>
      <w:t>” anotācija.</w:t>
    </w:r>
  </w:p>
  <w:p w:rsidR="00930133" w:rsidRDefault="00930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D2F" w:rsidRDefault="007E5D2F" w:rsidP="00FB416A">
      <w:r>
        <w:separator/>
      </w:r>
    </w:p>
  </w:footnote>
  <w:footnote w:type="continuationSeparator" w:id="0">
    <w:p w:rsidR="007E5D2F" w:rsidRDefault="007E5D2F" w:rsidP="00FB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DF" w:rsidRDefault="00CC01DF" w:rsidP="006D4B38">
    <w:pPr>
      <w:pStyle w:val="Header"/>
      <w:jc w:val="center"/>
    </w:pPr>
    <w:r>
      <w:fldChar w:fldCharType="begin"/>
    </w:r>
    <w:r>
      <w:instrText xml:space="preserve"> PAGE   \* MERGEFORMAT </w:instrText>
    </w:r>
    <w:r>
      <w:fldChar w:fldCharType="separate"/>
    </w:r>
    <w:r w:rsidR="000D4963">
      <w:rPr>
        <w:noProof/>
      </w:rPr>
      <w:t>14</w:t>
    </w:r>
    <w:r>
      <w:rPr>
        <w:noProof/>
      </w:rPr>
      <w:fldChar w:fldCharType="end"/>
    </w:r>
  </w:p>
  <w:p w:rsidR="00D4091D" w:rsidRDefault="00D40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1934"/>
    <w:multiLevelType w:val="multilevel"/>
    <w:tmpl w:val="205CED28"/>
    <w:lvl w:ilvl="0">
      <w:start w:val="86"/>
      <w:numFmt w:val="decimal"/>
      <w:lvlText w:val="%1."/>
      <w:lvlJc w:val="left"/>
      <w:pPr>
        <w:ind w:left="4875"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9A29C9"/>
    <w:multiLevelType w:val="hybridMultilevel"/>
    <w:tmpl w:val="754427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5B1A6A"/>
    <w:multiLevelType w:val="multilevel"/>
    <w:tmpl w:val="FB6C15D4"/>
    <w:lvl w:ilvl="0">
      <w:start w:val="2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EA63522"/>
    <w:multiLevelType w:val="hybridMultilevel"/>
    <w:tmpl w:val="09BA6C66"/>
    <w:lvl w:ilvl="0" w:tplc="04260001">
      <w:start w:val="1"/>
      <w:numFmt w:val="bullet"/>
      <w:lvlText w:val=""/>
      <w:lvlJc w:val="left"/>
      <w:pPr>
        <w:ind w:left="792" w:hanging="360"/>
      </w:pPr>
      <w:rPr>
        <w:rFonts w:ascii="Symbol" w:hAnsi="Symbol"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4">
    <w:nsid w:val="10AF31B9"/>
    <w:multiLevelType w:val="hybridMultilevel"/>
    <w:tmpl w:val="7C541F94"/>
    <w:lvl w:ilvl="0" w:tplc="52D072C0">
      <w:start w:val="1"/>
      <w:numFmt w:val="bullet"/>
      <w:lvlText w:val=""/>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14D5CFF"/>
    <w:multiLevelType w:val="hybridMultilevel"/>
    <w:tmpl w:val="C63ED6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46F27B2"/>
    <w:multiLevelType w:val="hybridMultilevel"/>
    <w:tmpl w:val="1D907302"/>
    <w:lvl w:ilvl="0" w:tplc="52D072C0">
      <w:start w:val="1"/>
      <w:numFmt w:val="bullet"/>
      <w:lvlText w:val=""/>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300"/>
        </w:tabs>
        <w:ind w:left="300" w:hanging="360"/>
      </w:pPr>
      <w:rPr>
        <w:rFonts w:ascii="Courier New" w:hAnsi="Courier New" w:hint="default"/>
      </w:rPr>
    </w:lvl>
    <w:lvl w:ilvl="2" w:tplc="04260005" w:tentative="1">
      <w:start w:val="1"/>
      <w:numFmt w:val="bullet"/>
      <w:lvlText w:val=""/>
      <w:lvlJc w:val="left"/>
      <w:pPr>
        <w:tabs>
          <w:tab w:val="num" w:pos="1020"/>
        </w:tabs>
        <w:ind w:left="1020" w:hanging="360"/>
      </w:pPr>
      <w:rPr>
        <w:rFonts w:ascii="Wingdings" w:hAnsi="Wingdings" w:hint="default"/>
      </w:rPr>
    </w:lvl>
    <w:lvl w:ilvl="3" w:tplc="04260001" w:tentative="1">
      <w:start w:val="1"/>
      <w:numFmt w:val="bullet"/>
      <w:lvlText w:val=""/>
      <w:lvlJc w:val="left"/>
      <w:pPr>
        <w:tabs>
          <w:tab w:val="num" w:pos="1740"/>
        </w:tabs>
        <w:ind w:left="1740" w:hanging="360"/>
      </w:pPr>
      <w:rPr>
        <w:rFonts w:ascii="Symbol" w:hAnsi="Symbol" w:hint="default"/>
      </w:rPr>
    </w:lvl>
    <w:lvl w:ilvl="4" w:tplc="04260003" w:tentative="1">
      <w:start w:val="1"/>
      <w:numFmt w:val="bullet"/>
      <w:lvlText w:val="o"/>
      <w:lvlJc w:val="left"/>
      <w:pPr>
        <w:tabs>
          <w:tab w:val="num" w:pos="2460"/>
        </w:tabs>
        <w:ind w:left="2460" w:hanging="360"/>
      </w:pPr>
      <w:rPr>
        <w:rFonts w:ascii="Courier New" w:hAnsi="Courier New" w:hint="default"/>
      </w:rPr>
    </w:lvl>
    <w:lvl w:ilvl="5" w:tplc="04260005" w:tentative="1">
      <w:start w:val="1"/>
      <w:numFmt w:val="bullet"/>
      <w:lvlText w:val=""/>
      <w:lvlJc w:val="left"/>
      <w:pPr>
        <w:tabs>
          <w:tab w:val="num" w:pos="3180"/>
        </w:tabs>
        <w:ind w:left="3180" w:hanging="360"/>
      </w:pPr>
      <w:rPr>
        <w:rFonts w:ascii="Wingdings" w:hAnsi="Wingdings" w:hint="default"/>
      </w:rPr>
    </w:lvl>
    <w:lvl w:ilvl="6" w:tplc="04260001" w:tentative="1">
      <w:start w:val="1"/>
      <w:numFmt w:val="bullet"/>
      <w:lvlText w:val=""/>
      <w:lvlJc w:val="left"/>
      <w:pPr>
        <w:tabs>
          <w:tab w:val="num" w:pos="3900"/>
        </w:tabs>
        <w:ind w:left="3900" w:hanging="360"/>
      </w:pPr>
      <w:rPr>
        <w:rFonts w:ascii="Symbol" w:hAnsi="Symbol" w:hint="default"/>
      </w:rPr>
    </w:lvl>
    <w:lvl w:ilvl="7" w:tplc="04260003" w:tentative="1">
      <w:start w:val="1"/>
      <w:numFmt w:val="bullet"/>
      <w:lvlText w:val="o"/>
      <w:lvlJc w:val="left"/>
      <w:pPr>
        <w:tabs>
          <w:tab w:val="num" w:pos="4620"/>
        </w:tabs>
        <w:ind w:left="4620" w:hanging="360"/>
      </w:pPr>
      <w:rPr>
        <w:rFonts w:ascii="Courier New" w:hAnsi="Courier New" w:hint="default"/>
      </w:rPr>
    </w:lvl>
    <w:lvl w:ilvl="8" w:tplc="04260005" w:tentative="1">
      <w:start w:val="1"/>
      <w:numFmt w:val="bullet"/>
      <w:lvlText w:val=""/>
      <w:lvlJc w:val="left"/>
      <w:pPr>
        <w:tabs>
          <w:tab w:val="num" w:pos="5340"/>
        </w:tabs>
        <w:ind w:left="5340" w:hanging="360"/>
      </w:pPr>
      <w:rPr>
        <w:rFonts w:ascii="Wingdings" w:hAnsi="Wingdings" w:hint="default"/>
      </w:rPr>
    </w:lvl>
  </w:abstractNum>
  <w:abstractNum w:abstractNumId="7">
    <w:nsid w:val="1A0310FD"/>
    <w:multiLevelType w:val="hybridMultilevel"/>
    <w:tmpl w:val="A22AA8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D5A4EB5"/>
    <w:multiLevelType w:val="hybridMultilevel"/>
    <w:tmpl w:val="D1A2AB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06154A1"/>
    <w:multiLevelType w:val="hybridMultilevel"/>
    <w:tmpl w:val="E81E83C2"/>
    <w:lvl w:ilvl="0" w:tplc="396E98D2">
      <w:start w:val="1"/>
      <w:numFmt w:val="decimal"/>
      <w:lvlText w:val="%1)"/>
      <w:lvlJc w:val="left"/>
      <w:pPr>
        <w:ind w:left="525" w:hanging="360"/>
      </w:pPr>
      <w:rPr>
        <w:rFonts w:ascii="Times New Roman" w:eastAsia="Times New Roman" w:hAnsi="Times New Roman" w:cs="Times New Roman"/>
      </w:rPr>
    </w:lvl>
    <w:lvl w:ilvl="1" w:tplc="04260019" w:tentative="1">
      <w:start w:val="1"/>
      <w:numFmt w:val="lowerLetter"/>
      <w:lvlText w:val="%2."/>
      <w:lvlJc w:val="left"/>
      <w:pPr>
        <w:ind w:left="1245" w:hanging="360"/>
      </w:pPr>
      <w:rPr>
        <w:rFonts w:cs="Times New Roman"/>
      </w:rPr>
    </w:lvl>
    <w:lvl w:ilvl="2" w:tplc="0426001B" w:tentative="1">
      <w:start w:val="1"/>
      <w:numFmt w:val="lowerRoman"/>
      <w:lvlText w:val="%3."/>
      <w:lvlJc w:val="right"/>
      <w:pPr>
        <w:ind w:left="1965" w:hanging="180"/>
      </w:pPr>
      <w:rPr>
        <w:rFonts w:cs="Times New Roman"/>
      </w:rPr>
    </w:lvl>
    <w:lvl w:ilvl="3" w:tplc="0426000F" w:tentative="1">
      <w:start w:val="1"/>
      <w:numFmt w:val="decimal"/>
      <w:lvlText w:val="%4."/>
      <w:lvlJc w:val="left"/>
      <w:pPr>
        <w:ind w:left="2685" w:hanging="360"/>
      </w:pPr>
      <w:rPr>
        <w:rFonts w:cs="Times New Roman"/>
      </w:rPr>
    </w:lvl>
    <w:lvl w:ilvl="4" w:tplc="04260019" w:tentative="1">
      <w:start w:val="1"/>
      <w:numFmt w:val="lowerLetter"/>
      <w:lvlText w:val="%5."/>
      <w:lvlJc w:val="left"/>
      <w:pPr>
        <w:ind w:left="3405" w:hanging="360"/>
      </w:pPr>
      <w:rPr>
        <w:rFonts w:cs="Times New Roman"/>
      </w:rPr>
    </w:lvl>
    <w:lvl w:ilvl="5" w:tplc="0426001B" w:tentative="1">
      <w:start w:val="1"/>
      <w:numFmt w:val="lowerRoman"/>
      <w:lvlText w:val="%6."/>
      <w:lvlJc w:val="right"/>
      <w:pPr>
        <w:ind w:left="4125" w:hanging="180"/>
      </w:pPr>
      <w:rPr>
        <w:rFonts w:cs="Times New Roman"/>
      </w:rPr>
    </w:lvl>
    <w:lvl w:ilvl="6" w:tplc="0426000F" w:tentative="1">
      <w:start w:val="1"/>
      <w:numFmt w:val="decimal"/>
      <w:lvlText w:val="%7."/>
      <w:lvlJc w:val="left"/>
      <w:pPr>
        <w:ind w:left="4845" w:hanging="360"/>
      </w:pPr>
      <w:rPr>
        <w:rFonts w:cs="Times New Roman"/>
      </w:rPr>
    </w:lvl>
    <w:lvl w:ilvl="7" w:tplc="04260019" w:tentative="1">
      <w:start w:val="1"/>
      <w:numFmt w:val="lowerLetter"/>
      <w:lvlText w:val="%8."/>
      <w:lvlJc w:val="left"/>
      <w:pPr>
        <w:ind w:left="5565" w:hanging="360"/>
      </w:pPr>
      <w:rPr>
        <w:rFonts w:cs="Times New Roman"/>
      </w:rPr>
    </w:lvl>
    <w:lvl w:ilvl="8" w:tplc="0426001B" w:tentative="1">
      <w:start w:val="1"/>
      <w:numFmt w:val="lowerRoman"/>
      <w:lvlText w:val="%9."/>
      <w:lvlJc w:val="right"/>
      <w:pPr>
        <w:ind w:left="6285" w:hanging="180"/>
      </w:pPr>
      <w:rPr>
        <w:rFonts w:cs="Times New Roman"/>
      </w:rPr>
    </w:lvl>
  </w:abstractNum>
  <w:abstractNum w:abstractNumId="10">
    <w:nsid w:val="21D940DA"/>
    <w:multiLevelType w:val="hybridMultilevel"/>
    <w:tmpl w:val="734228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013290"/>
    <w:multiLevelType w:val="hybridMultilevel"/>
    <w:tmpl w:val="E6FE2566"/>
    <w:lvl w:ilvl="0" w:tplc="04260001">
      <w:start w:val="1"/>
      <w:numFmt w:val="bullet"/>
      <w:lvlText w:val=""/>
      <w:lvlJc w:val="left"/>
      <w:pPr>
        <w:ind w:left="792" w:hanging="360"/>
      </w:pPr>
      <w:rPr>
        <w:rFonts w:ascii="Symbol" w:hAnsi="Symbol"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2">
    <w:nsid w:val="2A082D97"/>
    <w:multiLevelType w:val="hybridMultilevel"/>
    <w:tmpl w:val="BBEE25D4"/>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3">
    <w:nsid w:val="30A03701"/>
    <w:multiLevelType w:val="hybridMultilevel"/>
    <w:tmpl w:val="B84CC9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1887247"/>
    <w:multiLevelType w:val="multilevel"/>
    <w:tmpl w:val="CE447F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7480CED"/>
    <w:multiLevelType w:val="hybridMultilevel"/>
    <w:tmpl w:val="2F7272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378814DE"/>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3B131659"/>
    <w:multiLevelType w:val="hybridMultilevel"/>
    <w:tmpl w:val="5B9CC164"/>
    <w:lvl w:ilvl="0" w:tplc="CAB886B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BC956E3"/>
    <w:multiLevelType w:val="hybridMultilevel"/>
    <w:tmpl w:val="F8EADD6E"/>
    <w:lvl w:ilvl="0" w:tplc="04260001">
      <w:start w:val="1"/>
      <w:numFmt w:val="bullet"/>
      <w:lvlText w:val=""/>
      <w:lvlJc w:val="left"/>
      <w:pPr>
        <w:ind w:left="792" w:hanging="360"/>
      </w:pPr>
      <w:rPr>
        <w:rFonts w:ascii="Symbol" w:hAnsi="Symbol"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9">
    <w:nsid w:val="3C7B7A0D"/>
    <w:multiLevelType w:val="hybridMultilevel"/>
    <w:tmpl w:val="1D603FC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nsid w:val="425D2668"/>
    <w:multiLevelType w:val="hybridMultilevel"/>
    <w:tmpl w:val="5D68D686"/>
    <w:lvl w:ilvl="0" w:tplc="014E7C2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2DF2398"/>
    <w:multiLevelType w:val="hybridMultilevel"/>
    <w:tmpl w:val="7688B828"/>
    <w:lvl w:ilvl="0" w:tplc="ED16218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439909E8"/>
    <w:multiLevelType w:val="hybridMultilevel"/>
    <w:tmpl w:val="B9800294"/>
    <w:lvl w:ilvl="0" w:tplc="4D52B942">
      <w:start w:val="1"/>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23">
    <w:nsid w:val="486E6876"/>
    <w:multiLevelType w:val="hybridMultilevel"/>
    <w:tmpl w:val="09D69F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92F5C0E"/>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5">
    <w:nsid w:val="4B275C1E"/>
    <w:multiLevelType w:val="hybridMultilevel"/>
    <w:tmpl w:val="DD2C63F2"/>
    <w:lvl w:ilvl="0" w:tplc="52D072C0">
      <w:start w:val="1"/>
      <w:numFmt w:val="bullet"/>
      <w:lvlText w:val=""/>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300"/>
        </w:tabs>
        <w:ind w:left="300" w:hanging="360"/>
      </w:pPr>
      <w:rPr>
        <w:rFonts w:ascii="Courier New" w:hAnsi="Courier New" w:hint="default"/>
      </w:rPr>
    </w:lvl>
    <w:lvl w:ilvl="2" w:tplc="04260005" w:tentative="1">
      <w:start w:val="1"/>
      <w:numFmt w:val="bullet"/>
      <w:lvlText w:val=""/>
      <w:lvlJc w:val="left"/>
      <w:pPr>
        <w:tabs>
          <w:tab w:val="num" w:pos="1020"/>
        </w:tabs>
        <w:ind w:left="1020" w:hanging="360"/>
      </w:pPr>
      <w:rPr>
        <w:rFonts w:ascii="Wingdings" w:hAnsi="Wingdings" w:hint="default"/>
      </w:rPr>
    </w:lvl>
    <w:lvl w:ilvl="3" w:tplc="04260001" w:tentative="1">
      <w:start w:val="1"/>
      <w:numFmt w:val="bullet"/>
      <w:lvlText w:val=""/>
      <w:lvlJc w:val="left"/>
      <w:pPr>
        <w:tabs>
          <w:tab w:val="num" w:pos="1740"/>
        </w:tabs>
        <w:ind w:left="1740" w:hanging="360"/>
      </w:pPr>
      <w:rPr>
        <w:rFonts w:ascii="Symbol" w:hAnsi="Symbol" w:hint="default"/>
      </w:rPr>
    </w:lvl>
    <w:lvl w:ilvl="4" w:tplc="04260003" w:tentative="1">
      <w:start w:val="1"/>
      <w:numFmt w:val="bullet"/>
      <w:lvlText w:val="o"/>
      <w:lvlJc w:val="left"/>
      <w:pPr>
        <w:tabs>
          <w:tab w:val="num" w:pos="2460"/>
        </w:tabs>
        <w:ind w:left="2460" w:hanging="360"/>
      </w:pPr>
      <w:rPr>
        <w:rFonts w:ascii="Courier New" w:hAnsi="Courier New" w:hint="default"/>
      </w:rPr>
    </w:lvl>
    <w:lvl w:ilvl="5" w:tplc="04260005" w:tentative="1">
      <w:start w:val="1"/>
      <w:numFmt w:val="bullet"/>
      <w:lvlText w:val=""/>
      <w:lvlJc w:val="left"/>
      <w:pPr>
        <w:tabs>
          <w:tab w:val="num" w:pos="3180"/>
        </w:tabs>
        <w:ind w:left="3180" w:hanging="360"/>
      </w:pPr>
      <w:rPr>
        <w:rFonts w:ascii="Wingdings" w:hAnsi="Wingdings" w:hint="default"/>
      </w:rPr>
    </w:lvl>
    <w:lvl w:ilvl="6" w:tplc="04260001" w:tentative="1">
      <w:start w:val="1"/>
      <w:numFmt w:val="bullet"/>
      <w:lvlText w:val=""/>
      <w:lvlJc w:val="left"/>
      <w:pPr>
        <w:tabs>
          <w:tab w:val="num" w:pos="3900"/>
        </w:tabs>
        <w:ind w:left="3900" w:hanging="360"/>
      </w:pPr>
      <w:rPr>
        <w:rFonts w:ascii="Symbol" w:hAnsi="Symbol" w:hint="default"/>
      </w:rPr>
    </w:lvl>
    <w:lvl w:ilvl="7" w:tplc="04260003" w:tentative="1">
      <w:start w:val="1"/>
      <w:numFmt w:val="bullet"/>
      <w:lvlText w:val="o"/>
      <w:lvlJc w:val="left"/>
      <w:pPr>
        <w:tabs>
          <w:tab w:val="num" w:pos="4620"/>
        </w:tabs>
        <w:ind w:left="4620" w:hanging="360"/>
      </w:pPr>
      <w:rPr>
        <w:rFonts w:ascii="Courier New" w:hAnsi="Courier New" w:hint="default"/>
      </w:rPr>
    </w:lvl>
    <w:lvl w:ilvl="8" w:tplc="04260005" w:tentative="1">
      <w:start w:val="1"/>
      <w:numFmt w:val="bullet"/>
      <w:lvlText w:val=""/>
      <w:lvlJc w:val="left"/>
      <w:pPr>
        <w:tabs>
          <w:tab w:val="num" w:pos="5340"/>
        </w:tabs>
        <w:ind w:left="5340" w:hanging="360"/>
      </w:pPr>
      <w:rPr>
        <w:rFonts w:ascii="Wingdings" w:hAnsi="Wingdings" w:hint="default"/>
      </w:rPr>
    </w:lvl>
  </w:abstractNum>
  <w:abstractNum w:abstractNumId="26">
    <w:nsid w:val="4D98184F"/>
    <w:multiLevelType w:val="hybridMultilevel"/>
    <w:tmpl w:val="6A8C04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5AC7FC3"/>
    <w:multiLevelType w:val="hybridMultilevel"/>
    <w:tmpl w:val="6F5441FC"/>
    <w:lvl w:ilvl="0" w:tplc="3C6A250C">
      <w:start w:val="1"/>
      <w:numFmt w:val="upperRoman"/>
      <w:pStyle w:val="Heading1"/>
      <w:lvlText w:val="%1."/>
      <w:lvlJc w:val="right"/>
      <w:pPr>
        <w:tabs>
          <w:tab w:val="num" w:pos="720"/>
        </w:tabs>
        <w:ind w:left="720" w:hanging="18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nsid w:val="5C5B5BBF"/>
    <w:multiLevelType w:val="multilevel"/>
    <w:tmpl w:val="EE62DAE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397"/>
        </w:tabs>
        <w:ind w:left="397" w:hanging="397"/>
      </w:pPr>
      <w:rPr>
        <w:rFonts w:cs="Times New Roman" w:hint="default"/>
      </w:rPr>
    </w:lvl>
    <w:lvl w:ilvl="2">
      <w:start w:val="1"/>
      <w:numFmt w:val="decimal"/>
      <w:isLgl/>
      <w:lvlText w:val="%1.%2.%3."/>
      <w:lvlJc w:val="left"/>
      <w:pPr>
        <w:tabs>
          <w:tab w:val="num" w:pos="680"/>
        </w:tabs>
        <w:ind w:left="680" w:hanging="68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nsid w:val="5D1657DC"/>
    <w:multiLevelType w:val="hybridMultilevel"/>
    <w:tmpl w:val="24042D62"/>
    <w:lvl w:ilvl="0" w:tplc="664258B8">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0">
    <w:nsid w:val="5D194C20"/>
    <w:multiLevelType w:val="hybridMultilevel"/>
    <w:tmpl w:val="9668B366"/>
    <w:lvl w:ilvl="0" w:tplc="DA382FF0">
      <w:start w:val="1"/>
      <w:numFmt w:val="upperRoman"/>
      <w:lvlText w:val="%1."/>
      <w:lvlJc w:val="left"/>
      <w:pPr>
        <w:ind w:left="1440" w:hanging="720"/>
      </w:pPr>
      <w:rPr>
        <w:rFonts w:ascii="Times New Roman" w:hAnsi="Times New Roman" w:cs="Times New Roman"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679B6444"/>
    <w:multiLevelType w:val="hybridMultilevel"/>
    <w:tmpl w:val="93D0F806"/>
    <w:lvl w:ilvl="0" w:tplc="04260001">
      <w:start w:val="1"/>
      <w:numFmt w:val="bullet"/>
      <w:lvlText w:val=""/>
      <w:lvlJc w:val="left"/>
      <w:pPr>
        <w:ind w:left="749" w:hanging="360"/>
      </w:pPr>
      <w:rPr>
        <w:rFonts w:ascii="Symbol" w:hAnsi="Symbol" w:hint="default"/>
      </w:rPr>
    </w:lvl>
    <w:lvl w:ilvl="1" w:tplc="04260003">
      <w:start w:val="1"/>
      <w:numFmt w:val="bullet"/>
      <w:lvlText w:val="o"/>
      <w:lvlJc w:val="left"/>
      <w:pPr>
        <w:ind w:left="1469" w:hanging="360"/>
      </w:pPr>
      <w:rPr>
        <w:rFonts w:ascii="Courier New" w:hAnsi="Courier New" w:cs="Courier New" w:hint="default"/>
      </w:rPr>
    </w:lvl>
    <w:lvl w:ilvl="2" w:tplc="04260005">
      <w:start w:val="1"/>
      <w:numFmt w:val="bullet"/>
      <w:lvlText w:val=""/>
      <w:lvlJc w:val="left"/>
      <w:pPr>
        <w:ind w:left="2189" w:hanging="360"/>
      </w:pPr>
      <w:rPr>
        <w:rFonts w:ascii="Wingdings" w:hAnsi="Wingdings" w:hint="default"/>
      </w:rPr>
    </w:lvl>
    <w:lvl w:ilvl="3" w:tplc="04260001">
      <w:start w:val="1"/>
      <w:numFmt w:val="bullet"/>
      <w:lvlText w:val=""/>
      <w:lvlJc w:val="left"/>
      <w:pPr>
        <w:ind w:left="2909" w:hanging="360"/>
      </w:pPr>
      <w:rPr>
        <w:rFonts w:ascii="Symbol" w:hAnsi="Symbol" w:hint="default"/>
      </w:rPr>
    </w:lvl>
    <w:lvl w:ilvl="4" w:tplc="04260003">
      <w:start w:val="1"/>
      <w:numFmt w:val="bullet"/>
      <w:lvlText w:val="o"/>
      <w:lvlJc w:val="left"/>
      <w:pPr>
        <w:ind w:left="3629" w:hanging="360"/>
      </w:pPr>
      <w:rPr>
        <w:rFonts w:ascii="Courier New" w:hAnsi="Courier New" w:cs="Courier New" w:hint="default"/>
      </w:rPr>
    </w:lvl>
    <w:lvl w:ilvl="5" w:tplc="04260005">
      <w:start w:val="1"/>
      <w:numFmt w:val="bullet"/>
      <w:lvlText w:val=""/>
      <w:lvlJc w:val="left"/>
      <w:pPr>
        <w:ind w:left="4349" w:hanging="360"/>
      </w:pPr>
      <w:rPr>
        <w:rFonts w:ascii="Wingdings" w:hAnsi="Wingdings" w:hint="default"/>
      </w:rPr>
    </w:lvl>
    <w:lvl w:ilvl="6" w:tplc="04260001">
      <w:start w:val="1"/>
      <w:numFmt w:val="bullet"/>
      <w:lvlText w:val=""/>
      <w:lvlJc w:val="left"/>
      <w:pPr>
        <w:ind w:left="5069" w:hanging="360"/>
      </w:pPr>
      <w:rPr>
        <w:rFonts w:ascii="Symbol" w:hAnsi="Symbol" w:hint="default"/>
      </w:rPr>
    </w:lvl>
    <w:lvl w:ilvl="7" w:tplc="04260003">
      <w:start w:val="1"/>
      <w:numFmt w:val="bullet"/>
      <w:lvlText w:val="o"/>
      <w:lvlJc w:val="left"/>
      <w:pPr>
        <w:ind w:left="5789" w:hanging="360"/>
      </w:pPr>
      <w:rPr>
        <w:rFonts w:ascii="Courier New" w:hAnsi="Courier New" w:cs="Courier New" w:hint="default"/>
      </w:rPr>
    </w:lvl>
    <w:lvl w:ilvl="8" w:tplc="04260005">
      <w:start w:val="1"/>
      <w:numFmt w:val="bullet"/>
      <w:lvlText w:val=""/>
      <w:lvlJc w:val="left"/>
      <w:pPr>
        <w:ind w:left="6509" w:hanging="360"/>
      </w:pPr>
      <w:rPr>
        <w:rFonts w:ascii="Wingdings" w:hAnsi="Wingdings" w:hint="default"/>
      </w:rPr>
    </w:lvl>
  </w:abstractNum>
  <w:abstractNum w:abstractNumId="32">
    <w:nsid w:val="68857554"/>
    <w:multiLevelType w:val="hybridMultilevel"/>
    <w:tmpl w:val="BFAA8ACA"/>
    <w:lvl w:ilvl="0" w:tplc="04260005">
      <w:start w:val="1"/>
      <w:numFmt w:val="bullet"/>
      <w:lvlText w:val=""/>
      <w:lvlJc w:val="left"/>
      <w:pPr>
        <w:ind w:left="1434" w:hanging="360"/>
      </w:pPr>
      <w:rPr>
        <w:rFonts w:ascii="Wingdings" w:hAnsi="Wingdings"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3">
    <w:nsid w:val="68D15F2A"/>
    <w:multiLevelType w:val="hybridMultilevel"/>
    <w:tmpl w:val="8708D028"/>
    <w:lvl w:ilvl="0" w:tplc="E424EF5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A2C5AED"/>
    <w:multiLevelType w:val="hybridMultilevel"/>
    <w:tmpl w:val="CFDCCB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nsid w:val="6B4E66C4"/>
    <w:multiLevelType w:val="hybridMultilevel"/>
    <w:tmpl w:val="9202FF26"/>
    <w:lvl w:ilvl="0" w:tplc="61C89110">
      <w:start w:val="3"/>
      <w:numFmt w:val="bullet"/>
      <w:lvlText w:val="-"/>
      <w:lvlJc w:val="left"/>
      <w:pPr>
        <w:tabs>
          <w:tab w:val="num" w:pos="647"/>
        </w:tabs>
        <w:ind w:left="647" w:hanging="360"/>
      </w:pPr>
      <w:rPr>
        <w:rFonts w:ascii="Times New Roman" w:eastAsia="Times New Roman" w:hAnsi="Times New Roman" w:cs="Times New Roman" w:hint="default"/>
      </w:rPr>
    </w:lvl>
    <w:lvl w:ilvl="1" w:tplc="04260003" w:tentative="1">
      <w:start w:val="1"/>
      <w:numFmt w:val="bullet"/>
      <w:lvlText w:val="o"/>
      <w:lvlJc w:val="left"/>
      <w:pPr>
        <w:tabs>
          <w:tab w:val="num" w:pos="1605"/>
        </w:tabs>
        <w:ind w:left="1605" w:hanging="360"/>
      </w:pPr>
      <w:rPr>
        <w:rFonts w:ascii="Courier New" w:hAnsi="Courier New" w:cs="Courier New" w:hint="default"/>
      </w:rPr>
    </w:lvl>
    <w:lvl w:ilvl="2" w:tplc="04260005" w:tentative="1">
      <w:start w:val="1"/>
      <w:numFmt w:val="bullet"/>
      <w:lvlText w:val=""/>
      <w:lvlJc w:val="left"/>
      <w:pPr>
        <w:tabs>
          <w:tab w:val="num" w:pos="2325"/>
        </w:tabs>
        <w:ind w:left="2325" w:hanging="360"/>
      </w:pPr>
      <w:rPr>
        <w:rFonts w:ascii="Wingdings" w:hAnsi="Wingdings" w:hint="default"/>
      </w:rPr>
    </w:lvl>
    <w:lvl w:ilvl="3" w:tplc="04260001" w:tentative="1">
      <w:start w:val="1"/>
      <w:numFmt w:val="bullet"/>
      <w:lvlText w:val=""/>
      <w:lvlJc w:val="left"/>
      <w:pPr>
        <w:tabs>
          <w:tab w:val="num" w:pos="3045"/>
        </w:tabs>
        <w:ind w:left="3045" w:hanging="360"/>
      </w:pPr>
      <w:rPr>
        <w:rFonts w:ascii="Symbol" w:hAnsi="Symbol" w:hint="default"/>
      </w:rPr>
    </w:lvl>
    <w:lvl w:ilvl="4" w:tplc="04260003" w:tentative="1">
      <w:start w:val="1"/>
      <w:numFmt w:val="bullet"/>
      <w:lvlText w:val="o"/>
      <w:lvlJc w:val="left"/>
      <w:pPr>
        <w:tabs>
          <w:tab w:val="num" w:pos="3765"/>
        </w:tabs>
        <w:ind w:left="3765" w:hanging="360"/>
      </w:pPr>
      <w:rPr>
        <w:rFonts w:ascii="Courier New" w:hAnsi="Courier New" w:cs="Courier New" w:hint="default"/>
      </w:rPr>
    </w:lvl>
    <w:lvl w:ilvl="5" w:tplc="04260005" w:tentative="1">
      <w:start w:val="1"/>
      <w:numFmt w:val="bullet"/>
      <w:lvlText w:val=""/>
      <w:lvlJc w:val="left"/>
      <w:pPr>
        <w:tabs>
          <w:tab w:val="num" w:pos="4485"/>
        </w:tabs>
        <w:ind w:left="4485" w:hanging="360"/>
      </w:pPr>
      <w:rPr>
        <w:rFonts w:ascii="Wingdings" w:hAnsi="Wingdings" w:hint="default"/>
      </w:rPr>
    </w:lvl>
    <w:lvl w:ilvl="6" w:tplc="04260001" w:tentative="1">
      <w:start w:val="1"/>
      <w:numFmt w:val="bullet"/>
      <w:lvlText w:val=""/>
      <w:lvlJc w:val="left"/>
      <w:pPr>
        <w:tabs>
          <w:tab w:val="num" w:pos="5205"/>
        </w:tabs>
        <w:ind w:left="5205" w:hanging="360"/>
      </w:pPr>
      <w:rPr>
        <w:rFonts w:ascii="Symbol" w:hAnsi="Symbol" w:hint="default"/>
      </w:rPr>
    </w:lvl>
    <w:lvl w:ilvl="7" w:tplc="04260003" w:tentative="1">
      <w:start w:val="1"/>
      <w:numFmt w:val="bullet"/>
      <w:lvlText w:val="o"/>
      <w:lvlJc w:val="left"/>
      <w:pPr>
        <w:tabs>
          <w:tab w:val="num" w:pos="5925"/>
        </w:tabs>
        <w:ind w:left="5925" w:hanging="360"/>
      </w:pPr>
      <w:rPr>
        <w:rFonts w:ascii="Courier New" w:hAnsi="Courier New" w:cs="Courier New" w:hint="default"/>
      </w:rPr>
    </w:lvl>
    <w:lvl w:ilvl="8" w:tplc="04260005" w:tentative="1">
      <w:start w:val="1"/>
      <w:numFmt w:val="bullet"/>
      <w:lvlText w:val=""/>
      <w:lvlJc w:val="left"/>
      <w:pPr>
        <w:tabs>
          <w:tab w:val="num" w:pos="6645"/>
        </w:tabs>
        <w:ind w:left="6645" w:hanging="360"/>
      </w:pPr>
      <w:rPr>
        <w:rFonts w:ascii="Wingdings" w:hAnsi="Wingdings" w:hint="default"/>
      </w:rPr>
    </w:lvl>
  </w:abstractNum>
  <w:abstractNum w:abstractNumId="36">
    <w:nsid w:val="6EF8613A"/>
    <w:multiLevelType w:val="hybridMultilevel"/>
    <w:tmpl w:val="85DCEB20"/>
    <w:lvl w:ilvl="0" w:tplc="04260001">
      <w:start w:val="1"/>
      <w:numFmt w:val="bullet"/>
      <w:lvlText w:val=""/>
      <w:lvlJc w:val="left"/>
      <w:pPr>
        <w:ind w:left="749" w:hanging="360"/>
      </w:pPr>
      <w:rPr>
        <w:rFonts w:ascii="Symbol" w:hAnsi="Symbol" w:hint="default"/>
      </w:rPr>
    </w:lvl>
    <w:lvl w:ilvl="1" w:tplc="04260003" w:tentative="1">
      <w:start w:val="1"/>
      <w:numFmt w:val="bullet"/>
      <w:lvlText w:val="o"/>
      <w:lvlJc w:val="left"/>
      <w:pPr>
        <w:ind w:left="1469" w:hanging="360"/>
      </w:pPr>
      <w:rPr>
        <w:rFonts w:ascii="Courier New" w:hAnsi="Courier New" w:cs="Courier New" w:hint="default"/>
      </w:rPr>
    </w:lvl>
    <w:lvl w:ilvl="2" w:tplc="04260005" w:tentative="1">
      <w:start w:val="1"/>
      <w:numFmt w:val="bullet"/>
      <w:lvlText w:val=""/>
      <w:lvlJc w:val="left"/>
      <w:pPr>
        <w:ind w:left="2189" w:hanging="360"/>
      </w:pPr>
      <w:rPr>
        <w:rFonts w:ascii="Wingdings" w:hAnsi="Wingdings" w:hint="default"/>
      </w:rPr>
    </w:lvl>
    <w:lvl w:ilvl="3" w:tplc="04260001" w:tentative="1">
      <w:start w:val="1"/>
      <w:numFmt w:val="bullet"/>
      <w:lvlText w:val=""/>
      <w:lvlJc w:val="left"/>
      <w:pPr>
        <w:ind w:left="2909" w:hanging="360"/>
      </w:pPr>
      <w:rPr>
        <w:rFonts w:ascii="Symbol" w:hAnsi="Symbol" w:hint="default"/>
      </w:rPr>
    </w:lvl>
    <w:lvl w:ilvl="4" w:tplc="04260003" w:tentative="1">
      <w:start w:val="1"/>
      <w:numFmt w:val="bullet"/>
      <w:lvlText w:val="o"/>
      <w:lvlJc w:val="left"/>
      <w:pPr>
        <w:ind w:left="3629" w:hanging="360"/>
      </w:pPr>
      <w:rPr>
        <w:rFonts w:ascii="Courier New" w:hAnsi="Courier New" w:cs="Courier New" w:hint="default"/>
      </w:rPr>
    </w:lvl>
    <w:lvl w:ilvl="5" w:tplc="04260005" w:tentative="1">
      <w:start w:val="1"/>
      <w:numFmt w:val="bullet"/>
      <w:lvlText w:val=""/>
      <w:lvlJc w:val="left"/>
      <w:pPr>
        <w:ind w:left="4349" w:hanging="360"/>
      </w:pPr>
      <w:rPr>
        <w:rFonts w:ascii="Wingdings" w:hAnsi="Wingdings" w:hint="default"/>
      </w:rPr>
    </w:lvl>
    <w:lvl w:ilvl="6" w:tplc="04260001" w:tentative="1">
      <w:start w:val="1"/>
      <w:numFmt w:val="bullet"/>
      <w:lvlText w:val=""/>
      <w:lvlJc w:val="left"/>
      <w:pPr>
        <w:ind w:left="5069" w:hanging="360"/>
      </w:pPr>
      <w:rPr>
        <w:rFonts w:ascii="Symbol" w:hAnsi="Symbol" w:hint="default"/>
      </w:rPr>
    </w:lvl>
    <w:lvl w:ilvl="7" w:tplc="04260003" w:tentative="1">
      <w:start w:val="1"/>
      <w:numFmt w:val="bullet"/>
      <w:lvlText w:val="o"/>
      <w:lvlJc w:val="left"/>
      <w:pPr>
        <w:ind w:left="5789" w:hanging="360"/>
      </w:pPr>
      <w:rPr>
        <w:rFonts w:ascii="Courier New" w:hAnsi="Courier New" w:cs="Courier New" w:hint="default"/>
      </w:rPr>
    </w:lvl>
    <w:lvl w:ilvl="8" w:tplc="04260005" w:tentative="1">
      <w:start w:val="1"/>
      <w:numFmt w:val="bullet"/>
      <w:lvlText w:val=""/>
      <w:lvlJc w:val="left"/>
      <w:pPr>
        <w:ind w:left="6509" w:hanging="360"/>
      </w:pPr>
      <w:rPr>
        <w:rFonts w:ascii="Wingdings" w:hAnsi="Wingdings" w:hint="default"/>
      </w:rPr>
    </w:lvl>
  </w:abstractNum>
  <w:abstractNum w:abstractNumId="37">
    <w:nsid w:val="6F7D59B2"/>
    <w:multiLevelType w:val="hybridMultilevel"/>
    <w:tmpl w:val="0FB88650"/>
    <w:lvl w:ilvl="0" w:tplc="57FA9C86">
      <w:numFmt w:val="bullet"/>
      <w:lvlText w:val="-"/>
      <w:lvlJc w:val="left"/>
      <w:pPr>
        <w:ind w:left="1800" w:hanging="360"/>
      </w:pPr>
      <w:rPr>
        <w:rFonts w:ascii="Times New Roman" w:eastAsia="Times New Roman" w:hAnsi="Times New Roman" w:cs="Times New Roman" w:hint="default"/>
      </w:rPr>
    </w:lvl>
    <w:lvl w:ilvl="1" w:tplc="04260001">
      <w:start w:val="1"/>
      <w:numFmt w:val="bullet"/>
      <w:lvlText w:val=""/>
      <w:lvlJc w:val="left"/>
      <w:pPr>
        <w:ind w:left="2520" w:hanging="360"/>
      </w:pPr>
      <w:rPr>
        <w:rFonts w:ascii="Symbol" w:hAnsi="Symbol"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8">
    <w:nsid w:val="7C2D2C9E"/>
    <w:multiLevelType w:val="hybridMultilevel"/>
    <w:tmpl w:val="7EF88C0A"/>
    <w:lvl w:ilvl="0" w:tplc="5B38CDB0">
      <w:numFmt w:val="bullet"/>
      <w:lvlText w:val="-"/>
      <w:lvlJc w:val="left"/>
      <w:pPr>
        <w:tabs>
          <w:tab w:val="num" w:pos="525"/>
        </w:tabs>
        <w:ind w:left="525" w:hanging="360"/>
      </w:pPr>
      <w:rPr>
        <w:rFonts w:ascii="Times New Roman" w:eastAsia="Times New Roman" w:hAnsi="Times New Roman" w:cs="Times New Roman" w:hint="default"/>
      </w:rPr>
    </w:lvl>
    <w:lvl w:ilvl="1" w:tplc="04260003" w:tentative="1">
      <w:start w:val="1"/>
      <w:numFmt w:val="bullet"/>
      <w:lvlText w:val="o"/>
      <w:lvlJc w:val="left"/>
      <w:pPr>
        <w:tabs>
          <w:tab w:val="num" w:pos="1245"/>
        </w:tabs>
        <w:ind w:left="1245" w:hanging="360"/>
      </w:pPr>
      <w:rPr>
        <w:rFonts w:ascii="Courier New" w:hAnsi="Courier New" w:cs="Courier New" w:hint="default"/>
      </w:rPr>
    </w:lvl>
    <w:lvl w:ilvl="2" w:tplc="04260005" w:tentative="1">
      <w:start w:val="1"/>
      <w:numFmt w:val="bullet"/>
      <w:lvlText w:val=""/>
      <w:lvlJc w:val="left"/>
      <w:pPr>
        <w:tabs>
          <w:tab w:val="num" w:pos="1965"/>
        </w:tabs>
        <w:ind w:left="1965" w:hanging="360"/>
      </w:pPr>
      <w:rPr>
        <w:rFonts w:ascii="Wingdings" w:hAnsi="Wingdings" w:hint="default"/>
      </w:rPr>
    </w:lvl>
    <w:lvl w:ilvl="3" w:tplc="04260001" w:tentative="1">
      <w:start w:val="1"/>
      <w:numFmt w:val="bullet"/>
      <w:lvlText w:val=""/>
      <w:lvlJc w:val="left"/>
      <w:pPr>
        <w:tabs>
          <w:tab w:val="num" w:pos="2685"/>
        </w:tabs>
        <w:ind w:left="2685" w:hanging="360"/>
      </w:pPr>
      <w:rPr>
        <w:rFonts w:ascii="Symbol" w:hAnsi="Symbol" w:hint="default"/>
      </w:rPr>
    </w:lvl>
    <w:lvl w:ilvl="4" w:tplc="04260003" w:tentative="1">
      <w:start w:val="1"/>
      <w:numFmt w:val="bullet"/>
      <w:lvlText w:val="o"/>
      <w:lvlJc w:val="left"/>
      <w:pPr>
        <w:tabs>
          <w:tab w:val="num" w:pos="3405"/>
        </w:tabs>
        <w:ind w:left="3405" w:hanging="360"/>
      </w:pPr>
      <w:rPr>
        <w:rFonts w:ascii="Courier New" w:hAnsi="Courier New" w:cs="Courier New" w:hint="default"/>
      </w:rPr>
    </w:lvl>
    <w:lvl w:ilvl="5" w:tplc="04260005" w:tentative="1">
      <w:start w:val="1"/>
      <w:numFmt w:val="bullet"/>
      <w:lvlText w:val=""/>
      <w:lvlJc w:val="left"/>
      <w:pPr>
        <w:tabs>
          <w:tab w:val="num" w:pos="4125"/>
        </w:tabs>
        <w:ind w:left="4125" w:hanging="360"/>
      </w:pPr>
      <w:rPr>
        <w:rFonts w:ascii="Wingdings" w:hAnsi="Wingdings" w:hint="default"/>
      </w:rPr>
    </w:lvl>
    <w:lvl w:ilvl="6" w:tplc="04260001" w:tentative="1">
      <w:start w:val="1"/>
      <w:numFmt w:val="bullet"/>
      <w:lvlText w:val=""/>
      <w:lvlJc w:val="left"/>
      <w:pPr>
        <w:tabs>
          <w:tab w:val="num" w:pos="4845"/>
        </w:tabs>
        <w:ind w:left="4845" w:hanging="360"/>
      </w:pPr>
      <w:rPr>
        <w:rFonts w:ascii="Symbol" w:hAnsi="Symbol" w:hint="default"/>
      </w:rPr>
    </w:lvl>
    <w:lvl w:ilvl="7" w:tplc="04260003" w:tentative="1">
      <w:start w:val="1"/>
      <w:numFmt w:val="bullet"/>
      <w:lvlText w:val="o"/>
      <w:lvlJc w:val="left"/>
      <w:pPr>
        <w:tabs>
          <w:tab w:val="num" w:pos="5565"/>
        </w:tabs>
        <w:ind w:left="5565" w:hanging="360"/>
      </w:pPr>
      <w:rPr>
        <w:rFonts w:ascii="Courier New" w:hAnsi="Courier New" w:cs="Courier New" w:hint="default"/>
      </w:rPr>
    </w:lvl>
    <w:lvl w:ilvl="8" w:tplc="04260005" w:tentative="1">
      <w:start w:val="1"/>
      <w:numFmt w:val="bullet"/>
      <w:lvlText w:val=""/>
      <w:lvlJc w:val="left"/>
      <w:pPr>
        <w:tabs>
          <w:tab w:val="num" w:pos="6285"/>
        </w:tabs>
        <w:ind w:left="6285" w:hanging="360"/>
      </w:pPr>
      <w:rPr>
        <w:rFonts w:ascii="Wingdings" w:hAnsi="Wingdings" w:hint="default"/>
      </w:rPr>
    </w:lvl>
  </w:abstractNum>
  <w:num w:numId="1">
    <w:abstractNumId w:val="9"/>
  </w:num>
  <w:num w:numId="2">
    <w:abstractNumId w:val="6"/>
  </w:num>
  <w:num w:numId="3">
    <w:abstractNumId w:val="25"/>
  </w:num>
  <w:num w:numId="4">
    <w:abstractNumId w:val="4"/>
  </w:num>
  <w:num w:numId="5">
    <w:abstractNumId w:val="20"/>
  </w:num>
  <w:num w:numId="6">
    <w:abstractNumId w:val="17"/>
  </w:num>
  <w:num w:numId="7">
    <w:abstractNumId w:val="38"/>
  </w:num>
  <w:num w:numId="8">
    <w:abstractNumId w:val="23"/>
  </w:num>
  <w:num w:numId="9">
    <w:abstractNumId w:val="22"/>
  </w:num>
  <w:num w:numId="10">
    <w:abstractNumId w:val="10"/>
  </w:num>
  <w:num w:numId="11">
    <w:abstractNumId w:val="35"/>
  </w:num>
  <w:num w:numId="12">
    <w:abstractNumId w:val="28"/>
  </w:num>
  <w:num w:numId="13">
    <w:abstractNumId w:val="13"/>
  </w:num>
  <w:num w:numId="14">
    <w:abstractNumId w:val="27"/>
  </w:num>
  <w:num w:numId="15">
    <w:abstractNumId w:val="26"/>
  </w:num>
  <w:num w:numId="16">
    <w:abstractNumId w:val="24"/>
  </w:num>
  <w:num w:numId="17">
    <w:abstractNumId w:val="12"/>
  </w:num>
  <w:num w:numId="18">
    <w:abstractNumId w:val="0"/>
  </w:num>
  <w:num w:numId="19">
    <w:abstractNumId w:val="7"/>
  </w:num>
  <w:num w:numId="20">
    <w:abstractNumId w:val="32"/>
  </w:num>
  <w:num w:numId="21">
    <w:abstractNumId w:val="16"/>
  </w:num>
  <w:num w:numId="22">
    <w:abstractNumId w:val="30"/>
  </w:num>
  <w:num w:numId="23">
    <w:abstractNumId w:val="14"/>
  </w:num>
  <w:num w:numId="24">
    <w:abstractNumId w:val="36"/>
  </w:num>
  <w:num w:numId="25">
    <w:abstractNumId w:val="33"/>
  </w:num>
  <w:num w:numId="26">
    <w:abstractNumId w:val="31"/>
  </w:num>
  <w:num w:numId="27">
    <w:abstractNumId w:val="2"/>
  </w:num>
  <w:num w:numId="28">
    <w:abstractNumId w:val="21"/>
  </w:num>
  <w:num w:numId="29">
    <w:abstractNumId w:val="8"/>
  </w:num>
  <w:num w:numId="30">
    <w:abstractNumId w:val="34"/>
  </w:num>
  <w:num w:numId="31">
    <w:abstractNumId w:val="37"/>
  </w:num>
  <w:num w:numId="32">
    <w:abstractNumId w:val="5"/>
  </w:num>
  <w:num w:numId="33">
    <w:abstractNumId w:val="1"/>
  </w:num>
  <w:num w:numId="34">
    <w:abstractNumId w:val="11"/>
  </w:num>
  <w:num w:numId="35">
    <w:abstractNumId w:val="18"/>
  </w:num>
  <w:num w:numId="36">
    <w:abstractNumId w:val="3"/>
  </w:num>
  <w:num w:numId="37">
    <w:abstractNumId w:val="19"/>
  </w:num>
  <w:num w:numId="38">
    <w:abstractNumId w:val="1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6C"/>
    <w:rsid w:val="0000281E"/>
    <w:rsid w:val="00020007"/>
    <w:rsid w:val="0002781D"/>
    <w:rsid w:val="00034AA8"/>
    <w:rsid w:val="00041121"/>
    <w:rsid w:val="00042580"/>
    <w:rsid w:val="000455B3"/>
    <w:rsid w:val="0005026E"/>
    <w:rsid w:val="00051450"/>
    <w:rsid w:val="00052869"/>
    <w:rsid w:val="00057B30"/>
    <w:rsid w:val="000647D3"/>
    <w:rsid w:val="000770DD"/>
    <w:rsid w:val="00080CE8"/>
    <w:rsid w:val="00081F87"/>
    <w:rsid w:val="00082DF4"/>
    <w:rsid w:val="000854E3"/>
    <w:rsid w:val="00087161"/>
    <w:rsid w:val="000914E0"/>
    <w:rsid w:val="00092670"/>
    <w:rsid w:val="000A5FF6"/>
    <w:rsid w:val="000A7B37"/>
    <w:rsid w:val="000B1370"/>
    <w:rsid w:val="000B3892"/>
    <w:rsid w:val="000B608F"/>
    <w:rsid w:val="000B7303"/>
    <w:rsid w:val="000C159D"/>
    <w:rsid w:val="000C45DA"/>
    <w:rsid w:val="000C508A"/>
    <w:rsid w:val="000C57DC"/>
    <w:rsid w:val="000C6201"/>
    <w:rsid w:val="000C7978"/>
    <w:rsid w:val="000C7A77"/>
    <w:rsid w:val="000D3175"/>
    <w:rsid w:val="000D4963"/>
    <w:rsid w:val="000D503B"/>
    <w:rsid w:val="000D626E"/>
    <w:rsid w:val="000D6556"/>
    <w:rsid w:val="000E1960"/>
    <w:rsid w:val="000E1C15"/>
    <w:rsid w:val="000E3436"/>
    <w:rsid w:val="000E3EC2"/>
    <w:rsid w:val="000E3F3B"/>
    <w:rsid w:val="000E4901"/>
    <w:rsid w:val="000E4D9E"/>
    <w:rsid w:val="000E6C44"/>
    <w:rsid w:val="000E7189"/>
    <w:rsid w:val="000F0E28"/>
    <w:rsid w:val="000F13EF"/>
    <w:rsid w:val="000F1F4C"/>
    <w:rsid w:val="000F7070"/>
    <w:rsid w:val="001036AD"/>
    <w:rsid w:val="00106263"/>
    <w:rsid w:val="00106F2E"/>
    <w:rsid w:val="001108BF"/>
    <w:rsid w:val="00111656"/>
    <w:rsid w:val="00112192"/>
    <w:rsid w:val="00114EFC"/>
    <w:rsid w:val="001150B8"/>
    <w:rsid w:val="00115279"/>
    <w:rsid w:val="00116746"/>
    <w:rsid w:val="0011781C"/>
    <w:rsid w:val="001200C5"/>
    <w:rsid w:val="00121B16"/>
    <w:rsid w:val="00122E04"/>
    <w:rsid w:val="0012364A"/>
    <w:rsid w:val="00124F63"/>
    <w:rsid w:val="00125050"/>
    <w:rsid w:val="0012642B"/>
    <w:rsid w:val="0013329A"/>
    <w:rsid w:val="00134560"/>
    <w:rsid w:val="00135920"/>
    <w:rsid w:val="0013599C"/>
    <w:rsid w:val="00140AD3"/>
    <w:rsid w:val="001425C2"/>
    <w:rsid w:val="00144313"/>
    <w:rsid w:val="00150B7E"/>
    <w:rsid w:val="001543D0"/>
    <w:rsid w:val="0015770D"/>
    <w:rsid w:val="00160A28"/>
    <w:rsid w:val="001654C0"/>
    <w:rsid w:val="00165F72"/>
    <w:rsid w:val="00166666"/>
    <w:rsid w:val="001737A6"/>
    <w:rsid w:val="00175DBD"/>
    <w:rsid w:val="001779A4"/>
    <w:rsid w:val="00182653"/>
    <w:rsid w:val="00191012"/>
    <w:rsid w:val="001929B6"/>
    <w:rsid w:val="001957F9"/>
    <w:rsid w:val="001A098F"/>
    <w:rsid w:val="001A24F8"/>
    <w:rsid w:val="001A2B4F"/>
    <w:rsid w:val="001A47C3"/>
    <w:rsid w:val="001B2A01"/>
    <w:rsid w:val="001B5B4F"/>
    <w:rsid w:val="001C3429"/>
    <w:rsid w:val="001C370A"/>
    <w:rsid w:val="001C4833"/>
    <w:rsid w:val="001C5990"/>
    <w:rsid w:val="001C61CF"/>
    <w:rsid w:val="001C7811"/>
    <w:rsid w:val="001D0EC2"/>
    <w:rsid w:val="001D5FE0"/>
    <w:rsid w:val="001E0D4B"/>
    <w:rsid w:val="001E1DD9"/>
    <w:rsid w:val="001E6974"/>
    <w:rsid w:val="001E6B38"/>
    <w:rsid w:val="001F32A3"/>
    <w:rsid w:val="001F44AE"/>
    <w:rsid w:val="001F52CD"/>
    <w:rsid w:val="00200CD5"/>
    <w:rsid w:val="00211606"/>
    <w:rsid w:val="0021304E"/>
    <w:rsid w:val="00214CC8"/>
    <w:rsid w:val="0022225F"/>
    <w:rsid w:val="00225E4F"/>
    <w:rsid w:val="002312AB"/>
    <w:rsid w:val="00233C81"/>
    <w:rsid w:val="00240F61"/>
    <w:rsid w:val="00241166"/>
    <w:rsid w:val="00247DF5"/>
    <w:rsid w:val="00252AF8"/>
    <w:rsid w:val="00255651"/>
    <w:rsid w:val="00255909"/>
    <w:rsid w:val="00262D8B"/>
    <w:rsid w:val="00265EB3"/>
    <w:rsid w:val="00266157"/>
    <w:rsid w:val="002663C3"/>
    <w:rsid w:val="00266996"/>
    <w:rsid w:val="002706C6"/>
    <w:rsid w:val="00272338"/>
    <w:rsid w:val="00276BDD"/>
    <w:rsid w:val="00276DFB"/>
    <w:rsid w:val="00277E28"/>
    <w:rsid w:val="00281C60"/>
    <w:rsid w:val="002869AA"/>
    <w:rsid w:val="00286EE5"/>
    <w:rsid w:val="00292CD4"/>
    <w:rsid w:val="0029467C"/>
    <w:rsid w:val="00294784"/>
    <w:rsid w:val="00295D86"/>
    <w:rsid w:val="00297C1A"/>
    <w:rsid w:val="002A2FA9"/>
    <w:rsid w:val="002A5CEF"/>
    <w:rsid w:val="002B3DAF"/>
    <w:rsid w:val="002B3E92"/>
    <w:rsid w:val="002C0EAE"/>
    <w:rsid w:val="002C524A"/>
    <w:rsid w:val="002C722F"/>
    <w:rsid w:val="002D5ABB"/>
    <w:rsid w:val="002D6762"/>
    <w:rsid w:val="002F08FA"/>
    <w:rsid w:val="002F1D56"/>
    <w:rsid w:val="002F5D68"/>
    <w:rsid w:val="00300F09"/>
    <w:rsid w:val="00305DF0"/>
    <w:rsid w:val="00305FAD"/>
    <w:rsid w:val="003069C6"/>
    <w:rsid w:val="0031240D"/>
    <w:rsid w:val="00315DFD"/>
    <w:rsid w:val="00322885"/>
    <w:rsid w:val="00322E24"/>
    <w:rsid w:val="0032432B"/>
    <w:rsid w:val="00330BCE"/>
    <w:rsid w:val="00333BE8"/>
    <w:rsid w:val="0034347F"/>
    <w:rsid w:val="00346642"/>
    <w:rsid w:val="00353A7A"/>
    <w:rsid w:val="00355E7B"/>
    <w:rsid w:val="0036000B"/>
    <w:rsid w:val="00360626"/>
    <w:rsid w:val="003620EC"/>
    <w:rsid w:val="003642F1"/>
    <w:rsid w:val="00373F15"/>
    <w:rsid w:val="00377C9A"/>
    <w:rsid w:val="00377DA1"/>
    <w:rsid w:val="003837C3"/>
    <w:rsid w:val="0038407B"/>
    <w:rsid w:val="00385A24"/>
    <w:rsid w:val="00386B62"/>
    <w:rsid w:val="0039328A"/>
    <w:rsid w:val="0039435E"/>
    <w:rsid w:val="003A18D2"/>
    <w:rsid w:val="003A3D38"/>
    <w:rsid w:val="003A72B9"/>
    <w:rsid w:val="003A7996"/>
    <w:rsid w:val="003A79BA"/>
    <w:rsid w:val="003B242B"/>
    <w:rsid w:val="003B4404"/>
    <w:rsid w:val="003B718C"/>
    <w:rsid w:val="003C4282"/>
    <w:rsid w:val="003D5B14"/>
    <w:rsid w:val="003E11DC"/>
    <w:rsid w:val="003E1AB1"/>
    <w:rsid w:val="003E6A1C"/>
    <w:rsid w:val="003E7E93"/>
    <w:rsid w:val="00403A4D"/>
    <w:rsid w:val="00404465"/>
    <w:rsid w:val="00405CAF"/>
    <w:rsid w:val="004062B7"/>
    <w:rsid w:val="00410998"/>
    <w:rsid w:val="0041337E"/>
    <w:rsid w:val="00413947"/>
    <w:rsid w:val="004169AF"/>
    <w:rsid w:val="0042711B"/>
    <w:rsid w:val="00430DCB"/>
    <w:rsid w:val="004314BB"/>
    <w:rsid w:val="00432C40"/>
    <w:rsid w:val="00432EBB"/>
    <w:rsid w:val="00432F73"/>
    <w:rsid w:val="00435EF3"/>
    <w:rsid w:val="00437DC3"/>
    <w:rsid w:val="004402D5"/>
    <w:rsid w:val="0044792A"/>
    <w:rsid w:val="0045068A"/>
    <w:rsid w:val="00466E47"/>
    <w:rsid w:val="004700AA"/>
    <w:rsid w:val="00470698"/>
    <w:rsid w:val="00471E72"/>
    <w:rsid w:val="004733D2"/>
    <w:rsid w:val="00475D20"/>
    <w:rsid w:val="00481ED5"/>
    <w:rsid w:val="004917B7"/>
    <w:rsid w:val="00492B9A"/>
    <w:rsid w:val="00493AEC"/>
    <w:rsid w:val="00495838"/>
    <w:rsid w:val="00497856"/>
    <w:rsid w:val="004A39F8"/>
    <w:rsid w:val="004A4782"/>
    <w:rsid w:val="004A544E"/>
    <w:rsid w:val="004A5C78"/>
    <w:rsid w:val="004B07ED"/>
    <w:rsid w:val="004B09C6"/>
    <w:rsid w:val="004B5C18"/>
    <w:rsid w:val="004B5C3B"/>
    <w:rsid w:val="004B5F28"/>
    <w:rsid w:val="004C605A"/>
    <w:rsid w:val="004C6A4D"/>
    <w:rsid w:val="004C6E96"/>
    <w:rsid w:val="004D23D7"/>
    <w:rsid w:val="004D4EDA"/>
    <w:rsid w:val="004D7942"/>
    <w:rsid w:val="004D7B80"/>
    <w:rsid w:val="004E33B3"/>
    <w:rsid w:val="004E49D1"/>
    <w:rsid w:val="004E571D"/>
    <w:rsid w:val="004E5AF8"/>
    <w:rsid w:val="004E7403"/>
    <w:rsid w:val="004F06FD"/>
    <w:rsid w:val="0050044E"/>
    <w:rsid w:val="0050313A"/>
    <w:rsid w:val="00504B10"/>
    <w:rsid w:val="005051EF"/>
    <w:rsid w:val="005111DF"/>
    <w:rsid w:val="00516A09"/>
    <w:rsid w:val="00517DF8"/>
    <w:rsid w:val="00521438"/>
    <w:rsid w:val="00521695"/>
    <w:rsid w:val="0053187F"/>
    <w:rsid w:val="00531AEE"/>
    <w:rsid w:val="00534849"/>
    <w:rsid w:val="00537547"/>
    <w:rsid w:val="005411AD"/>
    <w:rsid w:val="0054180D"/>
    <w:rsid w:val="00541932"/>
    <w:rsid w:val="00545E77"/>
    <w:rsid w:val="00550394"/>
    <w:rsid w:val="00551CB3"/>
    <w:rsid w:val="005561EB"/>
    <w:rsid w:val="0055756B"/>
    <w:rsid w:val="005606E6"/>
    <w:rsid w:val="005616D0"/>
    <w:rsid w:val="00563FF8"/>
    <w:rsid w:val="0056708F"/>
    <w:rsid w:val="0057317C"/>
    <w:rsid w:val="005743CD"/>
    <w:rsid w:val="00580B27"/>
    <w:rsid w:val="00585767"/>
    <w:rsid w:val="00586C71"/>
    <w:rsid w:val="00590041"/>
    <w:rsid w:val="00590C62"/>
    <w:rsid w:val="00590DDF"/>
    <w:rsid w:val="005924DB"/>
    <w:rsid w:val="005A0C17"/>
    <w:rsid w:val="005A18E7"/>
    <w:rsid w:val="005A263C"/>
    <w:rsid w:val="005A4C51"/>
    <w:rsid w:val="005A5715"/>
    <w:rsid w:val="005A5F5F"/>
    <w:rsid w:val="005A62AC"/>
    <w:rsid w:val="005C1034"/>
    <w:rsid w:val="005C3676"/>
    <w:rsid w:val="005C5ADA"/>
    <w:rsid w:val="005C78DD"/>
    <w:rsid w:val="005E23B4"/>
    <w:rsid w:val="005E3C66"/>
    <w:rsid w:val="005F4FC1"/>
    <w:rsid w:val="005F5679"/>
    <w:rsid w:val="005F5D41"/>
    <w:rsid w:val="00604F76"/>
    <w:rsid w:val="00610519"/>
    <w:rsid w:val="0061593C"/>
    <w:rsid w:val="00627E40"/>
    <w:rsid w:val="00644636"/>
    <w:rsid w:val="0065666B"/>
    <w:rsid w:val="00656EC4"/>
    <w:rsid w:val="006631DC"/>
    <w:rsid w:val="00663970"/>
    <w:rsid w:val="006649FD"/>
    <w:rsid w:val="00664BC8"/>
    <w:rsid w:val="00664C9F"/>
    <w:rsid w:val="00666AEA"/>
    <w:rsid w:val="00666F5C"/>
    <w:rsid w:val="00682796"/>
    <w:rsid w:val="006902BE"/>
    <w:rsid w:val="00690CF9"/>
    <w:rsid w:val="006974CC"/>
    <w:rsid w:val="006A7241"/>
    <w:rsid w:val="006B36C3"/>
    <w:rsid w:val="006B39E6"/>
    <w:rsid w:val="006B458C"/>
    <w:rsid w:val="006B4747"/>
    <w:rsid w:val="006C1A9E"/>
    <w:rsid w:val="006C451A"/>
    <w:rsid w:val="006C4EA6"/>
    <w:rsid w:val="006C6CA3"/>
    <w:rsid w:val="006C78D2"/>
    <w:rsid w:val="006C7A21"/>
    <w:rsid w:val="006D1073"/>
    <w:rsid w:val="006D21E0"/>
    <w:rsid w:val="006D4B38"/>
    <w:rsid w:val="006D4D57"/>
    <w:rsid w:val="006E0455"/>
    <w:rsid w:val="006E40E2"/>
    <w:rsid w:val="006F0161"/>
    <w:rsid w:val="006F0360"/>
    <w:rsid w:val="006F1FC4"/>
    <w:rsid w:val="006F21FC"/>
    <w:rsid w:val="006F3902"/>
    <w:rsid w:val="006F3B54"/>
    <w:rsid w:val="006F643A"/>
    <w:rsid w:val="006F7A8A"/>
    <w:rsid w:val="00700882"/>
    <w:rsid w:val="007127BF"/>
    <w:rsid w:val="00715B4A"/>
    <w:rsid w:val="00715F64"/>
    <w:rsid w:val="00721103"/>
    <w:rsid w:val="007224E7"/>
    <w:rsid w:val="0072288B"/>
    <w:rsid w:val="00723C29"/>
    <w:rsid w:val="00723D2D"/>
    <w:rsid w:val="0072714C"/>
    <w:rsid w:val="00733188"/>
    <w:rsid w:val="007368D6"/>
    <w:rsid w:val="00737D9F"/>
    <w:rsid w:val="00742EF5"/>
    <w:rsid w:val="00744C23"/>
    <w:rsid w:val="0074561F"/>
    <w:rsid w:val="00752FEF"/>
    <w:rsid w:val="00756FF0"/>
    <w:rsid w:val="00761575"/>
    <w:rsid w:val="0077034F"/>
    <w:rsid w:val="00770C0B"/>
    <w:rsid w:val="00772E67"/>
    <w:rsid w:val="00775E00"/>
    <w:rsid w:val="007805F7"/>
    <w:rsid w:val="00780C99"/>
    <w:rsid w:val="0078229F"/>
    <w:rsid w:val="00782771"/>
    <w:rsid w:val="0078424B"/>
    <w:rsid w:val="007911B6"/>
    <w:rsid w:val="00792B1A"/>
    <w:rsid w:val="00795894"/>
    <w:rsid w:val="007A121D"/>
    <w:rsid w:val="007A64C6"/>
    <w:rsid w:val="007B05B2"/>
    <w:rsid w:val="007B4829"/>
    <w:rsid w:val="007B550E"/>
    <w:rsid w:val="007B5B1F"/>
    <w:rsid w:val="007B6494"/>
    <w:rsid w:val="007B7030"/>
    <w:rsid w:val="007C01C2"/>
    <w:rsid w:val="007C3BDD"/>
    <w:rsid w:val="007C6477"/>
    <w:rsid w:val="007C6B30"/>
    <w:rsid w:val="007C707B"/>
    <w:rsid w:val="007D1D61"/>
    <w:rsid w:val="007E00CC"/>
    <w:rsid w:val="007E5D2F"/>
    <w:rsid w:val="007E63CF"/>
    <w:rsid w:val="007E6E2F"/>
    <w:rsid w:val="007F2006"/>
    <w:rsid w:val="00802523"/>
    <w:rsid w:val="008173B7"/>
    <w:rsid w:val="00821376"/>
    <w:rsid w:val="0082178A"/>
    <w:rsid w:val="00822077"/>
    <w:rsid w:val="0082455B"/>
    <w:rsid w:val="0082554B"/>
    <w:rsid w:val="00826B6F"/>
    <w:rsid w:val="008310D2"/>
    <w:rsid w:val="00832ADF"/>
    <w:rsid w:val="00833BB0"/>
    <w:rsid w:val="0083618D"/>
    <w:rsid w:val="00843347"/>
    <w:rsid w:val="008444FF"/>
    <w:rsid w:val="00847275"/>
    <w:rsid w:val="00850157"/>
    <w:rsid w:val="008512E1"/>
    <w:rsid w:val="00854D82"/>
    <w:rsid w:val="00860086"/>
    <w:rsid w:val="008619BC"/>
    <w:rsid w:val="0086597D"/>
    <w:rsid w:val="00866DA2"/>
    <w:rsid w:val="008677D3"/>
    <w:rsid w:val="008743D5"/>
    <w:rsid w:val="00883382"/>
    <w:rsid w:val="00883523"/>
    <w:rsid w:val="00883727"/>
    <w:rsid w:val="0088447D"/>
    <w:rsid w:val="0088733E"/>
    <w:rsid w:val="008902D0"/>
    <w:rsid w:val="008A5694"/>
    <w:rsid w:val="008A5A00"/>
    <w:rsid w:val="008B3254"/>
    <w:rsid w:val="008B46BB"/>
    <w:rsid w:val="008B70A8"/>
    <w:rsid w:val="008C0A81"/>
    <w:rsid w:val="008C0B12"/>
    <w:rsid w:val="008C145F"/>
    <w:rsid w:val="008C2317"/>
    <w:rsid w:val="008C587A"/>
    <w:rsid w:val="008D21F1"/>
    <w:rsid w:val="008E12F4"/>
    <w:rsid w:val="008E3950"/>
    <w:rsid w:val="008E427D"/>
    <w:rsid w:val="008E4334"/>
    <w:rsid w:val="008E618D"/>
    <w:rsid w:val="008E7C13"/>
    <w:rsid w:val="008F0425"/>
    <w:rsid w:val="00903A1B"/>
    <w:rsid w:val="00911B81"/>
    <w:rsid w:val="00914290"/>
    <w:rsid w:val="00916713"/>
    <w:rsid w:val="00920F8A"/>
    <w:rsid w:val="00921554"/>
    <w:rsid w:val="0092462A"/>
    <w:rsid w:val="0092545A"/>
    <w:rsid w:val="00930133"/>
    <w:rsid w:val="009320B6"/>
    <w:rsid w:val="0093236B"/>
    <w:rsid w:val="00935AF6"/>
    <w:rsid w:val="00941A6D"/>
    <w:rsid w:val="00943789"/>
    <w:rsid w:val="00945CDF"/>
    <w:rsid w:val="00950E8B"/>
    <w:rsid w:val="00951606"/>
    <w:rsid w:val="00954987"/>
    <w:rsid w:val="00956F6F"/>
    <w:rsid w:val="009606CD"/>
    <w:rsid w:val="009627FF"/>
    <w:rsid w:val="009629AE"/>
    <w:rsid w:val="00963C3F"/>
    <w:rsid w:val="009672E3"/>
    <w:rsid w:val="00970BDD"/>
    <w:rsid w:val="00973E7F"/>
    <w:rsid w:val="009767F6"/>
    <w:rsid w:val="00977C73"/>
    <w:rsid w:val="00985169"/>
    <w:rsid w:val="009A2C77"/>
    <w:rsid w:val="009A38F9"/>
    <w:rsid w:val="009A522D"/>
    <w:rsid w:val="009B1E9F"/>
    <w:rsid w:val="009B4125"/>
    <w:rsid w:val="009B5177"/>
    <w:rsid w:val="009B5794"/>
    <w:rsid w:val="009C0940"/>
    <w:rsid w:val="009C2B2E"/>
    <w:rsid w:val="009C40A3"/>
    <w:rsid w:val="009C4A25"/>
    <w:rsid w:val="009C5029"/>
    <w:rsid w:val="009D0349"/>
    <w:rsid w:val="009D0D11"/>
    <w:rsid w:val="009D7F9B"/>
    <w:rsid w:val="009E7FEC"/>
    <w:rsid w:val="009F44A1"/>
    <w:rsid w:val="009F4F60"/>
    <w:rsid w:val="009F7A90"/>
    <w:rsid w:val="00A01A8F"/>
    <w:rsid w:val="00A033FD"/>
    <w:rsid w:val="00A03CA5"/>
    <w:rsid w:val="00A06CF5"/>
    <w:rsid w:val="00A2250C"/>
    <w:rsid w:val="00A23CB0"/>
    <w:rsid w:val="00A24C16"/>
    <w:rsid w:val="00A33C22"/>
    <w:rsid w:val="00A55CAE"/>
    <w:rsid w:val="00A60876"/>
    <w:rsid w:val="00A60934"/>
    <w:rsid w:val="00A67BE7"/>
    <w:rsid w:val="00A768E7"/>
    <w:rsid w:val="00A77BBD"/>
    <w:rsid w:val="00A864A9"/>
    <w:rsid w:val="00A914D4"/>
    <w:rsid w:val="00A96AF6"/>
    <w:rsid w:val="00A97213"/>
    <w:rsid w:val="00A97E2F"/>
    <w:rsid w:val="00AA20F7"/>
    <w:rsid w:val="00AB2696"/>
    <w:rsid w:val="00AB2A0A"/>
    <w:rsid w:val="00AB7FA6"/>
    <w:rsid w:val="00AC5658"/>
    <w:rsid w:val="00AC7363"/>
    <w:rsid w:val="00AD1B66"/>
    <w:rsid w:val="00AD3DF0"/>
    <w:rsid w:val="00AD3F44"/>
    <w:rsid w:val="00AD4402"/>
    <w:rsid w:val="00AD6581"/>
    <w:rsid w:val="00B00344"/>
    <w:rsid w:val="00B0098E"/>
    <w:rsid w:val="00B1033E"/>
    <w:rsid w:val="00B17CF0"/>
    <w:rsid w:val="00B21AFC"/>
    <w:rsid w:val="00B238A8"/>
    <w:rsid w:val="00B23D1A"/>
    <w:rsid w:val="00B25062"/>
    <w:rsid w:val="00B26A34"/>
    <w:rsid w:val="00B30571"/>
    <w:rsid w:val="00B4358E"/>
    <w:rsid w:val="00B5234D"/>
    <w:rsid w:val="00B54614"/>
    <w:rsid w:val="00B549DA"/>
    <w:rsid w:val="00B55FCD"/>
    <w:rsid w:val="00B56FBB"/>
    <w:rsid w:val="00B57D2E"/>
    <w:rsid w:val="00B60465"/>
    <w:rsid w:val="00B60891"/>
    <w:rsid w:val="00B60CB3"/>
    <w:rsid w:val="00B61B68"/>
    <w:rsid w:val="00B63C72"/>
    <w:rsid w:val="00B64B64"/>
    <w:rsid w:val="00B7180D"/>
    <w:rsid w:val="00B72988"/>
    <w:rsid w:val="00B72F30"/>
    <w:rsid w:val="00B76758"/>
    <w:rsid w:val="00B801E7"/>
    <w:rsid w:val="00B8022E"/>
    <w:rsid w:val="00B80BB5"/>
    <w:rsid w:val="00B97970"/>
    <w:rsid w:val="00BA7948"/>
    <w:rsid w:val="00BB177C"/>
    <w:rsid w:val="00BB3749"/>
    <w:rsid w:val="00BB3CD3"/>
    <w:rsid w:val="00BB780E"/>
    <w:rsid w:val="00BC0799"/>
    <w:rsid w:val="00BC402C"/>
    <w:rsid w:val="00BC49D4"/>
    <w:rsid w:val="00BC6B6F"/>
    <w:rsid w:val="00BC7BAA"/>
    <w:rsid w:val="00BD1C54"/>
    <w:rsid w:val="00BD26E0"/>
    <w:rsid w:val="00BD5B42"/>
    <w:rsid w:val="00BD5DBE"/>
    <w:rsid w:val="00BE0AC4"/>
    <w:rsid w:val="00BE1134"/>
    <w:rsid w:val="00BE2824"/>
    <w:rsid w:val="00BE337F"/>
    <w:rsid w:val="00BF0506"/>
    <w:rsid w:val="00BF0F9A"/>
    <w:rsid w:val="00BF35C2"/>
    <w:rsid w:val="00BF6671"/>
    <w:rsid w:val="00BF6AFC"/>
    <w:rsid w:val="00BF6CEF"/>
    <w:rsid w:val="00C0407B"/>
    <w:rsid w:val="00C049BF"/>
    <w:rsid w:val="00C04D6F"/>
    <w:rsid w:val="00C153FF"/>
    <w:rsid w:val="00C212B9"/>
    <w:rsid w:val="00C2546A"/>
    <w:rsid w:val="00C26840"/>
    <w:rsid w:val="00C27B66"/>
    <w:rsid w:val="00C32BF1"/>
    <w:rsid w:val="00C42811"/>
    <w:rsid w:val="00C46956"/>
    <w:rsid w:val="00C55167"/>
    <w:rsid w:val="00C665CE"/>
    <w:rsid w:val="00C67020"/>
    <w:rsid w:val="00C67B9E"/>
    <w:rsid w:val="00C711BD"/>
    <w:rsid w:val="00C7234D"/>
    <w:rsid w:val="00C7378B"/>
    <w:rsid w:val="00C77FFE"/>
    <w:rsid w:val="00C819E2"/>
    <w:rsid w:val="00C81F86"/>
    <w:rsid w:val="00C81FA2"/>
    <w:rsid w:val="00C83810"/>
    <w:rsid w:val="00C8673D"/>
    <w:rsid w:val="00C95B60"/>
    <w:rsid w:val="00C977E4"/>
    <w:rsid w:val="00CA18AA"/>
    <w:rsid w:val="00CA20F1"/>
    <w:rsid w:val="00CB05CC"/>
    <w:rsid w:val="00CB77CF"/>
    <w:rsid w:val="00CB7C79"/>
    <w:rsid w:val="00CC01DF"/>
    <w:rsid w:val="00CC3324"/>
    <w:rsid w:val="00CD69BF"/>
    <w:rsid w:val="00CE1BB0"/>
    <w:rsid w:val="00CF17B9"/>
    <w:rsid w:val="00CF18BB"/>
    <w:rsid w:val="00CF1A96"/>
    <w:rsid w:val="00CF2F64"/>
    <w:rsid w:val="00CF4EDD"/>
    <w:rsid w:val="00CF666C"/>
    <w:rsid w:val="00CF70B3"/>
    <w:rsid w:val="00D003DA"/>
    <w:rsid w:val="00D00DBB"/>
    <w:rsid w:val="00D0215E"/>
    <w:rsid w:val="00D041D3"/>
    <w:rsid w:val="00D04F4E"/>
    <w:rsid w:val="00D06E02"/>
    <w:rsid w:val="00D10195"/>
    <w:rsid w:val="00D13FD5"/>
    <w:rsid w:val="00D1490A"/>
    <w:rsid w:val="00D15300"/>
    <w:rsid w:val="00D1755E"/>
    <w:rsid w:val="00D1797A"/>
    <w:rsid w:val="00D2658D"/>
    <w:rsid w:val="00D31EAB"/>
    <w:rsid w:val="00D32280"/>
    <w:rsid w:val="00D33D00"/>
    <w:rsid w:val="00D358F4"/>
    <w:rsid w:val="00D4091D"/>
    <w:rsid w:val="00D4190C"/>
    <w:rsid w:val="00D43DEE"/>
    <w:rsid w:val="00D47A16"/>
    <w:rsid w:val="00D507DB"/>
    <w:rsid w:val="00D50B91"/>
    <w:rsid w:val="00D51A96"/>
    <w:rsid w:val="00D52034"/>
    <w:rsid w:val="00D53563"/>
    <w:rsid w:val="00D55684"/>
    <w:rsid w:val="00D57D94"/>
    <w:rsid w:val="00D6399C"/>
    <w:rsid w:val="00D65A33"/>
    <w:rsid w:val="00D7131F"/>
    <w:rsid w:val="00D7178B"/>
    <w:rsid w:val="00D8082E"/>
    <w:rsid w:val="00D8340D"/>
    <w:rsid w:val="00D8520B"/>
    <w:rsid w:val="00D918BC"/>
    <w:rsid w:val="00D92CDD"/>
    <w:rsid w:val="00D95319"/>
    <w:rsid w:val="00D95D15"/>
    <w:rsid w:val="00DA1D65"/>
    <w:rsid w:val="00DA1F63"/>
    <w:rsid w:val="00DA4D91"/>
    <w:rsid w:val="00DB0EA9"/>
    <w:rsid w:val="00DB1D9C"/>
    <w:rsid w:val="00DB5F5F"/>
    <w:rsid w:val="00DB7C45"/>
    <w:rsid w:val="00DC1306"/>
    <w:rsid w:val="00DD1E21"/>
    <w:rsid w:val="00DD2EF0"/>
    <w:rsid w:val="00DD3BDC"/>
    <w:rsid w:val="00DD6D0D"/>
    <w:rsid w:val="00DE00F7"/>
    <w:rsid w:val="00DE45FB"/>
    <w:rsid w:val="00DF245D"/>
    <w:rsid w:val="00DF4D5A"/>
    <w:rsid w:val="00DF7C29"/>
    <w:rsid w:val="00E03616"/>
    <w:rsid w:val="00E057AA"/>
    <w:rsid w:val="00E10FE1"/>
    <w:rsid w:val="00E11C28"/>
    <w:rsid w:val="00E16042"/>
    <w:rsid w:val="00E210CF"/>
    <w:rsid w:val="00E22662"/>
    <w:rsid w:val="00E2337F"/>
    <w:rsid w:val="00E27446"/>
    <w:rsid w:val="00E40D93"/>
    <w:rsid w:val="00E40F56"/>
    <w:rsid w:val="00E4157F"/>
    <w:rsid w:val="00E431FA"/>
    <w:rsid w:val="00E43B01"/>
    <w:rsid w:val="00E45EA7"/>
    <w:rsid w:val="00E4723A"/>
    <w:rsid w:val="00E5160A"/>
    <w:rsid w:val="00E5642A"/>
    <w:rsid w:val="00E63917"/>
    <w:rsid w:val="00E63DD0"/>
    <w:rsid w:val="00E6431C"/>
    <w:rsid w:val="00E65660"/>
    <w:rsid w:val="00E6732B"/>
    <w:rsid w:val="00E73E2C"/>
    <w:rsid w:val="00E74BBB"/>
    <w:rsid w:val="00E74CFE"/>
    <w:rsid w:val="00E762A1"/>
    <w:rsid w:val="00E8395E"/>
    <w:rsid w:val="00E85BDC"/>
    <w:rsid w:val="00E94AE9"/>
    <w:rsid w:val="00E96FC8"/>
    <w:rsid w:val="00E97A08"/>
    <w:rsid w:val="00E97C59"/>
    <w:rsid w:val="00EA4339"/>
    <w:rsid w:val="00EA75C3"/>
    <w:rsid w:val="00EB05FA"/>
    <w:rsid w:val="00EB1048"/>
    <w:rsid w:val="00EB2509"/>
    <w:rsid w:val="00EB3C64"/>
    <w:rsid w:val="00EB52A4"/>
    <w:rsid w:val="00EB6912"/>
    <w:rsid w:val="00EB7F05"/>
    <w:rsid w:val="00EC1A84"/>
    <w:rsid w:val="00EC1DB0"/>
    <w:rsid w:val="00EC6270"/>
    <w:rsid w:val="00ED1147"/>
    <w:rsid w:val="00ED2523"/>
    <w:rsid w:val="00ED2701"/>
    <w:rsid w:val="00ED4448"/>
    <w:rsid w:val="00EE0F67"/>
    <w:rsid w:val="00EE2094"/>
    <w:rsid w:val="00EE390A"/>
    <w:rsid w:val="00EE56C7"/>
    <w:rsid w:val="00EE654A"/>
    <w:rsid w:val="00EE6EFB"/>
    <w:rsid w:val="00EF4DCA"/>
    <w:rsid w:val="00EF7972"/>
    <w:rsid w:val="00F00E1F"/>
    <w:rsid w:val="00F02689"/>
    <w:rsid w:val="00F114AA"/>
    <w:rsid w:val="00F14287"/>
    <w:rsid w:val="00F14CE0"/>
    <w:rsid w:val="00F160AA"/>
    <w:rsid w:val="00F17074"/>
    <w:rsid w:val="00F213D3"/>
    <w:rsid w:val="00F22B0B"/>
    <w:rsid w:val="00F237AC"/>
    <w:rsid w:val="00F30AB7"/>
    <w:rsid w:val="00F347B0"/>
    <w:rsid w:val="00F4072E"/>
    <w:rsid w:val="00F41CF4"/>
    <w:rsid w:val="00F5008D"/>
    <w:rsid w:val="00F50DDA"/>
    <w:rsid w:val="00F531DD"/>
    <w:rsid w:val="00F53DB0"/>
    <w:rsid w:val="00F546B6"/>
    <w:rsid w:val="00F60FFD"/>
    <w:rsid w:val="00F635E4"/>
    <w:rsid w:val="00F63811"/>
    <w:rsid w:val="00F64B5B"/>
    <w:rsid w:val="00F67D35"/>
    <w:rsid w:val="00F826CF"/>
    <w:rsid w:val="00F92D79"/>
    <w:rsid w:val="00F94D77"/>
    <w:rsid w:val="00F95974"/>
    <w:rsid w:val="00FA0AA2"/>
    <w:rsid w:val="00FA11A0"/>
    <w:rsid w:val="00FA31EC"/>
    <w:rsid w:val="00FA3974"/>
    <w:rsid w:val="00FA4949"/>
    <w:rsid w:val="00FA5FC6"/>
    <w:rsid w:val="00FA63C2"/>
    <w:rsid w:val="00FA7DDB"/>
    <w:rsid w:val="00FB223A"/>
    <w:rsid w:val="00FB26AD"/>
    <w:rsid w:val="00FB3F63"/>
    <w:rsid w:val="00FB416A"/>
    <w:rsid w:val="00FB4D29"/>
    <w:rsid w:val="00FB6A19"/>
    <w:rsid w:val="00FC188E"/>
    <w:rsid w:val="00FC2788"/>
    <w:rsid w:val="00FD239E"/>
    <w:rsid w:val="00FD4E5E"/>
    <w:rsid w:val="00FD600E"/>
    <w:rsid w:val="00FE02AF"/>
    <w:rsid w:val="00FE1A04"/>
    <w:rsid w:val="00FE43BF"/>
    <w:rsid w:val="00FE7340"/>
    <w:rsid w:val="00FF3325"/>
    <w:rsid w:val="00FF59EA"/>
    <w:rsid w:val="00FF7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C1BC27-45D4-4FB3-8A57-7252010A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92"/>
    <w:rPr>
      <w:sz w:val="24"/>
      <w:szCs w:val="24"/>
    </w:rPr>
  </w:style>
  <w:style w:type="paragraph" w:styleId="Heading1">
    <w:name w:val="heading 1"/>
    <w:basedOn w:val="Normal"/>
    <w:next w:val="Normal"/>
    <w:link w:val="Heading1Char"/>
    <w:qFormat/>
    <w:rsid w:val="00AB7FA6"/>
    <w:pPr>
      <w:keepNext/>
      <w:numPr>
        <w:numId w:val="14"/>
      </w:numPr>
      <w:spacing w:before="360" w:after="360"/>
      <w:ind w:hanging="181"/>
      <w:jc w:val="center"/>
      <w:outlineLvl w:val="0"/>
    </w:pPr>
    <w:rPr>
      <w:rFonts w:cs="Arial"/>
      <w:b/>
      <w:bCs/>
      <w:kern w:val="32"/>
      <w:szCs w:val="32"/>
      <w:lang w:eastAsia="en-US"/>
    </w:rPr>
  </w:style>
  <w:style w:type="paragraph" w:styleId="Heading3">
    <w:name w:val="heading 3"/>
    <w:basedOn w:val="Normal"/>
    <w:next w:val="Normal"/>
    <w:link w:val="Heading3Char"/>
    <w:semiHidden/>
    <w:unhideWhenUsed/>
    <w:qFormat/>
    <w:rsid w:val="00CF17B9"/>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7911B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CF666C"/>
    <w:pPr>
      <w:spacing w:before="45" w:line="360" w:lineRule="auto"/>
      <w:ind w:firstLine="300"/>
    </w:pPr>
    <w:rPr>
      <w:i/>
      <w:iCs/>
      <w:color w:val="414142"/>
      <w:sz w:val="20"/>
      <w:szCs w:val="20"/>
    </w:rPr>
  </w:style>
  <w:style w:type="paragraph" w:styleId="NormalWeb">
    <w:name w:val="Normal (Web)"/>
    <w:basedOn w:val="Normal"/>
    <w:link w:val="NormalWebChar"/>
    <w:uiPriority w:val="99"/>
    <w:rsid w:val="004C6A4D"/>
    <w:pPr>
      <w:spacing w:before="100" w:beforeAutospacing="1" w:after="100" w:afterAutospacing="1"/>
    </w:pPr>
    <w:rPr>
      <w:sz w:val="28"/>
      <w:szCs w:val="20"/>
      <w:lang w:val="en-GB" w:eastAsia="en-US"/>
    </w:rPr>
  </w:style>
  <w:style w:type="character" w:customStyle="1" w:styleId="NormalWebChar">
    <w:name w:val="Normal (Web) Char"/>
    <w:link w:val="NormalWeb"/>
    <w:uiPriority w:val="99"/>
    <w:locked/>
    <w:rsid w:val="004C6A4D"/>
    <w:rPr>
      <w:sz w:val="28"/>
      <w:lang w:val="en-GB" w:eastAsia="en-US"/>
    </w:rPr>
  </w:style>
  <w:style w:type="paragraph" w:styleId="ListParagraph">
    <w:name w:val="List Paragraph"/>
    <w:basedOn w:val="Normal"/>
    <w:link w:val="ListParagraphChar"/>
    <w:uiPriority w:val="34"/>
    <w:qFormat/>
    <w:rsid w:val="004C6A4D"/>
    <w:pPr>
      <w:ind w:left="720"/>
      <w:contextualSpacing/>
    </w:pPr>
  </w:style>
  <w:style w:type="paragraph" w:styleId="FootnoteText">
    <w:name w:val="footnote text"/>
    <w:basedOn w:val="Normal"/>
    <w:link w:val="FootnoteTextChar"/>
    <w:uiPriority w:val="99"/>
    <w:rsid w:val="004402D5"/>
    <w:rPr>
      <w:sz w:val="20"/>
      <w:szCs w:val="20"/>
    </w:rPr>
  </w:style>
  <w:style w:type="character" w:customStyle="1" w:styleId="FootnoteTextChar">
    <w:name w:val="Footnote Text Char"/>
    <w:basedOn w:val="DefaultParagraphFont"/>
    <w:link w:val="FootnoteText"/>
    <w:uiPriority w:val="99"/>
    <w:rsid w:val="004402D5"/>
  </w:style>
  <w:style w:type="character" w:styleId="Hyperlink">
    <w:name w:val="Hyperlink"/>
    <w:uiPriority w:val="99"/>
    <w:rsid w:val="00FB416A"/>
    <w:rPr>
      <w:rFonts w:cs="Times New Roman"/>
      <w:color w:val="0000FF"/>
      <w:u w:val="single"/>
    </w:rPr>
  </w:style>
  <w:style w:type="paragraph" w:styleId="Footer">
    <w:name w:val="footer"/>
    <w:basedOn w:val="Normal"/>
    <w:link w:val="FooterChar1"/>
    <w:rsid w:val="00FB416A"/>
    <w:pPr>
      <w:tabs>
        <w:tab w:val="center" w:pos="4153"/>
        <w:tab w:val="right" w:pos="8306"/>
      </w:tabs>
    </w:pPr>
    <w:rPr>
      <w:lang w:val="x-none" w:eastAsia="x-none"/>
    </w:rPr>
  </w:style>
  <w:style w:type="character" w:customStyle="1" w:styleId="FooterChar">
    <w:name w:val="Footer Char"/>
    <w:uiPriority w:val="99"/>
    <w:rsid w:val="00FB416A"/>
    <w:rPr>
      <w:sz w:val="24"/>
      <w:szCs w:val="24"/>
    </w:rPr>
  </w:style>
  <w:style w:type="character" w:customStyle="1" w:styleId="FooterChar1">
    <w:name w:val="Footer Char1"/>
    <w:link w:val="Footer"/>
    <w:uiPriority w:val="99"/>
    <w:locked/>
    <w:rsid w:val="00FB416A"/>
    <w:rPr>
      <w:sz w:val="24"/>
      <w:szCs w:val="24"/>
      <w:lang w:val="x-none" w:eastAsia="x-none"/>
    </w:rPr>
  </w:style>
  <w:style w:type="character" w:styleId="FootnoteReference">
    <w:name w:val="footnote reference"/>
    <w:rsid w:val="00FB416A"/>
    <w:rPr>
      <w:vertAlign w:val="superscript"/>
    </w:rPr>
  </w:style>
  <w:style w:type="paragraph" w:styleId="EndnoteText">
    <w:name w:val="endnote text"/>
    <w:basedOn w:val="Normal"/>
    <w:link w:val="EndnoteTextChar"/>
    <w:rsid w:val="00FB416A"/>
    <w:rPr>
      <w:sz w:val="20"/>
      <w:szCs w:val="20"/>
    </w:rPr>
  </w:style>
  <w:style w:type="character" w:customStyle="1" w:styleId="EndnoteTextChar">
    <w:name w:val="Endnote Text Char"/>
    <w:basedOn w:val="DefaultParagraphFont"/>
    <w:link w:val="EndnoteText"/>
    <w:rsid w:val="00FB416A"/>
  </w:style>
  <w:style w:type="character" w:styleId="EndnoteReference">
    <w:name w:val="endnote reference"/>
    <w:rsid w:val="00FB416A"/>
    <w:rPr>
      <w:vertAlign w:val="superscript"/>
    </w:rPr>
  </w:style>
  <w:style w:type="paragraph" w:styleId="Header">
    <w:name w:val="header"/>
    <w:basedOn w:val="Normal"/>
    <w:link w:val="HeaderChar"/>
    <w:uiPriority w:val="99"/>
    <w:rsid w:val="00FB416A"/>
    <w:pPr>
      <w:tabs>
        <w:tab w:val="center" w:pos="4153"/>
        <w:tab w:val="right" w:pos="8306"/>
      </w:tabs>
    </w:pPr>
    <w:rPr>
      <w:lang w:val="x-none" w:eastAsia="x-none"/>
    </w:rPr>
  </w:style>
  <w:style w:type="character" w:customStyle="1" w:styleId="HeaderChar">
    <w:name w:val="Header Char"/>
    <w:link w:val="Header"/>
    <w:uiPriority w:val="99"/>
    <w:rsid w:val="00FB416A"/>
    <w:rPr>
      <w:sz w:val="24"/>
      <w:szCs w:val="24"/>
    </w:rPr>
  </w:style>
  <w:style w:type="paragraph" w:styleId="BalloonText">
    <w:name w:val="Balloon Text"/>
    <w:basedOn w:val="Normal"/>
    <w:link w:val="BalloonTextChar"/>
    <w:rsid w:val="00FB416A"/>
    <w:rPr>
      <w:rFonts w:ascii="Tahoma" w:hAnsi="Tahoma"/>
      <w:sz w:val="16"/>
      <w:szCs w:val="16"/>
      <w:lang w:val="x-none" w:eastAsia="x-none"/>
    </w:rPr>
  </w:style>
  <w:style w:type="character" w:customStyle="1" w:styleId="BalloonTextChar">
    <w:name w:val="Balloon Text Char"/>
    <w:link w:val="BalloonText"/>
    <w:rsid w:val="00FB416A"/>
    <w:rPr>
      <w:rFonts w:ascii="Tahoma" w:hAnsi="Tahoma" w:cs="Tahoma"/>
      <w:sz w:val="16"/>
      <w:szCs w:val="16"/>
    </w:rPr>
  </w:style>
  <w:style w:type="character" w:styleId="CommentReference">
    <w:name w:val="annotation reference"/>
    <w:uiPriority w:val="99"/>
    <w:rsid w:val="00F213D3"/>
    <w:rPr>
      <w:sz w:val="16"/>
      <w:szCs w:val="16"/>
    </w:rPr>
  </w:style>
  <w:style w:type="paragraph" w:styleId="CommentText">
    <w:name w:val="annotation text"/>
    <w:basedOn w:val="Normal"/>
    <w:link w:val="CommentTextChar"/>
    <w:uiPriority w:val="99"/>
    <w:rsid w:val="00F213D3"/>
    <w:rPr>
      <w:sz w:val="20"/>
      <w:szCs w:val="20"/>
    </w:rPr>
  </w:style>
  <w:style w:type="character" w:customStyle="1" w:styleId="CommentTextChar">
    <w:name w:val="Comment Text Char"/>
    <w:basedOn w:val="DefaultParagraphFont"/>
    <w:link w:val="CommentText"/>
    <w:uiPriority w:val="99"/>
    <w:rsid w:val="00F213D3"/>
  </w:style>
  <w:style w:type="paragraph" w:styleId="CommentSubject">
    <w:name w:val="annotation subject"/>
    <w:basedOn w:val="CommentText"/>
    <w:next w:val="CommentText"/>
    <w:link w:val="CommentSubjectChar"/>
    <w:rsid w:val="00F213D3"/>
    <w:rPr>
      <w:b/>
      <w:bCs/>
      <w:lang w:val="x-none" w:eastAsia="x-none"/>
    </w:rPr>
  </w:style>
  <w:style w:type="character" w:customStyle="1" w:styleId="CommentSubjectChar">
    <w:name w:val="Comment Subject Char"/>
    <w:link w:val="CommentSubject"/>
    <w:rsid w:val="00F213D3"/>
    <w:rPr>
      <w:b/>
      <w:bCs/>
    </w:rPr>
  </w:style>
  <w:style w:type="paragraph" w:customStyle="1" w:styleId="naispant">
    <w:name w:val="naispant"/>
    <w:basedOn w:val="Normal"/>
    <w:rsid w:val="008F0425"/>
    <w:pPr>
      <w:spacing w:before="100" w:beforeAutospacing="1" w:after="100" w:afterAutospacing="1"/>
    </w:pPr>
    <w:rPr>
      <w:color w:val="000000"/>
    </w:rPr>
  </w:style>
  <w:style w:type="paragraph" w:styleId="BodyText">
    <w:name w:val="Body Text"/>
    <w:basedOn w:val="Normal"/>
    <w:link w:val="BodyTextChar"/>
    <w:rsid w:val="00106F2E"/>
    <w:pPr>
      <w:jc w:val="center"/>
    </w:pPr>
    <w:rPr>
      <w:b/>
      <w:bCs/>
      <w:sz w:val="28"/>
      <w:lang w:eastAsia="en-US"/>
    </w:rPr>
  </w:style>
  <w:style w:type="character" w:customStyle="1" w:styleId="BodyTextChar">
    <w:name w:val="Body Text Char"/>
    <w:link w:val="BodyText"/>
    <w:rsid w:val="00106F2E"/>
    <w:rPr>
      <w:b/>
      <w:bCs/>
      <w:sz w:val="28"/>
      <w:szCs w:val="24"/>
      <w:lang w:eastAsia="en-US"/>
    </w:rPr>
  </w:style>
  <w:style w:type="paragraph" w:customStyle="1" w:styleId="naislab">
    <w:name w:val="naislab"/>
    <w:basedOn w:val="Normal"/>
    <w:rsid w:val="00106F2E"/>
    <w:pPr>
      <w:spacing w:before="100" w:beforeAutospacing="1" w:after="100" w:afterAutospacing="1"/>
    </w:pPr>
  </w:style>
  <w:style w:type="paragraph" w:customStyle="1" w:styleId="naisf">
    <w:name w:val="naisf"/>
    <w:basedOn w:val="Normal"/>
    <w:rsid w:val="00534849"/>
    <w:pPr>
      <w:spacing w:before="75" w:after="75"/>
      <w:ind w:firstLine="375"/>
      <w:jc w:val="both"/>
    </w:pPr>
  </w:style>
  <w:style w:type="paragraph" w:customStyle="1" w:styleId="naisc">
    <w:name w:val="naisc"/>
    <w:basedOn w:val="Normal"/>
    <w:rsid w:val="00EB6912"/>
    <w:pPr>
      <w:spacing w:before="450" w:after="300"/>
      <w:jc w:val="center"/>
    </w:pPr>
    <w:rPr>
      <w:sz w:val="26"/>
      <w:szCs w:val="26"/>
    </w:rPr>
  </w:style>
  <w:style w:type="paragraph" w:customStyle="1" w:styleId="naiskr">
    <w:name w:val="naiskr"/>
    <w:basedOn w:val="Normal"/>
    <w:rsid w:val="00EB6912"/>
    <w:pPr>
      <w:spacing w:before="100" w:beforeAutospacing="1" w:after="100" w:afterAutospacing="1"/>
    </w:pPr>
  </w:style>
  <w:style w:type="character" w:customStyle="1" w:styleId="Heading1Char">
    <w:name w:val="Heading 1 Char"/>
    <w:link w:val="Heading1"/>
    <w:rsid w:val="00AB7FA6"/>
    <w:rPr>
      <w:rFonts w:cs="Arial"/>
      <w:b/>
      <w:bCs/>
      <w:kern w:val="32"/>
      <w:sz w:val="24"/>
      <w:szCs w:val="32"/>
      <w:lang w:eastAsia="en-US"/>
    </w:rPr>
  </w:style>
  <w:style w:type="paragraph" w:customStyle="1" w:styleId="naisnod">
    <w:name w:val="naisnod"/>
    <w:basedOn w:val="Normal"/>
    <w:rsid w:val="007A64C6"/>
    <w:pPr>
      <w:spacing w:before="100" w:beforeAutospacing="1" w:after="100" w:afterAutospacing="1"/>
      <w:jc w:val="center"/>
    </w:pPr>
    <w:rPr>
      <w:b/>
      <w:bCs/>
      <w:lang w:val="en-GB" w:eastAsia="en-US"/>
    </w:rPr>
  </w:style>
  <w:style w:type="character" w:customStyle="1" w:styleId="st1">
    <w:name w:val="st1"/>
    <w:rsid w:val="003A7996"/>
  </w:style>
  <w:style w:type="character" w:customStyle="1" w:styleId="Heading3Char">
    <w:name w:val="Heading 3 Char"/>
    <w:link w:val="Heading3"/>
    <w:semiHidden/>
    <w:rsid w:val="00CF17B9"/>
    <w:rPr>
      <w:rFonts w:ascii="Cambria" w:eastAsia="Times New Roman" w:hAnsi="Cambria" w:cs="Times New Roman"/>
      <w:b/>
      <w:bCs/>
      <w:sz w:val="26"/>
      <w:szCs w:val="26"/>
    </w:rPr>
  </w:style>
  <w:style w:type="character" w:customStyle="1" w:styleId="Heading6Char">
    <w:name w:val="Heading 6 Char"/>
    <w:link w:val="Heading6"/>
    <w:semiHidden/>
    <w:rsid w:val="007911B6"/>
    <w:rPr>
      <w:rFonts w:ascii="Calibri" w:eastAsia="Times New Roman" w:hAnsi="Calibri" w:cs="Times New Roman"/>
      <w:b/>
      <w:bCs/>
      <w:sz w:val="22"/>
      <w:szCs w:val="22"/>
    </w:rPr>
  </w:style>
  <w:style w:type="paragraph" w:styleId="BodyTextIndent2">
    <w:name w:val="Body Text Indent 2"/>
    <w:basedOn w:val="Normal"/>
    <w:link w:val="BodyTextIndent2Char"/>
    <w:rsid w:val="005E3C66"/>
    <w:pPr>
      <w:spacing w:after="120" w:line="480" w:lineRule="auto"/>
      <w:ind w:left="283"/>
    </w:pPr>
  </w:style>
  <w:style w:type="character" w:customStyle="1" w:styleId="BodyTextIndent2Char">
    <w:name w:val="Body Text Indent 2 Char"/>
    <w:link w:val="BodyTextIndent2"/>
    <w:rsid w:val="005E3C66"/>
    <w:rPr>
      <w:sz w:val="24"/>
      <w:szCs w:val="24"/>
    </w:rPr>
  </w:style>
  <w:style w:type="character" w:customStyle="1" w:styleId="ListParagraphChar">
    <w:name w:val="List Paragraph Char"/>
    <w:link w:val="ListParagraph"/>
    <w:uiPriority w:val="34"/>
    <w:rsid w:val="008E3950"/>
    <w:rPr>
      <w:sz w:val="24"/>
      <w:szCs w:val="24"/>
    </w:rPr>
  </w:style>
  <w:style w:type="paragraph" w:styleId="BlockText">
    <w:name w:val="Block Text"/>
    <w:basedOn w:val="Normal"/>
    <w:rsid w:val="009A2C77"/>
    <w:pPr>
      <w:ind w:left="-249" w:right="-108" w:firstLine="278"/>
      <w:jc w:val="both"/>
    </w:pPr>
    <w:rPr>
      <w:color w:val="FF0000"/>
      <w:szCs w:val="20"/>
      <w:lang w:eastAsia="en-US"/>
    </w:rPr>
  </w:style>
  <w:style w:type="paragraph" w:styleId="Revision">
    <w:name w:val="Revision"/>
    <w:hidden/>
    <w:uiPriority w:val="99"/>
    <w:semiHidden/>
    <w:rsid w:val="00B17C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9876">
      <w:bodyDiv w:val="1"/>
      <w:marLeft w:val="0"/>
      <w:marRight w:val="0"/>
      <w:marTop w:val="0"/>
      <w:marBottom w:val="0"/>
      <w:divBdr>
        <w:top w:val="none" w:sz="0" w:space="0" w:color="auto"/>
        <w:left w:val="none" w:sz="0" w:space="0" w:color="auto"/>
        <w:bottom w:val="none" w:sz="0" w:space="0" w:color="auto"/>
        <w:right w:val="none" w:sz="0" w:space="0" w:color="auto"/>
      </w:divBdr>
    </w:div>
    <w:div w:id="219941682">
      <w:bodyDiv w:val="1"/>
      <w:marLeft w:val="0"/>
      <w:marRight w:val="0"/>
      <w:marTop w:val="0"/>
      <w:marBottom w:val="0"/>
      <w:divBdr>
        <w:top w:val="none" w:sz="0" w:space="0" w:color="auto"/>
        <w:left w:val="none" w:sz="0" w:space="0" w:color="auto"/>
        <w:bottom w:val="none" w:sz="0" w:space="0" w:color="auto"/>
        <w:right w:val="none" w:sz="0" w:space="0" w:color="auto"/>
      </w:divBdr>
      <w:divsChild>
        <w:div w:id="1544828882">
          <w:marLeft w:val="0"/>
          <w:marRight w:val="0"/>
          <w:marTop w:val="0"/>
          <w:marBottom w:val="0"/>
          <w:divBdr>
            <w:top w:val="none" w:sz="0" w:space="0" w:color="auto"/>
            <w:left w:val="none" w:sz="0" w:space="0" w:color="auto"/>
            <w:bottom w:val="none" w:sz="0" w:space="0" w:color="auto"/>
            <w:right w:val="none" w:sz="0" w:space="0" w:color="auto"/>
          </w:divBdr>
          <w:divsChild>
            <w:div w:id="737291686">
              <w:marLeft w:val="0"/>
              <w:marRight w:val="0"/>
              <w:marTop w:val="0"/>
              <w:marBottom w:val="0"/>
              <w:divBdr>
                <w:top w:val="none" w:sz="0" w:space="0" w:color="auto"/>
                <w:left w:val="none" w:sz="0" w:space="0" w:color="auto"/>
                <w:bottom w:val="none" w:sz="0" w:space="0" w:color="auto"/>
                <w:right w:val="none" w:sz="0" w:space="0" w:color="auto"/>
              </w:divBdr>
              <w:divsChild>
                <w:div w:id="1353456656">
                  <w:marLeft w:val="0"/>
                  <w:marRight w:val="0"/>
                  <w:marTop w:val="0"/>
                  <w:marBottom w:val="0"/>
                  <w:divBdr>
                    <w:top w:val="none" w:sz="0" w:space="0" w:color="auto"/>
                    <w:left w:val="none" w:sz="0" w:space="0" w:color="auto"/>
                    <w:bottom w:val="none" w:sz="0" w:space="0" w:color="auto"/>
                    <w:right w:val="none" w:sz="0" w:space="0" w:color="auto"/>
                  </w:divBdr>
                  <w:divsChild>
                    <w:div w:id="1053774155">
                      <w:marLeft w:val="0"/>
                      <w:marRight w:val="0"/>
                      <w:marTop w:val="0"/>
                      <w:marBottom w:val="0"/>
                      <w:divBdr>
                        <w:top w:val="none" w:sz="0" w:space="0" w:color="auto"/>
                        <w:left w:val="none" w:sz="0" w:space="0" w:color="auto"/>
                        <w:bottom w:val="none" w:sz="0" w:space="0" w:color="auto"/>
                        <w:right w:val="none" w:sz="0" w:space="0" w:color="auto"/>
                      </w:divBdr>
                      <w:divsChild>
                        <w:div w:id="159936619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4647">
      <w:bodyDiv w:val="1"/>
      <w:marLeft w:val="0"/>
      <w:marRight w:val="0"/>
      <w:marTop w:val="0"/>
      <w:marBottom w:val="0"/>
      <w:divBdr>
        <w:top w:val="none" w:sz="0" w:space="0" w:color="auto"/>
        <w:left w:val="none" w:sz="0" w:space="0" w:color="auto"/>
        <w:bottom w:val="none" w:sz="0" w:space="0" w:color="auto"/>
        <w:right w:val="none" w:sz="0" w:space="0" w:color="auto"/>
      </w:divBdr>
    </w:div>
    <w:div w:id="342630148">
      <w:bodyDiv w:val="1"/>
      <w:marLeft w:val="0"/>
      <w:marRight w:val="0"/>
      <w:marTop w:val="0"/>
      <w:marBottom w:val="0"/>
      <w:divBdr>
        <w:top w:val="none" w:sz="0" w:space="0" w:color="auto"/>
        <w:left w:val="none" w:sz="0" w:space="0" w:color="auto"/>
        <w:bottom w:val="none" w:sz="0" w:space="0" w:color="auto"/>
        <w:right w:val="none" w:sz="0" w:space="0" w:color="auto"/>
      </w:divBdr>
      <w:divsChild>
        <w:div w:id="534386133">
          <w:marLeft w:val="0"/>
          <w:marRight w:val="0"/>
          <w:marTop w:val="100"/>
          <w:marBottom w:val="100"/>
          <w:divBdr>
            <w:top w:val="none" w:sz="0" w:space="0" w:color="auto"/>
            <w:left w:val="none" w:sz="0" w:space="0" w:color="auto"/>
            <w:bottom w:val="none" w:sz="0" w:space="0" w:color="auto"/>
            <w:right w:val="none" w:sz="0" w:space="0" w:color="auto"/>
          </w:divBdr>
          <w:divsChild>
            <w:div w:id="2036995972">
              <w:marLeft w:val="0"/>
              <w:marRight w:val="0"/>
              <w:marTop w:val="0"/>
              <w:marBottom w:val="0"/>
              <w:divBdr>
                <w:top w:val="none" w:sz="0" w:space="0" w:color="auto"/>
                <w:left w:val="none" w:sz="0" w:space="0" w:color="auto"/>
                <w:bottom w:val="none" w:sz="0" w:space="0" w:color="auto"/>
                <w:right w:val="none" w:sz="0" w:space="0" w:color="auto"/>
              </w:divBdr>
              <w:divsChild>
                <w:div w:id="1708528197">
                  <w:marLeft w:val="0"/>
                  <w:marRight w:val="0"/>
                  <w:marTop w:val="0"/>
                  <w:marBottom w:val="0"/>
                  <w:divBdr>
                    <w:top w:val="none" w:sz="0" w:space="0" w:color="auto"/>
                    <w:left w:val="none" w:sz="0" w:space="0" w:color="auto"/>
                    <w:bottom w:val="none" w:sz="0" w:space="0" w:color="auto"/>
                    <w:right w:val="none" w:sz="0" w:space="0" w:color="auto"/>
                  </w:divBdr>
                  <w:divsChild>
                    <w:div w:id="1400517895">
                      <w:marLeft w:val="0"/>
                      <w:marRight w:val="0"/>
                      <w:marTop w:val="0"/>
                      <w:marBottom w:val="0"/>
                      <w:divBdr>
                        <w:top w:val="none" w:sz="0" w:space="0" w:color="auto"/>
                        <w:left w:val="none" w:sz="0" w:space="0" w:color="auto"/>
                        <w:bottom w:val="none" w:sz="0" w:space="0" w:color="auto"/>
                        <w:right w:val="none" w:sz="0" w:space="0" w:color="auto"/>
                      </w:divBdr>
                      <w:divsChild>
                        <w:div w:id="247690507">
                          <w:marLeft w:val="0"/>
                          <w:marRight w:val="0"/>
                          <w:marTop w:val="0"/>
                          <w:marBottom w:val="0"/>
                          <w:divBdr>
                            <w:top w:val="none" w:sz="0" w:space="0" w:color="auto"/>
                            <w:left w:val="none" w:sz="0" w:space="0" w:color="auto"/>
                            <w:bottom w:val="none" w:sz="0" w:space="0" w:color="auto"/>
                            <w:right w:val="none" w:sz="0" w:space="0" w:color="auto"/>
                          </w:divBdr>
                          <w:divsChild>
                            <w:div w:id="1618877375">
                              <w:marLeft w:val="0"/>
                              <w:marRight w:val="0"/>
                              <w:marTop w:val="0"/>
                              <w:marBottom w:val="0"/>
                              <w:divBdr>
                                <w:top w:val="none" w:sz="0" w:space="0" w:color="auto"/>
                                <w:left w:val="none" w:sz="0" w:space="0" w:color="auto"/>
                                <w:bottom w:val="none" w:sz="0" w:space="0" w:color="auto"/>
                                <w:right w:val="none" w:sz="0" w:space="0" w:color="auto"/>
                              </w:divBdr>
                              <w:divsChild>
                                <w:div w:id="891844262">
                                  <w:marLeft w:val="0"/>
                                  <w:marRight w:val="0"/>
                                  <w:marTop w:val="0"/>
                                  <w:marBottom w:val="0"/>
                                  <w:divBdr>
                                    <w:top w:val="none" w:sz="0" w:space="0" w:color="auto"/>
                                    <w:left w:val="none" w:sz="0" w:space="0" w:color="auto"/>
                                    <w:bottom w:val="none" w:sz="0" w:space="0" w:color="auto"/>
                                    <w:right w:val="none" w:sz="0" w:space="0" w:color="auto"/>
                                  </w:divBdr>
                                  <w:divsChild>
                                    <w:div w:id="831260173">
                                      <w:marLeft w:val="0"/>
                                      <w:marRight w:val="0"/>
                                      <w:marTop w:val="0"/>
                                      <w:marBottom w:val="150"/>
                                      <w:divBdr>
                                        <w:top w:val="none" w:sz="0" w:space="0" w:color="auto"/>
                                        <w:left w:val="none" w:sz="0" w:space="0" w:color="auto"/>
                                        <w:bottom w:val="none" w:sz="0" w:space="0" w:color="auto"/>
                                        <w:right w:val="none" w:sz="0" w:space="0" w:color="auto"/>
                                      </w:divBdr>
                                      <w:divsChild>
                                        <w:div w:id="8768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81377">
      <w:bodyDiv w:val="1"/>
      <w:marLeft w:val="0"/>
      <w:marRight w:val="0"/>
      <w:marTop w:val="0"/>
      <w:marBottom w:val="0"/>
      <w:divBdr>
        <w:top w:val="none" w:sz="0" w:space="0" w:color="auto"/>
        <w:left w:val="none" w:sz="0" w:space="0" w:color="auto"/>
        <w:bottom w:val="none" w:sz="0" w:space="0" w:color="auto"/>
        <w:right w:val="none" w:sz="0" w:space="0" w:color="auto"/>
      </w:divBdr>
      <w:divsChild>
        <w:div w:id="2136898506">
          <w:marLeft w:val="0"/>
          <w:marRight w:val="0"/>
          <w:marTop w:val="0"/>
          <w:marBottom w:val="0"/>
          <w:divBdr>
            <w:top w:val="none" w:sz="0" w:space="0" w:color="auto"/>
            <w:left w:val="none" w:sz="0" w:space="0" w:color="auto"/>
            <w:bottom w:val="none" w:sz="0" w:space="0" w:color="auto"/>
            <w:right w:val="none" w:sz="0" w:space="0" w:color="auto"/>
          </w:divBdr>
          <w:divsChild>
            <w:div w:id="784233220">
              <w:marLeft w:val="0"/>
              <w:marRight w:val="0"/>
              <w:marTop w:val="0"/>
              <w:marBottom w:val="0"/>
              <w:divBdr>
                <w:top w:val="none" w:sz="0" w:space="0" w:color="auto"/>
                <w:left w:val="none" w:sz="0" w:space="0" w:color="auto"/>
                <w:bottom w:val="none" w:sz="0" w:space="0" w:color="auto"/>
                <w:right w:val="none" w:sz="0" w:space="0" w:color="auto"/>
              </w:divBdr>
              <w:divsChild>
                <w:div w:id="1197112420">
                  <w:marLeft w:val="0"/>
                  <w:marRight w:val="0"/>
                  <w:marTop w:val="0"/>
                  <w:marBottom w:val="0"/>
                  <w:divBdr>
                    <w:top w:val="none" w:sz="0" w:space="0" w:color="auto"/>
                    <w:left w:val="none" w:sz="0" w:space="0" w:color="auto"/>
                    <w:bottom w:val="none" w:sz="0" w:space="0" w:color="auto"/>
                    <w:right w:val="none" w:sz="0" w:space="0" w:color="auto"/>
                  </w:divBdr>
                  <w:divsChild>
                    <w:div w:id="1584684597">
                      <w:marLeft w:val="0"/>
                      <w:marRight w:val="0"/>
                      <w:marTop w:val="0"/>
                      <w:marBottom w:val="0"/>
                      <w:divBdr>
                        <w:top w:val="none" w:sz="0" w:space="0" w:color="auto"/>
                        <w:left w:val="none" w:sz="0" w:space="0" w:color="auto"/>
                        <w:bottom w:val="none" w:sz="0" w:space="0" w:color="auto"/>
                        <w:right w:val="none" w:sz="0" w:space="0" w:color="auto"/>
                      </w:divBdr>
                      <w:divsChild>
                        <w:div w:id="1092354851">
                          <w:marLeft w:val="0"/>
                          <w:marRight w:val="0"/>
                          <w:marTop w:val="300"/>
                          <w:marBottom w:val="0"/>
                          <w:divBdr>
                            <w:top w:val="none" w:sz="0" w:space="0" w:color="auto"/>
                            <w:left w:val="none" w:sz="0" w:space="0" w:color="auto"/>
                            <w:bottom w:val="none" w:sz="0" w:space="0" w:color="auto"/>
                            <w:right w:val="none" w:sz="0" w:space="0" w:color="auto"/>
                          </w:divBdr>
                          <w:divsChild>
                            <w:div w:id="734090171">
                              <w:marLeft w:val="0"/>
                              <w:marRight w:val="0"/>
                              <w:marTop w:val="400"/>
                              <w:marBottom w:val="0"/>
                              <w:divBdr>
                                <w:top w:val="none" w:sz="0" w:space="0" w:color="auto"/>
                                <w:left w:val="none" w:sz="0" w:space="0" w:color="auto"/>
                                <w:bottom w:val="none" w:sz="0" w:space="0" w:color="auto"/>
                                <w:right w:val="none" w:sz="0" w:space="0" w:color="auto"/>
                              </w:divBdr>
                            </w:div>
                            <w:div w:id="15332995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5098">
      <w:bodyDiv w:val="1"/>
      <w:marLeft w:val="0"/>
      <w:marRight w:val="0"/>
      <w:marTop w:val="0"/>
      <w:marBottom w:val="0"/>
      <w:divBdr>
        <w:top w:val="none" w:sz="0" w:space="0" w:color="auto"/>
        <w:left w:val="none" w:sz="0" w:space="0" w:color="auto"/>
        <w:bottom w:val="none" w:sz="0" w:space="0" w:color="auto"/>
        <w:right w:val="none" w:sz="0" w:space="0" w:color="auto"/>
      </w:divBdr>
    </w:div>
    <w:div w:id="495417812">
      <w:bodyDiv w:val="1"/>
      <w:marLeft w:val="0"/>
      <w:marRight w:val="0"/>
      <w:marTop w:val="0"/>
      <w:marBottom w:val="0"/>
      <w:divBdr>
        <w:top w:val="none" w:sz="0" w:space="0" w:color="auto"/>
        <w:left w:val="none" w:sz="0" w:space="0" w:color="auto"/>
        <w:bottom w:val="none" w:sz="0" w:space="0" w:color="auto"/>
        <w:right w:val="none" w:sz="0" w:space="0" w:color="auto"/>
      </w:divBdr>
      <w:divsChild>
        <w:div w:id="2129421887">
          <w:marLeft w:val="0"/>
          <w:marRight w:val="0"/>
          <w:marTop w:val="100"/>
          <w:marBottom w:val="100"/>
          <w:divBdr>
            <w:top w:val="none" w:sz="0" w:space="0" w:color="auto"/>
            <w:left w:val="none" w:sz="0" w:space="0" w:color="auto"/>
            <w:bottom w:val="none" w:sz="0" w:space="0" w:color="auto"/>
            <w:right w:val="none" w:sz="0" w:space="0" w:color="auto"/>
          </w:divBdr>
          <w:divsChild>
            <w:div w:id="1108348959">
              <w:marLeft w:val="0"/>
              <w:marRight w:val="0"/>
              <w:marTop w:val="0"/>
              <w:marBottom w:val="0"/>
              <w:divBdr>
                <w:top w:val="none" w:sz="0" w:space="0" w:color="auto"/>
                <w:left w:val="none" w:sz="0" w:space="0" w:color="auto"/>
                <w:bottom w:val="none" w:sz="0" w:space="0" w:color="auto"/>
                <w:right w:val="none" w:sz="0" w:space="0" w:color="auto"/>
              </w:divBdr>
              <w:divsChild>
                <w:div w:id="153645055">
                  <w:marLeft w:val="0"/>
                  <w:marRight w:val="0"/>
                  <w:marTop w:val="0"/>
                  <w:marBottom w:val="0"/>
                  <w:divBdr>
                    <w:top w:val="none" w:sz="0" w:space="0" w:color="auto"/>
                    <w:left w:val="none" w:sz="0" w:space="0" w:color="auto"/>
                    <w:bottom w:val="none" w:sz="0" w:space="0" w:color="auto"/>
                    <w:right w:val="none" w:sz="0" w:space="0" w:color="auto"/>
                  </w:divBdr>
                  <w:divsChild>
                    <w:div w:id="855847876">
                      <w:marLeft w:val="0"/>
                      <w:marRight w:val="0"/>
                      <w:marTop w:val="0"/>
                      <w:marBottom w:val="0"/>
                      <w:divBdr>
                        <w:top w:val="none" w:sz="0" w:space="0" w:color="auto"/>
                        <w:left w:val="none" w:sz="0" w:space="0" w:color="auto"/>
                        <w:bottom w:val="none" w:sz="0" w:space="0" w:color="auto"/>
                        <w:right w:val="none" w:sz="0" w:space="0" w:color="auto"/>
                      </w:divBdr>
                      <w:divsChild>
                        <w:div w:id="1411348483">
                          <w:marLeft w:val="0"/>
                          <w:marRight w:val="0"/>
                          <w:marTop w:val="0"/>
                          <w:marBottom w:val="0"/>
                          <w:divBdr>
                            <w:top w:val="none" w:sz="0" w:space="0" w:color="auto"/>
                            <w:left w:val="none" w:sz="0" w:space="0" w:color="auto"/>
                            <w:bottom w:val="none" w:sz="0" w:space="0" w:color="auto"/>
                            <w:right w:val="none" w:sz="0" w:space="0" w:color="auto"/>
                          </w:divBdr>
                          <w:divsChild>
                            <w:div w:id="10618782">
                              <w:marLeft w:val="0"/>
                              <w:marRight w:val="0"/>
                              <w:marTop w:val="0"/>
                              <w:marBottom w:val="0"/>
                              <w:divBdr>
                                <w:top w:val="none" w:sz="0" w:space="0" w:color="auto"/>
                                <w:left w:val="none" w:sz="0" w:space="0" w:color="auto"/>
                                <w:bottom w:val="none" w:sz="0" w:space="0" w:color="auto"/>
                                <w:right w:val="none" w:sz="0" w:space="0" w:color="auto"/>
                              </w:divBdr>
                              <w:divsChild>
                                <w:div w:id="1187913286">
                                  <w:marLeft w:val="0"/>
                                  <w:marRight w:val="0"/>
                                  <w:marTop w:val="0"/>
                                  <w:marBottom w:val="0"/>
                                  <w:divBdr>
                                    <w:top w:val="none" w:sz="0" w:space="0" w:color="auto"/>
                                    <w:left w:val="none" w:sz="0" w:space="0" w:color="auto"/>
                                    <w:bottom w:val="none" w:sz="0" w:space="0" w:color="auto"/>
                                    <w:right w:val="none" w:sz="0" w:space="0" w:color="auto"/>
                                  </w:divBdr>
                                  <w:divsChild>
                                    <w:div w:id="687415610">
                                      <w:marLeft w:val="0"/>
                                      <w:marRight w:val="0"/>
                                      <w:marTop w:val="0"/>
                                      <w:marBottom w:val="150"/>
                                      <w:divBdr>
                                        <w:top w:val="none" w:sz="0" w:space="0" w:color="auto"/>
                                        <w:left w:val="none" w:sz="0" w:space="0" w:color="auto"/>
                                        <w:bottom w:val="none" w:sz="0" w:space="0" w:color="auto"/>
                                        <w:right w:val="none" w:sz="0" w:space="0" w:color="auto"/>
                                      </w:divBdr>
                                      <w:divsChild>
                                        <w:div w:id="2729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950755">
      <w:bodyDiv w:val="1"/>
      <w:marLeft w:val="0"/>
      <w:marRight w:val="0"/>
      <w:marTop w:val="0"/>
      <w:marBottom w:val="0"/>
      <w:divBdr>
        <w:top w:val="none" w:sz="0" w:space="0" w:color="auto"/>
        <w:left w:val="none" w:sz="0" w:space="0" w:color="auto"/>
        <w:bottom w:val="none" w:sz="0" w:space="0" w:color="auto"/>
        <w:right w:val="none" w:sz="0" w:space="0" w:color="auto"/>
      </w:divBdr>
    </w:div>
    <w:div w:id="820464176">
      <w:bodyDiv w:val="1"/>
      <w:marLeft w:val="0"/>
      <w:marRight w:val="0"/>
      <w:marTop w:val="0"/>
      <w:marBottom w:val="0"/>
      <w:divBdr>
        <w:top w:val="none" w:sz="0" w:space="0" w:color="auto"/>
        <w:left w:val="none" w:sz="0" w:space="0" w:color="auto"/>
        <w:bottom w:val="none" w:sz="0" w:space="0" w:color="auto"/>
        <w:right w:val="none" w:sz="0" w:space="0" w:color="auto"/>
      </w:divBdr>
    </w:div>
    <w:div w:id="840631284">
      <w:bodyDiv w:val="1"/>
      <w:marLeft w:val="0"/>
      <w:marRight w:val="0"/>
      <w:marTop w:val="0"/>
      <w:marBottom w:val="0"/>
      <w:divBdr>
        <w:top w:val="none" w:sz="0" w:space="0" w:color="auto"/>
        <w:left w:val="none" w:sz="0" w:space="0" w:color="auto"/>
        <w:bottom w:val="none" w:sz="0" w:space="0" w:color="auto"/>
        <w:right w:val="none" w:sz="0" w:space="0" w:color="auto"/>
      </w:divBdr>
      <w:divsChild>
        <w:div w:id="870991865">
          <w:marLeft w:val="0"/>
          <w:marRight w:val="0"/>
          <w:marTop w:val="0"/>
          <w:marBottom w:val="0"/>
          <w:divBdr>
            <w:top w:val="none" w:sz="0" w:space="0" w:color="auto"/>
            <w:left w:val="none" w:sz="0" w:space="0" w:color="auto"/>
            <w:bottom w:val="none" w:sz="0" w:space="0" w:color="auto"/>
            <w:right w:val="none" w:sz="0" w:space="0" w:color="auto"/>
          </w:divBdr>
          <w:divsChild>
            <w:div w:id="2083289074">
              <w:marLeft w:val="0"/>
              <w:marRight w:val="0"/>
              <w:marTop w:val="0"/>
              <w:marBottom w:val="0"/>
              <w:divBdr>
                <w:top w:val="none" w:sz="0" w:space="0" w:color="auto"/>
                <w:left w:val="none" w:sz="0" w:space="0" w:color="auto"/>
                <w:bottom w:val="none" w:sz="0" w:space="0" w:color="auto"/>
                <w:right w:val="none" w:sz="0" w:space="0" w:color="auto"/>
              </w:divBdr>
              <w:divsChild>
                <w:div w:id="114566457">
                  <w:marLeft w:val="0"/>
                  <w:marRight w:val="0"/>
                  <w:marTop w:val="0"/>
                  <w:marBottom w:val="0"/>
                  <w:divBdr>
                    <w:top w:val="none" w:sz="0" w:space="0" w:color="auto"/>
                    <w:left w:val="none" w:sz="0" w:space="0" w:color="auto"/>
                    <w:bottom w:val="none" w:sz="0" w:space="0" w:color="auto"/>
                    <w:right w:val="none" w:sz="0" w:space="0" w:color="auto"/>
                  </w:divBdr>
                  <w:divsChild>
                    <w:div w:id="1771583282">
                      <w:marLeft w:val="0"/>
                      <w:marRight w:val="0"/>
                      <w:marTop w:val="0"/>
                      <w:marBottom w:val="0"/>
                      <w:divBdr>
                        <w:top w:val="none" w:sz="0" w:space="0" w:color="auto"/>
                        <w:left w:val="none" w:sz="0" w:space="0" w:color="auto"/>
                        <w:bottom w:val="none" w:sz="0" w:space="0" w:color="auto"/>
                        <w:right w:val="none" w:sz="0" w:space="0" w:color="auto"/>
                      </w:divBdr>
                      <w:divsChild>
                        <w:div w:id="54579953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011840">
      <w:bodyDiv w:val="1"/>
      <w:marLeft w:val="0"/>
      <w:marRight w:val="0"/>
      <w:marTop w:val="0"/>
      <w:marBottom w:val="0"/>
      <w:divBdr>
        <w:top w:val="none" w:sz="0" w:space="0" w:color="auto"/>
        <w:left w:val="none" w:sz="0" w:space="0" w:color="auto"/>
        <w:bottom w:val="none" w:sz="0" w:space="0" w:color="auto"/>
        <w:right w:val="none" w:sz="0" w:space="0" w:color="auto"/>
      </w:divBdr>
      <w:divsChild>
        <w:div w:id="350491907">
          <w:marLeft w:val="0"/>
          <w:marRight w:val="0"/>
          <w:marTop w:val="0"/>
          <w:marBottom w:val="0"/>
          <w:divBdr>
            <w:top w:val="none" w:sz="0" w:space="0" w:color="auto"/>
            <w:left w:val="none" w:sz="0" w:space="0" w:color="auto"/>
            <w:bottom w:val="none" w:sz="0" w:space="0" w:color="auto"/>
            <w:right w:val="none" w:sz="0" w:space="0" w:color="auto"/>
          </w:divBdr>
          <w:divsChild>
            <w:div w:id="764767720">
              <w:marLeft w:val="0"/>
              <w:marRight w:val="0"/>
              <w:marTop w:val="0"/>
              <w:marBottom w:val="0"/>
              <w:divBdr>
                <w:top w:val="none" w:sz="0" w:space="0" w:color="auto"/>
                <w:left w:val="none" w:sz="0" w:space="0" w:color="auto"/>
                <w:bottom w:val="none" w:sz="0" w:space="0" w:color="auto"/>
                <w:right w:val="none" w:sz="0" w:space="0" w:color="auto"/>
              </w:divBdr>
              <w:divsChild>
                <w:div w:id="1980917481">
                  <w:marLeft w:val="0"/>
                  <w:marRight w:val="0"/>
                  <w:marTop w:val="0"/>
                  <w:marBottom w:val="0"/>
                  <w:divBdr>
                    <w:top w:val="none" w:sz="0" w:space="0" w:color="auto"/>
                    <w:left w:val="none" w:sz="0" w:space="0" w:color="auto"/>
                    <w:bottom w:val="none" w:sz="0" w:space="0" w:color="auto"/>
                    <w:right w:val="none" w:sz="0" w:space="0" w:color="auto"/>
                  </w:divBdr>
                  <w:divsChild>
                    <w:div w:id="1138457949">
                      <w:marLeft w:val="0"/>
                      <w:marRight w:val="0"/>
                      <w:marTop w:val="0"/>
                      <w:marBottom w:val="0"/>
                      <w:divBdr>
                        <w:top w:val="none" w:sz="0" w:space="0" w:color="auto"/>
                        <w:left w:val="none" w:sz="0" w:space="0" w:color="auto"/>
                        <w:bottom w:val="none" w:sz="0" w:space="0" w:color="auto"/>
                        <w:right w:val="none" w:sz="0" w:space="0" w:color="auto"/>
                      </w:divBdr>
                      <w:divsChild>
                        <w:div w:id="3095694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26256">
      <w:bodyDiv w:val="1"/>
      <w:marLeft w:val="0"/>
      <w:marRight w:val="0"/>
      <w:marTop w:val="0"/>
      <w:marBottom w:val="0"/>
      <w:divBdr>
        <w:top w:val="none" w:sz="0" w:space="0" w:color="auto"/>
        <w:left w:val="none" w:sz="0" w:space="0" w:color="auto"/>
        <w:bottom w:val="none" w:sz="0" w:space="0" w:color="auto"/>
        <w:right w:val="none" w:sz="0" w:space="0" w:color="auto"/>
      </w:divBdr>
      <w:divsChild>
        <w:div w:id="157304818">
          <w:marLeft w:val="0"/>
          <w:marRight w:val="0"/>
          <w:marTop w:val="100"/>
          <w:marBottom w:val="100"/>
          <w:divBdr>
            <w:top w:val="none" w:sz="0" w:space="0" w:color="auto"/>
            <w:left w:val="none" w:sz="0" w:space="0" w:color="auto"/>
            <w:bottom w:val="none" w:sz="0" w:space="0" w:color="auto"/>
            <w:right w:val="none" w:sz="0" w:space="0" w:color="auto"/>
          </w:divBdr>
          <w:divsChild>
            <w:div w:id="1027634171">
              <w:marLeft w:val="0"/>
              <w:marRight w:val="0"/>
              <w:marTop w:val="0"/>
              <w:marBottom w:val="0"/>
              <w:divBdr>
                <w:top w:val="none" w:sz="0" w:space="0" w:color="auto"/>
                <w:left w:val="none" w:sz="0" w:space="0" w:color="auto"/>
                <w:bottom w:val="none" w:sz="0" w:space="0" w:color="auto"/>
                <w:right w:val="none" w:sz="0" w:space="0" w:color="auto"/>
              </w:divBdr>
              <w:divsChild>
                <w:div w:id="257372302">
                  <w:marLeft w:val="0"/>
                  <w:marRight w:val="0"/>
                  <w:marTop w:val="0"/>
                  <w:marBottom w:val="0"/>
                  <w:divBdr>
                    <w:top w:val="none" w:sz="0" w:space="0" w:color="auto"/>
                    <w:left w:val="none" w:sz="0" w:space="0" w:color="auto"/>
                    <w:bottom w:val="none" w:sz="0" w:space="0" w:color="auto"/>
                    <w:right w:val="none" w:sz="0" w:space="0" w:color="auto"/>
                  </w:divBdr>
                  <w:divsChild>
                    <w:div w:id="7416311">
                      <w:marLeft w:val="0"/>
                      <w:marRight w:val="0"/>
                      <w:marTop w:val="0"/>
                      <w:marBottom w:val="0"/>
                      <w:divBdr>
                        <w:top w:val="none" w:sz="0" w:space="0" w:color="auto"/>
                        <w:left w:val="none" w:sz="0" w:space="0" w:color="auto"/>
                        <w:bottom w:val="none" w:sz="0" w:space="0" w:color="auto"/>
                        <w:right w:val="none" w:sz="0" w:space="0" w:color="auto"/>
                      </w:divBdr>
                      <w:divsChild>
                        <w:div w:id="1477604794">
                          <w:marLeft w:val="0"/>
                          <w:marRight w:val="0"/>
                          <w:marTop w:val="0"/>
                          <w:marBottom w:val="0"/>
                          <w:divBdr>
                            <w:top w:val="none" w:sz="0" w:space="0" w:color="auto"/>
                            <w:left w:val="none" w:sz="0" w:space="0" w:color="auto"/>
                            <w:bottom w:val="none" w:sz="0" w:space="0" w:color="auto"/>
                            <w:right w:val="none" w:sz="0" w:space="0" w:color="auto"/>
                          </w:divBdr>
                          <w:divsChild>
                            <w:div w:id="423770208">
                              <w:marLeft w:val="0"/>
                              <w:marRight w:val="0"/>
                              <w:marTop w:val="0"/>
                              <w:marBottom w:val="0"/>
                              <w:divBdr>
                                <w:top w:val="none" w:sz="0" w:space="0" w:color="auto"/>
                                <w:left w:val="none" w:sz="0" w:space="0" w:color="auto"/>
                                <w:bottom w:val="none" w:sz="0" w:space="0" w:color="auto"/>
                                <w:right w:val="none" w:sz="0" w:space="0" w:color="auto"/>
                              </w:divBdr>
                              <w:divsChild>
                                <w:div w:id="906452786">
                                  <w:marLeft w:val="0"/>
                                  <w:marRight w:val="0"/>
                                  <w:marTop w:val="0"/>
                                  <w:marBottom w:val="0"/>
                                  <w:divBdr>
                                    <w:top w:val="none" w:sz="0" w:space="0" w:color="auto"/>
                                    <w:left w:val="none" w:sz="0" w:space="0" w:color="auto"/>
                                    <w:bottom w:val="none" w:sz="0" w:space="0" w:color="auto"/>
                                    <w:right w:val="none" w:sz="0" w:space="0" w:color="auto"/>
                                  </w:divBdr>
                                  <w:divsChild>
                                    <w:div w:id="1585915538">
                                      <w:marLeft w:val="0"/>
                                      <w:marRight w:val="0"/>
                                      <w:marTop w:val="0"/>
                                      <w:marBottom w:val="150"/>
                                      <w:divBdr>
                                        <w:top w:val="none" w:sz="0" w:space="0" w:color="auto"/>
                                        <w:left w:val="none" w:sz="0" w:space="0" w:color="auto"/>
                                        <w:bottom w:val="none" w:sz="0" w:space="0" w:color="auto"/>
                                        <w:right w:val="none" w:sz="0" w:space="0" w:color="auto"/>
                                      </w:divBdr>
                                      <w:divsChild>
                                        <w:div w:id="12064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367587">
      <w:bodyDiv w:val="1"/>
      <w:marLeft w:val="0"/>
      <w:marRight w:val="0"/>
      <w:marTop w:val="0"/>
      <w:marBottom w:val="0"/>
      <w:divBdr>
        <w:top w:val="none" w:sz="0" w:space="0" w:color="auto"/>
        <w:left w:val="none" w:sz="0" w:space="0" w:color="auto"/>
        <w:bottom w:val="none" w:sz="0" w:space="0" w:color="auto"/>
        <w:right w:val="none" w:sz="0" w:space="0" w:color="auto"/>
      </w:divBdr>
      <w:divsChild>
        <w:div w:id="386996938">
          <w:marLeft w:val="0"/>
          <w:marRight w:val="0"/>
          <w:marTop w:val="100"/>
          <w:marBottom w:val="100"/>
          <w:divBdr>
            <w:top w:val="none" w:sz="0" w:space="0" w:color="auto"/>
            <w:left w:val="none" w:sz="0" w:space="0" w:color="auto"/>
            <w:bottom w:val="none" w:sz="0" w:space="0" w:color="auto"/>
            <w:right w:val="none" w:sz="0" w:space="0" w:color="auto"/>
          </w:divBdr>
          <w:divsChild>
            <w:div w:id="1530223453">
              <w:marLeft w:val="0"/>
              <w:marRight w:val="0"/>
              <w:marTop w:val="0"/>
              <w:marBottom w:val="0"/>
              <w:divBdr>
                <w:top w:val="none" w:sz="0" w:space="0" w:color="auto"/>
                <w:left w:val="none" w:sz="0" w:space="0" w:color="auto"/>
                <w:bottom w:val="none" w:sz="0" w:space="0" w:color="auto"/>
                <w:right w:val="none" w:sz="0" w:space="0" w:color="auto"/>
              </w:divBdr>
              <w:divsChild>
                <w:div w:id="1132677448">
                  <w:marLeft w:val="0"/>
                  <w:marRight w:val="0"/>
                  <w:marTop w:val="0"/>
                  <w:marBottom w:val="0"/>
                  <w:divBdr>
                    <w:top w:val="none" w:sz="0" w:space="0" w:color="auto"/>
                    <w:left w:val="none" w:sz="0" w:space="0" w:color="auto"/>
                    <w:bottom w:val="none" w:sz="0" w:space="0" w:color="auto"/>
                    <w:right w:val="none" w:sz="0" w:space="0" w:color="auto"/>
                  </w:divBdr>
                  <w:divsChild>
                    <w:div w:id="715860703">
                      <w:marLeft w:val="0"/>
                      <w:marRight w:val="0"/>
                      <w:marTop w:val="0"/>
                      <w:marBottom w:val="0"/>
                      <w:divBdr>
                        <w:top w:val="none" w:sz="0" w:space="0" w:color="auto"/>
                        <w:left w:val="none" w:sz="0" w:space="0" w:color="auto"/>
                        <w:bottom w:val="none" w:sz="0" w:space="0" w:color="auto"/>
                        <w:right w:val="none" w:sz="0" w:space="0" w:color="auto"/>
                      </w:divBdr>
                      <w:divsChild>
                        <w:div w:id="80880070">
                          <w:marLeft w:val="0"/>
                          <w:marRight w:val="0"/>
                          <w:marTop w:val="0"/>
                          <w:marBottom w:val="0"/>
                          <w:divBdr>
                            <w:top w:val="none" w:sz="0" w:space="0" w:color="auto"/>
                            <w:left w:val="none" w:sz="0" w:space="0" w:color="auto"/>
                            <w:bottom w:val="none" w:sz="0" w:space="0" w:color="auto"/>
                            <w:right w:val="none" w:sz="0" w:space="0" w:color="auto"/>
                          </w:divBdr>
                          <w:divsChild>
                            <w:div w:id="1245263242">
                              <w:marLeft w:val="0"/>
                              <w:marRight w:val="0"/>
                              <w:marTop w:val="0"/>
                              <w:marBottom w:val="0"/>
                              <w:divBdr>
                                <w:top w:val="none" w:sz="0" w:space="0" w:color="auto"/>
                                <w:left w:val="none" w:sz="0" w:space="0" w:color="auto"/>
                                <w:bottom w:val="none" w:sz="0" w:space="0" w:color="auto"/>
                                <w:right w:val="none" w:sz="0" w:space="0" w:color="auto"/>
                              </w:divBdr>
                              <w:divsChild>
                                <w:div w:id="1478180233">
                                  <w:marLeft w:val="0"/>
                                  <w:marRight w:val="0"/>
                                  <w:marTop w:val="0"/>
                                  <w:marBottom w:val="0"/>
                                  <w:divBdr>
                                    <w:top w:val="none" w:sz="0" w:space="0" w:color="auto"/>
                                    <w:left w:val="none" w:sz="0" w:space="0" w:color="auto"/>
                                    <w:bottom w:val="none" w:sz="0" w:space="0" w:color="auto"/>
                                    <w:right w:val="none" w:sz="0" w:space="0" w:color="auto"/>
                                  </w:divBdr>
                                  <w:divsChild>
                                    <w:div w:id="506867327">
                                      <w:marLeft w:val="0"/>
                                      <w:marRight w:val="0"/>
                                      <w:marTop w:val="0"/>
                                      <w:marBottom w:val="150"/>
                                      <w:divBdr>
                                        <w:top w:val="none" w:sz="0" w:space="0" w:color="auto"/>
                                        <w:left w:val="none" w:sz="0" w:space="0" w:color="auto"/>
                                        <w:bottom w:val="none" w:sz="0" w:space="0" w:color="auto"/>
                                        <w:right w:val="none" w:sz="0" w:space="0" w:color="auto"/>
                                      </w:divBdr>
                                      <w:divsChild>
                                        <w:div w:id="10790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533972">
      <w:bodyDiv w:val="1"/>
      <w:marLeft w:val="0"/>
      <w:marRight w:val="0"/>
      <w:marTop w:val="0"/>
      <w:marBottom w:val="0"/>
      <w:divBdr>
        <w:top w:val="none" w:sz="0" w:space="0" w:color="auto"/>
        <w:left w:val="none" w:sz="0" w:space="0" w:color="auto"/>
        <w:bottom w:val="none" w:sz="0" w:space="0" w:color="auto"/>
        <w:right w:val="none" w:sz="0" w:space="0" w:color="auto"/>
      </w:divBdr>
      <w:divsChild>
        <w:div w:id="933130069">
          <w:marLeft w:val="0"/>
          <w:marRight w:val="0"/>
          <w:marTop w:val="0"/>
          <w:marBottom w:val="0"/>
          <w:divBdr>
            <w:top w:val="none" w:sz="0" w:space="0" w:color="auto"/>
            <w:left w:val="none" w:sz="0" w:space="0" w:color="auto"/>
            <w:bottom w:val="none" w:sz="0" w:space="0" w:color="auto"/>
            <w:right w:val="none" w:sz="0" w:space="0" w:color="auto"/>
          </w:divBdr>
          <w:divsChild>
            <w:div w:id="1820026545">
              <w:marLeft w:val="0"/>
              <w:marRight w:val="0"/>
              <w:marTop w:val="0"/>
              <w:marBottom w:val="0"/>
              <w:divBdr>
                <w:top w:val="none" w:sz="0" w:space="0" w:color="auto"/>
                <w:left w:val="none" w:sz="0" w:space="0" w:color="auto"/>
                <w:bottom w:val="none" w:sz="0" w:space="0" w:color="auto"/>
                <w:right w:val="none" w:sz="0" w:space="0" w:color="auto"/>
              </w:divBdr>
              <w:divsChild>
                <w:div w:id="2073580439">
                  <w:marLeft w:val="0"/>
                  <w:marRight w:val="0"/>
                  <w:marTop w:val="0"/>
                  <w:marBottom w:val="0"/>
                  <w:divBdr>
                    <w:top w:val="none" w:sz="0" w:space="0" w:color="auto"/>
                    <w:left w:val="none" w:sz="0" w:space="0" w:color="auto"/>
                    <w:bottom w:val="none" w:sz="0" w:space="0" w:color="auto"/>
                    <w:right w:val="none" w:sz="0" w:space="0" w:color="auto"/>
                  </w:divBdr>
                  <w:divsChild>
                    <w:div w:id="1801805747">
                      <w:marLeft w:val="0"/>
                      <w:marRight w:val="0"/>
                      <w:marTop w:val="0"/>
                      <w:marBottom w:val="0"/>
                      <w:divBdr>
                        <w:top w:val="none" w:sz="0" w:space="0" w:color="auto"/>
                        <w:left w:val="none" w:sz="0" w:space="0" w:color="auto"/>
                        <w:bottom w:val="none" w:sz="0" w:space="0" w:color="auto"/>
                        <w:right w:val="none" w:sz="0" w:space="0" w:color="auto"/>
                      </w:divBdr>
                      <w:divsChild>
                        <w:div w:id="67195878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2266">
      <w:bodyDiv w:val="1"/>
      <w:marLeft w:val="0"/>
      <w:marRight w:val="0"/>
      <w:marTop w:val="0"/>
      <w:marBottom w:val="0"/>
      <w:divBdr>
        <w:top w:val="none" w:sz="0" w:space="0" w:color="auto"/>
        <w:left w:val="none" w:sz="0" w:space="0" w:color="auto"/>
        <w:bottom w:val="none" w:sz="0" w:space="0" w:color="auto"/>
        <w:right w:val="none" w:sz="0" w:space="0" w:color="auto"/>
      </w:divBdr>
      <w:divsChild>
        <w:div w:id="1064453427">
          <w:marLeft w:val="0"/>
          <w:marRight w:val="0"/>
          <w:marTop w:val="0"/>
          <w:marBottom w:val="0"/>
          <w:divBdr>
            <w:top w:val="none" w:sz="0" w:space="0" w:color="auto"/>
            <w:left w:val="none" w:sz="0" w:space="0" w:color="auto"/>
            <w:bottom w:val="none" w:sz="0" w:space="0" w:color="auto"/>
            <w:right w:val="none" w:sz="0" w:space="0" w:color="auto"/>
          </w:divBdr>
          <w:divsChild>
            <w:div w:id="1694458692">
              <w:marLeft w:val="0"/>
              <w:marRight w:val="0"/>
              <w:marTop w:val="0"/>
              <w:marBottom w:val="0"/>
              <w:divBdr>
                <w:top w:val="none" w:sz="0" w:space="0" w:color="auto"/>
                <w:left w:val="none" w:sz="0" w:space="0" w:color="auto"/>
                <w:bottom w:val="none" w:sz="0" w:space="0" w:color="auto"/>
                <w:right w:val="none" w:sz="0" w:space="0" w:color="auto"/>
              </w:divBdr>
              <w:divsChild>
                <w:div w:id="1813713200">
                  <w:marLeft w:val="0"/>
                  <w:marRight w:val="0"/>
                  <w:marTop w:val="0"/>
                  <w:marBottom w:val="0"/>
                  <w:divBdr>
                    <w:top w:val="none" w:sz="0" w:space="0" w:color="auto"/>
                    <w:left w:val="none" w:sz="0" w:space="0" w:color="auto"/>
                    <w:bottom w:val="none" w:sz="0" w:space="0" w:color="auto"/>
                    <w:right w:val="none" w:sz="0" w:space="0" w:color="auto"/>
                  </w:divBdr>
                  <w:divsChild>
                    <w:div w:id="1500657717">
                      <w:marLeft w:val="0"/>
                      <w:marRight w:val="0"/>
                      <w:marTop w:val="0"/>
                      <w:marBottom w:val="0"/>
                      <w:divBdr>
                        <w:top w:val="none" w:sz="0" w:space="0" w:color="auto"/>
                        <w:left w:val="none" w:sz="0" w:space="0" w:color="auto"/>
                        <w:bottom w:val="none" w:sz="0" w:space="0" w:color="auto"/>
                        <w:right w:val="none" w:sz="0" w:space="0" w:color="auto"/>
                      </w:divBdr>
                      <w:divsChild>
                        <w:div w:id="183660655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231749">
      <w:bodyDiv w:val="1"/>
      <w:marLeft w:val="0"/>
      <w:marRight w:val="0"/>
      <w:marTop w:val="0"/>
      <w:marBottom w:val="0"/>
      <w:divBdr>
        <w:top w:val="none" w:sz="0" w:space="0" w:color="auto"/>
        <w:left w:val="none" w:sz="0" w:space="0" w:color="auto"/>
        <w:bottom w:val="none" w:sz="0" w:space="0" w:color="auto"/>
        <w:right w:val="none" w:sz="0" w:space="0" w:color="auto"/>
      </w:divBdr>
    </w:div>
    <w:div w:id="1325280081">
      <w:bodyDiv w:val="1"/>
      <w:marLeft w:val="0"/>
      <w:marRight w:val="0"/>
      <w:marTop w:val="0"/>
      <w:marBottom w:val="0"/>
      <w:divBdr>
        <w:top w:val="none" w:sz="0" w:space="0" w:color="auto"/>
        <w:left w:val="none" w:sz="0" w:space="0" w:color="auto"/>
        <w:bottom w:val="none" w:sz="0" w:space="0" w:color="auto"/>
        <w:right w:val="none" w:sz="0" w:space="0" w:color="auto"/>
      </w:divBdr>
      <w:divsChild>
        <w:div w:id="2116055347">
          <w:marLeft w:val="0"/>
          <w:marRight w:val="0"/>
          <w:marTop w:val="100"/>
          <w:marBottom w:val="100"/>
          <w:divBdr>
            <w:top w:val="none" w:sz="0" w:space="0" w:color="auto"/>
            <w:left w:val="none" w:sz="0" w:space="0" w:color="auto"/>
            <w:bottom w:val="none" w:sz="0" w:space="0" w:color="auto"/>
            <w:right w:val="none" w:sz="0" w:space="0" w:color="auto"/>
          </w:divBdr>
          <w:divsChild>
            <w:div w:id="632831410">
              <w:marLeft w:val="0"/>
              <w:marRight w:val="0"/>
              <w:marTop w:val="0"/>
              <w:marBottom w:val="0"/>
              <w:divBdr>
                <w:top w:val="none" w:sz="0" w:space="0" w:color="auto"/>
                <w:left w:val="none" w:sz="0" w:space="0" w:color="auto"/>
                <w:bottom w:val="none" w:sz="0" w:space="0" w:color="auto"/>
                <w:right w:val="none" w:sz="0" w:space="0" w:color="auto"/>
              </w:divBdr>
              <w:divsChild>
                <w:div w:id="1169176007">
                  <w:marLeft w:val="0"/>
                  <w:marRight w:val="0"/>
                  <w:marTop w:val="0"/>
                  <w:marBottom w:val="0"/>
                  <w:divBdr>
                    <w:top w:val="none" w:sz="0" w:space="0" w:color="auto"/>
                    <w:left w:val="none" w:sz="0" w:space="0" w:color="auto"/>
                    <w:bottom w:val="none" w:sz="0" w:space="0" w:color="auto"/>
                    <w:right w:val="none" w:sz="0" w:space="0" w:color="auto"/>
                  </w:divBdr>
                  <w:divsChild>
                    <w:div w:id="169298124">
                      <w:marLeft w:val="0"/>
                      <w:marRight w:val="0"/>
                      <w:marTop w:val="0"/>
                      <w:marBottom w:val="0"/>
                      <w:divBdr>
                        <w:top w:val="none" w:sz="0" w:space="0" w:color="auto"/>
                        <w:left w:val="none" w:sz="0" w:space="0" w:color="auto"/>
                        <w:bottom w:val="none" w:sz="0" w:space="0" w:color="auto"/>
                        <w:right w:val="none" w:sz="0" w:space="0" w:color="auto"/>
                      </w:divBdr>
                      <w:divsChild>
                        <w:div w:id="1580212160">
                          <w:marLeft w:val="0"/>
                          <w:marRight w:val="0"/>
                          <w:marTop w:val="0"/>
                          <w:marBottom w:val="0"/>
                          <w:divBdr>
                            <w:top w:val="none" w:sz="0" w:space="0" w:color="auto"/>
                            <w:left w:val="none" w:sz="0" w:space="0" w:color="auto"/>
                            <w:bottom w:val="none" w:sz="0" w:space="0" w:color="auto"/>
                            <w:right w:val="none" w:sz="0" w:space="0" w:color="auto"/>
                          </w:divBdr>
                          <w:divsChild>
                            <w:div w:id="1447118902">
                              <w:marLeft w:val="0"/>
                              <w:marRight w:val="0"/>
                              <w:marTop w:val="0"/>
                              <w:marBottom w:val="0"/>
                              <w:divBdr>
                                <w:top w:val="none" w:sz="0" w:space="0" w:color="auto"/>
                                <w:left w:val="none" w:sz="0" w:space="0" w:color="auto"/>
                                <w:bottom w:val="none" w:sz="0" w:space="0" w:color="auto"/>
                                <w:right w:val="none" w:sz="0" w:space="0" w:color="auto"/>
                              </w:divBdr>
                              <w:divsChild>
                                <w:div w:id="853764182">
                                  <w:marLeft w:val="0"/>
                                  <w:marRight w:val="0"/>
                                  <w:marTop w:val="0"/>
                                  <w:marBottom w:val="0"/>
                                  <w:divBdr>
                                    <w:top w:val="none" w:sz="0" w:space="0" w:color="auto"/>
                                    <w:left w:val="none" w:sz="0" w:space="0" w:color="auto"/>
                                    <w:bottom w:val="none" w:sz="0" w:space="0" w:color="auto"/>
                                    <w:right w:val="none" w:sz="0" w:space="0" w:color="auto"/>
                                  </w:divBdr>
                                  <w:divsChild>
                                    <w:div w:id="1048190175">
                                      <w:marLeft w:val="0"/>
                                      <w:marRight w:val="0"/>
                                      <w:marTop w:val="0"/>
                                      <w:marBottom w:val="150"/>
                                      <w:divBdr>
                                        <w:top w:val="none" w:sz="0" w:space="0" w:color="auto"/>
                                        <w:left w:val="none" w:sz="0" w:space="0" w:color="auto"/>
                                        <w:bottom w:val="none" w:sz="0" w:space="0" w:color="auto"/>
                                        <w:right w:val="none" w:sz="0" w:space="0" w:color="auto"/>
                                      </w:divBdr>
                                      <w:divsChild>
                                        <w:div w:id="11335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41555">
      <w:bodyDiv w:val="1"/>
      <w:marLeft w:val="0"/>
      <w:marRight w:val="0"/>
      <w:marTop w:val="0"/>
      <w:marBottom w:val="0"/>
      <w:divBdr>
        <w:top w:val="none" w:sz="0" w:space="0" w:color="auto"/>
        <w:left w:val="none" w:sz="0" w:space="0" w:color="auto"/>
        <w:bottom w:val="none" w:sz="0" w:space="0" w:color="auto"/>
        <w:right w:val="none" w:sz="0" w:space="0" w:color="auto"/>
      </w:divBdr>
    </w:div>
    <w:div w:id="1464739102">
      <w:bodyDiv w:val="1"/>
      <w:marLeft w:val="0"/>
      <w:marRight w:val="0"/>
      <w:marTop w:val="0"/>
      <w:marBottom w:val="0"/>
      <w:divBdr>
        <w:top w:val="none" w:sz="0" w:space="0" w:color="auto"/>
        <w:left w:val="none" w:sz="0" w:space="0" w:color="auto"/>
        <w:bottom w:val="none" w:sz="0" w:space="0" w:color="auto"/>
        <w:right w:val="none" w:sz="0" w:space="0" w:color="auto"/>
      </w:divBdr>
      <w:divsChild>
        <w:div w:id="1577668556">
          <w:marLeft w:val="0"/>
          <w:marRight w:val="0"/>
          <w:marTop w:val="100"/>
          <w:marBottom w:val="100"/>
          <w:divBdr>
            <w:top w:val="none" w:sz="0" w:space="0" w:color="auto"/>
            <w:left w:val="none" w:sz="0" w:space="0" w:color="auto"/>
            <w:bottom w:val="none" w:sz="0" w:space="0" w:color="auto"/>
            <w:right w:val="none" w:sz="0" w:space="0" w:color="auto"/>
          </w:divBdr>
          <w:divsChild>
            <w:div w:id="100683070">
              <w:marLeft w:val="0"/>
              <w:marRight w:val="0"/>
              <w:marTop w:val="0"/>
              <w:marBottom w:val="0"/>
              <w:divBdr>
                <w:top w:val="none" w:sz="0" w:space="0" w:color="auto"/>
                <w:left w:val="none" w:sz="0" w:space="0" w:color="auto"/>
                <w:bottom w:val="none" w:sz="0" w:space="0" w:color="auto"/>
                <w:right w:val="none" w:sz="0" w:space="0" w:color="auto"/>
              </w:divBdr>
              <w:divsChild>
                <w:div w:id="682049157">
                  <w:marLeft w:val="0"/>
                  <w:marRight w:val="0"/>
                  <w:marTop w:val="0"/>
                  <w:marBottom w:val="0"/>
                  <w:divBdr>
                    <w:top w:val="none" w:sz="0" w:space="0" w:color="auto"/>
                    <w:left w:val="none" w:sz="0" w:space="0" w:color="auto"/>
                    <w:bottom w:val="none" w:sz="0" w:space="0" w:color="auto"/>
                    <w:right w:val="none" w:sz="0" w:space="0" w:color="auto"/>
                  </w:divBdr>
                  <w:divsChild>
                    <w:div w:id="899252150">
                      <w:marLeft w:val="0"/>
                      <w:marRight w:val="0"/>
                      <w:marTop w:val="0"/>
                      <w:marBottom w:val="0"/>
                      <w:divBdr>
                        <w:top w:val="none" w:sz="0" w:space="0" w:color="auto"/>
                        <w:left w:val="none" w:sz="0" w:space="0" w:color="auto"/>
                        <w:bottom w:val="none" w:sz="0" w:space="0" w:color="auto"/>
                        <w:right w:val="none" w:sz="0" w:space="0" w:color="auto"/>
                      </w:divBdr>
                      <w:divsChild>
                        <w:div w:id="1031221022">
                          <w:marLeft w:val="0"/>
                          <w:marRight w:val="0"/>
                          <w:marTop w:val="0"/>
                          <w:marBottom w:val="0"/>
                          <w:divBdr>
                            <w:top w:val="none" w:sz="0" w:space="0" w:color="auto"/>
                            <w:left w:val="none" w:sz="0" w:space="0" w:color="auto"/>
                            <w:bottom w:val="none" w:sz="0" w:space="0" w:color="auto"/>
                            <w:right w:val="none" w:sz="0" w:space="0" w:color="auto"/>
                          </w:divBdr>
                          <w:divsChild>
                            <w:div w:id="892035994">
                              <w:marLeft w:val="0"/>
                              <w:marRight w:val="0"/>
                              <w:marTop w:val="0"/>
                              <w:marBottom w:val="0"/>
                              <w:divBdr>
                                <w:top w:val="none" w:sz="0" w:space="0" w:color="auto"/>
                                <w:left w:val="none" w:sz="0" w:space="0" w:color="auto"/>
                                <w:bottom w:val="none" w:sz="0" w:space="0" w:color="auto"/>
                                <w:right w:val="none" w:sz="0" w:space="0" w:color="auto"/>
                              </w:divBdr>
                              <w:divsChild>
                                <w:div w:id="1505315603">
                                  <w:marLeft w:val="0"/>
                                  <w:marRight w:val="0"/>
                                  <w:marTop w:val="0"/>
                                  <w:marBottom w:val="0"/>
                                  <w:divBdr>
                                    <w:top w:val="none" w:sz="0" w:space="0" w:color="auto"/>
                                    <w:left w:val="none" w:sz="0" w:space="0" w:color="auto"/>
                                    <w:bottom w:val="none" w:sz="0" w:space="0" w:color="auto"/>
                                    <w:right w:val="none" w:sz="0" w:space="0" w:color="auto"/>
                                  </w:divBdr>
                                  <w:divsChild>
                                    <w:div w:id="1594053049">
                                      <w:marLeft w:val="0"/>
                                      <w:marRight w:val="0"/>
                                      <w:marTop w:val="0"/>
                                      <w:marBottom w:val="150"/>
                                      <w:divBdr>
                                        <w:top w:val="none" w:sz="0" w:space="0" w:color="auto"/>
                                        <w:left w:val="none" w:sz="0" w:space="0" w:color="auto"/>
                                        <w:bottom w:val="none" w:sz="0" w:space="0" w:color="auto"/>
                                        <w:right w:val="none" w:sz="0" w:space="0" w:color="auto"/>
                                      </w:divBdr>
                                      <w:divsChild>
                                        <w:div w:id="2122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937567">
      <w:bodyDiv w:val="1"/>
      <w:marLeft w:val="0"/>
      <w:marRight w:val="0"/>
      <w:marTop w:val="0"/>
      <w:marBottom w:val="0"/>
      <w:divBdr>
        <w:top w:val="none" w:sz="0" w:space="0" w:color="auto"/>
        <w:left w:val="none" w:sz="0" w:space="0" w:color="auto"/>
        <w:bottom w:val="none" w:sz="0" w:space="0" w:color="auto"/>
        <w:right w:val="none" w:sz="0" w:space="0" w:color="auto"/>
      </w:divBdr>
    </w:div>
    <w:div w:id="1790197053">
      <w:bodyDiv w:val="1"/>
      <w:marLeft w:val="0"/>
      <w:marRight w:val="0"/>
      <w:marTop w:val="0"/>
      <w:marBottom w:val="0"/>
      <w:divBdr>
        <w:top w:val="none" w:sz="0" w:space="0" w:color="auto"/>
        <w:left w:val="none" w:sz="0" w:space="0" w:color="auto"/>
        <w:bottom w:val="none" w:sz="0" w:space="0" w:color="auto"/>
        <w:right w:val="none" w:sz="0" w:space="0" w:color="auto"/>
      </w:divBdr>
      <w:divsChild>
        <w:div w:id="568463911">
          <w:marLeft w:val="0"/>
          <w:marRight w:val="0"/>
          <w:marTop w:val="100"/>
          <w:marBottom w:val="100"/>
          <w:divBdr>
            <w:top w:val="none" w:sz="0" w:space="0" w:color="auto"/>
            <w:left w:val="none" w:sz="0" w:space="0" w:color="auto"/>
            <w:bottom w:val="none" w:sz="0" w:space="0" w:color="auto"/>
            <w:right w:val="none" w:sz="0" w:space="0" w:color="auto"/>
          </w:divBdr>
          <w:divsChild>
            <w:div w:id="1096052901">
              <w:marLeft w:val="0"/>
              <w:marRight w:val="0"/>
              <w:marTop w:val="0"/>
              <w:marBottom w:val="0"/>
              <w:divBdr>
                <w:top w:val="none" w:sz="0" w:space="0" w:color="auto"/>
                <w:left w:val="none" w:sz="0" w:space="0" w:color="auto"/>
                <w:bottom w:val="none" w:sz="0" w:space="0" w:color="auto"/>
                <w:right w:val="none" w:sz="0" w:space="0" w:color="auto"/>
              </w:divBdr>
              <w:divsChild>
                <w:div w:id="556166720">
                  <w:marLeft w:val="0"/>
                  <w:marRight w:val="0"/>
                  <w:marTop w:val="0"/>
                  <w:marBottom w:val="0"/>
                  <w:divBdr>
                    <w:top w:val="none" w:sz="0" w:space="0" w:color="auto"/>
                    <w:left w:val="none" w:sz="0" w:space="0" w:color="auto"/>
                    <w:bottom w:val="none" w:sz="0" w:space="0" w:color="auto"/>
                    <w:right w:val="none" w:sz="0" w:space="0" w:color="auto"/>
                  </w:divBdr>
                  <w:divsChild>
                    <w:div w:id="954679875">
                      <w:marLeft w:val="0"/>
                      <w:marRight w:val="0"/>
                      <w:marTop w:val="0"/>
                      <w:marBottom w:val="0"/>
                      <w:divBdr>
                        <w:top w:val="none" w:sz="0" w:space="0" w:color="auto"/>
                        <w:left w:val="none" w:sz="0" w:space="0" w:color="auto"/>
                        <w:bottom w:val="none" w:sz="0" w:space="0" w:color="auto"/>
                        <w:right w:val="none" w:sz="0" w:space="0" w:color="auto"/>
                      </w:divBdr>
                      <w:divsChild>
                        <w:div w:id="208498313">
                          <w:marLeft w:val="0"/>
                          <w:marRight w:val="0"/>
                          <w:marTop w:val="0"/>
                          <w:marBottom w:val="0"/>
                          <w:divBdr>
                            <w:top w:val="none" w:sz="0" w:space="0" w:color="auto"/>
                            <w:left w:val="none" w:sz="0" w:space="0" w:color="auto"/>
                            <w:bottom w:val="none" w:sz="0" w:space="0" w:color="auto"/>
                            <w:right w:val="none" w:sz="0" w:space="0" w:color="auto"/>
                          </w:divBdr>
                          <w:divsChild>
                            <w:div w:id="605161556">
                              <w:marLeft w:val="0"/>
                              <w:marRight w:val="0"/>
                              <w:marTop w:val="0"/>
                              <w:marBottom w:val="0"/>
                              <w:divBdr>
                                <w:top w:val="none" w:sz="0" w:space="0" w:color="auto"/>
                                <w:left w:val="none" w:sz="0" w:space="0" w:color="auto"/>
                                <w:bottom w:val="none" w:sz="0" w:space="0" w:color="auto"/>
                                <w:right w:val="none" w:sz="0" w:space="0" w:color="auto"/>
                              </w:divBdr>
                              <w:divsChild>
                                <w:div w:id="394939018">
                                  <w:marLeft w:val="0"/>
                                  <w:marRight w:val="0"/>
                                  <w:marTop w:val="0"/>
                                  <w:marBottom w:val="0"/>
                                  <w:divBdr>
                                    <w:top w:val="none" w:sz="0" w:space="0" w:color="auto"/>
                                    <w:left w:val="none" w:sz="0" w:space="0" w:color="auto"/>
                                    <w:bottom w:val="none" w:sz="0" w:space="0" w:color="auto"/>
                                    <w:right w:val="none" w:sz="0" w:space="0" w:color="auto"/>
                                  </w:divBdr>
                                  <w:divsChild>
                                    <w:div w:id="1299726024">
                                      <w:marLeft w:val="0"/>
                                      <w:marRight w:val="0"/>
                                      <w:marTop w:val="0"/>
                                      <w:marBottom w:val="150"/>
                                      <w:divBdr>
                                        <w:top w:val="none" w:sz="0" w:space="0" w:color="auto"/>
                                        <w:left w:val="none" w:sz="0" w:space="0" w:color="auto"/>
                                        <w:bottom w:val="none" w:sz="0" w:space="0" w:color="auto"/>
                                        <w:right w:val="none" w:sz="0" w:space="0" w:color="auto"/>
                                      </w:divBdr>
                                      <w:divsChild>
                                        <w:div w:id="12258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16717">
      <w:bodyDiv w:val="1"/>
      <w:marLeft w:val="0"/>
      <w:marRight w:val="0"/>
      <w:marTop w:val="0"/>
      <w:marBottom w:val="0"/>
      <w:divBdr>
        <w:top w:val="none" w:sz="0" w:space="0" w:color="auto"/>
        <w:left w:val="none" w:sz="0" w:space="0" w:color="auto"/>
        <w:bottom w:val="none" w:sz="0" w:space="0" w:color="auto"/>
        <w:right w:val="none" w:sz="0" w:space="0" w:color="auto"/>
      </w:divBdr>
      <w:divsChild>
        <w:div w:id="1665039949">
          <w:marLeft w:val="0"/>
          <w:marRight w:val="0"/>
          <w:marTop w:val="0"/>
          <w:marBottom w:val="0"/>
          <w:divBdr>
            <w:top w:val="none" w:sz="0" w:space="0" w:color="auto"/>
            <w:left w:val="none" w:sz="0" w:space="0" w:color="auto"/>
            <w:bottom w:val="none" w:sz="0" w:space="0" w:color="auto"/>
            <w:right w:val="none" w:sz="0" w:space="0" w:color="auto"/>
          </w:divBdr>
          <w:divsChild>
            <w:div w:id="225797693">
              <w:marLeft w:val="0"/>
              <w:marRight w:val="0"/>
              <w:marTop w:val="0"/>
              <w:marBottom w:val="0"/>
              <w:divBdr>
                <w:top w:val="none" w:sz="0" w:space="0" w:color="auto"/>
                <w:left w:val="none" w:sz="0" w:space="0" w:color="auto"/>
                <w:bottom w:val="none" w:sz="0" w:space="0" w:color="auto"/>
                <w:right w:val="none" w:sz="0" w:space="0" w:color="auto"/>
              </w:divBdr>
              <w:divsChild>
                <w:div w:id="1241059079">
                  <w:marLeft w:val="0"/>
                  <w:marRight w:val="0"/>
                  <w:marTop w:val="0"/>
                  <w:marBottom w:val="0"/>
                  <w:divBdr>
                    <w:top w:val="none" w:sz="0" w:space="0" w:color="auto"/>
                    <w:left w:val="none" w:sz="0" w:space="0" w:color="auto"/>
                    <w:bottom w:val="none" w:sz="0" w:space="0" w:color="auto"/>
                    <w:right w:val="none" w:sz="0" w:space="0" w:color="auto"/>
                  </w:divBdr>
                  <w:divsChild>
                    <w:div w:id="913733722">
                      <w:marLeft w:val="0"/>
                      <w:marRight w:val="0"/>
                      <w:marTop w:val="0"/>
                      <w:marBottom w:val="0"/>
                      <w:divBdr>
                        <w:top w:val="none" w:sz="0" w:space="0" w:color="auto"/>
                        <w:left w:val="none" w:sz="0" w:space="0" w:color="auto"/>
                        <w:bottom w:val="none" w:sz="0" w:space="0" w:color="auto"/>
                        <w:right w:val="none" w:sz="0" w:space="0" w:color="auto"/>
                      </w:divBdr>
                      <w:divsChild>
                        <w:div w:id="106811420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682932">
      <w:bodyDiv w:val="1"/>
      <w:marLeft w:val="0"/>
      <w:marRight w:val="0"/>
      <w:marTop w:val="0"/>
      <w:marBottom w:val="0"/>
      <w:divBdr>
        <w:top w:val="none" w:sz="0" w:space="0" w:color="auto"/>
        <w:left w:val="none" w:sz="0" w:space="0" w:color="auto"/>
        <w:bottom w:val="none" w:sz="0" w:space="0" w:color="auto"/>
        <w:right w:val="none" w:sz="0" w:space="0" w:color="auto"/>
      </w:divBdr>
      <w:divsChild>
        <w:div w:id="1727803815">
          <w:marLeft w:val="0"/>
          <w:marRight w:val="0"/>
          <w:marTop w:val="0"/>
          <w:marBottom w:val="0"/>
          <w:divBdr>
            <w:top w:val="none" w:sz="0" w:space="0" w:color="auto"/>
            <w:left w:val="none" w:sz="0" w:space="0" w:color="auto"/>
            <w:bottom w:val="none" w:sz="0" w:space="0" w:color="auto"/>
            <w:right w:val="none" w:sz="0" w:space="0" w:color="auto"/>
          </w:divBdr>
          <w:divsChild>
            <w:div w:id="1651247501">
              <w:marLeft w:val="0"/>
              <w:marRight w:val="0"/>
              <w:marTop w:val="0"/>
              <w:marBottom w:val="0"/>
              <w:divBdr>
                <w:top w:val="none" w:sz="0" w:space="0" w:color="auto"/>
                <w:left w:val="none" w:sz="0" w:space="0" w:color="auto"/>
                <w:bottom w:val="none" w:sz="0" w:space="0" w:color="auto"/>
                <w:right w:val="none" w:sz="0" w:space="0" w:color="auto"/>
              </w:divBdr>
              <w:divsChild>
                <w:div w:id="1748258797">
                  <w:marLeft w:val="-3735"/>
                  <w:marRight w:val="0"/>
                  <w:marTop w:val="0"/>
                  <w:marBottom w:val="0"/>
                  <w:divBdr>
                    <w:top w:val="none" w:sz="0" w:space="0" w:color="auto"/>
                    <w:left w:val="none" w:sz="0" w:space="0" w:color="auto"/>
                    <w:bottom w:val="none" w:sz="0" w:space="0" w:color="auto"/>
                    <w:right w:val="none" w:sz="0" w:space="0" w:color="auto"/>
                  </w:divBdr>
                  <w:divsChild>
                    <w:div w:id="1032536285">
                      <w:marLeft w:val="3735"/>
                      <w:marRight w:val="0"/>
                      <w:marTop w:val="0"/>
                      <w:marBottom w:val="0"/>
                      <w:divBdr>
                        <w:top w:val="none" w:sz="0" w:space="0" w:color="auto"/>
                        <w:left w:val="none" w:sz="0" w:space="0" w:color="auto"/>
                        <w:bottom w:val="none" w:sz="0" w:space="0" w:color="auto"/>
                        <w:right w:val="none" w:sz="0" w:space="0" w:color="auto"/>
                      </w:divBdr>
                      <w:divsChild>
                        <w:div w:id="1297444430">
                          <w:marLeft w:val="0"/>
                          <w:marRight w:val="0"/>
                          <w:marTop w:val="0"/>
                          <w:marBottom w:val="0"/>
                          <w:divBdr>
                            <w:top w:val="single" w:sz="6" w:space="0" w:color="E3E3E3"/>
                            <w:left w:val="none" w:sz="0" w:space="0" w:color="auto"/>
                            <w:bottom w:val="none" w:sz="0" w:space="0" w:color="auto"/>
                            <w:right w:val="none" w:sz="0" w:space="0" w:color="auto"/>
                          </w:divBdr>
                          <w:divsChild>
                            <w:div w:id="333608994">
                              <w:marLeft w:val="0"/>
                              <w:marRight w:val="0"/>
                              <w:marTop w:val="0"/>
                              <w:marBottom w:val="0"/>
                              <w:divBdr>
                                <w:top w:val="none" w:sz="0" w:space="0" w:color="auto"/>
                                <w:left w:val="none" w:sz="0" w:space="0" w:color="auto"/>
                                <w:bottom w:val="none" w:sz="0" w:space="0" w:color="auto"/>
                                <w:right w:val="none" w:sz="0" w:space="0" w:color="auto"/>
                              </w:divBdr>
                              <w:divsChild>
                                <w:div w:id="526408954">
                                  <w:marLeft w:val="0"/>
                                  <w:marRight w:val="0"/>
                                  <w:marTop w:val="0"/>
                                  <w:marBottom w:val="0"/>
                                  <w:divBdr>
                                    <w:top w:val="none" w:sz="0" w:space="0" w:color="auto"/>
                                    <w:left w:val="none" w:sz="0" w:space="0" w:color="auto"/>
                                    <w:bottom w:val="none" w:sz="0" w:space="0" w:color="auto"/>
                                    <w:right w:val="none" w:sz="0" w:space="0" w:color="auto"/>
                                  </w:divBdr>
                                  <w:divsChild>
                                    <w:div w:id="914242975">
                                      <w:marLeft w:val="0"/>
                                      <w:marRight w:val="0"/>
                                      <w:marTop w:val="0"/>
                                      <w:marBottom w:val="0"/>
                                      <w:divBdr>
                                        <w:top w:val="none" w:sz="0" w:space="0" w:color="auto"/>
                                        <w:left w:val="none" w:sz="0" w:space="0" w:color="auto"/>
                                        <w:bottom w:val="none" w:sz="0" w:space="0" w:color="auto"/>
                                        <w:right w:val="none" w:sz="0" w:space="0" w:color="auto"/>
                                      </w:divBdr>
                                      <w:divsChild>
                                        <w:div w:id="21345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188437">
      <w:bodyDiv w:val="1"/>
      <w:marLeft w:val="0"/>
      <w:marRight w:val="0"/>
      <w:marTop w:val="0"/>
      <w:marBottom w:val="0"/>
      <w:divBdr>
        <w:top w:val="none" w:sz="0" w:space="0" w:color="auto"/>
        <w:left w:val="none" w:sz="0" w:space="0" w:color="auto"/>
        <w:bottom w:val="none" w:sz="0" w:space="0" w:color="auto"/>
        <w:right w:val="none" w:sz="0" w:space="0" w:color="auto"/>
      </w:divBdr>
      <w:divsChild>
        <w:div w:id="1177110062">
          <w:marLeft w:val="0"/>
          <w:marRight w:val="0"/>
          <w:marTop w:val="0"/>
          <w:marBottom w:val="0"/>
          <w:divBdr>
            <w:top w:val="none" w:sz="0" w:space="0" w:color="auto"/>
            <w:left w:val="none" w:sz="0" w:space="0" w:color="auto"/>
            <w:bottom w:val="none" w:sz="0" w:space="0" w:color="auto"/>
            <w:right w:val="none" w:sz="0" w:space="0" w:color="auto"/>
          </w:divBdr>
          <w:divsChild>
            <w:div w:id="767426975">
              <w:marLeft w:val="0"/>
              <w:marRight w:val="0"/>
              <w:marTop w:val="0"/>
              <w:marBottom w:val="0"/>
              <w:divBdr>
                <w:top w:val="none" w:sz="0" w:space="0" w:color="auto"/>
                <w:left w:val="none" w:sz="0" w:space="0" w:color="auto"/>
                <w:bottom w:val="none" w:sz="0" w:space="0" w:color="auto"/>
                <w:right w:val="none" w:sz="0" w:space="0" w:color="auto"/>
              </w:divBdr>
              <w:divsChild>
                <w:div w:id="414594093">
                  <w:marLeft w:val="0"/>
                  <w:marRight w:val="0"/>
                  <w:marTop w:val="0"/>
                  <w:marBottom w:val="0"/>
                  <w:divBdr>
                    <w:top w:val="none" w:sz="0" w:space="0" w:color="auto"/>
                    <w:left w:val="none" w:sz="0" w:space="0" w:color="auto"/>
                    <w:bottom w:val="none" w:sz="0" w:space="0" w:color="auto"/>
                    <w:right w:val="none" w:sz="0" w:space="0" w:color="auto"/>
                  </w:divBdr>
                  <w:divsChild>
                    <w:div w:id="1025982189">
                      <w:marLeft w:val="0"/>
                      <w:marRight w:val="0"/>
                      <w:marTop w:val="0"/>
                      <w:marBottom w:val="0"/>
                      <w:divBdr>
                        <w:top w:val="none" w:sz="0" w:space="0" w:color="auto"/>
                        <w:left w:val="none" w:sz="0" w:space="0" w:color="auto"/>
                        <w:bottom w:val="none" w:sz="0" w:space="0" w:color="auto"/>
                        <w:right w:val="none" w:sz="0" w:space="0" w:color="auto"/>
                      </w:divBdr>
                      <w:divsChild>
                        <w:div w:id="1143079862">
                          <w:marLeft w:val="0"/>
                          <w:marRight w:val="0"/>
                          <w:marTop w:val="300"/>
                          <w:marBottom w:val="0"/>
                          <w:divBdr>
                            <w:top w:val="none" w:sz="0" w:space="0" w:color="auto"/>
                            <w:left w:val="none" w:sz="0" w:space="0" w:color="auto"/>
                            <w:bottom w:val="none" w:sz="0" w:space="0" w:color="auto"/>
                            <w:right w:val="none" w:sz="0" w:space="0" w:color="auto"/>
                          </w:divBdr>
                          <w:divsChild>
                            <w:div w:id="567863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92182">
      <w:bodyDiv w:val="1"/>
      <w:marLeft w:val="0"/>
      <w:marRight w:val="0"/>
      <w:marTop w:val="0"/>
      <w:marBottom w:val="0"/>
      <w:divBdr>
        <w:top w:val="none" w:sz="0" w:space="0" w:color="auto"/>
        <w:left w:val="none" w:sz="0" w:space="0" w:color="auto"/>
        <w:bottom w:val="none" w:sz="0" w:space="0" w:color="auto"/>
        <w:right w:val="none" w:sz="0" w:space="0" w:color="auto"/>
      </w:divBdr>
      <w:divsChild>
        <w:div w:id="1553928219">
          <w:marLeft w:val="0"/>
          <w:marRight w:val="0"/>
          <w:marTop w:val="0"/>
          <w:marBottom w:val="0"/>
          <w:divBdr>
            <w:top w:val="none" w:sz="0" w:space="0" w:color="auto"/>
            <w:left w:val="none" w:sz="0" w:space="0" w:color="auto"/>
            <w:bottom w:val="none" w:sz="0" w:space="0" w:color="auto"/>
            <w:right w:val="none" w:sz="0" w:space="0" w:color="auto"/>
          </w:divBdr>
          <w:divsChild>
            <w:div w:id="1122654754">
              <w:marLeft w:val="0"/>
              <w:marRight w:val="0"/>
              <w:marTop w:val="0"/>
              <w:marBottom w:val="0"/>
              <w:divBdr>
                <w:top w:val="none" w:sz="0" w:space="0" w:color="auto"/>
                <w:left w:val="none" w:sz="0" w:space="0" w:color="auto"/>
                <w:bottom w:val="none" w:sz="0" w:space="0" w:color="auto"/>
                <w:right w:val="none" w:sz="0" w:space="0" w:color="auto"/>
              </w:divBdr>
              <w:divsChild>
                <w:div w:id="1922323764">
                  <w:marLeft w:val="0"/>
                  <w:marRight w:val="0"/>
                  <w:marTop w:val="0"/>
                  <w:marBottom w:val="0"/>
                  <w:divBdr>
                    <w:top w:val="none" w:sz="0" w:space="0" w:color="auto"/>
                    <w:left w:val="none" w:sz="0" w:space="0" w:color="auto"/>
                    <w:bottom w:val="none" w:sz="0" w:space="0" w:color="auto"/>
                    <w:right w:val="none" w:sz="0" w:space="0" w:color="auto"/>
                  </w:divBdr>
                  <w:divsChild>
                    <w:div w:id="128130780">
                      <w:marLeft w:val="0"/>
                      <w:marRight w:val="0"/>
                      <w:marTop w:val="0"/>
                      <w:marBottom w:val="0"/>
                      <w:divBdr>
                        <w:top w:val="none" w:sz="0" w:space="0" w:color="auto"/>
                        <w:left w:val="none" w:sz="0" w:space="0" w:color="auto"/>
                        <w:bottom w:val="none" w:sz="0" w:space="0" w:color="auto"/>
                        <w:right w:val="none" w:sz="0" w:space="0" w:color="auto"/>
                      </w:divBdr>
                      <w:divsChild>
                        <w:div w:id="254171385">
                          <w:marLeft w:val="0"/>
                          <w:marRight w:val="0"/>
                          <w:marTop w:val="300"/>
                          <w:marBottom w:val="0"/>
                          <w:divBdr>
                            <w:top w:val="none" w:sz="0" w:space="0" w:color="auto"/>
                            <w:left w:val="none" w:sz="0" w:space="0" w:color="auto"/>
                            <w:bottom w:val="none" w:sz="0" w:space="0" w:color="auto"/>
                            <w:right w:val="none" w:sz="0" w:space="0" w:color="auto"/>
                          </w:divBdr>
                          <w:divsChild>
                            <w:div w:id="502284603">
                              <w:marLeft w:val="0"/>
                              <w:marRight w:val="0"/>
                              <w:marTop w:val="0"/>
                              <w:marBottom w:val="0"/>
                              <w:divBdr>
                                <w:top w:val="none" w:sz="0" w:space="0" w:color="auto"/>
                                <w:left w:val="none" w:sz="0" w:space="0" w:color="auto"/>
                                <w:bottom w:val="none" w:sz="0" w:space="0" w:color="auto"/>
                                <w:right w:val="none" w:sz="0" w:space="0" w:color="auto"/>
                              </w:divBdr>
                              <w:divsChild>
                                <w:div w:id="1113357258">
                                  <w:marLeft w:val="0"/>
                                  <w:marRight w:val="0"/>
                                  <w:marTop w:val="0"/>
                                  <w:marBottom w:val="0"/>
                                  <w:divBdr>
                                    <w:top w:val="none" w:sz="0" w:space="0" w:color="auto"/>
                                    <w:left w:val="none" w:sz="0" w:space="0" w:color="auto"/>
                                    <w:bottom w:val="none" w:sz="0" w:space="0" w:color="auto"/>
                                    <w:right w:val="none" w:sz="0" w:space="0" w:color="auto"/>
                                  </w:divBdr>
                                </w:div>
                              </w:divsChild>
                            </w:div>
                            <w:div w:id="609551274">
                              <w:marLeft w:val="0"/>
                              <w:marRight w:val="0"/>
                              <w:marTop w:val="0"/>
                              <w:marBottom w:val="0"/>
                              <w:divBdr>
                                <w:top w:val="none" w:sz="0" w:space="0" w:color="auto"/>
                                <w:left w:val="none" w:sz="0" w:space="0" w:color="auto"/>
                                <w:bottom w:val="none" w:sz="0" w:space="0" w:color="auto"/>
                                <w:right w:val="none" w:sz="0" w:space="0" w:color="auto"/>
                              </w:divBdr>
                              <w:divsChild>
                                <w:div w:id="565532933">
                                  <w:marLeft w:val="0"/>
                                  <w:marRight w:val="0"/>
                                  <w:marTop w:val="0"/>
                                  <w:marBottom w:val="0"/>
                                  <w:divBdr>
                                    <w:top w:val="none" w:sz="0" w:space="0" w:color="auto"/>
                                    <w:left w:val="none" w:sz="0" w:space="0" w:color="auto"/>
                                    <w:bottom w:val="none" w:sz="0" w:space="0" w:color="auto"/>
                                    <w:right w:val="none" w:sz="0" w:space="0" w:color="auto"/>
                                  </w:divBdr>
                                </w:div>
                              </w:divsChild>
                            </w:div>
                            <w:div w:id="711923825">
                              <w:marLeft w:val="0"/>
                              <w:marRight w:val="0"/>
                              <w:marTop w:val="0"/>
                              <w:marBottom w:val="0"/>
                              <w:divBdr>
                                <w:top w:val="none" w:sz="0" w:space="0" w:color="auto"/>
                                <w:left w:val="none" w:sz="0" w:space="0" w:color="auto"/>
                                <w:bottom w:val="none" w:sz="0" w:space="0" w:color="auto"/>
                                <w:right w:val="none" w:sz="0" w:space="0" w:color="auto"/>
                              </w:divBdr>
                              <w:divsChild>
                                <w:div w:id="193925933">
                                  <w:marLeft w:val="0"/>
                                  <w:marRight w:val="0"/>
                                  <w:marTop w:val="0"/>
                                  <w:marBottom w:val="0"/>
                                  <w:divBdr>
                                    <w:top w:val="none" w:sz="0" w:space="0" w:color="auto"/>
                                    <w:left w:val="none" w:sz="0" w:space="0" w:color="auto"/>
                                    <w:bottom w:val="none" w:sz="0" w:space="0" w:color="auto"/>
                                    <w:right w:val="none" w:sz="0" w:space="0" w:color="auto"/>
                                  </w:divBdr>
                                </w:div>
                              </w:divsChild>
                            </w:div>
                            <w:div w:id="768696180">
                              <w:marLeft w:val="0"/>
                              <w:marRight w:val="0"/>
                              <w:marTop w:val="0"/>
                              <w:marBottom w:val="0"/>
                              <w:divBdr>
                                <w:top w:val="none" w:sz="0" w:space="0" w:color="auto"/>
                                <w:left w:val="none" w:sz="0" w:space="0" w:color="auto"/>
                                <w:bottom w:val="none" w:sz="0" w:space="0" w:color="auto"/>
                                <w:right w:val="none" w:sz="0" w:space="0" w:color="auto"/>
                              </w:divBdr>
                              <w:divsChild>
                                <w:div w:id="767507658">
                                  <w:marLeft w:val="0"/>
                                  <w:marRight w:val="0"/>
                                  <w:marTop w:val="0"/>
                                  <w:marBottom w:val="0"/>
                                  <w:divBdr>
                                    <w:top w:val="none" w:sz="0" w:space="0" w:color="auto"/>
                                    <w:left w:val="none" w:sz="0" w:space="0" w:color="auto"/>
                                    <w:bottom w:val="none" w:sz="0" w:space="0" w:color="auto"/>
                                    <w:right w:val="none" w:sz="0" w:space="0" w:color="auto"/>
                                  </w:divBdr>
                                </w:div>
                              </w:divsChild>
                            </w:div>
                            <w:div w:id="872766604">
                              <w:marLeft w:val="0"/>
                              <w:marRight w:val="0"/>
                              <w:marTop w:val="0"/>
                              <w:marBottom w:val="0"/>
                              <w:divBdr>
                                <w:top w:val="none" w:sz="0" w:space="0" w:color="auto"/>
                                <w:left w:val="none" w:sz="0" w:space="0" w:color="auto"/>
                                <w:bottom w:val="none" w:sz="0" w:space="0" w:color="auto"/>
                                <w:right w:val="none" w:sz="0" w:space="0" w:color="auto"/>
                              </w:divBdr>
                              <w:divsChild>
                                <w:div w:id="382412671">
                                  <w:marLeft w:val="0"/>
                                  <w:marRight w:val="0"/>
                                  <w:marTop w:val="0"/>
                                  <w:marBottom w:val="0"/>
                                  <w:divBdr>
                                    <w:top w:val="none" w:sz="0" w:space="0" w:color="auto"/>
                                    <w:left w:val="none" w:sz="0" w:space="0" w:color="auto"/>
                                    <w:bottom w:val="none" w:sz="0" w:space="0" w:color="auto"/>
                                    <w:right w:val="none" w:sz="0" w:space="0" w:color="auto"/>
                                  </w:divBdr>
                                </w:div>
                              </w:divsChild>
                            </w:div>
                            <w:div w:id="1157765775">
                              <w:marLeft w:val="0"/>
                              <w:marRight w:val="0"/>
                              <w:marTop w:val="0"/>
                              <w:marBottom w:val="0"/>
                              <w:divBdr>
                                <w:top w:val="none" w:sz="0" w:space="0" w:color="auto"/>
                                <w:left w:val="none" w:sz="0" w:space="0" w:color="auto"/>
                                <w:bottom w:val="none" w:sz="0" w:space="0" w:color="auto"/>
                                <w:right w:val="none" w:sz="0" w:space="0" w:color="auto"/>
                              </w:divBdr>
                              <w:divsChild>
                                <w:div w:id="709106875">
                                  <w:marLeft w:val="0"/>
                                  <w:marRight w:val="0"/>
                                  <w:marTop w:val="0"/>
                                  <w:marBottom w:val="0"/>
                                  <w:divBdr>
                                    <w:top w:val="none" w:sz="0" w:space="0" w:color="auto"/>
                                    <w:left w:val="none" w:sz="0" w:space="0" w:color="auto"/>
                                    <w:bottom w:val="none" w:sz="0" w:space="0" w:color="auto"/>
                                    <w:right w:val="none" w:sz="0" w:space="0" w:color="auto"/>
                                  </w:divBdr>
                                </w:div>
                              </w:divsChild>
                            </w:div>
                            <w:div w:id="1404372537">
                              <w:marLeft w:val="0"/>
                              <w:marRight w:val="0"/>
                              <w:marTop w:val="0"/>
                              <w:marBottom w:val="0"/>
                              <w:divBdr>
                                <w:top w:val="none" w:sz="0" w:space="0" w:color="auto"/>
                                <w:left w:val="none" w:sz="0" w:space="0" w:color="auto"/>
                                <w:bottom w:val="none" w:sz="0" w:space="0" w:color="auto"/>
                                <w:right w:val="none" w:sz="0" w:space="0" w:color="auto"/>
                              </w:divBdr>
                              <w:divsChild>
                                <w:div w:id="2112117995">
                                  <w:marLeft w:val="0"/>
                                  <w:marRight w:val="0"/>
                                  <w:marTop w:val="0"/>
                                  <w:marBottom w:val="0"/>
                                  <w:divBdr>
                                    <w:top w:val="none" w:sz="0" w:space="0" w:color="auto"/>
                                    <w:left w:val="none" w:sz="0" w:space="0" w:color="auto"/>
                                    <w:bottom w:val="none" w:sz="0" w:space="0" w:color="auto"/>
                                    <w:right w:val="none" w:sz="0" w:space="0" w:color="auto"/>
                                  </w:divBdr>
                                </w:div>
                              </w:divsChild>
                            </w:div>
                            <w:div w:id="1615210523">
                              <w:marLeft w:val="0"/>
                              <w:marRight w:val="0"/>
                              <w:marTop w:val="0"/>
                              <w:marBottom w:val="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sChild>
                            </w:div>
                            <w:div w:id="2003198130">
                              <w:marLeft w:val="0"/>
                              <w:marRight w:val="0"/>
                              <w:marTop w:val="0"/>
                              <w:marBottom w:val="0"/>
                              <w:divBdr>
                                <w:top w:val="none" w:sz="0" w:space="0" w:color="auto"/>
                                <w:left w:val="none" w:sz="0" w:space="0" w:color="auto"/>
                                <w:bottom w:val="none" w:sz="0" w:space="0" w:color="auto"/>
                                <w:right w:val="none" w:sz="0" w:space="0" w:color="auto"/>
                              </w:divBdr>
                              <w:divsChild>
                                <w:div w:id="14218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589045">
      <w:bodyDiv w:val="1"/>
      <w:marLeft w:val="0"/>
      <w:marRight w:val="0"/>
      <w:marTop w:val="0"/>
      <w:marBottom w:val="0"/>
      <w:divBdr>
        <w:top w:val="none" w:sz="0" w:space="0" w:color="auto"/>
        <w:left w:val="none" w:sz="0" w:space="0" w:color="auto"/>
        <w:bottom w:val="none" w:sz="0" w:space="0" w:color="auto"/>
        <w:right w:val="none" w:sz="0" w:space="0" w:color="auto"/>
      </w:divBdr>
      <w:divsChild>
        <w:div w:id="1538008870">
          <w:marLeft w:val="0"/>
          <w:marRight w:val="0"/>
          <w:marTop w:val="0"/>
          <w:marBottom w:val="0"/>
          <w:divBdr>
            <w:top w:val="none" w:sz="0" w:space="0" w:color="auto"/>
            <w:left w:val="none" w:sz="0" w:space="0" w:color="auto"/>
            <w:bottom w:val="none" w:sz="0" w:space="0" w:color="auto"/>
            <w:right w:val="none" w:sz="0" w:space="0" w:color="auto"/>
          </w:divBdr>
          <w:divsChild>
            <w:div w:id="1202136829">
              <w:marLeft w:val="0"/>
              <w:marRight w:val="0"/>
              <w:marTop w:val="0"/>
              <w:marBottom w:val="0"/>
              <w:divBdr>
                <w:top w:val="none" w:sz="0" w:space="0" w:color="auto"/>
                <w:left w:val="none" w:sz="0" w:space="0" w:color="auto"/>
                <w:bottom w:val="none" w:sz="0" w:space="0" w:color="auto"/>
                <w:right w:val="none" w:sz="0" w:space="0" w:color="auto"/>
              </w:divBdr>
              <w:divsChild>
                <w:div w:id="288363687">
                  <w:marLeft w:val="-3735"/>
                  <w:marRight w:val="0"/>
                  <w:marTop w:val="0"/>
                  <w:marBottom w:val="0"/>
                  <w:divBdr>
                    <w:top w:val="none" w:sz="0" w:space="0" w:color="auto"/>
                    <w:left w:val="none" w:sz="0" w:space="0" w:color="auto"/>
                    <w:bottom w:val="none" w:sz="0" w:space="0" w:color="auto"/>
                    <w:right w:val="none" w:sz="0" w:space="0" w:color="auto"/>
                  </w:divBdr>
                  <w:divsChild>
                    <w:div w:id="1164517505">
                      <w:marLeft w:val="3735"/>
                      <w:marRight w:val="0"/>
                      <w:marTop w:val="0"/>
                      <w:marBottom w:val="0"/>
                      <w:divBdr>
                        <w:top w:val="none" w:sz="0" w:space="0" w:color="auto"/>
                        <w:left w:val="none" w:sz="0" w:space="0" w:color="auto"/>
                        <w:bottom w:val="none" w:sz="0" w:space="0" w:color="auto"/>
                        <w:right w:val="none" w:sz="0" w:space="0" w:color="auto"/>
                      </w:divBdr>
                      <w:divsChild>
                        <w:div w:id="1956666877">
                          <w:marLeft w:val="0"/>
                          <w:marRight w:val="0"/>
                          <w:marTop w:val="0"/>
                          <w:marBottom w:val="0"/>
                          <w:divBdr>
                            <w:top w:val="single" w:sz="6" w:space="0" w:color="E3E3E3"/>
                            <w:left w:val="none" w:sz="0" w:space="0" w:color="auto"/>
                            <w:bottom w:val="none" w:sz="0" w:space="0" w:color="auto"/>
                            <w:right w:val="none" w:sz="0" w:space="0" w:color="auto"/>
                          </w:divBdr>
                          <w:divsChild>
                            <w:div w:id="1594315117">
                              <w:marLeft w:val="0"/>
                              <w:marRight w:val="0"/>
                              <w:marTop w:val="0"/>
                              <w:marBottom w:val="0"/>
                              <w:divBdr>
                                <w:top w:val="none" w:sz="0" w:space="0" w:color="auto"/>
                                <w:left w:val="none" w:sz="0" w:space="0" w:color="auto"/>
                                <w:bottom w:val="none" w:sz="0" w:space="0" w:color="auto"/>
                                <w:right w:val="none" w:sz="0" w:space="0" w:color="auto"/>
                              </w:divBdr>
                              <w:divsChild>
                                <w:div w:id="730152450">
                                  <w:marLeft w:val="0"/>
                                  <w:marRight w:val="0"/>
                                  <w:marTop w:val="0"/>
                                  <w:marBottom w:val="0"/>
                                  <w:divBdr>
                                    <w:top w:val="none" w:sz="0" w:space="0" w:color="auto"/>
                                    <w:left w:val="none" w:sz="0" w:space="0" w:color="auto"/>
                                    <w:bottom w:val="none" w:sz="0" w:space="0" w:color="auto"/>
                                    <w:right w:val="none" w:sz="0" w:space="0" w:color="auto"/>
                                  </w:divBdr>
                                  <w:divsChild>
                                    <w:div w:id="1198853646">
                                      <w:marLeft w:val="0"/>
                                      <w:marRight w:val="0"/>
                                      <w:marTop w:val="0"/>
                                      <w:marBottom w:val="0"/>
                                      <w:divBdr>
                                        <w:top w:val="none" w:sz="0" w:space="0" w:color="auto"/>
                                        <w:left w:val="none" w:sz="0" w:space="0" w:color="auto"/>
                                        <w:bottom w:val="none" w:sz="0" w:space="0" w:color="auto"/>
                                        <w:right w:val="none" w:sz="0" w:space="0" w:color="auto"/>
                                      </w:divBdr>
                                      <w:divsChild>
                                        <w:div w:id="8272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751141">
      <w:bodyDiv w:val="1"/>
      <w:marLeft w:val="0"/>
      <w:marRight w:val="0"/>
      <w:marTop w:val="0"/>
      <w:marBottom w:val="0"/>
      <w:divBdr>
        <w:top w:val="none" w:sz="0" w:space="0" w:color="auto"/>
        <w:left w:val="none" w:sz="0" w:space="0" w:color="auto"/>
        <w:bottom w:val="none" w:sz="0" w:space="0" w:color="auto"/>
        <w:right w:val="none" w:sz="0" w:space="0" w:color="auto"/>
      </w:divBdr>
      <w:divsChild>
        <w:div w:id="1575235367">
          <w:marLeft w:val="0"/>
          <w:marRight w:val="0"/>
          <w:marTop w:val="0"/>
          <w:marBottom w:val="0"/>
          <w:divBdr>
            <w:top w:val="none" w:sz="0" w:space="0" w:color="auto"/>
            <w:left w:val="none" w:sz="0" w:space="0" w:color="auto"/>
            <w:bottom w:val="none" w:sz="0" w:space="0" w:color="auto"/>
            <w:right w:val="none" w:sz="0" w:space="0" w:color="auto"/>
          </w:divBdr>
          <w:divsChild>
            <w:div w:id="2098136337">
              <w:marLeft w:val="0"/>
              <w:marRight w:val="0"/>
              <w:marTop w:val="0"/>
              <w:marBottom w:val="0"/>
              <w:divBdr>
                <w:top w:val="none" w:sz="0" w:space="0" w:color="auto"/>
                <w:left w:val="none" w:sz="0" w:space="0" w:color="auto"/>
                <w:bottom w:val="none" w:sz="0" w:space="0" w:color="auto"/>
                <w:right w:val="none" w:sz="0" w:space="0" w:color="auto"/>
              </w:divBdr>
              <w:divsChild>
                <w:div w:id="1506170823">
                  <w:marLeft w:val="0"/>
                  <w:marRight w:val="0"/>
                  <w:marTop w:val="0"/>
                  <w:marBottom w:val="0"/>
                  <w:divBdr>
                    <w:top w:val="none" w:sz="0" w:space="0" w:color="auto"/>
                    <w:left w:val="none" w:sz="0" w:space="0" w:color="auto"/>
                    <w:bottom w:val="none" w:sz="0" w:space="0" w:color="auto"/>
                    <w:right w:val="none" w:sz="0" w:space="0" w:color="auto"/>
                  </w:divBdr>
                  <w:divsChild>
                    <w:div w:id="2009093128">
                      <w:marLeft w:val="0"/>
                      <w:marRight w:val="0"/>
                      <w:marTop w:val="0"/>
                      <w:marBottom w:val="0"/>
                      <w:divBdr>
                        <w:top w:val="none" w:sz="0" w:space="0" w:color="auto"/>
                        <w:left w:val="none" w:sz="0" w:space="0" w:color="auto"/>
                        <w:bottom w:val="none" w:sz="0" w:space="0" w:color="auto"/>
                        <w:right w:val="none" w:sz="0" w:space="0" w:color="auto"/>
                      </w:divBdr>
                      <w:divsChild>
                        <w:div w:id="6858071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EBF6-6F18-4DA6-AF93-71A21575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17175</Words>
  <Characters>9791</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Indra Bobrovska</dc:creator>
  <dc:description>, 67094229, 
Indra.Bobrovska@kase.gov.lv</dc:description>
  <cp:lastModifiedBy>Liene Strēlniece</cp:lastModifiedBy>
  <cp:revision>23</cp:revision>
  <cp:lastPrinted>2015-05-08T09:27:00Z</cp:lastPrinted>
  <dcterms:created xsi:type="dcterms:W3CDTF">2015-04-16T11:57:00Z</dcterms:created>
  <dcterms:modified xsi:type="dcterms:W3CDTF">2015-05-22T12:14:00Z</dcterms:modified>
</cp:coreProperties>
</file>