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D2" w:rsidRPr="00D13B02" w:rsidRDefault="0047498B" w:rsidP="00852CD2">
      <w:pPr>
        <w:pStyle w:val="BodyText3"/>
        <w:jc w:val="center"/>
        <w:rPr>
          <w:i w:val="0"/>
          <w:sz w:val="26"/>
          <w:szCs w:val="26"/>
        </w:rPr>
      </w:pPr>
      <w:bookmarkStart w:id="0" w:name="OLE_LINK1"/>
      <w:bookmarkStart w:id="1" w:name="OLE_LINK2"/>
      <w:bookmarkStart w:id="2" w:name="_GoBack"/>
      <w:bookmarkEnd w:id="2"/>
      <w:r w:rsidRPr="00D13B02">
        <w:rPr>
          <w:bCs/>
          <w:i w:val="0"/>
          <w:sz w:val="26"/>
          <w:szCs w:val="26"/>
        </w:rPr>
        <w:t>M</w:t>
      </w:r>
      <w:r w:rsidR="002B5BA9" w:rsidRPr="00D13B02">
        <w:rPr>
          <w:bCs/>
          <w:i w:val="0"/>
          <w:sz w:val="26"/>
          <w:szCs w:val="26"/>
        </w:rPr>
        <w:t xml:space="preserve">inistru kabineta noteikumu </w:t>
      </w:r>
      <w:r w:rsidR="00852CD2" w:rsidRPr="00D13B02">
        <w:rPr>
          <w:bCs/>
          <w:i w:val="0"/>
          <w:sz w:val="26"/>
          <w:szCs w:val="26"/>
        </w:rPr>
        <w:t>„Grozījumi Ministru kabineta</w:t>
      </w:r>
      <w:r w:rsidR="00852CD2" w:rsidRPr="00D13B02">
        <w:rPr>
          <w:bCs/>
          <w:sz w:val="26"/>
          <w:szCs w:val="26"/>
        </w:rPr>
        <w:t xml:space="preserve"> </w:t>
      </w:r>
      <w:r w:rsidR="00852CD2" w:rsidRPr="00D13B02">
        <w:rPr>
          <w:bCs/>
          <w:i w:val="0"/>
          <w:sz w:val="26"/>
          <w:szCs w:val="26"/>
        </w:rPr>
        <w:t>2010.gada 21.jūnija</w:t>
      </w:r>
      <w:r w:rsidR="00852CD2" w:rsidRPr="00D13B02">
        <w:rPr>
          <w:i w:val="0"/>
          <w:sz w:val="26"/>
          <w:szCs w:val="26"/>
        </w:rPr>
        <w:t xml:space="preserve"> n</w:t>
      </w:r>
      <w:r w:rsidR="00852CD2" w:rsidRPr="00D13B02">
        <w:rPr>
          <w:bCs/>
          <w:i w:val="0"/>
          <w:sz w:val="26"/>
          <w:szCs w:val="26"/>
        </w:rPr>
        <w:t>oteikumos</w:t>
      </w:r>
      <w:r w:rsidR="00852CD2" w:rsidRPr="00D13B02">
        <w:rPr>
          <w:bCs/>
          <w:sz w:val="26"/>
          <w:szCs w:val="26"/>
        </w:rPr>
        <w:t xml:space="preserve"> </w:t>
      </w:r>
      <w:r w:rsidR="00852CD2" w:rsidRPr="00D13B02">
        <w:rPr>
          <w:bCs/>
          <w:i w:val="0"/>
          <w:sz w:val="26"/>
          <w:szCs w:val="26"/>
        </w:rPr>
        <w:t>Nr.541</w:t>
      </w:r>
      <w:r w:rsidR="00852CD2" w:rsidRPr="00D13B02">
        <w:rPr>
          <w:bCs/>
          <w:sz w:val="26"/>
          <w:szCs w:val="26"/>
        </w:rPr>
        <w:t xml:space="preserve"> „</w:t>
      </w:r>
      <w:r w:rsidR="00852CD2" w:rsidRPr="00D13B02">
        <w:rPr>
          <w:i w:val="0"/>
          <w:sz w:val="26"/>
          <w:szCs w:val="26"/>
        </w:rPr>
        <w:t xml:space="preserve">Noteikumi par valsts un pašvaldību institūciju </w:t>
      </w:r>
    </w:p>
    <w:p w:rsidR="00852CD2" w:rsidRPr="00D13B02" w:rsidRDefault="00852CD2" w:rsidP="00852CD2">
      <w:pPr>
        <w:pStyle w:val="BodyText3"/>
        <w:jc w:val="center"/>
        <w:rPr>
          <w:b w:val="0"/>
          <w:sz w:val="26"/>
          <w:szCs w:val="26"/>
        </w:rPr>
      </w:pPr>
      <w:r w:rsidRPr="00D13B02">
        <w:rPr>
          <w:i w:val="0"/>
          <w:sz w:val="26"/>
          <w:szCs w:val="26"/>
        </w:rPr>
        <w:t>amatpersonu un darbinieku atlīdzības uzskaites sistēmu”</w:t>
      </w:r>
      <w:r w:rsidR="008D76BC" w:rsidRPr="00D13B02">
        <w:rPr>
          <w:i w:val="0"/>
          <w:sz w:val="26"/>
          <w:szCs w:val="26"/>
        </w:rPr>
        <w:t>”</w:t>
      </w:r>
    </w:p>
    <w:p w:rsidR="0070526D" w:rsidRPr="00D13B02" w:rsidRDefault="002B5BA9" w:rsidP="003E67CA">
      <w:pPr>
        <w:pStyle w:val="BodyText3"/>
        <w:jc w:val="center"/>
        <w:rPr>
          <w:bCs/>
          <w:i w:val="0"/>
          <w:sz w:val="26"/>
          <w:szCs w:val="26"/>
        </w:rPr>
      </w:pPr>
      <w:r w:rsidRPr="00D13B02">
        <w:rPr>
          <w:i w:val="0"/>
          <w:sz w:val="26"/>
          <w:szCs w:val="26"/>
        </w:rPr>
        <w:t xml:space="preserve"> projekta </w:t>
      </w:r>
      <w:bookmarkEnd w:id="0"/>
      <w:bookmarkEnd w:id="1"/>
      <w:r w:rsidR="003E67CA" w:rsidRPr="00D13B02">
        <w:rPr>
          <w:bCs/>
          <w:i w:val="0"/>
          <w:sz w:val="26"/>
          <w:szCs w:val="26"/>
        </w:rPr>
        <w:t>sākotnējās</w:t>
      </w:r>
      <w:r w:rsidR="005A74FF" w:rsidRPr="00D13B02">
        <w:rPr>
          <w:bCs/>
          <w:i w:val="0"/>
          <w:sz w:val="26"/>
          <w:szCs w:val="26"/>
        </w:rPr>
        <w:t xml:space="preserve"> </w:t>
      </w:r>
      <w:r w:rsidR="003E67CA" w:rsidRPr="00D13B02">
        <w:rPr>
          <w:bCs/>
          <w:i w:val="0"/>
          <w:sz w:val="26"/>
          <w:szCs w:val="26"/>
        </w:rPr>
        <w:t>ietekmes novērtējuma ziņojums (anotācija)</w:t>
      </w:r>
    </w:p>
    <w:p w:rsidR="0024678C" w:rsidRPr="00D13B02" w:rsidRDefault="0024678C" w:rsidP="0024678C">
      <w:pPr>
        <w:pStyle w:val="BodyText3"/>
        <w:jc w:val="center"/>
        <w:rPr>
          <w:i w:val="0"/>
          <w:sz w:val="26"/>
          <w:szCs w:val="26"/>
        </w:rPr>
      </w:pPr>
    </w:p>
    <w:tbl>
      <w:tblPr>
        <w:tblW w:w="975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733"/>
        <w:gridCol w:w="6666"/>
      </w:tblGrid>
      <w:tr w:rsidR="00D13B02" w:rsidRPr="00D13B02" w:rsidTr="00FC1B30">
        <w:trPr>
          <w:tblCellSpacing w:w="0" w:type="dxa"/>
        </w:trPr>
        <w:tc>
          <w:tcPr>
            <w:tcW w:w="9759" w:type="dxa"/>
            <w:gridSpan w:val="3"/>
            <w:tcBorders>
              <w:top w:val="outset" w:sz="6" w:space="0" w:color="auto"/>
              <w:left w:val="outset" w:sz="6" w:space="0" w:color="auto"/>
              <w:bottom w:val="outset" w:sz="6" w:space="0" w:color="auto"/>
              <w:right w:val="outset" w:sz="6" w:space="0" w:color="auto"/>
            </w:tcBorders>
            <w:vAlign w:val="center"/>
            <w:hideMark/>
          </w:tcPr>
          <w:p w:rsidR="0070526D" w:rsidRPr="00D13B02" w:rsidRDefault="0070526D" w:rsidP="00062334">
            <w:pPr>
              <w:pStyle w:val="ListParagraph"/>
              <w:numPr>
                <w:ilvl w:val="0"/>
                <w:numId w:val="2"/>
              </w:numPr>
              <w:rPr>
                <w:rFonts w:eastAsia="Times New Roman" w:cs="Times New Roman"/>
                <w:b/>
                <w:bCs/>
                <w:sz w:val="26"/>
                <w:szCs w:val="26"/>
                <w:lang w:eastAsia="lv-LV"/>
              </w:rPr>
            </w:pPr>
            <w:r w:rsidRPr="00D13B02">
              <w:rPr>
                <w:rFonts w:eastAsia="Times New Roman" w:cs="Times New Roman"/>
                <w:b/>
                <w:bCs/>
                <w:sz w:val="26"/>
                <w:szCs w:val="26"/>
                <w:lang w:eastAsia="lv-LV"/>
              </w:rPr>
              <w:t>Tiesību akta projekta izstrādes nepieciešamība</w:t>
            </w:r>
          </w:p>
          <w:p w:rsidR="00062334" w:rsidRPr="00D13B02" w:rsidRDefault="00062334" w:rsidP="00C030E6">
            <w:pPr>
              <w:pStyle w:val="ListParagraph"/>
              <w:ind w:left="840"/>
              <w:rPr>
                <w:rFonts w:eastAsia="Times New Roman" w:cs="Times New Roman"/>
                <w:sz w:val="26"/>
                <w:szCs w:val="26"/>
                <w:lang w:eastAsia="lv-LV"/>
              </w:rPr>
            </w:pPr>
          </w:p>
        </w:tc>
      </w:tr>
      <w:tr w:rsidR="00D13B02" w:rsidRPr="00D13B02" w:rsidTr="00FC1B30">
        <w:trPr>
          <w:trHeight w:val="630"/>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52CD2" w:rsidRPr="00D13B0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3671E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 Pamatojums</w:t>
            </w:r>
          </w:p>
          <w:p w:rsidR="003671E2" w:rsidRPr="003671E2" w:rsidRDefault="003671E2" w:rsidP="003671E2">
            <w:pPr>
              <w:rPr>
                <w:rFonts w:eastAsia="Times New Roman" w:cs="Times New Roman"/>
                <w:sz w:val="24"/>
                <w:szCs w:val="24"/>
                <w:lang w:eastAsia="lv-LV"/>
              </w:rPr>
            </w:pPr>
          </w:p>
          <w:p w:rsidR="003671E2" w:rsidRPr="003671E2" w:rsidRDefault="003671E2" w:rsidP="003671E2">
            <w:pPr>
              <w:rPr>
                <w:rFonts w:eastAsia="Times New Roman" w:cs="Times New Roman"/>
                <w:sz w:val="24"/>
                <w:szCs w:val="24"/>
                <w:lang w:eastAsia="lv-LV"/>
              </w:rPr>
            </w:pPr>
          </w:p>
          <w:p w:rsidR="003671E2" w:rsidRPr="003671E2" w:rsidRDefault="003671E2" w:rsidP="003671E2">
            <w:pPr>
              <w:rPr>
                <w:rFonts w:eastAsia="Times New Roman" w:cs="Times New Roman"/>
                <w:sz w:val="24"/>
                <w:szCs w:val="24"/>
                <w:lang w:eastAsia="lv-LV"/>
              </w:rPr>
            </w:pPr>
          </w:p>
          <w:p w:rsidR="003671E2" w:rsidRPr="003671E2" w:rsidRDefault="003671E2" w:rsidP="003671E2">
            <w:pPr>
              <w:rPr>
                <w:rFonts w:eastAsia="Times New Roman" w:cs="Times New Roman"/>
                <w:sz w:val="24"/>
                <w:szCs w:val="24"/>
                <w:lang w:eastAsia="lv-LV"/>
              </w:rPr>
            </w:pPr>
          </w:p>
          <w:p w:rsidR="003671E2" w:rsidRPr="003671E2" w:rsidRDefault="003671E2" w:rsidP="003671E2">
            <w:pPr>
              <w:rPr>
                <w:rFonts w:eastAsia="Times New Roman" w:cs="Times New Roman"/>
                <w:sz w:val="24"/>
                <w:szCs w:val="24"/>
                <w:lang w:eastAsia="lv-LV"/>
              </w:rPr>
            </w:pPr>
          </w:p>
          <w:p w:rsidR="003671E2" w:rsidRPr="003671E2" w:rsidRDefault="003671E2" w:rsidP="003671E2">
            <w:pPr>
              <w:rPr>
                <w:rFonts w:eastAsia="Times New Roman" w:cs="Times New Roman"/>
                <w:sz w:val="24"/>
                <w:szCs w:val="24"/>
                <w:lang w:eastAsia="lv-LV"/>
              </w:rPr>
            </w:pPr>
          </w:p>
          <w:p w:rsidR="003671E2" w:rsidRDefault="003671E2" w:rsidP="003671E2">
            <w:pPr>
              <w:rPr>
                <w:rFonts w:eastAsia="Times New Roman" w:cs="Times New Roman"/>
                <w:sz w:val="24"/>
                <w:szCs w:val="24"/>
                <w:lang w:eastAsia="lv-LV"/>
              </w:rPr>
            </w:pPr>
          </w:p>
          <w:p w:rsidR="00852CD2" w:rsidRPr="003671E2" w:rsidRDefault="00852CD2" w:rsidP="003671E2">
            <w:pPr>
              <w:jc w:val="center"/>
              <w:rPr>
                <w:rFonts w:eastAsia="Times New Roman" w:cs="Times New Roman"/>
                <w:sz w:val="24"/>
                <w:szCs w:val="24"/>
                <w:lang w:eastAsia="lv-LV"/>
              </w:rPr>
            </w:pPr>
          </w:p>
        </w:tc>
        <w:tc>
          <w:tcPr>
            <w:tcW w:w="6666" w:type="dxa"/>
            <w:tcBorders>
              <w:top w:val="outset" w:sz="6" w:space="0" w:color="auto"/>
              <w:left w:val="outset" w:sz="6" w:space="0" w:color="auto"/>
              <w:bottom w:val="outset" w:sz="6" w:space="0" w:color="auto"/>
              <w:right w:val="outset" w:sz="6" w:space="0" w:color="auto"/>
            </w:tcBorders>
            <w:hideMark/>
          </w:tcPr>
          <w:p w:rsidR="007E1438" w:rsidRPr="00D13B02" w:rsidRDefault="008C2F4F" w:rsidP="00A16B49">
            <w:pPr>
              <w:ind w:firstLine="552"/>
              <w:jc w:val="both"/>
              <w:rPr>
                <w:sz w:val="24"/>
                <w:szCs w:val="24"/>
              </w:rPr>
            </w:pPr>
            <w:r w:rsidRPr="00D13B02">
              <w:rPr>
                <w:sz w:val="24"/>
                <w:szCs w:val="24"/>
              </w:rPr>
              <w:t>Ministru kabineta noteikumu</w:t>
            </w:r>
            <w:r w:rsidR="002C49F7" w:rsidRPr="00D13B02">
              <w:rPr>
                <w:sz w:val="24"/>
                <w:szCs w:val="24"/>
              </w:rPr>
              <w:t xml:space="preserve"> projekts</w:t>
            </w:r>
            <w:r w:rsidR="002C49F7" w:rsidRPr="00D13B02">
              <w:rPr>
                <w:i/>
                <w:sz w:val="24"/>
                <w:szCs w:val="24"/>
              </w:rPr>
              <w:t xml:space="preserve"> </w:t>
            </w:r>
            <w:r w:rsidR="00DF0D03" w:rsidRPr="00DF0D03">
              <w:rPr>
                <w:sz w:val="24"/>
                <w:szCs w:val="24"/>
              </w:rPr>
              <w:t xml:space="preserve">“Grozījumi Ministru kabineta 2010.gada 21.jūnija noteikumos Nr.541 “Noteikumi par valsts un pašvaldību institūciju amatpersonu un darbinieku atlīdzības uzskaites sistēmu”” </w:t>
            </w:r>
            <w:r w:rsidR="00DF0D03">
              <w:rPr>
                <w:i/>
                <w:sz w:val="24"/>
                <w:szCs w:val="24"/>
              </w:rPr>
              <w:t xml:space="preserve"> </w:t>
            </w:r>
            <w:r w:rsidR="002C49F7" w:rsidRPr="00D13B02">
              <w:rPr>
                <w:sz w:val="24"/>
                <w:szCs w:val="24"/>
              </w:rPr>
              <w:t>(turpmāk – noteikumu projekts)</w:t>
            </w:r>
            <w:r w:rsidR="00B47F2B" w:rsidRPr="00D13B02">
              <w:rPr>
                <w:sz w:val="24"/>
                <w:szCs w:val="24"/>
              </w:rPr>
              <w:t xml:space="preserve"> ir izstrād</w:t>
            </w:r>
            <w:r w:rsidR="002C49F7" w:rsidRPr="00D13B02">
              <w:rPr>
                <w:sz w:val="24"/>
                <w:szCs w:val="24"/>
              </w:rPr>
              <w:t>āts</w:t>
            </w:r>
            <w:r w:rsidR="004F7055">
              <w:rPr>
                <w:sz w:val="24"/>
                <w:szCs w:val="24"/>
              </w:rPr>
              <w:t>,</w:t>
            </w:r>
            <w:r w:rsidR="002C49F7" w:rsidRPr="00D13B02">
              <w:rPr>
                <w:sz w:val="24"/>
                <w:szCs w:val="24"/>
              </w:rPr>
              <w:t xml:space="preserve"> </w:t>
            </w:r>
            <w:r w:rsidR="004F7055" w:rsidRPr="007756E5">
              <w:rPr>
                <w:iCs/>
                <w:sz w:val="24"/>
                <w:szCs w:val="24"/>
              </w:rPr>
              <w:t xml:space="preserve">lai saskaņotu </w:t>
            </w:r>
            <w:r w:rsidR="004F7055" w:rsidRPr="007756E5">
              <w:rPr>
                <w:sz w:val="24"/>
                <w:szCs w:val="24"/>
              </w:rPr>
              <w:t>Ministru kabineta 2010.gada 21.jūnija noteikumos Nr.541 „Noteikumi par valsts un pašvaldību institūciju amatpersonu un darbinieku atlīdzības uzskaites sistēmu”</w:t>
            </w:r>
            <w:r w:rsidR="004F7055" w:rsidRPr="007756E5">
              <w:rPr>
                <w:b/>
                <w:sz w:val="24"/>
                <w:szCs w:val="24"/>
              </w:rPr>
              <w:t xml:space="preserve"> </w:t>
            </w:r>
            <w:r w:rsidR="004F7055" w:rsidRPr="007756E5">
              <w:rPr>
                <w:iCs/>
                <w:sz w:val="24"/>
                <w:szCs w:val="24"/>
              </w:rPr>
              <w:t xml:space="preserve">iekļautos klasifikatorus ar saistošajos normatīvajos aktos veiktajām izmaiņām: </w:t>
            </w:r>
            <w:r w:rsidR="003671E2">
              <w:rPr>
                <w:iCs/>
                <w:sz w:val="24"/>
                <w:szCs w:val="24"/>
              </w:rPr>
              <w:t>“</w:t>
            </w:r>
            <w:r w:rsidR="004F7055" w:rsidRPr="007756E5">
              <w:rPr>
                <w:iCs/>
                <w:sz w:val="24"/>
                <w:szCs w:val="24"/>
              </w:rPr>
              <w:t>Grozījumi Valsts un pašvaldību institūciju amatpersonu un darbinieku atlīdzības likumā</w:t>
            </w:r>
            <w:r w:rsidR="003671E2">
              <w:rPr>
                <w:iCs/>
                <w:sz w:val="24"/>
                <w:szCs w:val="24"/>
              </w:rPr>
              <w:t>”</w:t>
            </w:r>
            <w:r w:rsidR="004F7055" w:rsidRPr="007756E5">
              <w:rPr>
                <w:iCs/>
                <w:sz w:val="24"/>
                <w:szCs w:val="24"/>
              </w:rPr>
              <w:t xml:space="preserve">, kas </w:t>
            </w:r>
            <w:r w:rsidR="003671E2">
              <w:rPr>
                <w:iCs/>
                <w:sz w:val="24"/>
                <w:szCs w:val="24"/>
              </w:rPr>
              <w:t xml:space="preserve">Saeimā </w:t>
            </w:r>
            <w:r w:rsidR="004F7055" w:rsidRPr="007756E5">
              <w:rPr>
                <w:iCs/>
                <w:sz w:val="24"/>
                <w:szCs w:val="24"/>
              </w:rPr>
              <w:t xml:space="preserve">pieņemti </w:t>
            </w:r>
            <w:r w:rsidR="004F7055" w:rsidRPr="004F7055">
              <w:rPr>
                <w:iCs/>
                <w:sz w:val="24"/>
                <w:szCs w:val="24"/>
              </w:rPr>
              <w:t>06.11.2013.,</w:t>
            </w:r>
            <w:r w:rsidR="004F7055">
              <w:rPr>
                <w:iCs/>
                <w:sz w:val="24"/>
                <w:szCs w:val="24"/>
              </w:rPr>
              <w:t xml:space="preserve"> </w:t>
            </w:r>
            <w:r w:rsidR="003671E2">
              <w:rPr>
                <w:iCs/>
                <w:sz w:val="24"/>
                <w:szCs w:val="24"/>
              </w:rPr>
              <w:t xml:space="preserve">19.12.2013. un </w:t>
            </w:r>
            <w:r w:rsidR="004F7055">
              <w:rPr>
                <w:iCs/>
                <w:sz w:val="24"/>
                <w:szCs w:val="24"/>
              </w:rPr>
              <w:t>30.10.201</w:t>
            </w:r>
            <w:r w:rsidR="005B5AA6">
              <w:rPr>
                <w:iCs/>
                <w:sz w:val="24"/>
                <w:szCs w:val="24"/>
              </w:rPr>
              <w:t>4</w:t>
            </w:r>
            <w:r w:rsidR="004F7055">
              <w:rPr>
                <w:iCs/>
                <w:sz w:val="24"/>
                <w:szCs w:val="24"/>
              </w:rPr>
              <w:t>.</w:t>
            </w:r>
            <w:r w:rsidR="004F7055" w:rsidRPr="004F7055">
              <w:rPr>
                <w:iCs/>
                <w:sz w:val="24"/>
                <w:szCs w:val="24"/>
              </w:rPr>
              <w:t>;</w:t>
            </w:r>
            <w:r w:rsidR="004F7055">
              <w:rPr>
                <w:iCs/>
                <w:sz w:val="24"/>
                <w:szCs w:val="24"/>
              </w:rPr>
              <w:t xml:space="preserve"> Ministru kabineta 2014.gada 17.jūnija noteikumi Nr.332 “Grozījumi Ministru kabineta 2009.gada 28.jūlija noteikumos Nr.836 “Pedagogu darba samaksas noteikumi”</w:t>
            </w:r>
            <w:r w:rsidR="007D4F27">
              <w:rPr>
                <w:iCs/>
                <w:sz w:val="24"/>
                <w:szCs w:val="24"/>
              </w:rPr>
              <w:t>”</w:t>
            </w:r>
            <w:r w:rsidR="004F7055">
              <w:rPr>
                <w:iCs/>
                <w:sz w:val="24"/>
                <w:szCs w:val="24"/>
              </w:rPr>
              <w:t xml:space="preserve">; Ministru kabineta </w:t>
            </w:r>
            <w:r w:rsidR="00FC1B30">
              <w:rPr>
                <w:iCs/>
                <w:sz w:val="24"/>
                <w:szCs w:val="24"/>
              </w:rPr>
              <w:t xml:space="preserve">2014.gada 10.novembra </w:t>
            </w:r>
            <w:r w:rsidR="004F7055">
              <w:rPr>
                <w:iCs/>
                <w:sz w:val="24"/>
                <w:szCs w:val="24"/>
              </w:rPr>
              <w:t xml:space="preserve">noteikumi </w:t>
            </w:r>
            <w:r w:rsidR="003671E2">
              <w:rPr>
                <w:iCs/>
                <w:sz w:val="24"/>
                <w:szCs w:val="24"/>
              </w:rPr>
              <w:t>Nr.696</w:t>
            </w:r>
            <w:r w:rsidR="004F7055">
              <w:rPr>
                <w:iCs/>
                <w:sz w:val="24"/>
                <w:szCs w:val="24"/>
              </w:rPr>
              <w:t xml:space="preserve"> “Grozījumi Ministru kabineta 2005.gada 27.decembra noteikumos Nr.1031 “Noteikumi par budžetu izdevumu klasifikāciju atbilstoši ekonomiskajām kategorijām””</w:t>
            </w:r>
            <w:r w:rsidR="007E1438">
              <w:rPr>
                <w:iCs/>
                <w:sz w:val="24"/>
                <w:szCs w:val="24"/>
              </w:rPr>
              <w:t>.</w:t>
            </w:r>
          </w:p>
        </w:tc>
      </w:tr>
      <w:tr w:rsidR="00D13B02" w:rsidRPr="00D13B02" w:rsidTr="00FC1B30">
        <w:trPr>
          <w:trHeight w:val="472"/>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CD29CB">
            <w:pPr>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Pašreizējā situācija un problēmas, kuru risināšanai tiesību akta projekts izstrādāts, tiesiskā regulējuma mērķis un būtība</w:t>
            </w:r>
          </w:p>
        </w:tc>
        <w:tc>
          <w:tcPr>
            <w:tcW w:w="6666" w:type="dxa"/>
            <w:tcBorders>
              <w:top w:val="outset" w:sz="6" w:space="0" w:color="auto"/>
              <w:left w:val="outset" w:sz="6" w:space="0" w:color="auto"/>
              <w:bottom w:val="outset" w:sz="6" w:space="0" w:color="auto"/>
              <w:right w:val="outset" w:sz="6" w:space="0" w:color="auto"/>
            </w:tcBorders>
          </w:tcPr>
          <w:p w:rsidR="00170A5E" w:rsidRDefault="00A16B49" w:rsidP="00F1200C">
            <w:pPr>
              <w:pStyle w:val="BodyText"/>
              <w:spacing w:after="0"/>
              <w:ind w:firstLine="529"/>
              <w:jc w:val="both"/>
              <w:rPr>
                <w:iCs/>
                <w:sz w:val="24"/>
                <w:szCs w:val="24"/>
              </w:rPr>
            </w:pPr>
            <w:r w:rsidRPr="007756E5">
              <w:rPr>
                <w:iCs/>
                <w:sz w:val="24"/>
                <w:szCs w:val="24"/>
              </w:rPr>
              <w:t>Līdz ar izmaiņām, kas veiktas saistošajos normatīvajos aktos, nepieciešams veikt atbilst</w:t>
            </w:r>
            <w:r w:rsidR="00EB6795">
              <w:rPr>
                <w:iCs/>
                <w:sz w:val="24"/>
                <w:szCs w:val="24"/>
              </w:rPr>
              <w:t>īgus</w:t>
            </w:r>
            <w:r w:rsidRPr="007756E5">
              <w:rPr>
                <w:iCs/>
                <w:sz w:val="24"/>
                <w:szCs w:val="24"/>
              </w:rPr>
              <w:t xml:space="preserve"> grozījumus </w:t>
            </w:r>
            <w:r w:rsidRPr="007756E5">
              <w:rPr>
                <w:sz w:val="24"/>
                <w:szCs w:val="24"/>
              </w:rPr>
              <w:t>Ministru kabineta 2010.gada 21.jūnija noteikumos Nr.541 „Noteikumi par valsts un pašvaldību institūciju amatpersonu un darbinieku atlīdzības uzskaites sistēmu”</w:t>
            </w:r>
            <w:r w:rsidRPr="007756E5">
              <w:rPr>
                <w:b/>
                <w:sz w:val="24"/>
                <w:szCs w:val="24"/>
              </w:rPr>
              <w:t xml:space="preserve"> </w:t>
            </w:r>
            <w:r w:rsidRPr="007756E5">
              <w:rPr>
                <w:sz w:val="24"/>
                <w:szCs w:val="24"/>
              </w:rPr>
              <w:t>(turpmāk – noteikumi), kas nodrošinātu vienotu klasifikācijas lietošanu normatīvajos aktos.</w:t>
            </w:r>
            <w:r>
              <w:rPr>
                <w:sz w:val="24"/>
                <w:szCs w:val="24"/>
              </w:rPr>
              <w:t xml:space="preserve"> </w:t>
            </w:r>
            <w:r w:rsidR="00170A5E" w:rsidRPr="00DF0D03">
              <w:rPr>
                <w:iCs/>
                <w:sz w:val="24"/>
                <w:szCs w:val="24"/>
              </w:rPr>
              <w:t xml:space="preserve">Noteikumos ir iekļauti klasifikatori, kas satur informāciju no citiem saistošajiem normatīvajiem aktiem, kuros 2013.gadā </w:t>
            </w:r>
            <w:r w:rsidR="00DF0D03" w:rsidRPr="00DF0D03">
              <w:rPr>
                <w:iCs/>
                <w:sz w:val="24"/>
                <w:szCs w:val="24"/>
              </w:rPr>
              <w:t xml:space="preserve">un 2014.gadā </w:t>
            </w:r>
            <w:r w:rsidR="00170A5E" w:rsidRPr="00DF0D03">
              <w:rPr>
                <w:iCs/>
                <w:sz w:val="24"/>
                <w:szCs w:val="24"/>
              </w:rPr>
              <w:t>grozītas normas, tai skaitā tādas, kas</w:t>
            </w:r>
            <w:r>
              <w:rPr>
                <w:iCs/>
                <w:sz w:val="24"/>
                <w:szCs w:val="24"/>
              </w:rPr>
              <w:t xml:space="preserve"> stāsies spēkā</w:t>
            </w:r>
            <w:r w:rsidR="00DF0D03" w:rsidRPr="00DF0D03">
              <w:rPr>
                <w:iCs/>
                <w:sz w:val="24"/>
                <w:szCs w:val="24"/>
              </w:rPr>
              <w:t xml:space="preserve"> 2015</w:t>
            </w:r>
            <w:r w:rsidR="00170A5E" w:rsidRPr="00DF0D03">
              <w:rPr>
                <w:iCs/>
                <w:sz w:val="24"/>
                <w:szCs w:val="24"/>
              </w:rPr>
              <w:t>.gada 1.janvār</w:t>
            </w:r>
            <w:r w:rsidR="00EB6795">
              <w:rPr>
                <w:iCs/>
                <w:sz w:val="24"/>
                <w:szCs w:val="24"/>
              </w:rPr>
              <w:t>ī</w:t>
            </w:r>
            <w:r w:rsidR="00170A5E" w:rsidRPr="00DF0D03">
              <w:rPr>
                <w:iCs/>
                <w:sz w:val="24"/>
                <w:szCs w:val="24"/>
              </w:rPr>
              <w:t xml:space="preserve">. Lai nodrošinātu viennozīmīgu un salīdzināmu informācijas ievadi </w:t>
            </w:r>
            <w:r w:rsidR="007831DC">
              <w:rPr>
                <w:iCs/>
                <w:sz w:val="24"/>
                <w:szCs w:val="24"/>
              </w:rPr>
              <w:t>“V</w:t>
            </w:r>
            <w:r w:rsidR="007831DC" w:rsidRPr="00DF0D03">
              <w:rPr>
                <w:sz w:val="24"/>
                <w:szCs w:val="24"/>
              </w:rPr>
              <w:t>alsts un pašvaldību institūciju amatpersonu un darbinieku atlīdzības uzskaites sistēm</w:t>
            </w:r>
            <w:r w:rsidR="007831DC">
              <w:rPr>
                <w:sz w:val="24"/>
                <w:szCs w:val="24"/>
              </w:rPr>
              <w:t>ā”</w:t>
            </w:r>
            <w:r w:rsidR="007831DC">
              <w:rPr>
                <w:iCs/>
                <w:sz w:val="24"/>
                <w:szCs w:val="24"/>
              </w:rPr>
              <w:t>, nepieciešams veikt atbilstīgas</w:t>
            </w:r>
            <w:r w:rsidR="00170A5E" w:rsidRPr="00DF0D03">
              <w:rPr>
                <w:iCs/>
                <w:sz w:val="24"/>
                <w:szCs w:val="24"/>
              </w:rPr>
              <w:t xml:space="preserve"> izmaiņas noteikumos.</w:t>
            </w:r>
          </w:p>
          <w:p w:rsidR="00170A5E" w:rsidRPr="00B07A5E" w:rsidRDefault="00DF0D03" w:rsidP="00170A5E">
            <w:pPr>
              <w:pStyle w:val="naisf"/>
              <w:spacing w:before="0" w:beforeAutospacing="0" w:after="0" w:afterAutospacing="0"/>
              <w:ind w:firstLine="552"/>
              <w:jc w:val="both"/>
            </w:pPr>
            <w:r>
              <w:t xml:space="preserve">Noteikumu projekts </w:t>
            </w:r>
            <w:r w:rsidR="007831DC">
              <w:t>paredz:</w:t>
            </w:r>
            <w:r w:rsidR="00170A5E" w:rsidRPr="00B07A5E">
              <w:t xml:space="preserve"> </w:t>
            </w:r>
          </w:p>
          <w:p w:rsidR="00FF62CD" w:rsidRDefault="007E26D2" w:rsidP="002A18B1">
            <w:pPr>
              <w:pStyle w:val="BodyText"/>
              <w:numPr>
                <w:ilvl w:val="0"/>
                <w:numId w:val="6"/>
              </w:numPr>
              <w:spacing w:after="0"/>
              <w:jc w:val="both"/>
              <w:rPr>
                <w:iCs/>
                <w:sz w:val="24"/>
                <w:szCs w:val="24"/>
              </w:rPr>
            </w:pPr>
            <w:r>
              <w:rPr>
                <w:iCs/>
                <w:sz w:val="24"/>
                <w:szCs w:val="24"/>
              </w:rPr>
              <w:t>p</w:t>
            </w:r>
            <w:r w:rsidR="00901616">
              <w:rPr>
                <w:iCs/>
                <w:sz w:val="24"/>
                <w:szCs w:val="24"/>
              </w:rPr>
              <w:t>recizēt noteikumu 5.pielikuma 20.punktu, nemainot  papildu samaksas veida identifikācijas kodu</w:t>
            </w:r>
            <w:r w:rsidR="009B73F8">
              <w:rPr>
                <w:iCs/>
                <w:sz w:val="24"/>
                <w:szCs w:val="24"/>
              </w:rPr>
              <w:t xml:space="preserve"> (turpmāk – kods) </w:t>
            </w:r>
            <w:r w:rsidR="006044A8">
              <w:rPr>
                <w:iCs/>
                <w:sz w:val="24"/>
                <w:szCs w:val="24"/>
              </w:rPr>
              <w:t xml:space="preserve"> – 114512,  </w:t>
            </w:r>
            <w:r w:rsidR="00901616">
              <w:rPr>
                <w:iCs/>
                <w:sz w:val="24"/>
                <w:szCs w:val="24"/>
              </w:rPr>
              <w:t>visp</w:t>
            </w:r>
            <w:r w:rsidR="006044A8">
              <w:rPr>
                <w:iCs/>
                <w:sz w:val="24"/>
                <w:szCs w:val="24"/>
              </w:rPr>
              <w:t>ārināt piemaksas veidu</w:t>
            </w:r>
            <w:r w:rsidR="009B73F8">
              <w:rPr>
                <w:iCs/>
                <w:sz w:val="24"/>
                <w:szCs w:val="24"/>
              </w:rPr>
              <w:t>,</w:t>
            </w:r>
            <w:r w:rsidR="006044A8">
              <w:rPr>
                <w:iCs/>
                <w:sz w:val="24"/>
                <w:szCs w:val="24"/>
              </w:rPr>
              <w:t xml:space="preserve"> izsakot to šādi: </w:t>
            </w:r>
            <w:r w:rsidR="00901616">
              <w:rPr>
                <w:iCs/>
                <w:sz w:val="24"/>
                <w:szCs w:val="24"/>
              </w:rPr>
              <w:t xml:space="preserve"> </w:t>
            </w:r>
            <w:r w:rsidR="00B31F9C">
              <w:rPr>
                <w:iCs/>
                <w:sz w:val="24"/>
                <w:szCs w:val="24"/>
              </w:rPr>
              <w:t>“Piemaksa pedagogam</w:t>
            </w:r>
            <w:r w:rsidR="009B73F8">
              <w:rPr>
                <w:iCs/>
                <w:sz w:val="24"/>
                <w:szCs w:val="24"/>
              </w:rPr>
              <w:t xml:space="preserve"> par kvalitātes pakāpi”. Grozījums nepieciešams, lai nodrošinātu iespēju uzskaitīt </w:t>
            </w:r>
            <w:r w:rsidR="003050B9">
              <w:rPr>
                <w:iCs/>
                <w:sz w:val="24"/>
                <w:szCs w:val="24"/>
              </w:rPr>
              <w:t>pedagogiem, kuri ieguvuši kvalitātes pakāpi, noteikt</w:t>
            </w:r>
            <w:r w:rsidR="00F365F4">
              <w:rPr>
                <w:iCs/>
                <w:sz w:val="24"/>
                <w:szCs w:val="24"/>
              </w:rPr>
              <w:t>o</w:t>
            </w:r>
            <w:r w:rsidR="003050B9">
              <w:rPr>
                <w:iCs/>
                <w:sz w:val="24"/>
                <w:szCs w:val="24"/>
              </w:rPr>
              <w:t xml:space="preserve"> piema</w:t>
            </w:r>
            <w:r w:rsidR="00F365F4">
              <w:rPr>
                <w:iCs/>
                <w:sz w:val="24"/>
                <w:szCs w:val="24"/>
              </w:rPr>
              <w:t>ksu</w:t>
            </w:r>
            <w:r w:rsidR="003050B9">
              <w:rPr>
                <w:iCs/>
                <w:sz w:val="24"/>
                <w:szCs w:val="24"/>
              </w:rPr>
              <w:t xml:space="preserve"> </w:t>
            </w:r>
            <w:r w:rsidR="009B73F8">
              <w:rPr>
                <w:iCs/>
                <w:sz w:val="24"/>
                <w:szCs w:val="24"/>
              </w:rPr>
              <w:t xml:space="preserve">atbilstoši </w:t>
            </w:r>
            <w:r w:rsidR="00FF62CD">
              <w:rPr>
                <w:iCs/>
                <w:sz w:val="24"/>
                <w:szCs w:val="24"/>
              </w:rPr>
              <w:t>Ministru kabine</w:t>
            </w:r>
            <w:r w:rsidR="009B73F8">
              <w:rPr>
                <w:iCs/>
                <w:sz w:val="24"/>
                <w:szCs w:val="24"/>
              </w:rPr>
              <w:t>ta 2014.gada 17.jūnija noteikumu</w:t>
            </w:r>
            <w:r w:rsidR="00FF62CD">
              <w:rPr>
                <w:iCs/>
                <w:sz w:val="24"/>
                <w:szCs w:val="24"/>
              </w:rPr>
              <w:t xml:space="preserve"> Nr.332 “Grozījumi Ministru kabineta 2009.gada 28.jūlija noteikumos Nr.836 “Pedagogu darba samaksas noteikumi” </w:t>
            </w:r>
            <w:r w:rsidR="009B73F8">
              <w:rPr>
                <w:iCs/>
                <w:sz w:val="24"/>
                <w:szCs w:val="24"/>
              </w:rPr>
              <w:t>1.4.apakšpunktam</w:t>
            </w:r>
            <w:r w:rsidR="003050B9">
              <w:rPr>
                <w:iCs/>
                <w:sz w:val="24"/>
                <w:szCs w:val="24"/>
              </w:rPr>
              <w:t xml:space="preserve">, kas </w:t>
            </w:r>
            <w:r w:rsidR="00FF62CD">
              <w:rPr>
                <w:iCs/>
                <w:sz w:val="24"/>
                <w:szCs w:val="24"/>
              </w:rPr>
              <w:t xml:space="preserve">nosaka, ka visiem pedagogiem, kuriem piešķirta 3., 4. un 5. kvalitātes pakāpe (arī tiem, kuri </w:t>
            </w:r>
            <w:r w:rsidR="00FF62CD">
              <w:rPr>
                <w:iCs/>
                <w:sz w:val="24"/>
                <w:szCs w:val="24"/>
              </w:rPr>
              <w:lastRenderedPageBreak/>
              <w:t xml:space="preserve">pakāpi ieguvuši pēc Eiropas Sociālā fonda </w:t>
            </w:r>
            <w:r w:rsidR="003050B9">
              <w:rPr>
                <w:iCs/>
                <w:sz w:val="24"/>
                <w:szCs w:val="24"/>
              </w:rPr>
              <w:t xml:space="preserve">“Pedagogu konkurētspējas veicināšana izglītības sistēmas optimizācijas apstākļos” </w:t>
            </w:r>
            <w:r w:rsidR="00FF62CD">
              <w:rPr>
                <w:iCs/>
                <w:sz w:val="24"/>
                <w:szCs w:val="24"/>
              </w:rPr>
              <w:t>projekta noslēgšanās, tiek noteikta piemaksa</w:t>
            </w:r>
            <w:r w:rsidR="002A18B1">
              <w:rPr>
                <w:iCs/>
                <w:sz w:val="24"/>
                <w:szCs w:val="24"/>
              </w:rPr>
              <w:t>;</w:t>
            </w:r>
          </w:p>
          <w:p w:rsidR="007E26D2" w:rsidRDefault="007E26D2" w:rsidP="00143A5E">
            <w:pPr>
              <w:pStyle w:val="BodyText"/>
              <w:numPr>
                <w:ilvl w:val="0"/>
                <w:numId w:val="6"/>
              </w:numPr>
              <w:spacing w:after="0"/>
              <w:jc w:val="both"/>
              <w:rPr>
                <w:iCs/>
                <w:sz w:val="24"/>
                <w:szCs w:val="24"/>
              </w:rPr>
            </w:pPr>
            <w:r>
              <w:rPr>
                <w:iCs/>
                <w:sz w:val="24"/>
                <w:szCs w:val="24"/>
              </w:rPr>
              <w:t>papildināt noteikumu 5.pielikumu</w:t>
            </w:r>
            <w:r w:rsidR="00F365F4">
              <w:rPr>
                <w:iCs/>
                <w:sz w:val="24"/>
                <w:szCs w:val="24"/>
              </w:rPr>
              <w:t xml:space="preserve"> ar</w:t>
            </w:r>
            <w:r>
              <w:rPr>
                <w:iCs/>
                <w:sz w:val="24"/>
                <w:szCs w:val="24"/>
              </w:rPr>
              <w:t xml:space="preserve"> </w:t>
            </w:r>
            <w:r w:rsidR="00C07BD4">
              <w:rPr>
                <w:iCs/>
                <w:sz w:val="24"/>
                <w:szCs w:val="24"/>
              </w:rPr>
              <w:t>20.</w:t>
            </w:r>
            <w:r w:rsidR="00C07BD4">
              <w:rPr>
                <w:iCs/>
                <w:sz w:val="24"/>
                <w:szCs w:val="24"/>
                <w:vertAlign w:val="superscript"/>
              </w:rPr>
              <w:t xml:space="preserve">1 </w:t>
            </w:r>
            <w:r w:rsidR="00C07BD4">
              <w:rPr>
                <w:iCs/>
                <w:sz w:val="24"/>
                <w:szCs w:val="24"/>
              </w:rPr>
              <w:t>un 20.</w:t>
            </w:r>
            <w:r w:rsidR="00C07BD4">
              <w:rPr>
                <w:iCs/>
                <w:sz w:val="24"/>
                <w:szCs w:val="24"/>
                <w:vertAlign w:val="superscript"/>
              </w:rPr>
              <w:t xml:space="preserve">2 </w:t>
            </w:r>
            <w:r w:rsidR="00C07BD4">
              <w:rPr>
                <w:iCs/>
                <w:sz w:val="24"/>
                <w:szCs w:val="24"/>
              </w:rPr>
              <w:t>punktu:</w:t>
            </w:r>
          </w:p>
          <w:p w:rsidR="007E26D2" w:rsidRDefault="00C07BD4" w:rsidP="007E26D2">
            <w:pPr>
              <w:pStyle w:val="BodyText"/>
              <w:spacing w:after="0"/>
              <w:ind w:left="889"/>
              <w:jc w:val="both"/>
              <w:rPr>
                <w:sz w:val="24"/>
                <w:szCs w:val="24"/>
              </w:rPr>
            </w:pPr>
            <w:r>
              <w:rPr>
                <w:iCs/>
                <w:sz w:val="24"/>
                <w:szCs w:val="24"/>
              </w:rPr>
              <w:t>20.</w:t>
            </w:r>
            <w:r>
              <w:rPr>
                <w:iCs/>
                <w:sz w:val="24"/>
                <w:szCs w:val="24"/>
                <w:vertAlign w:val="superscript"/>
              </w:rPr>
              <w:t>1 “</w:t>
            </w:r>
            <w:r w:rsidR="007E26D2">
              <w:rPr>
                <w:iCs/>
                <w:sz w:val="24"/>
                <w:szCs w:val="24"/>
              </w:rPr>
              <w:t xml:space="preserve">114513 </w:t>
            </w:r>
            <w:r w:rsidR="007E26D2">
              <w:rPr>
                <w:sz w:val="24"/>
                <w:szCs w:val="24"/>
              </w:rPr>
              <w:t xml:space="preserve">Piemaksa valsts kontrolierim par Valsts kontroles padomes priekšsēdētāja pienākumu pildīšanu”; </w:t>
            </w:r>
          </w:p>
          <w:p w:rsidR="00124BE5" w:rsidRDefault="00C07BD4" w:rsidP="007E26D2">
            <w:pPr>
              <w:pStyle w:val="BodyText"/>
              <w:spacing w:after="0"/>
              <w:ind w:left="889"/>
              <w:jc w:val="both"/>
              <w:rPr>
                <w:sz w:val="24"/>
                <w:szCs w:val="24"/>
              </w:rPr>
            </w:pPr>
            <w:r>
              <w:rPr>
                <w:sz w:val="24"/>
                <w:szCs w:val="24"/>
              </w:rPr>
              <w:t>20.</w:t>
            </w:r>
            <w:r>
              <w:rPr>
                <w:sz w:val="24"/>
                <w:szCs w:val="24"/>
                <w:vertAlign w:val="superscript"/>
              </w:rPr>
              <w:t xml:space="preserve">2 </w:t>
            </w:r>
            <w:r>
              <w:rPr>
                <w:sz w:val="24"/>
                <w:szCs w:val="24"/>
              </w:rPr>
              <w:t xml:space="preserve"> “</w:t>
            </w:r>
            <w:r w:rsidR="007E26D2">
              <w:rPr>
                <w:sz w:val="24"/>
                <w:szCs w:val="24"/>
              </w:rPr>
              <w:t xml:space="preserve">114514 Piemaksa Valsts kontroles padomes loceklim par Valsts kontroles revīzijas departamenta direktora pienākumu pildīšanu”. Grozījumi nepieciešami, lai nodrošinātu iespēju uzskaitīt speciālās piemaksas valsts kontrolierim un Valsts kontroles padomes loceklim, </w:t>
            </w:r>
            <w:r w:rsidR="002D7459">
              <w:rPr>
                <w:sz w:val="24"/>
                <w:szCs w:val="24"/>
              </w:rPr>
              <w:t xml:space="preserve">atbilstoši </w:t>
            </w:r>
            <w:r>
              <w:rPr>
                <w:sz w:val="24"/>
                <w:szCs w:val="24"/>
              </w:rPr>
              <w:t xml:space="preserve">Likuma </w:t>
            </w:r>
            <w:r w:rsidR="007E26D2">
              <w:rPr>
                <w:iCs/>
                <w:sz w:val="24"/>
                <w:szCs w:val="24"/>
              </w:rPr>
              <w:t>“</w:t>
            </w:r>
            <w:r w:rsidR="00124BE5">
              <w:rPr>
                <w:iCs/>
                <w:sz w:val="24"/>
                <w:szCs w:val="24"/>
              </w:rPr>
              <w:t>G</w:t>
            </w:r>
            <w:r w:rsidR="00FF62CD">
              <w:rPr>
                <w:iCs/>
                <w:sz w:val="24"/>
                <w:szCs w:val="24"/>
              </w:rPr>
              <w:t>rozījum</w:t>
            </w:r>
            <w:r>
              <w:rPr>
                <w:iCs/>
                <w:sz w:val="24"/>
                <w:szCs w:val="24"/>
              </w:rPr>
              <w:t>i</w:t>
            </w:r>
            <w:r w:rsidR="00FF62CD">
              <w:rPr>
                <w:iCs/>
                <w:sz w:val="24"/>
                <w:szCs w:val="24"/>
              </w:rPr>
              <w:t xml:space="preserve"> </w:t>
            </w:r>
            <w:r w:rsidR="00FF62CD" w:rsidRPr="007756E5">
              <w:rPr>
                <w:iCs/>
                <w:sz w:val="24"/>
                <w:szCs w:val="24"/>
              </w:rPr>
              <w:t>Valsts un pašvaldību institūciju amatpersonu un darbinieku atlīdzības likumā</w:t>
            </w:r>
            <w:r w:rsidR="007E26D2">
              <w:rPr>
                <w:iCs/>
                <w:sz w:val="24"/>
                <w:szCs w:val="24"/>
              </w:rPr>
              <w:t xml:space="preserve">” (Saeimā </w:t>
            </w:r>
            <w:r w:rsidR="00F365F4">
              <w:rPr>
                <w:iCs/>
                <w:sz w:val="24"/>
                <w:szCs w:val="24"/>
              </w:rPr>
              <w:t>pieņemts</w:t>
            </w:r>
            <w:r w:rsidR="00FF62CD" w:rsidRPr="007756E5">
              <w:rPr>
                <w:iCs/>
                <w:sz w:val="24"/>
                <w:szCs w:val="24"/>
              </w:rPr>
              <w:t xml:space="preserve"> </w:t>
            </w:r>
            <w:r w:rsidR="00FF62CD">
              <w:rPr>
                <w:iCs/>
                <w:sz w:val="24"/>
                <w:szCs w:val="24"/>
              </w:rPr>
              <w:t>30.10.2014.</w:t>
            </w:r>
            <w:r w:rsidR="007E26D2">
              <w:rPr>
                <w:iCs/>
                <w:sz w:val="24"/>
                <w:szCs w:val="24"/>
              </w:rPr>
              <w:t>)</w:t>
            </w:r>
            <w:r w:rsidR="002D7459">
              <w:rPr>
                <w:iCs/>
                <w:sz w:val="24"/>
                <w:szCs w:val="24"/>
              </w:rPr>
              <w:t xml:space="preserve"> </w:t>
            </w:r>
            <w:r>
              <w:rPr>
                <w:iCs/>
                <w:sz w:val="24"/>
                <w:szCs w:val="24"/>
              </w:rPr>
              <w:t>2.</w:t>
            </w:r>
            <w:r w:rsidR="006F07B8">
              <w:rPr>
                <w:iCs/>
                <w:sz w:val="24"/>
                <w:szCs w:val="24"/>
              </w:rPr>
              <w:t>pantam</w:t>
            </w:r>
            <w:r>
              <w:rPr>
                <w:iCs/>
                <w:sz w:val="24"/>
                <w:szCs w:val="24"/>
              </w:rPr>
              <w:t xml:space="preserve">, kas </w:t>
            </w:r>
            <w:r w:rsidR="002D7459">
              <w:rPr>
                <w:iCs/>
                <w:sz w:val="24"/>
                <w:szCs w:val="24"/>
              </w:rPr>
              <w:t>nosaka, ka</w:t>
            </w:r>
            <w:r w:rsidR="00FF62CD">
              <w:rPr>
                <w:iCs/>
                <w:sz w:val="24"/>
                <w:szCs w:val="24"/>
              </w:rPr>
              <w:t xml:space="preserve"> </w:t>
            </w:r>
            <w:r>
              <w:rPr>
                <w:iCs/>
                <w:sz w:val="24"/>
                <w:szCs w:val="24"/>
              </w:rPr>
              <w:t>v</w:t>
            </w:r>
            <w:r w:rsidR="00150939">
              <w:rPr>
                <w:iCs/>
                <w:sz w:val="24"/>
                <w:szCs w:val="24"/>
              </w:rPr>
              <w:t>alsts kontrolieris saņem piemaksu</w:t>
            </w:r>
            <w:r w:rsidR="00124BE5">
              <w:rPr>
                <w:iCs/>
                <w:sz w:val="24"/>
                <w:szCs w:val="24"/>
              </w:rPr>
              <w:t xml:space="preserve"> 50 procentu apmērā no viņam noteiktās mēnešalgas</w:t>
            </w:r>
            <w:r w:rsidR="00150939">
              <w:rPr>
                <w:iCs/>
                <w:sz w:val="24"/>
                <w:szCs w:val="24"/>
              </w:rPr>
              <w:t xml:space="preserve"> par Valsts kontroles padomes priekšsēdētāja pienākumu pildīšanu un Valsts kontroles padomes loceklis saņem piemaksu </w:t>
            </w:r>
            <w:r w:rsidR="00124BE5">
              <w:rPr>
                <w:iCs/>
                <w:sz w:val="24"/>
                <w:szCs w:val="24"/>
              </w:rPr>
              <w:t xml:space="preserve">50 procentu apmērā no viņam noteiktās mēnešalgas </w:t>
            </w:r>
            <w:r w:rsidR="00150939">
              <w:rPr>
                <w:iCs/>
                <w:sz w:val="24"/>
                <w:szCs w:val="24"/>
              </w:rPr>
              <w:t>par Valsts kontroles departamenta direktora pienākumu pildīšanu</w:t>
            </w:r>
            <w:r w:rsidR="002A18B1">
              <w:rPr>
                <w:sz w:val="24"/>
                <w:szCs w:val="24"/>
              </w:rPr>
              <w:t>;</w:t>
            </w:r>
          </w:p>
          <w:p w:rsidR="00675607" w:rsidRDefault="00150939" w:rsidP="00D754A5">
            <w:pPr>
              <w:pStyle w:val="BodyText"/>
              <w:numPr>
                <w:ilvl w:val="0"/>
                <w:numId w:val="6"/>
              </w:numPr>
              <w:spacing w:after="0"/>
              <w:jc w:val="both"/>
              <w:rPr>
                <w:iCs/>
                <w:sz w:val="24"/>
                <w:szCs w:val="24"/>
              </w:rPr>
            </w:pPr>
            <w:r>
              <w:rPr>
                <w:iCs/>
                <w:sz w:val="24"/>
                <w:szCs w:val="24"/>
              </w:rPr>
              <w:t xml:space="preserve"> </w:t>
            </w:r>
            <w:r w:rsidR="00D754A5">
              <w:rPr>
                <w:iCs/>
                <w:sz w:val="24"/>
                <w:szCs w:val="24"/>
              </w:rPr>
              <w:t>precizēt noteikumu 5.pielikuma 43.punktu “Izdienas pabalsts karavīram”, (</w:t>
            </w:r>
            <w:r w:rsidR="00F365F4">
              <w:rPr>
                <w:iCs/>
                <w:sz w:val="24"/>
                <w:szCs w:val="24"/>
              </w:rPr>
              <w:t>nemainot kodu -122106) vispārinā</w:t>
            </w:r>
            <w:r w:rsidR="00D754A5">
              <w:rPr>
                <w:iCs/>
                <w:sz w:val="24"/>
                <w:szCs w:val="24"/>
              </w:rPr>
              <w:t xml:space="preserve">t to un </w:t>
            </w:r>
            <w:r w:rsidR="00362E77">
              <w:rPr>
                <w:iCs/>
                <w:sz w:val="24"/>
                <w:szCs w:val="24"/>
              </w:rPr>
              <w:t>svītrot vārdu “karavīram</w:t>
            </w:r>
            <w:r w:rsidR="00D754A5">
              <w:rPr>
                <w:iCs/>
                <w:sz w:val="24"/>
                <w:szCs w:val="24"/>
              </w:rPr>
              <w:t xml:space="preserve">”, tādejādi nodrošinot iespēju operatīvi uzskaitīt </w:t>
            </w:r>
            <w:r w:rsidR="00A560F3">
              <w:rPr>
                <w:iCs/>
                <w:sz w:val="24"/>
                <w:szCs w:val="24"/>
              </w:rPr>
              <w:t xml:space="preserve">izmaksātos </w:t>
            </w:r>
            <w:r w:rsidR="00D754A5">
              <w:rPr>
                <w:iCs/>
                <w:sz w:val="24"/>
                <w:szCs w:val="24"/>
              </w:rPr>
              <w:t>izdienas pabalstus</w:t>
            </w:r>
            <w:r w:rsidR="00B9529B">
              <w:rPr>
                <w:iCs/>
                <w:sz w:val="24"/>
                <w:szCs w:val="24"/>
              </w:rPr>
              <w:t>, kas noteikti citos normatīvajos aktos.</w:t>
            </w:r>
            <w:r w:rsidR="00EB6795">
              <w:rPr>
                <w:iCs/>
                <w:sz w:val="24"/>
                <w:szCs w:val="24"/>
              </w:rPr>
              <w:t xml:space="preserve"> </w:t>
            </w:r>
            <w:r w:rsidR="00D754A5">
              <w:rPr>
                <w:iCs/>
                <w:sz w:val="24"/>
                <w:szCs w:val="24"/>
              </w:rPr>
              <w:t xml:space="preserve">Grozījums nepieciešams, lai </w:t>
            </w:r>
            <w:r w:rsidR="00D62D21">
              <w:rPr>
                <w:iCs/>
                <w:sz w:val="24"/>
                <w:szCs w:val="24"/>
              </w:rPr>
              <w:t xml:space="preserve">ar 2019.gada 1.janvāri </w:t>
            </w:r>
            <w:r w:rsidR="00D754A5">
              <w:rPr>
                <w:iCs/>
                <w:sz w:val="24"/>
                <w:szCs w:val="24"/>
              </w:rPr>
              <w:t xml:space="preserve">nodrošinātu iespēju uzskaitīt izdienas pabalstus </w:t>
            </w:r>
            <w:r w:rsidR="00362E77">
              <w:rPr>
                <w:iCs/>
                <w:sz w:val="24"/>
                <w:szCs w:val="24"/>
              </w:rPr>
              <w:t xml:space="preserve">arī </w:t>
            </w:r>
            <w:r w:rsidR="00D62D21">
              <w:rPr>
                <w:iCs/>
                <w:sz w:val="24"/>
                <w:szCs w:val="24"/>
              </w:rPr>
              <w:t xml:space="preserve">Iekšlietu ministrijas iestāžu un Ieslodzījuma vietu </w:t>
            </w:r>
            <w:r w:rsidR="00A560F3">
              <w:rPr>
                <w:iCs/>
                <w:sz w:val="24"/>
                <w:szCs w:val="24"/>
              </w:rPr>
              <w:t xml:space="preserve">pārvaldes </w:t>
            </w:r>
            <w:r w:rsidR="00D62D21">
              <w:rPr>
                <w:iCs/>
                <w:sz w:val="24"/>
                <w:szCs w:val="24"/>
              </w:rPr>
              <w:t>amatpersonām ar speciālo dienesta pakāpi, atbilstoši Likuma “</w:t>
            </w:r>
            <w:r w:rsidR="00404A9F">
              <w:rPr>
                <w:iCs/>
                <w:sz w:val="24"/>
                <w:szCs w:val="24"/>
              </w:rPr>
              <w:t xml:space="preserve">Grozījumi </w:t>
            </w:r>
            <w:r w:rsidR="00170A5E">
              <w:rPr>
                <w:iCs/>
                <w:sz w:val="24"/>
                <w:szCs w:val="24"/>
              </w:rPr>
              <w:t xml:space="preserve"> </w:t>
            </w:r>
            <w:r w:rsidR="00404A9F" w:rsidRPr="007756E5">
              <w:rPr>
                <w:iCs/>
                <w:sz w:val="24"/>
                <w:szCs w:val="24"/>
              </w:rPr>
              <w:t>Valsts un pašvaldību institūciju amatpersonu un darbinieku atlīdzības likumā</w:t>
            </w:r>
            <w:r w:rsidR="00D62D21">
              <w:rPr>
                <w:iCs/>
                <w:sz w:val="24"/>
                <w:szCs w:val="24"/>
              </w:rPr>
              <w:t>” (Saeimā pi</w:t>
            </w:r>
            <w:r w:rsidR="00404A9F" w:rsidRPr="007756E5">
              <w:rPr>
                <w:iCs/>
                <w:sz w:val="24"/>
                <w:szCs w:val="24"/>
              </w:rPr>
              <w:t>eņemt</w:t>
            </w:r>
            <w:r w:rsidR="00D62D21">
              <w:rPr>
                <w:iCs/>
                <w:sz w:val="24"/>
                <w:szCs w:val="24"/>
              </w:rPr>
              <w:t>s</w:t>
            </w:r>
            <w:r w:rsidR="00404A9F" w:rsidRPr="007756E5">
              <w:rPr>
                <w:iCs/>
                <w:sz w:val="24"/>
                <w:szCs w:val="24"/>
              </w:rPr>
              <w:t xml:space="preserve"> </w:t>
            </w:r>
            <w:r w:rsidR="00404A9F" w:rsidRPr="004F7055">
              <w:rPr>
                <w:iCs/>
                <w:sz w:val="24"/>
                <w:szCs w:val="24"/>
              </w:rPr>
              <w:t>06.11.2013</w:t>
            </w:r>
            <w:r w:rsidR="00404A9F">
              <w:rPr>
                <w:iCs/>
                <w:sz w:val="24"/>
                <w:szCs w:val="24"/>
              </w:rPr>
              <w:t>.</w:t>
            </w:r>
            <w:r w:rsidR="00D62D21">
              <w:rPr>
                <w:iCs/>
                <w:sz w:val="24"/>
                <w:szCs w:val="24"/>
              </w:rPr>
              <w:t>) 6.</w:t>
            </w:r>
            <w:r w:rsidR="006F07B8">
              <w:rPr>
                <w:iCs/>
                <w:sz w:val="24"/>
                <w:szCs w:val="24"/>
              </w:rPr>
              <w:t>pantam</w:t>
            </w:r>
            <w:r w:rsidR="00D62D21">
              <w:rPr>
                <w:iCs/>
                <w:sz w:val="24"/>
                <w:szCs w:val="24"/>
              </w:rPr>
              <w:t>, kas nosaka</w:t>
            </w:r>
            <w:r w:rsidR="00404A9F">
              <w:rPr>
                <w:iCs/>
                <w:sz w:val="24"/>
                <w:szCs w:val="24"/>
              </w:rPr>
              <w:t xml:space="preserve">, ka </w:t>
            </w:r>
            <w:r w:rsidR="006F4A10">
              <w:rPr>
                <w:iCs/>
                <w:sz w:val="24"/>
                <w:szCs w:val="24"/>
              </w:rPr>
              <w:t>Iekšlietu ministrijas sistēmas iestāžu un Ieslodzījuma vietu pārvaldes amatpersona ar speciālo dienesta pakāpi pēc katriem pieciem nepārtrauktas izdienas gadiem Iekšlietu ministrijas sistēmā vai Ieslodzījuma vietu pārvaldē saņems vienreizēju pabalstu triju mēnešalgu apmērā atbilstoši pēdējam amatam</w:t>
            </w:r>
            <w:r w:rsidR="002A18B1">
              <w:rPr>
                <w:iCs/>
                <w:sz w:val="24"/>
                <w:szCs w:val="24"/>
              </w:rPr>
              <w:t>;</w:t>
            </w:r>
          </w:p>
          <w:p w:rsidR="001D0571" w:rsidRDefault="001D0571" w:rsidP="00D754A5">
            <w:pPr>
              <w:pStyle w:val="BodyText"/>
              <w:numPr>
                <w:ilvl w:val="0"/>
                <w:numId w:val="6"/>
              </w:numPr>
              <w:spacing w:after="0"/>
              <w:jc w:val="both"/>
              <w:rPr>
                <w:iCs/>
                <w:sz w:val="24"/>
                <w:szCs w:val="24"/>
              </w:rPr>
            </w:pPr>
            <w:r w:rsidRPr="001D0571">
              <w:rPr>
                <w:iCs/>
                <w:sz w:val="24"/>
                <w:szCs w:val="24"/>
              </w:rPr>
              <w:t>svītrot noteikumu 5.pielik</w:t>
            </w:r>
            <w:r w:rsidR="0078510C" w:rsidRPr="0078510C">
              <w:rPr>
                <w:iCs/>
                <w:sz w:val="24"/>
                <w:szCs w:val="24"/>
              </w:rPr>
              <w:t>u</w:t>
            </w:r>
            <w:r w:rsidRPr="001D0571">
              <w:rPr>
                <w:iCs/>
                <w:sz w:val="24"/>
                <w:szCs w:val="24"/>
              </w:rPr>
              <w:t>ma 48. un 64.punktu, atbilstoši Ministru kabineta 2014.gada 10.novembra noteikumu Nr.696 “Grozījumi Ministru kabineta 2005.gada 27.decembra noteikumos Nr.1031 “Noteikumi par budžetu izdevumu klasifikāciju atbilstoši ekonomiskajām kategorijām”” 1.55.apakšpunktam, kas nosaka, ka pabalsts, kas tiek piešķirts sakarā ar amatpersonas (darbinieka) nāvi, kā arī pabalsts, kas tiek piešķirts sakarā ar amatpersonas (darbinieka) nāvi</w:t>
            </w:r>
            <w:r w:rsidR="00EB6795">
              <w:rPr>
                <w:iCs/>
                <w:sz w:val="24"/>
                <w:szCs w:val="24"/>
              </w:rPr>
              <w:t>,</w:t>
            </w:r>
            <w:r w:rsidRPr="001D0571">
              <w:rPr>
                <w:iCs/>
                <w:sz w:val="24"/>
                <w:szCs w:val="24"/>
              </w:rPr>
              <w:t xml:space="preserve"> pildot amata (dienesta, darba) pienākumus, tiek ietverts izdevumu klasifikācijas kodā 6239 “Pārējie valsts pabalsti un kompensācijas”. Līdz ar to no noteikumu 5.pielikuma tiek svītroti šādi pabalstu veidi: </w:t>
            </w:r>
            <w:r w:rsidRPr="001D0571">
              <w:rPr>
                <w:iCs/>
                <w:sz w:val="24"/>
                <w:szCs w:val="24"/>
              </w:rPr>
              <w:lastRenderedPageBreak/>
              <w:t>“122111 Pabalsts amatpersonas (darbinieka) nāves gadījumā” un “12803 Pabalsts amatpersonas (darbinieka) nāves gadījumā, ja viņa gājusi bojā pildot amata (dienesta, darba)</w:t>
            </w:r>
            <w:r w:rsidR="00A560F3">
              <w:rPr>
                <w:iCs/>
                <w:sz w:val="24"/>
                <w:szCs w:val="24"/>
              </w:rPr>
              <w:t xml:space="preserve"> </w:t>
            </w:r>
            <w:r w:rsidRPr="001D0571">
              <w:rPr>
                <w:iCs/>
                <w:sz w:val="24"/>
                <w:szCs w:val="24"/>
              </w:rPr>
              <w:t xml:space="preserve">pienākumus”. </w:t>
            </w:r>
            <w:r>
              <w:rPr>
                <w:iCs/>
                <w:sz w:val="24"/>
                <w:szCs w:val="24"/>
              </w:rPr>
              <w:t>Grozījums pamatojams ar to,</w:t>
            </w:r>
            <w:r w:rsidRPr="001D0571">
              <w:rPr>
                <w:iCs/>
                <w:sz w:val="24"/>
                <w:szCs w:val="24"/>
              </w:rPr>
              <w:t xml:space="preserve"> ka </w:t>
            </w:r>
            <w:r>
              <w:rPr>
                <w:iCs/>
                <w:sz w:val="24"/>
                <w:szCs w:val="24"/>
              </w:rPr>
              <w:t xml:space="preserve">noteikumu </w:t>
            </w:r>
            <w:r w:rsidRPr="001D0571">
              <w:rPr>
                <w:iCs/>
                <w:sz w:val="24"/>
                <w:szCs w:val="24"/>
              </w:rPr>
              <w:t>5.pielikumā iekļauto piemaksu, prēmiju, pabalstu un cita veida atlīdzības identifikācijas koda pirmās četras zīmes ir saskaņotas ar Ministru kabineta 2005.gada 27.decembra noteikumos Nr.1031 „Noteikumi par budžeta izdevumu klasifikāciju atbilstoši ekonomiskajām kategorijām” noteikto izdevumu klasifikāciju atbilstoši ekonomiskaj</w:t>
            </w:r>
            <w:r>
              <w:rPr>
                <w:iCs/>
                <w:sz w:val="24"/>
                <w:szCs w:val="24"/>
              </w:rPr>
              <w:t>ām kategorijām noteiktajai</w:t>
            </w:r>
            <w:r w:rsidRPr="001D0571">
              <w:rPr>
                <w:iCs/>
                <w:sz w:val="24"/>
                <w:szCs w:val="24"/>
              </w:rPr>
              <w:t xml:space="preserve"> 1000 kodu grupai</w:t>
            </w:r>
            <w:r w:rsidR="00725501">
              <w:rPr>
                <w:iCs/>
                <w:sz w:val="24"/>
                <w:szCs w:val="24"/>
              </w:rPr>
              <w:t xml:space="preserve"> “Atlīdzība”</w:t>
            </w:r>
            <w:r w:rsidR="00A560F3">
              <w:rPr>
                <w:iCs/>
                <w:sz w:val="24"/>
                <w:szCs w:val="24"/>
              </w:rPr>
              <w:t>, līdz ar to</w:t>
            </w:r>
            <w:r w:rsidRPr="001D0571">
              <w:rPr>
                <w:iCs/>
                <w:sz w:val="24"/>
                <w:szCs w:val="24"/>
              </w:rPr>
              <w:t xml:space="preserve"> izdevumi, kas tiek kodēti 6000 kodu grupā </w:t>
            </w:r>
            <w:r w:rsidR="00725501">
              <w:rPr>
                <w:iCs/>
                <w:sz w:val="24"/>
                <w:szCs w:val="24"/>
              </w:rPr>
              <w:t xml:space="preserve">“Sociālie pabalsti” </w:t>
            </w:r>
            <w:r w:rsidRPr="001D0571">
              <w:rPr>
                <w:iCs/>
                <w:sz w:val="24"/>
                <w:szCs w:val="24"/>
              </w:rPr>
              <w:t>turpmāk nav saistoši noteikumu izpildē</w:t>
            </w:r>
            <w:r w:rsidR="002A18B1">
              <w:rPr>
                <w:iCs/>
                <w:sz w:val="24"/>
                <w:szCs w:val="24"/>
              </w:rPr>
              <w:t>;</w:t>
            </w:r>
          </w:p>
          <w:p w:rsidR="0064669A" w:rsidRDefault="00725501" w:rsidP="0064669A">
            <w:pPr>
              <w:pStyle w:val="BodyText"/>
              <w:numPr>
                <w:ilvl w:val="0"/>
                <w:numId w:val="6"/>
              </w:numPr>
              <w:spacing w:after="0"/>
              <w:jc w:val="both"/>
              <w:rPr>
                <w:iCs/>
                <w:sz w:val="24"/>
                <w:szCs w:val="24"/>
              </w:rPr>
            </w:pPr>
            <w:r w:rsidRPr="0064669A">
              <w:rPr>
                <w:iCs/>
                <w:sz w:val="24"/>
                <w:szCs w:val="24"/>
              </w:rPr>
              <w:t xml:space="preserve">papildināt noteikumu 5.pielikuma 63.punktu </w:t>
            </w:r>
            <w:r w:rsidR="00EB6795">
              <w:rPr>
                <w:iCs/>
                <w:sz w:val="24"/>
                <w:szCs w:val="24"/>
              </w:rPr>
              <w:t xml:space="preserve">aiz vārda “pienākumus” </w:t>
            </w:r>
            <w:r w:rsidRPr="0064669A">
              <w:rPr>
                <w:iCs/>
                <w:sz w:val="24"/>
                <w:szCs w:val="24"/>
              </w:rPr>
              <w:t>ar vārdiem “</w:t>
            </w:r>
            <w:r w:rsidR="0018303A" w:rsidRPr="0064669A">
              <w:rPr>
                <w:iCs/>
                <w:sz w:val="24"/>
                <w:szCs w:val="24"/>
              </w:rPr>
              <w:t xml:space="preserve">un amatpersonai ar speciālo dienesta pakāpi, ja tā cietusi nelaimes gadījumā, bet nav pildījusi amata (dienesta) pienākumus”. Grozījums nepieciešams, lai nodrošinātu iespēju uzskaitīt </w:t>
            </w:r>
            <w:r w:rsidR="006F07B8" w:rsidRPr="0064669A">
              <w:rPr>
                <w:iCs/>
                <w:sz w:val="24"/>
                <w:szCs w:val="24"/>
              </w:rPr>
              <w:t xml:space="preserve">Iekšlietu ministrijas sistēmas iestāžu un Ieslodzījuma vietu pārvaldes </w:t>
            </w:r>
            <w:r w:rsidR="0018303A" w:rsidRPr="0064669A">
              <w:rPr>
                <w:iCs/>
                <w:sz w:val="24"/>
                <w:szCs w:val="24"/>
              </w:rPr>
              <w:t xml:space="preserve">amatpersonām ar speciālajām dienesta pakāpēm izmaksātos pabalstus ievainojuma, sakropļojuma vai citāda bojājuma gadījumā, kas gūti laikā, kad </w:t>
            </w:r>
            <w:r w:rsidR="006F07B8" w:rsidRPr="0064669A">
              <w:rPr>
                <w:iCs/>
                <w:sz w:val="24"/>
                <w:szCs w:val="24"/>
              </w:rPr>
              <w:t>amatpersona</w:t>
            </w:r>
            <w:r w:rsidR="0018303A" w:rsidRPr="0064669A">
              <w:rPr>
                <w:iCs/>
                <w:sz w:val="24"/>
                <w:szCs w:val="24"/>
              </w:rPr>
              <w:t xml:space="preserve"> nav pildījusi ar dzīvības vai veselības apdraudējumu (risku) saistītus dienesta (amata) pien</w:t>
            </w:r>
            <w:r w:rsidR="006F07B8" w:rsidRPr="0064669A">
              <w:rPr>
                <w:iCs/>
                <w:sz w:val="24"/>
                <w:szCs w:val="24"/>
              </w:rPr>
              <w:t>ākumus, atbilstoši Likuma “Grozījumi Valsts un pašvaldību institūciju amatpersonu un darbinieku atlīdzības likumā” (Saeimā pieņemts 19.12.2013.) 1.pantam, kas nosaka, ka Iekšlietu ministrijas sistēmas iestāžu un Ieslodzījuma vietu pārvades amatpersona ar speciālo dienesta pakāpi saņem vienreiz</w:t>
            </w:r>
            <w:r w:rsidR="0064669A" w:rsidRPr="0064669A">
              <w:rPr>
                <w:iCs/>
                <w:sz w:val="24"/>
                <w:szCs w:val="24"/>
              </w:rPr>
              <w:t>ēju pabalstu, ja tā cietusi nelaimes gadījumā, bet nav pildījusi ar dzīvības vai veselības apdraudējumu (risku) saistītus dienesta (amata) pienākumus, guvusi ievainojumu vai sakropļojumu vai tās veselībai nodarīts citāds kaitējums (izņemot arodslim</w:t>
            </w:r>
            <w:r w:rsidR="002A18B1">
              <w:rPr>
                <w:iCs/>
                <w:sz w:val="24"/>
                <w:szCs w:val="24"/>
              </w:rPr>
              <w:t>ību);</w:t>
            </w:r>
            <w:r w:rsidR="0064669A" w:rsidRPr="0064669A">
              <w:rPr>
                <w:iCs/>
                <w:sz w:val="24"/>
                <w:szCs w:val="24"/>
              </w:rPr>
              <w:t xml:space="preserve"> </w:t>
            </w:r>
          </w:p>
          <w:p w:rsidR="00090F7C" w:rsidRPr="00FD0185" w:rsidRDefault="009F2BAE" w:rsidP="009B4787">
            <w:pPr>
              <w:pStyle w:val="BodyText"/>
              <w:numPr>
                <w:ilvl w:val="0"/>
                <w:numId w:val="6"/>
              </w:numPr>
              <w:spacing w:after="0"/>
              <w:jc w:val="both"/>
              <w:rPr>
                <w:iCs/>
                <w:sz w:val="24"/>
                <w:szCs w:val="24"/>
              </w:rPr>
            </w:pPr>
            <w:r>
              <w:rPr>
                <w:iCs/>
                <w:sz w:val="24"/>
                <w:szCs w:val="24"/>
              </w:rPr>
              <w:t>l</w:t>
            </w:r>
            <w:r w:rsidR="002A18B1">
              <w:rPr>
                <w:iCs/>
                <w:sz w:val="24"/>
                <w:szCs w:val="24"/>
              </w:rPr>
              <w:t xml:space="preserve">ai visā noteikumu tekstā harmonizētu normas, kas nosaka </w:t>
            </w:r>
            <w:r w:rsidR="00EB6795">
              <w:rPr>
                <w:iCs/>
                <w:sz w:val="24"/>
                <w:szCs w:val="24"/>
              </w:rPr>
              <w:t>iestādi</w:t>
            </w:r>
            <w:r>
              <w:rPr>
                <w:iCs/>
                <w:sz w:val="24"/>
                <w:szCs w:val="24"/>
              </w:rPr>
              <w:t xml:space="preserve">, kur institūcijas </w:t>
            </w:r>
            <w:r w:rsidR="00EB6795">
              <w:rPr>
                <w:iCs/>
                <w:sz w:val="24"/>
                <w:szCs w:val="24"/>
              </w:rPr>
              <w:t>ie</w:t>
            </w:r>
            <w:r>
              <w:rPr>
                <w:iCs/>
                <w:sz w:val="24"/>
                <w:szCs w:val="24"/>
              </w:rPr>
              <w:t xml:space="preserve">sniedz informāciju, tehniski </w:t>
            </w:r>
            <w:r w:rsidR="002A18B1">
              <w:rPr>
                <w:iCs/>
                <w:sz w:val="24"/>
                <w:szCs w:val="24"/>
              </w:rPr>
              <w:t>tiek preciz</w:t>
            </w:r>
            <w:r>
              <w:rPr>
                <w:iCs/>
                <w:sz w:val="24"/>
                <w:szCs w:val="24"/>
              </w:rPr>
              <w:t xml:space="preserve">ēts noteikumu 31.punkts - svītrojot vārdus “un Valsts kasē”, līdz ar to </w:t>
            </w:r>
            <w:r w:rsidR="002A18B1">
              <w:rPr>
                <w:iCs/>
                <w:sz w:val="24"/>
                <w:szCs w:val="24"/>
              </w:rPr>
              <w:t>nosakot, ka visu noteikumos minēto informāciju institūcijas iesniedz Finanšu ministrijā</w:t>
            </w:r>
            <w:r w:rsidR="00EB6795">
              <w:rPr>
                <w:iCs/>
                <w:sz w:val="24"/>
                <w:szCs w:val="24"/>
              </w:rPr>
              <w:t>;</w:t>
            </w:r>
            <w:r>
              <w:rPr>
                <w:iCs/>
                <w:sz w:val="24"/>
                <w:szCs w:val="24"/>
              </w:rPr>
              <w:t xml:space="preserve"> </w:t>
            </w:r>
          </w:p>
          <w:p w:rsidR="00FC1B30" w:rsidRPr="00D13B02" w:rsidRDefault="00FD0185" w:rsidP="002A18B1">
            <w:pPr>
              <w:pStyle w:val="BodyText"/>
              <w:numPr>
                <w:ilvl w:val="0"/>
                <w:numId w:val="6"/>
              </w:numPr>
              <w:spacing w:after="0"/>
              <w:jc w:val="both"/>
              <w:rPr>
                <w:iCs/>
                <w:sz w:val="24"/>
                <w:szCs w:val="24"/>
              </w:rPr>
            </w:pPr>
            <w:r>
              <w:rPr>
                <w:iCs/>
                <w:sz w:val="24"/>
                <w:szCs w:val="24"/>
              </w:rPr>
              <w:t>l</w:t>
            </w:r>
            <w:r w:rsidR="00FC1B30" w:rsidRPr="00FC1B30">
              <w:rPr>
                <w:iCs/>
                <w:sz w:val="24"/>
                <w:szCs w:val="24"/>
              </w:rPr>
              <w:t>ai nodrošinātu precīzu darba tiesisko, civildienesta vai dienesta attiecību uzskaiti, noteikumu 2.</w:t>
            </w:r>
            <w:r w:rsidR="00FC1B30" w:rsidRPr="00FC1B30">
              <w:rPr>
                <w:iCs/>
                <w:sz w:val="24"/>
                <w:szCs w:val="24"/>
                <w:vertAlign w:val="superscript"/>
              </w:rPr>
              <w:t>1</w:t>
            </w:r>
            <w:r w:rsidR="00FC1B30" w:rsidRPr="00FC1B30">
              <w:rPr>
                <w:iCs/>
                <w:sz w:val="24"/>
                <w:szCs w:val="24"/>
              </w:rPr>
              <w:t xml:space="preserve"> pielikums “Notikuma pamatojums” tiek papildināts ar </w:t>
            </w:r>
            <w:r>
              <w:rPr>
                <w:iCs/>
                <w:sz w:val="24"/>
                <w:szCs w:val="24"/>
              </w:rPr>
              <w:t>2.2.8.</w:t>
            </w:r>
            <w:r w:rsidR="002A18B1">
              <w:rPr>
                <w:iCs/>
                <w:sz w:val="24"/>
                <w:szCs w:val="24"/>
              </w:rPr>
              <w:t xml:space="preserve">apakšpunktu </w:t>
            </w:r>
            <w:r w:rsidR="00FC1B30" w:rsidRPr="00FC1B30">
              <w:rPr>
                <w:iCs/>
                <w:sz w:val="24"/>
                <w:szCs w:val="24"/>
              </w:rPr>
              <w:t>“Iecelšana ierēdņa amatā</w:t>
            </w:r>
            <w:r w:rsidR="002A18B1">
              <w:rPr>
                <w:iCs/>
                <w:sz w:val="24"/>
                <w:szCs w:val="24"/>
              </w:rPr>
              <w:t xml:space="preserve"> VCL 3.p. (4)</w:t>
            </w:r>
            <w:r w:rsidR="00FC1B30" w:rsidRPr="00FC1B30">
              <w:rPr>
                <w:iCs/>
                <w:sz w:val="24"/>
                <w:szCs w:val="24"/>
              </w:rPr>
              <w:t>”</w:t>
            </w:r>
            <w:r w:rsidR="008738FA">
              <w:rPr>
                <w:iCs/>
                <w:sz w:val="24"/>
                <w:szCs w:val="24"/>
              </w:rPr>
              <w:t>, tehnisks grozījums</w:t>
            </w:r>
            <w:r w:rsidR="00E61587">
              <w:rPr>
                <w:iCs/>
                <w:sz w:val="24"/>
                <w:szCs w:val="24"/>
              </w:rPr>
              <w:t>.</w:t>
            </w:r>
          </w:p>
        </w:tc>
      </w:tr>
      <w:tr w:rsidR="00D13B02" w:rsidRPr="00D13B02" w:rsidTr="00FC1B30">
        <w:trPr>
          <w:trHeight w:val="476"/>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CD29CB"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 3</w:t>
            </w:r>
            <w:r w:rsidR="0070526D" w:rsidRPr="00D13B02">
              <w:rPr>
                <w:rFonts w:eastAsia="Times New Roman" w:cs="Times New Roman"/>
                <w:sz w:val="24"/>
                <w:szCs w:val="24"/>
                <w:lang w:eastAsia="lv-LV"/>
              </w:rPr>
              <w:t>.</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Projekta izstrādē iesaistītās institūcijas</w:t>
            </w:r>
          </w:p>
        </w:tc>
        <w:tc>
          <w:tcPr>
            <w:tcW w:w="666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046ADB">
            <w:pPr>
              <w:spacing w:before="100" w:beforeAutospacing="1" w:after="100" w:afterAutospacing="1"/>
              <w:jc w:val="both"/>
              <w:rPr>
                <w:rFonts w:eastAsia="Times New Roman" w:cs="Times New Roman"/>
                <w:sz w:val="24"/>
                <w:szCs w:val="24"/>
                <w:lang w:eastAsia="lv-LV"/>
              </w:rPr>
            </w:pPr>
            <w:r w:rsidRPr="00D13B02">
              <w:rPr>
                <w:rFonts w:eastAsia="Times New Roman" w:cs="Times New Roman"/>
                <w:sz w:val="24"/>
                <w:szCs w:val="24"/>
                <w:lang w:eastAsia="lv-LV"/>
              </w:rPr>
              <w:t> </w:t>
            </w:r>
            <w:r w:rsidR="00404A9F" w:rsidRPr="009E615A">
              <w:rPr>
                <w:rFonts w:eastAsia="Times New Roman" w:cs="Times New Roman"/>
                <w:sz w:val="24"/>
                <w:szCs w:val="24"/>
                <w:lang w:eastAsia="lv-LV"/>
              </w:rPr>
              <w:t xml:space="preserve">Noteikumu projekts attiecas tikai uz </w:t>
            </w:r>
            <w:r w:rsidR="00404A9F" w:rsidRPr="00020DEF">
              <w:rPr>
                <w:rFonts w:eastAsia="Times New Roman" w:cs="Times New Roman"/>
                <w:sz w:val="24"/>
                <w:szCs w:val="24"/>
                <w:lang w:eastAsia="lv-LV"/>
              </w:rPr>
              <w:t>valsts un pašvaldību</w:t>
            </w:r>
            <w:r w:rsidR="00404A9F" w:rsidRPr="009E615A">
              <w:rPr>
                <w:rFonts w:eastAsia="Times New Roman" w:cs="Times New Roman"/>
                <w:sz w:val="24"/>
                <w:szCs w:val="24"/>
                <w:lang w:eastAsia="lv-LV"/>
              </w:rPr>
              <w:t xml:space="preserve"> institūciju amatpersonām un darbiniekiem, tādēļ sabiedrības līdzdalība noteikumu projekta izstrādē nebija nepieciešama.</w:t>
            </w:r>
          </w:p>
        </w:tc>
      </w:tr>
      <w:tr w:rsidR="00D13B02" w:rsidRPr="00D13B02" w:rsidTr="00FC1B3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70526D" w:rsidP="00CD29CB">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4</w:t>
            </w:r>
            <w:r w:rsidRPr="00D13B02">
              <w:rPr>
                <w:rFonts w:eastAsia="Times New Roman" w:cs="Times New Roman"/>
                <w:sz w:val="24"/>
                <w:szCs w:val="24"/>
                <w:lang w:eastAsia="lv-LV"/>
              </w:rPr>
              <w:t>.</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Cita informācija</w:t>
            </w:r>
          </w:p>
        </w:tc>
        <w:tc>
          <w:tcPr>
            <w:tcW w:w="666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3E67CA">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Nav</w:t>
            </w:r>
            <w:r w:rsidR="00D237F7" w:rsidRPr="00D13B02">
              <w:rPr>
                <w:rFonts w:eastAsia="Times New Roman" w:cs="Times New Roman"/>
                <w:sz w:val="24"/>
                <w:szCs w:val="24"/>
                <w:lang w:eastAsia="lv-LV"/>
              </w:rPr>
              <w:t xml:space="preserve"> </w:t>
            </w:r>
          </w:p>
        </w:tc>
      </w:tr>
    </w:tbl>
    <w:p w:rsidR="0070526D" w:rsidRPr="00D13B02" w:rsidRDefault="0070526D" w:rsidP="00115E82">
      <w:pPr>
        <w:rPr>
          <w:rFonts w:eastAsia="Times New Roman" w:cs="Times New Roman"/>
          <w:sz w:val="16"/>
          <w:szCs w:val="16"/>
          <w:lang w:eastAsia="lv-LV"/>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506"/>
      </w:tblGrid>
      <w:tr w:rsidR="00D13B02" w:rsidRPr="00D13B02" w:rsidTr="006E679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rsidR="00062334" w:rsidRPr="00D13B02" w:rsidRDefault="0070526D" w:rsidP="0070526D">
            <w:pPr>
              <w:spacing w:before="100" w:beforeAutospacing="1" w:after="100" w:afterAutospacing="1"/>
              <w:rPr>
                <w:rFonts w:eastAsia="Times New Roman" w:cs="Times New Roman"/>
                <w:b/>
                <w:sz w:val="26"/>
                <w:szCs w:val="26"/>
                <w:lang w:eastAsia="lv-LV"/>
              </w:rPr>
            </w:pPr>
            <w:r w:rsidRPr="00D13B02">
              <w:rPr>
                <w:rFonts w:eastAsia="Times New Roman" w:cs="Times New Roman"/>
                <w:b/>
                <w:sz w:val="26"/>
                <w:szCs w:val="26"/>
                <w:lang w:eastAsia="lv-LV"/>
              </w:rPr>
              <w:lastRenderedPageBreak/>
              <w:t xml:space="preserve"> II. </w:t>
            </w:r>
            <w:r w:rsidR="00222330" w:rsidRPr="00D13B02">
              <w:rPr>
                <w:rFonts w:eastAsia="Times New Roman" w:cs="Times New Roman"/>
                <w:b/>
                <w:bCs/>
                <w:sz w:val="26"/>
                <w:szCs w:val="26"/>
                <w:lang w:eastAsia="lv-LV"/>
              </w:rPr>
              <w:t>Tiesību akta projekta ietekme uz sabiedrību, tautsaimniecības attīstību un administratīvo slogu</w:t>
            </w:r>
          </w:p>
        </w:tc>
      </w:tr>
      <w:tr w:rsidR="00D13B02" w:rsidRPr="00D13B02" w:rsidTr="006E6796">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 xml:space="preserve">Sabiedrības </w:t>
            </w:r>
            <w:proofErr w:type="spellStart"/>
            <w:r w:rsidR="00CD29CB" w:rsidRPr="00D13B02">
              <w:rPr>
                <w:rFonts w:eastAsia="Times New Roman" w:cs="Times New Roman"/>
                <w:sz w:val="24"/>
                <w:szCs w:val="24"/>
                <w:lang w:eastAsia="lv-LV"/>
              </w:rPr>
              <w:t>mērķgrupas</w:t>
            </w:r>
            <w:proofErr w:type="spellEnd"/>
            <w:r w:rsidR="00CD29CB" w:rsidRPr="00D13B02">
              <w:rPr>
                <w:rFonts w:eastAsia="Times New Roman" w:cs="Times New Roman"/>
                <w:sz w:val="24"/>
                <w:szCs w:val="24"/>
                <w:lang w:eastAsia="lv-LV"/>
              </w:rPr>
              <w:t>, kuras tiesiskais regulējums ietekmē vai varētu ietekmēt</w:t>
            </w:r>
          </w:p>
        </w:tc>
        <w:tc>
          <w:tcPr>
            <w:tcW w:w="650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6455CB">
            <w:pPr>
              <w:spacing w:before="100" w:beforeAutospacing="1" w:after="100" w:afterAutospacing="1"/>
              <w:jc w:val="both"/>
              <w:rPr>
                <w:rFonts w:eastAsia="Times New Roman" w:cs="Times New Roman"/>
                <w:sz w:val="24"/>
                <w:szCs w:val="24"/>
                <w:lang w:eastAsia="lv-LV"/>
              </w:rPr>
            </w:pPr>
            <w:r w:rsidRPr="00D13B02">
              <w:rPr>
                <w:rFonts w:eastAsia="Times New Roman" w:cs="Times New Roman"/>
                <w:sz w:val="24"/>
                <w:szCs w:val="24"/>
                <w:lang w:eastAsia="lv-LV"/>
              </w:rPr>
              <w:t> </w:t>
            </w:r>
            <w:r w:rsidR="00F2780E" w:rsidRPr="009E615A">
              <w:rPr>
                <w:rFonts w:eastAsia="Times New Roman" w:cs="Times New Roman"/>
                <w:sz w:val="24"/>
                <w:szCs w:val="24"/>
                <w:lang w:eastAsia="lv-LV"/>
              </w:rPr>
              <w:t xml:space="preserve">Valsts un </w:t>
            </w:r>
            <w:r w:rsidR="00F2780E" w:rsidRPr="00020DEF">
              <w:rPr>
                <w:rFonts w:eastAsia="Times New Roman" w:cs="Times New Roman"/>
                <w:sz w:val="24"/>
                <w:szCs w:val="24"/>
                <w:lang w:eastAsia="lv-LV"/>
              </w:rPr>
              <w:t>pašvaldību</w:t>
            </w:r>
            <w:r w:rsidR="00F2780E" w:rsidRPr="009E615A">
              <w:rPr>
                <w:rFonts w:eastAsia="Times New Roman" w:cs="Times New Roman"/>
                <w:sz w:val="24"/>
                <w:szCs w:val="24"/>
                <w:lang w:eastAsia="lv-LV"/>
              </w:rPr>
              <w:t xml:space="preserve"> institūciju amatpersonas un darbinieki.</w:t>
            </w:r>
          </w:p>
        </w:tc>
      </w:tr>
      <w:tr w:rsidR="00D13B02" w:rsidRPr="00D13B02" w:rsidTr="00724190">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Tiesiskā regulējuma ietekme uz tautsaimniecību un administratīvo slogu</w:t>
            </w:r>
          </w:p>
        </w:tc>
        <w:tc>
          <w:tcPr>
            <w:tcW w:w="6506" w:type="dxa"/>
            <w:tcBorders>
              <w:top w:val="outset" w:sz="6" w:space="0" w:color="auto"/>
              <w:left w:val="outset" w:sz="6" w:space="0" w:color="auto"/>
              <w:bottom w:val="outset" w:sz="6" w:space="0" w:color="auto"/>
              <w:right w:val="outset" w:sz="6" w:space="0" w:color="auto"/>
            </w:tcBorders>
          </w:tcPr>
          <w:p w:rsidR="00076B41" w:rsidRPr="00D13B02" w:rsidRDefault="009F2BAE" w:rsidP="009F2BAE">
            <w:pPr>
              <w:jc w:val="both"/>
              <w:rPr>
                <w:rFonts w:eastAsia="Times New Roman" w:cs="Times New Roman"/>
                <w:sz w:val="24"/>
                <w:szCs w:val="24"/>
                <w:lang w:eastAsia="lv-LV"/>
              </w:rPr>
            </w:pPr>
            <w:r>
              <w:rPr>
                <w:rFonts w:eastAsia="Times New Roman" w:cs="Times New Roman"/>
                <w:sz w:val="24"/>
                <w:szCs w:val="24"/>
                <w:lang w:eastAsia="lv-LV"/>
              </w:rPr>
              <w:t> </w:t>
            </w:r>
            <w:r w:rsidRPr="00D13B02">
              <w:rPr>
                <w:rFonts w:eastAsia="Times New Roman" w:cs="Times New Roman"/>
                <w:sz w:val="24"/>
                <w:szCs w:val="24"/>
                <w:lang w:eastAsia="lv-LV"/>
              </w:rPr>
              <w:t>Projekts šo jomu neskar</w:t>
            </w:r>
          </w:p>
        </w:tc>
      </w:tr>
      <w:tr w:rsidR="00D13B02" w:rsidRPr="00D13B02" w:rsidTr="00724190">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Administratīvo izmaksu monetārs novērtējums</w:t>
            </w:r>
          </w:p>
        </w:tc>
        <w:tc>
          <w:tcPr>
            <w:tcW w:w="6506" w:type="dxa"/>
            <w:tcBorders>
              <w:top w:val="outset" w:sz="6" w:space="0" w:color="auto"/>
              <w:left w:val="outset" w:sz="6" w:space="0" w:color="auto"/>
              <w:bottom w:val="outset" w:sz="6" w:space="0" w:color="auto"/>
              <w:right w:val="outset" w:sz="6" w:space="0" w:color="auto"/>
            </w:tcBorders>
          </w:tcPr>
          <w:p w:rsidR="002D23CC" w:rsidRPr="00D13B02" w:rsidRDefault="009F2BAE" w:rsidP="009F2BAE">
            <w:pPr>
              <w:jc w:val="both"/>
              <w:rPr>
                <w:rFonts w:eastAsia="Times New Roman"/>
                <w:b/>
                <w:sz w:val="24"/>
                <w:szCs w:val="24"/>
                <w:lang w:eastAsia="lv-LV"/>
              </w:rPr>
            </w:pPr>
            <w:r>
              <w:rPr>
                <w:rFonts w:eastAsia="Times New Roman" w:cs="Times New Roman"/>
                <w:sz w:val="24"/>
                <w:szCs w:val="24"/>
                <w:lang w:eastAsia="lv-LV"/>
              </w:rPr>
              <w:t> </w:t>
            </w:r>
            <w:r w:rsidRPr="00D13B02">
              <w:rPr>
                <w:rFonts w:eastAsia="Times New Roman" w:cs="Times New Roman"/>
                <w:sz w:val="24"/>
                <w:szCs w:val="24"/>
                <w:lang w:eastAsia="lv-LV"/>
              </w:rPr>
              <w:t>Projekts šo jomu neskar</w:t>
            </w:r>
          </w:p>
        </w:tc>
      </w:tr>
      <w:tr w:rsidR="00D13B02" w:rsidRPr="00D13B02" w:rsidTr="006E67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Cita informācija</w:t>
            </w:r>
          </w:p>
        </w:tc>
        <w:tc>
          <w:tcPr>
            <w:tcW w:w="650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AD6191" w:rsidRPr="00D13B02">
              <w:rPr>
                <w:rFonts w:eastAsia="Times New Roman" w:cs="Times New Roman"/>
                <w:sz w:val="24"/>
                <w:szCs w:val="24"/>
                <w:lang w:eastAsia="lv-LV"/>
              </w:rPr>
              <w:t>Nav</w:t>
            </w:r>
          </w:p>
        </w:tc>
      </w:tr>
    </w:tbl>
    <w:p w:rsidR="0089697E" w:rsidRPr="00D13B02" w:rsidRDefault="0070526D" w:rsidP="00115E82">
      <w:pPr>
        <w:rPr>
          <w:rFonts w:eastAsia="Times New Roman" w:cs="Times New Roman"/>
          <w:sz w:val="16"/>
          <w:szCs w:val="16"/>
          <w:lang w:eastAsia="lv-LV"/>
        </w:rPr>
      </w:pPr>
      <w:r w:rsidRPr="00D13B02">
        <w:rPr>
          <w:rFonts w:eastAsia="Times New Roman" w:cs="Times New Roman"/>
          <w:sz w:val="16"/>
          <w:szCs w:val="16"/>
          <w:lang w:eastAsia="lv-LV"/>
        </w:rPr>
        <w:t> </w:t>
      </w:r>
    </w:p>
    <w:tbl>
      <w:tblPr>
        <w:tblW w:w="975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483"/>
      </w:tblGrid>
      <w:tr w:rsidR="00D13B02" w:rsidRPr="00D13B02" w:rsidTr="008B6D8B">
        <w:trPr>
          <w:trHeight w:val="517"/>
          <w:tblCellSpacing w:w="0" w:type="dxa"/>
        </w:trPr>
        <w:tc>
          <w:tcPr>
            <w:tcW w:w="9759" w:type="dxa"/>
            <w:gridSpan w:val="3"/>
            <w:tcBorders>
              <w:top w:val="outset" w:sz="6" w:space="0" w:color="auto"/>
              <w:left w:val="outset" w:sz="6" w:space="0" w:color="auto"/>
              <w:bottom w:val="outset" w:sz="6" w:space="0" w:color="auto"/>
              <w:right w:val="outset" w:sz="6" w:space="0" w:color="auto"/>
            </w:tcBorders>
          </w:tcPr>
          <w:p w:rsidR="00E66814" w:rsidRPr="00D13B02" w:rsidRDefault="00E66814" w:rsidP="00C145BF">
            <w:pPr>
              <w:spacing w:before="100" w:beforeAutospacing="1" w:after="100" w:afterAutospacing="1"/>
              <w:rPr>
                <w:rFonts w:eastAsia="Times New Roman" w:cs="Times New Roman"/>
                <w:b/>
                <w:sz w:val="26"/>
                <w:szCs w:val="26"/>
                <w:lang w:eastAsia="lv-LV"/>
              </w:rPr>
            </w:pPr>
            <w:r w:rsidRPr="00D13B02">
              <w:rPr>
                <w:rFonts w:eastAsia="Times New Roman" w:cs="Times New Roman"/>
                <w:b/>
                <w:sz w:val="26"/>
                <w:szCs w:val="26"/>
                <w:lang w:eastAsia="lv-LV"/>
              </w:rPr>
              <w:t> VII. Tiesību akta projekta izpildes nodrošināšana un tās ietekme uz institūcijām</w:t>
            </w:r>
          </w:p>
        </w:tc>
      </w:tr>
      <w:tr w:rsidR="00D13B02" w:rsidRPr="00D13B02" w:rsidTr="00E66814">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E66814"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1.</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E66814" w:rsidRPr="00D13B02">
              <w:rPr>
                <w:rFonts w:eastAsia="Times New Roman" w:cs="Times New Roman"/>
                <w:sz w:val="24"/>
                <w:szCs w:val="24"/>
                <w:lang w:eastAsia="lv-LV"/>
              </w:rPr>
              <w:t>Projekta izpildē iesaistītās institūcijas</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F2780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Finanšu ministrija</w:t>
            </w:r>
            <w:r w:rsidR="00F2780E">
              <w:rPr>
                <w:rFonts w:eastAsia="Times New Roman" w:cs="Times New Roman"/>
                <w:sz w:val="24"/>
                <w:szCs w:val="24"/>
                <w:lang w:eastAsia="lv-LV"/>
              </w:rPr>
              <w:t>,</w:t>
            </w:r>
            <w:r w:rsidRPr="00D13B02">
              <w:rPr>
                <w:rFonts w:eastAsia="Times New Roman" w:cs="Times New Roman"/>
                <w:sz w:val="24"/>
                <w:szCs w:val="24"/>
                <w:lang w:eastAsia="lv-LV"/>
              </w:rPr>
              <w:t xml:space="preserve"> </w:t>
            </w:r>
            <w:r w:rsidR="00F2780E">
              <w:rPr>
                <w:rFonts w:eastAsia="Times New Roman" w:cs="Times New Roman"/>
                <w:sz w:val="24"/>
                <w:szCs w:val="24"/>
                <w:lang w:eastAsia="lv-LV"/>
              </w:rPr>
              <w:t>valsts un pašvaldību institūcijas</w:t>
            </w:r>
            <w:r w:rsidR="008738FA">
              <w:rPr>
                <w:rFonts w:eastAsia="Times New Roman" w:cs="Times New Roman"/>
                <w:sz w:val="24"/>
                <w:szCs w:val="24"/>
                <w:lang w:eastAsia="lv-LV"/>
              </w:rPr>
              <w:t>.</w:t>
            </w:r>
          </w:p>
        </w:tc>
      </w:tr>
      <w:tr w:rsidR="00D13B02" w:rsidRPr="00D13B02" w:rsidTr="00E46928">
        <w:trPr>
          <w:trHeight w:val="1121"/>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2.</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AD6191">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AD6191" w:rsidRPr="00D13B02">
              <w:rPr>
                <w:rFonts w:eastAsia="Times New Roman" w:cs="Times New Roman"/>
                <w:sz w:val="24"/>
                <w:szCs w:val="24"/>
                <w:lang w:eastAsia="lv-LV"/>
              </w:rPr>
              <w:t>Projekts šo jomu neskar</w:t>
            </w:r>
          </w:p>
        </w:tc>
      </w:tr>
      <w:tr w:rsidR="00D13B02" w:rsidRPr="00D13B02" w:rsidTr="00E66814">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3.</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Cita informācija</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Nav</w:t>
            </w:r>
          </w:p>
        </w:tc>
      </w:tr>
    </w:tbl>
    <w:p w:rsidR="00E66814" w:rsidRPr="00D13B02" w:rsidRDefault="00E66814" w:rsidP="00115E82">
      <w:pPr>
        <w:rPr>
          <w:rFonts w:eastAsia="Times New Roman" w:cs="Times New Roman"/>
          <w:iCs/>
          <w:sz w:val="26"/>
          <w:szCs w:val="26"/>
          <w:lang w:eastAsia="lv-LV"/>
        </w:rPr>
      </w:pPr>
    </w:p>
    <w:p w:rsidR="0070526D" w:rsidRPr="00D13B02" w:rsidRDefault="009C7CB7" w:rsidP="00115E82">
      <w:pPr>
        <w:rPr>
          <w:rFonts w:eastAsia="Times New Roman" w:cs="Times New Roman"/>
          <w:sz w:val="26"/>
          <w:szCs w:val="26"/>
          <w:lang w:eastAsia="lv-LV"/>
        </w:rPr>
      </w:pPr>
      <w:r w:rsidRPr="00D13B02">
        <w:rPr>
          <w:rFonts w:eastAsia="Times New Roman" w:cs="Times New Roman"/>
          <w:i/>
          <w:iCs/>
          <w:sz w:val="26"/>
          <w:szCs w:val="26"/>
          <w:lang w:eastAsia="lv-LV"/>
        </w:rPr>
        <w:t xml:space="preserve">Anotācijas III </w:t>
      </w:r>
      <w:r w:rsidR="009F2BAE">
        <w:rPr>
          <w:rFonts w:eastAsia="Times New Roman" w:cs="Times New Roman"/>
          <w:i/>
          <w:iCs/>
          <w:sz w:val="26"/>
          <w:szCs w:val="26"/>
          <w:lang w:eastAsia="lv-LV"/>
        </w:rPr>
        <w:t>–</w:t>
      </w:r>
      <w:r w:rsidR="00074A1E" w:rsidRPr="00D13B02">
        <w:rPr>
          <w:rFonts w:eastAsia="Times New Roman" w:cs="Times New Roman"/>
          <w:i/>
          <w:iCs/>
          <w:sz w:val="26"/>
          <w:szCs w:val="26"/>
          <w:lang w:eastAsia="lv-LV"/>
        </w:rPr>
        <w:t xml:space="preserve"> VI</w:t>
      </w:r>
      <w:r w:rsidR="009267DF" w:rsidRPr="00D13B02">
        <w:rPr>
          <w:rFonts w:eastAsia="Times New Roman" w:cs="Times New Roman"/>
          <w:i/>
          <w:iCs/>
          <w:sz w:val="26"/>
          <w:szCs w:val="26"/>
          <w:lang w:eastAsia="lv-LV"/>
        </w:rPr>
        <w:t xml:space="preserve"> </w:t>
      </w:r>
      <w:r w:rsidR="00E77C7F" w:rsidRPr="00D13B02">
        <w:rPr>
          <w:rFonts w:eastAsia="Times New Roman" w:cs="Times New Roman"/>
          <w:i/>
          <w:iCs/>
          <w:sz w:val="26"/>
          <w:szCs w:val="26"/>
          <w:lang w:eastAsia="lv-LV"/>
        </w:rPr>
        <w:t>sadaļa</w:t>
      </w:r>
      <w:r w:rsidR="00F50272" w:rsidRPr="00D13B02">
        <w:rPr>
          <w:rFonts w:eastAsia="Times New Roman" w:cs="Times New Roman"/>
          <w:i/>
          <w:iCs/>
          <w:sz w:val="26"/>
          <w:szCs w:val="26"/>
          <w:lang w:eastAsia="lv-LV"/>
        </w:rPr>
        <w:t xml:space="preserve"> – </w:t>
      </w:r>
      <w:r w:rsidR="00E77C7F" w:rsidRPr="00D13B02">
        <w:rPr>
          <w:rFonts w:eastAsia="Times New Roman" w:cs="Times New Roman"/>
          <w:i/>
          <w:sz w:val="24"/>
          <w:szCs w:val="24"/>
          <w:lang w:eastAsia="lv-LV"/>
        </w:rPr>
        <w:t>projekt</w:t>
      </w:r>
      <w:r w:rsidR="00F50272" w:rsidRPr="00D13B02">
        <w:rPr>
          <w:rFonts w:eastAsia="Times New Roman" w:cs="Times New Roman"/>
          <w:i/>
          <w:sz w:val="24"/>
          <w:szCs w:val="24"/>
          <w:lang w:eastAsia="lv-LV"/>
        </w:rPr>
        <w:t xml:space="preserve">s </w:t>
      </w:r>
      <w:r w:rsidR="00E77C7F" w:rsidRPr="00D13B02">
        <w:rPr>
          <w:rFonts w:eastAsia="Times New Roman" w:cs="Times New Roman"/>
          <w:i/>
          <w:sz w:val="24"/>
          <w:szCs w:val="24"/>
          <w:lang w:eastAsia="lv-LV"/>
        </w:rPr>
        <w:t>š</w:t>
      </w:r>
      <w:r w:rsidR="009F2BAE">
        <w:rPr>
          <w:rFonts w:eastAsia="Times New Roman" w:cs="Times New Roman"/>
          <w:i/>
          <w:sz w:val="24"/>
          <w:szCs w:val="24"/>
          <w:lang w:eastAsia="lv-LV"/>
        </w:rPr>
        <w:t>īs jomas</w:t>
      </w:r>
      <w:r w:rsidR="00E77C7F" w:rsidRPr="00D13B02">
        <w:rPr>
          <w:rFonts w:eastAsia="Times New Roman" w:cs="Times New Roman"/>
          <w:i/>
          <w:sz w:val="24"/>
          <w:szCs w:val="24"/>
          <w:lang w:eastAsia="lv-LV"/>
        </w:rPr>
        <w:t xml:space="preserve"> neskar</w:t>
      </w:r>
      <w:r w:rsidRPr="00D13B02">
        <w:rPr>
          <w:rFonts w:eastAsia="Times New Roman" w:cs="Times New Roman"/>
          <w:i/>
          <w:sz w:val="24"/>
          <w:szCs w:val="24"/>
          <w:lang w:eastAsia="lv-LV"/>
        </w:rPr>
        <w:t>.</w:t>
      </w:r>
    </w:p>
    <w:p w:rsidR="00100469" w:rsidRPr="00D13B02" w:rsidRDefault="0070526D" w:rsidP="00935378">
      <w:pPr>
        <w:rPr>
          <w:sz w:val="26"/>
          <w:szCs w:val="26"/>
        </w:rPr>
      </w:pPr>
      <w:r w:rsidRPr="00D13B02">
        <w:rPr>
          <w:rFonts w:eastAsia="Times New Roman" w:cs="Times New Roman"/>
          <w:sz w:val="26"/>
          <w:szCs w:val="26"/>
          <w:lang w:eastAsia="lv-LV"/>
        </w:rPr>
        <w:t> </w:t>
      </w:r>
    </w:p>
    <w:p w:rsidR="00EF1C47" w:rsidRPr="00D13B02" w:rsidRDefault="00EF1C47" w:rsidP="00A14139">
      <w:pPr>
        <w:pStyle w:val="naisf"/>
        <w:spacing w:before="0" w:beforeAutospacing="0" w:after="0" w:afterAutospacing="0"/>
        <w:ind w:left="6946" w:hanging="6946"/>
        <w:rPr>
          <w:strike/>
          <w:sz w:val="28"/>
          <w:szCs w:val="28"/>
        </w:rPr>
      </w:pPr>
      <w:r w:rsidRPr="00D13B02">
        <w:rPr>
          <w:sz w:val="28"/>
          <w:szCs w:val="28"/>
        </w:rPr>
        <w:t>Finanšu ministr</w:t>
      </w:r>
      <w:r w:rsidR="00A14139" w:rsidRPr="00D13B02">
        <w:rPr>
          <w:sz w:val="28"/>
          <w:szCs w:val="28"/>
        </w:rPr>
        <w:t>s</w:t>
      </w:r>
      <w:r w:rsidR="00A14139" w:rsidRPr="00D13B02">
        <w:rPr>
          <w:sz w:val="28"/>
          <w:szCs w:val="28"/>
        </w:rPr>
        <w:tab/>
      </w:r>
      <w:proofErr w:type="spellStart"/>
      <w:r w:rsidR="00724190">
        <w:rPr>
          <w:sz w:val="28"/>
          <w:szCs w:val="28"/>
        </w:rPr>
        <w:t>J.Reirs</w:t>
      </w:r>
      <w:proofErr w:type="spellEnd"/>
    </w:p>
    <w:p w:rsidR="007A5B2F" w:rsidRDefault="007A5B2F"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5F389A" w:rsidRDefault="005F389A" w:rsidP="00613BF4">
      <w:pPr>
        <w:rPr>
          <w:sz w:val="20"/>
          <w:szCs w:val="20"/>
        </w:rPr>
      </w:pPr>
    </w:p>
    <w:p w:rsidR="00FC1B30" w:rsidRDefault="00FC1B30" w:rsidP="00613BF4">
      <w:pPr>
        <w:rPr>
          <w:sz w:val="20"/>
          <w:szCs w:val="20"/>
        </w:rPr>
      </w:pPr>
    </w:p>
    <w:p w:rsidR="00574AB3" w:rsidRPr="00D13B02" w:rsidRDefault="008C1EF1" w:rsidP="00613BF4">
      <w:pPr>
        <w:rPr>
          <w:sz w:val="20"/>
          <w:szCs w:val="20"/>
        </w:rPr>
      </w:pPr>
      <w:r>
        <w:rPr>
          <w:sz w:val="20"/>
          <w:szCs w:val="20"/>
        </w:rPr>
        <w:t>11</w:t>
      </w:r>
      <w:r w:rsidR="009052B2" w:rsidRPr="00D13B02">
        <w:rPr>
          <w:sz w:val="20"/>
          <w:szCs w:val="20"/>
        </w:rPr>
        <w:t>.</w:t>
      </w:r>
      <w:r w:rsidR="00724190">
        <w:rPr>
          <w:sz w:val="20"/>
          <w:szCs w:val="20"/>
        </w:rPr>
        <w:t>1</w:t>
      </w:r>
      <w:r>
        <w:rPr>
          <w:sz w:val="20"/>
          <w:szCs w:val="20"/>
        </w:rPr>
        <w:t>2</w:t>
      </w:r>
      <w:r w:rsidR="008C2F4F" w:rsidRPr="00D13B02">
        <w:rPr>
          <w:sz w:val="20"/>
          <w:szCs w:val="20"/>
        </w:rPr>
        <w:t>.2014</w:t>
      </w:r>
      <w:r w:rsidR="00C0345C" w:rsidRPr="00D13B02">
        <w:rPr>
          <w:sz w:val="20"/>
          <w:szCs w:val="20"/>
        </w:rPr>
        <w:t>.</w:t>
      </w:r>
      <w:r w:rsidR="00F068CD" w:rsidRPr="00D13B02">
        <w:rPr>
          <w:sz w:val="20"/>
          <w:szCs w:val="20"/>
        </w:rPr>
        <w:t xml:space="preserve"> 1</w:t>
      </w:r>
      <w:r>
        <w:rPr>
          <w:sz w:val="20"/>
          <w:szCs w:val="20"/>
        </w:rPr>
        <w:t>1</w:t>
      </w:r>
      <w:r w:rsidR="00303E69" w:rsidRPr="00D13B02">
        <w:rPr>
          <w:sz w:val="20"/>
          <w:szCs w:val="20"/>
        </w:rPr>
        <w:t>:</w:t>
      </w:r>
      <w:r>
        <w:rPr>
          <w:sz w:val="20"/>
          <w:szCs w:val="20"/>
        </w:rPr>
        <w:t>00</w:t>
      </w:r>
    </w:p>
    <w:p w:rsidR="00C0345C" w:rsidRPr="00D13B02" w:rsidRDefault="0068087C" w:rsidP="00C0345C">
      <w:pPr>
        <w:tabs>
          <w:tab w:val="left" w:pos="3840"/>
        </w:tabs>
        <w:rPr>
          <w:sz w:val="20"/>
          <w:szCs w:val="20"/>
        </w:rPr>
      </w:pPr>
      <w:r w:rsidRPr="00D13B02">
        <w:rPr>
          <w:sz w:val="20"/>
          <w:szCs w:val="20"/>
        </w:rPr>
        <w:fldChar w:fldCharType="begin"/>
      </w:r>
      <w:r w:rsidRPr="00D13B02">
        <w:rPr>
          <w:sz w:val="20"/>
          <w:szCs w:val="20"/>
        </w:rPr>
        <w:instrText xml:space="preserve"> NUMWORDS   \* MERGEFORMAT </w:instrText>
      </w:r>
      <w:r w:rsidRPr="00D13B02">
        <w:rPr>
          <w:sz w:val="20"/>
          <w:szCs w:val="20"/>
        </w:rPr>
        <w:fldChar w:fldCharType="separate"/>
      </w:r>
      <w:r w:rsidR="000C39BE">
        <w:rPr>
          <w:noProof/>
          <w:sz w:val="20"/>
          <w:szCs w:val="20"/>
        </w:rPr>
        <w:t>1093</w:t>
      </w:r>
      <w:r w:rsidRPr="00D13B02">
        <w:rPr>
          <w:noProof/>
          <w:sz w:val="20"/>
          <w:szCs w:val="20"/>
        </w:rPr>
        <w:fldChar w:fldCharType="end"/>
      </w:r>
      <w:r w:rsidR="00303E69" w:rsidRPr="00D13B02">
        <w:rPr>
          <w:i/>
          <w:sz w:val="20"/>
          <w:szCs w:val="20"/>
        </w:rPr>
        <w:t xml:space="preserve"> </w:t>
      </w:r>
    </w:p>
    <w:p w:rsidR="00C0345C" w:rsidRPr="00D13B02" w:rsidRDefault="00C0345C" w:rsidP="00C0345C">
      <w:pPr>
        <w:tabs>
          <w:tab w:val="left" w:pos="3840"/>
        </w:tabs>
        <w:rPr>
          <w:sz w:val="20"/>
          <w:szCs w:val="20"/>
        </w:rPr>
      </w:pPr>
      <w:r w:rsidRPr="00D13B02">
        <w:rPr>
          <w:sz w:val="20"/>
          <w:szCs w:val="20"/>
        </w:rPr>
        <w:t>G.Goldmane,</w:t>
      </w:r>
    </w:p>
    <w:p w:rsidR="00F50D8F" w:rsidRPr="00D13B02" w:rsidRDefault="00F50D8F" w:rsidP="00F50D8F">
      <w:pPr>
        <w:rPr>
          <w:sz w:val="20"/>
        </w:rPr>
      </w:pPr>
      <w:r w:rsidRPr="00D13B02">
        <w:rPr>
          <w:sz w:val="20"/>
        </w:rPr>
        <w:t>Finanšu ministrijas</w:t>
      </w:r>
    </w:p>
    <w:p w:rsidR="00F50D8F" w:rsidRPr="00D13B02" w:rsidRDefault="00F50D8F" w:rsidP="00F50D8F">
      <w:pPr>
        <w:rPr>
          <w:sz w:val="20"/>
        </w:rPr>
      </w:pPr>
      <w:r w:rsidRPr="00D13B02">
        <w:rPr>
          <w:sz w:val="20"/>
        </w:rPr>
        <w:t xml:space="preserve">Sabiedriskajā sektorā nodarbināto </w:t>
      </w:r>
    </w:p>
    <w:p w:rsidR="00F50D8F" w:rsidRPr="00D13B02" w:rsidRDefault="00F50D8F" w:rsidP="00F50D8F">
      <w:pPr>
        <w:rPr>
          <w:sz w:val="20"/>
        </w:rPr>
      </w:pPr>
      <w:r w:rsidRPr="00D13B02">
        <w:rPr>
          <w:sz w:val="20"/>
        </w:rPr>
        <w:t>atlīdzības politikas nodaļas konsultante</w:t>
      </w:r>
    </w:p>
    <w:p w:rsidR="00B253BC" w:rsidRPr="00D13B02" w:rsidRDefault="00303E69" w:rsidP="005C37C2">
      <w:pPr>
        <w:rPr>
          <w:sz w:val="20"/>
          <w:szCs w:val="20"/>
        </w:rPr>
      </w:pPr>
      <w:r w:rsidRPr="00D13B02">
        <w:rPr>
          <w:sz w:val="20"/>
          <w:szCs w:val="20"/>
        </w:rPr>
        <w:t>67083979</w:t>
      </w:r>
      <w:r w:rsidR="00C0345C" w:rsidRPr="00D13B02">
        <w:rPr>
          <w:sz w:val="20"/>
          <w:szCs w:val="20"/>
        </w:rPr>
        <w:t>,</w:t>
      </w:r>
      <w:r w:rsidR="00DF56E7" w:rsidRPr="00D13B02">
        <w:rPr>
          <w:sz w:val="20"/>
          <w:szCs w:val="20"/>
        </w:rPr>
        <w:t xml:space="preserve"> </w:t>
      </w:r>
      <w:r w:rsidR="00B5358B" w:rsidRPr="00D13B02">
        <w:rPr>
          <w:sz w:val="20"/>
          <w:szCs w:val="20"/>
        </w:rPr>
        <w:t>Ginta.Goldmane@fm.gov.lv</w:t>
      </w:r>
    </w:p>
    <w:sectPr w:rsidR="00B253BC" w:rsidRPr="00D13B02" w:rsidSect="00E46928">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84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B6" w:rsidRDefault="0042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90" w:rsidRPr="00523728" w:rsidRDefault="00724190" w:rsidP="00724190">
    <w:pPr>
      <w:pStyle w:val="Footer"/>
      <w:jc w:val="both"/>
      <w:rPr>
        <w:rFonts w:cs="Times New Roman"/>
        <w:sz w:val="18"/>
        <w:szCs w:val="18"/>
      </w:rPr>
    </w:pPr>
    <w:r w:rsidRPr="00523728">
      <w:rPr>
        <w:sz w:val="18"/>
        <w:szCs w:val="18"/>
      </w:rPr>
      <w:t>FMAnot_</w:t>
    </w:r>
    <w:r w:rsidR="008C1EF1">
      <w:rPr>
        <w:sz w:val="18"/>
        <w:szCs w:val="18"/>
      </w:rPr>
      <w:t>1112</w:t>
    </w:r>
    <w:r>
      <w:rPr>
        <w:sz w:val="18"/>
        <w:szCs w:val="18"/>
      </w:rPr>
      <w:t>2014</w:t>
    </w:r>
    <w:r w:rsidR="008C1EF1">
      <w:rPr>
        <w:sz w:val="18"/>
        <w:szCs w:val="18"/>
      </w:rPr>
      <w:t>_541</w:t>
    </w:r>
    <w:r>
      <w:rPr>
        <w:sz w:val="18"/>
        <w:szCs w:val="18"/>
      </w:rPr>
      <w:t xml:space="preserve">; </w:t>
    </w:r>
    <w:r w:rsidRPr="00523728">
      <w:rPr>
        <w:sz w:val="18"/>
        <w:szCs w:val="18"/>
      </w:rPr>
      <w:t xml:space="preserve">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003671E2">
      <w:rPr>
        <w:rFonts w:cs="Times New Roman"/>
        <w:sz w:val="18"/>
        <w:szCs w:val="18"/>
      </w:rPr>
      <w:t xml:space="preserve">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E2" w:rsidRPr="00523728" w:rsidRDefault="003671E2" w:rsidP="003671E2">
    <w:pPr>
      <w:pStyle w:val="Footer"/>
      <w:jc w:val="both"/>
      <w:rPr>
        <w:rFonts w:cs="Times New Roman"/>
        <w:sz w:val="18"/>
        <w:szCs w:val="18"/>
      </w:rPr>
    </w:pPr>
    <w:r w:rsidRPr="00523728">
      <w:rPr>
        <w:sz w:val="18"/>
        <w:szCs w:val="18"/>
      </w:rPr>
      <w:t>FMAnot_</w:t>
    </w:r>
    <w:r w:rsidR="008C1EF1">
      <w:rPr>
        <w:sz w:val="18"/>
        <w:szCs w:val="18"/>
      </w:rPr>
      <w:t>1112</w:t>
    </w:r>
    <w:r>
      <w:rPr>
        <w:sz w:val="18"/>
        <w:szCs w:val="18"/>
      </w:rPr>
      <w:t>2014</w:t>
    </w:r>
    <w:r w:rsidR="008C1EF1">
      <w:rPr>
        <w:sz w:val="18"/>
        <w:szCs w:val="18"/>
      </w:rPr>
      <w:t>_541</w:t>
    </w:r>
    <w:r>
      <w:rPr>
        <w:sz w:val="18"/>
        <w:szCs w:val="18"/>
      </w:rPr>
      <w:t xml:space="preserve">; </w:t>
    </w:r>
    <w:r w:rsidRPr="00523728">
      <w:rPr>
        <w:sz w:val="18"/>
        <w:szCs w:val="18"/>
      </w:rPr>
      <w:t xml:space="preserve">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Pr>
        <w:rFonts w:cs="Times New Roman"/>
        <w:sz w:val="18"/>
        <w:szCs w:val="18"/>
      </w:rPr>
      <w:t xml:space="preserve"> projekta sākotnējās ietekmes novērtējuma ziņojums (anotācija)</w:t>
    </w:r>
  </w:p>
  <w:p w:rsidR="0055124D" w:rsidRPr="003671E2" w:rsidRDefault="0055124D" w:rsidP="0036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B6" w:rsidRDefault="0042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58421"/>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1373D3">
          <w:rPr>
            <w:noProof/>
            <w:sz w:val="24"/>
            <w:szCs w:val="24"/>
          </w:rPr>
          <w:t>4</w:t>
        </w:r>
        <w:r w:rsidRPr="00F8589C">
          <w:rPr>
            <w:noProof/>
            <w:sz w:val="24"/>
            <w:szCs w:val="24"/>
          </w:rPr>
          <w:fldChar w:fldCharType="end"/>
        </w:r>
      </w:p>
    </w:sdtContent>
  </w:sdt>
  <w:p w:rsidR="009821C9" w:rsidRDefault="009821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B6" w:rsidRDefault="0042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4">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302C21"/>
    <w:multiLevelType w:val="hybridMultilevel"/>
    <w:tmpl w:val="F678F6DC"/>
    <w:lvl w:ilvl="0" w:tplc="E2FEB7B6">
      <w:start w:val="1"/>
      <w:numFmt w:val="decimal"/>
      <w:lvlText w:val="%1)"/>
      <w:lvlJc w:val="left"/>
      <w:pPr>
        <w:ind w:left="889" w:hanging="360"/>
      </w:pPr>
      <w:rPr>
        <w:rFonts w:ascii="Times New Roman" w:eastAsiaTheme="minorHAnsi" w:hAnsi="Times New Roman" w:cstheme="minorBidi"/>
      </w:r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317F"/>
    <w:rsid w:val="00003AA7"/>
    <w:rsid w:val="00013474"/>
    <w:rsid w:val="00017E1C"/>
    <w:rsid w:val="00020DEF"/>
    <w:rsid w:val="00026F6C"/>
    <w:rsid w:val="00041BC5"/>
    <w:rsid w:val="00046ADB"/>
    <w:rsid w:val="00051A8F"/>
    <w:rsid w:val="00054559"/>
    <w:rsid w:val="00054C53"/>
    <w:rsid w:val="000558C0"/>
    <w:rsid w:val="00060255"/>
    <w:rsid w:val="000608D1"/>
    <w:rsid w:val="00062334"/>
    <w:rsid w:val="0007283C"/>
    <w:rsid w:val="00072DC7"/>
    <w:rsid w:val="00074A1E"/>
    <w:rsid w:val="00076B41"/>
    <w:rsid w:val="00090F7C"/>
    <w:rsid w:val="000A1EBA"/>
    <w:rsid w:val="000A3048"/>
    <w:rsid w:val="000A3D41"/>
    <w:rsid w:val="000B39E7"/>
    <w:rsid w:val="000B52E8"/>
    <w:rsid w:val="000C39BE"/>
    <w:rsid w:val="000C4DF9"/>
    <w:rsid w:val="000D3D6E"/>
    <w:rsid w:val="000E0E9C"/>
    <w:rsid w:val="000E0EAB"/>
    <w:rsid w:val="000E4D67"/>
    <w:rsid w:val="000F2D60"/>
    <w:rsid w:val="00100469"/>
    <w:rsid w:val="00115E82"/>
    <w:rsid w:val="0012014A"/>
    <w:rsid w:val="00122717"/>
    <w:rsid w:val="00124BE5"/>
    <w:rsid w:val="0012536F"/>
    <w:rsid w:val="00130A65"/>
    <w:rsid w:val="00131852"/>
    <w:rsid w:val="00133FC3"/>
    <w:rsid w:val="001373D3"/>
    <w:rsid w:val="0014131D"/>
    <w:rsid w:val="00142743"/>
    <w:rsid w:val="00143A5E"/>
    <w:rsid w:val="0014438B"/>
    <w:rsid w:val="00150939"/>
    <w:rsid w:val="00152376"/>
    <w:rsid w:val="001544B1"/>
    <w:rsid w:val="0015634F"/>
    <w:rsid w:val="00161D6A"/>
    <w:rsid w:val="0016244A"/>
    <w:rsid w:val="00163FE2"/>
    <w:rsid w:val="00170A5E"/>
    <w:rsid w:val="00174D79"/>
    <w:rsid w:val="00182716"/>
    <w:rsid w:val="0018303A"/>
    <w:rsid w:val="00184225"/>
    <w:rsid w:val="0018668D"/>
    <w:rsid w:val="0018679A"/>
    <w:rsid w:val="00192B03"/>
    <w:rsid w:val="001952CE"/>
    <w:rsid w:val="00195D19"/>
    <w:rsid w:val="001A5D75"/>
    <w:rsid w:val="001A7971"/>
    <w:rsid w:val="001B1E3E"/>
    <w:rsid w:val="001C2CD5"/>
    <w:rsid w:val="001C3291"/>
    <w:rsid w:val="001C519F"/>
    <w:rsid w:val="001D0571"/>
    <w:rsid w:val="001D5678"/>
    <w:rsid w:val="001D7B24"/>
    <w:rsid w:val="001E1202"/>
    <w:rsid w:val="001F56FF"/>
    <w:rsid w:val="00200731"/>
    <w:rsid w:val="00203F69"/>
    <w:rsid w:val="00216F53"/>
    <w:rsid w:val="002176AD"/>
    <w:rsid w:val="00222330"/>
    <w:rsid w:val="00227194"/>
    <w:rsid w:val="00230D49"/>
    <w:rsid w:val="00232BA7"/>
    <w:rsid w:val="0023657A"/>
    <w:rsid w:val="002424D8"/>
    <w:rsid w:val="002460DD"/>
    <w:rsid w:val="0024678C"/>
    <w:rsid w:val="00250856"/>
    <w:rsid w:val="00256191"/>
    <w:rsid w:val="0026659A"/>
    <w:rsid w:val="00266D26"/>
    <w:rsid w:val="00267D9E"/>
    <w:rsid w:val="0027097A"/>
    <w:rsid w:val="0027277F"/>
    <w:rsid w:val="002727AD"/>
    <w:rsid w:val="00275FD8"/>
    <w:rsid w:val="002816F8"/>
    <w:rsid w:val="002842DF"/>
    <w:rsid w:val="00286673"/>
    <w:rsid w:val="002A09D6"/>
    <w:rsid w:val="002A18B1"/>
    <w:rsid w:val="002A2506"/>
    <w:rsid w:val="002A2997"/>
    <w:rsid w:val="002A3DAE"/>
    <w:rsid w:val="002A429F"/>
    <w:rsid w:val="002B33E3"/>
    <w:rsid w:val="002B368B"/>
    <w:rsid w:val="002B5BA9"/>
    <w:rsid w:val="002C49F7"/>
    <w:rsid w:val="002D23CC"/>
    <w:rsid w:val="002D7459"/>
    <w:rsid w:val="002E69E7"/>
    <w:rsid w:val="002F0327"/>
    <w:rsid w:val="002F14AD"/>
    <w:rsid w:val="002F3527"/>
    <w:rsid w:val="002F7FE7"/>
    <w:rsid w:val="0030223A"/>
    <w:rsid w:val="00303583"/>
    <w:rsid w:val="00303E69"/>
    <w:rsid w:val="003050B9"/>
    <w:rsid w:val="00312AA6"/>
    <w:rsid w:val="003243DA"/>
    <w:rsid w:val="00324680"/>
    <w:rsid w:val="00325216"/>
    <w:rsid w:val="003339A6"/>
    <w:rsid w:val="00342319"/>
    <w:rsid w:val="00342CDC"/>
    <w:rsid w:val="0035017E"/>
    <w:rsid w:val="003539EF"/>
    <w:rsid w:val="0035647F"/>
    <w:rsid w:val="00356748"/>
    <w:rsid w:val="00360180"/>
    <w:rsid w:val="003608AD"/>
    <w:rsid w:val="0036096D"/>
    <w:rsid w:val="00360CEA"/>
    <w:rsid w:val="00361901"/>
    <w:rsid w:val="00362E77"/>
    <w:rsid w:val="00366C1A"/>
    <w:rsid w:val="003671E2"/>
    <w:rsid w:val="003729C7"/>
    <w:rsid w:val="003760E3"/>
    <w:rsid w:val="00377F94"/>
    <w:rsid w:val="0038376D"/>
    <w:rsid w:val="00385736"/>
    <w:rsid w:val="003941B7"/>
    <w:rsid w:val="0039636F"/>
    <w:rsid w:val="003A59AD"/>
    <w:rsid w:val="003B32D5"/>
    <w:rsid w:val="003B544A"/>
    <w:rsid w:val="003B71D3"/>
    <w:rsid w:val="003B7D1C"/>
    <w:rsid w:val="003C5CEA"/>
    <w:rsid w:val="003C7172"/>
    <w:rsid w:val="003D47B9"/>
    <w:rsid w:val="003D6E2F"/>
    <w:rsid w:val="003D7A7B"/>
    <w:rsid w:val="003E333B"/>
    <w:rsid w:val="003E67CA"/>
    <w:rsid w:val="003F0215"/>
    <w:rsid w:val="003F2463"/>
    <w:rsid w:val="003F29C4"/>
    <w:rsid w:val="004027CE"/>
    <w:rsid w:val="00404A9F"/>
    <w:rsid w:val="00406416"/>
    <w:rsid w:val="00406D73"/>
    <w:rsid w:val="00411BC0"/>
    <w:rsid w:val="004124FD"/>
    <w:rsid w:val="004125EE"/>
    <w:rsid w:val="00417CCF"/>
    <w:rsid w:val="0042009D"/>
    <w:rsid w:val="00422671"/>
    <w:rsid w:val="004250B6"/>
    <w:rsid w:val="00425672"/>
    <w:rsid w:val="004269B0"/>
    <w:rsid w:val="00431480"/>
    <w:rsid w:val="00434867"/>
    <w:rsid w:val="004368AE"/>
    <w:rsid w:val="00437848"/>
    <w:rsid w:val="004408BD"/>
    <w:rsid w:val="004427A4"/>
    <w:rsid w:val="00444C23"/>
    <w:rsid w:val="004454AD"/>
    <w:rsid w:val="00445CF1"/>
    <w:rsid w:val="0044601F"/>
    <w:rsid w:val="00450B86"/>
    <w:rsid w:val="00457159"/>
    <w:rsid w:val="0046430C"/>
    <w:rsid w:val="00464608"/>
    <w:rsid w:val="00465DA1"/>
    <w:rsid w:val="004704D8"/>
    <w:rsid w:val="00472A11"/>
    <w:rsid w:val="00473FED"/>
    <w:rsid w:val="0047498B"/>
    <w:rsid w:val="00475E26"/>
    <w:rsid w:val="004807EA"/>
    <w:rsid w:val="0049457B"/>
    <w:rsid w:val="00496A52"/>
    <w:rsid w:val="004A783D"/>
    <w:rsid w:val="004A7AFE"/>
    <w:rsid w:val="004B4BE7"/>
    <w:rsid w:val="004C0984"/>
    <w:rsid w:val="004D012C"/>
    <w:rsid w:val="004D1FD8"/>
    <w:rsid w:val="004E0339"/>
    <w:rsid w:val="004E3EA8"/>
    <w:rsid w:val="004E63DA"/>
    <w:rsid w:val="004F4590"/>
    <w:rsid w:val="004F6E25"/>
    <w:rsid w:val="004F7055"/>
    <w:rsid w:val="004F7DC8"/>
    <w:rsid w:val="00501105"/>
    <w:rsid w:val="00523728"/>
    <w:rsid w:val="00524111"/>
    <w:rsid w:val="00524E95"/>
    <w:rsid w:val="005500B1"/>
    <w:rsid w:val="0055124D"/>
    <w:rsid w:val="00551AFE"/>
    <w:rsid w:val="0055511C"/>
    <w:rsid w:val="0056019C"/>
    <w:rsid w:val="005631DF"/>
    <w:rsid w:val="00563CED"/>
    <w:rsid w:val="005657D6"/>
    <w:rsid w:val="00565E76"/>
    <w:rsid w:val="00566793"/>
    <w:rsid w:val="005668B0"/>
    <w:rsid w:val="00566FC5"/>
    <w:rsid w:val="00570E1F"/>
    <w:rsid w:val="00574AB3"/>
    <w:rsid w:val="0057577F"/>
    <w:rsid w:val="00585F3A"/>
    <w:rsid w:val="005912E0"/>
    <w:rsid w:val="005951DA"/>
    <w:rsid w:val="00595AFA"/>
    <w:rsid w:val="00596CDE"/>
    <w:rsid w:val="005A3AC5"/>
    <w:rsid w:val="005A4DBB"/>
    <w:rsid w:val="005A74FF"/>
    <w:rsid w:val="005A7E8D"/>
    <w:rsid w:val="005B5AA6"/>
    <w:rsid w:val="005B61EB"/>
    <w:rsid w:val="005B7B1F"/>
    <w:rsid w:val="005C37C2"/>
    <w:rsid w:val="005D40D7"/>
    <w:rsid w:val="005D466E"/>
    <w:rsid w:val="005D47F4"/>
    <w:rsid w:val="005D695A"/>
    <w:rsid w:val="005E039A"/>
    <w:rsid w:val="005F2843"/>
    <w:rsid w:val="005F389A"/>
    <w:rsid w:val="006044A8"/>
    <w:rsid w:val="00605A33"/>
    <w:rsid w:val="00606A4B"/>
    <w:rsid w:val="0061334F"/>
    <w:rsid w:val="00613BF4"/>
    <w:rsid w:val="00627B2A"/>
    <w:rsid w:val="00634950"/>
    <w:rsid w:val="00643A1F"/>
    <w:rsid w:val="006455CB"/>
    <w:rsid w:val="00645E21"/>
    <w:rsid w:val="0064669A"/>
    <w:rsid w:val="006502C4"/>
    <w:rsid w:val="00653D0C"/>
    <w:rsid w:val="0066496D"/>
    <w:rsid w:val="00672F44"/>
    <w:rsid w:val="00672F87"/>
    <w:rsid w:val="00674A47"/>
    <w:rsid w:val="00675607"/>
    <w:rsid w:val="0068087C"/>
    <w:rsid w:val="00684105"/>
    <w:rsid w:val="0069205F"/>
    <w:rsid w:val="006935D1"/>
    <w:rsid w:val="00693B48"/>
    <w:rsid w:val="006B3E2A"/>
    <w:rsid w:val="006B7A79"/>
    <w:rsid w:val="006C0E9A"/>
    <w:rsid w:val="006C1B3A"/>
    <w:rsid w:val="006C60FA"/>
    <w:rsid w:val="006D0D20"/>
    <w:rsid w:val="006D3764"/>
    <w:rsid w:val="006E0584"/>
    <w:rsid w:val="006E0C4B"/>
    <w:rsid w:val="006E101C"/>
    <w:rsid w:val="006E1A22"/>
    <w:rsid w:val="006E1FEE"/>
    <w:rsid w:val="006E3186"/>
    <w:rsid w:val="006E6796"/>
    <w:rsid w:val="006F07B8"/>
    <w:rsid w:val="006F3E87"/>
    <w:rsid w:val="006F4A10"/>
    <w:rsid w:val="006F6A48"/>
    <w:rsid w:val="00701DC5"/>
    <w:rsid w:val="007022B9"/>
    <w:rsid w:val="00702BF0"/>
    <w:rsid w:val="00703BA7"/>
    <w:rsid w:val="0070526D"/>
    <w:rsid w:val="00711492"/>
    <w:rsid w:val="007131A5"/>
    <w:rsid w:val="0071489C"/>
    <w:rsid w:val="007200A6"/>
    <w:rsid w:val="00724190"/>
    <w:rsid w:val="00725501"/>
    <w:rsid w:val="00730771"/>
    <w:rsid w:val="00733739"/>
    <w:rsid w:val="0073757A"/>
    <w:rsid w:val="00753410"/>
    <w:rsid w:val="00760C6B"/>
    <w:rsid w:val="00765723"/>
    <w:rsid w:val="007740F2"/>
    <w:rsid w:val="007745A6"/>
    <w:rsid w:val="007756E5"/>
    <w:rsid w:val="00776CCD"/>
    <w:rsid w:val="0078057E"/>
    <w:rsid w:val="007831DC"/>
    <w:rsid w:val="007841C0"/>
    <w:rsid w:val="0078510C"/>
    <w:rsid w:val="007862F1"/>
    <w:rsid w:val="00786509"/>
    <w:rsid w:val="00793890"/>
    <w:rsid w:val="00796CCD"/>
    <w:rsid w:val="007A4CA0"/>
    <w:rsid w:val="007A5B2F"/>
    <w:rsid w:val="007B5773"/>
    <w:rsid w:val="007B5ACE"/>
    <w:rsid w:val="007B649C"/>
    <w:rsid w:val="007C4D8F"/>
    <w:rsid w:val="007C655C"/>
    <w:rsid w:val="007D4F27"/>
    <w:rsid w:val="007D791F"/>
    <w:rsid w:val="007E1438"/>
    <w:rsid w:val="007E241A"/>
    <w:rsid w:val="007E26D2"/>
    <w:rsid w:val="007E6B54"/>
    <w:rsid w:val="007F1998"/>
    <w:rsid w:val="007F1CFD"/>
    <w:rsid w:val="007F3204"/>
    <w:rsid w:val="00803914"/>
    <w:rsid w:val="00804892"/>
    <w:rsid w:val="00804EB8"/>
    <w:rsid w:val="00806404"/>
    <w:rsid w:val="00807539"/>
    <w:rsid w:val="008138A9"/>
    <w:rsid w:val="0082071F"/>
    <w:rsid w:val="00826821"/>
    <w:rsid w:val="008304F2"/>
    <w:rsid w:val="00835068"/>
    <w:rsid w:val="00835802"/>
    <w:rsid w:val="008442FB"/>
    <w:rsid w:val="00851D90"/>
    <w:rsid w:val="00852CD2"/>
    <w:rsid w:val="00861512"/>
    <w:rsid w:val="00862EB1"/>
    <w:rsid w:val="00864570"/>
    <w:rsid w:val="00864869"/>
    <w:rsid w:val="008738FA"/>
    <w:rsid w:val="00877908"/>
    <w:rsid w:val="00877A89"/>
    <w:rsid w:val="0088044F"/>
    <w:rsid w:val="0088217B"/>
    <w:rsid w:val="0089165D"/>
    <w:rsid w:val="00896087"/>
    <w:rsid w:val="0089697E"/>
    <w:rsid w:val="008A06DF"/>
    <w:rsid w:val="008A1796"/>
    <w:rsid w:val="008A59AE"/>
    <w:rsid w:val="008A7A42"/>
    <w:rsid w:val="008B1D2E"/>
    <w:rsid w:val="008B3CD1"/>
    <w:rsid w:val="008B7114"/>
    <w:rsid w:val="008B730E"/>
    <w:rsid w:val="008C1196"/>
    <w:rsid w:val="008C14A5"/>
    <w:rsid w:val="008C160B"/>
    <w:rsid w:val="008C1EF1"/>
    <w:rsid w:val="008C2E53"/>
    <w:rsid w:val="008C2F4F"/>
    <w:rsid w:val="008C4091"/>
    <w:rsid w:val="008C6C7D"/>
    <w:rsid w:val="008D01F8"/>
    <w:rsid w:val="008D11BA"/>
    <w:rsid w:val="008D28C7"/>
    <w:rsid w:val="008D33D9"/>
    <w:rsid w:val="008D5368"/>
    <w:rsid w:val="008D545A"/>
    <w:rsid w:val="008D76BC"/>
    <w:rsid w:val="008E5289"/>
    <w:rsid w:val="008E6AFB"/>
    <w:rsid w:val="008E74E0"/>
    <w:rsid w:val="008F0B2E"/>
    <w:rsid w:val="00901616"/>
    <w:rsid w:val="00901E0A"/>
    <w:rsid w:val="009052B2"/>
    <w:rsid w:val="00914A3B"/>
    <w:rsid w:val="00915FA9"/>
    <w:rsid w:val="00921B9C"/>
    <w:rsid w:val="00923883"/>
    <w:rsid w:val="00923FDF"/>
    <w:rsid w:val="009267DF"/>
    <w:rsid w:val="00927926"/>
    <w:rsid w:val="00931F57"/>
    <w:rsid w:val="0093409E"/>
    <w:rsid w:val="00935378"/>
    <w:rsid w:val="00945255"/>
    <w:rsid w:val="00953466"/>
    <w:rsid w:val="00955248"/>
    <w:rsid w:val="00957AFB"/>
    <w:rsid w:val="00963B7D"/>
    <w:rsid w:val="00970036"/>
    <w:rsid w:val="00975747"/>
    <w:rsid w:val="009804AB"/>
    <w:rsid w:val="009821C9"/>
    <w:rsid w:val="009927C3"/>
    <w:rsid w:val="009933EB"/>
    <w:rsid w:val="0099586B"/>
    <w:rsid w:val="009A5BF0"/>
    <w:rsid w:val="009B236A"/>
    <w:rsid w:val="009B42FC"/>
    <w:rsid w:val="009B4C0B"/>
    <w:rsid w:val="009B4DC9"/>
    <w:rsid w:val="009B73F8"/>
    <w:rsid w:val="009C430B"/>
    <w:rsid w:val="009C6BC3"/>
    <w:rsid w:val="009C7CB7"/>
    <w:rsid w:val="009D6228"/>
    <w:rsid w:val="009E20C8"/>
    <w:rsid w:val="009E3154"/>
    <w:rsid w:val="009E423D"/>
    <w:rsid w:val="009E615A"/>
    <w:rsid w:val="009F1C8A"/>
    <w:rsid w:val="009F2004"/>
    <w:rsid w:val="009F2BAE"/>
    <w:rsid w:val="009F49A6"/>
    <w:rsid w:val="009F71E7"/>
    <w:rsid w:val="00A02AEE"/>
    <w:rsid w:val="00A046DC"/>
    <w:rsid w:val="00A14139"/>
    <w:rsid w:val="00A16B49"/>
    <w:rsid w:val="00A2149E"/>
    <w:rsid w:val="00A27D1D"/>
    <w:rsid w:val="00A31194"/>
    <w:rsid w:val="00A452AA"/>
    <w:rsid w:val="00A53B29"/>
    <w:rsid w:val="00A546D2"/>
    <w:rsid w:val="00A560F3"/>
    <w:rsid w:val="00A57A47"/>
    <w:rsid w:val="00A70C5A"/>
    <w:rsid w:val="00A75A00"/>
    <w:rsid w:val="00A87936"/>
    <w:rsid w:val="00A90CCA"/>
    <w:rsid w:val="00A923DC"/>
    <w:rsid w:val="00A94684"/>
    <w:rsid w:val="00A94EB9"/>
    <w:rsid w:val="00A976A4"/>
    <w:rsid w:val="00AA094C"/>
    <w:rsid w:val="00AA2299"/>
    <w:rsid w:val="00AB20BE"/>
    <w:rsid w:val="00AB3CBF"/>
    <w:rsid w:val="00AB7A60"/>
    <w:rsid w:val="00AC26DD"/>
    <w:rsid w:val="00AC3BEB"/>
    <w:rsid w:val="00AC702C"/>
    <w:rsid w:val="00AD6191"/>
    <w:rsid w:val="00AE5A6F"/>
    <w:rsid w:val="00AF079B"/>
    <w:rsid w:val="00B07A5E"/>
    <w:rsid w:val="00B103E7"/>
    <w:rsid w:val="00B10CE6"/>
    <w:rsid w:val="00B1463A"/>
    <w:rsid w:val="00B253BC"/>
    <w:rsid w:val="00B254E1"/>
    <w:rsid w:val="00B26E00"/>
    <w:rsid w:val="00B2717F"/>
    <w:rsid w:val="00B30A99"/>
    <w:rsid w:val="00B30D51"/>
    <w:rsid w:val="00B31F9C"/>
    <w:rsid w:val="00B35C6D"/>
    <w:rsid w:val="00B37224"/>
    <w:rsid w:val="00B425AC"/>
    <w:rsid w:val="00B4486A"/>
    <w:rsid w:val="00B47F2B"/>
    <w:rsid w:val="00B52B42"/>
    <w:rsid w:val="00B5358B"/>
    <w:rsid w:val="00B565FF"/>
    <w:rsid w:val="00B56D81"/>
    <w:rsid w:val="00B66FC6"/>
    <w:rsid w:val="00B71B92"/>
    <w:rsid w:val="00B73B49"/>
    <w:rsid w:val="00B7762B"/>
    <w:rsid w:val="00B77A16"/>
    <w:rsid w:val="00B83911"/>
    <w:rsid w:val="00B8427E"/>
    <w:rsid w:val="00B93AD7"/>
    <w:rsid w:val="00B9529B"/>
    <w:rsid w:val="00BA0537"/>
    <w:rsid w:val="00BA068E"/>
    <w:rsid w:val="00BA1E74"/>
    <w:rsid w:val="00BA20D0"/>
    <w:rsid w:val="00BA5C0C"/>
    <w:rsid w:val="00BA6E0A"/>
    <w:rsid w:val="00BA73BF"/>
    <w:rsid w:val="00BA75AE"/>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07BD4"/>
    <w:rsid w:val="00C11128"/>
    <w:rsid w:val="00C2074D"/>
    <w:rsid w:val="00C24025"/>
    <w:rsid w:val="00C27314"/>
    <w:rsid w:val="00C3705C"/>
    <w:rsid w:val="00C41080"/>
    <w:rsid w:val="00C41A24"/>
    <w:rsid w:val="00C41EFB"/>
    <w:rsid w:val="00C53542"/>
    <w:rsid w:val="00C54418"/>
    <w:rsid w:val="00C55F00"/>
    <w:rsid w:val="00C60184"/>
    <w:rsid w:val="00C60F8C"/>
    <w:rsid w:val="00C62121"/>
    <w:rsid w:val="00C65492"/>
    <w:rsid w:val="00C674C2"/>
    <w:rsid w:val="00C67AB6"/>
    <w:rsid w:val="00C751F2"/>
    <w:rsid w:val="00C77FE9"/>
    <w:rsid w:val="00C8056A"/>
    <w:rsid w:val="00C80A73"/>
    <w:rsid w:val="00C80B41"/>
    <w:rsid w:val="00C84F1F"/>
    <w:rsid w:val="00C93300"/>
    <w:rsid w:val="00C94B60"/>
    <w:rsid w:val="00CA1A14"/>
    <w:rsid w:val="00CA529E"/>
    <w:rsid w:val="00CB48DC"/>
    <w:rsid w:val="00CB589D"/>
    <w:rsid w:val="00CB67AC"/>
    <w:rsid w:val="00CC052C"/>
    <w:rsid w:val="00CC2F68"/>
    <w:rsid w:val="00CC35D2"/>
    <w:rsid w:val="00CC6EFB"/>
    <w:rsid w:val="00CD0DDE"/>
    <w:rsid w:val="00CD1309"/>
    <w:rsid w:val="00CD17EB"/>
    <w:rsid w:val="00CD29CB"/>
    <w:rsid w:val="00CD4010"/>
    <w:rsid w:val="00CD656C"/>
    <w:rsid w:val="00CD7799"/>
    <w:rsid w:val="00CE2D10"/>
    <w:rsid w:val="00CE30D1"/>
    <w:rsid w:val="00CE3DB5"/>
    <w:rsid w:val="00CE7A8D"/>
    <w:rsid w:val="00CF1757"/>
    <w:rsid w:val="00CF51F0"/>
    <w:rsid w:val="00CF52D9"/>
    <w:rsid w:val="00CF742B"/>
    <w:rsid w:val="00CF7BE1"/>
    <w:rsid w:val="00D02869"/>
    <w:rsid w:val="00D03436"/>
    <w:rsid w:val="00D03451"/>
    <w:rsid w:val="00D06959"/>
    <w:rsid w:val="00D07C37"/>
    <w:rsid w:val="00D107DE"/>
    <w:rsid w:val="00D13B02"/>
    <w:rsid w:val="00D237F7"/>
    <w:rsid w:val="00D23A73"/>
    <w:rsid w:val="00D261F6"/>
    <w:rsid w:val="00D34375"/>
    <w:rsid w:val="00D47C94"/>
    <w:rsid w:val="00D5055B"/>
    <w:rsid w:val="00D51669"/>
    <w:rsid w:val="00D520F1"/>
    <w:rsid w:val="00D56190"/>
    <w:rsid w:val="00D57E12"/>
    <w:rsid w:val="00D623CD"/>
    <w:rsid w:val="00D62D21"/>
    <w:rsid w:val="00D63500"/>
    <w:rsid w:val="00D64500"/>
    <w:rsid w:val="00D721B8"/>
    <w:rsid w:val="00D73EFC"/>
    <w:rsid w:val="00D754A5"/>
    <w:rsid w:val="00D76AD0"/>
    <w:rsid w:val="00D81CB1"/>
    <w:rsid w:val="00D879B4"/>
    <w:rsid w:val="00D87F5B"/>
    <w:rsid w:val="00D90AC4"/>
    <w:rsid w:val="00D9437D"/>
    <w:rsid w:val="00D94D1D"/>
    <w:rsid w:val="00D96E3F"/>
    <w:rsid w:val="00DA1516"/>
    <w:rsid w:val="00DA2445"/>
    <w:rsid w:val="00DA3A26"/>
    <w:rsid w:val="00DA5F8F"/>
    <w:rsid w:val="00DA6233"/>
    <w:rsid w:val="00DA7E66"/>
    <w:rsid w:val="00DB3796"/>
    <w:rsid w:val="00DC050F"/>
    <w:rsid w:val="00DC4A5E"/>
    <w:rsid w:val="00DC5246"/>
    <w:rsid w:val="00DC7B44"/>
    <w:rsid w:val="00DD16D1"/>
    <w:rsid w:val="00DE1A07"/>
    <w:rsid w:val="00DE3D44"/>
    <w:rsid w:val="00DF0D03"/>
    <w:rsid w:val="00DF219A"/>
    <w:rsid w:val="00DF4B58"/>
    <w:rsid w:val="00DF511F"/>
    <w:rsid w:val="00DF56E7"/>
    <w:rsid w:val="00E040B8"/>
    <w:rsid w:val="00E061B5"/>
    <w:rsid w:val="00E12F7F"/>
    <w:rsid w:val="00E1587D"/>
    <w:rsid w:val="00E16B00"/>
    <w:rsid w:val="00E20D5A"/>
    <w:rsid w:val="00E222EA"/>
    <w:rsid w:val="00E24549"/>
    <w:rsid w:val="00E24D1C"/>
    <w:rsid w:val="00E26EA7"/>
    <w:rsid w:val="00E33FF6"/>
    <w:rsid w:val="00E34609"/>
    <w:rsid w:val="00E36613"/>
    <w:rsid w:val="00E414CA"/>
    <w:rsid w:val="00E46928"/>
    <w:rsid w:val="00E471C3"/>
    <w:rsid w:val="00E473DD"/>
    <w:rsid w:val="00E503EA"/>
    <w:rsid w:val="00E51789"/>
    <w:rsid w:val="00E5514D"/>
    <w:rsid w:val="00E5641D"/>
    <w:rsid w:val="00E61587"/>
    <w:rsid w:val="00E64ACE"/>
    <w:rsid w:val="00E66814"/>
    <w:rsid w:val="00E70758"/>
    <w:rsid w:val="00E73F6A"/>
    <w:rsid w:val="00E77C7F"/>
    <w:rsid w:val="00E77D29"/>
    <w:rsid w:val="00E805D4"/>
    <w:rsid w:val="00E82DB4"/>
    <w:rsid w:val="00E833C2"/>
    <w:rsid w:val="00E8681C"/>
    <w:rsid w:val="00E87B78"/>
    <w:rsid w:val="00EA02E2"/>
    <w:rsid w:val="00EA5615"/>
    <w:rsid w:val="00EA7AB6"/>
    <w:rsid w:val="00EB0AD9"/>
    <w:rsid w:val="00EB39A0"/>
    <w:rsid w:val="00EB6795"/>
    <w:rsid w:val="00EC3E65"/>
    <w:rsid w:val="00EC3F8A"/>
    <w:rsid w:val="00EC4FF3"/>
    <w:rsid w:val="00EC6DFA"/>
    <w:rsid w:val="00ED34A0"/>
    <w:rsid w:val="00ED4D51"/>
    <w:rsid w:val="00EE0E01"/>
    <w:rsid w:val="00EF0010"/>
    <w:rsid w:val="00EF1C47"/>
    <w:rsid w:val="00EF3296"/>
    <w:rsid w:val="00EF3549"/>
    <w:rsid w:val="00EF406C"/>
    <w:rsid w:val="00F01922"/>
    <w:rsid w:val="00F020D9"/>
    <w:rsid w:val="00F025CE"/>
    <w:rsid w:val="00F068CD"/>
    <w:rsid w:val="00F1200C"/>
    <w:rsid w:val="00F16AFA"/>
    <w:rsid w:val="00F179D6"/>
    <w:rsid w:val="00F17A59"/>
    <w:rsid w:val="00F21DE0"/>
    <w:rsid w:val="00F2780E"/>
    <w:rsid w:val="00F365F4"/>
    <w:rsid w:val="00F4097F"/>
    <w:rsid w:val="00F4712B"/>
    <w:rsid w:val="00F47BDF"/>
    <w:rsid w:val="00F50272"/>
    <w:rsid w:val="00F50D8F"/>
    <w:rsid w:val="00F574AE"/>
    <w:rsid w:val="00F57AAC"/>
    <w:rsid w:val="00F6632C"/>
    <w:rsid w:val="00F67175"/>
    <w:rsid w:val="00F675D3"/>
    <w:rsid w:val="00F70677"/>
    <w:rsid w:val="00F708BC"/>
    <w:rsid w:val="00F8589C"/>
    <w:rsid w:val="00F8684A"/>
    <w:rsid w:val="00F94342"/>
    <w:rsid w:val="00F96BD4"/>
    <w:rsid w:val="00FA241A"/>
    <w:rsid w:val="00FA2FDC"/>
    <w:rsid w:val="00FA6B6E"/>
    <w:rsid w:val="00FA6D95"/>
    <w:rsid w:val="00FA71A2"/>
    <w:rsid w:val="00FB1F36"/>
    <w:rsid w:val="00FB528D"/>
    <w:rsid w:val="00FB5B96"/>
    <w:rsid w:val="00FB6276"/>
    <w:rsid w:val="00FC1B30"/>
    <w:rsid w:val="00FD0185"/>
    <w:rsid w:val="00FE056B"/>
    <w:rsid w:val="00FE11DF"/>
    <w:rsid w:val="00FE5D02"/>
    <w:rsid w:val="00FF3662"/>
    <w:rsid w:val="00FF3BF4"/>
    <w:rsid w:val="00FF6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3E109DB6-B70D-409E-A957-E115A94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447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66FB-5F34-4422-B311-54C1CF655C7F}">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e5bb04e-596e-45bd-9003-43ca78b1ba16"/>
    <ds:schemaRef ds:uri="http://www.w3.org/XML/1998/namespace"/>
    <ds:schemaRef ds:uri="http://purl.org/dc/terms/"/>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2764123A-A0FB-4BCB-AF5E-898A2947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68E933-75DB-4871-803C-456A653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5994</Words>
  <Characters>3417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G.Goldmane</dc:creator>
  <dc:description>t.67083979 Ginta Goldmane ginta.goldmane@fm.gov.lv</dc:description>
  <cp:lastModifiedBy>Ginta Goldmane</cp:lastModifiedBy>
  <cp:revision>3</cp:revision>
  <cp:lastPrinted>2014-08-19T08:15:00Z</cp:lastPrinted>
  <dcterms:created xsi:type="dcterms:W3CDTF">2015-01-14T09:36:00Z</dcterms:created>
  <dcterms:modified xsi:type="dcterms:W3CDTF">2015-01-14T13:34:00Z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