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90" w:rsidRDefault="00534190" w:rsidP="00B443A9">
      <w:pPr>
        <w:jc w:val="center"/>
        <w:rPr>
          <w:b/>
          <w:sz w:val="26"/>
          <w:szCs w:val="26"/>
        </w:rPr>
      </w:pPr>
    </w:p>
    <w:p w:rsidR="00B443A9" w:rsidRPr="001E2369" w:rsidRDefault="008C32DD" w:rsidP="00B443A9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Ministru kabineta noteikumu projekt</w:t>
      </w:r>
      <w:r w:rsidR="00BE7332">
        <w:rPr>
          <w:b/>
          <w:sz w:val="26"/>
          <w:szCs w:val="26"/>
        </w:rPr>
        <w:t>a</w:t>
      </w:r>
      <w:r w:rsidR="00F031FB" w:rsidRPr="001E2369">
        <w:rPr>
          <w:b/>
          <w:sz w:val="26"/>
          <w:szCs w:val="26"/>
        </w:rPr>
        <w:t xml:space="preserve"> </w:t>
      </w:r>
      <w:r w:rsidR="00D73EB0" w:rsidRPr="001E2369">
        <w:rPr>
          <w:b/>
          <w:sz w:val="26"/>
          <w:szCs w:val="26"/>
        </w:rPr>
        <w:t>"</w:t>
      </w:r>
      <w:r w:rsidR="00B443A9" w:rsidRPr="001E2369">
        <w:rPr>
          <w:b/>
          <w:bCs/>
          <w:sz w:val="26"/>
          <w:szCs w:val="26"/>
        </w:rPr>
        <w:t>Grozījumi Ministru kabineta 2007.gada 3.aprīļa noteikumos Nr.233</w:t>
      </w:r>
    </w:p>
    <w:p w:rsidR="001B71CD" w:rsidRDefault="00B443A9" w:rsidP="00EE2BA1">
      <w:pPr>
        <w:jc w:val="center"/>
        <w:rPr>
          <w:b/>
          <w:bCs/>
          <w:sz w:val="26"/>
          <w:szCs w:val="26"/>
        </w:rPr>
      </w:pPr>
      <w:r w:rsidRPr="001E2369">
        <w:rPr>
          <w:b/>
          <w:bCs/>
          <w:sz w:val="26"/>
          <w:szCs w:val="26"/>
        </w:rPr>
        <w:t xml:space="preserve">„Finanšu sektora attīstības padomes nolikums” </w:t>
      </w:r>
      <w:r w:rsidR="00F031FB" w:rsidRPr="001E2369">
        <w:rPr>
          <w:b/>
          <w:bCs/>
          <w:sz w:val="26"/>
          <w:szCs w:val="26"/>
        </w:rPr>
        <w:t>sākotnējās ietekmes novērtējuma ziņojums (anotācija)</w:t>
      </w:r>
    </w:p>
    <w:p w:rsidR="00534190" w:rsidRPr="00EE2BA1" w:rsidRDefault="00534190" w:rsidP="00EE2BA1">
      <w:pPr>
        <w:jc w:val="center"/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852042" w:rsidRPr="00045B81" w:rsidTr="009D28A5">
        <w:tc>
          <w:tcPr>
            <w:tcW w:w="9725" w:type="dxa"/>
            <w:gridSpan w:val="3"/>
            <w:vAlign w:val="center"/>
          </w:tcPr>
          <w:p w:rsidR="00852042" w:rsidRPr="00045B81" w:rsidRDefault="00852042" w:rsidP="006C4607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I</w:t>
            </w:r>
            <w:r w:rsidR="000941C5" w:rsidRPr="00045B81">
              <w:rPr>
                <w:sz w:val="26"/>
                <w:szCs w:val="26"/>
              </w:rPr>
              <w:t>.</w:t>
            </w:r>
            <w:r w:rsidRPr="00045B81">
              <w:rPr>
                <w:sz w:val="26"/>
                <w:szCs w:val="26"/>
              </w:rPr>
              <w:t xml:space="preserve"> Tiesību akta </w:t>
            </w:r>
            <w:r w:rsidR="002E3FF4" w:rsidRPr="00045B81">
              <w:rPr>
                <w:sz w:val="26"/>
                <w:szCs w:val="26"/>
              </w:rPr>
              <w:t xml:space="preserve">projekta </w:t>
            </w:r>
            <w:r w:rsidRPr="00045B81">
              <w:rPr>
                <w:sz w:val="26"/>
                <w:szCs w:val="26"/>
              </w:rPr>
              <w:t>izstrādes nepieciešamība</w:t>
            </w:r>
          </w:p>
        </w:tc>
      </w:tr>
      <w:tr w:rsidR="00262E2B" w:rsidRPr="00045B81" w:rsidTr="009D28A5">
        <w:trPr>
          <w:trHeight w:val="630"/>
        </w:trPr>
        <w:tc>
          <w:tcPr>
            <w:tcW w:w="550" w:type="dxa"/>
          </w:tcPr>
          <w:p w:rsidR="00262E2B" w:rsidRPr="00045B81" w:rsidRDefault="00262E2B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1.</w:t>
            </w:r>
          </w:p>
        </w:tc>
        <w:tc>
          <w:tcPr>
            <w:tcW w:w="4315" w:type="dxa"/>
          </w:tcPr>
          <w:p w:rsidR="00262E2B" w:rsidRPr="00045B81" w:rsidRDefault="002D7F54" w:rsidP="006C4607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Pamatojums</w:t>
            </w:r>
          </w:p>
        </w:tc>
        <w:tc>
          <w:tcPr>
            <w:tcW w:w="4860" w:type="dxa"/>
          </w:tcPr>
          <w:p w:rsidR="00454617" w:rsidRDefault="009B0ECA" w:rsidP="001D711B">
            <w:pPr>
              <w:spacing w:after="120"/>
              <w:jc w:val="both"/>
              <w:rPr>
                <w:sz w:val="26"/>
                <w:szCs w:val="26"/>
              </w:rPr>
            </w:pPr>
            <w:r w:rsidRPr="005D3798">
              <w:rPr>
                <w:sz w:val="26"/>
                <w:szCs w:val="26"/>
              </w:rPr>
              <w:t>Finanšu sektora attīstības padomes 2014. gada 20. februāra sēdes lēmums, ar kuru nolemts izdarīt grozījumus</w:t>
            </w:r>
            <w:r w:rsidRPr="005D3798">
              <w:rPr>
                <w:b/>
                <w:sz w:val="26"/>
                <w:szCs w:val="26"/>
              </w:rPr>
              <w:t xml:space="preserve"> </w:t>
            </w:r>
            <w:r w:rsidRPr="005D3798">
              <w:rPr>
                <w:sz w:val="26"/>
                <w:szCs w:val="26"/>
              </w:rPr>
              <w:t>Ministru kabineta 2007. gada 3.aprīļa noteikumos Nr. 233 "Finanšu sektora attīstības padomes nolikums"</w:t>
            </w:r>
            <w:r w:rsidR="001A33EA">
              <w:rPr>
                <w:sz w:val="26"/>
                <w:szCs w:val="26"/>
              </w:rPr>
              <w:t xml:space="preserve"> (turpmāk – MK noteikumi)</w:t>
            </w:r>
            <w:r w:rsidRPr="005D3798">
              <w:rPr>
                <w:sz w:val="26"/>
                <w:szCs w:val="26"/>
              </w:rPr>
              <w:t>.</w:t>
            </w:r>
          </w:p>
          <w:p w:rsidR="001A33EA" w:rsidRPr="001E2369" w:rsidRDefault="001A33EA" w:rsidP="001D711B">
            <w:pPr>
              <w:spacing w:after="120"/>
              <w:jc w:val="both"/>
              <w:rPr>
                <w:sz w:val="26"/>
                <w:szCs w:val="26"/>
              </w:rPr>
            </w:pPr>
            <w:r w:rsidRPr="001A33EA">
              <w:rPr>
                <w:bCs/>
                <w:color w:val="000000"/>
                <w:sz w:val="26"/>
                <w:szCs w:val="26"/>
              </w:rPr>
              <w:t>Noziedzīgi iegūtu līdzekļu legalizācijas un terorisma finansēšanas novēršanas</w:t>
            </w:r>
            <w:r w:rsidR="00715E6B">
              <w:rPr>
                <w:bCs/>
                <w:color w:val="000000"/>
                <w:sz w:val="26"/>
                <w:szCs w:val="26"/>
              </w:rPr>
              <w:t xml:space="preserve"> likuma 61. panta otr</w:t>
            </w:r>
            <w:r w:rsidRPr="001A33EA">
              <w:rPr>
                <w:bCs/>
                <w:color w:val="000000"/>
                <w:sz w:val="26"/>
                <w:szCs w:val="26"/>
              </w:rPr>
              <w:t>ā daļ</w:t>
            </w:r>
            <w:r>
              <w:rPr>
                <w:bCs/>
                <w:color w:val="000000"/>
                <w:sz w:val="26"/>
                <w:szCs w:val="26"/>
              </w:rPr>
              <w:t>a.</w:t>
            </w:r>
          </w:p>
        </w:tc>
      </w:tr>
      <w:tr w:rsidR="00262E2B" w:rsidRPr="00045B81" w:rsidTr="009D28A5">
        <w:trPr>
          <w:trHeight w:val="472"/>
        </w:trPr>
        <w:tc>
          <w:tcPr>
            <w:tcW w:w="550" w:type="dxa"/>
          </w:tcPr>
          <w:p w:rsidR="00262E2B" w:rsidRPr="00045B81" w:rsidRDefault="00262E2B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2.</w:t>
            </w:r>
          </w:p>
        </w:tc>
        <w:tc>
          <w:tcPr>
            <w:tcW w:w="4315" w:type="dxa"/>
          </w:tcPr>
          <w:p w:rsidR="00D543DB" w:rsidRPr="00045B81" w:rsidRDefault="00262E2B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Pašreizējā situācija</w:t>
            </w:r>
            <w:r w:rsidR="001F5CD6" w:rsidRPr="00045B81">
              <w:rPr>
                <w:sz w:val="26"/>
                <w:szCs w:val="26"/>
              </w:rPr>
              <w:t xml:space="preserve"> un problēmas</w:t>
            </w:r>
            <w:r w:rsidR="00DC7EC8">
              <w:rPr>
                <w:sz w:val="26"/>
                <w:szCs w:val="26"/>
              </w:rPr>
              <w:t>, kuru risināšanai tiesību akta projekts izstrādāts, tiesiskā regulējuma mērķis un būtība</w:t>
            </w:r>
            <w:r w:rsidR="001B71CD" w:rsidRPr="00045B81">
              <w:rPr>
                <w:sz w:val="26"/>
                <w:szCs w:val="26"/>
              </w:rPr>
              <w:t xml:space="preserve"> </w:t>
            </w:r>
          </w:p>
          <w:p w:rsidR="00D543DB" w:rsidRPr="00045B81" w:rsidRDefault="00D543DB" w:rsidP="00D543DB">
            <w:pPr>
              <w:rPr>
                <w:sz w:val="26"/>
                <w:szCs w:val="26"/>
              </w:rPr>
            </w:pPr>
          </w:p>
          <w:p w:rsidR="00D543DB" w:rsidRPr="00045B81" w:rsidRDefault="00D543DB" w:rsidP="00D543DB">
            <w:pPr>
              <w:rPr>
                <w:sz w:val="26"/>
                <w:szCs w:val="26"/>
              </w:rPr>
            </w:pPr>
          </w:p>
          <w:p w:rsidR="00262E2B" w:rsidRPr="00045B81" w:rsidRDefault="00262E2B" w:rsidP="00D543DB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A33EA" w:rsidRPr="001A33EA" w:rsidRDefault="001A33EA" w:rsidP="001A33EA">
            <w:pPr>
              <w:jc w:val="both"/>
              <w:rPr>
                <w:bCs/>
                <w:sz w:val="26"/>
                <w:szCs w:val="26"/>
              </w:rPr>
            </w:pPr>
            <w:r w:rsidRPr="001A33EA">
              <w:rPr>
                <w:sz w:val="26"/>
                <w:szCs w:val="26"/>
              </w:rPr>
              <w:t xml:space="preserve">Ministru kabineta noteikumu projekts </w:t>
            </w:r>
            <w:r w:rsidR="00715E6B">
              <w:rPr>
                <w:sz w:val="26"/>
                <w:szCs w:val="26"/>
              </w:rPr>
              <w:t>“</w:t>
            </w:r>
            <w:r w:rsidRPr="001A33EA">
              <w:rPr>
                <w:bCs/>
                <w:sz w:val="26"/>
                <w:szCs w:val="26"/>
              </w:rPr>
              <w:t>Grozījumi Ministru kabineta 2007.gada 3.aprīļa noteikumos Nr.233</w:t>
            </w:r>
          </w:p>
          <w:p w:rsidR="00C8785E" w:rsidRPr="00715E6B" w:rsidRDefault="001A33EA" w:rsidP="001A33EA">
            <w:pPr>
              <w:jc w:val="both"/>
              <w:rPr>
                <w:color w:val="000000"/>
                <w:sz w:val="26"/>
                <w:szCs w:val="26"/>
              </w:rPr>
            </w:pPr>
            <w:r w:rsidRPr="001A33EA">
              <w:rPr>
                <w:bCs/>
                <w:sz w:val="26"/>
                <w:szCs w:val="26"/>
              </w:rPr>
              <w:t xml:space="preserve">„Finanšu sektora </w:t>
            </w:r>
            <w:r w:rsidRPr="00715E6B">
              <w:rPr>
                <w:bCs/>
                <w:sz w:val="26"/>
                <w:szCs w:val="26"/>
              </w:rPr>
              <w:t>attīstības padomes nolikums”</w:t>
            </w:r>
            <w:r w:rsidRPr="00715E6B">
              <w:rPr>
                <w:b/>
                <w:bCs/>
                <w:sz w:val="26"/>
                <w:szCs w:val="26"/>
              </w:rPr>
              <w:t xml:space="preserve"> </w:t>
            </w:r>
            <w:r w:rsidR="00715E6B">
              <w:rPr>
                <w:b/>
                <w:bCs/>
                <w:sz w:val="26"/>
                <w:szCs w:val="26"/>
              </w:rPr>
              <w:t>“</w:t>
            </w:r>
            <w:r w:rsidRPr="00715E6B">
              <w:rPr>
                <w:b/>
                <w:bCs/>
                <w:sz w:val="26"/>
                <w:szCs w:val="26"/>
              </w:rPr>
              <w:t xml:space="preserve"> </w:t>
            </w:r>
            <w:r w:rsidRPr="00715E6B">
              <w:rPr>
                <w:bCs/>
                <w:sz w:val="26"/>
                <w:szCs w:val="26"/>
              </w:rPr>
              <w:t xml:space="preserve">(turpmāk - </w:t>
            </w:r>
            <w:r w:rsidR="00EC0092" w:rsidRPr="00715E6B">
              <w:rPr>
                <w:color w:val="000000"/>
                <w:sz w:val="26"/>
                <w:szCs w:val="26"/>
              </w:rPr>
              <w:t>Noteikumu projekts</w:t>
            </w:r>
            <w:r w:rsidRPr="00715E6B">
              <w:rPr>
                <w:color w:val="000000"/>
                <w:sz w:val="26"/>
                <w:szCs w:val="26"/>
              </w:rPr>
              <w:t>)</w:t>
            </w:r>
            <w:r w:rsidR="00EC0092" w:rsidRPr="00715E6B">
              <w:rPr>
                <w:color w:val="000000"/>
                <w:sz w:val="26"/>
                <w:szCs w:val="26"/>
              </w:rPr>
              <w:t xml:space="preserve"> izstrādāts saskaņā ar Valsts pārva</w:t>
            </w:r>
            <w:r w:rsidR="006F445E" w:rsidRPr="00715E6B">
              <w:rPr>
                <w:color w:val="000000"/>
                <w:sz w:val="26"/>
                <w:szCs w:val="26"/>
              </w:rPr>
              <w:t xml:space="preserve">ldes iekārtas likuma 13. pantu  un </w:t>
            </w:r>
            <w:r w:rsidR="00EC0092" w:rsidRPr="00715E6B">
              <w:rPr>
                <w:bCs/>
                <w:color w:val="000000"/>
                <w:sz w:val="26"/>
                <w:szCs w:val="26"/>
              </w:rPr>
              <w:t>Noziedzīgi iegūtu līdzekļu legalizācijas un terorisma finansēšanas novēršanas</w:t>
            </w:r>
            <w:r w:rsidR="007840DE" w:rsidRPr="00715E6B">
              <w:rPr>
                <w:bCs/>
                <w:color w:val="000000"/>
                <w:sz w:val="26"/>
                <w:szCs w:val="26"/>
              </w:rPr>
              <w:t xml:space="preserve"> likuma 61. panta otrajā daļā </w:t>
            </w:r>
            <w:r w:rsidR="00EC0092" w:rsidRPr="00715E6B">
              <w:rPr>
                <w:bCs/>
                <w:color w:val="000000"/>
                <w:sz w:val="26"/>
                <w:szCs w:val="26"/>
              </w:rPr>
              <w:t>ietvert</w:t>
            </w:r>
            <w:r w:rsidR="006F445E" w:rsidRPr="00715E6B">
              <w:rPr>
                <w:bCs/>
                <w:color w:val="000000"/>
                <w:sz w:val="26"/>
                <w:szCs w:val="26"/>
              </w:rPr>
              <w:t>o</w:t>
            </w:r>
            <w:r w:rsidR="00EC0092" w:rsidRPr="00715E6B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6F445E" w:rsidRPr="00715E6B">
              <w:rPr>
                <w:bCs/>
                <w:color w:val="000000"/>
                <w:sz w:val="26"/>
                <w:szCs w:val="26"/>
              </w:rPr>
              <w:t>deleģējumu</w:t>
            </w:r>
            <w:r w:rsidR="00EC0092" w:rsidRPr="00715E6B">
              <w:rPr>
                <w:bCs/>
                <w:color w:val="000000"/>
                <w:sz w:val="26"/>
                <w:szCs w:val="26"/>
              </w:rPr>
              <w:t xml:space="preserve">, kas nosaka pienākumu Ministru kabinetam noteikt </w:t>
            </w:r>
            <w:r w:rsidR="00EC0092" w:rsidRPr="00715E6B">
              <w:rPr>
                <w:color w:val="000000"/>
                <w:sz w:val="26"/>
                <w:szCs w:val="26"/>
              </w:rPr>
              <w:t>Finanšu sektora attīstības padomes sastāvu, funkcijas, uzdevumus, tiesības, lēmumu pieņemšanas kārtību un darba org</w:t>
            </w:r>
            <w:r w:rsidR="006F445E" w:rsidRPr="00715E6B">
              <w:rPr>
                <w:color w:val="000000"/>
                <w:sz w:val="26"/>
                <w:szCs w:val="26"/>
              </w:rPr>
              <w:t xml:space="preserve">anizāciju. </w:t>
            </w:r>
          </w:p>
          <w:p w:rsidR="00E75511" w:rsidRPr="00376F41" w:rsidRDefault="006F445E" w:rsidP="00BE7332">
            <w:pPr>
              <w:jc w:val="both"/>
              <w:rPr>
                <w:sz w:val="26"/>
                <w:szCs w:val="26"/>
              </w:rPr>
            </w:pPr>
            <w:r w:rsidRPr="00715E6B">
              <w:rPr>
                <w:color w:val="000000"/>
                <w:sz w:val="26"/>
                <w:szCs w:val="26"/>
              </w:rPr>
              <w:t xml:space="preserve">Ņemot vērā minēto, </w:t>
            </w:r>
            <w:r w:rsidR="00BE7332">
              <w:rPr>
                <w:color w:val="000000"/>
                <w:sz w:val="26"/>
                <w:szCs w:val="26"/>
              </w:rPr>
              <w:t>N</w:t>
            </w:r>
            <w:r w:rsidRPr="00715E6B">
              <w:rPr>
                <w:color w:val="000000"/>
                <w:sz w:val="26"/>
                <w:szCs w:val="26"/>
              </w:rPr>
              <w:t xml:space="preserve">oteikumu projekts </w:t>
            </w:r>
            <w:r w:rsidR="00C8785E" w:rsidRPr="00715E6B">
              <w:rPr>
                <w:color w:val="000000"/>
                <w:sz w:val="26"/>
                <w:szCs w:val="26"/>
              </w:rPr>
              <w:t>paredz</w:t>
            </w:r>
            <w:r w:rsidRPr="00715E6B">
              <w:rPr>
                <w:color w:val="000000"/>
                <w:sz w:val="26"/>
                <w:szCs w:val="26"/>
              </w:rPr>
              <w:t xml:space="preserve"> </w:t>
            </w:r>
            <w:r w:rsidR="00C8785E" w:rsidRPr="00715E6B">
              <w:rPr>
                <w:color w:val="000000"/>
                <w:sz w:val="26"/>
                <w:szCs w:val="26"/>
              </w:rPr>
              <w:t>Finanšu sektora attīstības padomes sastāva</w:t>
            </w:r>
            <w:r w:rsidR="00BE7332">
              <w:rPr>
                <w:color w:val="000000"/>
                <w:sz w:val="26"/>
                <w:szCs w:val="26"/>
              </w:rPr>
              <w:t xml:space="preserve"> papildināšanu ar e</w:t>
            </w:r>
            <w:r w:rsidR="00C8785E">
              <w:rPr>
                <w:color w:val="000000"/>
                <w:sz w:val="26"/>
                <w:szCs w:val="26"/>
              </w:rPr>
              <w:t>konomikas ministru un Noziedzīgi iegūtu līdzekļu legalizācijas novēršanas dienesta priekšnieku</w:t>
            </w:r>
            <w:r w:rsidR="00715E6B">
              <w:rPr>
                <w:color w:val="000000"/>
                <w:sz w:val="26"/>
                <w:szCs w:val="26"/>
              </w:rPr>
              <w:t>, lai varētu vispusīgāk realizēt valsts finanšu sektora attīstības padomes darbības mērķus.</w:t>
            </w:r>
          </w:p>
        </w:tc>
      </w:tr>
      <w:tr w:rsidR="00262E2B" w:rsidRPr="00045B81" w:rsidTr="00715E6B">
        <w:trPr>
          <w:trHeight w:val="803"/>
        </w:trPr>
        <w:tc>
          <w:tcPr>
            <w:tcW w:w="550" w:type="dxa"/>
          </w:tcPr>
          <w:p w:rsidR="00262E2B" w:rsidRPr="00045B81" w:rsidRDefault="00262E2B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3.</w:t>
            </w:r>
          </w:p>
        </w:tc>
        <w:tc>
          <w:tcPr>
            <w:tcW w:w="4315" w:type="dxa"/>
          </w:tcPr>
          <w:p w:rsidR="00262E2B" w:rsidRPr="00045B81" w:rsidRDefault="00DC7EC8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4860" w:type="dxa"/>
          </w:tcPr>
          <w:p w:rsidR="00D20FF4" w:rsidRPr="00045B81" w:rsidRDefault="00376F41" w:rsidP="00715E6B">
            <w:pPr>
              <w:pStyle w:val="naisc"/>
              <w:spacing w:before="0" w:after="0"/>
              <w:jc w:val="both"/>
              <w:rPr>
                <w:sz w:val="26"/>
                <w:szCs w:val="26"/>
              </w:rPr>
            </w:pPr>
            <w:r w:rsidRPr="00376F41">
              <w:rPr>
                <w:sz w:val="26"/>
                <w:szCs w:val="26"/>
              </w:rPr>
              <w:t>Finanšu ministrija</w:t>
            </w:r>
            <w:r w:rsidR="007840DE">
              <w:rPr>
                <w:sz w:val="26"/>
                <w:szCs w:val="26"/>
              </w:rPr>
              <w:t xml:space="preserve"> un Finanšu un kapitāla tirgus komisija</w:t>
            </w:r>
            <w:r w:rsidRPr="00376F41">
              <w:rPr>
                <w:sz w:val="26"/>
                <w:szCs w:val="26"/>
              </w:rPr>
              <w:t>.</w:t>
            </w:r>
          </w:p>
        </w:tc>
      </w:tr>
      <w:tr w:rsidR="00262E2B" w:rsidRPr="00045B81" w:rsidTr="009D28A5">
        <w:tc>
          <w:tcPr>
            <w:tcW w:w="550" w:type="dxa"/>
          </w:tcPr>
          <w:p w:rsidR="00262E2B" w:rsidRPr="00045B81" w:rsidRDefault="00997609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62E2B" w:rsidRPr="00045B81">
              <w:rPr>
                <w:sz w:val="26"/>
                <w:szCs w:val="26"/>
              </w:rPr>
              <w:t>.</w:t>
            </w:r>
          </w:p>
        </w:tc>
        <w:tc>
          <w:tcPr>
            <w:tcW w:w="4315" w:type="dxa"/>
          </w:tcPr>
          <w:p w:rsidR="00262E2B" w:rsidRPr="00045B81" w:rsidRDefault="00262E2B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Cita informācija</w:t>
            </w:r>
          </w:p>
        </w:tc>
        <w:tc>
          <w:tcPr>
            <w:tcW w:w="4860" w:type="dxa"/>
          </w:tcPr>
          <w:p w:rsidR="00262E2B" w:rsidRPr="00045B81" w:rsidRDefault="001B71CD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Nav.</w:t>
            </w:r>
          </w:p>
        </w:tc>
      </w:tr>
    </w:tbl>
    <w:p w:rsidR="00045B81" w:rsidRDefault="00045B81" w:rsidP="00A27EDB">
      <w:pPr>
        <w:pStyle w:val="naisf"/>
        <w:spacing w:before="0" w:after="0"/>
        <w:ind w:firstLine="0"/>
        <w:rPr>
          <w:sz w:val="26"/>
          <w:szCs w:val="26"/>
        </w:rPr>
      </w:pPr>
    </w:p>
    <w:p w:rsidR="00011CD8" w:rsidRDefault="00011CD8" w:rsidP="00A27EDB">
      <w:pPr>
        <w:pStyle w:val="naisf"/>
        <w:spacing w:before="0" w:after="0"/>
        <w:ind w:firstLine="0"/>
        <w:rPr>
          <w:sz w:val="26"/>
          <w:szCs w:val="26"/>
        </w:rPr>
      </w:pPr>
    </w:p>
    <w:p w:rsidR="00534190" w:rsidRDefault="00534190" w:rsidP="00A27EDB">
      <w:pPr>
        <w:pStyle w:val="naisf"/>
        <w:spacing w:before="0" w:after="0"/>
        <w:ind w:firstLine="0"/>
        <w:rPr>
          <w:sz w:val="26"/>
          <w:szCs w:val="26"/>
        </w:rPr>
      </w:pPr>
    </w:p>
    <w:p w:rsidR="00534190" w:rsidRDefault="00534190" w:rsidP="00A27EDB">
      <w:pPr>
        <w:pStyle w:val="naisf"/>
        <w:spacing w:before="0" w:after="0"/>
        <w:ind w:firstLine="0"/>
        <w:rPr>
          <w:sz w:val="26"/>
          <w:szCs w:val="26"/>
        </w:rPr>
      </w:pPr>
    </w:p>
    <w:p w:rsidR="00715E6B" w:rsidRPr="00045B81" w:rsidRDefault="00715E6B" w:rsidP="00A27EDB">
      <w:pPr>
        <w:pStyle w:val="naisf"/>
        <w:spacing w:before="0" w:after="0"/>
        <w:ind w:firstLine="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4855"/>
        <w:gridCol w:w="4371"/>
      </w:tblGrid>
      <w:tr w:rsidR="0062298A" w:rsidRPr="00045B81" w:rsidTr="00EE2BA1">
        <w:tc>
          <w:tcPr>
            <w:tcW w:w="9928" w:type="dxa"/>
            <w:gridSpan w:val="3"/>
            <w:vAlign w:val="center"/>
          </w:tcPr>
          <w:p w:rsidR="0062298A" w:rsidRPr="00045B81" w:rsidRDefault="0062298A" w:rsidP="006C4607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II</w:t>
            </w:r>
            <w:r w:rsidR="000941C5" w:rsidRPr="00045B81">
              <w:rPr>
                <w:sz w:val="26"/>
                <w:szCs w:val="26"/>
              </w:rPr>
              <w:t>.</w:t>
            </w:r>
            <w:r w:rsidRPr="00045B81">
              <w:rPr>
                <w:sz w:val="26"/>
                <w:szCs w:val="26"/>
              </w:rPr>
              <w:t xml:space="preserve"> Tiesību akta projekta ietekme uz sabiedrību</w:t>
            </w:r>
            <w:r w:rsidR="00610833">
              <w:rPr>
                <w:sz w:val="26"/>
                <w:szCs w:val="26"/>
              </w:rPr>
              <w:t>, tautsaimniecības attīstību un administratīvo slogu</w:t>
            </w:r>
          </w:p>
        </w:tc>
      </w:tr>
      <w:tr w:rsidR="0062298A" w:rsidRPr="00045B81" w:rsidTr="00EE2BA1">
        <w:trPr>
          <w:trHeight w:val="467"/>
        </w:trPr>
        <w:tc>
          <w:tcPr>
            <w:tcW w:w="702" w:type="dxa"/>
          </w:tcPr>
          <w:p w:rsidR="0062298A" w:rsidRPr="00045B81" w:rsidRDefault="0062298A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1.</w:t>
            </w:r>
          </w:p>
        </w:tc>
        <w:tc>
          <w:tcPr>
            <w:tcW w:w="4855" w:type="dxa"/>
          </w:tcPr>
          <w:p w:rsidR="0062298A" w:rsidRPr="00045B81" w:rsidRDefault="00C27A08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 xml:space="preserve">Sabiedrības </w:t>
            </w:r>
            <w:proofErr w:type="spellStart"/>
            <w:r w:rsidRPr="00045B81">
              <w:rPr>
                <w:sz w:val="26"/>
                <w:szCs w:val="26"/>
              </w:rPr>
              <w:t>mērķgrupa</w:t>
            </w:r>
            <w:r w:rsidR="00610833">
              <w:rPr>
                <w:sz w:val="26"/>
                <w:szCs w:val="26"/>
              </w:rPr>
              <w:t>s</w:t>
            </w:r>
            <w:proofErr w:type="spellEnd"/>
            <w:r w:rsidR="00610833">
              <w:rPr>
                <w:sz w:val="26"/>
                <w:szCs w:val="26"/>
              </w:rPr>
              <w:t>, kuras tiesiskais regulējums ietekmē vai varētu ietekmēt</w:t>
            </w:r>
          </w:p>
        </w:tc>
        <w:tc>
          <w:tcPr>
            <w:tcW w:w="4371" w:type="dxa"/>
          </w:tcPr>
          <w:p w:rsidR="00A75E7F" w:rsidRPr="00045B81" w:rsidRDefault="00EC0092" w:rsidP="00EC0092">
            <w:pPr>
              <w:pStyle w:val="naiskr"/>
              <w:spacing w:before="120" w:after="120"/>
              <w:jc w:val="both"/>
              <w:rPr>
                <w:iCs/>
                <w:sz w:val="26"/>
                <w:szCs w:val="26"/>
              </w:rPr>
            </w:pPr>
            <w:r w:rsidRPr="00715E6B">
              <w:rPr>
                <w:iCs/>
                <w:sz w:val="26"/>
                <w:szCs w:val="26"/>
              </w:rPr>
              <w:t xml:space="preserve">Finanšu sektora attīstības padomes sastāvā esošās institūcijas un to </w:t>
            </w:r>
            <w:r w:rsidR="007840DE" w:rsidRPr="00715E6B">
              <w:rPr>
                <w:iCs/>
                <w:sz w:val="26"/>
                <w:szCs w:val="26"/>
              </w:rPr>
              <w:t xml:space="preserve">deleģētos </w:t>
            </w:r>
            <w:r w:rsidRPr="00715E6B">
              <w:rPr>
                <w:iCs/>
                <w:sz w:val="26"/>
                <w:szCs w:val="26"/>
              </w:rPr>
              <w:t>pārstāvjus</w:t>
            </w:r>
            <w:r w:rsidR="00D2698E" w:rsidRPr="00715E6B">
              <w:rPr>
                <w:iCs/>
                <w:sz w:val="26"/>
                <w:szCs w:val="26"/>
              </w:rPr>
              <w:t>.</w:t>
            </w:r>
            <w:r w:rsidR="00EC21C0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62298A" w:rsidRPr="00045B81" w:rsidTr="00EE2BA1">
        <w:trPr>
          <w:trHeight w:val="523"/>
        </w:trPr>
        <w:tc>
          <w:tcPr>
            <w:tcW w:w="702" w:type="dxa"/>
          </w:tcPr>
          <w:p w:rsidR="0062298A" w:rsidRPr="00045B81" w:rsidRDefault="0062298A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2.</w:t>
            </w:r>
          </w:p>
        </w:tc>
        <w:tc>
          <w:tcPr>
            <w:tcW w:w="4855" w:type="dxa"/>
          </w:tcPr>
          <w:p w:rsidR="00C1133D" w:rsidRPr="00045B81" w:rsidRDefault="007C414F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4371" w:type="dxa"/>
          </w:tcPr>
          <w:p w:rsidR="007C78FD" w:rsidRPr="00045B81" w:rsidRDefault="00396E4A" w:rsidP="00396E4A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715E6B">
              <w:rPr>
                <w:sz w:val="26"/>
                <w:szCs w:val="26"/>
              </w:rPr>
              <w:t>Noteikumu projekts paredz Finanšu sektora padomes sastāva paplašināšanu un tādējādi neietekmē tautsaimniecību, kā arī administratīvā sloga lielumu.</w:t>
            </w:r>
            <w:r w:rsidR="007C78FD">
              <w:rPr>
                <w:sz w:val="26"/>
                <w:szCs w:val="26"/>
              </w:rPr>
              <w:t xml:space="preserve"> </w:t>
            </w:r>
          </w:p>
        </w:tc>
      </w:tr>
      <w:tr w:rsidR="0062298A" w:rsidRPr="00045B81" w:rsidTr="00EE2BA1">
        <w:trPr>
          <w:trHeight w:val="517"/>
        </w:trPr>
        <w:tc>
          <w:tcPr>
            <w:tcW w:w="702" w:type="dxa"/>
          </w:tcPr>
          <w:p w:rsidR="0062298A" w:rsidRPr="00045B81" w:rsidRDefault="0062298A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3.</w:t>
            </w:r>
          </w:p>
        </w:tc>
        <w:tc>
          <w:tcPr>
            <w:tcW w:w="4855" w:type="dxa"/>
          </w:tcPr>
          <w:p w:rsidR="00C1133D" w:rsidRPr="00045B81" w:rsidRDefault="00102DD8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4371" w:type="dxa"/>
          </w:tcPr>
          <w:p w:rsidR="0062298A" w:rsidRPr="00376F41" w:rsidRDefault="00BE7332" w:rsidP="00BE7332">
            <w:pPr>
              <w:pStyle w:val="naiskr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4B43DD" w:rsidRPr="00376F41">
              <w:rPr>
                <w:sz w:val="26"/>
                <w:szCs w:val="26"/>
              </w:rPr>
              <w:t>o</w:t>
            </w:r>
            <w:r w:rsidR="00102DD8" w:rsidRPr="00376F41">
              <w:rPr>
                <w:sz w:val="26"/>
                <w:szCs w:val="26"/>
              </w:rPr>
              <w:t>t</w:t>
            </w:r>
            <w:r w:rsidR="004B43DD" w:rsidRPr="00376F41">
              <w:rPr>
                <w:sz w:val="26"/>
                <w:szCs w:val="26"/>
              </w:rPr>
              <w:t>eikumu projekt</w:t>
            </w:r>
            <w:r>
              <w:rPr>
                <w:sz w:val="26"/>
                <w:szCs w:val="26"/>
              </w:rPr>
              <w:t>s</w:t>
            </w:r>
            <w:r w:rsidR="00376F41" w:rsidRPr="00376F41">
              <w:rPr>
                <w:sz w:val="26"/>
                <w:szCs w:val="26"/>
              </w:rPr>
              <w:t xml:space="preserve"> nerada ietekmi uz administratīvajām izmaksām.</w:t>
            </w:r>
            <w:r w:rsidR="00102DD8" w:rsidRPr="00376F41">
              <w:rPr>
                <w:sz w:val="26"/>
                <w:szCs w:val="26"/>
              </w:rPr>
              <w:t xml:space="preserve"> </w:t>
            </w:r>
          </w:p>
        </w:tc>
      </w:tr>
      <w:tr w:rsidR="0062298A" w:rsidRPr="00045B81" w:rsidTr="00EE2BA1">
        <w:tc>
          <w:tcPr>
            <w:tcW w:w="702" w:type="dxa"/>
          </w:tcPr>
          <w:p w:rsidR="0062298A" w:rsidRPr="00045B81" w:rsidRDefault="00102DD8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2298A" w:rsidRPr="00045B81">
              <w:rPr>
                <w:sz w:val="26"/>
                <w:szCs w:val="26"/>
              </w:rPr>
              <w:t>.</w:t>
            </w:r>
          </w:p>
        </w:tc>
        <w:tc>
          <w:tcPr>
            <w:tcW w:w="4855" w:type="dxa"/>
          </w:tcPr>
          <w:p w:rsidR="0062298A" w:rsidRPr="00045B81" w:rsidRDefault="009E12D7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Cita informācija</w:t>
            </w:r>
          </w:p>
        </w:tc>
        <w:tc>
          <w:tcPr>
            <w:tcW w:w="4371" w:type="dxa"/>
          </w:tcPr>
          <w:p w:rsidR="0062298A" w:rsidRPr="00045B81" w:rsidRDefault="001B71CD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Nav</w:t>
            </w:r>
            <w:r w:rsidR="00102DD8">
              <w:rPr>
                <w:sz w:val="26"/>
                <w:szCs w:val="26"/>
              </w:rPr>
              <w:t>.</w:t>
            </w:r>
          </w:p>
        </w:tc>
      </w:tr>
    </w:tbl>
    <w:p w:rsidR="00F52382" w:rsidRDefault="00F52382" w:rsidP="005C5EDC">
      <w:pPr>
        <w:pStyle w:val="naisf"/>
        <w:spacing w:before="0" w:after="0"/>
        <w:ind w:firstLine="0"/>
        <w:rPr>
          <w:sz w:val="26"/>
          <w:szCs w:val="26"/>
        </w:rPr>
      </w:pPr>
    </w:p>
    <w:p w:rsidR="00011CD8" w:rsidRPr="00045B81" w:rsidRDefault="00011CD8" w:rsidP="005C5EDC">
      <w:pPr>
        <w:pStyle w:val="naisf"/>
        <w:spacing w:before="0" w:after="0"/>
        <w:ind w:firstLine="0"/>
        <w:rPr>
          <w:sz w:val="26"/>
          <w:szCs w:val="26"/>
        </w:rPr>
      </w:pPr>
    </w:p>
    <w:p w:rsidR="003E0E1C" w:rsidRPr="00045B81" w:rsidRDefault="003E0E1C">
      <w:pPr>
        <w:rPr>
          <w:sz w:val="26"/>
          <w:szCs w:val="2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402"/>
      </w:tblGrid>
      <w:tr w:rsidR="00277929" w:rsidRPr="00045B81" w:rsidTr="00EE2BA1">
        <w:trPr>
          <w:jc w:val="center"/>
        </w:trPr>
        <w:tc>
          <w:tcPr>
            <w:tcW w:w="10080" w:type="dxa"/>
            <w:gridSpan w:val="2"/>
          </w:tcPr>
          <w:p w:rsidR="00277929" w:rsidRPr="00045B81" w:rsidRDefault="00277929" w:rsidP="00917342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VI</w:t>
            </w:r>
            <w:r w:rsidR="000941C5" w:rsidRPr="00045B81">
              <w:rPr>
                <w:sz w:val="26"/>
                <w:szCs w:val="26"/>
              </w:rPr>
              <w:t>.</w:t>
            </w:r>
            <w:r w:rsidRPr="00045B81">
              <w:rPr>
                <w:sz w:val="26"/>
                <w:szCs w:val="26"/>
              </w:rPr>
              <w:t xml:space="preserve"> Sabiedrības līdzdalība un </w:t>
            </w:r>
            <w:r w:rsidR="00917342">
              <w:rPr>
                <w:sz w:val="26"/>
                <w:szCs w:val="26"/>
              </w:rPr>
              <w:t>komunikācijas aktivitātes</w:t>
            </w:r>
          </w:p>
        </w:tc>
      </w:tr>
      <w:tr w:rsidR="006A12BD" w:rsidRPr="006A12BD" w:rsidTr="00EE2BA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D" w:rsidRPr="006A12BD" w:rsidRDefault="006A12BD" w:rsidP="00860D5B">
            <w:pPr>
              <w:pStyle w:val="naiskr"/>
              <w:rPr>
                <w:sz w:val="26"/>
                <w:szCs w:val="26"/>
              </w:rPr>
            </w:pPr>
            <w:r w:rsidRPr="006A12BD">
              <w:rPr>
                <w:sz w:val="26"/>
                <w:szCs w:val="26"/>
              </w:rPr>
              <w:t>1. Plānotās sabiedrības līdzdalības un komunikācijas aktivitātes saistībā ar projektu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D" w:rsidRPr="006A12BD" w:rsidRDefault="006A12BD" w:rsidP="006A12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Ministru kabineta</w:t>
            </w:r>
            <w:r w:rsidRPr="006A12BD">
              <w:rPr>
                <w:sz w:val="26"/>
                <w:szCs w:val="26"/>
              </w:rPr>
              <w:t xml:space="preserve"> mājaslapā </w:t>
            </w:r>
            <w:r>
              <w:rPr>
                <w:sz w:val="26"/>
                <w:szCs w:val="26"/>
              </w:rPr>
              <w:t>tiks</w:t>
            </w:r>
            <w:r w:rsidRPr="006A12BD">
              <w:rPr>
                <w:sz w:val="26"/>
                <w:szCs w:val="26"/>
              </w:rPr>
              <w:t xml:space="preserve"> publicēta informācija par </w:t>
            </w:r>
            <w:r>
              <w:rPr>
                <w:sz w:val="26"/>
                <w:szCs w:val="26"/>
              </w:rPr>
              <w:t>noteikumu</w:t>
            </w:r>
            <w:r w:rsidRPr="006A12BD">
              <w:rPr>
                <w:sz w:val="26"/>
                <w:szCs w:val="26"/>
              </w:rPr>
              <w:t xml:space="preserve"> projekta iz</w:t>
            </w:r>
            <w:r>
              <w:rPr>
                <w:sz w:val="26"/>
                <w:szCs w:val="26"/>
              </w:rPr>
              <w:t>skatīšanu M</w:t>
            </w:r>
            <w:r w:rsidR="00715E6B">
              <w:rPr>
                <w:sz w:val="26"/>
                <w:szCs w:val="26"/>
              </w:rPr>
              <w:t xml:space="preserve">inistru </w:t>
            </w:r>
            <w:r w:rsidR="00BE7332">
              <w:rPr>
                <w:sz w:val="26"/>
                <w:szCs w:val="26"/>
              </w:rPr>
              <w:t>k</w:t>
            </w:r>
            <w:r w:rsidR="00715E6B">
              <w:rPr>
                <w:sz w:val="26"/>
                <w:szCs w:val="26"/>
              </w:rPr>
              <w:t>abineta</w:t>
            </w:r>
            <w:r>
              <w:rPr>
                <w:sz w:val="26"/>
                <w:szCs w:val="26"/>
              </w:rPr>
              <w:t xml:space="preserve"> sēdē</w:t>
            </w:r>
            <w:r w:rsidRPr="006A12BD">
              <w:rPr>
                <w:sz w:val="26"/>
                <w:szCs w:val="26"/>
              </w:rPr>
              <w:t>, lai informētu un nodrošinātu sabiedrības līdzdalību.</w:t>
            </w:r>
          </w:p>
        </w:tc>
      </w:tr>
      <w:tr w:rsidR="006A12BD" w:rsidRPr="006A12BD" w:rsidTr="00EE2BA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D" w:rsidRPr="006A12BD" w:rsidRDefault="006A12BD" w:rsidP="00860D5B">
            <w:pPr>
              <w:pStyle w:val="naiskr"/>
              <w:rPr>
                <w:sz w:val="26"/>
                <w:szCs w:val="26"/>
              </w:rPr>
            </w:pPr>
            <w:r w:rsidRPr="006A12BD">
              <w:rPr>
                <w:sz w:val="26"/>
                <w:szCs w:val="26"/>
              </w:rPr>
              <w:t>2. Sabiedrības līdzdalība projekta izstrādē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D" w:rsidRPr="006A12BD" w:rsidRDefault="006E697F" w:rsidP="00D002AD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Tā kā </w:t>
            </w:r>
            <w:r w:rsidRPr="00715E6B">
              <w:rPr>
                <w:bCs/>
                <w:color w:val="000000"/>
                <w:sz w:val="26"/>
                <w:szCs w:val="26"/>
              </w:rPr>
              <w:t xml:space="preserve">Ministru kabinetam ir pienākums noteikt </w:t>
            </w:r>
            <w:r w:rsidRPr="00715E6B">
              <w:rPr>
                <w:color w:val="000000"/>
                <w:sz w:val="26"/>
                <w:szCs w:val="26"/>
              </w:rPr>
              <w:t>Finanšu sektora attīstības padomes sastāvu, funkcijas, uzdevumus, tiesības, lēmumu pieņemšanas kārtību un darba organizāciju</w:t>
            </w:r>
            <w:r>
              <w:rPr>
                <w:bCs/>
                <w:color w:val="000000"/>
                <w:sz w:val="26"/>
                <w:szCs w:val="26"/>
              </w:rPr>
              <w:t xml:space="preserve"> un jautājums ir saistīts finanšu sektora stratēģisko virzību, tādēļ  </w:t>
            </w:r>
            <w:r w:rsidR="00D002AD">
              <w:rPr>
                <w:bCs/>
                <w:color w:val="000000"/>
                <w:sz w:val="26"/>
                <w:szCs w:val="26"/>
              </w:rPr>
              <w:t>netika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BE7332">
              <w:rPr>
                <w:bCs/>
                <w:color w:val="000000"/>
                <w:sz w:val="26"/>
                <w:szCs w:val="26"/>
              </w:rPr>
              <w:t>iesaistīta sabiedrība N</w:t>
            </w:r>
            <w:r w:rsidR="00D002AD">
              <w:rPr>
                <w:bCs/>
                <w:color w:val="000000"/>
                <w:sz w:val="26"/>
                <w:szCs w:val="26"/>
              </w:rPr>
              <w:t>oteikumu projekta izstrādē</w:t>
            </w:r>
            <w:r w:rsidR="009D28A5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6A12BD" w:rsidRPr="006A12BD" w:rsidTr="00EE2BA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D" w:rsidRPr="006A12BD" w:rsidRDefault="006A12BD" w:rsidP="00860D5B">
            <w:pPr>
              <w:pStyle w:val="naiskr"/>
              <w:rPr>
                <w:sz w:val="26"/>
                <w:szCs w:val="26"/>
              </w:rPr>
            </w:pPr>
            <w:r w:rsidRPr="006A12BD">
              <w:rPr>
                <w:sz w:val="26"/>
                <w:szCs w:val="26"/>
              </w:rPr>
              <w:t>3. Sabiedrības līdzdalības rezultāti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D" w:rsidRPr="006A12BD" w:rsidRDefault="009D28A5" w:rsidP="0086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Nav.</w:t>
            </w:r>
          </w:p>
        </w:tc>
      </w:tr>
      <w:tr w:rsidR="006A12BD" w:rsidRPr="006A12BD" w:rsidTr="00EE2BA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D" w:rsidRPr="006A12BD" w:rsidRDefault="006A12BD" w:rsidP="00860D5B">
            <w:pPr>
              <w:pStyle w:val="naiskr"/>
              <w:rPr>
                <w:sz w:val="26"/>
                <w:szCs w:val="26"/>
              </w:rPr>
            </w:pPr>
            <w:r w:rsidRPr="006A12BD">
              <w:rPr>
                <w:sz w:val="26"/>
                <w:szCs w:val="26"/>
              </w:rPr>
              <w:t>4. Cita informācija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D" w:rsidRPr="006A12BD" w:rsidRDefault="006A12BD" w:rsidP="00860D5B">
            <w:pPr>
              <w:jc w:val="both"/>
              <w:rPr>
                <w:sz w:val="26"/>
                <w:szCs w:val="26"/>
              </w:rPr>
            </w:pPr>
            <w:r w:rsidRPr="006A12BD">
              <w:rPr>
                <w:sz w:val="26"/>
                <w:szCs w:val="26"/>
              </w:rPr>
              <w:t>Nav.</w:t>
            </w:r>
          </w:p>
        </w:tc>
      </w:tr>
    </w:tbl>
    <w:p w:rsidR="00A7270B" w:rsidRDefault="00A7270B" w:rsidP="00A7270B">
      <w:pPr>
        <w:pStyle w:val="naisf"/>
        <w:spacing w:before="0" w:after="0"/>
        <w:ind w:firstLine="0"/>
        <w:rPr>
          <w:sz w:val="26"/>
          <w:szCs w:val="26"/>
        </w:rPr>
      </w:pPr>
    </w:p>
    <w:p w:rsidR="00011CD8" w:rsidRDefault="00011CD8" w:rsidP="00A7270B">
      <w:pPr>
        <w:pStyle w:val="naisf"/>
        <w:spacing w:before="0" w:after="0"/>
        <w:ind w:firstLine="0"/>
        <w:rPr>
          <w:sz w:val="26"/>
          <w:szCs w:val="26"/>
        </w:rPr>
      </w:pPr>
    </w:p>
    <w:p w:rsidR="00011CD8" w:rsidRPr="00045B81" w:rsidRDefault="00011CD8" w:rsidP="00A7270B">
      <w:pPr>
        <w:pStyle w:val="naisf"/>
        <w:spacing w:before="0" w:after="0"/>
        <w:ind w:firstLine="0"/>
        <w:rPr>
          <w:sz w:val="26"/>
          <w:szCs w:val="2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"/>
        <w:gridCol w:w="4450"/>
        <w:gridCol w:w="5391"/>
      </w:tblGrid>
      <w:tr w:rsidR="0023436E" w:rsidRPr="00045B81" w:rsidTr="009D28A5"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:rsidR="0023436E" w:rsidRPr="00045B81" w:rsidRDefault="0023436E" w:rsidP="007D099D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VII</w:t>
            </w:r>
            <w:r w:rsidR="000941C5" w:rsidRPr="00045B81">
              <w:rPr>
                <w:sz w:val="26"/>
                <w:szCs w:val="26"/>
              </w:rPr>
              <w:t>.</w:t>
            </w:r>
            <w:r w:rsidRPr="00045B81">
              <w:rPr>
                <w:sz w:val="26"/>
                <w:szCs w:val="26"/>
              </w:rPr>
              <w:t xml:space="preserve"> Tiesību akta projekta izpildes nodrošināšana un tās ietekme uz institūcijām</w:t>
            </w:r>
          </w:p>
        </w:tc>
      </w:tr>
      <w:tr w:rsidR="0023436E" w:rsidRPr="00045B81" w:rsidTr="009D28A5">
        <w:trPr>
          <w:trHeight w:val="427"/>
        </w:trPr>
        <w:tc>
          <w:tcPr>
            <w:tcW w:w="366" w:type="dxa"/>
          </w:tcPr>
          <w:p w:rsidR="0023436E" w:rsidRPr="00045B81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045B81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450" w:type="dxa"/>
          </w:tcPr>
          <w:p w:rsidR="0023436E" w:rsidRPr="00045B81" w:rsidRDefault="001A4066" w:rsidP="005C5EDC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P</w:t>
            </w:r>
            <w:r w:rsidR="0023436E" w:rsidRPr="00045B81">
              <w:rPr>
                <w:sz w:val="26"/>
                <w:szCs w:val="26"/>
              </w:rPr>
              <w:t xml:space="preserve">rojekta izpildē iesaistītās institūcijas </w:t>
            </w:r>
          </w:p>
        </w:tc>
        <w:tc>
          <w:tcPr>
            <w:tcW w:w="5391" w:type="dxa"/>
          </w:tcPr>
          <w:p w:rsidR="00917342" w:rsidRPr="003C0A89" w:rsidRDefault="00376F41" w:rsidP="00ED2B89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left="70"/>
              <w:jc w:val="both"/>
              <w:rPr>
                <w:iCs/>
                <w:sz w:val="26"/>
                <w:szCs w:val="26"/>
              </w:rPr>
            </w:pPr>
            <w:r w:rsidRPr="00715E6B">
              <w:rPr>
                <w:iCs/>
                <w:sz w:val="26"/>
                <w:szCs w:val="26"/>
              </w:rPr>
              <w:t>Finanšu sektora attīstības padomes sastāvā esošās instit</w:t>
            </w:r>
            <w:r w:rsidR="006A12BD" w:rsidRPr="00715E6B">
              <w:rPr>
                <w:iCs/>
                <w:sz w:val="26"/>
                <w:szCs w:val="26"/>
              </w:rPr>
              <w:t>ūcijas.</w:t>
            </w:r>
          </w:p>
        </w:tc>
      </w:tr>
      <w:tr w:rsidR="0023436E" w:rsidRPr="00045B81" w:rsidTr="009D28A5">
        <w:trPr>
          <w:trHeight w:val="725"/>
        </w:trPr>
        <w:tc>
          <w:tcPr>
            <w:tcW w:w="366" w:type="dxa"/>
          </w:tcPr>
          <w:p w:rsidR="0023436E" w:rsidRPr="00045B81" w:rsidRDefault="00376F41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23436E" w:rsidRPr="00045B81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:rsidR="0023436E" w:rsidRPr="00045B81" w:rsidRDefault="001A4066" w:rsidP="005C5EDC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Projekta iz</w:t>
            </w:r>
            <w:r w:rsidR="0023436E" w:rsidRPr="00045B81">
              <w:rPr>
                <w:sz w:val="26"/>
                <w:szCs w:val="26"/>
              </w:rPr>
              <w:t>pildes ietekme uz pārvaldes institucionālo struktūru.</w:t>
            </w:r>
          </w:p>
          <w:p w:rsidR="0023436E" w:rsidRPr="00045B81" w:rsidRDefault="006C4607" w:rsidP="00DB39FC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045B81">
              <w:rPr>
                <w:sz w:val="26"/>
                <w:szCs w:val="26"/>
              </w:rPr>
              <w:t>Jaunu institūciju izveide</w:t>
            </w:r>
            <w:r w:rsidR="00DB39FC">
              <w:rPr>
                <w:sz w:val="26"/>
                <w:szCs w:val="26"/>
              </w:rPr>
              <w:t>, esošu institūciju likvidācija vai reorganizācija, to ietekme uz institūcijas cilvēkresursiem</w:t>
            </w:r>
          </w:p>
        </w:tc>
        <w:tc>
          <w:tcPr>
            <w:tcW w:w="5391" w:type="dxa"/>
          </w:tcPr>
          <w:p w:rsidR="00DB39FC" w:rsidRPr="0059379B" w:rsidRDefault="00DB39FC" w:rsidP="00ED2B89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</w:rPr>
            </w:pPr>
            <w:r w:rsidRPr="0059379B">
              <w:rPr>
                <w:b w:val="0"/>
                <w:sz w:val="26"/>
                <w:szCs w:val="26"/>
              </w:rPr>
              <w:t xml:space="preserve">Īstenojot grozījumus normatīvajā regulējumā, </w:t>
            </w:r>
            <w:r w:rsidR="00ED2B89" w:rsidRPr="0059379B">
              <w:rPr>
                <w:b w:val="0"/>
                <w:sz w:val="26"/>
                <w:szCs w:val="26"/>
              </w:rPr>
              <w:t>esoš</w:t>
            </w:r>
            <w:r w:rsidR="00454617">
              <w:rPr>
                <w:b w:val="0"/>
                <w:sz w:val="26"/>
                <w:szCs w:val="26"/>
              </w:rPr>
              <w:t>ais</w:t>
            </w:r>
            <w:r w:rsidR="00ED2B89" w:rsidRPr="0059379B">
              <w:rPr>
                <w:b w:val="0"/>
                <w:sz w:val="26"/>
                <w:szCs w:val="26"/>
              </w:rPr>
              <w:t xml:space="preserve"> Finanšu sektora attīstības padomes sastāvs tiks papildināts ar ekonomikas ministru un </w:t>
            </w:r>
            <w:r w:rsidR="00D2698E" w:rsidRPr="0059379B">
              <w:rPr>
                <w:b w:val="0"/>
                <w:sz w:val="26"/>
                <w:szCs w:val="26"/>
              </w:rPr>
              <w:t xml:space="preserve">Noziedzīgi iegūtu līdzekļu legalizācijas novēršanas dienesta priekšnieku. </w:t>
            </w:r>
          </w:p>
          <w:p w:rsidR="00D2698E" w:rsidRPr="00DB39FC" w:rsidRDefault="00D2698E" w:rsidP="00ED2B89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</w:rPr>
            </w:pPr>
            <w:r w:rsidRPr="0059379B">
              <w:rPr>
                <w:b w:val="0"/>
                <w:sz w:val="26"/>
                <w:szCs w:val="26"/>
              </w:rPr>
              <w:lastRenderedPageBreak/>
              <w:t>Jauna institūciju izveide vai esošo institūciju reorganizācija nav nepieciešama.</w:t>
            </w:r>
            <w:r>
              <w:rPr>
                <w:b w:val="0"/>
              </w:rPr>
              <w:t xml:space="preserve"> </w:t>
            </w:r>
          </w:p>
        </w:tc>
      </w:tr>
      <w:tr w:rsidR="0023436E" w:rsidRPr="00045B81" w:rsidTr="009D28A5">
        <w:trPr>
          <w:trHeight w:val="591"/>
        </w:trPr>
        <w:tc>
          <w:tcPr>
            <w:tcW w:w="366" w:type="dxa"/>
          </w:tcPr>
          <w:p w:rsidR="0023436E" w:rsidRPr="00045B81" w:rsidRDefault="00DB39FC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3</w:t>
            </w:r>
            <w:r w:rsidR="0023436E" w:rsidRPr="00045B81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:rsidR="0023436E" w:rsidRPr="00045B81" w:rsidRDefault="00DB39FC" w:rsidP="00104E29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Cita info</w:t>
            </w:r>
            <w:r w:rsidR="00104E29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mācija</w:t>
            </w:r>
          </w:p>
        </w:tc>
        <w:tc>
          <w:tcPr>
            <w:tcW w:w="5391" w:type="dxa"/>
          </w:tcPr>
          <w:p w:rsidR="0023436E" w:rsidRPr="00045B81" w:rsidRDefault="00DB39FC" w:rsidP="005C5EDC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  <w:highlight w:val="yellow"/>
              </w:rPr>
            </w:pPr>
            <w:r w:rsidRPr="00DB39FC">
              <w:rPr>
                <w:b w:val="0"/>
                <w:sz w:val="26"/>
                <w:szCs w:val="26"/>
              </w:rPr>
              <w:t>Nav.</w:t>
            </w:r>
          </w:p>
        </w:tc>
      </w:tr>
    </w:tbl>
    <w:p w:rsidR="00BF40ED" w:rsidRPr="00045B81" w:rsidRDefault="00EE2BA1" w:rsidP="00DB383F">
      <w:pPr>
        <w:pStyle w:val="naisf"/>
        <w:tabs>
          <w:tab w:val="left" w:pos="6804"/>
        </w:tabs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>III, IV un V nodaļa – noteikumu projekts šo jomu neskar.</w:t>
      </w:r>
    </w:p>
    <w:p w:rsidR="008B23B6" w:rsidRDefault="008B23B6" w:rsidP="00845811">
      <w:pPr>
        <w:pStyle w:val="naisf"/>
        <w:tabs>
          <w:tab w:val="left" w:pos="6804"/>
        </w:tabs>
        <w:spacing w:before="0" w:after="0"/>
        <w:ind w:firstLine="720"/>
        <w:rPr>
          <w:sz w:val="26"/>
          <w:szCs w:val="26"/>
        </w:rPr>
      </w:pPr>
    </w:p>
    <w:p w:rsidR="008B23B6" w:rsidRDefault="008B23B6" w:rsidP="00845811">
      <w:pPr>
        <w:pStyle w:val="naisf"/>
        <w:tabs>
          <w:tab w:val="left" w:pos="6804"/>
        </w:tabs>
        <w:spacing w:before="0" w:after="0"/>
        <w:ind w:firstLine="720"/>
        <w:rPr>
          <w:sz w:val="26"/>
          <w:szCs w:val="26"/>
        </w:rPr>
      </w:pPr>
    </w:p>
    <w:p w:rsidR="00011CD8" w:rsidRDefault="00011CD8" w:rsidP="00845811">
      <w:pPr>
        <w:pStyle w:val="naisf"/>
        <w:tabs>
          <w:tab w:val="left" w:pos="6804"/>
        </w:tabs>
        <w:spacing w:before="0" w:after="0"/>
        <w:ind w:firstLine="720"/>
        <w:rPr>
          <w:sz w:val="26"/>
          <w:szCs w:val="26"/>
        </w:rPr>
      </w:pPr>
    </w:p>
    <w:p w:rsidR="00011CD8" w:rsidRDefault="00011CD8" w:rsidP="00845811">
      <w:pPr>
        <w:pStyle w:val="naisf"/>
        <w:tabs>
          <w:tab w:val="left" w:pos="6804"/>
        </w:tabs>
        <w:spacing w:before="0" w:after="0"/>
        <w:ind w:firstLine="720"/>
        <w:rPr>
          <w:sz w:val="26"/>
          <w:szCs w:val="26"/>
        </w:rPr>
      </w:pPr>
    </w:p>
    <w:p w:rsidR="00534190" w:rsidRDefault="00534190" w:rsidP="00845811">
      <w:pPr>
        <w:pStyle w:val="naisf"/>
        <w:tabs>
          <w:tab w:val="left" w:pos="6804"/>
        </w:tabs>
        <w:spacing w:before="0" w:after="0"/>
        <w:ind w:firstLine="720"/>
        <w:rPr>
          <w:sz w:val="26"/>
          <w:szCs w:val="26"/>
        </w:rPr>
      </w:pPr>
    </w:p>
    <w:p w:rsidR="008B23B6" w:rsidRDefault="008B23B6" w:rsidP="00845811">
      <w:pPr>
        <w:pStyle w:val="naisf"/>
        <w:tabs>
          <w:tab w:val="left" w:pos="6804"/>
        </w:tabs>
        <w:spacing w:before="0" w:after="0"/>
        <w:ind w:firstLine="720"/>
        <w:rPr>
          <w:sz w:val="26"/>
          <w:szCs w:val="26"/>
        </w:rPr>
      </w:pPr>
    </w:p>
    <w:p w:rsidR="008B23B6" w:rsidRDefault="008B23B6" w:rsidP="00845811">
      <w:pPr>
        <w:pStyle w:val="naisf"/>
        <w:tabs>
          <w:tab w:val="left" w:pos="6804"/>
        </w:tabs>
        <w:spacing w:before="0" w:after="0"/>
        <w:ind w:firstLine="720"/>
        <w:rPr>
          <w:sz w:val="26"/>
          <w:szCs w:val="26"/>
        </w:rPr>
      </w:pPr>
    </w:p>
    <w:p w:rsidR="0015060C" w:rsidRPr="00045B81" w:rsidRDefault="00D543DB" w:rsidP="008A66E6">
      <w:pPr>
        <w:pStyle w:val="naisf"/>
        <w:tabs>
          <w:tab w:val="left" w:pos="6804"/>
        </w:tabs>
        <w:spacing w:before="0" w:after="0"/>
        <w:ind w:firstLine="720"/>
        <w:rPr>
          <w:sz w:val="26"/>
          <w:szCs w:val="26"/>
        </w:rPr>
      </w:pPr>
      <w:r w:rsidRPr="00045B81">
        <w:rPr>
          <w:sz w:val="26"/>
          <w:szCs w:val="26"/>
        </w:rPr>
        <w:t>Finanšu</w:t>
      </w:r>
      <w:r w:rsidR="008A66E6">
        <w:rPr>
          <w:sz w:val="26"/>
          <w:szCs w:val="26"/>
        </w:rPr>
        <w:t xml:space="preserve"> ministrs</w:t>
      </w:r>
      <w:r w:rsidR="008A66E6">
        <w:rPr>
          <w:sz w:val="26"/>
          <w:szCs w:val="26"/>
        </w:rPr>
        <w:tab/>
      </w:r>
      <w:proofErr w:type="spellStart"/>
      <w:r w:rsidR="008A66E6">
        <w:rPr>
          <w:sz w:val="26"/>
          <w:szCs w:val="26"/>
        </w:rPr>
        <w:t>J.Reirs</w:t>
      </w:r>
      <w:proofErr w:type="spellEnd"/>
    </w:p>
    <w:p w:rsidR="00D543DB" w:rsidRPr="00045B81" w:rsidRDefault="00D543DB" w:rsidP="00845811">
      <w:pPr>
        <w:pStyle w:val="naisf"/>
        <w:tabs>
          <w:tab w:val="left" w:pos="6804"/>
        </w:tabs>
        <w:spacing w:before="0" w:after="0"/>
        <w:ind w:firstLine="720"/>
        <w:rPr>
          <w:sz w:val="26"/>
          <w:szCs w:val="26"/>
        </w:rPr>
      </w:pPr>
    </w:p>
    <w:p w:rsidR="003F40CC" w:rsidRDefault="003F40CC" w:rsidP="00054D69">
      <w:pPr>
        <w:rPr>
          <w:rStyle w:val="Hyperlink"/>
          <w:color w:val="auto"/>
          <w:sz w:val="20"/>
          <w:szCs w:val="20"/>
        </w:rPr>
      </w:pPr>
    </w:p>
    <w:p w:rsidR="008B23B6" w:rsidRDefault="008B23B6" w:rsidP="008B23B6">
      <w:pPr>
        <w:pStyle w:val="BlockText"/>
      </w:pPr>
    </w:p>
    <w:p w:rsidR="00011CD8" w:rsidRDefault="00011CD8" w:rsidP="008B23B6">
      <w:pPr>
        <w:pStyle w:val="BlockText"/>
      </w:pPr>
    </w:p>
    <w:p w:rsidR="00011CD8" w:rsidRDefault="00011CD8" w:rsidP="008B23B6">
      <w:pPr>
        <w:pStyle w:val="BlockText"/>
      </w:pPr>
    </w:p>
    <w:p w:rsidR="00011CD8" w:rsidRDefault="00011CD8" w:rsidP="008B23B6">
      <w:pPr>
        <w:pStyle w:val="BlockText"/>
      </w:pPr>
    </w:p>
    <w:p w:rsidR="00011CD8" w:rsidRDefault="00011CD8" w:rsidP="008B23B6">
      <w:pPr>
        <w:pStyle w:val="BlockText"/>
      </w:pPr>
    </w:p>
    <w:p w:rsidR="00011CD8" w:rsidRDefault="00011CD8" w:rsidP="008B23B6">
      <w:pPr>
        <w:pStyle w:val="BlockText"/>
      </w:pPr>
    </w:p>
    <w:p w:rsidR="00011CD8" w:rsidRDefault="00011CD8" w:rsidP="008B23B6">
      <w:pPr>
        <w:pStyle w:val="BlockText"/>
      </w:pPr>
    </w:p>
    <w:p w:rsidR="00011CD8" w:rsidRDefault="00011CD8" w:rsidP="008B23B6">
      <w:pPr>
        <w:pStyle w:val="BlockText"/>
      </w:pPr>
    </w:p>
    <w:p w:rsidR="00011CD8" w:rsidRPr="00663279" w:rsidRDefault="00011CD8" w:rsidP="008B23B6">
      <w:pPr>
        <w:pStyle w:val="BlockText"/>
      </w:pPr>
    </w:p>
    <w:p w:rsidR="00A67AB4" w:rsidRPr="00534190" w:rsidRDefault="00534190" w:rsidP="008B23B6">
      <w:pPr>
        <w:pStyle w:val="BlockText"/>
        <w:spacing w:before="0" w:beforeAutospacing="0" w:after="0" w:afterAutospacing="0"/>
        <w:rPr>
          <w:sz w:val="18"/>
          <w:szCs w:val="18"/>
        </w:rPr>
      </w:pPr>
      <w:r w:rsidRPr="00534190">
        <w:rPr>
          <w:sz w:val="18"/>
          <w:szCs w:val="18"/>
        </w:rPr>
        <w:t>12.05.2015</w:t>
      </w:r>
    </w:p>
    <w:p w:rsidR="008B23B6" w:rsidRPr="00534190" w:rsidRDefault="008A66E6" w:rsidP="008B23B6">
      <w:pPr>
        <w:pStyle w:val="Block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464</w:t>
      </w:r>
      <w:bookmarkStart w:id="0" w:name="_GoBack"/>
      <w:bookmarkEnd w:id="0"/>
    </w:p>
    <w:p w:rsidR="005B6427" w:rsidRPr="00534190" w:rsidRDefault="005B6427" w:rsidP="005B6427">
      <w:pPr>
        <w:jc w:val="both"/>
        <w:rPr>
          <w:rStyle w:val="Hyperlink"/>
          <w:color w:val="auto"/>
          <w:sz w:val="18"/>
          <w:szCs w:val="18"/>
          <w:u w:val="none"/>
        </w:rPr>
      </w:pPr>
      <w:proofErr w:type="spellStart"/>
      <w:r w:rsidRPr="00534190">
        <w:rPr>
          <w:rStyle w:val="Hyperlink"/>
          <w:color w:val="auto"/>
          <w:sz w:val="18"/>
          <w:szCs w:val="18"/>
          <w:u w:val="none"/>
        </w:rPr>
        <w:t>G.Puķītis</w:t>
      </w:r>
      <w:proofErr w:type="spellEnd"/>
    </w:p>
    <w:p w:rsidR="005B6427" w:rsidRPr="00534190" w:rsidRDefault="005B6427" w:rsidP="005B6427">
      <w:pPr>
        <w:jc w:val="both"/>
        <w:rPr>
          <w:rStyle w:val="Hyperlink"/>
          <w:color w:val="auto"/>
          <w:sz w:val="18"/>
          <w:szCs w:val="18"/>
          <w:u w:val="none"/>
        </w:rPr>
      </w:pPr>
      <w:r w:rsidRPr="00534190">
        <w:rPr>
          <w:rStyle w:val="Hyperlink"/>
          <w:color w:val="auto"/>
          <w:sz w:val="18"/>
          <w:szCs w:val="18"/>
          <w:u w:val="none"/>
        </w:rPr>
        <w:t>67095561, guntis.pukitis@fm.gov.lv</w:t>
      </w:r>
    </w:p>
    <w:p w:rsidR="00CB4B2B" w:rsidRPr="00045B81" w:rsidRDefault="00CB4B2B" w:rsidP="00054D69">
      <w:pPr>
        <w:rPr>
          <w:rStyle w:val="Hyperlink"/>
          <w:color w:val="auto"/>
          <w:sz w:val="20"/>
          <w:szCs w:val="20"/>
        </w:rPr>
      </w:pPr>
    </w:p>
    <w:sectPr w:rsidR="00CB4B2B" w:rsidRPr="00045B81" w:rsidSect="007C78FD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46" w:rsidRDefault="00BF4846">
      <w:r>
        <w:separator/>
      </w:r>
    </w:p>
  </w:endnote>
  <w:endnote w:type="continuationSeparator" w:id="0">
    <w:p w:rsidR="00BF4846" w:rsidRDefault="00BF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8D" w:rsidRPr="00E51496" w:rsidRDefault="00A9298D" w:rsidP="00A9298D">
    <w:pPr>
      <w:jc w:val="center"/>
      <w:rPr>
        <w:bCs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34190">
      <w:rPr>
        <w:noProof/>
        <w:sz w:val="20"/>
        <w:szCs w:val="20"/>
      </w:rPr>
      <w:t>FMAnot_120515_FSAP.240_precizets.docx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projekts</w:t>
    </w:r>
    <w:r w:rsidRPr="00CA05C8">
      <w:rPr>
        <w:sz w:val="20"/>
        <w:szCs w:val="20"/>
      </w:rPr>
      <w:t xml:space="preserve"> "</w:t>
    </w:r>
    <w:r w:rsidRPr="00E51496">
      <w:rPr>
        <w:b/>
        <w:bCs/>
      </w:rPr>
      <w:t xml:space="preserve"> </w:t>
    </w:r>
    <w:r w:rsidRPr="00E51496">
      <w:rPr>
        <w:bCs/>
        <w:sz w:val="20"/>
        <w:szCs w:val="20"/>
      </w:rPr>
      <w:t>Grozījumi Ministru kabineta 2007.gada 3.aprīļa noteikumos Nr.233</w:t>
    </w:r>
  </w:p>
  <w:p w:rsidR="00DE1C13" w:rsidRPr="00A9298D" w:rsidRDefault="00A9298D" w:rsidP="00A9298D">
    <w:pPr>
      <w:pStyle w:val="Footer"/>
      <w:jc w:val="both"/>
      <w:rPr>
        <w:sz w:val="20"/>
        <w:szCs w:val="20"/>
      </w:rPr>
    </w:pPr>
    <w:r w:rsidRPr="00E51496">
      <w:rPr>
        <w:bCs/>
        <w:sz w:val="20"/>
        <w:szCs w:val="20"/>
      </w:rPr>
      <w:t>„Finanšu sektora attīstības padomes nolikums</w:t>
    </w:r>
    <w:r>
      <w:rPr>
        <w:sz w:val="20"/>
        <w:szCs w:val="20"/>
      </w:rPr>
      <w:t>”</w:t>
    </w:r>
    <w:r w:rsidRPr="00DC7EC8">
      <w:rPr>
        <w:sz w:val="20"/>
        <w:szCs w:val="20"/>
      </w:rPr>
      <w:t xml:space="preserve"> </w:t>
    </w:r>
    <w:r w:rsidRPr="00CA05C8">
      <w:rPr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17" w:rsidRPr="00E51496" w:rsidRDefault="00454617" w:rsidP="00454617">
    <w:pPr>
      <w:jc w:val="center"/>
      <w:rPr>
        <w:bCs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34190">
      <w:rPr>
        <w:noProof/>
        <w:sz w:val="20"/>
        <w:szCs w:val="20"/>
      </w:rPr>
      <w:t>FMAnot_120515_FSAP.240_precizets.docx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="00E867A9">
      <w:rPr>
        <w:sz w:val="20"/>
        <w:szCs w:val="20"/>
      </w:rPr>
      <w:t>Ministru kabineta noteikumu projekts</w:t>
    </w:r>
    <w:r w:rsidRPr="00CA05C8">
      <w:rPr>
        <w:sz w:val="20"/>
        <w:szCs w:val="20"/>
      </w:rPr>
      <w:t xml:space="preserve"> "</w:t>
    </w:r>
    <w:r w:rsidRPr="00E51496">
      <w:rPr>
        <w:b/>
        <w:bCs/>
      </w:rPr>
      <w:t xml:space="preserve"> </w:t>
    </w:r>
    <w:r w:rsidRPr="00E51496">
      <w:rPr>
        <w:bCs/>
        <w:sz w:val="20"/>
        <w:szCs w:val="20"/>
      </w:rPr>
      <w:t>Grozījumi Ministru kabineta 2007.gada 3.aprīļa noteikumos Nr.233</w:t>
    </w:r>
  </w:p>
  <w:p w:rsidR="00DE1C13" w:rsidRPr="00454617" w:rsidRDefault="00454617" w:rsidP="00454617">
    <w:pPr>
      <w:pStyle w:val="Footer"/>
      <w:jc w:val="both"/>
      <w:rPr>
        <w:sz w:val="20"/>
        <w:szCs w:val="20"/>
      </w:rPr>
    </w:pPr>
    <w:r w:rsidRPr="00E51496">
      <w:rPr>
        <w:bCs/>
        <w:sz w:val="20"/>
        <w:szCs w:val="20"/>
      </w:rPr>
      <w:t>„Finanšu sektora attīstības padomes nolikums</w:t>
    </w:r>
    <w:r>
      <w:rPr>
        <w:sz w:val="20"/>
        <w:szCs w:val="20"/>
      </w:rPr>
      <w:t>”</w:t>
    </w:r>
    <w:r w:rsidRPr="00DC7EC8">
      <w:rPr>
        <w:sz w:val="20"/>
        <w:szCs w:val="20"/>
      </w:rPr>
      <w:t xml:space="preserve"> </w:t>
    </w:r>
    <w:r w:rsidRPr="00CA05C8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46" w:rsidRDefault="00BF4846">
      <w:r>
        <w:separator/>
      </w:r>
    </w:p>
  </w:footnote>
  <w:footnote w:type="continuationSeparator" w:id="0">
    <w:p w:rsidR="00BF4846" w:rsidRDefault="00BF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6E6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89D"/>
    <w:multiLevelType w:val="hybridMultilevel"/>
    <w:tmpl w:val="FC889D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96AD8"/>
    <w:multiLevelType w:val="hybridMultilevel"/>
    <w:tmpl w:val="40A2D70A"/>
    <w:lvl w:ilvl="0" w:tplc="9850E2BE">
      <w:start w:val="316"/>
      <w:numFmt w:val="bullet"/>
      <w:lvlText w:val="-"/>
      <w:lvlJc w:val="left"/>
      <w:pPr>
        <w:ind w:left="102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513DD7"/>
    <w:multiLevelType w:val="hybridMultilevel"/>
    <w:tmpl w:val="FC889D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45D84464"/>
    <w:multiLevelType w:val="hybridMultilevel"/>
    <w:tmpl w:val="FC889D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62228"/>
    <w:multiLevelType w:val="hybridMultilevel"/>
    <w:tmpl w:val="FC889D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DF4745F"/>
    <w:multiLevelType w:val="hybridMultilevel"/>
    <w:tmpl w:val="4B56ADCE"/>
    <w:lvl w:ilvl="0" w:tplc="640C9FD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9D7421"/>
    <w:multiLevelType w:val="hybridMultilevel"/>
    <w:tmpl w:val="BB2E4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7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15"/>
  </w:num>
  <w:num w:numId="14">
    <w:abstractNumId w:val="18"/>
  </w:num>
  <w:num w:numId="15">
    <w:abstractNumId w:val="4"/>
  </w:num>
  <w:num w:numId="16">
    <w:abstractNumId w:val="19"/>
  </w:num>
  <w:num w:numId="17">
    <w:abstractNumId w:val="0"/>
  </w:num>
  <w:num w:numId="18">
    <w:abstractNumId w:val="6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CD8"/>
    <w:rsid w:val="00011D24"/>
    <w:rsid w:val="00013FF4"/>
    <w:rsid w:val="00020FE1"/>
    <w:rsid w:val="00022E13"/>
    <w:rsid w:val="0002322C"/>
    <w:rsid w:val="00032388"/>
    <w:rsid w:val="00035CE2"/>
    <w:rsid w:val="00045B81"/>
    <w:rsid w:val="00054D69"/>
    <w:rsid w:val="0005553B"/>
    <w:rsid w:val="00056D81"/>
    <w:rsid w:val="000604D2"/>
    <w:rsid w:val="000824C6"/>
    <w:rsid w:val="00084751"/>
    <w:rsid w:val="0009005E"/>
    <w:rsid w:val="000941C5"/>
    <w:rsid w:val="000A325D"/>
    <w:rsid w:val="000A6451"/>
    <w:rsid w:val="000B064E"/>
    <w:rsid w:val="000B69CF"/>
    <w:rsid w:val="000C790C"/>
    <w:rsid w:val="000F061D"/>
    <w:rsid w:val="000F4794"/>
    <w:rsid w:val="00102DD8"/>
    <w:rsid w:val="00104E29"/>
    <w:rsid w:val="00124F12"/>
    <w:rsid w:val="00133905"/>
    <w:rsid w:val="00144E3A"/>
    <w:rsid w:val="0015060C"/>
    <w:rsid w:val="00157F32"/>
    <w:rsid w:val="0016018A"/>
    <w:rsid w:val="00161814"/>
    <w:rsid w:val="00161F0E"/>
    <w:rsid w:val="00170E2A"/>
    <w:rsid w:val="00175482"/>
    <w:rsid w:val="00177394"/>
    <w:rsid w:val="001825CC"/>
    <w:rsid w:val="00182C18"/>
    <w:rsid w:val="00183CC2"/>
    <w:rsid w:val="00183E35"/>
    <w:rsid w:val="001875B5"/>
    <w:rsid w:val="001900E4"/>
    <w:rsid w:val="00190F88"/>
    <w:rsid w:val="00191865"/>
    <w:rsid w:val="001A33EA"/>
    <w:rsid w:val="001A4066"/>
    <w:rsid w:val="001A6AE4"/>
    <w:rsid w:val="001B01FD"/>
    <w:rsid w:val="001B4A71"/>
    <w:rsid w:val="001B71AB"/>
    <w:rsid w:val="001B71CD"/>
    <w:rsid w:val="001C6135"/>
    <w:rsid w:val="001D5B54"/>
    <w:rsid w:val="001D711B"/>
    <w:rsid w:val="001E06FA"/>
    <w:rsid w:val="001E1DBF"/>
    <w:rsid w:val="001E2369"/>
    <w:rsid w:val="001E3A84"/>
    <w:rsid w:val="001E4639"/>
    <w:rsid w:val="001E4A7D"/>
    <w:rsid w:val="001F43A8"/>
    <w:rsid w:val="001F5CD6"/>
    <w:rsid w:val="00210BD8"/>
    <w:rsid w:val="0021263D"/>
    <w:rsid w:val="00212BBC"/>
    <w:rsid w:val="00213F0C"/>
    <w:rsid w:val="00214094"/>
    <w:rsid w:val="0021592D"/>
    <w:rsid w:val="00221999"/>
    <w:rsid w:val="00222660"/>
    <w:rsid w:val="00222D76"/>
    <w:rsid w:val="00223EB1"/>
    <w:rsid w:val="00231344"/>
    <w:rsid w:val="0023436E"/>
    <w:rsid w:val="002347C0"/>
    <w:rsid w:val="002362E4"/>
    <w:rsid w:val="00241A6C"/>
    <w:rsid w:val="00242D2B"/>
    <w:rsid w:val="00244CA0"/>
    <w:rsid w:val="002537CF"/>
    <w:rsid w:val="00262E2B"/>
    <w:rsid w:val="00270429"/>
    <w:rsid w:val="0027054C"/>
    <w:rsid w:val="002720EB"/>
    <w:rsid w:val="002723E9"/>
    <w:rsid w:val="00277929"/>
    <w:rsid w:val="00277AB3"/>
    <w:rsid w:val="00282E88"/>
    <w:rsid w:val="00283B82"/>
    <w:rsid w:val="002846E9"/>
    <w:rsid w:val="00284C34"/>
    <w:rsid w:val="0029066C"/>
    <w:rsid w:val="002A6E62"/>
    <w:rsid w:val="002B03E7"/>
    <w:rsid w:val="002B200B"/>
    <w:rsid w:val="002B50DB"/>
    <w:rsid w:val="002C12AB"/>
    <w:rsid w:val="002C7CAC"/>
    <w:rsid w:val="002D3306"/>
    <w:rsid w:val="002D48AA"/>
    <w:rsid w:val="002D5F2A"/>
    <w:rsid w:val="002D7BAA"/>
    <w:rsid w:val="002D7F54"/>
    <w:rsid w:val="002E3FF4"/>
    <w:rsid w:val="002F78C8"/>
    <w:rsid w:val="0030011F"/>
    <w:rsid w:val="00301305"/>
    <w:rsid w:val="00301CF3"/>
    <w:rsid w:val="003032CE"/>
    <w:rsid w:val="00305BBD"/>
    <w:rsid w:val="0030705C"/>
    <w:rsid w:val="0032715C"/>
    <w:rsid w:val="00337CA5"/>
    <w:rsid w:val="0034622F"/>
    <w:rsid w:val="00351F03"/>
    <w:rsid w:val="0035410B"/>
    <w:rsid w:val="00360CCC"/>
    <w:rsid w:val="00362478"/>
    <w:rsid w:val="003652D0"/>
    <w:rsid w:val="00370649"/>
    <w:rsid w:val="00373A1B"/>
    <w:rsid w:val="00375B25"/>
    <w:rsid w:val="00376F41"/>
    <w:rsid w:val="00385B77"/>
    <w:rsid w:val="00385D1E"/>
    <w:rsid w:val="00396542"/>
    <w:rsid w:val="0039685B"/>
    <w:rsid w:val="00396E4A"/>
    <w:rsid w:val="003A31A6"/>
    <w:rsid w:val="003A7F0C"/>
    <w:rsid w:val="003A7F79"/>
    <w:rsid w:val="003B0BA1"/>
    <w:rsid w:val="003B33FD"/>
    <w:rsid w:val="003B6404"/>
    <w:rsid w:val="003C098F"/>
    <w:rsid w:val="003C0A89"/>
    <w:rsid w:val="003C2392"/>
    <w:rsid w:val="003C449B"/>
    <w:rsid w:val="003C4862"/>
    <w:rsid w:val="003C7B68"/>
    <w:rsid w:val="003D21FF"/>
    <w:rsid w:val="003E0E1C"/>
    <w:rsid w:val="003F0112"/>
    <w:rsid w:val="003F071A"/>
    <w:rsid w:val="003F127A"/>
    <w:rsid w:val="003F160B"/>
    <w:rsid w:val="003F40CC"/>
    <w:rsid w:val="00400032"/>
    <w:rsid w:val="00400B5B"/>
    <w:rsid w:val="00405A00"/>
    <w:rsid w:val="00406E17"/>
    <w:rsid w:val="00420870"/>
    <w:rsid w:val="00432E1F"/>
    <w:rsid w:val="0043791B"/>
    <w:rsid w:val="00441483"/>
    <w:rsid w:val="00441BCB"/>
    <w:rsid w:val="0045176A"/>
    <w:rsid w:val="00454617"/>
    <w:rsid w:val="00456332"/>
    <w:rsid w:val="00461826"/>
    <w:rsid w:val="004800F9"/>
    <w:rsid w:val="0049134A"/>
    <w:rsid w:val="00491985"/>
    <w:rsid w:val="004933F1"/>
    <w:rsid w:val="004A58CB"/>
    <w:rsid w:val="004B1795"/>
    <w:rsid w:val="004B1F53"/>
    <w:rsid w:val="004B43DD"/>
    <w:rsid w:val="004B56DD"/>
    <w:rsid w:val="004C020F"/>
    <w:rsid w:val="004C1AFD"/>
    <w:rsid w:val="004C558B"/>
    <w:rsid w:val="004C6A82"/>
    <w:rsid w:val="004D5832"/>
    <w:rsid w:val="004E371E"/>
    <w:rsid w:val="004E3970"/>
    <w:rsid w:val="004F1331"/>
    <w:rsid w:val="004F1F88"/>
    <w:rsid w:val="004F5F1B"/>
    <w:rsid w:val="004F6EEC"/>
    <w:rsid w:val="00502374"/>
    <w:rsid w:val="005060A1"/>
    <w:rsid w:val="00507312"/>
    <w:rsid w:val="00516072"/>
    <w:rsid w:val="00525414"/>
    <w:rsid w:val="00526FE9"/>
    <w:rsid w:val="005311E7"/>
    <w:rsid w:val="005332EC"/>
    <w:rsid w:val="00534190"/>
    <w:rsid w:val="00534418"/>
    <w:rsid w:val="005353AB"/>
    <w:rsid w:val="00541FEA"/>
    <w:rsid w:val="00544417"/>
    <w:rsid w:val="005560BC"/>
    <w:rsid w:val="005573BE"/>
    <w:rsid w:val="00561069"/>
    <w:rsid w:val="00562980"/>
    <w:rsid w:val="0056766B"/>
    <w:rsid w:val="00572700"/>
    <w:rsid w:val="00580468"/>
    <w:rsid w:val="005848E0"/>
    <w:rsid w:val="0058603B"/>
    <w:rsid w:val="005860A1"/>
    <w:rsid w:val="0059232A"/>
    <w:rsid w:val="0059379B"/>
    <w:rsid w:val="0059431B"/>
    <w:rsid w:val="00596F15"/>
    <w:rsid w:val="005A39CC"/>
    <w:rsid w:val="005B401B"/>
    <w:rsid w:val="005B4730"/>
    <w:rsid w:val="005B6427"/>
    <w:rsid w:val="005C3924"/>
    <w:rsid w:val="005C5EDC"/>
    <w:rsid w:val="005D624F"/>
    <w:rsid w:val="005E05D7"/>
    <w:rsid w:val="005E41E7"/>
    <w:rsid w:val="005E450F"/>
    <w:rsid w:val="005E596F"/>
    <w:rsid w:val="006077F5"/>
    <w:rsid w:val="00610833"/>
    <w:rsid w:val="00617BC7"/>
    <w:rsid w:val="0062298A"/>
    <w:rsid w:val="00626514"/>
    <w:rsid w:val="00626589"/>
    <w:rsid w:val="006334AB"/>
    <w:rsid w:val="006339A0"/>
    <w:rsid w:val="006413A8"/>
    <w:rsid w:val="00642E56"/>
    <w:rsid w:val="00644813"/>
    <w:rsid w:val="006448B5"/>
    <w:rsid w:val="00651E00"/>
    <w:rsid w:val="00674572"/>
    <w:rsid w:val="00687763"/>
    <w:rsid w:val="00692B0D"/>
    <w:rsid w:val="00693E0E"/>
    <w:rsid w:val="00696A69"/>
    <w:rsid w:val="006A12BD"/>
    <w:rsid w:val="006A1AE3"/>
    <w:rsid w:val="006B20CC"/>
    <w:rsid w:val="006C0427"/>
    <w:rsid w:val="006C30E1"/>
    <w:rsid w:val="006C3316"/>
    <w:rsid w:val="006C4607"/>
    <w:rsid w:val="006D48F1"/>
    <w:rsid w:val="006E08F9"/>
    <w:rsid w:val="006E1407"/>
    <w:rsid w:val="006E697F"/>
    <w:rsid w:val="006F0091"/>
    <w:rsid w:val="006F445E"/>
    <w:rsid w:val="006F45BE"/>
    <w:rsid w:val="006F520D"/>
    <w:rsid w:val="006F601C"/>
    <w:rsid w:val="006F6551"/>
    <w:rsid w:val="006F6579"/>
    <w:rsid w:val="007004FC"/>
    <w:rsid w:val="00706670"/>
    <w:rsid w:val="00715CFA"/>
    <w:rsid w:val="00715E6B"/>
    <w:rsid w:val="0072417C"/>
    <w:rsid w:val="00726DE2"/>
    <w:rsid w:val="007278AC"/>
    <w:rsid w:val="00734211"/>
    <w:rsid w:val="00734450"/>
    <w:rsid w:val="00737664"/>
    <w:rsid w:val="00745F67"/>
    <w:rsid w:val="0075039E"/>
    <w:rsid w:val="00752D9D"/>
    <w:rsid w:val="00752DDD"/>
    <w:rsid w:val="00754784"/>
    <w:rsid w:val="00757C6E"/>
    <w:rsid w:val="00762BDA"/>
    <w:rsid w:val="00763484"/>
    <w:rsid w:val="007805FD"/>
    <w:rsid w:val="007840DE"/>
    <w:rsid w:val="00784422"/>
    <w:rsid w:val="00792C50"/>
    <w:rsid w:val="007976B7"/>
    <w:rsid w:val="007A530E"/>
    <w:rsid w:val="007A6D22"/>
    <w:rsid w:val="007B3B54"/>
    <w:rsid w:val="007B3FA0"/>
    <w:rsid w:val="007C0F2C"/>
    <w:rsid w:val="007C2BCC"/>
    <w:rsid w:val="007C414F"/>
    <w:rsid w:val="007C4EF0"/>
    <w:rsid w:val="007C6FD0"/>
    <w:rsid w:val="007C78FD"/>
    <w:rsid w:val="007D099D"/>
    <w:rsid w:val="007D426A"/>
    <w:rsid w:val="007E1887"/>
    <w:rsid w:val="007E2664"/>
    <w:rsid w:val="007E3ABF"/>
    <w:rsid w:val="007E5BFA"/>
    <w:rsid w:val="007E6689"/>
    <w:rsid w:val="007E731C"/>
    <w:rsid w:val="007F0A03"/>
    <w:rsid w:val="00810040"/>
    <w:rsid w:val="0082023A"/>
    <w:rsid w:val="00821A7A"/>
    <w:rsid w:val="008253F8"/>
    <w:rsid w:val="008325E4"/>
    <w:rsid w:val="00832762"/>
    <w:rsid w:val="00832A2B"/>
    <w:rsid w:val="00845811"/>
    <w:rsid w:val="00846994"/>
    <w:rsid w:val="00850451"/>
    <w:rsid w:val="00852042"/>
    <w:rsid w:val="008534C9"/>
    <w:rsid w:val="00853A64"/>
    <w:rsid w:val="00853D47"/>
    <w:rsid w:val="0085599D"/>
    <w:rsid w:val="0086381B"/>
    <w:rsid w:val="00874741"/>
    <w:rsid w:val="00874FD4"/>
    <w:rsid w:val="0087510C"/>
    <w:rsid w:val="00887A61"/>
    <w:rsid w:val="0089738E"/>
    <w:rsid w:val="008A41DF"/>
    <w:rsid w:val="008A66E6"/>
    <w:rsid w:val="008B23B6"/>
    <w:rsid w:val="008B5FDB"/>
    <w:rsid w:val="008C32DD"/>
    <w:rsid w:val="008C50F4"/>
    <w:rsid w:val="008C5649"/>
    <w:rsid w:val="008D25B0"/>
    <w:rsid w:val="008E44A2"/>
    <w:rsid w:val="008E5A64"/>
    <w:rsid w:val="008E697D"/>
    <w:rsid w:val="008E744B"/>
    <w:rsid w:val="00903263"/>
    <w:rsid w:val="009036E5"/>
    <w:rsid w:val="00906A21"/>
    <w:rsid w:val="009079C3"/>
    <w:rsid w:val="00910462"/>
    <w:rsid w:val="00915AB1"/>
    <w:rsid w:val="00917342"/>
    <w:rsid w:val="00917532"/>
    <w:rsid w:val="009235BA"/>
    <w:rsid w:val="00924023"/>
    <w:rsid w:val="00924CE2"/>
    <w:rsid w:val="00924F17"/>
    <w:rsid w:val="00925B9F"/>
    <w:rsid w:val="00931AED"/>
    <w:rsid w:val="00932D95"/>
    <w:rsid w:val="009476A3"/>
    <w:rsid w:val="0095334F"/>
    <w:rsid w:val="00962644"/>
    <w:rsid w:val="00965897"/>
    <w:rsid w:val="0096765C"/>
    <w:rsid w:val="009727E4"/>
    <w:rsid w:val="00973242"/>
    <w:rsid w:val="00981C38"/>
    <w:rsid w:val="009934C5"/>
    <w:rsid w:val="00994C0F"/>
    <w:rsid w:val="00997609"/>
    <w:rsid w:val="009A5C3B"/>
    <w:rsid w:val="009A647A"/>
    <w:rsid w:val="009B0ECA"/>
    <w:rsid w:val="009B22D7"/>
    <w:rsid w:val="009B2AA7"/>
    <w:rsid w:val="009B4171"/>
    <w:rsid w:val="009B42E5"/>
    <w:rsid w:val="009B72ED"/>
    <w:rsid w:val="009C6DEB"/>
    <w:rsid w:val="009D1944"/>
    <w:rsid w:val="009D28A5"/>
    <w:rsid w:val="009D6504"/>
    <w:rsid w:val="009E12D7"/>
    <w:rsid w:val="009E661A"/>
    <w:rsid w:val="009E775E"/>
    <w:rsid w:val="009F5C8A"/>
    <w:rsid w:val="00A02E68"/>
    <w:rsid w:val="00A05A7A"/>
    <w:rsid w:val="00A06781"/>
    <w:rsid w:val="00A074C3"/>
    <w:rsid w:val="00A100D9"/>
    <w:rsid w:val="00A1509C"/>
    <w:rsid w:val="00A27EDB"/>
    <w:rsid w:val="00A34260"/>
    <w:rsid w:val="00A42E83"/>
    <w:rsid w:val="00A50CE2"/>
    <w:rsid w:val="00A67AB4"/>
    <w:rsid w:val="00A70CFD"/>
    <w:rsid w:val="00A718FC"/>
    <w:rsid w:val="00A7270B"/>
    <w:rsid w:val="00A72A0B"/>
    <w:rsid w:val="00A737A1"/>
    <w:rsid w:val="00A750B2"/>
    <w:rsid w:val="00A75E7F"/>
    <w:rsid w:val="00A762F8"/>
    <w:rsid w:val="00A81E42"/>
    <w:rsid w:val="00A864FE"/>
    <w:rsid w:val="00A86F41"/>
    <w:rsid w:val="00A87D04"/>
    <w:rsid w:val="00A90665"/>
    <w:rsid w:val="00A9298D"/>
    <w:rsid w:val="00A950C5"/>
    <w:rsid w:val="00AA1D25"/>
    <w:rsid w:val="00AA2856"/>
    <w:rsid w:val="00AA38A8"/>
    <w:rsid w:val="00AA6DCD"/>
    <w:rsid w:val="00AB2B1A"/>
    <w:rsid w:val="00AB397F"/>
    <w:rsid w:val="00AB5705"/>
    <w:rsid w:val="00AB5832"/>
    <w:rsid w:val="00AC4FDE"/>
    <w:rsid w:val="00AC51F2"/>
    <w:rsid w:val="00AE5066"/>
    <w:rsid w:val="00AE5E24"/>
    <w:rsid w:val="00AE61B7"/>
    <w:rsid w:val="00AE6CBA"/>
    <w:rsid w:val="00AE79AD"/>
    <w:rsid w:val="00AF35E4"/>
    <w:rsid w:val="00AF3BCA"/>
    <w:rsid w:val="00AF5CDE"/>
    <w:rsid w:val="00B102A9"/>
    <w:rsid w:val="00B10A34"/>
    <w:rsid w:val="00B11A57"/>
    <w:rsid w:val="00B20FD0"/>
    <w:rsid w:val="00B211C3"/>
    <w:rsid w:val="00B23B35"/>
    <w:rsid w:val="00B25597"/>
    <w:rsid w:val="00B267B9"/>
    <w:rsid w:val="00B33E09"/>
    <w:rsid w:val="00B36380"/>
    <w:rsid w:val="00B443A9"/>
    <w:rsid w:val="00B4661D"/>
    <w:rsid w:val="00B47BCA"/>
    <w:rsid w:val="00B50708"/>
    <w:rsid w:val="00B50C68"/>
    <w:rsid w:val="00B51293"/>
    <w:rsid w:val="00B52B1E"/>
    <w:rsid w:val="00B55481"/>
    <w:rsid w:val="00B56C32"/>
    <w:rsid w:val="00B57ACF"/>
    <w:rsid w:val="00B62436"/>
    <w:rsid w:val="00B64BB1"/>
    <w:rsid w:val="00B73166"/>
    <w:rsid w:val="00B73BE1"/>
    <w:rsid w:val="00B75734"/>
    <w:rsid w:val="00B8426C"/>
    <w:rsid w:val="00B86A5C"/>
    <w:rsid w:val="00B87CC7"/>
    <w:rsid w:val="00B91B8D"/>
    <w:rsid w:val="00B937FC"/>
    <w:rsid w:val="00B94E90"/>
    <w:rsid w:val="00B95C35"/>
    <w:rsid w:val="00BA0200"/>
    <w:rsid w:val="00BB0A82"/>
    <w:rsid w:val="00BB7C94"/>
    <w:rsid w:val="00BC0A9D"/>
    <w:rsid w:val="00BD1D2B"/>
    <w:rsid w:val="00BD4D10"/>
    <w:rsid w:val="00BE32D0"/>
    <w:rsid w:val="00BE4981"/>
    <w:rsid w:val="00BE7332"/>
    <w:rsid w:val="00BF40ED"/>
    <w:rsid w:val="00BF4846"/>
    <w:rsid w:val="00BF5BC2"/>
    <w:rsid w:val="00C1133D"/>
    <w:rsid w:val="00C20646"/>
    <w:rsid w:val="00C27A08"/>
    <w:rsid w:val="00C31312"/>
    <w:rsid w:val="00C326C6"/>
    <w:rsid w:val="00C35295"/>
    <w:rsid w:val="00C3653D"/>
    <w:rsid w:val="00C36ADD"/>
    <w:rsid w:val="00C36E74"/>
    <w:rsid w:val="00C40595"/>
    <w:rsid w:val="00C409A4"/>
    <w:rsid w:val="00C41621"/>
    <w:rsid w:val="00C449FA"/>
    <w:rsid w:val="00C457A3"/>
    <w:rsid w:val="00C51482"/>
    <w:rsid w:val="00C5384F"/>
    <w:rsid w:val="00C54C12"/>
    <w:rsid w:val="00C56964"/>
    <w:rsid w:val="00C5783C"/>
    <w:rsid w:val="00C656D5"/>
    <w:rsid w:val="00C67103"/>
    <w:rsid w:val="00C71170"/>
    <w:rsid w:val="00C71BB9"/>
    <w:rsid w:val="00C8321F"/>
    <w:rsid w:val="00C832A6"/>
    <w:rsid w:val="00C83765"/>
    <w:rsid w:val="00C848C9"/>
    <w:rsid w:val="00C86FAD"/>
    <w:rsid w:val="00C8785E"/>
    <w:rsid w:val="00C94C28"/>
    <w:rsid w:val="00CA05C8"/>
    <w:rsid w:val="00CB0247"/>
    <w:rsid w:val="00CB3440"/>
    <w:rsid w:val="00CB4B2B"/>
    <w:rsid w:val="00CC0350"/>
    <w:rsid w:val="00CC1692"/>
    <w:rsid w:val="00CC6449"/>
    <w:rsid w:val="00CD0CBE"/>
    <w:rsid w:val="00CD138B"/>
    <w:rsid w:val="00CD3E31"/>
    <w:rsid w:val="00CD74A3"/>
    <w:rsid w:val="00CE0527"/>
    <w:rsid w:val="00CE23AD"/>
    <w:rsid w:val="00CE5772"/>
    <w:rsid w:val="00CE5B23"/>
    <w:rsid w:val="00CF70AD"/>
    <w:rsid w:val="00CF7729"/>
    <w:rsid w:val="00D00059"/>
    <w:rsid w:val="00D002AD"/>
    <w:rsid w:val="00D107FA"/>
    <w:rsid w:val="00D113EA"/>
    <w:rsid w:val="00D12275"/>
    <w:rsid w:val="00D12766"/>
    <w:rsid w:val="00D15C07"/>
    <w:rsid w:val="00D20FF4"/>
    <w:rsid w:val="00D24D2C"/>
    <w:rsid w:val="00D2698E"/>
    <w:rsid w:val="00D31514"/>
    <w:rsid w:val="00D35881"/>
    <w:rsid w:val="00D430D5"/>
    <w:rsid w:val="00D45F05"/>
    <w:rsid w:val="00D543DB"/>
    <w:rsid w:val="00D55560"/>
    <w:rsid w:val="00D56B8D"/>
    <w:rsid w:val="00D73EB0"/>
    <w:rsid w:val="00D76EF3"/>
    <w:rsid w:val="00D80273"/>
    <w:rsid w:val="00D8574C"/>
    <w:rsid w:val="00DA013A"/>
    <w:rsid w:val="00DA1722"/>
    <w:rsid w:val="00DA7DA5"/>
    <w:rsid w:val="00DB073B"/>
    <w:rsid w:val="00DB0D45"/>
    <w:rsid w:val="00DB383F"/>
    <w:rsid w:val="00DB39FC"/>
    <w:rsid w:val="00DB78F0"/>
    <w:rsid w:val="00DC2E43"/>
    <w:rsid w:val="00DC39C0"/>
    <w:rsid w:val="00DC7EC8"/>
    <w:rsid w:val="00DD095C"/>
    <w:rsid w:val="00DD1020"/>
    <w:rsid w:val="00DD1330"/>
    <w:rsid w:val="00DD4EA0"/>
    <w:rsid w:val="00DE0B83"/>
    <w:rsid w:val="00DE1A81"/>
    <w:rsid w:val="00DE1C13"/>
    <w:rsid w:val="00DE4E10"/>
    <w:rsid w:val="00DF6CF6"/>
    <w:rsid w:val="00E02ABF"/>
    <w:rsid w:val="00E14995"/>
    <w:rsid w:val="00E14C58"/>
    <w:rsid w:val="00E179CD"/>
    <w:rsid w:val="00E17EC7"/>
    <w:rsid w:val="00E23E8D"/>
    <w:rsid w:val="00E37F98"/>
    <w:rsid w:val="00E46559"/>
    <w:rsid w:val="00E51496"/>
    <w:rsid w:val="00E60222"/>
    <w:rsid w:val="00E66595"/>
    <w:rsid w:val="00E6670C"/>
    <w:rsid w:val="00E75511"/>
    <w:rsid w:val="00E776E8"/>
    <w:rsid w:val="00E84F5E"/>
    <w:rsid w:val="00E866EA"/>
    <w:rsid w:val="00E867A9"/>
    <w:rsid w:val="00E86825"/>
    <w:rsid w:val="00E92C1F"/>
    <w:rsid w:val="00E945F2"/>
    <w:rsid w:val="00E95D4B"/>
    <w:rsid w:val="00E97009"/>
    <w:rsid w:val="00E97472"/>
    <w:rsid w:val="00EB199F"/>
    <w:rsid w:val="00EC0092"/>
    <w:rsid w:val="00EC21C0"/>
    <w:rsid w:val="00EC23F7"/>
    <w:rsid w:val="00EC4A0E"/>
    <w:rsid w:val="00EC4BD8"/>
    <w:rsid w:val="00EC63EB"/>
    <w:rsid w:val="00ED03E5"/>
    <w:rsid w:val="00ED2B89"/>
    <w:rsid w:val="00ED412F"/>
    <w:rsid w:val="00EE2BA1"/>
    <w:rsid w:val="00EE78A6"/>
    <w:rsid w:val="00EF36B2"/>
    <w:rsid w:val="00F031FB"/>
    <w:rsid w:val="00F201EC"/>
    <w:rsid w:val="00F208A9"/>
    <w:rsid w:val="00F273B4"/>
    <w:rsid w:val="00F37013"/>
    <w:rsid w:val="00F41D75"/>
    <w:rsid w:val="00F440CC"/>
    <w:rsid w:val="00F5139D"/>
    <w:rsid w:val="00F52382"/>
    <w:rsid w:val="00F63DAC"/>
    <w:rsid w:val="00F641D8"/>
    <w:rsid w:val="00F710DD"/>
    <w:rsid w:val="00F7454F"/>
    <w:rsid w:val="00F7539E"/>
    <w:rsid w:val="00F77988"/>
    <w:rsid w:val="00F77F48"/>
    <w:rsid w:val="00F83B4D"/>
    <w:rsid w:val="00F921F8"/>
    <w:rsid w:val="00F92ADF"/>
    <w:rsid w:val="00FA4FD9"/>
    <w:rsid w:val="00FB30F1"/>
    <w:rsid w:val="00FB46C2"/>
    <w:rsid w:val="00FB53E7"/>
    <w:rsid w:val="00FC0F2D"/>
    <w:rsid w:val="00FE30E3"/>
    <w:rsid w:val="00FE6828"/>
    <w:rsid w:val="00FE72CA"/>
    <w:rsid w:val="00FF0331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987D18F-E0C6-40D3-8B15-F3FB102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B7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9232A"/>
    <w:pPr>
      <w:spacing w:line="360" w:lineRule="auto"/>
      <w:ind w:firstLine="300"/>
    </w:pPr>
    <w:rPr>
      <w:color w:val="414142"/>
      <w:sz w:val="20"/>
      <w:szCs w:val="20"/>
    </w:rPr>
  </w:style>
  <w:style w:type="paragraph" w:styleId="BlockText">
    <w:name w:val="Block Text"/>
    <w:basedOn w:val="Normal"/>
    <w:uiPriority w:val="99"/>
    <w:unhideWhenUsed/>
    <w:rsid w:val="00874FD4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74FD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874FD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35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8904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6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A.Zitcere</Vad_x012b_t_x0101_js>
    <Kategorija xmlns="2e5bb04e-596e-45bd-9003-43ca78b1ba16">Anotācija</Kategorija>
    <DKP xmlns="2e5bb04e-596e-45bd-9003-43ca78b1ba16">48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176D-7834-4498-8531-AC37A59BD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AEEDB-20D9-4166-AEE2-BBA7D8164E97}">
  <ds:schemaRefs>
    <ds:schemaRef ds:uri="http://schemas.microsoft.com/office/2006/metadata/properties"/>
    <ds:schemaRef ds:uri="http://www.w3.org/XML/1998/namespace"/>
    <ds:schemaRef ds:uri="http://purl.org/dc/elements/1.1/"/>
    <ds:schemaRef ds:uri="2e5bb04e-596e-45bd-9003-43ca78b1ba1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03E86E-CA0A-4A6E-8764-FA4CF9590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FD1ED6-22A1-4E53-8FFB-846C0B1A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464</Words>
  <Characters>3499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projekta "Grozījumi Ministru kabineta 2007.gada 3.aprīļa noteikumos Nr.233 "Finanšu sektora attīstības padomes nolikums""  sākotnējās ietkemes novērtējuma ziņojums (anotācija)</vt:lpstr>
      <vt:lpstr>Likumprojekta "Grozījums Kredītu reģistra likumā" sākotnējās ietekmes novērtējuma ziņojums (anotācija)</vt:lpstr>
    </vt:vector>
  </TitlesOfParts>
  <Company>Valsts kanceleja, Politikas koordinācijas departaments</Company>
  <LinksUpToDate>false</LinksUpToDate>
  <CharactersWithSpaces>3956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mailto:maris.stepins@fm.gov.lv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2007.gada 3.aprīļa noteikumos Nr.233 "Finanšu sektora attīstības padomes nolikums""  sākotnējās ietkemes novērtējuma ziņojums (anotācija)</dc:title>
  <dc:subject>Instrukcijas pielikums</dc:subject>
  <dc:creator>L.Tiltiņa</dc:creator>
  <dc:description/>
  <cp:lastModifiedBy>Guntis Puķītis</cp:lastModifiedBy>
  <cp:revision>6</cp:revision>
  <cp:lastPrinted>2015-05-14T05:43:00Z</cp:lastPrinted>
  <dcterms:created xsi:type="dcterms:W3CDTF">2015-05-12T12:51:00Z</dcterms:created>
  <dcterms:modified xsi:type="dcterms:W3CDTF">2015-05-18T14:30:00Z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