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2612" w14:textId="39359FE5" w:rsidR="001F5390" w:rsidRPr="00756AEC" w:rsidRDefault="00186E20" w:rsidP="000534EB">
      <w:pPr>
        <w:spacing w:after="0" w:line="240" w:lineRule="auto"/>
        <w:jc w:val="center"/>
        <w:rPr>
          <w:rFonts w:ascii="Times New Roman" w:hAnsi="Times New Roman"/>
          <w:b/>
          <w:sz w:val="25"/>
          <w:szCs w:val="25"/>
          <w:lang w:val="lv-LV"/>
        </w:rPr>
      </w:pPr>
      <w:r w:rsidRPr="00756AEC">
        <w:rPr>
          <w:rFonts w:ascii="Times New Roman" w:hAnsi="Times New Roman"/>
          <w:b/>
          <w:sz w:val="25"/>
          <w:szCs w:val="25"/>
          <w:lang w:val="lv-LV"/>
        </w:rPr>
        <w:t xml:space="preserve">Ministru kabineta </w:t>
      </w:r>
      <w:r w:rsidR="000534EB" w:rsidRPr="00756AEC">
        <w:rPr>
          <w:rFonts w:ascii="Times New Roman" w:hAnsi="Times New Roman"/>
          <w:b/>
          <w:sz w:val="25"/>
          <w:szCs w:val="25"/>
          <w:lang w:val="lv-LV"/>
        </w:rPr>
        <w:t xml:space="preserve">noteikumu projekta </w:t>
      </w:r>
      <w:r w:rsidR="00D61F3A" w:rsidRPr="00756AEC">
        <w:rPr>
          <w:rFonts w:ascii="Times New Roman" w:hAnsi="Times New Roman"/>
          <w:b/>
          <w:sz w:val="25"/>
          <w:szCs w:val="25"/>
          <w:lang w:val="lv-LV"/>
        </w:rPr>
        <w:t>„</w:t>
      </w:r>
      <w:r w:rsidR="003A4806" w:rsidRPr="00756AEC">
        <w:rPr>
          <w:rFonts w:ascii="Times New Roman" w:hAnsi="Times New Roman"/>
          <w:b/>
          <w:sz w:val="25"/>
          <w:szCs w:val="25"/>
          <w:lang w:val="lv-LV"/>
        </w:rPr>
        <w:t>Grozījum</w:t>
      </w:r>
      <w:r w:rsidR="007043AA" w:rsidRPr="00756AEC">
        <w:rPr>
          <w:rFonts w:ascii="Times New Roman" w:hAnsi="Times New Roman"/>
          <w:b/>
          <w:sz w:val="25"/>
          <w:szCs w:val="25"/>
          <w:lang w:val="lv-LV"/>
        </w:rPr>
        <w:t>i</w:t>
      </w:r>
      <w:r w:rsidR="00E0275F" w:rsidRPr="00756AEC">
        <w:rPr>
          <w:rFonts w:ascii="Times New Roman" w:hAnsi="Times New Roman"/>
          <w:b/>
          <w:sz w:val="25"/>
          <w:szCs w:val="25"/>
          <w:lang w:val="lv-LV"/>
        </w:rPr>
        <w:t xml:space="preserve"> Ministru kabineta 2014.gada 10.novembra noteikumos Nr.700 “</w:t>
      </w:r>
      <w:r w:rsidR="000534EB" w:rsidRPr="00756AEC">
        <w:rPr>
          <w:rFonts w:ascii="Times New Roman" w:hAnsi="Times New Roman"/>
          <w:b/>
          <w:sz w:val="25"/>
          <w:szCs w:val="25"/>
          <w:lang w:val="lv-LV"/>
        </w:rPr>
        <w:t xml:space="preserve">Noteikumi par darbības programmas „Uzņēmējdarbība un inovācijas” papildinājuma 2.3.2.2.aktivitātes </w:t>
      </w:r>
      <w:r w:rsidR="00D61F3A" w:rsidRPr="00756AEC">
        <w:rPr>
          <w:rFonts w:ascii="Times New Roman" w:hAnsi="Times New Roman"/>
          <w:b/>
          <w:sz w:val="25"/>
          <w:szCs w:val="25"/>
          <w:lang w:val="lv-LV"/>
        </w:rPr>
        <w:t>„</w:t>
      </w:r>
      <w:r w:rsidR="000534EB" w:rsidRPr="00756AEC">
        <w:rPr>
          <w:rFonts w:ascii="Times New Roman" w:hAnsi="Times New Roman"/>
          <w:b/>
          <w:sz w:val="25"/>
          <w:szCs w:val="25"/>
          <w:lang w:val="lv-LV"/>
        </w:rPr>
        <w:t>Atbalsts ieguldījumiem mikro, maziem un vidējiem komersantiem” 2.3.2.2.3.apakšaktivitāti „Atbalsts ieguldījumiem infrastruktūrā uzņēmējdarbības attīstībai””</w:t>
      </w:r>
      <w:r w:rsidR="00E0275F" w:rsidRPr="00756AEC">
        <w:rPr>
          <w:rFonts w:ascii="Times New Roman" w:hAnsi="Times New Roman"/>
          <w:b/>
          <w:sz w:val="25"/>
          <w:szCs w:val="25"/>
          <w:lang w:val="lv-LV"/>
        </w:rPr>
        <w:t>”</w:t>
      </w:r>
      <w:r w:rsidR="00E222C4" w:rsidRPr="00756AEC">
        <w:rPr>
          <w:rFonts w:ascii="Times New Roman" w:hAnsi="Times New Roman"/>
          <w:b/>
          <w:sz w:val="25"/>
          <w:szCs w:val="25"/>
          <w:lang w:val="lv-LV"/>
        </w:rPr>
        <w:t xml:space="preserve"> sākotnējās ietekmes novērtējuma ziņojums (anotācija)</w:t>
      </w:r>
    </w:p>
    <w:p w14:paraId="4494688A" w14:textId="77777777" w:rsidR="00E222C4" w:rsidRPr="00756AEC" w:rsidRDefault="00E222C4" w:rsidP="00E222C4">
      <w:pPr>
        <w:spacing w:after="0" w:line="240" w:lineRule="auto"/>
        <w:jc w:val="center"/>
        <w:rPr>
          <w:rFonts w:ascii="Times New Roman" w:hAnsi="Times New Roman"/>
          <w:b/>
          <w:sz w:val="25"/>
          <w:szCs w:val="25"/>
          <w:lang w:val="lv-LV"/>
        </w:rPr>
      </w:pPr>
    </w:p>
    <w:tbl>
      <w:tblPr>
        <w:tblStyle w:val="TableGrid"/>
        <w:tblW w:w="0" w:type="auto"/>
        <w:tblLayout w:type="fixed"/>
        <w:tblLook w:val="04A0" w:firstRow="1" w:lastRow="0" w:firstColumn="1" w:lastColumn="0" w:noHBand="0" w:noVBand="1"/>
      </w:tblPr>
      <w:tblGrid>
        <w:gridCol w:w="2567"/>
        <w:gridCol w:w="6613"/>
      </w:tblGrid>
      <w:tr w:rsidR="00D40CFC" w:rsidRPr="00756AEC" w14:paraId="72644D5E" w14:textId="77777777" w:rsidTr="00723173">
        <w:trPr>
          <w:trHeight w:val="381"/>
        </w:trPr>
        <w:tc>
          <w:tcPr>
            <w:tcW w:w="9180" w:type="dxa"/>
            <w:gridSpan w:val="2"/>
            <w:hideMark/>
          </w:tcPr>
          <w:p w14:paraId="0C7B5479" w14:textId="77777777" w:rsidR="00D40CFC" w:rsidRPr="00756AEC" w:rsidRDefault="00137360" w:rsidP="00137360">
            <w:pPr>
              <w:jc w:val="center"/>
              <w:rPr>
                <w:rFonts w:ascii="Times New Roman" w:hAnsi="Times New Roman"/>
                <w:b/>
                <w:sz w:val="25"/>
                <w:szCs w:val="25"/>
                <w:lang w:val="lv-LV"/>
              </w:rPr>
            </w:pPr>
            <w:r w:rsidRPr="00756AEC">
              <w:rPr>
                <w:rFonts w:ascii="Times New Roman" w:hAnsi="Times New Roman"/>
                <w:b/>
                <w:sz w:val="25"/>
                <w:szCs w:val="25"/>
                <w:lang w:val="lv-LV"/>
              </w:rPr>
              <w:t xml:space="preserve">I. </w:t>
            </w:r>
            <w:r w:rsidR="00D40CFC" w:rsidRPr="00756AEC">
              <w:rPr>
                <w:rFonts w:ascii="Times New Roman" w:hAnsi="Times New Roman"/>
                <w:b/>
                <w:sz w:val="25"/>
                <w:szCs w:val="25"/>
                <w:lang w:val="lv-LV"/>
              </w:rPr>
              <w:t>Tiesību akta projekta izstrādes nepieciešamība</w:t>
            </w:r>
          </w:p>
        </w:tc>
      </w:tr>
      <w:tr w:rsidR="00D40CFC" w:rsidRPr="00756AEC" w14:paraId="4F8321FE" w14:textId="77777777" w:rsidTr="00F66F09">
        <w:tc>
          <w:tcPr>
            <w:tcW w:w="2567" w:type="dxa"/>
            <w:hideMark/>
          </w:tcPr>
          <w:p w14:paraId="0CF8FDD2" w14:textId="77777777" w:rsidR="00D40CFC" w:rsidRPr="00756AEC" w:rsidRDefault="00D40CFC" w:rsidP="00D40CFC">
            <w:pPr>
              <w:rPr>
                <w:rFonts w:ascii="Times New Roman" w:hAnsi="Times New Roman"/>
                <w:sz w:val="25"/>
                <w:szCs w:val="25"/>
                <w:lang w:val="lv-LV"/>
              </w:rPr>
            </w:pPr>
            <w:r w:rsidRPr="00756AEC">
              <w:rPr>
                <w:rFonts w:ascii="Times New Roman" w:hAnsi="Times New Roman"/>
                <w:sz w:val="25"/>
                <w:szCs w:val="25"/>
                <w:lang w:val="lv-LV"/>
              </w:rPr>
              <w:t>1. Pamatojums</w:t>
            </w:r>
          </w:p>
        </w:tc>
        <w:tc>
          <w:tcPr>
            <w:tcW w:w="6613" w:type="dxa"/>
            <w:hideMark/>
          </w:tcPr>
          <w:p w14:paraId="472E1FB4" w14:textId="1AA5A1E5" w:rsidR="00DC2BD7" w:rsidRPr="00756AEC" w:rsidRDefault="00D304C4" w:rsidP="007043AA">
            <w:pPr>
              <w:spacing w:after="120"/>
              <w:jc w:val="both"/>
              <w:rPr>
                <w:rFonts w:ascii="Times New Roman" w:hAnsi="Times New Roman"/>
                <w:color w:val="000000"/>
                <w:sz w:val="25"/>
                <w:szCs w:val="25"/>
                <w:lang w:val="lv-LV"/>
              </w:rPr>
            </w:pPr>
            <w:r w:rsidRPr="00756AEC">
              <w:rPr>
                <w:rFonts w:ascii="Times New Roman" w:hAnsi="Times New Roman"/>
                <w:color w:val="000000"/>
                <w:sz w:val="25"/>
                <w:szCs w:val="25"/>
                <w:lang w:val="lv-LV"/>
              </w:rPr>
              <w:t xml:space="preserve">Ministru kabineta </w:t>
            </w:r>
            <w:r w:rsidR="003529AC" w:rsidRPr="00756AEC">
              <w:rPr>
                <w:rFonts w:ascii="Times New Roman" w:hAnsi="Times New Roman"/>
                <w:color w:val="000000"/>
                <w:sz w:val="25"/>
                <w:szCs w:val="25"/>
                <w:lang w:val="lv-LV"/>
              </w:rPr>
              <w:t xml:space="preserve">(turpmāk - MK) </w:t>
            </w:r>
            <w:r w:rsidRPr="00756AEC">
              <w:rPr>
                <w:rFonts w:ascii="Times New Roman" w:hAnsi="Times New Roman"/>
                <w:color w:val="000000"/>
                <w:sz w:val="25"/>
                <w:szCs w:val="25"/>
                <w:lang w:val="lv-LV"/>
              </w:rPr>
              <w:t>noteikumu projekts „Grozījum</w:t>
            </w:r>
            <w:r w:rsidR="007043AA" w:rsidRPr="00756AEC">
              <w:rPr>
                <w:rFonts w:ascii="Times New Roman" w:hAnsi="Times New Roman"/>
                <w:color w:val="000000"/>
                <w:sz w:val="25"/>
                <w:szCs w:val="25"/>
                <w:lang w:val="lv-LV"/>
              </w:rPr>
              <w:t>i</w:t>
            </w:r>
            <w:r w:rsidRPr="00756AEC">
              <w:rPr>
                <w:rFonts w:ascii="Times New Roman" w:hAnsi="Times New Roman"/>
                <w:color w:val="000000"/>
                <w:sz w:val="25"/>
                <w:szCs w:val="25"/>
                <w:lang w:val="lv-LV"/>
              </w:rPr>
              <w:t xml:space="preserve"> Ministru kabineta 2014.gada 10.novembra noteikumos Nr.700 “Noteikumi par darbības programmas “Uzņēmējdarbība un inovācijas” papildinājuma 2.3.2.2.aktivitātes “Atbalsts ieguldījumiem mikro, maziem un vidējiem komersantiem” 2.3.2.2.3.apakšaktivitāti “Atbalsts ieguldījumiem infrastruktūrā uzņēmējdarbības attīstībai””” </w:t>
            </w:r>
            <w:r w:rsidR="00186E20" w:rsidRPr="00756AEC">
              <w:rPr>
                <w:rFonts w:ascii="Times New Roman" w:hAnsi="Times New Roman"/>
                <w:color w:val="000000"/>
                <w:sz w:val="25"/>
                <w:szCs w:val="25"/>
                <w:lang w:val="lv-LV"/>
              </w:rPr>
              <w:t xml:space="preserve">(turpmāk – </w:t>
            </w:r>
            <w:r w:rsidR="00186E20" w:rsidRPr="00756AEC">
              <w:rPr>
                <w:rFonts w:ascii="Times New Roman" w:hAnsi="Times New Roman" w:cs="Times New Roman"/>
                <w:sz w:val="25"/>
                <w:szCs w:val="25"/>
                <w:lang w:val="lv-LV" w:eastAsia="lv-LV"/>
              </w:rPr>
              <w:t>MK</w:t>
            </w:r>
            <w:r w:rsidR="00186E20" w:rsidRPr="00756AEC">
              <w:rPr>
                <w:rFonts w:ascii="Times New Roman" w:hAnsi="Times New Roman"/>
                <w:sz w:val="25"/>
                <w:szCs w:val="25"/>
                <w:lang w:val="lv-LV"/>
              </w:rPr>
              <w:t xml:space="preserve"> noteikumu projekts) </w:t>
            </w:r>
            <w:r w:rsidRPr="00756AEC">
              <w:rPr>
                <w:rFonts w:ascii="Times New Roman" w:hAnsi="Times New Roman"/>
                <w:color w:val="000000"/>
                <w:sz w:val="25"/>
                <w:szCs w:val="25"/>
                <w:lang w:val="lv-LV"/>
              </w:rPr>
              <w:t xml:space="preserve">un tā sākotnējās ietekmes novērtējuma ziņojums (anotācija) </w:t>
            </w:r>
            <w:r w:rsidR="00A21034" w:rsidRPr="00756AEC">
              <w:rPr>
                <w:rFonts w:ascii="Times New Roman" w:hAnsi="Times New Roman"/>
                <w:color w:val="000000"/>
                <w:sz w:val="25"/>
                <w:szCs w:val="25"/>
                <w:lang w:val="lv-LV"/>
              </w:rPr>
              <w:t>sagatavots, pamatojoties uz Eiropas Savienības struktūrfondu un Kohēzijas fonda vadības likuma 18.panta 10.punktu.</w:t>
            </w:r>
          </w:p>
        </w:tc>
      </w:tr>
      <w:tr w:rsidR="00D40CFC" w:rsidRPr="00756AEC" w14:paraId="4F55B252" w14:textId="77777777" w:rsidTr="0068037C">
        <w:trPr>
          <w:trHeight w:val="699"/>
        </w:trPr>
        <w:tc>
          <w:tcPr>
            <w:tcW w:w="2567" w:type="dxa"/>
            <w:hideMark/>
          </w:tcPr>
          <w:p w14:paraId="74BBF2CC" w14:textId="590FBBE0" w:rsidR="00E20C5F" w:rsidRPr="00756AEC" w:rsidRDefault="00D40CFC" w:rsidP="00D40CFC">
            <w:pPr>
              <w:rPr>
                <w:rFonts w:ascii="Times New Roman" w:hAnsi="Times New Roman"/>
                <w:sz w:val="25"/>
                <w:szCs w:val="25"/>
                <w:lang w:val="lv-LV"/>
              </w:rPr>
            </w:pPr>
            <w:r w:rsidRPr="00756AEC">
              <w:rPr>
                <w:rFonts w:ascii="Times New Roman" w:hAnsi="Times New Roman"/>
                <w:sz w:val="25"/>
                <w:szCs w:val="25"/>
                <w:lang w:val="lv-LV"/>
              </w:rPr>
              <w:t>2. Pašreizējā situācija un problēmas</w:t>
            </w:r>
            <w:r w:rsidR="002D3F81" w:rsidRPr="00756AEC">
              <w:rPr>
                <w:rFonts w:ascii="Times New Roman" w:hAnsi="Times New Roman"/>
                <w:sz w:val="25"/>
                <w:szCs w:val="25"/>
                <w:lang w:val="lv-LV"/>
              </w:rPr>
              <w:t>, kuru risināšanai tiesību akta projekts izstrādāts, tiesiskā regulējuma mērķis un būtība</w:t>
            </w:r>
          </w:p>
          <w:p w14:paraId="574A10DA" w14:textId="77777777" w:rsidR="00E20C5F" w:rsidRPr="00756AEC" w:rsidRDefault="00E20C5F" w:rsidP="00E20C5F">
            <w:pPr>
              <w:rPr>
                <w:rFonts w:ascii="Times New Roman" w:hAnsi="Times New Roman"/>
                <w:sz w:val="25"/>
                <w:szCs w:val="25"/>
                <w:lang w:val="lv-LV"/>
              </w:rPr>
            </w:pPr>
          </w:p>
          <w:p w14:paraId="6454800B" w14:textId="77777777" w:rsidR="00E20C5F" w:rsidRPr="00756AEC" w:rsidRDefault="00E20C5F" w:rsidP="00E20C5F">
            <w:pPr>
              <w:rPr>
                <w:rFonts w:ascii="Times New Roman" w:hAnsi="Times New Roman"/>
                <w:sz w:val="25"/>
                <w:szCs w:val="25"/>
                <w:lang w:val="lv-LV"/>
              </w:rPr>
            </w:pPr>
          </w:p>
          <w:p w14:paraId="3FBEBF6E" w14:textId="77777777" w:rsidR="00E20C5F" w:rsidRPr="00756AEC" w:rsidRDefault="00E20C5F" w:rsidP="00E20C5F">
            <w:pPr>
              <w:rPr>
                <w:rFonts w:ascii="Times New Roman" w:hAnsi="Times New Roman"/>
                <w:sz w:val="25"/>
                <w:szCs w:val="25"/>
                <w:lang w:val="lv-LV"/>
              </w:rPr>
            </w:pPr>
          </w:p>
          <w:p w14:paraId="314C55BB" w14:textId="77777777" w:rsidR="00E20C5F" w:rsidRPr="00756AEC" w:rsidRDefault="00E20C5F" w:rsidP="00E20C5F">
            <w:pPr>
              <w:rPr>
                <w:rFonts w:ascii="Times New Roman" w:hAnsi="Times New Roman"/>
                <w:sz w:val="25"/>
                <w:szCs w:val="25"/>
                <w:lang w:val="lv-LV"/>
              </w:rPr>
            </w:pPr>
          </w:p>
          <w:p w14:paraId="02F01313" w14:textId="77777777" w:rsidR="00E20C5F" w:rsidRPr="00756AEC" w:rsidRDefault="00E20C5F" w:rsidP="00E20C5F">
            <w:pPr>
              <w:rPr>
                <w:rFonts w:ascii="Times New Roman" w:hAnsi="Times New Roman"/>
                <w:sz w:val="25"/>
                <w:szCs w:val="25"/>
                <w:lang w:val="lv-LV"/>
              </w:rPr>
            </w:pPr>
          </w:p>
          <w:p w14:paraId="7706ADCF" w14:textId="77777777" w:rsidR="00E20C5F" w:rsidRPr="00756AEC" w:rsidRDefault="00E20C5F" w:rsidP="00E20C5F">
            <w:pPr>
              <w:rPr>
                <w:rFonts w:ascii="Times New Roman" w:hAnsi="Times New Roman"/>
                <w:sz w:val="25"/>
                <w:szCs w:val="25"/>
                <w:lang w:val="lv-LV"/>
              </w:rPr>
            </w:pPr>
          </w:p>
          <w:p w14:paraId="74C3EA22" w14:textId="77777777" w:rsidR="00E20C5F" w:rsidRPr="00756AEC" w:rsidRDefault="00E20C5F" w:rsidP="00E20C5F">
            <w:pPr>
              <w:rPr>
                <w:rFonts w:ascii="Times New Roman" w:hAnsi="Times New Roman"/>
                <w:sz w:val="25"/>
                <w:szCs w:val="25"/>
                <w:lang w:val="lv-LV"/>
              </w:rPr>
            </w:pPr>
          </w:p>
          <w:p w14:paraId="4BA7563E" w14:textId="1AFA1E61" w:rsidR="00E20C5F" w:rsidRPr="00756AEC" w:rsidRDefault="00E20C5F" w:rsidP="00E20C5F">
            <w:pPr>
              <w:rPr>
                <w:rFonts w:ascii="Times New Roman" w:hAnsi="Times New Roman"/>
                <w:sz w:val="25"/>
                <w:szCs w:val="25"/>
                <w:lang w:val="lv-LV"/>
              </w:rPr>
            </w:pPr>
          </w:p>
          <w:p w14:paraId="51997E7F" w14:textId="77777777" w:rsidR="00E20C5F" w:rsidRPr="00756AEC" w:rsidRDefault="00E20C5F" w:rsidP="00E20C5F">
            <w:pPr>
              <w:rPr>
                <w:rFonts w:ascii="Times New Roman" w:hAnsi="Times New Roman"/>
                <w:sz w:val="25"/>
                <w:szCs w:val="25"/>
                <w:lang w:val="lv-LV"/>
              </w:rPr>
            </w:pPr>
          </w:p>
          <w:p w14:paraId="168BD56F" w14:textId="77777777" w:rsidR="00E20C5F" w:rsidRPr="00756AEC" w:rsidRDefault="00E20C5F" w:rsidP="00E20C5F">
            <w:pPr>
              <w:rPr>
                <w:rFonts w:ascii="Times New Roman" w:hAnsi="Times New Roman"/>
                <w:sz w:val="25"/>
                <w:szCs w:val="25"/>
                <w:lang w:val="lv-LV"/>
              </w:rPr>
            </w:pPr>
          </w:p>
          <w:p w14:paraId="086C24D1" w14:textId="0D87CDCE" w:rsidR="00E20C5F" w:rsidRPr="00756AEC" w:rsidRDefault="00E20C5F" w:rsidP="00E20C5F">
            <w:pPr>
              <w:rPr>
                <w:rFonts w:ascii="Times New Roman" w:hAnsi="Times New Roman"/>
                <w:sz w:val="25"/>
                <w:szCs w:val="25"/>
                <w:lang w:val="lv-LV"/>
              </w:rPr>
            </w:pPr>
          </w:p>
          <w:p w14:paraId="5C1F23DA" w14:textId="77777777" w:rsidR="00E20C5F" w:rsidRPr="00756AEC" w:rsidRDefault="00E20C5F" w:rsidP="00E20C5F">
            <w:pPr>
              <w:rPr>
                <w:rFonts w:ascii="Times New Roman" w:hAnsi="Times New Roman"/>
                <w:sz w:val="25"/>
                <w:szCs w:val="25"/>
                <w:lang w:val="lv-LV"/>
              </w:rPr>
            </w:pPr>
          </w:p>
          <w:p w14:paraId="2DEF2071" w14:textId="31AF4D58" w:rsidR="00E20C5F" w:rsidRPr="00756AEC" w:rsidRDefault="00E20C5F" w:rsidP="00E20C5F">
            <w:pPr>
              <w:rPr>
                <w:rFonts w:ascii="Times New Roman" w:hAnsi="Times New Roman"/>
                <w:sz w:val="25"/>
                <w:szCs w:val="25"/>
                <w:lang w:val="lv-LV"/>
              </w:rPr>
            </w:pPr>
          </w:p>
          <w:p w14:paraId="2D36F912" w14:textId="30FDE1AF" w:rsidR="00E20C5F" w:rsidRPr="00756AEC" w:rsidRDefault="00E20C5F" w:rsidP="00E20C5F">
            <w:pPr>
              <w:rPr>
                <w:rFonts w:ascii="Times New Roman" w:hAnsi="Times New Roman"/>
                <w:sz w:val="25"/>
                <w:szCs w:val="25"/>
                <w:lang w:val="lv-LV"/>
              </w:rPr>
            </w:pPr>
          </w:p>
          <w:p w14:paraId="16C7CE9E" w14:textId="77777777" w:rsidR="00D40CFC" w:rsidRPr="00756AEC" w:rsidRDefault="00D40CFC" w:rsidP="00E20C5F">
            <w:pPr>
              <w:jc w:val="right"/>
              <w:rPr>
                <w:rFonts w:ascii="Times New Roman" w:hAnsi="Times New Roman"/>
                <w:sz w:val="25"/>
                <w:szCs w:val="25"/>
                <w:lang w:val="lv-LV"/>
              </w:rPr>
            </w:pPr>
          </w:p>
        </w:tc>
        <w:tc>
          <w:tcPr>
            <w:tcW w:w="6613" w:type="dxa"/>
            <w:hideMark/>
          </w:tcPr>
          <w:p w14:paraId="10E413FB" w14:textId="11DFAE51" w:rsidR="00EE7733" w:rsidRPr="00756AEC" w:rsidRDefault="00EE7733" w:rsidP="00EE7733">
            <w:pPr>
              <w:spacing w:after="120"/>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MK 2014.gada 10.novembrī steidzamībās kārtā apstiprināja MK noteikumu projektu “Noteikumi par darbības programmas „Uzņēmējdarbība un inovācijas” papildinājuma 2.3.2.2.aktivitātes “Atbalsts ieguldījumiem mikro, maziem un vidējiem komersantiem” 2.3.2.2.3.apakšaktivitāti „Atbalsts ieguldījumiem infrastruktūrā uzņēmējdarbības attīstībai””</w:t>
            </w:r>
            <w:r w:rsidR="003B595E" w:rsidRPr="00756AEC">
              <w:rPr>
                <w:rFonts w:ascii="Times New Roman" w:hAnsi="Times New Roman" w:cs="Times New Roman"/>
                <w:sz w:val="25"/>
                <w:szCs w:val="25"/>
                <w:lang w:val="lv-LV"/>
              </w:rPr>
              <w:t>, kā arī MK rīkojuma projektu „Grozījumi darbības programmas „Uzņēmējdarbība un inovācijas” papildinājumā”,</w:t>
            </w:r>
            <w:r w:rsidRPr="00756AEC">
              <w:rPr>
                <w:rFonts w:ascii="Times New Roman" w:hAnsi="Times New Roman" w:cs="Times New Roman"/>
                <w:sz w:val="25"/>
                <w:szCs w:val="25"/>
                <w:lang w:val="lv-LV"/>
              </w:rPr>
              <w:t xml:space="preserve"> jo identificētie riski, īpaši ārējā politiskā un ekonomiskā vide (Krievijas – Ukrainas krīzes eskalācija) apdraudēja Eiropas Komisijas piešķirtā </w:t>
            </w:r>
            <w:r w:rsidR="00A17E37" w:rsidRPr="00756AEC">
              <w:rPr>
                <w:rFonts w:ascii="Times New Roman" w:hAnsi="Times New Roman"/>
                <w:sz w:val="25"/>
                <w:szCs w:val="25"/>
                <w:lang w:val="lv-LV"/>
              </w:rPr>
              <w:t xml:space="preserve">Eiropas Reģionālās attīstības fonda (turpmāk – ERAF) </w:t>
            </w:r>
            <w:r w:rsidR="00A17E37" w:rsidRPr="00756AEC">
              <w:rPr>
                <w:rFonts w:ascii="Times New Roman" w:hAnsi="Times New Roman" w:cs="Times New Roman"/>
                <w:sz w:val="25"/>
                <w:szCs w:val="25"/>
                <w:lang w:val="lv-LV"/>
              </w:rPr>
              <w:t>apguvi</w:t>
            </w:r>
            <w:r w:rsidRPr="00756AEC">
              <w:rPr>
                <w:rFonts w:ascii="Times New Roman" w:hAnsi="Times New Roman" w:cs="Times New Roman"/>
                <w:sz w:val="25"/>
                <w:szCs w:val="25"/>
                <w:lang w:val="lv-LV"/>
              </w:rPr>
              <w:t xml:space="preserve"> 2014.gadā, potenciāli radot ES fondu finansējuma zaudējumu.</w:t>
            </w:r>
          </w:p>
          <w:p w14:paraId="4B44B4F2" w14:textId="77777777" w:rsidR="00252FA6" w:rsidRPr="00756AEC" w:rsidRDefault="00252FA6" w:rsidP="00252FA6">
            <w:pPr>
              <w:jc w:val="both"/>
              <w:rPr>
                <w:rFonts w:ascii="Times New Roman" w:hAnsi="Times New Roman"/>
                <w:color w:val="000000"/>
                <w:sz w:val="25"/>
                <w:szCs w:val="25"/>
                <w:lang w:val="lv-LV"/>
              </w:rPr>
            </w:pPr>
            <w:r w:rsidRPr="00756AEC">
              <w:rPr>
                <w:rFonts w:ascii="Times New Roman" w:hAnsi="Times New Roman"/>
                <w:color w:val="000000"/>
                <w:sz w:val="25"/>
                <w:szCs w:val="25"/>
                <w:lang w:val="lv-LV"/>
              </w:rPr>
              <w:t xml:space="preserve">Pēc projektu verificēšanas un precīza finansējuma apmēra noteikšanas, par kādu tiks ieviesti projekti 2.3.2.2.3.apakšaktivitātes ietvaros, nepieciešams veikt grozījumus gan MK noteikumos par 2.3.2.2.3.apakšaktvitātes īstenošanu, gan MK noteikumos par </w:t>
            </w:r>
            <w:r w:rsidRPr="00756AEC">
              <w:rPr>
                <w:rFonts w:ascii="Times New Roman" w:hAnsi="Times New Roman"/>
                <w:sz w:val="25"/>
                <w:szCs w:val="25"/>
                <w:lang w:val="lv-LV"/>
              </w:rPr>
              <w:t xml:space="preserve">3.6.1.1.aktivitātes “Nacionālas un reģionālas nozīmes attīstības centru izaugsmes veicināšana līdzsvarotai valsts attīstībai”” (turpmāk – 3.6.1.1.aktivitāte) un 3.6.2.1.aktivitātes “Atbalsts novadu pašvaldību kompleksai attīstībai”” (turpmāk – 3.6.2.1.aktivitāte) </w:t>
            </w:r>
            <w:r w:rsidRPr="00756AEC">
              <w:rPr>
                <w:rFonts w:ascii="Times New Roman" w:hAnsi="Times New Roman"/>
                <w:color w:val="000000"/>
                <w:sz w:val="25"/>
                <w:szCs w:val="25"/>
                <w:lang w:val="lv-LV"/>
              </w:rPr>
              <w:t>īstenošanu, paredzot precīzu finansējuma apjomu, kā arī šo projektu ietekmi uz budžeta ieņēmumiem un izdevumiem katras aktivitātes ietvaros.</w:t>
            </w:r>
          </w:p>
          <w:p w14:paraId="43DE7C77" w14:textId="70A6F83F" w:rsidR="003B595E" w:rsidRPr="00756AEC" w:rsidRDefault="00F35891" w:rsidP="00EE7733">
            <w:pPr>
              <w:spacing w:after="120"/>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MK 2014.gada 2.decembra sēdē</w:t>
            </w:r>
            <w:r w:rsidR="003B595E" w:rsidRPr="00756AEC">
              <w:rPr>
                <w:rFonts w:ascii="Times New Roman" w:hAnsi="Times New Roman" w:cs="Times New Roman"/>
                <w:sz w:val="25"/>
                <w:szCs w:val="25"/>
                <w:lang w:val="lv-LV"/>
              </w:rPr>
              <w:t xml:space="preserve"> steidzamībās kārtā</w:t>
            </w:r>
            <w:r w:rsidRPr="00756AEC">
              <w:rPr>
                <w:rFonts w:ascii="Times New Roman" w:hAnsi="Times New Roman" w:cs="Times New Roman"/>
                <w:sz w:val="25"/>
                <w:szCs w:val="25"/>
                <w:lang w:val="lv-LV"/>
              </w:rPr>
              <w:t xml:space="preserve"> tika</w:t>
            </w:r>
            <w:r w:rsidR="003B595E" w:rsidRPr="00756AEC">
              <w:rPr>
                <w:rFonts w:ascii="Times New Roman" w:hAnsi="Times New Roman" w:cs="Times New Roman"/>
                <w:sz w:val="25"/>
                <w:szCs w:val="25"/>
                <w:lang w:val="lv-LV"/>
              </w:rPr>
              <w:t xml:space="preserve"> apstiprinā</w:t>
            </w:r>
            <w:r w:rsidRPr="00756AEC">
              <w:rPr>
                <w:rFonts w:ascii="Times New Roman" w:hAnsi="Times New Roman" w:cs="Times New Roman"/>
                <w:sz w:val="25"/>
                <w:szCs w:val="25"/>
                <w:lang w:val="lv-LV"/>
              </w:rPr>
              <w:t>ts MK noteikumu projekts</w:t>
            </w:r>
            <w:r w:rsidR="003B595E" w:rsidRPr="00756AEC">
              <w:rPr>
                <w:rFonts w:ascii="Times New Roman" w:hAnsi="Times New Roman" w:cs="Times New Roman"/>
                <w:sz w:val="25"/>
                <w:szCs w:val="25"/>
                <w:lang w:val="lv-LV"/>
              </w:rPr>
              <w:t xml:space="preserve"> “Grozījums Ministru kabineta 2014.gada 10.novembra noteikumos Nr.700 “Noteikumi par darbības programmas “Uzņēmējdarbība un inovācijas” papildinājuma 2.3.2.2.aktivitātes “Atbalsts ieguldījumiem mikro, maziem un vidējiem komersantiem” 2.3.2.2.3.apakšaktivitāti “Atbalsts ieguldījumiem infrastruktūrā uzņēmējdarbības attīstībai”””, jo</w:t>
            </w:r>
            <w:r w:rsidR="003D110D" w:rsidRPr="00756AEC">
              <w:rPr>
                <w:rFonts w:ascii="Times New Roman" w:hAnsi="Times New Roman" w:cs="Times New Roman"/>
                <w:sz w:val="25"/>
                <w:szCs w:val="25"/>
                <w:lang w:val="lv-LV"/>
              </w:rPr>
              <w:t xml:space="preserve"> </w:t>
            </w:r>
            <w:r w:rsidRPr="00756AEC">
              <w:rPr>
                <w:rFonts w:ascii="Times New Roman" w:hAnsi="Times New Roman" w:cs="Times New Roman"/>
                <w:sz w:val="25"/>
                <w:szCs w:val="25"/>
                <w:lang w:val="lv-LV"/>
              </w:rPr>
              <w:t>Izglītības un zinātnes ministrijas un Ekonomikas ministrijas</w:t>
            </w:r>
            <w:r w:rsidR="003B595E" w:rsidRPr="00756AEC">
              <w:rPr>
                <w:rFonts w:ascii="Times New Roman" w:hAnsi="Times New Roman" w:cs="Times New Roman"/>
                <w:sz w:val="25"/>
                <w:szCs w:val="25"/>
                <w:lang w:val="lv-LV"/>
              </w:rPr>
              <w:t xml:space="preserve"> aplēses par ERAF finansējuma </w:t>
            </w:r>
            <w:r w:rsidRPr="00756AEC">
              <w:rPr>
                <w:rFonts w:ascii="Times New Roman" w:hAnsi="Times New Roman" w:cs="Times New Roman"/>
                <w:sz w:val="25"/>
                <w:szCs w:val="25"/>
                <w:lang w:val="lv-LV"/>
              </w:rPr>
              <w:t xml:space="preserve">potenciālā </w:t>
            </w:r>
            <w:r w:rsidR="003B595E" w:rsidRPr="00756AEC">
              <w:rPr>
                <w:rFonts w:ascii="Times New Roman" w:hAnsi="Times New Roman" w:cs="Times New Roman"/>
                <w:sz w:val="25"/>
                <w:szCs w:val="25"/>
                <w:lang w:val="lv-LV"/>
              </w:rPr>
              <w:t>zaudējum</w:t>
            </w:r>
            <w:r w:rsidRPr="00756AEC">
              <w:rPr>
                <w:rFonts w:ascii="Times New Roman" w:hAnsi="Times New Roman" w:cs="Times New Roman"/>
                <w:sz w:val="25"/>
                <w:szCs w:val="25"/>
                <w:lang w:val="lv-LV"/>
              </w:rPr>
              <w:t>a apmēru pieauga</w:t>
            </w:r>
            <w:r w:rsidR="003B595E" w:rsidRPr="00756AEC">
              <w:rPr>
                <w:rFonts w:ascii="Times New Roman" w:hAnsi="Times New Roman" w:cs="Times New Roman"/>
                <w:sz w:val="25"/>
                <w:szCs w:val="25"/>
                <w:lang w:val="lv-LV"/>
              </w:rPr>
              <w:t xml:space="preserve">, līdz ar to radās nepieciešamība palielināt </w:t>
            </w:r>
            <w:r w:rsidR="006B2758" w:rsidRPr="00756AEC">
              <w:rPr>
                <w:rFonts w:ascii="Times New Roman" w:hAnsi="Times New Roman" w:cs="Times New Roman"/>
                <w:sz w:val="25"/>
                <w:szCs w:val="25"/>
                <w:lang w:val="lv-LV"/>
              </w:rPr>
              <w:t>MK</w:t>
            </w:r>
            <w:r w:rsidR="004A0D20" w:rsidRPr="00756AEC">
              <w:rPr>
                <w:rFonts w:ascii="Times New Roman" w:hAnsi="Times New Roman" w:cs="Times New Roman"/>
                <w:sz w:val="25"/>
                <w:szCs w:val="25"/>
                <w:lang w:val="lv-LV"/>
              </w:rPr>
              <w:t xml:space="preserve"> 2014.gada 10.novembra noteikumos Nr.700 “Noteikumi par darbības programmas “Uzņēmējdarbība un inovācijas” papildinājuma 2.3.2.2.aktivitātes “Atbalsts ieguldījumiem mikro, maziem un vidējiem komersantiem” 2.3.2.2.3.apakšaktivitāti “Atbalsts ieguldījumiem infrastruktūrā uzņēmējdarbības attīstībai”” (turpmāk – </w:t>
            </w:r>
            <w:r w:rsidR="002A4059" w:rsidRPr="00756AEC">
              <w:rPr>
                <w:rFonts w:ascii="Times New Roman" w:hAnsi="Times New Roman" w:cs="Times New Roman"/>
                <w:sz w:val="25"/>
                <w:szCs w:val="25"/>
                <w:lang w:val="lv-LV"/>
              </w:rPr>
              <w:t>MK</w:t>
            </w:r>
            <w:r w:rsidR="004A0D20" w:rsidRPr="00756AEC">
              <w:rPr>
                <w:rFonts w:ascii="Times New Roman" w:hAnsi="Times New Roman" w:cs="Times New Roman"/>
                <w:sz w:val="25"/>
                <w:szCs w:val="25"/>
                <w:lang w:val="lv-LV"/>
              </w:rPr>
              <w:t xml:space="preserve"> </w:t>
            </w:r>
            <w:r w:rsidR="002A4059" w:rsidRPr="00756AEC">
              <w:rPr>
                <w:rFonts w:ascii="Times New Roman" w:hAnsi="Times New Roman" w:cs="Times New Roman"/>
                <w:sz w:val="25"/>
                <w:szCs w:val="25"/>
                <w:lang w:val="lv-LV"/>
              </w:rPr>
              <w:t>noteikum</w:t>
            </w:r>
            <w:r w:rsidR="004A0D20" w:rsidRPr="00756AEC">
              <w:rPr>
                <w:rFonts w:ascii="Times New Roman" w:hAnsi="Times New Roman" w:cs="Times New Roman"/>
                <w:sz w:val="25"/>
                <w:szCs w:val="25"/>
                <w:lang w:val="lv-LV"/>
              </w:rPr>
              <w:t>i</w:t>
            </w:r>
            <w:r w:rsidR="002A4059" w:rsidRPr="00756AEC">
              <w:rPr>
                <w:rFonts w:ascii="Times New Roman" w:hAnsi="Times New Roman" w:cs="Times New Roman"/>
                <w:sz w:val="25"/>
                <w:szCs w:val="25"/>
                <w:lang w:val="lv-LV"/>
              </w:rPr>
              <w:t xml:space="preserve"> Nr.700</w:t>
            </w:r>
            <w:r w:rsidR="004A0D20" w:rsidRPr="00756AEC">
              <w:rPr>
                <w:rFonts w:ascii="Times New Roman" w:hAnsi="Times New Roman" w:cs="Times New Roman"/>
                <w:sz w:val="25"/>
                <w:szCs w:val="25"/>
                <w:lang w:val="lv-LV"/>
              </w:rPr>
              <w:t>)</w:t>
            </w:r>
            <w:r w:rsidR="002A4059" w:rsidRPr="00756AEC">
              <w:rPr>
                <w:rFonts w:ascii="Times New Roman" w:hAnsi="Times New Roman" w:cs="Times New Roman"/>
                <w:sz w:val="25"/>
                <w:szCs w:val="25"/>
                <w:lang w:val="lv-LV"/>
              </w:rPr>
              <w:t xml:space="preserve"> 6.punktā</w:t>
            </w:r>
            <w:r w:rsidR="003D110D" w:rsidRPr="00756AEC">
              <w:rPr>
                <w:rFonts w:ascii="Times New Roman" w:hAnsi="Times New Roman" w:cs="Times New Roman"/>
                <w:sz w:val="25"/>
                <w:szCs w:val="25"/>
                <w:lang w:val="lv-LV"/>
              </w:rPr>
              <w:t xml:space="preserve"> noteikto virssaistību apmēru par 30 000 000 </w:t>
            </w:r>
            <w:r w:rsidR="003D110D" w:rsidRPr="00756AEC">
              <w:rPr>
                <w:rFonts w:ascii="Times New Roman" w:hAnsi="Times New Roman" w:cs="Times New Roman"/>
                <w:i/>
                <w:sz w:val="25"/>
                <w:szCs w:val="25"/>
                <w:lang w:val="lv-LV"/>
              </w:rPr>
              <w:t>euro</w:t>
            </w:r>
            <w:r w:rsidR="003D110D" w:rsidRPr="00756AEC">
              <w:rPr>
                <w:rFonts w:ascii="Times New Roman" w:hAnsi="Times New Roman" w:cs="Times New Roman"/>
                <w:sz w:val="25"/>
                <w:szCs w:val="25"/>
                <w:lang w:val="lv-LV"/>
              </w:rPr>
              <w:t xml:space="preserve">, </w:t>
            </w:r>
            <w:r w:rsidRPr="00756AEC">
              <w:rPr>
                <w:rFonts w:ascii="Times New Roman" w:hAnsi="Times New Roman" w:cs="Times New Roman"/>
                <w:sz w:val="25"/>
                <w:szCs w:val="25"/>
                <w:lang w:val="lv-LV"/>
              </w:rPr>
              <w:t>tādējādi</w:t>
            </w:r>
            <w:r w:rsidR="003D110D" w:rsidRPr="00756AEC">
              <w:rPr>
                <w:rFonts w:ascii="Times New Roman" w:hAnsi="Times New Roman" w:cs="Times New Roman"/>
                <w:sz w:val="25"/>
                <w:szCs w:val="25"/>
                <w:lang w:val="lv-LV"/>
              </w:rPr>
              <w:t xml:space="preserve"> izslēdzot ES fondu finansējuma zaudējumu iespēju.</w:t>
            </w:r>
          </w:p>
          <w:p w14:paraId="497CFC56" w14:textId="4D2F1897" w:rsidR="009C0094" w:rsidRPr="00756AEC" w:rsidRDefault="009C0094" w:rsidP="00EE7733">
            <w:pPr>
              <w:spacing w:after="120"/>
              <w:jc w:val="both"/>
              <w:rPr>
                <w:rFonts w:ascii="Times New Roman" w:hAnsi="Times New Roman" w:cs="Times New Roman"/>
                <w:sz w:val="25"/>
                <w:szCs w:val="25"/>
                <w:lang w:val="lv-LV"/>
              </w:rPr>
            </w:pPr>
            <w:r w:rsidRPr="00756AEC">
              <w:rPr>
                <w:rFonts w:ascii="Times New Roman" w:hAnsi="Times New Roman"/>
                <w:sz w:val="25"/>
                <w:szCs w:val="25"/>
                <w:lang w:val="lv-LV"/>
              </w:rPr>
              <w:t>Š.g. 5.decembrī tika saņemta Eiropas Komisijas (turpmāk – EK) vēstule Nr.H3/LS/</w:t>
            </w:r>
            <w:proofErr w:type="spellStart"/>
            <w:r w:rsidRPr="00756AEC">
              <w:rPr>
                <w:rFonts w:ascii="Times New Roman" w:hAnsi="Times New Roman"/>
                <w:sz w:val="25"/>
                <w:szCs w:val="25"/>
                <w:lang w:val="lv-LV"/>
              </w:rPr>
              <w:t>ib</w:t>
            </w:r>
            <w:proofErr w:type="spellEnd"/>
            <w:r w:rsidRPr="00756AEC">
              <w:rPr>
                <w:rFonts w:ascii="Times New Roman" w:hAnsi="Times New Roman"/>
                <w:sz w:val="25"/>
                <w:szCs w:val="25"/>
                <w:lang w:val="lv-LV"/>
              </w:rPr>
              <w:t xml:space="preserve"> D(2014) 4451597 par projektu pārcelšanu starp darbības programmām, kurā EK apstiprina, ka projektus, tai skaitā arī pabeigtos projektus, var pārcelt no darbības programmas “Infrastruktūra un pakalpojumi” uz darbības programmu “Uzņēmējdarbība un inovācijas”, ievērojot, ka pārceltā projekta mērķis atbilst darbības programmas “Uzņēmējdarbība un inovācijas” mērķim. Projekta atbilstību mērķim izvērtēja un apstiprināja </w:t>
            </w:r>
            <w:r w:rsidRPr="00756AEC">
              <w:rPr>
                <w:rFonts w:ascii="Times New Roman" w:hAnsi="Times New Roman" w:cs="Times New Roman"/>
                <w:sz w:val="25"/>
                <w:szCs w:val="25"/>
                <w:lang w:val="lv-LV"/>
              </w:rPr>
              <w:t>2.3.2.2.3.apakšaktivitātes projektu iesniegumu pārbaudes komisija.</w:t>
            </w:r>
          </w:p>
          <w:p w14:paraId="36D18492" w14:textId="028DC031" w:rsidR="00270CC3" w:rsidRPr="00756AEC" w:rsidRDefault="00270CC3" w:rsidP="00270CC3">
            <w:pPr>
              <w:spacing w:after="120"/>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 xml:space="preserve">Lai pārceltu projektus no darbības programmas </w:t>
            </w:r>
            <w:r w:rsidRPr="00756AEC">
              <w:rPr>
                <w:rFonts w:ascii="Times New Roman" w:hAnsi="Times New Roman"/>
                <w:sz w:val="25"/>
                <w:szCs w:val="25"/>
                <w:lang w:val="lv-LV"/>
              </w:rPr>
              <w:t>„Infrastruktūra un pakalpojumi” papildinājuma</w:t>
            </w:r>
            <w:r w:rsidRPr="00756AEC">
              <w:rPr>
                <w:rFonts w:ascii="Times New Roman" w:hAnsi="Times New Roman" w:cs="Times New Roman"/>
                <w:sz w:val="25"/>
                <w:szCs w:val="25"/>
                <w:lang w:val="lv-LV"/>
              </w:rPr>
              <w:t xml:space="preserve"> </w:t>
            </w:r>
            <w:r w:rsidRPr="00756AEC">
              <w:rPr>
                <w:rFonts w:ascii="Times New Roman" w:hAnsi="Times New Roman"/>
                <w:sz w:val="25"/>
                <w:szCs w:val="25"/>
                <w:lang w:val="lv-LV"/>
              </w:rPr>
              <w:t>3.6.1.1.aktivitātes un 3.6.2.1.aktivitātes uz darbības programmas „Uzņēmējdarbība un inovācijas” papildinājuma 2.3.2.2.3.apakšaktivitāti „Atbalsts ieguldījumiem infrastruktū</w:t>
            </w:r>
            <w:r w:rsidR="00F21753" w:rsidRPr="00756AEC">
              <w:rPr>
                <w:rFonts w:ascii="Times New Roman" w:hAnsi="Times New Roman"/>
                <w:sz w:val="25"/>
                <w:szCs w:val="25"/>
                <w:lang w:val="lv-LV"/>
              </w:rPr>
              <w:t xml:space="preserve">rā uzņēmējdarbības attīstībai” (turpmāk - </w:t>
            </w:r>
            <w:r w:rsidR="00F21753" w:rsidRPr="00756AEC">
              <w:rPr>
                <w:rFonts w:ascii="Times New Roman" w:hAnsi="Times New Roman" w:cs="Times New Roman"/>
                <w:sz w:val="25"/>
                <w:szCs w:val="25"/>
                <w:lang w:val="lv-LV"/>
              </w:rPr>
              <w:t>2.3.2.2.3.apakšaktivitāte)</w:t>
            </w:r>
            <w:r w:rsidR="00F21753" w:rsidRPr="00756AEC">
              <w:rPr>
                <w:rFonts w:ascii="Times New Roman" w:hAnsi="Times New Roman"/>
                <w:sz w:val="25"/>
                <w:szCs w:val="25"/>
                <w:lang w:val="lv-LV"/>
              </w:rPr>
              <w:t>,</w:t>
            </w:r>
            <w:r w:rsidRPr="00756AEC">
              <w:rPr>
                <w:rFonts w:ascii="Times New Roman" w:hAnsi="Times New Roman" w:cs="Times New Roman"/>
                <w:sz w:val="25"/>
                <w:szCs w:val="25"/>
                <w:lang w:val="lv-LV"/>
              </w:rPr>
              <w:t xml:space="preserve"> </w:t>
            </w:r>
            <w:r w:rsidR="00F21753" w:rsidRPr="00756AEC">
              <w:rPr>
                <w:rFonts w:ascii="Times New Roman" w:hAnsi="Times New Roman" w:cs="Times New Roman"/>
                <w:sz w:val="25"/>
                <w:szCs w:val="25"/>
                <w:lang w:val="lv-LV"/>
              </w:rPr>
              <w:t>š</w:t>
            </w:r>
            <w:r w:rsidRPr="00756AEC">
              <w:rPr>
                <w:rFonts w:ascii="Times New Roman" w:hAnsi="Times New Roman" w:cs="Times New Roman"/>
                <w:sz w:val="25"/>
                <w:szCs w:val="25"/>
                <w:lang w:val="lv-LV"/>
              </w:rPr>
              <w:t xml:space="preserve">.g. 1. un 4.decembrī </w:t>
            </w:r>
            <w:r w:rsidR="00F21753" w:rsidRPr="00756AEC">
              <w:rPr>
                <w:rFonts w:ascii="Times New Roman" w:hAnsi="Times New Roman" w:cs="Times New Roman"/>
                <w:sz w:val="25"/>
                <w:szCs w:val="25"/>
                <w:lang w:val="lv-LV"/>
              </w:rPr>
              <w:t xml:space="preserve">tika </w:t>
            </w:r>
            <w:r w:rsidR="00F611B9" w:rsidRPr="00756AEC">
              <w:rPr>
                <w:rFonts w:ascii="Times New Roman" w:hAnsi="Times New Roman" w:cs="Times New Roman"/>
                <w:sz w:val="25"/>
                <w:szCs w:val="25"/>
                <w:lang w:val="lv-LV"/>
              </w:rPr>
              <w:t>organizēta</w:t>
            </w:r>
            <w:r w:rsidR="00F21753" w:rsidRPr="00756AEC">
              <w:rPr>
                <w:rFonts w:ascii="Times New Roman" w:hAnsi="Times New Roman" w:cs="Times New Roman"/>
                <w:sz w:val="25"/>
                <w:szCs w:val="25"/>
                <w:lang w:val="lv-LV"/>
              </w:rPr>
              <w:t xml:space="preserve"> 2.3.2.2.3.apakšaktivitātes projektu iesniegumu pārbaudes komisija</w:t>
            </w:r>
            <w:r w:rsidR="00F611B9" w:rsidRPr="00756AEC">
              <w:rPr>
                <w:rFonts w:ascii="Times New Roman" w:hAnsi="Times New Roman" w:cs="Times New Roman"/>
                <w:sz w:val="25"/>
                <w:szCs w:val="25"/>
                <w:lang w:val="lv-LV"/>
              </w:rPr>
              <w:t>s sēde</w:t>
            </w:r>
            <w:r w:rsidR="00F21753" w:rsidRPr="00756AEC">
              <w:rPr>
                <w:rFonts w:ascii="Times New Roman" w:hAnsi="Times New Roman" w:cs="Times New Roman"/>
                <w:sz w:val="25"/>
                <w:szCs w:val="25"/>
                <w:lang w:val="lv-LV"/>
              </w:rPr>
              <w:t>, kur</w:t>
            </w:r>
            <w:r w:rsidR="00F611B9" w:rsidRPr="00756AEC">
              <w:rPr>
                <w:rFonts w:ascii="Times New Roman" w:hAnsi="Times New Roman" w:cs="Times New Roman"/>
                <w:sz w:val="25"/>
                <w:szCs w:val="25"/>
                <w:lang w:val="lv-LV"/>
              </w:rPr>
              <w:t>ā tika pieņemts</w:t>
            </w:r>
            <w:r w:rsidR="00F21753" w:rsidRPr="00756AEC">
              <w:rPr>
                <w:rFonts w:ascii="Times New Roman" w:hAnsi="Times New Roman" w:cs="Times New Roman"/>
                <w:sz w:val="25"/>
                <w:szCs w:val="25"/>
                <w:lang w:val="lv-LV"/>
              </w:rPr>
              <w:t xml:space="preserve"> lēmum</w:t>
            </w:r>
            <w:r w:rsidR="00F611B9" w:rsidRPr="00756AEC">
              <w:rPr>
                <w:rFonts w:ascii="Times New Roman" w:hAnsi="Times New Roman" w:cs="Times New Roman"/>
                <w:sz w:val="25"/>
                <w:szCs w:val="25"/>
                <w:lang w:val="lv-LV"/>
              </w:rPr>
              <w:t>s</w:t>
            </w:r>
            <w:r w:rsidR="00F21753" w:rsidRPr="00756AEC">
              <w:rPr>
                <w:rFonts w:ascii="Times New Roman" w:hAnsi="Times New Roman" w:cs="Times New Roman"/>
                <w:sz w:val="25"/>
                <w:szCs w:val="25"/>
                <w:lang w:val="lv-LV"/>
              </w:rPr>
              <w:t xml:space="preserve"> par 21 projekta ieteikšanu apstiprināšanai turpmākai īstenošanai 2.3.2.2.3.apakšaktivitātē par kopējo summu 62 556</w:t>
            </w:r>
            <w:r w:rsidR="00136F4A" w:rsidRPr="00756AEC">
              <w:rPr>
                <w:rFonts w:ascii="Times New Roman" w:hAnsi="Times New Roman" w:cs="Times New Roman"/>
                <w:sz w:val="25"/>
                <w:szCs w:val="25"/>
                <w:lang w:val="lv-LV"/>
              </w:rPr>
              <w:t> </w:t>
            </w:r>
            <w:r w:rsidR="00F21753" w:rsidRPr="00756AEC">
              <w:rPr>
                <w:rFonts w:ascii="Times New Roman" w:hAnsi="Times New Roman" w:cs="Times New Roman"/>
                <w:sz w:val="25"/>
                <w:szCs w:val="25"/>
                <w:lang w:val="lv-LV"/>
              </w:rPr>
              <w:t>7</w:t>
            </w:r>
            <w:r w:rsidR="00FA2306" w:rsidRPr="00756AEC">
              <w:rPr>
                <w:rFonts w:ascii="Times New Roman" w:hAnsi="Times New Roman" w:cs="Times New Roman"/>
                <w:sz w:val="25"/>
                <w:szCs w:val="25"/>
                <w:lang w:val="lv-LV"/>
              </w:rPr>
              <w:t>2</w:t>
            </w:r>
            <w:r w:rsidR="00136F4A" w:rsidRPr="00756AEC">
              <w:rPr>
                <w:rFonts w:ascii="Times New Roman" w:hAnsi="Times New Roman" w:cs="Times New Roman"/>
                <w:sz w:val="25"/>
                <w:szCs w:val="25"/>
                <w:lang w:val="lv-LV"/>
              </w:rPr>
              <w:t>2,09</w:t>
            </w:r>
            <w:r w:rsidR="00F21753" w:rsidRPr="00756AEC">
              <w:rPr>
                <w:rFonts w:ascii="Times New Roman" w:hAnsi="Times New Roman" w:cs="Times New Roman"/>
                <w:sz w:val="25"/>
                <w:szCs w:val="25"/>
                <w:lang w:val="lv-LV"/>
              </w:rPr>
              <w:t xml:space="preserve"> </w:t>
            </w:r>
            <w:r w:rsidR="00F21753" w:rsidRPr="00756AEC">
              <w:rPr>
                <w:rFonts w:ascii="Times New Roman" w:hAnsi="Times New Roman" w:cs="Times New Roman"/>
                <w:i/>
                <w:sz w:val="25"/>
                <w:szCs w:val="25"/>
                <w:lang w:val="lv-LV"/>
              </w:rPr>
              <w:t>euro</w:t>
            </w:r>
            <w:r w:rsidR="00F21753" w:rsidRPr="00756AEC">
              <w:rPr>
                <w:rFonts w:ascii="Times New Roman" w:hAnsi="Times New Roman" w:cs="Times New Roman"/>
                <w:sz w:val="25"/>
                <w:szCs w:val="25"/>
                <w:lang w:val="lv-LV"/>
              </w:rPr>
              <w:t>.</w:t>
            </w:r>
            <w:r w:rsidR="00136F4A" w:rsidRPr="00756AEC">
              <w:rPr>
                <w:rFonts w:ascii="Times New Roman" w:hAnsi="Times New Roman" w:cs="Times New Roman"/>
                <w:sz w:val="25"/>
                <w:szCs w:val="25"/>
                <w:lang w:val="lv-LV"/>
              </w:rPr>
              <w:t xml:space="preserve"> No 3.6.1.1.aktivitātes tika pārcelti </w:t>
            </w:r>
            <w:r w:rsidR="00F611B9" w:rsidRPr="00756AEC">
              <w:rPr>
                <w:rFonts w:ascii="Times New Roman" w:hAnsi="Times New Roman" w:cs="Times New Roman"/>
                <w:sz w:val="25"/>
                <w:szCs w:val="25"/>
                <w:lang w:val="lv-LV"/>
              </w:rPr>
              <w:t>astoņi</w:t>
            </w:r>
            <w:r w:rsidR="00136F4A" w:rsidRPr="00756AEC">
              <w:rPr>
                <w:rFonts w:ascii="Times New Roman" w:hAnsi="Times New Roman" w:cs="Times New Roman"/>
                <w:sz w:val="25"/>
                <w:szCs w:val="25"/>
                <w:lang w:val="lv-LV"/>
              </w:rPr>
              <w:t xml:space="preserve"> projekti par kopējo virssaistību summu 45 372 843,05 </w:t>
            </w:r>
            <w:r w:rsidR="00136F4A" w:rsidRPr="00756AEC">
              <w:rPr>
                <w:rFonts w:ascii="Times New Roman" w:hAnsi="Times New Roman" w:cs="Times New Roman"/>
                <w:i/>
                <w:sz w:val="25"/>
                <w:szCs w:val="25"/>
                <w:lang w:val="lv-LV"/>
              </w:rPr>
              <w:t>euro</w:t>
            </w:r>
            <w:r w:rsidR="00136F4A" w:rsidRPr="00756AEC">
              <w:rPr>
                <w:rFonts w:ascii="Times New Roman" w:hAnsi="Times New Roman" w:cs="Times New Roman"/>
                <w:sz w:val="25"/>
                <w:szCs w:val="25"/>
                <w:lang w:val="lv-LV"/>
              </w:rPr>
              <w:t xml:space="preserve">, bet no 3.6.2.1.aktivitātes tika pārcelti 13 projekti par kopējo virssaistību summu 17 183 879,04 </w:t>
            </w:r>
            <w:r w:rsidR="00136F4A" w:rsidRPr="00756AEC">
              <w:rPr>
                <w:rFonts w:ascii="Times New Roman" w:hAnsi="Times New Roman" w:cs="Times New Roman"/>
                <w:i/>
                <w:sz w:val="25"/>
                <w:szCs w:val="25"/>
                <w:lang w:val="lv-LV"/>
              </w:rPr>
              <w:t>euro</w:t>
            </w:r>
            <w:r w:rsidR="001B2593" w:rsidRPr="00756AEC">
              <w:rPr>
                <w:rFonts w:ascii="Times New Roman" w:hAnsi="Times New Roman" w:cs="Times New Roman"/>
                <w:sz w:val="25"/>
                <w:szCs w:val="25"/>
                <w:lang w:val="lv-LV"/>
              </w:rPr>
              <w:t>.</w:t>
            </w:r>
          </w:p>
          <w:p w14:paraId="7BEA01A4" w14:textId="43E90933" w:rsidR="00744B95" w:rsidRPr="00756AEC" w:rsidRDefault="00744B95" w:rsidP="00270CC3">
            <w:pPr>
              <w:spacing w:after="120"/>
              <w:jc w:val="both"/>
              <w:rPr>
                <w:rFonts w:ascii="Times New Roman" w:hAnsi="Times New Roman"/>
                <w:sz w:val="25"/>
                <w:szCs w:val="25"/>
                <w:lang w:val="lv-LV"/>
              </w:rPr>
            </w:pPr>
            <w:r w:rsidRPr="00756AEC">
              <w:rPr>
                <w:rFonts w:ascii="Times New Roman" w:hAnsi="Times New Roman"/>
                <w:sz w:val="25"/>
                <w:szCs w:val="25"/>
                <w:lang w:val="lv-LV"/>
              </w:rPr>
              <w:t xml:space="preserve">Saskaņā ar </w:t>
            </w:r>
            <w:r w:rsidR="005F109E" w:rsidRPr="00756AEC">
              <w:rPr>
                <w:rFonts w:ascii="Times New Roman" w:hAnsi="Times New Roman"/>
                <w:sz w:val="25"/>
                <w:szCs w:val="25"/>
                <w:lang w:val="lv-LV"/>
              </w:rPr>
              <w:t xml:space="preserve">Valsts reģionālās attīstības aģentūras </w:t>
            </w:r>
            <w:r w:rsidRPr="00756AEC">
              <w:rPr>
                <w:rFonts w:ascii="Times New Roman" w:hAnsi="Times New Roman"/>
                <w:sz w:val="25"/>
                <w:szCs w:val="25"/>
                <w:lang w:val="lv-LV"/>
              </w:rPr>
              <w:t>2014.gada 2</w:t>
            </w:r>
            <w:r w:rsidR="00DA6AB6" w:rsidRPr="00756AEC">
              <w:rPr>
                <w:rFonts w:ascii="Times New Roman" w:hAnsi="Times New Roman"/>
                <w:sz w:val="25"/>
                <w:szCs w:val="25"/>
                <w:lang w:val="lv-LV"/>
              </w:rPr>
              <w:t xml:space="preserve">. un 5.decembra lēmumiem </w:t>
            </w:r>
            <w:r w:rsidRPr="00756AEC">
              <w:rPr>
                <w:rFonts w:ascii="Times New Roman" w:hAnsi="Times New Roman"/>
                <w:sz w:val="25"/>
                <w:szCs w:val="25"/>
                <w:lang w:val="lv-LV"/>
              </w:rPr>
              <w:t>uz 2.3.2.2.3.apakšaktivitāti tika pārcelti zemāk minētie 3.6.1.1.aktivitātes un 3.6.2.1.aktivitātes ietvaros iesniegtie projekti:</w:t>
            </w:r>
          </w:p>
          <w:p w14:paraId="126AE82F" w14:textId="224ABF8C"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Satiksmes termināla apkalpošanai nepieciešamās ielu infrastruktūras izbūve Jelgavā;</w:t>
            </w:r>
          </w:p>
          <w:p w14:paraId="2A59FF0F" w14:textId="28A321D2"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 xml:space="preserve">Rīgas, Brīvības, </w:t>
            </w:r>
            <w:proofErr w:type="spellStart"/>
            <w:r w:rsidRPr="00756AEC">
              <w:rPr>
                <w:rFonts w:ascii="Times New Roman" w:hAnsi="Times New Roman" w:cs="Times New Roman"/>
                <w:sz w:val="25"/>
                <w:szCs w:val="25"/>
                <w:lang w:val="lv-LV"/>
              </w:rPr>
              <w:t>R.Blaumaņa</w:t>
            </w:r>
            <w:proofErr w:type="spellEnd"/>
            <w:r w:rsidRPr="00756AEC">
              <w:rPr>
                <w:rFonts w:ascii="Times New Roman" w:hAnsi="Times New Roman" w:cs="Times New Roman"/>
                <w:sz w:val="25"/>
                <w:szCs w:val="25"/>
                <w:lang w:val="lv-LV"/>
              </w:rPr>
              <w:t>, Zaļās un tām pieguļošo ielu tīkla rekonstrukcija;</w:t>
            </w:r>
          </w:p>
          <w:p w14:paraId="599AADD3" w14:textId="15554577"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Kurzemes un Vienības ielu rekonstrukcija un Brīvības – Neretas ielu krustojuma rekonstrukcija;</w:t>
            </w:r>
          </w:p>
          <w:p w14:paraId="1E0B6D84" w14:textId="0356A759"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Kuldīgas pilsētas ielu tīkla uzlabošana;</w:t>
            </w:r>
          </w:p>
          <w:p w14:paraId="37753014" w14:textId="2E5EAEE4"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Madonas pilsētas ielu rekonstrukcija II kārta;</w:t>
            </w:r>
          </w:p>
          <w:p w14:paraId="25C241EA" w14:textId="01682518"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Ielu infrastruktūras uzlabošana Talsos sasniedzamības sekmēšanai 1.kārta;</w:t>
            </w:r>
          </w:p>
          <w:p w14:paraId="28676EE6" w14:textId="7158BB9F"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 xml:space="preserve">Stacijas ielas, </w:t>
            </w:r>
            <w:proofErr w:type="spellStart"/>
            <w:r w:rsidRPr="00756AEC">
              <w:rPr>
                <w:rFonts w:ascii="Times New Roman" w:hAnsi="Times New Roman" w:cs="Times New Roman"/>
                <w:sz w:val="25"/>
                <w:szCs w:val="25"/>
                <w:lang w:val="lv-LV"/>
              </w:rPr>
              <w:t>Cēsu</w:t>
            </w:r>
            <w:proofErr w:type="spellEnd"/>
            <w:r w:rsidRPr="00756AEC">
              <w:rPr>
                <w:rFonts w:ascii="Times New Roman" w:hAnsi="Times New Roman" w:cs="Times New Roman"/>
                <w:sz w:val="25"/>
                <w:szCs w:val="25"/>
                <w:lang w:val="lv-LV"/>
              </w:rPr>
              <w:t xml:space="preserve"> ielas (posmā no Gaujas tilta līdz Stacijas ielai) un Mazās Stacijas ielas, Valmierā rekonstrukcija;</w:t>
            </w:r>
          </w:p>
          <w:p w14:paraId="23162C92" w14:textId="7422CA0B"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Ielu infrastruktūras attīstība Ventspilī, II kārta;</w:t>
            </w:r>
          </w:p>
          <w:p w14:paraId="24B8ADAA" w14:textId="75ADF337"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Rūpniecības ielas rekonstrukcija Alūksnes pilsētā (1.kārta);</w:t>
            </w:r>
          </w:p>
          <w:p w14:paraId="5BEB1751" w14:textId="2D58827D"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Balvu pilsētas ielu rekonstrukcija stratēģiski nozīmīgu objektu sasniedzamības nodrošināšanai;</w:t>
            </w:r>
          </w:p>
          <w:p w14:paraId="64EA5FFB" w14:textId="3792B27A"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Brīvības ielas posma rekonstrukcija no Balvu pilsētas administratīvās robežas līdz Šķērsielai pie parka;</w:t>
            </w:r>
          </w:p>
          <w:p w14:paraId="0E710D0F" w14:textId="11D5CD96"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Rīgas ielas posma rekonstrukcija uzņēmējdarbības attīstībai;</w:t>
            </w:r>
          </w:p>
          <w:p w14:paraId="220EA901" w14:textId="523CB01C"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Daugavpils novada pašvaldības ceļu un ielu rekonstrukcija saimnieciskās darbības attīstības sekmēšanai;</w:t>
            </w:r>
          </w:p>
          <w:p w14:paraId="277659D1" w14:textId="7D3CF9FC"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Zaļās ielas rekonstrukcija Dobeles pilsētā 1.kārta;</w:t>
            </w:r>
          </w:p>
          <w:p w14:paraId="02606139" w14:textId="274F3441"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Krāslavas pilsētas ielu tīkla rekonstrukcija uzņēmējdarbības veicināšanai, 1.kārta;</w:t>
            </w:r>
          </w:p>
          <w:p w14:paraId="467E8752" w14:textId="24947742"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Krāslavas novada ceļu tīkla rekonstrukcija uzņēmējdarbības veicināšanai, 2.kārta;</w:t>
            </w:r>
          </w:p>
          <w:p w14:paraId="7F1A36CB" w14:textId="6EAFEA0D"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Transporta infrastruktūras sakārtošana uzņēmējdarbības veicināšanai un tūrisma attīstībai Ludzas pilsētā;</w:t>
            </w:r>
          </w:p>
          <w:p w14:paraId="2BB51111" w14:textId="6DB2F513"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Satiksmes infrastruktūras sakārtošana Ludzas pilsētas un apkārtējo teritoriju pieejamības veicināšanai;</w:t>
            </w:r>
          </w:p>
          <w:p w14:paraId="5C5C94D0" w14:textId="0570B997"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Transporta infrastruktūras sakārtošana pilsētas centra un apkārtējo teritoriju sasniedzamības uzlabošanai Ogres novadā;</w:t>
            </w:r>
          </w:p>
          <w:p w14:paraId="66C5CF05" w14:textId="508C87AF" w:rsidR="005F109E"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Ielu rekonstrukcija Valkas pilsētā uzņēmējdarbības veicināšanai novadā;</w:t>
            </w:r>
          </w:p>
          <w:p w14:paraId="421228CE" w14:textId="3A3E1666" w:rsidR="00744B95" w:rsidRPr="00756AEC" w:rsidRDefault="005F109E" w:rsidP="005F109E">
            <w:pPr>
              <w:pStyle w:val="ListParagraph"/>
              <w:numPr>
                <w:ilvl w:val="0"/>
                <w:numId w:val="30"/>
              </w:numPr>
              <w:spacing w:after="120"/>
              <w:ind w:left="297"/>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Ceļu un ielu infrastruktūras sakārtošana un rekonstrukcija uzņēmējdarbības attīstībai Ventspils novada Piltenē.</w:t>
            </w:r>
          </w:p>
          <w:p w14:paraId="2C384FE0" w14:textId="4E6E1974" w:rsidR="00FA2306" w:rsidRPr="00756AEC" w:rsidRDefault="00FE2811" w:rsidP="00270CC3">
            <w:pPr>
              <w:spacing w:after="120"/>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 xml:space="preserve">Tā kā </w:t>
            </w:r>
            <w:r w:rsidR="00FA2306" w:rsidRPr="00756AEC">
              <w:rPr>
                <w:rFonts w:ascii="Times New Roman" w:hAnsi="Times New Roman" w:cs="Times New Roman"/>
                <w:sz w:val="25"/>
                <w:szCs w:val="25"/>
                <w:lang w:val="lv-LV"/>
              </w:rPr>
              <w:t xml:space="preserve">jānoapaļo </w:t>
            </w:r>
            <w:r w:rsidRPr="00756AEC">
              <w:rPr>
                <w:rFonts w:ascii="Times New Roman" w:hAnsi="Times New Roman" w:cs="Times New Roman"/>
                <w:sz w:val="25"/>
                <w:szCs w:val="25"/>
                <w:lang w:val="lv-LV"/>
              </w:rPr>
              <w:t>pārcelto projektu virssaistību</w:t>
            </w:r>
            <w:r w:rsidR="00FA2306" w:rsidRPr="00756AEC">
              <w:rPr>
                <w:rFonts w:ascii="Times New Roman" w:hAnsi="Times New Roman" w:cs="Times New Roman"/>
                <w:sz w:val="25"/>
                <w:szCs w:val="25"/>
                <w:lang w:val="lv-LV"/>
              </w:rPr>
              <w:t xml:space="preserve"> summu</w:t>
            </w:r>
            <w:r w:rsidRPr="00756AEC">
              <w:rPr>
                <w:rFonts w:ascii="Times New Roman" w:hAnsi="Times New Roman" w:cs="Times New Roman"/>
                <w:sz w:val="25"/>
                <w:szCs w:val="25"/>
                <w:lang w:val="lv-LV"/>
              </w:rPr>
              <w:t xml:space="preserve"> </w:t>
            </w:r>
            <w:r w:rsidRPr="00756AEC">
              <w:rPr>
                <w:rFonts w:ascii="Times New Roman" w:hAnsi="Times New Roman"/>
                <w:sz w:val="25"/>
                <w:szCs w:val="25"/>
                <w:lang w:val="lv-LV"/>
              </w:rPr>
              <w:t>(finansējumu MK noteikumos par ES fondu aktivitāšu īstenošanu ir jānorāda tikai kā pilnu skaitli)</w:t>
            </w:r>
            <w:r w:rsidRPr="00756AEC">
              <w:rPr>
                <w:rFonts w:ascii="Times New Roman" w:hAnsi="Times New Roman" w:cs="Times New Roman"/>
                <w:sz w:val="25"/>
                <w:szCs w:val="25"/>
                <w:lang w:val="lv-LV"/>
              </w:rPr>
              <w:t>,</w:t>
            </w:r>
            <w:r w:rsidR="00FA2306" w:rsidRPr="00756AEC">
              <w:rPr>
                <w:rFonts w:ascii="Times New Roman" w:hAnsi="Times New Roman" w:cs="Times New Roman"/>
                <w:sz w:val="25"/>
                <w:szCs w:val="25"/>
                <w:lang w:val="lv-LV"/>
              </w:rPr>
              <w:t xml:space="preserve"> </w:t>
            </w:r>
            <w:r w:rsidRPr="00756AEC">
              <w:rPr>
                <w:rFonts w:ascii="Times New Roman" w:hAnsi="Times New Roman" w:cs="Times New Roman"/>
                <w:sz w:val="25"/>
                <w:szCs w:val="25"/>
                <w:lang w:val="lv-LV"/>
              </w:rPr>
              <w:t>tad</w:t>
            </w:r>
            <w:r w:rsidR="00FA2306" w:rsidRPr="00756AEC">
              <w:rPr>
                <w:rFonts w:ascii="Times New Roman" w:hAnsi="Times New Roman" w:cs="Times New Roman"/>
                <w:sz w:val="25"/>
                <w:szCs w:val="25"/>
                <w:lang w:val="lv-LV"/>
              </w:rPr>
              <w:t xml:space="preserve"> no 3.6.1.1. un 3.6.2.1.aktivitātes ir jāpārceļ uz </w:t>
            </w:r>
            <w:r w:rsidR="00D80E64" w:rsidRPr="00756AEC">
              <w:rPr>
                <w:rFonts w:ascii="Times New Roman" w:hAnsi="Times New Roman" w:cs="Times New Roman"/>
                <w:sz w:val="25"/>
                <w:szCs w:val="25"/>
                <w:lang w:val="lv-LV"/>
              </w:rPr>
              <w:t>2.3.2.2.3.apakšaktivitati virssaistību finansējums 62 556 7</w:t>
            </w:r>
            <w:r w:rsidR="00A212C0" w:rsidRPr="00756AEC">
              <w:rPr>
                <w:rFonts w:ascii="Times New Roman" w:hAnsi="Times New Roman" w:cs="Times New Roman"/>
                <w:sz w:val="25"/>
                <w:szCs w:val="25"/>
                <w:lang w:val="lv-LV"/>
              </w:rPr>
              <w:t>26</w:t>
            </w:r>
            <w:r w:rsidR="00D80E64" w:rsidRPr="00756AEC">
              <w:rPr>
                <w:rFonts w:ascii="Times New Roman" w:hAnsi="Times New Roman" w:cs="Times New Roman"/>
                <w:sz w:val="25"/>
                <w:szCs w:val="25"/>
                <w:lang w:val="lv-LV"/>
              </w:rPr>
              <w:t xml:space="preserve"> </w:t>
            </w:r>
            <w:r w:rsidR="00D80E64" w:rsidRPr="00756AEC">
              <w:rPr>
                <w:rFonts w:ascii="Times New Roman" w:hAnsi="Times New Roman" w:cs="Times New Roman"/>
                <w:i/>
                <w:sz w:val="25"/>
                <w:szCs w:val="25"/>
                <w:lang w:val="lv-LV"/>
              </w:rPr>
              <w:t>euro</w:t>
            </w:r>
            <w:r w:rsidRPr="00756AEC">
              <w:rPr>
                <w:rFonts w:ascii="Times New Roman" w:hAnsi="Times New Roman" w:cs="Times New Roman"/>
                <w:sz w:val="25"/>
                <w:szCs w:val="25"/>
                <w:lang w:val="lv-LV"/>
              </w:rPr>
              <w:t xml:space="preserve"> apmērā.</w:t>
            </w:r>
          </w:p>
          <w:p w14:paraId="4E52CC63" w14:textId="5E4D2D89" w:rsidR="00DD55B3" w:rsidRPr="00756AEC" w:rsidRDefault="00436A05" w:rsidP="00DD55B3">
            <w:pPr>
              <w:spacing w:after="120"/>
              <w:jc w:val="both"/>
              <w:rPr>
                <w:rFonts w:ascii="Times New Roman" w:hAnsi="Times New Roman"/>
                <w:sz w:val="25"/>
                <w:szCs w:val="25"/>
                <w:lang w:val="lv-LV"/>
              </w:rPr>
            </w:pPr>
            <w:r w:rsidRPr="00756AEC">
              <w:rPr>
                <w:rFonts w:ascii="Times New Roman" w:hAnsi="Times New Roman" w:cs="Times New Roman"/>
                <w:sz w:val="25"/>
                <w:szCs w:val="25"/>
                <w:lang w:val="lv-LV"/>
              </w:rPr>
              <w:t>Pēc projektu pārcelšanas</w:t>
            </w:r>
            <w:r w:rsidR="00DD55B3" w:rsidRPr="00756AEC">
              <w:rPr>
                <w:rFonts w:ascii="Times New Roman" w:hAnsi="Times New Roman" w:cs="Times New Roman"/>
                <w:sz w:val="25"/>
                <w:szCs w:val="25"/>
                <w:lang w:val="lv-LV"/>
              </w:rPr>
              <w:t xml:space="preserve"> no 3.6.1.1. un 3.6.2.1.aktivitātes, nepieciešams samazināt MK </w:t>
            </w:r>
            <w:r w:rsidR="00DD55B3" w:rsidRPr="00756AEC">
              <w:rPr>
                <w:rFonts w:ascii="Times New Roman" w:hAnsi="Times New Roman"/>
                <w:sz w:val="25"/>
                <w:szCs w:val="25"/>
                <w:lang w:val="lv-LV"/>
              </w:rPr>
              <w:t>2010.gada 26.janvāra noteikumos Nr.91 “Noteikumi par darbības programmas “Infrastruktūra un pakalpojumi” papildinājuma 3.6.1.1.aktivitāti “Nacionālas un reģionālas nozīmes attīstības centru izaugsmes veicināšana līdzsvarotai valsts attīstībai”” (turpmāk – MK noteikumi Nr.91) un MK 2010.gada 14.septembra noteikumos Nr.843 “Noteikumi par darbības programmas “Infrastruktūra un pakalpojumi” papildinājuma 3.6.2.1.aktivitāti “Atbalsts novadu pašvaldību kompleksai attīstībai””</w:t>
            </w:r>
            <w:r w:rsidR="004A0D20" w:rsidRPr="00756AEC">
              <w:rPr>
                <w:rFonts w:ascii="Times New Roman" w:hAnsi="Times New Roman"/>
                <w:sz w:val="25"/>
                <w:szCs w:val="25"/>
                <w:lang w:val="lv-LV"/>
              </w:rPr>
              <w:t xml:space="preserve"> (turpmāk – MK noteikumi Nr.843)</w:t>
            </w:r>
            <w:r w:rsidR="00DD55B3" w:rsidRPr="00756AEC">
              <w:rPr>
                <w:rFonts w:ascii="Times New Roman" w:hAnsi="Times New Roman"/>
                <w:sz w:val="25"/>
                <w:szCs w:val="25"/>
                <w:lang w:val="lv-LV"/>
              </w:rPr>
              <w:t xml:space="preserve"> noteikto virssaistību apmēru par augstāk minētajām summām.</w:t>
            </w:r>
          </w:p>
          <w:p w14:paraId="2939BA5D" w14:textId="77777777" w:rsidR="003A2A77" w:rsidRPr="00756AEC" w:rsidRDefault="003A2A77" w:rsidP="003A2A77">
            <w:pPr>
              <w:spacing w:after="120"/>
              <w:jc w:val="both"/>
              <w:rPr>
                <w:rFonts w:ascii="Times New Roman" w:hAnsi="Times New Roman"/>
                <w:sz w:val="25"/>
                <w:szCs w:val="25"/>
                <w:lang w:val="lv-LV"/>
              </w:rPr>
            </w:pPr>
            <w:r w:rsidRPr="00756AEC">
              <w:rPr>
                <w:rFonts w:ascii="Times New Roman" w:hAnsi="Times New Roman"/>
                <w:sz w:val="25"/>
                <w:szCs w:val="25"/>
                <w:lang w:val="lv-LV"/>
              </w:rPr>
              <w:t xml:space="preserve">Tā kā no 3.6.1.1.aktivitātes tika pārcelti projekti par lielāku pieejamo virssaistību finansējumu, nekā tas ir pieejams šīs aktivitātes ietvaros (starpība 947 928 </w:t>
            </w:r>
            <w:r w:rsidRPr="00756AEC">
              <w:rPr>
                <w:rFonts w:ascii="Times New Roman" w:hAnsi="Times New Roman"/>
                <w:i/>
                <w:sz w:val="25"/>
                <w:szCs w:val="25"/>
                <w:lang w:val="lv-LV"/>
              </w:rPr>
              <w:t>euro</w:t>
            </w:r>
            <w:r w:rsidRPr="00756AEC">
              <w:rPr>
                <w:rFonts w:ascii="Times New Roman" w:hAnsi="Times New Roman"/>
                <w:sz w:val="25"/>
                <w:szCs w:val="25"/>
                <w:lang w:val="lv-LV"/>
              </w:rPr>
              <w:t xml:space="preserve">), tad šī starpība tiks segta no 3.6.1.1.aktivitātes ERAF finansējuma, pārceļot to uz 3.6.2.1.aktivitāti, vienlaikus to pārceļot no 3.6.2.1.aktivitātei pieejamā virssaistību finansējuma apjomu uz 2.3.2.2.3.apakšaktivitāti. </w:t>
            </w:r>
          </w:p>
          <w:p w14:paraId="30A8774E" w14:textId="77777777" w:rsidR="003A2A77" w:rsidRPr="00756AEC" w:rsidRDefault="003A2A77" w:rsidP="003A2A77">
            <w:pPr>
              <w:spacing w:after="120"/>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 xml:space="preserve">Ņemot vērā, ka starp aktivitātēm tiek pārdalīts ERAF finansējums, ir nepieciešami grozījumi darbības programmas </w:t>
            </w:r>
            <w:r w:rsidRPr="00756AEC">
              <w:rPr>
                <w:rFonts w:ascii="Times New Roman" w:hAnsi="Times New Roman"/>
                <w:sz w:val="25"/>
                <w:szCs w:val="25"/>
                <w:lang w:val="lv-LV"/>
              </w:rPr>
              <w:t>„Infrastruktūra un pakalpojumi” papildinājumā.</w:t>
            </w:r>
          </w:p>
          <w:p w14:paraId="20CDCF9F" w14:textId="21704C6D" w:rsidR="002638D0" w:rsidRPr="00756AEC" w:rsidRDefault="002638D0" w:rsidP="002638D0">
            <w:pPr>
              <w:spacing w:after="120"/>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S</w:t>
            </w:r>
            <w:r w:rsidR="00EB55C9" w:rsidRPr="00756AEC">
              <w:rPr>
                <w:rFonts w:ascii="Times New Roman" w:hAnsi="Times New Roman" w:cs="Times New Roman"/>
                <w:sz w:val="25"/>
                <w:szCs w:val="25"/>
                <w:lang w:val="lv-LV"/>
              </w:rPr>
              <w:t>as</w:t>
            </w:r>
            <w:r w:rsidRPr="00756AEC">
              <w:rPr>
                <w:rFonts w:ascii="Times New Roman" w:hAnsi="Times New Roman" w:cs="Times New Roman"/>
                <w:sz w:val="25"/>
                <w:szCs w:val="25"/>
                <w:lang w:val="lv-LV"/>
              </w:rPr>
              <w:t xml:space="preserve">kaņā ar MK noteikumu Nr.91 6.punktu, MK noteikumu Nr.91 4.punktā noteiktā nacionālā publiskā finansējuma attiecība pret ERAF līdzfinansējuma daļu ir 15% (minimāli), tad samazinot 3.6.1.1.aktivitātes ERAF līdzfinansējuma daļu ir jāsamazina arī nacionālā publiskā finansējuma daļu, kas tika samazināta 167 282 </w:t>
            </w:r>
            <w:r w:rsidRPr="00756AEC">
              <w:rPr>
                <w:rFonts w:ascii="Times New Roman" w:hAnsi="Times New Roman" w:cs="Times New Roman"/>
                <w:i/>
                <w:sz w:val="25"/>
                <w:szCs w:val="25"/>
                <w:lang w:val="lv-LV"/>
              </w:rPr>
              <w:t>euro</w:t>
            </w:r>
            <w:r w:rsidRPr="00756AEC">
              <w:rPr>
                <w:rFonts w:ascii="Times New Roman" w:hAnsi="Times New Roman" w:cs="Times New Roman"/>
                <w:sz w:val="25"/>
                <w:szCs w:val="25"/>
                <w:lang w:val="lv-LV"/>
              </w:rPr>
              <w:t xml:space="preserve"> apmērā</w:t>
            </w:r>
            <w:r w:rsidR="00E368B2" w:rsidRPr="00756AEC">
              <w:rPr>
                <w:rFonts w:ascii="Times New Roman" w:hAnsi="Times New Roman" w:cs="Times New Roman"/>
                <w:sz w:val="25"/>
                <w:szCs w:val="25"/>
                <w:lang w:val="lv-LV"/>
              </w:rPr>
              <w:t>, par to pašu summu palielinot 3.6.2.1.aktivitates nacionālā publiskā finansējuma daļu</w:t>
            </w:r>
            <w:r w:rsidRPr="00756AEC">
              <w:rPr>
                <w:rFonts w:ascii="Times New Roman" w:hAnsi="Times New Roman" w:cs="Times New Roman"/>
                <w:sz w:val="25"/>
                <w:szCs w:val="25"/>
                <w:lang w:val="lv-LV"/>
              </w:rPr>
              <w:t>.</w:t>
            </w:r>
          </w:p>
          <w:p w14:paraId="2AE0FC84" w14:textId="139971E0" w:rsidR="00E565EF" w:rsidRPr="00756AEC" w:rsidRDefault="00E565EF" w:rsidP="002638D0">
            <w:pPr>
              <w:spacing w:after="120"/>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Pēc 2.3.2.2.3.apakšaktivitātes projektu iesniegumu pārbaudes komisijas sēdes pieņemt</w:t>
            </w:r>
            <w:r w:rsidR="00DA6AB6" w:rsidRPr="00756AEC">
              <w:rPr>
                <w:rFonts w:ascii="Times New Roman" w:hAnsi="Times New Roman" w:cs="Times New Roman"/>
                <w:sz w:val="25"/>
                <w:szCs w:val="25"/>
                <w:lang w:val="lv-LV"/>
              </w:rPr>
              <w:t>o</w:t>
            </w:r>
            <w:r w:rsidRPr="00756AEC">
              <w:rPr>
                <w:rFonts w:ascii="Times New Roman" w:hAnsi="Times New Roman" w:cs="Times New Roman"/>
                <w:sz w:val="25"/>
                <w:szCs w:val="25"/>
                <w:lang w:val="lv-LV"/>
              </w:rPr>
              <w:t xml:space="preserve"> lēmum</w:t>
            </w:r>
            <w:r w:rsidR="00DA6AB6" w:rsidRPr="00756AEC">
              <w:rPr>
                <w:rFonts w:ascii="Times New Roman" w:hAnsi="Times New Roman" w:cs="Times New Roman"/>
                <w:sz w:val="25"/>
                <w:szCs w:val="25"/>
                <w:lang w:val="lv-LV"/>
              </w:rPr>
              <w:t>u</w:t>
            </w:r>
            <w:r w:rsidRPr="00756AEC">
              <w:rPr>
                <w:rFonts w:ascii="Times New Roman" w:hAnsi="Times New Roman" w:cs="Times New Roman"/>
                <w:sz w:val="25"/>
                <w:szCs w:val="25"/>
                <w:lang w:val="lv-LV"/>
              </w:rPr>
              <w:t xml:space="preserve"> apstiprināšanas, kļuva zināmi konkrēti 2.3.2.2.3.apakšaktivitātes projektu īstenotāji, līdz ar to, nepieciešams veikt precizējumus MK noteikumu Nr.700 34.punktā, svītrojot tās pašvaldības, kuru projekti netika pārcelti uz 2.3.2.2.3.apakšaktivitāti. </w:t>
            </w:r>
          </w:p>
          <w:p w14:paraId="75E5CD02" w14:textId="57C39E49" w:rsidR="003A7117" w:rsidRPr="00756AEC" w:rsidRDefault="00DD55B3" w:rsidP="00436A05">
            <w:pPr>
              <w:spacing w:after="120"/>
              <w:jc w:val="both"/>
              <w:rPr>
                <w:rFonts w:ascii="Times New Roman" w:hAnsi="Times New Roman"/>
                <w:sz w:val="25"/>
                <w:szCs w:val="25"/>
                <w:lang w:val="lv-LV"/>
              </w:rPr>
            </w:pPr>
            <w:r w:rsidRPr="00756AEC">
              <w:rPr>
                <w:rFonts w:ascii="Times New Roman" w:hAnsi="Times New Roman"/>
                <w:sz w:val="25"/>
                <w:szCs w:val="25"/>
                <w:lang w:val="lv-LV"/>
              </w:rPr>
              <w:t>Projektu pārcelšana no darbības programmas “Infrastruktūra un pakalpojumi” uz darbības programmu “Uzņēmējdarbība un inovācijas” nav pretrunā ar tiesiskās paļāvības principu. Tiesiskās paļāvības princips aizsargā personas reiz iegūtās tiesības, t.i., persona var paļauties uz to, ka tiesības, kas iegūtas saskaņā ar spēkā esošu tiesību aktu, noteiktajā laika period</w:t>
            </w:r>
            <w:r w:rsidR="00DA6AB6" w:rsidRPr="00756AEC">
              <w:rPr>
                <w:rFonts w:ascii="Times New Roman" w:hAnsi="Times New Roman"/>
                <w:sz w:val="25"/>
                <w:szCs w:val="25"/>
                <w:lang w:val="lv-LV"/>
              </w:rPr>
              <w:t>ā</w:t>
            </w:r>
            <w:r w:rsidRPr="00756AEC">
              <w:rPr>
                <w:rFonts w:ascii="Times New Roman" w:hAnsi="Times New Roman"/>
                <w:sz w:val="25"/>
                <w:szCs w:val="25"/>
                <w:lang w:val="lv-LV"/>
              </w:rPr>
              <w:t xml:space="preserve"> tiks saglabātas un reāli īstenotas. Šajā gadījumā tas nozīmē, ka finansējuma saņēmējam ir tiesiskā paļāvība, ka viņš projektu varēs īstenot saskaņā ar attiecīgās aktivitātes un projekta īstenošanas līguma noteikumiem. Ņemot vērā to, ka šajā gadījumā pēc būtības mainās tikai aktivitāte, kuras ietvaros projekts tiek finansēts, bet paša projekta īstenošanas nosacījumi nemainās (ne MK noteikumos par aktivitātes īstenošanu, ne līgumā), netiek aizskarta finansējuma saņēmēja tiesiskā paļāvība.</w:t>
            </w:r>
          </w:p>
          <w:p w14:paraId="2453BB92" w14:textId="77777777" w:rsidR="003D110D" w:rsidRPr="00756AEC" w:rsidRDefault="00DD55B3" w:rsidP="00436A05">
            <w:pPr>
              <w:spacing w:after="120"/>
              <w:jc w:val="both"/>
              <w:rPr>
                <w:rFonts w:ascii="Times New Roman" w:hAnsi="Times New Roman"/>
                <w:sz w:val="25"/>
                <w:szCs w:val="25"/>
                <w:lang w:val="lv-LV"/>
              </w:rPr>
            </w:pPr>
            <w:r w:rsidRPr="00756AEC">
              <w:rPr>
                <w:rFonts w:ascii="Times New Roman" w:hAnsi="Times New Roman"/>
                <w:sz w:val="25"/>
                <w:szCs w:val="25"/>
                <w:lang w:val="lv-LV"/>
              </w:rPr>
              <w:t xml:space="preserve">Tāpat šajā gadījumā netiek pārkāpts arī </w:t>
            </w:r>
            <w:proofErr w:type="spellStart"/>
            <w:r w:rsidRPr="00756AEC">
              <w:rPr>
                <w:rFonts w:ascii="Times New Roman" w:hAnsi="Times New Roman"/>
                <w:sz w:val="25"/>
                <w:szCs w:val="25"/>
                <w:lang w:val="lv-LV"/>
              </w:rPr>
              <w:t>dubultfinansējuma</w:t>
            </w:r>
            <w:proofErr w:type="spellEnd"/>
            <w:r w:rsidRPr="00756AEC">
              <w:rPr>
                <w:rFonts w:ascii="Times New Roman" w:hAnsi="Times New Roman"/>
                <w:sz w:val="25"/>
                <w:szCs w:val="25"/>
                <w:lang w:val="lv-LV"/>
              </w:rPr>
              <w:t xml:space="preserve"> princips, jo tiklīdz tiks pieņems lēmums par projekta pārcelšanu uz darbības programmu “Uzņēmējdarbība un inovācijas”, tiks pārgrāmatoti arī līdz šim veiktie maksājumi finansējuma saņēmējam, lai nerastos situācija, ka projekts tiek finansēts divās aktivitātēs. </w:t>
            </w:r>
          </w:p>
          <w:p w14:paraId="37944CDE" w14:textId="720647C6" w:rsidR="003A7117" w:rsidRPr="00756AEC" w:rsidRDefault="003A7117" w:rsidP="003A7117">
            <w:pPr>
              <w:spacing w:after="120"/>
              <w:jc w:val="both"/>
              <w:rPr>
                <w:rFonts w:ascii="Times New Roman" w:hAnsi="Times New Roman"/>
                <w:sz w:val="25"/>
                <w:szCs w:val="25"/>
                <w:lang w:val="lv-LV"/>
              </w:rPr>
            </w:pPr>
            <w:r w:rsidRPr="00756AEC">
              <w:rPr>
                <w:rFonts w:ascii="Times New Roman" w:hAnsi="Times New Roman"/>
                <w:sz w:val="25"/>
                <w:szCs w:val="25"/>
                <w:lang w:val="lv-LV"/>
              </w:rPr>
              <w:t xml:space="preserve">Ņemot vērā situāciju, ka darbības programmas “Infrastruktūra un pakalpojumi” ietvaros no EK pieprasāmais maksājuma apjoms līdz š.g. 31.oktobrim būtu negatīvs, jo deklarējamo izdevumu apjoms būtu samazināms par augstāk minēto pārcelto projektu apjomu, Valsts kase, konsultējoties ar EK, ir lēmusi, ka šī gada ietvaros no darbības programmas “Infrastruktūra un pakalpojumi” izdevumu deklarācijas līdz š.g. 31.oktobrim tiek ieturēti visi pārceltie 3.6. prioritātes projekti, izņemot projektus 3DP/3.6.1.1.0/11/IPIA/VRAA/017 „Kuldīgas pilsētas ielu tīkla uzlabošana” un 3DP/3.6.1.1.0/10/IPIA/VRAA/017 „Madonas pilsētas ielu rekonstrukcija II kārta”. Šie projekti tiks ieturēti no nākamās izdevumu deklarācijas, kas tiks sagatavota par periodu līdz š.g. 31.decembrim. Savukārt attiecībā uz darbības programmas “Uzņēmējdarbība un inovācijas” izdevumu deklarāciju līdz š.g. 12.decembrim, tad iepriekšminētie 2 projekti tajā netiks iekļauti un tiks deklarēti ar nākamo izdevumu deklarāciju. </w:t>
            </w:r>
          </w:p>
        </w:tc>
      </w:tr>
      <w:tr w:rsidR="00D40CFC" w:rsidRPr="00756AEC" w14:paraId="061461F2" w14:textId="77777777" w:rsidTr="00F66F09">
        <w:trPr>
          <w:trHeight w:val="360"/>
        </w:trPr>
        <w:tc>
          <w:tcPr>
            <w:tcW w:w="2567" w:type="dxa"/>
            <w:hideMark/>
          </w:tcPr>
          <w:p w14:paraId="25A6CD2E" w14:textId="4DB44C83" w:rsidR="00D40CFC" w:rsidRPr="00756AEC" w:rsidRDefault="00D40CFC" w:rsidP="002D3F81">
            <w:pPr>
              <w:rPr>
                <w:rFonts w:ascii="Times New Roman" w:hAnsi="Times New Roman"/>
                <w:sz w:val="25"/>
                <w:szCs w:val="25"/>
                <w:lang w:val="lv-LV"/>
              </w:rPr>
            </w:pPr>
            <w:r w:rsidRPr="00756AEC">
              <w:rPr>
                <w:rFonts w:ascii="Times New Roman" w:hAnsi="Times New Roman"/>
                <w:sz w:val="25"/>
                <w:szCs w:val="25"/>
                <w:lang w:val="lv-LV"/>
              </w:rPr>
              <w:t xml:space="preserve">3. </w:t>
            </w:r>
            <w:r w:rsidR="002D3F81" w:rsidRPr="00756AEC">
              <w:rPr>
                <w:rFonts w:ascii="Times New Roman" w:hAnsi="Times New Roman"/>
                <w:sz w:val="25"/>
                <w:szCs w:val="25"/>
                <w:lang w:val="lv-LV"/>
              </w:rPr>
              <w:t>Projekta izstrādē iesaistītās institūcijas</w:t>
            </w:r>
          </w:p>
        </w:tc>
        <w:tc>
          <w:tcPr>
            <w:tcW w:w="6613" w:type="dxa"/>
            <w:vAlign w:val="center"/>
            <w:hideMark/>
          </w:tcPr>
          <w:p w14:paraId="0B1A2BF1" w14:textId="0E2B9B83" w:rsidR="00D40CFC" w:rsidRPr="00756AEC" w:rsidRDefault="009E20F3" w:rsidP="0084246E">
            <w:pPr>
              <w:jc w:val="both"/>
              <w:rPr>
                <w:rFonts w:ascii="Times New Roman" w:hAnsi="Times New Roman"/>
                <w:color w:val="000000"/>
                <w:sz w:val="25"/>
                <w:szCs w:val="25"/>
                <w:lang w:val="lv-LV"/>
              </w:rPr>
            </w:pPr>
            <w:r w:rsidRPr="00756AEC">
              <w:rPr>
                <w:rFonts w:ascii="Times New Roman" w:hAnsi="Times New Roman"/>
                <w:sz w:val="25"/>
                <w:szCs w:val="25"/>
                <w:lang w:val="lv-LV"/>
              </w:rPr>
              <w:t>Finanšu ministrija (turpmāk – FM)</w:t>
            </w:r>
            <w:r w:rsidR="00AB5338" w:rsidRPr="00756AEC">
              <w:rPr>
                <w:rFonts w:ascii="Times New Roman" w:hAnsi="Times New Roman"/>
                <w:sz w:val="25"/>
                <w:szCs w:val="25"/>
                <w:lang w:val="lv-LV"/>
              </w:rPr>
              <w:t>,</w:t>
            </w:r>
            <w:r w:rsidR="002800B3" w:rsidRPr="00756AEC">
              <w:rPr>
                <w:rFonts w:ascii="Times New Roman" w:hAnsi="Times New Roman"/>
                <w:sz w:val="25"/>
                <w:szCs w:val="25"/>
                <w:lang w:val="lv-LV"/>
              </w:rPr>
              <w:t xml:space="preserve"> Vides aizsardzības un r</w:t>
            </w:r>
            <w:r w:rsidR="0084246E" w:rsidRPr="00756AEC">
              <w:rPr>
                <w:rFonts w:ascii="Times New Roman" w:hAnsi="Times New Roman"/>
                <w:sz w:val="25"/>
                <w:szCs w:val="25"/>
                <w:lang w:val="lv-LV"/>
              </w:rPr>
              <w:t>eģionālās attīstības ministrija un</w:t>
            </w:r>
            <w:r w:rsidR="002800B3" w:rsidRPr="00756AEC">
              <w:rPr>
                <w:rFonts w:ascii="Times New Roman" w:hAnsi="Times New Roman"/>
                <w:sz w:val="25"/>
                <w:szCs w:val="25"/>
                <w:lang w:val="lv-LV"/>
              </w:rPr>
              <w:t xml:space="preserve"> </w:t>
            </w:r>
            <w:r w:rsidR="002800B3" w:rsidRPr="00756AEC">
              <w:rPr>
                <w:rFonts w:ascii="Times New Roman" w:hAnsi="Times New Roman"/>
                <w:color w:val="000000"/>
                <w:sz w:val="25"/>
                <w:szCs w:val="25"/>
                <w:lang w:val="lv-LV"/>
              </w:rPr>
              <w:t>Valsts reģionālās attīstības aģentūra.</w:t>
            </w:r>
          </w:p>
        </w:tc>
      </w:tr>
      <w:tr w:rsidR="00D40CFC" w:rsidRPr="00756AEC" w14:paraId="29D2FD9E" w14:textId="77777777" w:rsidTr="00F66F09">
        <w:trPr>
          <w:trHeight w:val="76"/>
        </w:trPr>
        <w:tc>
          <w:tcPr>
            <w:tcW w:w="2567" w:type="dxa"/>
            <w:hideMark/>
          </w:tcPr>
          <w:p w14:paraId="56FE2687" w14:textId="77777777" w:rsidR="00D40CFC" w:rsidRPr="00756AEC" w:rsidRDefault="00D40CFC" w:rsidP="00951FF3">
            <w:pPr>
              <w:rPr>
                <w:rFonts w:ascii="Times New Roman" w:hAnsi="Times New Roman"/>
                <w:sz w:val="25"/>
                <w:szCs w:val="25"/>
                <w:lang w:val="lv-LV"/>
              </w:rPr>
            </w:pPr>
            <w:r w:rsidRPr="00756AEC">
              <w:rPr>
                <w:rFonts w:ascii="Times New Roman" w:hAnsi="Times New Roman"/>
                <w:sz w:val="25"/>
                <w:szCs w:val="25"/>
                <w:lang w:val="lv-LV"/>
              </w:rPr>
              <w:t xml:space="preserve">4. </w:t>
            </w:r>
            <w:r w:rsidR="00951FF3" w:rsidRPr="00756AEC">
              <w:rPr>
                <w:rFonts w:ascii="Times New Roman" w:hAnsi="Times New Roman"/>
                <w:sz w:val="25"/>
                <w:szCs w:val="25"/>
                <w:lang w:val="lv-LV"/>
              </w:rPr>
              <w:t>Cita informācija</w:t>
            </w:r>
          </w:p>
        </w:tc>
        <w:tc>
          <w:tcPr>
            <w:tcW w:w="6613" w:type="dxa"/>
            <w:hideMark/>
          </w:tcPr>
          <w:p w14:paraId="6F18E9EC" w14:textId="77777777" w:rsidR="00047893" w:rsidRPr="00756AEC" w:rsidRDefault="00951FF3" w:rsidP="00DB1BED">
            <w:pPr>
              <w:jc w:val="both"/>
              <w:rPr>
                <w:rFonts w:ascii="Times New Roman" w:hAnsi="Times New Roman"/>
                <w:sz w:val="25"/>
                <w:szCs w:val="25"/>
                <w:lang w:val="lv-LV"/>
              </w:rPr>
            </w:pPr>
            <w:r w:rsidRPr="00756AEC">
              <w:rPr>
                <w:rFonts w:ascii="Times New Roman" w:hAnsi="Times New Roman"/>
                <w:sz w:val="25"/>
                <w:szCs w:val="25"/>
                <w:lang w:val="lv-LV"/>
              </w:rPr>
              <w:t>Nav</w:t>
            </w:r>
          </w:p>
        </w:tc>
      </w:tr>
    </w:tbl>
    <w:p w14:paraId="266E17B9" w14:textId="77777777" w:rsidR="00564229" w:rsidRPr="00756AEC" w:rsidRDefault="00564229" w:rsidP="00BA3659">
      <w:pPr>
        <w:spacing w:after="0" w:line="240" w:lineRule="auto"/>
        <w:rPr>
          <w:rFonts w:ascii="Times New Roman" w:hAnsi="Times New Roman"/>
          <w:b/>
          <w:sz w:val="25"/>
          <w:szCs w:val="25"/>
          <w:lang w:val="lv-LV"/>
        </w:rPr>
      </w:pPr>
    </w:p>
    <w:p w14:paraId="4C610E26" w14:textId="23FAA7D6" w:rsidR="00C74056" w:rsidRPr="00756AEC" w:rsidRDefault="00C74056" w:rsidP="0029262D">
      <w:pPr>
        <w:tabs>
          <w:tab w:val="left" w:pos="6710"/>
        </w:tabs>
        <w:spacing w:after="0" w:line="240" w:lineRule="auto"/>
        <w:jc w:val="center"/>
        <w:rPr>
          <w:rFonts w:ascii="Times New Roman" w:eastAsia="Times New Roman" w:hAnsi="Times New Roman" w:cs="Times New Roman"/>
          <w:b/>
          <w:sz w:val="26"/>
          <w:szCs w:val="26"/>
          <w:lang w:val="lv-LV" w:eastAsia="lv-LV"/>
        </w:rPr>
      </w:pPr>
      <w:r w:rsidRPr="00756AEC">
        <w:rPr>
          <w:rFonts w:ascii="Times New Roman" w:eastAsia="Times New Roman" w:hAnsi="Times New Roman" w:cs="Times New Roman"/>
          <w:b/>
          <w:sz w:val="26"/>
          <w:szCs w:val="26"/>
          <w:lang w:val="lv-LV" w:eastAsia="lv-LV"/>
        </w:rPr>
        <w:t>Anotācijas II sadaļa - projekts šīs jomas neskar.</w:t>
      </w:r>
    </w:p>
    <w:p w14:paraId="10538507" w14:textId="77777777" w:rsidR="00830152" w:rsidRPr="00756AEC" w:rsidRDefault="00830152" w:rsidP="00D40CFC">
      <w:pPr>
        <w:spacing w:after="0" w:line="240" w:lineRule="auto"/>
        <w:jc w:val="center"/>
        <w:rPr>
          <w:rFonts w:ascii="Times New Roman" w:hAnsi="Times New Roman"/>
          <w:b/>
          <w:sz w:val="25"/>
          <w:szCs w:val="25"/>
          <w:lang w:val="lv-LV"/>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250"/>
        <w:gridCol w:w="1495"/>
        <w:gridCol w:w="1265"/>
        <w:gridCol w:w="1265"/>
        <w:gridCol w:w="1626"/>
      </w:tblGrid>
      <w:tr w:rsidR="00C93598" w:rsidRPr="00756AEC" w14:paraId="138159E0" w14:textId="77777777" w:rsidTr="00F66F09">
        <w:trPr>
          <w:trHeight w:val="361"/>
          <w:jc w:val="center"/>
        </w:trPr>
        <w:tc>
          <w:tcPr>
            <w:tcW w:w="9225" w:type="dxa"/>
            <w:gridSpan w:val="6"/>
            <w:tcBorders>
              <w:top w:val="single" w:sz="4" w:space="0" w:color="auto"/>
              <w:left w:val="single" w:sz="4" w:space="0" w:color="auto"/>
              <w:bottom w:val="single" w:sz="4" w:space="0" w:color="auto"/>
              <w:right w:val="single" w:sz="4" w:space="0" w:color="auto"/>
            </w:tcBorders>
            <w:vAlign w:val="center"/>
            <w:hideMark/>
          </w:tcPr>
          <w:p w14:paraId="03FCC795" w14:textId="77777777" w:rsidR="00C93598" w:rsidRPr="00756AEC" w:rsidRDefault="00C93598">
            <w:pPr>
              <w:pStyle w:val="naisnod"/>
              <w:spacing w:before="0" w:beforeAutospacing="0" w:after="0" w:afterAutospacing="0" w:line="276" w:lineRule="auto"/>
              <w:jc w:val="center"/>
              <w:rPr>
                <w:b/>
                <w:i/>
                <w:sz w:val="25"/>
                <w:szCs w:val="25"/>
                <w:lang w:val="lv-LV"/>
              </w:rPr>
            </w:pPr>
            <w:r w:rsidRPr="00756AEC">
              <w:rPr>
                <w:sz w:val="25"/>
                <w:szCs w:val="25"/>
                <w:lang w:val="lv-LV"/>
              </w:rPr>
              <w:br w:type="page"/>
            </w:r>
            <w:r w:rsidRPr="00756AEC">
              <w:rPr>
                <w:b/>
                <w:sz w:val="25"/>
                <w:szCs w:val="25"/>
                <w:lang w:val="lv-LV"/>
              </w:rPr>
              <w:t>III. Tiesību akta projekta ietekme uz valsts budžetu un pašvaldību budžetiem</w:t>
            </w:r>
          </w:p>
        </w:tc>
      </w:tr>
      <w:tr w:rsidR="00C93598" w:rsidRPr="00756AEC" w14:paraId="40F6B709" w14:textId="77777777" w:rsidTr="00F07101">
        <w:trPr>
          <w:jc w:val="center"/>
        </w:trPr>
        <w:tc>
          <w:tcPr>
            <w:tcW w:w="2322" w:type="dxa"/>
            <w:vMerge w:val="restart"/>
            <w:tcBorders>
              <w:top w:val="single" w:sz="4" w:space="0" w:color="auto"/>
              <w:left w:val="single" w:sz="4" w:space="0" w:color="auto"/>
              <w:bottom w:val="single" w:sz="4" w:space="0" w:color="auto"/>
              <w:right w:val="single" w:sz="4" w:space="0" w:color="auto"/>
            </w:tcBorders>
            <w:vAlign w:val="center"/>
            <w:hideMark/>
          </w:tcPr>
          <w:p w14:paraId="6461A96F" w14:textId="77777777" w:rsidR="00C93598" w:rsidRPr="00756AEC" w:rsidRDefault="00C93598">
            <w:pPr>
              <w:pStyle w:val="naisf"/>
              <w:spacing w:before="0" w:beforeAutospacing="0" w:after="0" w:afterAutospacing="0" w:line="276" w:lineRule="auto"/>
              <w:jc w:val="center"/>
              <w:rPr>
                <w:b/>
                <w:sz w:val="25"/>
                <w:szCs w:val="25"/>
                <w:lang w:val="lv-LV"/>
              </w:rPr>
            </w:pPr>
            <w:r w:rsidRPr="00756AEC">
              <w:rPr>
                <w:b/>
                <w:sz w:val="25"/>
                <w:szCs w:val="25"/>
                <w:lang w:val="lv-LV"/>
              </w:rPr>
              <w:t>Rādītāji</w:t>
            </w:r>
          </w:p>
        </w:tc>
        <w:tc>
          <w:tcPr>
            <w:tcW w:w="27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ADF6F8" w14:textId="692BF6EC" w:rsidR="00C93598" w:rsidRPr="00756AEC" w:rsidRDefault="007F3E3C">
            <w:pPr>
              <w:pStyle w:val="naisf"/>
              <w:spacing w:before="0" w:beforeAutospacing="0" w:after="0" w:afterAutospacing="0" w:line="276" w:lineRule="auto"/>
              <w:jc w:val="center"/>
              <w:rPr>
                <w:b/>
                <w:sz w:val="25"/>
                <w:szCs w:val="25"/>
                <w:lang w:val="lv-LV"/>
              </w:rPr>
            </w:pPr>
            <w:r>
              <w:rPr>
                <w:b/>
                <w:sz w:val="25"/>
                <w:szCs w:val="25"/>
                <w:lang w:val="lv-LV"/>
              </w:rPr>
              <w:t>2015</w:t>
            </w:r>
            <w:r w:rsidR="00C93598" w:rsidRPr="00756AEC">
              <w:rPr>
                <w:b/>
                <w:sz w:val="25"/>
                <w:szCs w:val="25"/>
                <w:lang w:val="lv-LV"/>
              </w:rPr>
              <w:t>.gads</w:t>
            </w:r>
          </w:p>
        </w:tc>
        <w:tc>
          <w:tcPr>
            <w:tcW w:w="4157" w:type="dxa"/>
            <w:gridSpan w:val="3"/>
            <w:tcBorders>
              <w:top w:val="single" w:sz="4" w:space="0" w:color="auto"/>
              <w:left w:val="single" w:sz="4" w:space="0" w:color="auto"/>
              <w:bottom w:val="single" w:sz="4" w:space="0" w:color="auto"/>
              <w:right w:val="single" w:sz="4" w:space="0" w:color="auto"/>
            </w:tcBorders>
            <w:vAlign w:val="center"/>
            <w:hideMark/>
          </w:tcPr>
          <w:p w14:paraId="59E8544B" w14:textId="77777777" w:rsidR="00C93598" w:rsidRPr="00756AEC" w:rsidRDefault="00C93598">
            <w:pPr>
              <w:pStyle w:val="naisf"/>
              <w:spacing w:before="0" w:beforeAutospacing="0" w:after="0" w:afterAutospacing="0" w:line="276" w:lineRule="auto"/>
              <w:jc w:val="center"/>
              <w:rPr>
                <w:b/>
                <w:i/>
                <w:sz w:val="25"/>
                <w:szCs w:val="25"/>
                <w:lang w:val="lv-LV"/>
              </w:rPr>
            </w:pPr>
            <w:r w:rsidRPr="00756AEC">
              <w:rPr>
                <w:sz w:val="25"/>
                <w:szCs w:val="25"/>
                <w:lang w:val="lv-LV"/>
              </w:rPr>
              <w:t>Turpmākie trīs gadi (euro)</w:t>
            </w:r>
          </w:p>
        </w:tc>
      </w:tr>
      <w:tr w:rsidR="00C93598" w:rsidRPr="00756AEC" w14:paraId="51940701" w14:textId="77777777" w:rsidTr="00F07101">
        <w:trPr>
          <w:jc w:val="center"/>
        </w:trPr>
        <w:tc>
          <w:tcPr>
            <w:tcW w:w="2322" w:type="dxa"/>
            <w:vMerge/>
            <w:tcBorders>
              <w:top w:val="single" w:sz="4" w:space="0" w:color="auto"/>
              <w:left w:val="single" w:sz="4" w:space="0" w:color="auto"/>
              <w:bottom w:val="single" w:sz="4" w:space="0" w:color="auto"/>
              <w:right w:val="single" w:sz="4" w:space="0" w:color="auto"/>
            </w:tcBorders>
            <w:vAlign w:val="center"/>
            <w:hideMark/>
          </w:tcPr>
          <w:p w14:paraId="53D89C6D" w14:textId="77777777" w:rsidR="00C93598" w:rsidRPr="00756AEC" w:rsidRDefault="00C93598">
            <w:pPr>
              <w:spacing w:after="0"/>
              <w:rPr>
                <w:rFonts w:ascii="Times New Roman" w:eastAsia="Times New Roman" w:hAnsi="Times New Roman" w:cs="Times New Roman"/>
                <w:b/>
                <w:sz w:val="25"/>
                <w:szCs w:val="25"/>
                <w:lang w:val="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7F5D85E" w14:textId="77777777" w:rsidR="00C93598" w:rsidRPr="00756AEC" w:rsidRDefault="00C93598">
            <w:pPr>
              <w:spacing w:after="0"/>
              <w:rPr>
                <w:rFonts w:ascii="Times New Roman" w:eastAsia="Times New Roman" w:hAnsi="Times New Roman" w:cs="Times New Roman"/>
                <w:b/>
                <w:sz w:val="25"/>
                <w:szCs w:val="25"/>
                <w:lang w:val="lv-LV"/>
              </w:rPr>
            </w:pPr>
          </w:p>
        </w:tc>
        <w:tc>
          <w:tcPr>
            <w:tcW w:w="1265" w:type="dxa"/>
            <w:tcBorders>
              <w:top w:val="single" w:sz="4" w:space="0" w:color="auto"/>
              <w:left w:val="single" w:sz="4" w:space="0" w:color="auto"/>
              <w:bottom w:val="single" w:sz="4" w:space="0" w:color="auto"/>
              <w:right w:val="single" w:sz="4" w:space="0" w:color="auto"/>
            </w:tcBorders>
            <w:vAlign w:val="center"/>
            <w:hideMark/>
          </w:tcPr>
          <w:p w14:paraId="6D7A4EA9" w14:textId="38E9D7EF" w:rsidR="00C93598" w:rsidRPr="00756AEC" w:rsidRDefault="007F3E3C">
            <w:pPr>
              <w:pStyle w:val="naisf"/>
              <w:spacing w:before="0" w:beforeAutospacing="0" w:after="0" w:afterAutospacing="0" w:line="276" w:lineRule="auto"/>
              <w:jc w:val="center"/>
              <w:rPr>
                <w:b/>
                <w:i/>
                <w:sz w:val="25"/>
                <w:szCs w:val="25"/>
                <w:lang w:val="lv-LV"/>
              </w:rPr>
            </w:pPr>
            <w:r>
              <w:rPr>
                <w:b/>
                <w:bCs/>
                <w:sz w:val="25"/>
                <w:szCs w:val="25"/>
                <w:lang w:val="lv-LV"/>
              </w:rPr>
              <w:t>2016</w:t>
            </w:r>
            <w:r w:rsidR="00C93598" w:rsidRPr="00756AEC">
              <w:rPr>
                <w:b/>
                <w:bCs/>
                <w:sz w:val="25"/>
                <w:szCs w:val="25"/>
                <w:lang w:val="lv-LV"/>
              </w:rPr>
              <w:t>.gads</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828924C" w14:textId="6F42B500" w:rsidR="00C93598" w:rsidRPr="00756AEC" w:rsidRDefault="007F3E3C">
            <w:pPr>
              <w:pStyle w:val="naisf"/>
              <w:spacing w:before="0" w:beforeAutospacing="0" w:after="0" w:afterAutospacing="0" w:line="276" w:lineRule="auto"/>
              <w:jc w:val="center"/>
              <w:rPr>
                <w:b/>
                <w:i/>
                <w:sz w:val="25"/>
                <w:szCs w:val="25"/>
                <w:lang w:val="lv-LV"/>
              </w:rPr>
            </w:pPr>
            <w:r>
              <w:rPr>
                <w:b/>
                <w:bCs/>
                <w:sz w:val="25"/>
                <w:szCs w:val="25"/>
                <w:lang w:val="lv-LV"/>
              </w:rPr>
              <w:t>2017</w:t>
            </w:r>
            <w:r w:rsidR="00C93598" w:rsidRPr="00756AEC">
              <w:rPr>
                <w:b/>
                <w:bCs/>
                <w:sz w:val="25"/>
                <w:szCs w:val="25"/>
                <w:lang w:val="lv-LV"/>
              </w:rPr>
              <w:t>.gads</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7812C7A" w14:textId="7F596177" w:rsidR="00C93598" w:rsidRPr="00756AEC" w:rsidRDefault="00C93598" w:rsidP="007F3E3C">
            <w:pPr>
              <w:pStyle w:val="naisf"/>
              <w:spacing w:before="0" w:beforeAutospacing="0" w:after="0" w:afterAutospacing="0" w:line="276" w:lineRule="auto"/>
              <w:jc w:val="center"/>
              <w:rPr>
                <w:b/>
                <w:i/>
                <w:sz w:val="25"/>
                <w:szCs w:val="25"/>
                <w:lang w:val="lv-LV"/>
              </w:rPr>
            </w:pPr>
            <w:r w:rsidRPr="00756AEC">
              <w:rPr>
                <w:b/>
                <w:bCs/>
                <w:sz w:val="25"/>
                <w:szCs w:val="25"/>
                <w:lang w:val="lv-LV"/>
              </w:rPr>
              <w:t>201</w:t>
            </w:r>
            <w:r w:rsidR="007F3E3C">
              <w:rPr>
                <w:b/>
                <w:bCs/>
                <w:sz w:val="25"/>
                <w:szCs w:val="25"/>
                <w:lang w:val="lv-LV"/>
              </w:rPr>
              <w:t>8</w:t>
            </w:r>
            <w:bookmarkStart w:id="0" w:name="_GoBack"/>
            <w:bookmarkEnd w:id="0"/>
            <w:r w:rsidRPr="00756AEC">
              <w:rPr>
                <w:b/>
                <w:bCs/>
                <w:sz w:val="25"/>
                <w:szCs w:val="25"/>
                <w:lang w:val="lv-LV"/>
              </w:rPr>
              <w:t>.gads</w:t>
            </w:r>
          </w:p>
        </w:tc>
      </w:tr>
      <w:tr w:rsidR="00C93598" w:rsidRPr="00756AEC" w14:paraId="3D8C4EA0" w14:textId="77777777" w:rsidTr="00F07101">
        <w:trPr>
          <w:jc w:val="center"/>
        </w:trPr>
        <w:tc>
          <w:tcPr>
            <w:tcW w:w="2322" w:type="dxa"/>
            <w:vMerge/>
            <w:tcBorders>
              <w:top w:val="single" w:sz="4" w:space="0" w:color="auto"/>
              <w:left w:val="single" w:sz="4" w:space="0" w:color="auto"/>
              <w:bottom w:val="single" w:sz="4" w:space="0" w:color="auto"/>
              <w:right w:val="single" w:sz="4" w:space="0" w:color="auto"/>
            </w:tcBorders>
            <w:vAlign w:val="center"/>
            <w:hideMark/>
          </w:tcPr>
          <w:p w14:paraId="36DDA487" w14:textId="77777777" w:rsidR="00C93598" w:rsidRPr="00756AEC" w:rsidRDefault="00C93598">
            <w:pPr>
              <w:spacing w:after="0"/>
              <w:rPr>
                <w:rFonts w:ascii="Times New Roman" w:eastAsia="Times New Roman" w:hAnsi="Times New Roman" w:cs="Times New Roman"/>
                <w:b/>
                <w:sz w:val="25"/>
                <w:szCs w:val="25"/>
                <w:lang w:val="lv-LV"/>
              </w:rPr>
            </w:pPr>
          </w:p>
        </w:tc>
        <w:tc>
          <w:tcPr>
            <w:tcW w:w="1250" w:type="dxa"/>
            <w:tcBorders>
              <w:top w:val="single" w:sz="4" w:space="0" w:color="auto"/>
              <w:left w:val="single" w:sz="4" w:space="0" w:color="auto"/>
              <w:bottom w:val="single" w:sz="4" w:space="0" w:color="auto"/>
              <w:right w:val="single" w:sz="4" w:space="0" w:color="auto"/>
            </w:tcBorders>
            <w:vAlign w:val="center"/>
            <w:hideMark/>
          </w:tcPr>
          <w:p w14:paraId="6FFDAFD9" w14:textId="77777777" w:rsidR="00C93598" w:rsidRPr="00756AEC" w:rsidRDefault="00C93598">
            <w:pPr>
              <w:pStyle w:val="naisf"/>
              <w:spacing w:before="0" w:beforeAutospacing="0" w:after="0" w:afterAutospacing="0" w:line="276" w:lineRule="auto"/>
              <w:jc w:val="center"/>
              <w:rPr>
                <w:b/>
                <w:i/>
                <w:sz w:val="25"/>
                <w:szCs w:val="25"/>
                <w:lang w:val="lv-LV"/>
              </w:rPr>
            </w:pPr>
            <w:r w:rsidRPr="00756AEC">
              <w:rPr>
                <w:sz w:val="25"/>
                <w:szCs w:val="25"/>
                <w:lang w:val="lv-LV"/>
              </w:rPr>
              <w:t>saskaņā ar valsts budžetu kārtējam gadam</w:t>
            </w:r>
          </w:p>
        </w:tc>
        <w:tc>
          <w:tcPr>
            <w:tcW w:w="1496" w:type="dxa"/>
            <w:tcBorders>
              <w:top w:val="single" w:sz="4" w:space="0" w:color="auto"/>
              <w:left w:val="single" w:sz="4" w:space="0" w:color="auto"/>
              <w:bottom w:val="single" w:sz="4" w:space="0" w:color="auto"/>
              <w:right w:val="single" w:sz="4" w:space="0" w:color="auto"/>
            </w:tcBorders>
            <w:vAlign w:val="center"/>
            <w:hideMark/>
          </w:tcPr>
          <w:p w14:paraId="72500BBE" w14:textId="77777777" w:rsidR="00C93598" w:rsidRPr="00756AEC" w:rsidRDefault="00C93598">
            <w:pPr>
              <w:pStyle w:val="naisf"/>
              <w:spacing w:before="0" w:beforeAutospacing="0" w:after="0" w:afterAutospacing="0" w:line="276" w:lineRule="auto"/>
              <w:jc w:val="center"/>
              <w:rPr>
                <w:b/>
                <w:i/>
                <w:sz w:val="25"/>
                <w:szCs w:val="25"/>
                <w:lang w:val="lv-LV"/>
              </w:rPr>
            </w:pPr>
            <w:r w:rsidRPr="00756AEC">
              <w:rPr>
                <w:sz w:val="25"/>
                <w:szCs w:val="25"/>
                <w:lang w:val="lv-LV"/>
              </w:rPr>
              <w:t>izmaiņas kārtējā gadā, salīdzinot ar budžetu kārtējam gadam</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3DF783B" w14:textId="77777777" w:rsidR="00C93598" w:rsidRPr="00756AEC" w:rsidRDefault="00C93598">
            <w:pPr>
              <w:pStyle w:val="naisf"/>
              <w:spacing w:before="0" w:beforeAutospacing="0" w:after="0" w:afterAutospacing="0" w:line="276" w:lineRule="auto"/>
              <w:jc w:val="center"/>
              <w:rPr>
                <w:b/>
                <w:i/>
                <w:sz w:val="25"/>
                <w:szCs w:val="25"/>
                <w:lang w:val="lv-LV"/>
              </w:rPr>
            </w:pPr>
            <w:r w:rsidRPr="00756AEC">
              <w:rPr>
                <w:sz w:val="25"/>
                <w:szCs w:val="25"/>
                <w:lang w:val="lv-LV"/>
              </w:rPr>
              <w:t>izmaiņas, salīdzinot ar kārtējo (n) gadu</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F141AD2" w14:textId="77777777" w:rsidR="00C93598" w:rsidRPr="00756AEC" w:rsidRDefault="00C93598">
            <w:pPr>
              <w:pStyle w:val="naisf"/>
              <w:spacing w:before="0" w:beforeAutospacing="0" w:after="0" w:afterAutospacing="0" w:line="276" w:lineRule="auto"/>
              <w:jc w:val="center"/>
              <w:rPr>
                <w:b/>
                <w:i/>
                <w:sz w:val="25"/>
                <w:szCs w:val="25"/>
                <w:lang w:val="lv-LV"/>
              </w:rPr>
            </w:pPr>
            <w:r w:rsidRPr="00756AEC">
              <w:rPr>
                <w:sz w:val="25"/>
                <w:szCs w:val="25"/>
                <w:lang w:val="lv-LV"/>
              </w:rPr>
              <w:t>izmaiņas, salīdzinot ar kārtējo (n) gadu</w:t>
            </w:r>
          </w:p>
        </w:tc>
        <w:tc>
          <w:tcPr>
            <w:tcW w:w="1627" w:type="dxa"/>
            <w:tcBorders>
              <w:top w:val="single" w:sz="4" w:space="0" w:color="auto"/>
              <w:left w:val="single" w:sz="4" w:space="0" w:color="auto"/>
              <w:bottom w:val="single" w:sz="4" w:space="0" w:color="auto"/>
              <w:right w:val="single" w:sz="4" w:space="0" w:color="auto"/>
            </w:tcBorders>
            <w:vAlign w:val="center"/>
            <w:hideMark/>
          </w:tcPr>
          <w:p w14:paraId="3155A449" w14:textId="77777777" w:rsidR="00C93598" w:rsidRPr="00756AEC" w:rsidRDefault="00C93598">
            <w:pPr>
              <w:pStyle w:val="naisf"/>
              <w:spacing w:before="0" w:beforeAutospacing="0" w:after="0" w:afterAutospacing="0" w:line="276" w:lineRule="auto"/>
              <w:jc w:val="center"/>
              <w:rPr>
                <w:b/>
                <w:i/>
                <w:sz w:val="25"/>
                <w:szCs w:val="25"/>
                <w:lang w:val="lv-LV"/>
              </w:rPr>
            </w:pPr>
            <w:r w:rsidRPr="00756AEC">
              <w:rPr>
                <w:sz w:val="25"/>
                <w:szCs w:val="25"/>
                <w:lang w:val="lv-LV"/>
              </w:rPr>
              <w:t>izmaiņas, salīdzinot ar kārtējo (n) gadu</w:t>
            </w:r>
          </w:p>
        </w:tc>
      </w:tr>
      <w:tr w:rsidR="00C93598" w:rsidRPr="00756AEC" w14:paraId="0EB6751B" w14:textId="77777777" w:rsidTr="00F07101">
        <w:trPr>
          <w:jc w:val="center"/>
        </w:trPr>
        <w:tc>
          <w:tcPr>
            <w:tcW w:w="2322" w:type="dxa"/>
            <w:tcBorders>
              <w:top w:val="single" w:sz="4" w:space="0" w:color="auto"/>
              <w:left w:val="single" w:sz="4" w:space="0" w:color="auto"/>
              <w:bottom w:val="single" w:sz="4" w:space="0" w:color="auto"/>
              <w:right w:val="single" w:sz="4" w:space="0" w:color="auto"/>
            </w:tcBorders>
            <w:vAlign w:val="center"/>
            <w:hideMark/>
          </w:tcPr>
          <w:p w14:paraId="4AB11C40" w14:textId="77777777" w:rsidR="00C93598" w:rsidRPr="00756AEC" w:rsidRDefault="00C93598">
            <w:pPr>
              <w:pStyle w:val="naisf"/>
              <w:spacing w:before="0" w:beforeAutospacing="0" w:after="0" w:afterAutospacing="0" w:line="276" w:lineRule="auto"/>
              <w:jc w:val="center"/>
              <w:rPr>
                <w:bCs/>
                <w:sz w:val="25"/>
                <w:szCs w:val="25"/>
                <w:lang w:val="lv-LV"/>
              </w:rPr>
            </w:pPr>
            <w:r w:rsidRPr="00756AEC">
              <w:rPr>
                <w:bCs/>
                <w:sz w:val="25"/>
                <w:szCs w:val="25"/>
                <w:lang w:val="lv-LV"/>
              </w:rPr>
              <w:t>1</w:t>
            </w:r>
          </w:p>
        </w:tc>
        <w:tc>
          <w:tcPr>
            <w:tcW w:w="1250" w:type="dxa"/>
            <w:tcBorders>
              <w:top w:val="single" w:sz="4" w:space="0" w:color="auto"/>
              <w:left w:val="single" w:sz="4" w:space="0" w:color="auto"/>
              <w:bottom w:val="single" w:sz="4" w:space="0" w:color="auto"/>
              <w:right w:val="single" w:sz="4" w:space="0" w:color="auto"/>
            </w:tcBorders>
            <w:vAlign w:val="center"/>
            <w:hideMark/>
          </w:tcPr>
          <w:p w14:paraId="0795B213" w14:textId="77777777" w:rsidR="00C93598" w:rsidRPr="00756AEC" w:rsidRDefault="00C93598">
            <w:pPr>
              <w:pStyle w:val="naisf"/>
              <w:spacing w:before="0" w:beforeAutospacing="0" w:after="0" w:afterAutospacing="0" w:line="276" w:lineRule="auto"/>
              <w:jc w:val="center"/>
              <w:rPr>
                <w:bCs/>
                <w:sz w:val="25"/>
                <w:szCs w:val="25"/>
                <w:lang w:val="lv-LV"/>
              </w:rPr>
            </w:pPr>
            <w:r w:rsidRPr="00756AEC">
              <w:rPr>
                <w:bCs/>
                <w:sz w:val="25"/>
                <w:szCs w:val="25"/>
                <w:lang w:val="lv-LV"/>
              </w:rPr>
              <w:t>2</w:t>
            </w:r>
          </w:p>
        </w:tc>
        <w:tc>
          <w:tcPr>
            <w:tcW w:w="1496" w:type="dxa"/>
            <w:tcBorders>
              <w:top w:val="single" w:sz="4" w:space="0" w:color="auto"/>
              <w:left w:val="single" w:sz="4" w:space="0" w:color="auto"/>
              <w:bottom w:val="single" w:sz="4" w:space="0" w:color="auto"/>
              <w:right w:val="single" w:sz="4" w:space="0" w:color="auto"/>
            </w:tcBorders>
            <w:vAlign w:val="center"/>
            <w:hideMark/>
          </w:tcPr>
          <w:p w14:paraId="14DD28D2" w14:textId="77777777" w:rsidR="00C93598" w:rsidRPr="00756AEC" w:rsidRDefault="00C93598">
            <w:pPr>
              <w:pStyle w:val="naisf"/>
              <w:spacing w:before="0" w:beforeAutospacing="0" w:after="0" w:afterAutospacing="0" w:line="276" w:lineRule="auto"/>
              <w:jc w:val="center"/>
              <w:rPr>
                <w:bCs/>
                <w:sz w:val="25"/>
                <w:szCs w:val="25"/>
                <w:lang w:val="lv-LV"/>
              </w:rPr>
            </w:pPr>
            <w:r w:rsidRPr="00756AEC">
              <w:rPr>
                <w:bCs/>
                <w:sz w:val="25"/>
                <w:szCs w:val="25"/>
                <w:lang w:val="lv-LV"/>
              </w:rPr>
              <w:t>3</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373B052" w14:textId="77777777" w:rsidR="00C93598" w:rsidRPr="00756AEC" w:rsidRDefault="00C93598">
            <w:pPr>
              <w:pStyle w:val="naisf"/>
              <w:spacing w:before="0" w:beforeAutospacing="0" w:after="0" w:afterAutospacing="0" w:line="276" w:lineRule="auto"/>
              <w:jc w:val="center"/>
              <w:rPr>
                <w:bCs/>
                <w:sz w:val="25"/>
                <w:szCs w:val="25"/>
                <w:lang w:val="lv-LV"/>
              </w:rPr>
            </w:pPr>
            <w:r w:rsidRPr="00756AEC">
              <w:rPr>
                <w:bCs/>
                <w:sz w:val="25"/>
                <w:szCs w:val="25"/>
                <w:lang w:val="lv-LV"/>
              </w:rPr>
              <w:t>4</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83FFDD4" w14:textId="77777777" w:rsidR="00C93598" w:rsidRPr="00756AEC" w:rsidRDefault="00C93598">
            <w:pPr>
              <w:pStyle w:val="naisf"/>
              <w:spacing w:before="0" w:beforeAutospacing="0" w:after="0" w:afterAutospacing="0" w:line="276" w:lineRule="auto"/>
              <w:jc w:val="center"/>
              <w:rPr>
                <w:bCs/>
                <w:sz w:val="25"/>
                <w:szCs w:val="25"/>
                <w:lang w:val="lv-LV"/>
              </w:rPr>
            </w:pPr>
            <w:r w:rsidRPr="00756AEC">
              <w:rPr>
                <w:bCs/>
                <w:sz w:val="25"/>
                <w:szCs w:val="25"/>
                <w:lang w:val="lv-LV"/>
              </w:rPr>
              <w:t>5</w:t>
            </w:r>
          </w:p>
        </w:tc>
        <w:tc>
          <w:tcPr>
            <w:tcW w:w="1627" w:type="dxa"/>
            <w:tcBorders>
              <w:top w:val="single" w:sz="4" w:space="0" w:color="auto"/>
              <w:left w:val="single" w:sz="4" w:space="0" w:color="auto"/>
              <w:bottom w:val="single" w:sz="4" w:space="0" w:color="auto"/>
              <w:right w:val="single" w:sz="4" w:space="0" w:color="auto"/>
            </w:tcBorders>
            <w:vAlign w:val="center"/>
            <w:hideMark/>
          </w:tcPr>
          <w:p w14:paraId="19F95ECC" w14:textId="77777777" w:rsidR="00C93598" w:rsidRPr="00756AEC" w:rsidRDefault="00C93598">
            <w:pPr>
              <w:pStyle w:val="naisf"/>
              <w:spacing w:before="0" w:beforeAutospacing="0" w:after="0" w:afterAutospacing="0" w:line="276" w:lineRule="auto"/>
              <w:jc w:val="center"/>
              <w:rPr>
                <w:bCs/>
                <w:sz w:val="25"/>
                <w:szCs w:val="25"/>
                <w:lang w:val="lv-LV"/>
              </w:rPr>
            </w:pPr>
            <w:r w:rsidRPr="00756AEC">
              <w:rPr>
                <w:bCs/>
                <w:sz w:val="25"/>
                <w:szCs w:val="25"/>
                <w:lang w:val="lv-LV"/>
              </w:rPr>
              <w:t>6</w:t>
            </w:r>
          </w:p>
        </w:tc>
      </w:tr>
      <w:tr w:rsidR="00F07101" w:rsidRPr="00756AEC" w14:paraId="17F138CF" w14:textId="73CF2016" w:rsidTr="00F07101">
        <w:trPr>
          <w:jc w:val="center"/>
        </w:trPr>
        <w:tc>
          <w:tcPr>
            <w:tcW w:w="2325" w:type="dxa"/>
            <w:tcBorders>
              <w:top w:val="single" w:sz="4" w:space="0" w:color="auto"/>
              <w:left w:val="single" w:sz="4" w:space="0" w:color="auto"/>
              <w:bottom w:val="single" w:sz="4" w:space="0" w:color="auto"/>
              <w:right w:val="single" w:sz="4" w:space="0" w:color="auto"/>
            </w:tcBorders>
            <w:vAlign w:val="center"/>
          </w:tcPr>
          <w:p w14:paraId="658E1CBC" w14:textId="08C77773" w:rsidR="00F07101" w:rsidRPr="00756AEC" w:rsidRDefault="00F07101" w:rsidP="00F07101">
            <w:pPr>
              <w:pStyle w:val="naisf"/>
              <w:spacing w:before="0" w:beforeAutospacing="0" w:after="0" w:afterAutospacing="0" w:line="276" w:lineRule="auto"/>
              <w:rPr>
                <w:bCs/>
                <w:sz w:val="25"/>
                <w:szCs w:val="25"/>
                <w:lang w:val="lv-LV"/>
              </w:rPr>
            </w:pPr>
            <w:r w:rsidRPr="00756AEC">
              <w:rPr>
                <w:bCs/>
                <w:sz w:val="25"/>
                <w:szCs w:val="25"/>
                <w:lang w:val="lv-LV"/>
              </w:rPr>
              <w:t>1.-6.punkts</w:t>
            </w:r>
          </w:p>
        </w:tc>
        <w:tc>
          <w:tcPr>
            <w:tcW w:w="6900" w:type="dxa"/>
            <w:gridSpan w:val="5"/>
            <w:tcBorders>
              <w:top w:val="single" w:sz="4" w:space="0" w:color="auto"/>
              <w:left w:val="single" w:sz="4" w:space="0" w:color="auto"/>
              <w:bottom w:val="single" w:sz="4" w:space="0" w:color="auto"/>
              <w:right w:val="single" w:sz="4" w:space="0" w:color="auto"/>
            </w:tcBorders>
            <w:vAlign w:val="center"/>
          </w:tcPr>
          <w:p w14:paraId="6C0EDAF5" w14:textId="50892085" w:rsidR="00F07101" w:rsidRPr="00756AEC" w:rsidRDefault="00DE3741" w:rsidP="00F07101">
            <w:pPr>
              <w:pStyle w:val="naisf"/>
              <w:spacing w:before="0" w:beforeAutospacing="0" w:after="0" w:afterAutospacing="0" w:line="276" w:lineRule="auto"/>
              <w:rPr>
                <w:bCs/>
                <w:sz w:val="25"/>
                <w:szCs w:val="25"/>
                <w:lang w:val="lv-LV"/>
              </w:rPr>
            </w:pPr>
            <w:r w:rsidRPr="00756AEC">
              <w:rPr>
                <w:bCs/>
                <w:sz w:val="25"/>
                <w:szCs w:val="25"/>
                <w:lang w:val="lv-LV"/>
              </w:rPr>
              <w:t>Projekts šo jomu neskar</w:t>
            </w:r>
          </w:p>
        </w:tc>
      </w:tr>
      <w:tr w:rsidR="00C93598" w:rsidRPr="00756AEC" w14:paraId="6A07D18A" w14:textId="77777777" w:rsidTr="00F07101">
        <w:trPr>
          <w:trHeight w:val="556"/>
          <w:jc w:val="center"/>
        </w:trPr>
        <w:tc>
          <w:tcPr>
            <w:tcW w:w="2322" w:type="dxa"/>
            <w:tcBorders>
              <w:top w:val="single" w:sz="4" w:space="0" w:color="auto"/>
              <w:left w:val="single" w:sz="4" w:space="0" w:color="auto"/>
              <w:bottom w:val="single" w:sz="4" w:space="0" w:color="auto"/>
              <w:right w:val="single" w:sz="4" w:space="0" w:color="auto"/>
            </w:tcBorders>
            <w:hideMark/>
          </w:tcPr>
          <w:p w14:paraId="0BAE0AB1" w14:textId="77777777" w:rsidR="00C93598" w:rsidRPr="00756AEC" w:rsidRDefault="00C93598">
            <w:pPr>
              <w:spacing w:after="0" w:line="240" w:lineRule="auto"/>
              <w:rPr>
                <w:rFonts w:ascii="Times New Roman" w:hAnsi="Times New Roman" w:cs="Times New Roman"/>
                <w:color w:val="000000" w:themeColor="text1"/>
                <w:sz w:val="25"/>
                <w:szCs w:val="25"/>
                <w:lang w:val="lv-LV"/>
              </w:rPr>
            </w:pPr>
            <w:r w:rsidRPr="00756AEC">
              <w:rPr>
                <w:rFonts w:ascii="Times New Roman" w:hAnsi="Times New Roman" w:cs="Times New Roman"/>
                <w:color w:val="000000" w:themeColor="text1"/>
                <w:sz w:val="25"/>
                <w:szCs w:val="25"/>
                <w:lang w:val="lv-LV"/>
              </w:rPr>
              <w:t>7. Cita informācija</w:t>
            </w:r>
          </w:p>
        </w:tc>
        <w:tc>
          <w:tcPr>
            <w:tcW w:w="6903" w:type="dxa"/>
            <w:gridSpan w:val="5"/>
            <w:tcBorders>
              <w:top w:val="single" w:sz="4" w:space="0" w:color="auto"/>
              <w:left w:val="single" w:sz="4" w:space="0" w:color="auto"/>
              <w:bottom w:val="single" w:sz="4" w:space="0" w:color="auto"/>
              <w:right w:val="single" w:sz="4" w:space="0" w:color="auto"/>
            </w:tcBorders>
            <w:hideMark/>
          </w:tcPr>
          <w:p w14:paraId="7A4D1121" w14:textId="69B76744" w:rsidR="00936938" w:rsidRPr="00756AEC" w:rsidRDefault="00AF69F6" w:rsidP="00936938">
            <w:pPr>
              <w:spacing w:after="0" w:line="240" w:lineRule="auto"/>
              <w:jc w:val="both"/>
              <w:rPr>
                <w:rFonts w:ascii="Times New Roman" w:hAnsi="Times New Roman"/>
                <w:color w:val="000000" w:themeColor="text1"/>
                <w:sz w:val="25"/>
                <w:szCs w:val="25"/>
                <w:lang w:val="lv-LV" w:eastAsia="lv-LV"/>
              </w:rPr>
            </w:pPr>
            <w:r w:rsidRPr="00756AEC">
              <w:rPr>
                <w:rFonts w:ascii="Times New Roman" w:hAnsi="Times New Roman"/>
                <w:color w:val="000000" w:themeColor="text1"/>
                <w:sz w:val="25"/>
                <w:szCs w:val="25"/>
                <w:lang w:val="lv-LV" w:eastAsia="lv-LV"/>
              </w:rPr>
              <w:t xml:space="preserve">Sākotnēji MK noteikumu Nr.700 6.punktā noteiktā summa 75 000 000 </w:t>
            </w:r>
            <w:r w:rsidRPr="00756AEC">
              <w:rPr>
                <w:rFonts w:ascii="Times New Roman" w:hAnsi="Times New Roman"/>
                <w:i/>
                <w:color w:val="000000" w:themeColor="text1"/>
                <w:sz w:val="25"/>
                <w:szCs w:val="25"/>
                <w:lang w:val="lv-LV" w:eastAsia="lv-LV"/>
              </w:rPr>
              <w:t>euro</w:t>
            </w:r>
            <w:r w:rsidRPr="00756AEC">
              <w:rPr>
                <w:rFonts w:ascii="Times New Roman" w:hAnsi="Times New Roman"/>
                <w:color w:val="000000" w:themeColor="text1"/>
                <w:sz w:val="25"/>
                <w:szCs w:val="25"/>
                <w:lang w:val="lv-LV" w:eastAsia="lv-LV"/>
              </w:rPr>
              <w:t xml:space="preserve"> apmēra tika noteikt</w:t>
            </w:r>
            <w:r w:rsidR="00712415" w:rsidRPr="00756AEC">
              <w:rPr>
                <w:rFonts w:ascii="Times New Roman" w:hAnsi="Times New Roman"/>
                <w:color w:val="000000" w:themeColor="text1"/>
                <w:sz w:val="25"/>
                <w:szCs w:val="25"/>
                <w:lang w:val="lv-LV" w:eastAsia="lv-LV"/>
              </w:rPr>
              <w:t>a</w:t>
            </w:r>
            <w:r w:rsidRPr="00756AEC">
              <w:rPr>
                <w:rFonts w:ascii="Times New Roman" w:hAnsi="Times New Roman"/>
                <w:color w:val="000000" w:themeColor="text1"/>
                <w:sz w:val="25"/>
                <w:szCs w:val="25"/>
                <w:lang w:val="lv-LV" w:eastAsia="lv-LV"/>
              </w:rPr>
              <w:t xml:space="preserve"> provizoriski, kas nebija virssaistību apjoma ietvaros. </w:t>
            </w:r>
            <w:r w:rsidR="008454DB" w:rsidRPr="00756AEC">
              <w:rPr>
                <w:rFonts w:ascii="Times New Roman" w:hAnsi="Times New Roman"/>
                <w:color w:val="000000" w:themeColor="text1"/>
                <w:sz w:val="25"/>
                <w:szCs w:val="25"/>
                <w:lang w:val="lv-LV" w:eastAsia="lv-LV"/>
              </w:rPr>
              <w:t>MK noteikumu projekts paredz</w:t>
            </w:r>
            <w:r w:rsidRPr="00756AEC">
              <w:rPr>
                <w:rFonts w:ascii="Times New Roman" w:hAnsi="Times New Roman"/>
                <w:color w:val="000000" w:themeColor="text1"/>
                <w:sz w:val="25"/>
                <w:szCs w:val="25"/>
                <w:lang w:val="lv-LV" w:eastAsia="lv-LV"/>
              </w:rPr>
              <w:t xml:space="preserve"> precizēt finansējuma apmēru pēc esošās situācijas</w:t>
            </w:r>
            <w:r w:rsidR="00712415" w:rsidRPr="00756AEC">
              <w:rPr>
                <w:rFonts w:ascii="Times New Roman" w:hAnsi="Times New Roman"/>
                <w:color w:val="000000" w:themeColor="text1"/>
                <w:sz w:val="25"/>
                <w:szCs w:val="25"/>
                <w:lang w:val="lv-LV" w:eastAsia="lv-LV"/>
              </w:rPr>
              <w:t>, ņemot vērā, ka</w:t>
            </w:r>
            <w:r w:rsidRPr="00756AEC">
              <w:rPr>
                <w:rFonts w:ascii="Times New Roman" w:hAnsi="Times New Roman"/>
                <w:color w:val="000000" w:themeColor="text1"/>
                <w:sz w:val="25"/>
                <w:szCs w:val="25"/>
                <w:lang w:val="lv-LV" w:eastAsia="lv-LV"/>
              </w:rPr>
              <w:t xml:space="preserve"> </w:t>
            </w:r>
            <w:r w:rsidR="00712415" w:rsidRPr="00756AEC">
              <w:rPr>
                <w:rFonts w:ascii="Times New Roman" w:hAnsi="Times New Roman"/>
                <w:color w:val="000000" w:themeColor="text1"/>
                <w:sz w:val="25"/>
                <w:szCs w:val="25"/>
                <w:lang w:val="lv-LV" w:eastAsia="lv-LV"/>
              </w:rPr>
              <w:t>n</w:t>
            </w:r>
            <w:r w:rsidRPr="00756AEC">
              <w:rPr>
                <w:rFonts w:ascii="Times New Roman" w:hAnsi="Times New Roman"/>
                <w:color w:val="000000" w:themeColor="text1"/>
                <w:sz w:val="25"/>
                <w:szCs w:val="25"/>
                <w:lang w:val="lv-LV" w:eastAsia="lv-LV"/>
              </w:rPr>
              <w:t>o 3.6.1.1.</w:t>
            </w:r>
            <w:r w:rsidR="00712415" w:rsidRPr="00756AEC">
              <w:rPr>
                <w:rFonts w:ascii="Times New Roman" w:hAnsi="Times New Roman"/>
                <w:color w:val="000000" w:themeColor="text1"/>
                <w:sz w:val="25"/>
                <w:szCs w:val="25"/>
                <w:lang w:val="lv-LV" w:eastAsia="lv-LV"/>
              </w:rPr>
              <w:t>aktivitates tiek</w:t>
            </w:r>
            <w:r w:rsidRPr="00756AEC">
              <w:rPr>
                <w:rFonts w:ascii="Times New Roman" w:hAnsi="Times New Roman"/>
                <w:color w:val="000000" w:themeColor="text1"/>
                <w:sz w:val="25"/>
                <w:szCs w:val="25"/>
                <w:lang w:val="lv-LV" w:eastAsia="lv-LV"/>
              </w:rPr>
              <w:t xml:space="preserve"> pārceltas </w:t>
            </w:r>
            <w:proofErr w:type="spellStart"/>
            <w:r w:rsidRPr="00756AEC">
              <w:rPr>
                <w:rFonts w:ascii="Times New Roman" w:hAnsi="Times New Roman"/>
                <w:color w:val="000000" w:themeColor="text1"/>
                <w:sz w:val="25"/>
                <w:szCs w:val="25"/>
                <w:lang w:val="lv-LV" w:eastAsia="lv-LV"/>
              </w:rPr>
              <w:t>virssaistības</w:t>
            </w:r>
            <w:proofErr w:type="spellEnd"/>
            <w:r w:rsidRPr="00756AEC">
              <w:rPr>
                <w:rFonts w:ascii="Times New Roman" w:hAnsi="Times New Roman"/>
                <w:color w:val="000000" w:themeColor="text1"/>
                <w:sz w:val="25"/>
                <w:szCs w:val="25"/>
                <w:lang w:val="lv-LV" w:eastAsia="lv-LV"/>
              </w:rPr>
              <w:t xml:space="preserve"> </w:t>
            </w:r>
            <w:r w:rsidR="00F46CB7" w:rsidRPr="00756AEC">
              <w:rPr>
                <w:rFonts w:ascii="Times New Roman" w:hAnsi="Times New Roman"/>
                <w:color w:val="000000" w:themeColor="text1"/>
                <w:sz w:val="25"/>
                <w:szCs w:val="25"/>
                <w:lang w:val="lv-LV" w:eastAsia="lv-LV"/>
              </w:rPr>
              <w:t>41 401 012</w:t>
            </w:r>
            <w:r w:rsidRPr="00756AEC">
              <w:rPr>
                <w:rFonts w:ascii="Times New Roman" w:hAnsi="Times New Roman"/>
                <w:color w:val="000000" w:themeColor="text1"/>
                <w:sz w:val="25"/>
                <w:szCs w:val="25"/>
                <w:lang w:val="lv-LV" w:eastAsia="lv-LV"/>
              </w:rPr>
              <w:t xml:space="preserve"> </w:t>
            </w:r>
            <w:proofErr w:type="spellStart"/>
            <w:r w:rsidRPr="00756AEC">
              <w:rPr>
                <w:rFonts w:ascii="Times New Roman" w:hAnsi="Times New Roman"/>
                <w:i/>
                <w:color w:val="000000" w:themeColor="text1"/>
                <w:sz w:val="25"/>
                <w:szCs w:val="25"/>
                <w:lang w:val="lv-LV" w:eastAsia="lv-LV"/>
              </w:rPr>
              <w:t>euro</w:t>
            </w:r>
            <w:proofErr w:type="spellEnd"/>
            <w:r w:rsidRPr="00756AEC">
              <w:rPr>
                <w:rFonts w:ascii="Times New Roman" w:hAnsi="Times New Roman"/>
                <w:color w:val="000000" w:themeColor="text1"/>
                <w:sz w:val="25"/>
                <w:szCs w:val="25"/>
                <w:lang w:val="lv-LV" w:eastAsia="lv-LV"/>
              </w:rPr>
              <w:t xml:space="preserve"> un 3.6.2.1.aktivitates - </w:t>
            </w:r>
            <w:r w:rsidR="00F46CB7" w:rsidRPr="00756AEC">
              <w:rPr>
                <w:rFonts w:ascii="Times New Roman" w:hAnsi="Times New Roman"/>
                <w:color w:val="000000" w:themeColor="text1"/>
                <w:sz w:val="25"/>
                <w:szCs w:val="25"/>
                <w:lang w:val="lv-LV" w:eastAsia="lv-LV"/>
              </w:rPr>
              <w:t>21 155 714</w:t>
            </w:r>
            <w:r w:rsidRPr="00756AEC">
              <w:rPr>
                <w:rFonts w:ascii="Times New Roman" w:hAnsi="Times New Roman"/>
                <w:color w:val="000000" w:themeColor="text1"/>
                <w:sz w:val="25"/>
                <w:szCs w:val="25"/>
                <w:lang w:val="lv-LV" w:eastAsia="lv-LV"/>
              </w:rPr>
              <w:t xml:space="preserve"> </w:t>
            </w:r>
            <w:r w:rsidRPr="00756AEC">
              <w:rPr>
                <w:rFonts w:ascii="Times New Roman" w:hAnsi="Times New Roman"/>
                <w:i/>
                <w:color w:val="000000" w:themeColor="text1"/>
                <w:sz w:val="25"/>
                <w:szCs w:val="25"/>
                <w:lang w:val="lv-LV" w:eastAsia="lv-LV"/>
              </w:rPr>
              <w:t>euro</w:t>
            </w:r>
            <w:r w:rsidRPr="00756AEC">
              <w:rPr>
                <w:rFonts w:ascii="Times New Roman" w:hAnsi="Times New Roman"/>
                <w:iCs/>
                <w:color w:val="000000" w:themeColor="text1"/>
                <w:sz w:val="25"/>
                <w:szCs w:val="25"/>
                <w:lang w:val="lv-LV" w:eastAsia="lv-LV"/>
              </w:rPr>
              <w:t>, kā rezultātā virssaistību</w:t>
            </w:r>
            <w:r w:rsidR="00712415" w:rsidRPr="00756AEC">
              <w:rPr>
                <w:rFonts w:ascii="Times New Roman" w:hAnsi="Times New Roman"/>
                <w:iCs/>
                <w:color w:val="000000" w:themeColor="text1"/>
                <w:sz w:val="25"/>
                <w:szCs w:val="25"/>
                <w:lang w:val="lv-LV" w:eastAsia="lv-LV"/>
              </w:rPr>
              <w:t xml:space="preserve"> finansējuma apjoms </w:t>
            </w:r>
            <w:r w:rsidRPr="00756AEC">
              <w:rPr>
                <w:rFonts w:ascii="Times New Roman" w:hAnsi="Times New Roman"/>
                <w:iCs/>
                <w:color w:val="000000" w:themeColor="text1"/>
                <w:sz w:val="25"/>
                <w:szCs w:val="25"/>
                <w:lang w:val="lv-LV" w:eastAsia="lv-LV"/>
              </w:rPr>
              <w:t>2.3.2.2.3.apaksak</w:t>
            </w:r>
            <w:r w:rsidR="00712415" w:rsidRPr="00756AEC">
              <w:rPr>
                <w:rFonts w:ascii="Times New Roman" w:hAnsi="Times New Roman"/>
                <w:iCs/>
                <w:color w:val="000000" w:themeColor="text1"/>
                <w:sz w:val="25"/>
                <w:szCs w:val="25"/>
                <w:lang w:val="lv-LV" w:eastAsia="lv-LV"/>
              </w:rPr>
              <w:t>tivitātes ietvaros</w:t>
            </w:r>
            <w:r w:rsidRPr="00756AEC">
              <w:rPr>
                <w:rFonts w:ascii="Times New Roman" w:hAnsi="Times New Roman"/>
                <w:iCs/>
                <w:color w:val="000000" w:themeColor="text1"/>
                <w:sz w:val="25"/>
                <w:szCs w:val="25"/>
                <w:lang w:val="lv-LV" w:eastAsia="lv-LV"/>
              </w:rPr>
              <w:t xml:space="preserve"> ir noteikt</w:t>
            </w:r>
            <w:r w:rsidR="00712415" w:rsidRPr="00756AEC">
              <w:rPr>
                <w:rFonts w:ascii="Times New Roman" w:hAnsi="Times New Roman"/>
                <w:iCs/>
                <w:color w:val="000000" w:themeColor="text1"/>
                <w:sz w:val="25"/>
                <w:szCs w:val="25"/>
                <w:lang w:val="lv-LV" w:eastAsia="lv-LV"/>
              </w:rPr>
              <w:t>s</w:t>
            </w:r>
            <w:r w:rsidRPr="00756AEC">
              <w:rPr>
                <w:rFonts w:ascii="Times New Roman" w:hAnsi="Times New Roman"/>
                <w:iCs/>
                <w:color w:val="000000" w:themeColor="text1"/>
                <w:sz w:val="25"/>
                <w:szCs w:val="25"/>
                <w:lang w:val="lv-LV" w:eastAsia="lv-LV"/>
              </w:rPr>
              <w:t xml:space="preserve"> </w:t>
            </w:r>
            <w:r w:rsidR="00F46CB7" w:rsidRPr="00756AEC">
              <w:rPr>
                <w:rFonts w:ascii="Times New Roman" w:hAnsi="Times New Roman"/>
                <w:iCs/>
                <w:color w:val="000000" w:themeColor="text1"/>
                <w:sz w:val="25"/>
                <w:szCs w:val="25"/>
                <w:lang w:val="lv-LV" w:eastAsia="lv-LV"/>
              </w:rPr>
              <w:t>62 556 726</w:t>
            </w:r>
            <w:r w:rsidRPr="00756AEC">
              <w:rPr>
                <w:rFonts w:ascii="Times New Roman" w:hAnsi="Times New Roman"/>
                <w:iCs/>
                <w:color w:val="000000" w:themeColor="text1"/>
                <w:sz w:val="25"/>
                <w:szCs w:val="25"/>
                <w:lang w:val="lv-LV" w:eastAsia="lv-LV"/>
              </w:rPr>
              <w:t xml:space="preserve"> </w:t>
            </w:r>
            <w:r w:rsidRPr="00756AEC">
              <w:rPr>
                <w:rFonts w:ascii="Times New Roman" w:hAnsi="Times New Roman"/>
                <w:i/>
                <w:iCs/>
                <w:color w:val="000000" w:themeColor="text1"/>
                <w:sz w:val="25"/>
                <w:szCs w:val="25"/>
                <w:lang w:val="lv-LV" w:eastAsia="lv-LV"/>
              </w:rPr>
              <w:t>euro</w:t>
            </w:r>
            <w:r w:rsidRPr="00756AEC">
              <w:rPr>
                <w:rFonts w:ascii="Times New Roman" w:hAnsi="Times New Roman"/>
                <w:iCs/>
                <w:color w:val="000000" w:themeColor="text1"/>
                <w:sz w:val="25"/>
                <w:szCs w:val="25"/>
                <w:lang w:val="lv-LV" w:eastAsia="lv-LV"/>
              </w:rPr>
              <w:t xml:space="preserve"> apmērā.</w:t>
            </w:r>
          </w:p>
          <w:p w14:paraId="2EDCDC9A" w14:textId="0C99DC6E" w:rsidR="004425B5" w:rsidRPr="00756AEC" w:rsidRDefault="00C93598" w:rsidP="00AB5338">
            <w:pPr>
              <w:spacing w:after="0" w:line="240" w:lineRule="auto"/>
              <w:jc w:val="both"/>
              <w:rPr>
                <w:color w:val="000000" w:themeColor="text1"/>
                <w:sz w:val="25"/>
                <w:szCs w:val="25"/>
                <w:lang w:val="lv-LV"/>
              </w:rPr>
            </w:pPr>
            <w:r w:rsidRPr="00756AEC">
              <w:rPr>
                <w:rFonts w:ascii="Times New Roman" w:hAnsi="Times New Roman" w:cs="Times New Roman"/>
                <w:color w:val="000000" w:themeColor="text1"/>
                <w:sz w:val="25"/>
                <w:szCs w:val="25"/>
                <w:lang w:val="lv-LV"/>
              </w:rPr>
              <w:t xml:space="preserve">Attiecībā uz ieņēmumu daļu ietekme uz budžetu ir neitrāla, savukārt uz izdevumu daļu – tā var būt vai nu pozitīva, vai neitrāla, jo no </w:t>
            </w:r>
            <w:r w:rsidR="00E11A4A" w:rsidRPr="00756AEC">
              <w:rPr>
                <w:rFonts w:ascii="Times New Roman" w:hAnsi="Times New Roman" w:cs="Times New Roman"/>
                <w:color w:val="000000" w:themeColor="text1"/>
                <w:sz w:val="25"/>
                <w:szCs w:val="25"/>
                <w:lang w:val="lv-LV"/>
              </w:rPr>
              <w:t>darbības programmas “Infrastruktūra un pakalpojumi”</w:t>
            </w:r>
            <w:r w:rsidRPr="00756AEC">
              <w:rPr>
                <w:rFonts w:ascii="Times New Roman" w:hAnsi="Times New Roman" w:cs="Times New Roman"/>
                <w:color w:val="000000" w:themeColor="text1"/>
                <w:sz w:val="25"/>
                <w:szCs w:val="25"/>
                <w:lang w:val="lv-LV"/>
              </w:rPr>
              <w:t xml:space="preserve">, kuras ietvaros šīs </w:t>
            </w:r>
            <w:proofErr w:type="spellStart"/>
            <w:r w:rsidRPr="00756AEC">
              <w:rPr>
                <w:rFonts w:ascii="Times New Roman" w:hAnsi="Times New Roman" w:cs="Times New Roman"/>
                <w:color w:val="000000" w:themeColor="text1"/>
                <w:sz w:val="25"/>
                <w:szCs w:val="25"/>
                <w:lang w:val="lv-LV"/>
              </w:rPr>
              <w:t>virssaistības</w:t>
            </w:r>
            <w:proofErr w:type="spellEnd"/>
            <w:r w:rsidRPr="00756AEC">
              <w:rPr>
                <w:rFonts w:ascii="Times New Roman" w:hAnsi="Times New Roman" w:cs="Times New Roman"/>
                <w:color w:val="000000" w:themeColor="text1"/>
                <w:sz w:val="25"/>
                <w:szCs w:val="25"/>
                <w:lang w:val="lv-LV"/>
              </w:rPr>
              <w:t xml:space="preserve"> veido negatīvu ietekmi uz valsts budžeta deficītu, projekti tiek pārcelti uz </w:t>
            </w:r>
            <w:r w:rsidR="008F3F8D" w:rsidRPr="00756AEC">
              <w:rPr>
                <w:rFonts w:ascii="Times New Roman" w:hAnsi="Times New Roman" w:cs="Times New Roman"/>
                <w:color w:val="000000" w:themeColor="text1"/>
                <w:sz w:val="25"/>
                <w:szCs w:val="25"/>
                <w:lang w:val="lv-LV"/>
              </w:rPr>
              <w:t>darbības programmu “Uzņēmējdarbība un inovācijas”</w:t>
            </w:r>
            <w:r w:rsidRPr="00756AEC">
              <w:rPr>
                <w:rFonts w:ascii="Times New Roman" w:hAnsi="Times New Roman" w:cs="Times New Roman"/>
                <w:color w:val="000000" w:themeColor="text1"/>
                <w:sz w:val="25"/>
                <w:szCs w:val="25"/>
                <w:lang w:val="lv-LV"/>
              </w:rPr>
              <w:t>, kur ir n+2 principa neizpildes risks, līdz ar to negatīvā ietekme potenciāli varētu tikt samazināta vai palikt esošajā līmenī.</w:t>
            </w:r>
            <w:r w:rsidR="00DD6BFE" w:rsidRPr="00756AEC">
              <w:rPr>
                <w:rFonts w:ascii="Times New Roman" w:hAnsi="Times New Roman" w:cs="Times New Roman"/>
                <w:color w:val="000000" w:themeColor="text1"/>
                <w:sz w:val="25"/>
                <w:szCs w:val="25"/>
                <w:lang w:val="lv-LV"/>
              </w:rPr>
              <w:t xml:space="preserve"> </w:t>
            </w:r>
          </w:p>
        </w:tc>
      </w:tr>
    </w:tbl>
    <w:p w14:paraId="6F231D87" w14:textId="186269C0" w:rsidR="00377F0B" w:rsidRPr="00756AEC" w:rsidRDefault="00377F0B" w:rsidP="00F66F09">
      <w:pPr>
        <w:spacing w:after="0" w:line="240" w:lineRule="auto"/>
        <w:rPr>
          <w:rFonts w:ascii="Times New Roman" w:hAnsi="Times New Roman"/>
          <w:b/>
          <w:sz w:val="25"/>
          <w:szCs w:val="25"/>
          <w:lang w:val="lv-LV"/>
        </w:rPr>
      </w:pPr>
    </w:p>
    <w:p w14:paraId="3130C8E4" w14:textId="77777777" w:rsidR="00253836" w:rsidRPr="00756AEC" w:rsidRDefault="00253836" w:rsidP="00377F0B">
      <w:pPr>
        <w:spacing w:after="0" w:line="240" w:lineRule="auto"/>
        <w:jc w:val="center"/>
        <w:rPr>
          <w:rFonts w:ascii="Times New Roman" w:hAnsi="Times New Roman"/>
          <w:b/>
          <w:sz w:val="25"/>
          <w:szCs w:val="25"/>
          <w:lang w:val="lv-LV"/>
        </w:rPr>
      </w:pPr>
    </w:p>
    <w:tbl>
      <w:tblPr>
        <w:tblStyle w:val="TableGrid"/>
        <w:tblW w:w="9180" w:type="dxa"/>
        <w:tblLayout w:type="fixed"/>
        <w:tblLook w:val="00A0" w:firstRow="1" w:lastRow="0" w:firstColumn="1" w:lastColumn="0" w:noHBand="0" w:noVBand="0"/>
      </w:tblPr>
      <w:tblGrid>
        <w:gridCol w:w="2263"/>
        <w:gridCol w:w="6917"/>
      </w:tblGrid>
      <w:tr w:rsidR="00E34378" w:rsidRPr="00756AEC" w14:paraId="54211F4B" w14:textId="77777777" w:rsidTr="00B27080">
        <w:tc>
          <w:tcPr>
            <w:tcW w:w="9180" w:type="dxa"/>
            <w:gridSpan w:val="2"/>
          </w:tcPr>
          <w:p w14:paraId="5112AA6E" w14:textId="77777777" w:rsidR="00E34378" w:rsidRPr="00756AEC" w:rsidRDefault="00E34378" w:rsidP="00D40CFC">
            <w:pPr>
              <w:rPr>
                <w:rFonts w:ascii="Times New Roman" w:hAnsi="Times New Roman"/>
                <w:b/>
                <w:sz w:val="25"/>
                <w:szCs w:val="25"/>
                <w:lang w:val="lv-LV"/>
              </w:rPr>
            </w:pPr>
            <w:r w:rsidRPr="00756AEC">
              <w:rPr>
                <w:rFonts w:ascii="Times New Roman" w:hAnsi="Times New Roman"/>
                <w:b/>
                <w:sz w:val="25"/>
                <w:szCs w:val="25"/>
                <w:lang w:val="lv-LV"/>
              </w:rPr>
              <w:t>IV. Tiesību akta projekta ietekme uz spēkā esošo tiesību normu sistēmu</w:t>
            </w:r>
          </w:p>
        </w:tc>
      </w:tr>
      <w:tr w:rsidR="00E34378" w:rsidRPr="00756AEC" w14:paraId="607E7822" w14:textId="77777777" w:rsidTr="008E77C9">
        <w:trPr>
          <w:trHeight w:val="699"/>
        </w:trPr>
        <w:tc>
          <w:tcPr>
            <w:tcW w:w="2263" w:type="dxa"/>
          </w:tcPr>
          <w:p w14:paraId="70D17B61" w14:textId="77777777" w:rsidR="00E34378" w:rsidRPr="00756AEC" w:rsidRDefault="00E34378" w:rsidP="00D40CFC">
            <w:pPr>
              <w:jc w:val="both"/>
              <w:rPr>
                <w:rFonts w:ascii="Times New Roman" w:hAnsi="Times New Roman"/>
                <w:sz w:val="25"/>
                <w:szCs w:val="25"/>
                <w:lang w:val="lv-LV"/>
              </w:rPr>
            </w:pPr>
            <w:r w:rsidRPr="00756AEC">
              <w:rPr>
                <w:rFonts w:ascii="Times New Roman" w:hAnsi="Times New Roman"/>
                <w:sz w:val="25"/>
                <w:szCs w:val="25"/>
                <w:lang w:val="lv-LV"/>
              </w:rPr>
              <w:t>1.</w:t>
            </w:r>
          </w:p>
          <w:p w14:paraId="28D6F2E6" w14:textId="0E01A988" w:rsidR="00E34378" w:rsidRPr="00756AEC" w:rsidRDefault="00E34378" w:rsidP="00D40CFC">
            <w:pPr>
              <w:jc w:val="both"/>
              <w:rPr>
                <w:rFonts w:ascii="Times New Roman" w:hAnsi="Times New Roman"/>
                <w:sz w:val="25"/>
                <w:szCs w:val="25"/>
                <w:lang w:val="lv-LV"/>
              </w:rPr>
            </w:pPr>
            <w:r w:rsidRPr="00756AEC">
              <w:rPr>
                <w:rFonts w:ascii="Times New Roman" w:hAnsi="Times New Roman"/>
                <w:sz w:val="25"/>
                <w:szCs w:val="25"/>
                <w:lang w:val="lv-LV"/>
              </w:rPr>
              <w:t>Nepieciešamie saistītie tiesību aktu projekti</w:t>
            </w:r>
          </w:p>
        </w:tc>
        <w:tc>
          <w:tcPr>
            <w:tcW w:w="6917" w:type="dxa"/>
          </w:tcPr>
          <w:p w14:paraId="59312EE1" w14:textId="4E4EEDC1" w:rsidR="00E34378" w:rsidRPr="00756AEC" w:rsidRDefault="00E34378" w:rsidP="000960E2">
            <w:pPr>
              <w:ind w:left="-37" w:right="173"/>
              <w:jc w:val="both"/>
              <w:rPr>
                <w:rFonts w:ascii="Times New Roman" w:hAnsi="Times New Roman" w:cs="Times New Roman"/>
                <w:sz w:val="25"/>
                <w:szCs w:val="25"/>
                <w:lang w:val="lv-LV"/>
              </w:rPr>
            </w:pPr>
            <w:r w:rsidRPr="00756AEC">
              <w:rPr>
                <w:rFonts w:ascii="Times New Roman" w:hAnsi="Times New Roman" w:cs="Times New Roman"/>
                <w:sz w:val="25"/>
                <w:szCs w:val="25"/>
                <w:lang w:val="lv-LV"/>
              </w:rPr>
              <w:t>MK noteikumu projekts saistīts ar grozījumiem:</w:t>
            </w:r>
          </w:p>
          <w:p w14:paraId="09691252" w14:textId="45637310" w:rsidR="00E34378" w:rsidRPr="00756AEC" w:rsidRDefault="00E34378" w:rsidP="0068037C">
            <w:pPr>
              <w:pStyle w:val="ListParagraph"/>
              <w:numPr>
                <w:ilvl w:val="0"/>
                <w:numId w:val="29"/>
              </w:numPr>
              <w:jc w:val="both"/>
              <w:rPr>
                <w:rFonts w:ascii="Times New Roman" w:hAnsi="Times New Roman"/>
                <w:sz w:val="25"/>
                <w:szCs w:val="25"/>
                <w:lang w:val="lv-LV"/>
              </w:rPr>
            </w:pPr>
            <w:r w:rsidRPr="00756AEC">
              <w:rPr>
                <w:rFonts w:ascii="Times New Roman" w:hAnsi="Times New Roman"/>
                <w:sz w:val="25"/>
                <w:szCs w:val="25"/>
                <w:lang w:val="lv-LV"/>
              </w:rPr>
              <w:t>MK noteikumos Nr.91 - tiek samazināts 4.</w:t>
            </w:r>
            <w:r w:rsidRPr="00756AEC">
              <w:rPr>
                <w:rFonts w:ascii="Times New Roman" w:hAnsi="Times New Roman"/>
                <w:sz w:val="25"/>
                <w:szCs w:val="25"/>
                <w:vertAlign w:val="superscript"/>
                <w:lang w:val="lv-LV"/>
              </w:rPr>
              <w:t xml:space="preserve">1 </w:t>
            </w:r>
            <w:r w:rsidRPr="00756AEC">
              <w:rPr>
                <w:rFonts w:ascii="Times New Roman" w:hAnsi="Times New Roman"/>
                <w:sz w:val="25"/>
                <w:szCs w:val="25"/>
                <w:lang w:val="lv-LV"/>
              </w:rPr>
              <w:t>punktā noteiktais aktivitātes ietvaros pieejamais saistību apjoms un 20.punktā noteiktās kvotas pašvaldībām u.c.;</w:t>
            </w:r>
          </w:p>
          <w:p w14:paraId="1EF0876B" w14:textId="7394C125" w:rsidR="00E34378" w:rsidRPr="00756AEC" w:rsidRDefault="00E34378" w:rsidP="0068037C">
            <w:pPr>
              <w:pStyle w:val="ListParagraph"/>
              <w:numPr>
                <w:ilvl w:val="0"/>
                <w:numId w:val="29"/>
              </w:numPr>
              <w:jc w:val="both"/>
              <w:rPr>
                <w:rFonts w:ascii="Times New Roman" w:hAnsi="Times New Roman"/>
                <w:sz w:val="25"/>
                <w:szCs w:val="25"/>
                <w:lang w:val="lv-LV"/>
              </w:rPr>
            </w:pPr>
            <w:r w:rsidRPr="00756AEC">
              <w:rPr>
                <w:rFonts w:ascii="Times New Roman" w:hAnsi="Times New Roman"/>
                <w:sz w:val="25"/>
                <w:szCs w:val="25"/>
                <w:lang w:val="lv-LV"/>
              </w:rPr>
              <w:t xml:space="preserve">MK noteikumos Nr.843 </w:t>
            </w:r>
            <w:r w:rsidR="004A0D20" w:rsidRPr="00756AEC">
              <w:rPr>
                <w:rFonts w:ascii="Times New Roman" w:hAnsi="Times New Roman"/>
                <w:sz w:val="25"/>
                <w:szCs w:val="25"/>
                <w:lang w:val="lv-LV"/>
              </w:rPr>
              <w:t>–</w:t>
            </w:r>
            <w:r w:rsidRPr="00756AEC">
              <w:rPr>
                <w:rFonts w:ascii="Times New Roman" w:hAnsi="Times New Roman"/>
                <w:sz w:val="25"/>
                <w:szCs w:val="25"/>
                <w:lang w:val="lv-LV"/>
              </w:rPr>
              <w:t xml:space="preserve"> tiek</w:t>
            </w:r>
            <w:r w:rsidR="004A0D20" w:rsidRPr="00756AEC">
              <w:rPr>
                <w:rFonts w:ascii="Times New Roman" w:hAnsi="Times New Roman"/>
                <w:sz w:val="25"/>
                <w:szCs w:val="25"/>
                <w:lang w:val="lv-LV"/>
              </w:rPr>
              <w:t xml:space="preserve"> </w:t>
            </w:r>
            <w:r w:rsidRPr="00756AEC">
              <w:rPr>
                <w:rFonts w:ascii="Times New Roman" w:hAnsi="Times New Roman"/>
                <w:sz w:val="25"/>
                <w:szCs w:val="25"/>
                <w:lang w:val="lv-LV"/>
              </w:rPr>
              <w:t>samazināts 4.</w:t>
            </w:r>
            <w:r w:rsidRPr="00756AEC">
              <w:rPr>
                <w:rFonts w:ascii="Times New Roman" w:hAnsi="Times New Roman"/>
                <w:sz w:val="25"/>
                <w:szCs w:val="25"/>
                <w:vertAlign w:val="superscript"/>
                <w:lang w:val="lv-LV"/>
              </w:rPr>
              <w:t xml:space="preserve">2 </w:t>
            </w:r>
            <w:r w:rsidRPr="00756AEC">
              <w:rPr>
                <w:rFonts w:ascii="Times New Roman" w:hAnsi="Times New Roman"/>
                <w:sz w:val="25"/>
                <w:szCs w:val="25"/>
                <w:lang w:val="lv-LV"/>
              </w:rPr>
              <w:t>punktā noteiktais aktivitātes ietvaros pieejamais saistību apjoms un 20.</w:t>
            </w:r>
            <w:r w:rsidRPr="00756AEC">
              <w:rPr>
                <w:rFonts w:ascii="Times New Roman" w:hAnsi="Times New Roman"/>
                <w:sz w:val="25"/>
                <w:szCs w:val="25"/>
                <w:vertAlign w:val="superscript"/>
                <w:lang w:val="lv-LV"/>
              </w:rPr>
              <w:t>1</w:t>
            </w:r>
            <w:r w:rsidRPr="00756AEC">
              <w:rPr>
                <w:rFonts w:ascii="Times New Roman" w:hAnsi="Times New Roman"/>
                <w:sz w:val="25"/>
                <w:szCs w:val="25"/>
                <w:lang w:val="lv-LV"/>
              </w:rPr>
              <w:t>punktā noteiktās kvotas pašvaldībām u.c.</w:t>
            </w:r>
          </w:p>
          <w:p w14:paraId="049EF089" w14:textId="0576835E" w:rsidR="00E34378" w:rsidRPr="00756AEC" w:rsidRDefault="00E34378" w:rsidP="003A2A77">
            <w:pPr>
              <w:pStyle w:val="ListParagraph"/>
              <w:numPr>
                <w:ilvl w:val="0"/>
                <w:numId w:val="29"/>
              </w:numPr>
              <w:jc w:val="both"/>
              <w:rPr>
                <w:sz w:val="25"/>
                <w:szCs w:val="25"/>
                <w:lang w:val="lv-LV"/>
              </w:rPr>
            </w:pPr>
            <w:r w:rsidRPr="00756AEC">
              <w:rPr>
                <w:rFonts w:ascii="Times New Roman" w:hAnsi="Times New Roman"/>
                <w:color w:val="000000"/>
                <w:sz w:val="25"/>
                <w:szCs w:val="25"/>
                <w:lang w:val="lv-LV"/>
              </w:rPr>
              <w:t xml:space="preserve">Darbības programmas “Infrastruktūra un pakalpojumi” papildinājumā (apstiprināts ar MK 2008. gada 29.aprīļa rīkojumu Nr.236 "Par darbības programmas “Infrastruktūra un pakalpojumi” papildinājuma apstiprināšanu") – tiek pārcelts ERAF finansējums no </w:t>
            </w:r>
            <w:r w:rsidRPr="00756AEC">
              <w:rPr>
                <w:rFonts w:ascii="Times New Roman" w:hAnsi="Times New Roman"/>
                <w:sz w:val="25"/>
                <w:szCs w:val="25"/>
                <w:lang w:val="lv-LV"/>
              </w:rPr>
              <w:t xml:space="preserve">3.6.1.1.aktivitātes uz 3.6.2.1.aktivitāti 947 928 </w:t>
            </w:r>
            <w:r w:rsidRPr="00756AEC">
              <w:rPr>
                <w:rFonts w:ascii="Times New Roman" w:hAnsi="Times New Roman"/>
                <w:i/>
                <w:sz w:val="25"/>
                <w:szCs w:val="25"/>
                <w:lang w:val="lv-LV"/>
              </w:rPr>
              <w:t>euro</w:t>
            </w:r>
            <w:r w:rsidRPr="00756AEC">
              <w:rPr>
                <w:rFonts w:ascii="Times New Roman" w:hAnsi="Times New Roman"/>
                <w:sz w:val="25"/>
                <w:szCs w:val="25"/>
                <w:lang w:val="lv-LV"/>
              </w:rPr>
              <w:t xml:space="preserve"> apmērā (vienlaikus samazinot 3.6.2.1.aktivitātei pieejamo virssaistību finansējumu), attiecīgi precizējot pieejamo nacionālā publiskā finansējuma apmēru.</w:t>
            </w:r>
          </w:p>
        </w:tc>
      </w:tr>
      <w:tr w:rsidR="00E34378" w:rsidRPr="00756AEC" w14:paraId="2823C979" w14:textId="77777777" w:rsidTr="008E77C9">
        <w:tc>
          <w:tcPr>
            <w:tcW w:w="2263" w:type="dxa"/>
          </w:tcPr>
          <w:p w14:paraId="44946988" w14:textId="59DCAEC2" w:rsidR="00E34378" w:rsidRPr="00756AEC" w:rsidRDefault="00E34378" w:rsidP="00E34378">
            <w:pPr>
              <w:jc w:val="both"/>
              <w:rPr>
                <w:rFonts w:ascii="Times New Roman" w:hAnsi="Times New Roman"/>
                <w:sz w:val="25"/>
                <w:szCs w:val="25"/>
                <w:lang w:val="lv-LV"/>
              </w:rPr>
            </w:pPr>
            <w:r w:rsidRPr="00756AEC">
              <w:rPr>
                <w:rFonts w:ascii="Times New Roman" w:hAnsi="Times New Roman"/>
                <w:sz w:val="25"/>
                <w:szCs w:val="25"/>
                <w:lang w:val="lv-LV"/>
              </w:rPr>
              <w:t>2. Atbildīgā institūcija</w:t>
            </w:r>
          </w:p>
        </w:tc>
        <w:tc>
          <w:tcPr>
            <w:tcW w:w="6917" w:type="dxa"/>
          </w:tcPr>
          <w:p w14:paraId="0CA16EC9" w14:textId="5270D9B5" w:rsidR="00E34378" w:rsidRPr="00756AEC" w:rsidRDefault="00E34378" w:rsidP="00FC1D8E">
            <w:pPr>
              <w:jc w:val="both"/>
              <w:rPr>
                <w:rFonts w:ascii="Times New Roman" w:hAnsi="Times New Roman"/>
                <w:sz w:val="25"/>
                <w:szCs w:val="25"/>
                <w:lang w:val="lv-LV"/>
              </w:rPr>
            </w:pPr>
            <w:r w:rsidRPr="00756AEC">
              <w:rPr>
                <w:rFonts w:ascii="Times New Roman" w:hAnsi="Times New Roman"/>
                <w:sz w:val="25"/>
                <w:szCs w:val="25"/>
                <w:lang w:val="lv-LV"/>
              </w:rPr>
              <w:t>Vides aizsardzības un reģionālās attīstības ministrija, FM.</w:t>
            </w:r>
          </w:p>
        </w:tc>
      </w:tr>
      <w:tr w:rsidR="00E34378" w:rsidRPr="00756AEC" w14:paraId="58C6C6FE" w14:textId="77777777" w:rsidTr="008E77C9">
        <w:tc>
          <w:tcPr>
            <w:tcW w:w="2263" w:type="dxa"/>
          </w:tcPr>
          <w:p w14:paraId="70471C2A" w14:textId="7E97D4C9" w:rsidR="00E34378" w:rsidRPr="00756AEC" w:rsidRDefault="00E34378" w:rsidP="00E34378">
            <w:pPr>
              <w:jc w:val="both"/>
              <w:rPr>
                <w:rFonts w:ascii="Times New Roman" w:hAnsi="Times New Roman"/>
                <w:sz w:val="25"/>
                <w:szCs w:val="25"/>
                <w:lang w:val="lv-LV"/>
              </w:rPr>
            </w:pPr>
            <w:r w:rsidRPr="00756AEC">
              <w:rPr>
                <w:rFonts w:ascii="Times New Roman" w:hAnsi="Times New Roman"/>
                <w:sz w:val="25"/>
                <w:szCs w:val="25"/>
                <w:lang w:val="lv-LV"/>
              </w:rPr>
              <w:t>3. Cita informācija</w:t>
            </w:r>
          </w:p>
        </w:tc>
        <w:tc>
          <w:tcPr>
            <w:tcW w:w="6917" w:type="dxa"/>
          </w:tcPr>
          <w:p w14:paraId="38CEFD43" w14:textId="545205DA" w:rsidR="00E34378" w:rsidRPr="00756AEC" w:rsidRDefault="00371BFE" w:rsidP="00371BFE">
            <w:pPr>
              <w:jc w:val="both"/>
              <w:rPr>
                <w:rFonts w:ascii="Times New Roman" w:hAnsi="Times New Roman"/>
                <w:sz w:val="25"/>
                <w:szCs w:val="25"/>
                <w:lang w:val="lv-LV"/>
              </w:rPr>
            </w:pPr>
            <w:r w:rsidRPr="00756AEC">
              <w:rPr>
                <w:rFonts w:ascii="Times New Roman" w:hAnsi="Times New Roman"/>
                <w:sz w:val="25"/>
                <w:szCs w:val="25"/>
                <w:lang w:val="lv-LV"/>
              </w:rPr>
              <w:t xml:space="preserve">Lai izveidotu 2.3.2.2.3.apakšaktivitāti, no 2.3.2.2.1.apakšaktivitātes “Atbalsts ieguldījumiem mikro, maziem un vidējiem komersantiem īpaši atbalstāmajās teritorijās” (turpmāk – 2.3.2.2.1.apakšaktivitāte) uz 2.3.2.2.3.apakšaktivitati tika pārcelts ERAF finansējums 10 </w:t>
            </w:r>
            <w:r w:rsidRPr="00756AEC">
              <w:rPr>
                <w:rFonts w:ascii="Times New Roman" w:hAnsi="Times New Roman"/>
                <w:i/>
                <w:sz w:val="25"/>
                <w:szCs w:val="25"/>
                <w:lang w:val="lv-LV"/>
              </w:rPr>
              <w:t>euro</w:t>
            </w:r>
            <w:r w:rsidRPr="00756AEC">
              <w:rPr>
                <w:rFonts w:ascii="Times New Roman" w:hAnsi="Times New Roman"/>
                <w:sz w:val="25"/>
                <w:szCs w:val="25"/>
                <w:lang w:val="lv-LV"/>
              </w:rPr>
              <w:t xml:space="preserve"> apmērā. Ņemot vērā, ka 2.3.2.2.1.apakšaktivitātes ieviešana ir pabeigta, pieņemt zināšanai, ka grozījumi MK 2009.gada 24.februāra noteikumos Nr.197 “Noteikumi par darbības programmas “Uzņēmējdarbība un inovācijas” papildinājuma 2.3.2.2.1.apakšaktivitāti “Atbalsts ieguldījumiem mikro, maziem un vidējiem komersantiem īpaši atbalstāmajās teritorijās”” nav nepieciešami.</w:t>
            </w:r>
          </w:p>
          <w:p w14:paraId="731070DD" w14:textId="038AB302" w:rsidR="002346B7" w:rsidRPr="00756AEC" w:rsidRDefault="002346B7" w:rsidP="006B2758">
            <w:pPr>
              <w:jc w:val="both"/>
              <w:rPr>
                <w:rFonts w:ascii="Times New Roman" w:hAnsi="Times New Roman"/>
                <w:sz w:val="25"/>
                <w:szCs w:val="25"/>
                <w:lang w:val="lv-LV"/>
              </w:rPr>
            </w:pPr>
            <w:r w:rsidRPr="00756AEC">
              <w:rPr>
                <w:rFonts w:ascii="Times New Roman" w:hAnsi="Times New Roman"/>
                <w:sz w:val="25"/>
                <w:szCs w:val="25"/>
                <w:lang w:val="lv-LV"/>
              </w:rPr>
              <w:t xml:space="preserve">MK noteikumu projekts tiks virzīts iesniegšanai </w:t>
            </w:r>
            <w:r w:rsidR="006B2758" w:rsidRPr="00756AEC">
              <w:rPr>
                <w:rFonts w:ascii="Times New Roman" w:hAnsi="Times New Roman"/>
                <w:sz w:val="25"/>
                <w:szCs w:val="25"/>
                <w:lang w:val="lv-LV"/>
              </w:rPr>
              <w:t>MK</w:t>
            </w:r>
            <w:r w:rsidRPr="00756AEC">
              <w:rPr>
                <w:rFonts w:ascii="Times New Roman" w:hAnsi="Times New Roman"/>
                <w:sz w:val="25"/>
                <w:szCs w:val="25"/>
                <w:lang w:val="lv-LV"/>
              </w:rPr>
              <w:t xml:space="preserve"> sēdē vienlaikus ar grozījumiem MK noteikumos Nr.91 un MK noteikumos Nr.843.</w:t>
            </w:r>
          </w:p>
        </w:tc>
      </w:tr>
    </w:tbl>
    <w:p w14:paraId="6523948A" w14:textId="77777777" w:rsidR="00371BFE" w:rsidRPr="00756AEC" w:rsidRDefault="00371BFE" w:rsidP="00C74056">
      <w:pPr>
        <w:tabs>
          <w:tab w:val="left" w:pos="6710"/>
        </w:tabs>
        <w:spacing w:after="0" w:line="240" w:lineRule="auto"/>
        <w:rPr>
          <w:rFonts w:ascii="Times New Roman" w:eastAsia="Times New Roman" w:hAnsi="Times New Roman" w:cs="Times New Roman"/>
          <w:b/>
          <w:sz w:val="26"/>
          <w:szCs w:val="26"/>
          <w:lang w:val="lv-LV" w:eastAsia="lv-LV"/>
        </w:rPr>
      </w:pPr>
    </w:p>
    <w:p w14:paraId="62057456" w14:textId="064CFEE8" w:rsidR="00C74056" w:rsidRPr="00756AEC" w:rsidRDefault="00C74056" w:rsidP="00C74056">
      <w:pPr>
        <w:tabs>
          <w:tab w:val="left" w:pos="6710"/>
        </w:tabs>
        <w:spacing w:after="0" w:line="240" w:lineRule="auto"/>
        <w:rPr>
          <w:rFonts w:ascii="Times New Roman" w:eastAsia="Times New Roman" w:hAnsi="Times New Roman" w:cs="Times New Roman"/>
          <w:b/>
          <w:sz w:val="26"/>
          <w:szCs w:val="26"/>
          <w:lang w:val="lv-LV" w:eastAsia="lv-LV"/>
        </w:rPr>
      </w:pPr>
      <w:r w:rsidRPr="00756AEC">
        <w:rPr>
          <w:rFonts w:ascii="Times New Roman" w:eastAsia="Times New Roman" w:hAnsi="Times New Roman" w:cs="Times New Roman"/>
          <w:b/>
          <w:sz w:val="26"/>
          <w:szCs w:val="26"/>
          <w:lang w:val="lv-LV" w:eastAsia="lv-LV"/>
        </w:rPr>
        <w:t>Anotācijas V un VI sadaļas - projekts šīs jomas neskar.</w:t>
      </w:r>
    </w:p>
    <w:p w14:paraId="1DEC8ED7" w14:textId="77777777" w:rsidR="00830152" w:rsidRPr="00756AEC" w:rsidRDefault="00830152" w:rsidP="00D40CFC">
      <w:pPr>
        <w:tabs>
          <w:tab w:val="left" w:pos="7655"/>
        </w:tabs>
        <w:spacing w:after="0" w:line="240" w:lineRule="auto"/>
        <w:jc w:val="both"/>
        <w:rPr>
          <w:rFonts w:ascii="Times New Roman" w:hAnsi="Times New Roman"/>
          <w:sz w:val="25"/>
          <w:szCs w:val="25"/>
          <w:lang w:val="lv-LV"/>
        </w:rPr>
      </w:pPr>
    </w:p>
    <w:tbl>
      <w:tblPr>
        <w:tblW w:w="921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823"/>
        <w:gridCol w:w="5391"/>
      </w:tblGrid>
      <w:tr w:rsidR="009A31FD" w:rsidRPr="00756AEC" w14:paraId="3DC7E1B2" w14:textId="77777777" w:rsidTr="00F66F09">
        <w:trPr>
          <w:trHeight w:val="381"/>
        </w:trPr>
        <w:tc>
          <w:tcPr>
            <w:tcW w:w="9214" w:type="dxa"/>
            <w:gridSpan w:val="2"/>
            <w:vAlign w:val="center"/>
          </w:tcPr>
          <w:p w14:paraId="173094C4" w14:textId="77777777" w:rsidR="001E6FAC" w:rsidRPr="00756AEC" w:rsidRDefault="001E6FAC" w:rsidP="00225426">
            <w:pPr>
              <w:pStyle w:val="naisnod"/>
              <w:spacing w:before="0" w:beforeAutospacing="0" w:after="0" w:afterAutospacing="0"/>
              <w:ind w:left="57" w:right="57"/>
              <w:jc w:val="center"/>
              <w:rPr>
                <w:sz w:val="25"/>
                <w:szCs w:val="25"/>
                <w:lang w:val="lv-LV"/>
              </w:rPr>
            </w:pPr>
            <w:r w:rsidRPr="00756AEC">
              <w:rPr>
                <w:b/>
                <w:sz w:val="25"/>
                <w:szCs w:val="25"/>
                <w:lang w:val="lv-LV"/>
              </w:rPr>
              <w:t>VII. Tiesību akta projekta izpildes nodrošināšana un tās ietekme uz institūcijām</w:t>
            </w:r>
          </w:p>
        </w:tc>
      </w:tr>
      <w:tr w:rsidR="00E34378" w:rsidRPr="00756AEC" w14:paraId="42F63FFF" w14:textId="77777777" w:rsidTr="00204C2B">
        <w:trPr>
          <w:trHeight w:val="427"/>
        </w:trPr>
        <w:tc>
          <w:tcPr>
            <w:tcW w:w="3823" w:type="dxa"/>
            <w:vAlign w:val="center"/>
          </w:tcPr>
          <w:p w14:paraId="457B5F6B" w14:textId="076F7D44" w:rsidR="00E34378" w:rsidRPr="00756AEC" w:rsidRDefault="00E34378" w:rsidP="00E34378">
            <w:pPr>
              <w:pStyle w:val="naisnod"/>
              <w:spacing w:before="0" w:beforeAutospacing="0" w:after="0" w:afterAutospacing="0"/>
              <w:ind w:left="57" w:right="57"/>
              <w:rPr>
                <w:sz w:val="25"/>
                <w:szCs w:val="25"/>
                <w:lang w:val="lv-LV"/>
              </w:rPr>
            </w:pPr>
            <w:r w:rsidRPr="00756AEC">
              <w:rPr>
                <w:sz w:val="25"/>
                <w:szCs w:val="25"/>
                <w:lang w:val="lv-LV"/>
              </w:rPr>
              <w:t>1. Projekta izpildē iesaistītās institūcijas</w:t>
            </w:r>
          </w:p>
        </w:tc>
        <w:tc>
          <w:tcPr>
            <w:tcW w:w="5391" w:type="dxa"/>
            <w:vAlign w:val="center"/>
          </w:tcPr>
          <w:p w14:paraId="29086ACF" w14:textId="4E5CE1ED" w:rsidR="00E34378" w:rsidRPr="00756AEC" w:rsidRDefault="00E34378" w:rsidP="00FC1D8E">
            <w:pPr>
              <w:shd w:val="clear" w:color="auto" w:fill="FFFFFF"/>
              <w:spacing w:after="0" w:line="240" w:lineRule="auto"/>
              <w:jc w:val="both"/>
              <w:rPr>
                <w:rFonts w:ascii="Times New Roman" w:hAnsi="Times New Roman"/>
                <w:sz w:val="25"/>
                <w:szCs w:val="25"/>
                <w:lang w:val="lv-LV"/>
              </w:rPr>
            </w:pPr>
            <w:bookmarkStart w:id="1" w:name="p66"/>
            <w:bookmarkStart w:id="2" w:name="p67"/>
            <w:bookmarkStart w:id="3" w:name="p68"/>
            <w:bookmarkStart w:id="4" w:name="p69"/>
            <w:bookmarkEnd w:id="1"/>
            <w:bookmarkEnd w:id="2"/>
            <w:bookmarkEnd w:id="3"/>
            <w:bookmarkEnd w:id="4"/>
            <w:r w:rsidRPr="00756AEC">
              <w:rPr>
                <w:rFonts w:ascii="Times New Roman" w:hAnsi="Times New Roman"/>
                <w:sz w:val="25"/>
                <w:szCs w:val="25"/>
                <w:lang w:val="lv-LV"/>
              </w:rPr>
              <w:t xml:space="preserve">MK noteikumu projekta izpildē ir iesaistīta FM, Vides aizsardzības un reģionālās attīstības ministrija, </w:t>
            </w:r>
            <w:r w:rsidRPr="00756AEC">
              <w:rPr>
                <w:rFonts w:ascii="Times New Roman" w:hAnsi="Times New Roman"/>
                <w:color w:val="000000"/>
                <w:sz w:val="25"/>
                <w:szCs w:val="25"/>
                <w:lang w:val="lv-LV"/>
              </w:rPr>
              <w:t>Valsts reģionālās attīstības aģentūra un Valsts kase.</w:t>
            </w:r>
          </w:p>
        </w:tc>
      </w:tr>
      <w:tr w:rsidR="00E34378" w:rsidRPr="00756AEC" w14:paraId="541A8354" w14:textId="77777777" w:rsidTr="00B429A8">
        <w:trPr>
          <w:trHeight w:val="427"/>
        </w:trPr>
        <w:tc>
          <w:tcPr>
            <w:tcW w:w="3823" w:type="dxa"/>
            <w:vAlign w:val="center"/>
          </w:tcPr>
          <w:p w14:paraId="54E88160" w14:textId="438FB28B" w:rsidR="00E34378" w:rsidRPr="00756AEC" w:rsidRDefault="00E34378" w:rsidP="00E34378">
            <w:pPr>
              <w:pStyle w:val="naisnod"/>
              <w:spacing w:before="0" w:beforeAutospacing="0" w:after="0" w:afterAutospacing="0"/>
              <w:ind w:left="57" w:right="57"/>
              <w:rPr>
                <w:sz w:val="25"/>
                <w:szCs w:val="25"/>
                <w:lang w:val="lv-LV"/>
              </w:rPr>
            </w:pPr>
            <w:r w:rsidRPr="00756AEC">
              <w:rPr>
                <w:sz w:val="25"/>
                <w:szCs w:val="25"/>
                <w:lang w:val="lv-LV"/>
              </w:rPr>
              <w:t>2. Projekta izpildes ietekme uz pārvaldes funkcijām un institucionālo struktūru.</w:t>
            </w:r>
          </w:p>
          <w:p w14:paraId="6B4424CC" w14:textId="76B8209B" w:rsidR="00E34378" w:rsidRPr="00756AEC" w:rsidRDefault="00E34378" w:rsidP="00883F96">
            <w:pPr>
              <w:pStyle w:val="naisf"/>
              <w:spacing w:before="0" w:beforeAutospacing="0" w:after="0" w:afterAutospacing="0"/>
              <w:ind w:left="57" w:right="57"/>
              <w:rPr>
                <w:sz w:val="25"/>
                <w:szCs w:val="25"/>
                <w:lang w:val="lv-LV"/>
              </w:rPr>
            </w:pPr>
            <w:r w:rsidRPr="00756AEC">
              <w:rPr>
                <w:sz w:val="25"/>
                <w:szCs w:val="25"/>
                <w:lang w:val="lv-LV"/>
              </w:rPr>
              <w:t>Jaunu institūciju izveide, esošu institūciju likvidācija vai reorganizācija, to ietekme uz institūcijas cilvēkresursiem</w:t>
            </w:r>
          </w:p>
        </w:tc>
        <w:tc>
          <w:tcPr>
            <w:tcW w:w="5391" w:type="dxa"/>
            <w:vAlign w:val="center"/>
          </w:tcPr>
          <w:p w14:paraId="3044A27E" w14:textId="2E248B6C" w:rsidR="00E34378" w:rsidRPr="00756AEC" w:rsidRDefault="00BD7565" w:rsidP="00F66F09">
            <w:pPr>
              <w:shd w:val="clear" w:color="auto" w:fill="FFFFFF"/>
              <w:spacing w:after="0" w:line="240" w:lineRule="auto"/>
              <w:rPr>
                <w:rFonts w:ascii="Times New Roman" w:hAnsi="Times New Roman"/>
                <w:sz w:val="25"/>
                <w:szCs w:val="25"/>
                <w:lang w:val="lv-LV"/>
              </w:rPr>
            </w:pPr>
            <w:r w:rsidRPr="00756AEC">
              <w:rPr>
                <w:rFonts w:ascii="Times New Roman" w:hAnsi="Times New Roman"/>
                <w:sz w:val="25"/>
                <w:szCs w:val="25"/>
                <w:lang w:val="lv-LV"/>
              </w:rPr>
              <w:t>Projekts šo jomu neskar</w:t>
            </w:r>
          </w:p>
        </w:tc>
      </w:tr>
      <w:tr w:rsidR="00E34378" w:rsidRPr="00756AEC" w14:paraId="40C92145" w14:textId="77777777" w:rsidTr="00BF1B73">
        <w:trPr>
          <w:trHeight w:val="427"/>
        </w:trPr>
        <w:tc>
          <w:tcPr>
            <w:tcW w:w="3823" w:type="dxa"/>
            <w:vAlign w:val="center"/>
          </w:tcPr>
          <w:p w14:paraId="1BA93FBD" w14:textId="66978AB7" w:rsidR="00E34378" w:rsidRPr="00756AEC" w:rsidRDefault="00E34378" w:rsidP="00E34378">
            <w:pPr>
              <w:pStyle w:val="naisnod"/>
              <w:spacing w:before="0" w:beforeAutospacing="0" w:after="0" w:afterAutospacing="0"/>
              <w:ind w:left="57" w:right="57"/>
              <w:rPr>
                <w:sz w:val="25"/>
                <w:szCs w:val="25"/>
                <w:lang w:val="lv-LV"/>
              </w:rPr>
            </w:pPr>
            <w:r w:rsidRPr="00756AEC">
              <w:rPr>
                <w:sz w:val="25"/>
                <w:szCs w:val="25"/>
                <w:lang w:val="lv-LV"/>
              </w:rPr>
              <w:t>3. Cita informācija</w:t>
            </w:r>
          </w:p>
        </w:tc>
        <w:tc>
          <w:tcPr>
            <w:tcW w:w="5391" w:type="dxa"/>
            <w:vAlign w:val="center"/>
          </w:tcPr>
          <w:p w14:paraId="46FF0755" w14:textId="3C692A59" w:rsidR="00E34378" w:rsidRPr="00756AEC" w:rsidRDefault="00E34378" w:rsidP="00F66F09">
            <w:pPr>
              <w:shd w:val="clear" w:color="auto" w:fill="FFFFFF"/>
              <w:spacing w:after="0" w:line="240" w:lineRule="auto"/>
              <w:rPr>
                <w:rFonts w:ascii="Times New Roman" w:hAnsi="Times New Roman"/>
                <w:sz w:val="25"/>
                <w:szCs w:val="25"/>
                <w:lang w:val="lv-LV"/>
              </w:rPr>
            </w:pPr>
            <w:r w:rsidRPr="00756AEC">
              <w:rPr>
                <w:rFonts w:ascii="Times New Roman" w:hAnsi="Times New Roman"/>
                <w:sz w:val="25"/>
                <w:szCs w:val="25"/>
                <w:lang w:val="lv-LV"/>
              </w:rPr>
              <w:t>Nav.</w:t>
            </w:r>
          </w:p>
        </w:tc>
      </w:tr>
    </w:tbl>
    <w:p w14:paraId="5EB16E9D" w14:textId="77777777" w:rsidR="00E34378" w:rsidRPr="00756AEC" w:rsidRDefault="00E34378" w:rsidP="00E34378">
      <w:pPr>
        <w:tabs>
          <w:tab w:val="left" w:pos="720"/>
        </w:tabs>
        <w:autoSpaceDE w:val="0"/>
        <w:autoSpaceDN w:val="0"/>
        <w:adjustRightInd w:val="0"/>
        <w:spacing w:after="0" w:line="240" w:lineRule="auto"/>
        <w:ind w:left="-142"/>
        <w:rPr>
          <w:rFonts w:ascii="Times New Roman" w:hAnsi="Times New Roman"/>
          <w:sz w:val="25"/>
          <w:szCs w:val="25"/>
          <w:lang w:val="lv-LV"/>
        </w:rPr>
      </w:pPr>
    </w:p>
    <w:p w14:paraId="5C9FF703" w14:textId="77777777" w:rsidR="00E34378" w:rsidRPr="00756AEC" w:rsidRDefault="00E34378" w:rsidP="00E34378">
      <w:pPr>
        <w:tabs>
          <w:tab w:val="left" w:pos="720"/>
        </w:tabs>
        <w:autoSpaceDE w:val="0"/>
        <w:autoSpaceDN w:val="0"/>
        <w:adjustRightInd w:val="0"/>
        <w:spacing w:after="0" w:line="240" w:lineRule="auto"/>
        <w:ind w:left="-142"/>
        <w:rPr>
          <w:rFonts w:ascii="Times New Roman" w:hAnsi="Times New Roman"/>
          <w:sz w:val="25"/>
          <w:szCs w:val="25"/>
          <w:lang w:val="lv-LV"/>
        </w:rPr>
      </w:pPr>
    </w:p>
    <w:p w14:paraId="7014B5F1" w14:textId="77777777" w:rsidR="009D0A29" w:rsidRPr="00756AEC" w:rsidRDefault="009D0A29" w:rsidP="00E34378">
      <w:pPr>
        <w:tabs>
          <w:tab w:val="left" w:pos="720"/>
        </w:tabs>
        <w:autoSpaceDE w:val="0"/>
        <w:autoSpaceDN w:val="0"/>
        <w:adjustRightInd w:val="0"/>
        <w:spacing w:after="0" w:line="240" w:lineRule="auto"/>
        <w:ind w:left="-142"/>
        <w:rPr>
          <w:rFonts w:ascii="Times New Roman" w:hAnsi="Times New Roman"/>
          <w:sz w:val="25"/>
          <w:szCs w:val="25"/>
          <w:lang w:val="lv-LV"/>
        </w:rPr>
      </w:pPr>
      <w:r w:rsidRPr="00756AEC">
        <w:rPr>
          <w:rFonts w:ascii="Times New Roman" w:hAnsi="Times New Roman"/>
          <w:sz w:val="25"/>
          <w:szCs w:val="25"/>
          <w:lang w:val="lv-LV"/>
        </w:rPr>
        <w:t>Iesniedzējs:</w:t>
      </w:r>
    </w:p>
    <w:p w14:paraId="57ED5899" w14:textId="77777777" w:rsidR="00E34378" w:rsidRPr="00756AEC" w:rsidRDefault="00E34378" w:rsidP="001B46EC">
      <w:pPr>
        <w:tabs>
          <w:tab w:val="left" w:pos="8364"/>
        </w:tabs>
        <w:spacing w:after="0" w:line="240" w:lineRule="auto"/>
        <w:ind w:left="-142"/>
        <w:jc w:val="both"/>
        <w:rPr>
          <w:rFonts w:ascii="Times New Roman" w:hAnsi="Times New Roman"/>
          <w:sz w:val="25"/>
          <w:szCs w:val="25"/>
          <w:lang w:val="lv-LV"/>
        </w:rPr>
      </w:pPr>
    </w:p>
    <w:p w14:paraId="7FD40CA5" w14:textId="77777777" w:rsidR="00E34378" w:rsidRPr="00756AEC" w:rsidRDefault="00E34378" w:rsidP="001B46EC">
      <w:pPr>
        <w:tabs>
          <w:tab w:val="left" w:pos="8364"/>
        </w:tabs>
        <w:spacing w:after="0" w:line="240" w:lineRule="auto"/>
        <w:ind w:left="-142"/>
        <w:jc w:val="both"/>
        <w:rPr>
          <w:rFonts w:ascii="Times New Roman" w:hAnsi="Times New Roman"/>
          <w:sz w:val="25"/>
          <w:szCs w:val="25"/>
          <w:lang w:val="lv-LV"/>
        </w:rPr>
      </w:pPr>
    </w:p>
    <w:p w14:paraId="6594C760" w14:textId="0AC9A3DE" w:rsidR="00BA3659" w:rsidRPr="00756AEC" w:rsidRDefault="003C46E4" w:rsidP="001B46EC">
      <w:pPr>
        <w:tabs>
          <w:tab w:val="left" w:pos="8364"/>
        </w:tabs>
        <w:spacing w:after="0" w:line="240" w:lineRule="auto"/>
        <w:ind w:left="-142"/>
        <w:jc w:val="both"/>
        <w:rPr>
          <w:rFonts w:ascii="Times New Roman" w:hAnsi="Times New Roman"/>
          <w:sz w:val="25"/>
          <w:szCs w:val="25"/>
          <w:lang w:val="lv-LV"/>
        </w:rPr>
      </w:pPr>
      <w:r w:rsidRPr="00756AEC">
        <w:rPr>
          <w:rFonts w:ascii="Times New Roman" w:hAnsi="Times New Roman"/>
          <w:sz w:val="25"/>
          <w:szCs w:val="25"/>
          <w:lang w:val="lv-LV"/>
        </w:rPr>
        <w:t>Finanšu</w:t>
      </w:r>
      <w:r w:rsidR="00BA3659" w:rsidRPr="00756AEC">
        <w:rPr>
          <w:rFonts w:ascii="Times New Roman" w:hAnsi="Times New Roman"/>
          <w:sz w:val="25"/>
          <w:szCs w:val="25"/>
          <w:lang w:val="lv-LV"/>
        </w:rPr>
        <w:t xml:space="preserve"> ministr</w:t>
      </w:r>
      <w:r w:rsidR="001B46EC" w:rsidRPr="00756AEC">
        <w:rPr>
          <w:rFonts w:ascii="Times New Roman" w:hAnsi="Times New Roman"/>
          <w:sz w:val="25"/>
          <w:szCs w:val="25"/>
          <w:lang w:val="lv-LV"/>
        </w:rPr>
        <w:t xml:space="preserve">s </w:t>
      </w:r>
      <w:r w:rsidR="001B46EC" w:rsidRPr="00756AEC">
        <w:rPr>
          <w:rFonts w:ascii="Times New Roman" w:hAnsi="Times New Roman"/>
          <w:sz w:val="25"/>
          <w:szCs w:val="25"/>
          <w:lang w:val="lv-LV"/>
        </w:rPr>
        <w:tab/>
      </w:r>
      <w:proofErr w:type="spellStart"/>
      <w:r w:rsidR="001B46EC" w:rsidRPr="00756AEC">
        <w:rPr>
          <w:rFonts w:ascii="Times New Roman" w:hAnsi="Times New Roman"/>
          <w:sz w:val="25"/>
          <w:szCs w:val="25"/>
          <w:lang w:val="lv-LV"/>
        </w:rPr>
        <w:t>J.Reirs</w:t>
      </w:r>
      <w:proofErr w:type="spellEnd"/>
    </w:p>
    <w:p w14:paraId="17B18C36" w14:textId="77777777" w:rsidR="00BA3659" w:rsidRPr="00756AEC" w:rsidRDefault="00BA3659" w:rsidP="00BA3659">
      <w:pPr>
        <w:spacing w:after="0" w:line="240" w:lineRule="auto"/>
        <w:jc w:val="both"/>
        <w:rPr>
          <w:rFonts w:ascii="Times New Roman" w:hAnsi="Times New Roman"/>
          <w:color w:val="000000"/>
          <w:sz w:val="25"/>
          <w:szCs w:val="25"/>
          <w:lang w:val="lv-LV"/>
        </w:rPr>
      </w:pPr>
    </w:p>
    <w:p w14:paraId="0A416992" w14:textId="77777777" w:rsidR="00EE3C39" w:rsidRDefault="00EE3C39">
      <w:pPr>
        <w:spacing w:after="0" w:line="240" w:lineRule="auto"/>
        <w:jc w:val="both"/>
        <w:rPr>
          <w:rFonts w:ascii="Times New Roman" w:hAnsi="Times New Roman"/>
          <w:color w:val="000000"/>
          <w:sz w:val="25"/>
          <w:szCs w:val="25"/>
          <w:lang w:val="lv-LV"/>
        </w:rPr>
      </w:pPr>
    </w:p>
    <w:p w14:paraId="3A320E7B" w14:textId="77777777" w:rsidR="009551E3" w:rsidRPr="00756AEC" w:rsidRDefault="009551E3">
      <w:pPr>
        <w:spacing w:after="0" w:line="240" w:lineRule="auto"/>
        <w:jc w:val="both"/>
        <w:rPr>
          <w:rFonts w:ascii="Times New Roman" w:hAnsi="Times New Roman"/>
          <w:color w:val="000000"/>
          <w:sz w:val="25"/>
          <w:szCs w:val="25"/>
          <w:lang w:val="lv-LV"/>
        </w:rPr>
      </w:pPr>
    </w:p>
    <w:p w14:paraId="3463A657" w14:textId="6723742A" w:rsidR="004E7BC4" w:rsidRPr="00756AEC" w:rsidRDefault="00BA3659" w:rsidP="00756AEC">
      <w:pPr>
        <w:tabs>
          <w:tab w:val="right" w:pos="9071"/>
        </w:tabs>
        <w:spacing w:after="0" w:line="240" w:lineRule="auto"/>
        <w:ind w:left="-142"/>
        <w:jc w:val="both"/>
        <w:rPr>
          <w:rFonts w:ascii="Times New Roman" w:hAnsi="Times New Roman"/>
          <w:color w:val="000000"/>
          <w:sz w:val="25"/>
          <w:szCs w:val="25"/>
          <w:lang w:val="lv-LV"/>
        </w:rPr>
      </w:pPr>
      <w:r w:rsidRPr="00756AEC">
        <w:rPr>
          <w:rFonts w:ascii="Times New Roman" w:hAnsi="Times New Roman"/>
          <w:color w:val="000000"/>
          <w:sz w:val="25"/>
          <w:szCs w:val="25"/>
          <w:lang w:val="lv-LV"/>
        </w:rPr>
        <w:t>Vīza: Valsts sekretār</w:t>
      </w:r>
      <w:r w:rsidR="003C46E4" w:rsidRPr="00756AEC">
        <w:rPr>
          <w:rFonts w:ascii="Times New Roman" w:hAnsi="Times New Roman"/>
          <w:color w:val="000000"/>
          <w:sz w:val="25"/>
          <w:szCs w:val="25"/>
          <w:lang w:val="lv-LV"/>
        </w:rPr>
        <w:t>e</w:t>
      </w:r>
      <w:r w:rsidR="00756AEC">
        <w:rPr>
          <w:rFonts w:ascii="Times New Roman" w:hAnsi="Times New Roman"/>
          <w:color w:val="000000"/>
          <w:sz w:val="25"/>
          <w:szCs w:val="25"/>
          <w:lang w:val="lv-LV"/>
        </w:rPr>
        <w:tab/>
      </w:r>
      <w:proofErr w:type="spellStart"/>
      <w:r w:rsidR="00756AEC">
        <w:rPr>
          <w:rFonts w:ascii="Times New Roman" w:hAnsi="Times New Roman"/>
          <w:color w:val="000000"/>
          <w:sz w:val="25"/>
          <w:szCs w:val="25"/>
          <w:lang w:val="lv-LV"/>
        </w:rPr>
        <w:t>B.Bāne</w:t>
      </w:r>
      <w:proofErr w:type="spellEnd"/>
    </w:p>
    <w:p w14:paraId="21066E71" w14:textId="77777777" w:rsidR="00371BFE" w:rsidRPr="00756AEC" w:rsidRDefault="00371BFE" w:rsidP="00553D47">
      <w:pPr>
        <w:spacing w:after="0" w:line="240" w:lineRule="auto"/>
        <w:ind w:left="-142"/>
        <w:jc w:val="both"/>
        <w:rPr>
          <w:rFonts w:ascii="Times New Roman" w:eastAsia="Times New Roman" w:hAnsi="Times New Roman" w:cs="Times New Roman"/>
          <w:sz w:val="20"/>
          <w:szCs w:val="25"/>
          <w:lang w:val="lv-LV"/>
        </w:rPr>
      </w:pPr>
    </w:p>
    <w:p w14:paraId="52F8F532" w14:textId="77777777" w:rsidR="00E42E7C" w:rsidRPr="00756AEC" w:rsidRDefault="00E42E7C" w:rsidP="00553D47">
      <w:pPr>
        <w:spacing w:after="0" w:line="240" w:lineRule="auto"/>
        <w:ind w:left="-142"/>
        <w:jc w:val="both"/>
        <w:rPr>
          <w:rFonts w:ascii="Times New Roman" w:eastAsia="Times New Roman" w:hAnsi="Times New Roman" w:cs="Times New Roman"/>
          <w:sz w:val="20"/>
          <w:szCs w:val="25"/>
          <w:lang w:val="lv-LV"/>
        </w:rPr>
      </w:pPr>
    </w:p>
    <w:p w14:paraId="33E359C1" w14:textId="77777777" w:rsidR="00E42E7C" w:rsidRPr="00756AEC" w:rsidRDefault="00E42E7C" w:rsidP="00553D47">
      <w:pPr>
        <w:spacing w:after="0" w:line="240" w:lineRule="auto"/>
        <w:ind w:left="-142"/>
        <w:jc w:val="both"/>
        <w:rPr>
          <w:rFonts w:ascii="Times New Roman" w:eastAsia="Times New Roman" w:hAnsi="Times New Roman" w:cs="Times New Roman"/>
          <w:sz w:val="20"/>
          <w:szCs w:val="25"/>
          <w:lang w:val="lv-LV"/>
        </w:rPr>
      </w:pPr>
    </w:p>
    <w:p w14:paraId="4952EF1D" w14:textId="4FD384BF" w:rsidR="00553D47" w:rsidRPr="00756AEC" w:rsidRDefault="00E42E7C" w:rsidP="00553D47">
      <w:pPr>
        <w:spacing w:after="0" w:line="240" w:lineRule="auto"/>
        <w:ind w:left="-142"/>
        <w:jc w:val="both"/>
        <w:rPr>
          <w:rFonts w:ascii="Times New Roman" w:eastAsia="Times New Roman" w:hAnsi="Times New Roman" w:cs="Times New Roman"/>
          <w:sz w:val="20"/>
          <w:szCs w:val="25"/>
          <w:lang w:val="lv-LV"/>
        </w:rPr>
      </w:pPr>
      <w:r w:rsidRPr="00756AEC">
        <w:rPr>
          <w:rFonts w:ascii="Times New Roman" w:eastAsia="Times New Roman" w:hAnsi="Times New Roman" w:cs="Times New Roman"/>
          <w:sz w:val="20"/>
          <w:szCs w:val="25"/>
          <w:lang w:val="lv-LV"/>
        </w:rPr>
        <w:t>13</w:t>
      </w:r>
      <w:r w:rsidR="00553D47" w:rsidRPr="00756AEC">
        <w:rPr>
          <w:rFonts w:ascii="Times New Roman" w:eastAsia="Times New Roman" w:hAnsi="Times New Roman" w:cs="Times New Roman"/>
          <w:sz w:val="20"/>
          <w:szCs w:val="25"/>
          <w:lang w:val="lv-LV"/>
        </w:rPr>
        <w:t>.</w:t>
      </w:r>
      <w:r w:rsidRPr="00756AEC">
        <w:rPr>
          <w:rFonts w:ascii="Times New Roman" w:eastAsia="Times New Roman" w:hAnsi="Times New Roman" w:cs="Times New Roman"/>
          <w:sz w:val="20"/>
          <w:szCs w:val="25"/>
          <w:lang w:val="lv-LV"/>
        </w:rPr>
        <w:t>01</w:t>
      </w:r>
      <w:r w:rsidR="00553D47" w:rsidRPr="00756AEC">
        <w:rPr>
          <w:rFonts w:ascii="Times New Roman" w:eastAsia="Times New Roman" w:hAnsi="Times New Roman" w:cs="Times New Roman"/>
          <w:sz w:val="20"/>
          <w:szCs w:val="25"/>
          <w:lang w:val="lv-LV"/>
        </w:rPr>
        <w:t>.201</w:t>
      </w:r>
      <w:r w:rsidRPr="00756AEC">
        <w:rPr>
          <w:rFonts w:ascii="Times New Roman" w:eastAsia="Times New Roman" w:hAnsi="Times New Roman" w:cs="Times New Roman"/>
          <w:sz w:val="20"/>
          <w:szCs w:val="25"/>
          <w:lang w:val="lv-LV"/>
        </w:rPr>
        <w:t>5</w:t>
      </w:r>
      <w:r w:rsidR="00553D47" w:rsidRPr="00756AEC">
        <w:rPr>
          <w:rFonts w:ascii="Times New Roman" w:eastAsia="Times New Roman" w:hAnsi="Times New Roman" w:cs="Times New Roman"/>
          <w:sz w:val="20"/>
          <w:szCs w:val="25"/>
          <w:lang w:val="lv-LV"/>
        </w:rPr>
        <w:t xml:space="preserve"> </w:t>
      </w:r>
      <w:r w:rsidR="000A3A42" w:rsidRPr="00756AEC">
        <w:rPr>
          <w:rFonts w:ascii="Times New Roman" w:eastAsia="Times New Roman" w:hAnsi="Times New Roman" w:cs="Times New Roman"/>
          <w:sz w:val="20"/>
          <w:szCs w:val="25"/>
          <w:lang w:val="lv-LV"/>
        </w:rPr>
        <w:t>1</w:t>
      </w:r>
      <w:r w:rsidRPr="00756AEC">
        <w:rPr>
          <w:rFonts w:ascii="Times New Roman" w:eastAsia="Times New Roman" w:hAnsi="Times New Roman" w:cs="Times New Roman"/>
          <w:sz w:val="20"/>
          <w:szCs w:val="25"/>
          <w:lang w:val="lv-LV"/>
        </w:rPr>
        <w:t>0</w:t>
      </w:r>
      <w:r w:rsidR="000A3A42" w:rsidRPr="00756AEC">
        <w:rPr>
          <w:rFonts w:ascii="Times New Roman" w:eastAsia="Times New Roman" w:hAnsi="Times New Roman" w:cs="Times New Roman"/>
          <w:sz w:val="20"/>
          <w:szCs w:val="25"/>
          <w:lang w:val="lv-LV"/>
        </w:rPr>
        <w:t>:</w:t>
      </w:r>
      <w:r w:rsidR="00E35ABA" w:rsidRPr="00756AEC">
        <w:rPr>
          <w:rFonts w:ascii="Times New Roman" w:eastAsia="Times New Roman" w:hAnsi="Times New Roman" w:cs="Times New Roman"/>
          <w:sz w:val="20"/>
          <w:szCs w:val="25"/>
          <w:lang w:val="lv-LV"/>
        </w:rPr>
        <w:t>1</w:t>
      </w:r>
      <w:r w:rsidR="000F5D57" w:rsidRPr="00756AEC">
        <w:rPr>
          <w:rFonts w:ascii="Times New Roman" w:eastAsia="Times New Roman" w:hAnsi="Times New Roman" w:cs="Times New Roman"/>
          <w:sz w:val="20"/>
          <w:szCs w:val="25"/>
          <w:lang w:val="lv-LV"/>
        </w:rPr>
        <w:t>0</w:t>
      </w:r>
    </w:p>
    <w:p w14:paraId="0DAC0860" w14:textId="01555833" w:rsidR="00553D47" w:rsidRPr="00756AEC" w:rsidRDefault="00DA6AB6" w:rsidP="00553D47">
      <w:pPr>
        <w:spacing w:after="0" w:line="240" w:lineRule="auto"/>
        <w:ind w:left="-142"/>
        <w:jc w:val="both"/>
        <w:rPr>
          <w:rFonts w:ascii="Times New Roman" w:eastAsia="Times New Roman" w:hAnsi="Times New Roman" w:cs="Times New Roman"/>
          <w:sz w:val="20"/>
          <w:szCs w:val="25"/>
          <w:lang w:val="lv-LV"/>
        </w:rPr>
      </w:pPr>
      <w:r w:rsidRPr="00756AEC">
        <w:rPr>
          <w:rFonts w:ascii="Times New Roman" w:eastAsia="Times New Roman" w:hAnsi="Times New Roman" w:cs="Times New Roman"/>
          <w:sz w:val="20"/>
          <w:szCs w:val="25"/>
          <w:lang w:val="lv-LV"/>
        </w:rPr>
        <w:t>1</w:t>
      </w:r>
      <w:r w:rsidR="00756AEC">
        <w:rPr>
          <w:rFonts w:ascii="Times New Roman" w:eastAsia="Times New Roman" w:hAnsi="Times New Roman" w:cs="Times New Roman"/>
          <w:sz w:val="20"/>
          <w:szCs w:val="25"/>
          <w:lang w:val="lv-LV"/>
        </w:rPr>
        <w:t>810</w:t>
      </w:r>
    </w:p>
    <w:p w14:paraId="1BCA0060" w14:textId="2E7E63D2" w:rsidR="00553D47" w:rsidRPr="00756AEC" w:rsidRDefault="0085084E" w:rsidP="00553D47">
      <w:pPr>
        <w:spacing w:after="0" w:line="240" w:lineRule="auto"/>
        <w:ind w:left="-142"/>
        <w:jc w:val="both"/>
        <w:rPr>
          <w:rFonts w:ascii="Times New Roman" w:eastAsia="Times New Roman" w:hAnsi="Times New Roman" w:cs="Times New Roman"/>
          <w:sz w:val="20"/>
          <w:szCs w:val="25"/>
          <w:lang w:val="lv-LV"/>
        </w:rPr>
      </w:pPr>
      <w:r w:rsidRPr="00756AEC">
        <w:rPr>
          <w:rFonts w:ascii="Times New Roman" w:eastAsia="Times New Roman" w:hAnsi="Times New Roman" w:cs="Times New Roman"/>
          <w:sz w:val="20"/>
          <w:szCs w:val="25"/>
          <w:lang w:val="lv-LV"/>
        </w:rPr>
        <w:t>Andrejs Zamb</w:t>
      </w:r>
      <w:r w:rsidR="00B01144" w:rsidRPr="00756AEC">
        <w:rPr>
          <w:rFonts w:ascii="Times New Roman" w:eastAsia="Times New Roman" w:hAnsi="Times New Roman" w:cs="Times New Roman"/>
          <w:sz w:val="20"/>
          <w:szCs w:val="25"/>
          <w:lang w:val="lv-LV"/>
        </w:rPr>
        <w:t>ž</w:t>
      </w:r>
      <w:r w:rsidRPr="00756AEC">
        <w:rPr>
          <w:rFonts w:ascii="Times New Roman" w:eastAsia="Times New Roman" w:hAnsi="Times New Roman" w:cs="Times New Roman"/>
          <w:sz w:val="20"/>
          <w:szCs w:val="25"/>
          <w:lang w:val="lv-LV"/>
        </w:rPr>
        <w:t>etskis</w:t>
      </w:r>
    </w:p>
    <w:p w14:paraId="2F7D30E0" w14:textId="77777777" w:rsidR="00553D47" w:rsidRPr="00756AEC" w:rsidRDefault="00553D47" w:rsidP="00553D47">
      <w:pPr>
        <w:spacing w:after="0" w:line="240" w:lineRule="auto"/>
        <w:ind w:left="-142"/>
        <w:jc w:val="both"/>
        <w:rPr>
          <w:rFonts w:ascii="Times New Roman" w:eastAsia="Times New Roman" w:hAnsi="Times New Roman" w:cs="Times New Roman"/>
          <w:sz w:val="20"/>
          <w:szCs w:val="25"/>
          <w:lang w:val="lv-LV"/>
        </w:rPr>
      </w:pPr>
      <w:r w:rsidRPr="00756AEC">
        <w:rPr>
          <w:rFonts w:ascii="Times New Roman" w:eastAsia="Times New Roman" w:hAnsi="Times New Roman" w:cs="Times New Roman"/>
          <w:sz w:val="20"/>
          <w:szCs w:val="25"/>
          <w:lang w:val="lv-LV"/>
        </w:rPr>
        <w:t>Finanšu ministrijas</w:t>
      </w:r>
    </w:p>
    <w:p w14:paraId="70C8DE95" w14:textId="77777777" w:rsidR="00553D47" w:rsidRPr="00756AEC" w:rsidRDefault="00553D47" w:rsidP="00553D47">
      <w:pPr>
        <w:spacing w:after="0" w:line="240" w:lineRule="auto"/>
        <w:ind w:left="-142"/>
        <w:jc w:val="both"/>
        <w:rPr>
          <w:rFonts w:ascii="Times New Roman" w:eastAsia="Times New Roman" w:hAnsi="Times New Roman" w:cs="Times New Roman"/>
          <w:sz w:val="20"/>
          <w:szCs w:val="25"/>
          <w:lang w:val="lv-LV"/>
        </w:rPr>
      </w:pPr>
      <w:r w:rsidRPr="00756AEC">
        <w:rPr>
          <w:rFonts w:ascii="Times New Roman" w:eastAsia="Times New Roman" w:hAnsi="Times New Roman" w:cs="Times New Roman"/>
          <w:sz w:val="20"/>
          <w:szCs w:val="25"/>
          <w:lang w:val="lv-LV"/>
        </w:rPr>
        <w:t>Eiropas Savienības fondu stratēģijas departamenta</w:t>
      </w:r>
    </w:p>
    <w:p w14:paraId="650FF8D5" w14:textId="77777777" w:rsidR="00553D47" w:rsidRPr="00756AEC" w:rsidRDefault="00553D47" w:rsidP="00553D47">
      <w:pPr>
        <w:spacing w:after="0" w:line="240" w:lineRule="auto"/>
        <w:ind w:left="-142"/>
        <w:jc w:val="both"/>
        <w:rPr>
          <w:rFonts w:ascii="Times New Roman" w:eastAsia="Times New Roman" w:hAnsi="Times New Roman" w:cs="Times New Roman"/>
          <w:sz w:val="20"/>
          <w:szCs w:val="25"/>
          <w:lang w:val="lv-LV"/>
        </w:rPr>
      </w:pPr>
      <w:r w:rsidRPr="00756AEC">
        <w:rPr>
          <w:rFonts w:ascii="Times New Roman" w:eastAsia="Times New Roman" w:hAnsi="Times New Roman" w:cs="Times New Roman"/>
          <w:sz w:val="20"/>
          <w:szCs w:val="25"/>
          <w:lang w:val="lv-LV"/>
        </w:rPr>
        <w:t>Uzņēmējdarbības un inovāciju plānošanas nodaļas</w:t>
      </w:r>
    </w:p>
    <w:p w14:paraId="30C9E337" w14:textId="77777777" w:rsidR="00553D47" w:rsidRPr="00756AEC" w:rsidRDefault="00553D47" w:rsidP="00553D47">
      <w:pPr>
        <w:spacing w:after="0" w:line="240" w:lineRule="auto"/>
        <w:ind w:left="-142"/>
        <w:jc w:val="both"/>
        <w:rPr>
          <w:rFonts w:ascii="Times New Roman" w:eastAsia="Times New Roman" w:hAnsi="Times New Roman" w:cs="Times New Roman"/>
          <w:sz w:val="20"/>
          <w:szCs w:val="25"/>
          <w:lang w:val="lv-LV"/>
        </w:rPr>
      </w:pPr>
      <w:r w:rsidRPr="00756AEC">
        <w:rPr>
          <w:rFonts w:ascii="Times New Roman" w:eastAsia="Times New Roman" w:hAnsi="Times New Roman" w:cs="Times New Roman"/>
          <w:sz w:val="20"/>
          <w:szCs w:val="25"/>
          <w:lang w:val="lv-LV"/>
        </w:rPr>
        <w:t>vecākais eksperts</w:t>
      </w:r>
    </w:p>
    <w:p w14:paraId="4C1E74AB" w14:textId="5C45446C" w:rsidR="00553D47" w:rsidRPr="00756AEC" w:rsidRDefault="00553D47" w:rsidP="00553D47">
      <w:pPr>
        <w:spacing w:after="0" w:line="240" w:lineRule="auto"/>
        <w:ind w:left="-142"/>
        <w:jc w:val="both"/>
        <w:rPr>
          <w:rFonts w:ascii="Times New Roman" w:eastAsia="Times New Roman" w:hAnsi="Times New Roman" w:cs="Times New Roman"/>
          <w:sz w:val="20"/>
          <w:szCs w:val="25"/>
          <w:lang w:val="lv-LV"/>
        </w:rPr>
      </w:pPr>
      <w:r w:rsidRPr="00756AEC">
        <w:rPr>
          <w:rFonts w:ascii="Times New Roman" w:eastAsia="Times New Roman" w:hAnsi="Times New Roman" w:cs="Times New Roman"/>
          <w:sz w:val="20"/>
          <w:szCs w:val="25"/>
          <w:lang w:val="lv-LV"/>
        </w:rPr>
        <w:t>tālr. 670</w:t>
      </w:r>
      <w:r w:rsidR="0085084E" w:rsidRPr="00756AEC">
        <w:rPr>
          <w:rFonts w:ascii="Times New Roman" w:eastAsia="Times New Roman" w:hAnsi="Times New Roman" w:cs="Times New Roman"/>
          <w:sz w:val="20"/>
          <w:szCs w:val="25"/>
          <w:lang w:val="lv-LV"/>
        </w:rPr>
        <w:t>83944</w:t>
      </w:r>
      <w:r w:rsidRPr="00756AEC">
        <w:rPr>
          <w:rFonts w:ascii="Times New Roman" w:eastAsia="Times New Roman" w:hAnsi="Times New Roman" w:cs="Times New Roman"/>
          <w:sz w:val="20"/>
          <w:szCs w:val="25"/>
          <w:lang w:val="lv-LV"/>
        </w:rPr>
        <w:t xml:space="preserve">, </w:t>
      </w:r>
    </w:p>
    <w:p w14:paraId="410C24C9" w14:textId="131149FC" w:rsidR="00D40CFC" w:rsidRPr="00764CED" w:rsidRDefault="0085084E" w:rsidP="00553D47">
      <w:pPr>
        <w:widowControl w:val="0"/>
        <w:spacing w:after="0" w:line="240" w:lineRule="auto"/>
        <w:ind w:left="-142"/>
        <w:jc w:val="both"/>
        <w:rPr>
          <w:rFonts w:ascii="Times New Roman" w:hAnsi="Times New Roman"/>
          <w:sz w:val="20"/>
          <w:szCs w:val="25"/>
          <w:lang w:val="lv-LV"/>
        </w:rPr>
      </w:pPr>
      <w:r w:rsidRPr="00756AEC">
        <w:rPr>
          <w:rFonts w:ascii="Times New Roman" w:eastAsia="Times New Roman" w:hAnsi="Times New Roman" w:cs="Times New Roman"/>
          <w:sz w:val="20"/>
          <w:szCs w:val="25"/>
          <w:lang w:val="lv-LV"/>
        </w:rPr>
        <w:t>Andrejs.Zambzetskis</w:t>
      </w:r>
      <w:r w:rsidR="00553D47" w:rsidRPr="00756AEC">
        <w:rPr>
          <w:rFonts w:ascii="Times New Roman" w:eastAsia="Times New Roman" w:hAnsi="Times New Roman" w:cs="Times New Roman"/>
          <w:sz w:val="20"/>
          <w:szCs w:val="25"/>
          <w:lang w:val="lv-LV"/>
        </w:rPr>
        <w:t>@fm.gov.lv</w:t>
      </w:r>
    </w:p>
    <w:sectPr w:rsidR="00D40CFC" w:rsidRPr="00764CED" w:rsidSect="00D40CFC">
      <w:footerReference w:type="default" r:id="rId8"/>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21CA" w14:textId="77777777" w:rsidR="003D110D" w:rsidRDefault="003D110D" w:rsidP="002A617A">
      <w:pPr>
        <w:spacing w:after="0" w:line="240" w:lineRule="auto"/>
      </w:pPr>
      <w:r>
        <w:separator/>
      </w:r>
    </w:p>
  </w:endnote>
  <w:endnote w:type="continuationSeparator" w:id="0">
    <w:p w14:paraId="223E440A" w14:textId="77777777" w:rsidR="003D110D" w:rsidRDefault="003D110D" w:rsidP="002A617A">
      <w:pPr>
        <w:spacing w:after="0" w:line="240" w:lineRule="auto"/>
      </w:pPr>
      <w:r>
        <w:continuationSeparator/>
      </w:r>
    </w:p>
  </w:endnote>
  <w:endnote w:type="continuationNotice" w:id="1">
    <w:p w14:paraId="268059B1" w14:textId="77777777" w:rsidR="003D110D" w:rsidRDefault="003D1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A215A" w14:textId="378AC579" w:rsidR="003D110D" w:rsidRPr="002A76B5" w:rsidRDefault="003D110D" w:rsidP="00F66F09">
    <w:pPr>
      <w:spacing w:after="0" w:line="240" w:lineRule="auto"/>
      <w:ind w:left="-142"/>
      <w:jc w:val="both"/>
      <w:outlineLvl w:val="0"/>
      <w:rPr>
        <w:rFonts w:ascii="Times New Roman" w:hAnsi="Times New Roman" w:cs="Times New Roman"/>
        <w:sz w:val="20"/>
        <w:szCs w:val="20"/>
      </w:rPr>
    </w:pPr>
    <w:r w:rsidRPr="002A76B5">
      <w:rPr>
        <w:rFonts w:ascii="Times New Roman" w:hAnsi="Times New Roman" w:cs="Times New Roman"/>
        <w:sz w:val="20"/>
        <w:szCs w:val="20"/>
      </w:rPr>
      <w:fldChar w:fldCharType="begin"/>
    </w:r>
    <w:r w:rsidRPr="002A76B5">
      <w:rPr>
        <w:rFonts w:ascii="Times New Roman" w:hAnsi="Times New Roman" w:cs="Times New Roman"/>
        <w:sz w:val="20"/>
        <w:szCs w:val="20"/>
      </w:rPr>
      <w:instrText xml:space="preserve"> FILENAME   \* MERGEFORMAT </w:instrText>
    </w:r>
    <w:r w:rsidRPr="002A76B5">
      <w:rPr>
        <w:rFonts w:ascii="Times New Roman" w:hAnsi="Times New Roman" w:cs="Times New Roman"/>
        <w:sz w:val="20"/>
        <w:szCs w:val="20"/>
      </w:rPr>
      <w:fldChar w:fldCharType="separate"/>
    </w:r>
    <w:r w:rsidR="00E42E7C">
      <w:rPr>
        <w:rFonts w:ascii="Times New Roman" w:hAnsi="Times New Roman" w:cs="Times New Roman"/>
        <w:noProof/>
        <w:sz w:val="20"/>
        <w:szCs w:val="20"/>
      </w:rPr>
      <w:t>FMAnot_23223_1301</w:t>
    </w:r>
    <w:r w:rsidRPr="002A76B5">
      <w:rPr>
        <w:rFonts w:ascii="Times New Roman" w:hAnsi="Times New Roman" w:cs="Times New Roman"/>
        <w:noProof/>
        <w:sz w:val="20"/>
        <w:szCs w:val="20"/>
      </w:rPr>
      <w:fldChar w:fldCharType="end"/>
    </w:r>
    <w:r w:rsidR="00E42E7C">
      <w:rPr>
        <w:rFonts w:ascii="Times New Roman" w:hAnsi="Times New Roman" w:cs="Times New Roman"/>
        <w:noProof/>
        <w:sz w:val="20"/>
        <w:szCs w:val="20"/>
      </w:rPr>
      <w:t>15</w:t>
    </w:r>
    <w:r w:rsidRPr="002A76B5">
      <w:rPr>
        <w:rFonts w:ascii="Times New Roman" w:hAnsi="Times New Roman" w:cs="Times New Roman"/>
        <w:sz w:val="20"/>
        <w:szCs w:val="20"/>
      </w:rPr>
      <w:t>;</w:t>
    </w:r>
    <w:r w:rsidRPr="00396E9E">
      <w:rPr>
        <w:rFonts w:ascii="Times New Roman" w:eastAsia="Calibri" w:hAnsi="Times New Roman" w:cs="Times New Roman"/>
        <w:sz w:val="20"/>
        <w:szCs w:val="20"/>
        <w:lang w:val="en-AU"/>
      </w:rPr>
      <w:t xml:space="preserve"> </w:t>
    </w:r>
    <w:r w:rsidRPr="00C74056">
      <w:rPr>
        <w:rFonts w:ascii="Times New Roman" w:hAnsi="Times New Roman" w:cs="Times New Roman"/>
        <w:sz w:val="20"/>
        <w:szCs w:val="20"/>
        <w:lang w:val="lv-LV" w:eastAsia="lv-LV"/>
      </w:rPr>
      <w:t>Mini</w:t>
    </w:r>
    <w:r>
      <w:rPr>
        <w:rFonts w:ascii="Times New Roman" w:hAnsi="Times New Roman" w:cs="Times New Roman"/>
        <w:sz w:val="20"/>
        <w:szCs w:val="20"/>
        <w:lang w:val="lv-LV" w:eastAsia="lv-LV"/>
      </w:rPr>
      <w:t>stru kabine</w:t>
    </w:r>
    <w:r w:rsidR="0029262D">
      <w:rPr>
        <w:rFonts w:ascii="Times New Roman" w:hAnsi="Times New Roman" w:cs="Times New Roman"/>
        <w:sz w:val="20"/>
        <w:szCs w:val="20"/>
        <w:lang w:val="lv-LV" w:eastAsia="lv-LV"/>
      </w:rPr>
      <w:t>ta noteikumu projekta „Grozījums</w:t>
    </w:r>
    <w:r w:rsidRPr="00C74056">
      <w:rPr>
        <w:rFonts w:ascii="Times New Roman" w:hAnsi="Times New Roman" w:cs="Times New Roman"/>
        <w:sz w:val="20"/>
        <w:szCs w:val="20"/>
        <w:lang w:val="lv-LV" w:eastAsia="lv-LV"/>
      </w:rPr>
      <w:t xml:space="preserve"> Ministru kabineta 2014.gada 10.novembra noteikumos Nr.700 “Noteikumi par darbības programmas “Uzņēmējdarbība un inovācijas” papildinājuma 2.3.2.2.aktivitātes “Atbalsts ieguldījumiem mikro, maziem un vidējiem komersantiem” 2.3.2.2.3.apakšaktivitāti “Atbalsts ieguldījumiem infrastruktūrā uzņēmējdarbības attīstībai”””</w:t>
    </w:r>
    <w:r>
      <w:rPr>
        <w:rFonts w:ascii="Times New Roman" w:hAnsi="Times New Roman" w:cs="Times New Roman"/>
        <w:sz w:val="20"/>
        <w:szCs w:val="20"/>
        <w:lang w:val="lv-LV" w:eastAsia="lv-LV"/>
      </w:rPr>
      <w:t xml:space="preserve"> </w:t>
    </w:r>
    <w:r w:rsidRPr="00972446">
      <w:rPr>
        <w:rFonts w:ascii="Times New Roman" w:eastAsia="Times New Roman" w:hAnsi="Times New Roman" w:cs="Times New Roman"/>
        <w:sz w:val="20"/>
        <w:szCs w:val="20"/>
        <w:lang w:val="lv-LV"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83BA0" w14:textId="77777777" w:rsidR="003D110D" w:rsidRDefault="003D110D" w:rsidP="002A617A">
      <w:pPr>
        <w:spacing w:after="0" w:line="240" w:lineRule="auto"/>
      </w:pPr>
      <w:r>
        <w:separator/>
      </w:r>
    </w:p>
  </w:footnote>
  <w:footnote w:type="continuationSeparator" w:id="0">
    <w:p w14:paraId="3214B34D" w14:textId="77777777" w:rsidR="003D110D" w:rsidRDefault="003D110D" w:rsidP="002A617A">
      <w:pPr>
        <w:spacing w:after="0" w:line="240" w:lineRule="auto"/>
      </w:pPr>
      <w:r>
        <w:continuationSeparator/>
      </w:r>
    </w:p>
  </w:footnote>
  <w:footnote w:type="continuationNotice" w:id="1">
    <w:p w14:paraId="359807F9" w14:textId="77777777" w:rsidR="003D110D" w:rsidRDefault="003D11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53F73"/>
    <w:multiLevelType w:val="hybridMultilevel"/>
    <w:tmpl w:val="F530C0EC"/>
    <w:lvl w:ilvl="0" w:tplc="D69EE388">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E71DA3"/>
    <w:multiLevelType w:val="hybridMultilevel"/>
    <w:tmpl w:val="41D2A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2643C8"/>
    <w:multiLevelType w:val="hybridMultilevel"/>
    <w:tmpl w:val="3168C74C"/>
    <w:lvl w:ilvl="0" w:tplc="4F9A28C8">
      <w:start w:val="1"/>
      <w:numFmt w:val="decimal"/>
      <w:lvlText w:val="%1."/>
      <w:lvlJc w:val="left"/>
      <w:pPr>
        <w:ind w:left="720" w:hanging="360"/>
      </w:pPr>
      <w:rPr>
        <w:sz w:val="28"/>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B17464"/>
    <w:multiLevelType w:val="multilevel"/>
    <w:tmpl w:val="241A3C34"/>
    <w:lvl w:ilvl="0">
      <w:start w:val="1"/>
      <w:numFmt w:val="decimal"/>
      <w:lvlText w:val="%1."/>
      <w:lvlJc w:val="left"/>
      <w:pPr>
        <w:ind w:left="360" w:hanging="360"/>
      </w:pPr>
      <w:rPr>
        <w:rFonts w:ascii="Times New Roman" w:hAnsi="Times New Roman" w:cs="Times New Roman" w:hint="default"/>
        <w:sz w:val="24"/>
        <w:szCs w:val="28"/>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DA75F2"/>
    <w:multiLevelType w:val="hybridMultilevel"/>
    <w:tmpl w:val="2D6CEE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C76B51"/>
    <w:multiLevelType w:val="multilevel"/>
    <w:tmpl w:val="241A3C34"/>
    <w:lvl w:ilvl="0">
      <w:start w:val="1"/>
      <w:numFmt w:val="decimal"/>
      <w:lvlText w:val="%1."/>
      <w:lvlJc w:val="left"/>
      <w:pPr>
        <w:ind w:left="360" w:hanging="360"/>
      </w:pPr>
      <w:rPr>
        <w:rFonts w:ascii="Times New Roman" w:hAnsi="Times New Roman" w:cs="Times New Roman" w:hint="default"/>
        <w:sz w:val="24"/>
        <w:szCs w:val="28"/>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nsid w:val="2FA21EA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8706851"/>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83348C"/>
    <w:multiLevelType w:val="multilevel"/>
    <w:tmpl w:val="06125BE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11">
    <w:nsid w:val="43AE2BD5"/>
    <w:multiLevelType w:val="hybridMultilevel"/>
    <w:tmpl w:val="83968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BF0308"/>
    <w:multiLevelType w:val="hybridMultilevel"/>
    <w:tmpl w:val="A4BE789C"/>
    <w:lvl w:ilvl="0" w:tplc="96C46E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nsid w:val="45D66B47"/>
    <w:multiLevelType w:val="hybridMultilevel"/>
    <w:tmpl w:val="B52253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E9B4333"/>
    <w:multiLevelType w:val="hybridMultilevel"/>
    <w:tmpl w:val="ED1E1FB6"/>
    <w:lvl w:ilvl="0" w:tplc="F0FCB5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nsid w:val="5D9B5F91"/>
    <w:multiLevelType w:val="hybridMultilevel"/>
    <w:tmpl w:val="303E1E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2D034E"/>
    <w:multiLevelType w:val="hybridMultilevel"/>
    <w:tmpl w:val="DB44473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65CB634A"/>
    <w:multiLevelType w:val="hybridMultilevel"/>
    <w:tmpl w:val="7EF4E0DA"/>
    <w:lvl w:ilvl="0" w:tplc="B218ECA4">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7FC7338"/>
    <w:multiLevelType w:val="hybridMultilevel"/>
    <w:tmpl w:val="335478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21">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2075059"/>
    <w:multiLevelType w:val="hybridMultilevel"/>
    <w:tmpl w:val="A0901B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2380F09"/>
    <w:multiLevelType w:val="hybridMultilevel"/>
    <w:tmpl w:val="D5080B84"/>
    <w:lvl w:ilvl="0" w:tplc="6816A63C">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53C60B1"/>
    <w:multiLevelType w:val="hybridMultilevel"/>
    <w:tmpl w:val="8FC618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5674F9B"/>
    <w:multiLevelType w:val="hybridMultilevel"/>
    <w:tmpl w:val="7994BF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7BDC7C97"/>
    <w:multiLevelType w:val="hybridMultilevel"/>
    <w:tmpl w:val="CD9EBD6E"/>
    <w:lvl w:ilvl="0" w:tplc="535C4F52">
      <w:start w:val="1"/>
      <w:numFmt w:val="decimal"/>
      <w:lvlText w:val="%1)"/>
      <w:lvlJc w:val="left"/>
      <w:pPr>
        <w:ind w:left="644" w:hanging="360"/>
      </w:pPr>
      <w:rPr>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nsid w:val="7C291288"/>
    <w:multiLevelType w:val="hybridMultilevel"/>
    <w:tmpl w:val="B18E0628"/>
    <w:lvl w:ilvl="0" w:tplc="60A27DC6">
      <w:start w:val="1"/>
      <w:numFmt w:val="decimal"/>
      <w:lvlText w:val="%1."/>
      <w:lvlJc w:val="left"/>
      <w:pPr>
        <w:ind w:left="502" w:hanging="360"/>
      </w:pPr>
      <w:rPr>
        <w:rFonts w:eastAsiaTheme="minorHAnsi" w:cstheme="minorBidi" w:hint="default"/>
        <w:sz w:val="28"/>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nsid w:val="7D4D53A9"/>
    <w:multiLevelType w:val="hybridMultilevel"/>
    <w:tmpl w:val="6436D0AA"/>
    <w:lvl w:ilvl="0" w:tplc="47C00E9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15"/>
  </w:num>
  <w:num w:numId="4">
    <w:abstractNumId w:val="20"/>
  </w:num>
  <w:num w:numId="5">
    <w:abstractNumId w:val="10"/>
  </w:num>
  <w:num w:numId="6">
    <w:abstractNumId w:val="21"/>
  </w:num>
  <w:num w:numId="7">
    <w:abstractNumId w:val="27"/>
  </w:num>
  <w:num w:numId="8">
    <w:abstractNumId w:val="12"/>
  </w:num>
  <w:num w:numId="9">
    <w:abstractNumId w:val="8"/>
  </w:num>
  <w:num w:numId="10">
    <w:abstractNumId w:val="28"/>
  </w:num>
  <w:num w:numId="11">
    <w:abstractNumId w:val="7"/>
  </w:num>
  <w:num w:numId="12">
    <w:abstractNumId w:val="25"/>
  </w:num>
  <w:num w:numId="13">
    <w:abstractNumId w:val="9"/>
  </w:num>
  <w:num w:numId="14">
    <w:abstractNumId w:val="4"/>
  </w:num>
  <w:num w:numId="15">
    <w:abstractNumId w:val="19"/>
  </w:num>
  <w:num w:numId="16">
    <w:abstractNumId w:val="17"/>
  </w:num>
  <w:num w:numId="17">
    <w:abstractNumId w:val="23"/>
  </w:num>
  <w:num w:numId="18">
    <w:abstractNumId w:val="22"/>
  </w:num>
  <w:num w:numId="19">
    <w:abstractNumId w:val="24"/>
  </w:num>
  <w:num w:numId="20">
    <w:abstractNumId w:val="11"/>
  </w:num>
  <w:num w:numId="21">
    <w:abstractNumId w:val="13"/>
  </w:num>
  <w:num w:numId="22">
    <w:abstractNumId w:val="2"/>
  </w:num>
  <w:num w:numId="23">
    <w:abstractNumId w:val="5"/>
  </w:num>
  <w:num w:numId="24">
    <w:abstractNumId w:val="14"/>
  </w:num>
  <w:num w:numId="25">
    <w:abstractNumId w:val="0"/>
  </w:num>
  <w:num w:numId="26">
    <w:abstractNumId w:val="18"/>
  </w:num>
  <w:num w:numId="27">
    <w:abstractNumId w:val="29"/>
  </w:num>
  <w:num w:numId="28">
    <w:abstractNumId w:val="16"/>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2"/>
  <w:hideSpellingErrors/>
  <w:hideGrammaticalErrors/>
  <w:proofState w:spelling="clean" w:grammar="clean"/>
  <w:defaultTabStop w:val="720"/>
  <w:doNotShadeFormData/>
  <w:characterSpacingControl w:val="doNotCompress"/>
  <w:hdrShapeDefaults>
    <o:shapedefaults v:ext="edit" spidmax="1351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90"/>
    <w:rsid w:val="00003043"/>
    <w:rsid w:val="000068AE"/>
    <w:rsid w:val="00007AFA"/>
    <w:rsid w:val="000105BC"/>
    <w:rsid w:val="00010B38"/>
    <w:rsid w:val="00014658"/>
    <w:rsid w:val="00016F2B"/>
    <w:rsid w:val="00024C69"/>
    <w:rsid w:val="00030B64"/>
    <w:rsid w:val="00037822"/>
    <w:rsid w:val="000409AA"/>
    <w:rsid w:val="00047893"/>
    <w:rsid w:val="00047CFE"/>
    <w:rsid w:val="000534EB"/>
    <w:rsid w:val="00057282"/>
    <w:rsid w:val="0006068B"/>
    <w:rsid w:val="00076BFF"/>
    <w:rsid w:val="0007706D"/>
    <w:rsid w:val="00080429"/>
    <w:rsid w:val="00082494"/>
    <w:rsid w:val="0008369E"/>
    <w:rsid w:val="00084891"/>
    <w:rsid w:val="000862E6"/>
    <w:rsid w:val="00094966"/>
    <w:rsid w:val="000960E2"/>
    <w:rsid w:val="0009752D"/>
    <w:rsid w:val="00097867"/>
    <w:rsid w:val="000A01AB"/>
    <w:rsid w:val="000A0617"/>
    <w:rsid w:val="000A2104"/>
    <w:rsid w:val="000A2788"/>
    <w:rsid w:val="000A3A42"/>
    <w:rsid w:val="000B2665"/>
    <w:rsid w:val="000B3BD3"/>
    <w:rsid w:val="000C4AE5"/>
    <w:rsid w:val="000C5018"/>
    <w:rsid w:val="000D2379"/>
    <w:rsid w:val="000F08A9"/>
    <w:rsid w:val="000F3F7E"/>
    <w:rsid w:val="000F4492"/>
    <w:rsid w:val="000F5D57"/>
    <w:rsid w:val="000F6E43"/>
    <w:rsid w:val="00102CDD"/>
    <w:rsid w:val="00112DB5"/>
    <w:rsid w:val="00114F2D"/>
    <w:rsid w:val="001169AD"/>
    <w:rsid w:val="0012729E"/>
    <w:rsid w:val="001305B6"/>
    <w:rsid w:val="00133652"/>
    <w:rsid w:val="0013367B"/>
    <w:rsid w:val="00134540"/>
    <w:rsid w:val="00136F4A"/>
    <w:rsid w:val="00137360"/>
    <w:rsid w:val="00143981"/>
    <w:rsid w:val="00143CE8"/>
    <w:rsid w:val="00146ABF"/>
    <w:rsid w:val="0015024C"/>
    <w:rsid w:val="00150636"/>
    <w:rsid w:val="00155441"/>
    <w:rsid w:val="00157860"/>
    <w:rsid w:val="00162CFB"/>
    <w:rsid w:val="00163752"/>
    <w:rsid w:val="00163E67"/>
    <w:rsid w:val="00165A68"/>
    <w:rsid w:val="001854F0"/>
    <w:rsid w:val="001869F9"/>
    <w:rsid w:val="00186E20"/>
    <w:rsid w:val="00195713"/>
    <w:rsid w:val="001B12AD"/>
    <w:rsid w:val="001B2593"/>
    <w:rsid w:val="001B46EC"/>
    <w:rsid w:val="001B4C9E"/>
    <w:rsid w:val="001C3EEE"/>
    <w:rsid w:val="001C6BB1"/>
    <w:rsid w:val="001D081B"/>
    <w:rsid w:val="001D1D5E"/>
    <w:rsid w:val="001D4A7D"/>
    <w:rsid w:val="001D6C9E"/>
    <w:rsid w:val="001E222B"/>
    <w:rsid w:val="001E2843"/>
    <w:rsid w:val="001E3C16"/>
    <w:rsid w:val="001E6FAC"/>
    <w:rsid w:val="001F5390"/>
    <w:rsid w:val="00202E85"/>
    <w:rsid w:val="0020613E"/>
    <w:rsid w:val="0020647A"/>
    <w:rsid w:val="002163FF"/>
    <w:rsid w:val="00221E27"/>
    <w:rsid w:val="00223C77"/>
    <w:rsid w:val="00224A67"/>
    <w:rsid w:val="00225426"/>
    <w:rsid w:val="00231188"/>
    <w:rsid w:val="00233240"/>
    <w:rsid w:val="002346B7"/>
    <w:rsid w:val="00235864"/>
    <w:rsid w:val="00237EAE"/>
    <w:rsid w:val="00240293"/>
    <w:rsid w:val="002450CD"/>
    <w:rsid w:val="00245470"/>
    <w:rsid w:val="0024564F"/>
    <w:rsid w:val="00246230"/>
    <w:rsid w:val="0025212D"/>
    <w:rsid w:val="00252BAC"/>
    <w:rsid w:val="00252FA6"/>
    <w:rsid w:val="00253836"/>
    <w:rsid w:val="002638D0"/>
    <w:rsid w:val="00264391"/>
    <w:rsid w:val="00270CC3"/>
    <w:rsid w:val="00271961"/>
    <w:rsid w:val="0027301F"/>
    <w:rsid w:val="002746A6"/>
    <w:rsid w:val="00275C91"/>
    <w:rsid w:val="002770D4"/>
    <w:rsid w:val="002800B3"/>
    <w:rsid w:val="00281EE5"/>
    <w:rsid w:val="00284723"/>
    <w:rsid w:val="0029262D"/>
    <w:rsid w:val="00295A5A"/>
    <w:rsid w:val="002A4059"/>
    <w:rsid w:val="002A617A"/>
    <w:rsid w:val="002A6D32"/>
    <w:rsid w:val="002A76B5"/>
    <w:rsid w:val="002B3465"/>
    <w:rsid w:val="002B7362"/>
    <w:rsid w:val="002C2258"/>
    <w:rsid w:val="002D1F55"/>
    <w:rsid w:val="002D3591"/>
    <w:rsid w:val="002D3D8D"/>
    <w:rsid w:val="002D3F81"/>
    <w:rsid w:val="002E7E36"/>
    <w:rsid w:val="002F1F30"/>
    <w:rsid w:val="002F2B06"/>
    <w:rsid w:val="002F2C3F"/>
    <w:rsid w:val="002F7C80"/>
    <w:rsid w:val="00310048"/>
    <w:rsid w:val="00311139"/>
    <w:rsid w:val="00311CBF"/>
    <w:rsid w:val="00312598"/>
    <w:rsid w:val="003132F2"/>
    <w:rsid w:val="00313581"/>
    <w:rsid w:val="0031672B"/>
    <w:rsid w:val="00320334"/>
    <w:rsid w:val="00324899"/>
    <w:rsid w:val="00326718"/>
    <w:rsid w:val="003274EC"/>
    <w:rsid w:val="00330F50"/>
    <w:rsid w:val="00333EAD"/>
    <w:rsid w:val="003347BE"/>
    <w:rsid w:val="00335259"/>
    <w:rsid w:val="0034037A"/>
    <w:rsid w:val="0034089F"/>
    <w:rsid w:val="003436B0"/>
    <w:rsid w:val="00350AA3"/>
    <w:rsid w:val="003518F6"/>
    <w:rsid w:val="003529AC"/>
    <w:rsid w:val="00371267"/>
    <w:rsid w:val="00371BFE"/>
    <w:rsid w:val="00372223"/>
    <w:rsid w:val="00377F0B"/>
    <w:rsid w:val="00382775"/>
    <w:rsid w:val="00385240"/>
    <w:rsid w:val="00391A25"/>
    <w:rsid w:val="003929C4"/>
    <w:rsid w:val="00394C15"/>
    <w:rsid w:val="00396E9E"/>
    <w:rsid w:val="003A0A5F"/>
    <w:rsid w:val="003A2A77"/>
    <w:rsid w:val="003A3B47"/>
    <w:rsid w:val="003A3D52"/>
    <w:rsid w:val="003A4806"/>
    <w:rsid w:val="003A5E71"/>
    <w:rsid w:val="003A7117"/>
    <w:rsid w:val="003B595E"/>
    <w:rsid w:val="003C4242"/>
    <w:rsid w:val="003C46E4"/>
    <w:rsid w:val="003C4E9C"/>
    <w:rsid w:val="003D110D"/>
    <w:rsid w:val="003D205F"/>
    <w:rsid w:val="003D3562"/>
    <w:rsid w:val="003D6C41"/>
    <w:rsid w:val="003E0200"/>
    <w:rsid w:val="003E0CC1"/>
    <w:rsid w:val="003E0F17"/>
    <w:rsid w:val="003E2BFC"/>
    <w:rsid w:val="004006AF"/>
    <w:rsid w:val="0040525E"/>
    <w:rsid w:val="00405FE3"/>
    <w:rsid w:val="00406BD3"/>
    <w:rsid w:val="0040788B"/>
    <w:rsid w:val="00407AEA"/>
    <w:rsid w:val="0041285A"/>
    <w:rsid w:val="00414C6B"/>
    <w:rsid w:val="004174D4"/>
    <w:rsid w:val="00420EB1"/>
    <w:rsid w:val="00430011"/>
    <w:rsid w:val="004339BF"/>
    <w:rsid w:val="00436141"/>
    <w:rsid w:val="00436A05"/>
    <w:rsid w:val="004425B5"/>
    <w:rsid w:val="0045243C"/>
    <w:rsid w:val="00462295"/>
    <w:rsid w:val="00464FD0"/>
    <w:rsid w:val="00465001"/>
    <w:rsid w:val="00470971"/>
    <w:rsid w:val="00471835"/>
    <w:rsid w:val="0047344C"/>
    <w:rsid w:val="00476E5D"/>
    <w:rsid w:val="00477BB3"/>
    <w:rsid w:val="004848A4"/>
    <w:rsid w:val="00484DC4"/>
    <w:rsid w:val="00485C18"/>
    <w:rsid w:val="0049276A"/>
    <w:rsid w:val="00493C09"/>
    <w:rsid w:val="004949AE"/>
    <w:rsid w:val="004976CD"/>
    <w:rsid w:val="004A0D20"/>
    <w:rsid w:val="004A16ED"/>
    <w:rsid w:val="004A63FD"/>
    <w:rsid w:val="004A646F"/>
    <w:rsid w:val="004B3159"/>
    <w:rsid w:val="004B4C5A"/>
    <w:rsid w:val="004C05A8"/>
    <w:rsid w:val="004C1CA6"/>
    <w:rsid w:val="004C2FE4"/>
    <w:rsid w:val="004C3038"/>
    <w:rsid w:val="004C4FD3"/>
    <w:rsid w:val="004E22A9"/>
    <w:rsid w:val="004E37EF"/>
    <w:rsid w:val="004E692D"/>
    <w:rsid w:val="004E6C72"/>
    <w:rsid w:val="004E7BC4"/>
    <w:rsid w:val="004F067D"/>
    <w:rsid w:val="004F274F"/>
    <w:rsid w:val="004F3C75"/>
    <w:rsid w:val="004F4656"/>
    <w:rsid w:val="005060F9"/>
    <w:rsid w:val="00510120"/>
    <w:rsid w:val="00514675"/>
    <w:rsid w:val="00514AC2"/>
    <w:rsid w:val="0053117C"/>
    <w:rsid w:val="00550D17"/>
    <w:rsid w:val="00553D47"/>
    <w:rsid w:val="00554803"/>
    <w:rsid w:val="005567C5"/>
    <w:rsid w:val="005571ED"/>
    <w:rsid w:val="00560737"/>
    <w:rsid w:val="00564229"/>
    <w:rsid w:val="00564B1C"/>
    <w:rsid w:val="005655B1"/>
    <w:rsid w:val="00567E66"/>
    <w:rsid w:val="0057483F"/>
    <w:rsid w:val="0057647D"/>
    <w:rsid w:val="00590C36"/>
    <w:rsid w:val="005A5F0D"/>
    <w:rsid w:val="005B1F5A"/>
    <w:rsid w:val="005B1FB2"/>
    <w:rsid w:val="005B7A45"/>
    <w:rsid w:val="005D1132"/>
    <w:rsid w:val="005D1C8F"/>
    <w:rsid w:val="005D1D0B"/>
    <w:rsid w:val="005D55D5"/>
    <w:rsid w:val="005D5FD1"/>
    <w:rsid w:val="005E3A9F"/>
    <w:rsid w:val="005E4289"/>
    <w:rsid w:val="005E5030"/>
    <w:rsid w:val="005E631C"/>
    <w:rsid w:val="005E6AF0"/>
    <w:rsid w:val="005F109E"/>
    <w:rsid w:val="005F15F4"/>
    <w:rsid w:val="005F449F"/>
    <w:rsid w:val="00600201"/>
    <w:rsid w:val="006026C0"/>
    <w:rsid w:val="0060439A"/>
    <w:rsid w:val="006052C4"/>
    <w:rsid w:val="00607320"/>
    <w:rsid w:val="00614C95"/>
    <w:rsid w:val="0062556A"/>
    <w:rsid w:val="00627F10"/>
    <w:rsid w:val="0063080B"/>
    <w:rsid w:val="0063244F"/>
    <w:rsid w:val="0063311E"/>
    <w:rsid w:val="00650193"/>
    <w:rsid w:val="00655016"/>
    <w:rsid w:val="006562A9"/>
    <w:rsid w:val="006570E4"/>
    <w:rsid w:val="006627F3"/>
    <w:rsid w:val="00664470"/>
    <w:rsid w:val="00664CDD"/>
    <w:rsid w:val="00664F44"/>
    <w:rsid w:val="00670BBC"/>
    <w:rsid w:val="00672281"/>
    <w:rsid w:val="00672A29"/>
    <w:rsid w:val="006756A4"/>
    <w:rsid w:val="0068037C"/>
    <w:rsid w:val="00680ADC"/>
    <w:rsid w:val="00682F53"/>
    <w:rsid w:val="006963F1"/>
    <w:rsid w:val="006A0320"/>
    <w:rsid w:val="006A2257"/>
    <w:rsid w:val="006A45EA"/>
    <w:rsid w:val="006A50B9"/>
    <w:rsid w:val="006B2758"/>
    <w:rsid w:val="006B385D"/>
    <w:rsid w:val="006C6B81"/>
    <w:rsid w:val="006C7599"/>
    <w:rsid w:val="006D4811"/>
    <w:rsid w:val="006D60D3"/>
    <w:rsid w:val="006D7B18"/>
    <w:rsid w:val="006E1187"/>
    <w:rsid w:val="006E210C"/>
    <w:rsid w:val="006E24E5"/>
    <w:rsid w:val="006E31DC"/>
    <w:rsid w:val="006E549D"/>
    <w:rsid w:val="00703951"/>
    <w:rsid w:val="007043AA"/>
    <w:rsid w:val="007075A1"/>
    <w:rsid w:val="00712415"/>
    <w:rsid w:val="00712F65"/>
    <w:rsid w:val="00713C31"/>
    <w:rsid w:val="00713F08"/>
    <w:rsid w:val="00722173"/>
    <w:rsid w:val="00723173"/>
    <w:rsid w:val="00737330"/>
    <w:rsid w:val="00737CF5"/>
    <w:rsid w:val="00744B95"/>
    <w:rsid w:val="00747722"/>
    <w:rsid w:val="00751510"/>
    <w:rsid w:val="0075352B"/>
    <w:rsid w:val="00754828"/>
    <w:rsid w:val="00756AEC"/>
    <w:rsid w:val="00764CED"/>
    <w:rsid w:val="0077511A"/>
    <w:rsid w:val="00775125"/>
    <w:rsid w:val="00791E66"/>
    <w:rsid w:val="00792A2F"/>
    <w:rsid w:val="007A0383"/>
    <w:rsid w:val="007A31C8"/>
    <w:rsid w:val="007A686F"/>
    <w:rsid w:val="007A7672"/>
    <w:rsid w:val="007B08DD"/>
    <w:rsid w:val="007B215D"/>
    <w:rsid w:val="007B32E4"/>
    <w:rsid w:val="007B44E0"/>
    <w:rsid w:val="007B56C8"/>
    <w:rsid w:val="007B6D18"/>
    <w:rsid w:val="007C75FE"/>
    <w:rsid w:val="007D1417"/>
    <w:rsid w:val="007D62D4"/>
    <w:rsid w:val="007D6AEE"/>
    <w:rsid w:val="007F1012"/>
    <w:rsid w:val="007F1018"/>
    <w:rsid w:val="007F1752"/>
    <w:rsid w:val="007F3ACE"/>
    <w:rsid w:val="007F3E3C"/>
    <w:rsid w:val="0080623C"/>
    <w:rsid w:val="00806A07"/>
    <w:rsid w:val="00807FBF"/>
    <w:rsid w:val="008125E8"/>
    <w:rsid w:val="00813DD9"/>
    <w:rsid w:val="008152F8"/>
    <w:rsid w:val="008156E1"/>
    <w:rsid w:val="00817F69"/>
    <w:rsid w:val="00820BD2"/>
    <w:rsid w:val="0082103D"/>
    <w:rsid w:val="00824AED"/>
    <w:rsid w:val="00827216"/>
    <w:rsid w:val="00827E9E"/>
    <w:rsid w:val="00830152"/>
    <w:rsid w:val="00837155"/>
    <w:rsid w:val="00840469"/>
    <w:rsid w:val="00840DC8"/>
    <w:rsid w:val="00842442"/>
    <w:rsid w:val="0084246E"/>
    <w:rsid w:val="00844F78"/>
    <w:rsid w:val="008454DB"/>
    <w:rsid w:val="0085084E"/>
    <w:rsid w:val="00851937"/>
    <w:rsid w:val="00851ACE"/>
    <w:rsid w:val="008530EC"/>
    <w:rsid w:val="00853E1B"/>
    <w:rsid w:val="00861512"/>
    <w:rsid w:val="00861E55"/>
    <w:rsid w:val="00871F14"/>
    <w:rsid w:val="00873607"/>
    <w:rsid w:val="00874291"/>
    <w:rsid w:val="00877148"/>
    <w:rsid w:val="008810C0"/>
    <w:rsid w:val="00881F0A"/>
    <w:rsid w:val="00883450"/>
    <w:rsid w:val="00883F96"/>
    <w:rsid w:val="008848CE"/>
    <w:rsid w:val="00886F90"/>
    <w:rsid w:val="0089212D"/>
    <w:rsid w:val="008A0AEA"/>
    <w:rsid w:val="008A0DC7"/>
    <w:rsid w:val="008A4E00"/>
    <w:rsid w:val="008A780B"/>
    <w:rsid w:val="008A7F67"/>
    <w:rsid w:val="008B40AB"/>
    <w:rsid w:val="008B4CAC"/>
    <w:rsid w:val="008C47BE"/>
    <w:rsid w:val="008C5375"/>
    <w:rsid w:val="008D0BCD"/>
    <w:rsid w:val="008D5497"/>
    <w:rsid w:val="008D678E"/>
    <w:rsid w:val="008E0789"/>
    <w:rsid w:val="008E2D4D"/>
    <w:rsid w:val="008E77C9"/>
    <w:rsid w:val="008F3F8D"/>
    <w:rsid w:val="00902B1D"/>
    <w:rsid w:val="009064B5"/>
    <w:rsid w:val="0090738B"/>
    <w:rsid w:val="0091090E"/>
    <w:rsid w:val="009145E1"/>
    <w:rsid w:val="00920D07"/>
    <w:rsid w:val="00923CC8"/>
    <w:rsid w:val="009302FA"/>
    <w:rsid w:val="00936938"/>
    <w:rsid w:val="00940888"/>
    <w:rsid w:val="00940A3A"/>
    <w:rsid w:val="00951FF3"/>
    <w:rsid w:val="009526E8"/>
    <w:rsid w:val="009551E3"/>
    <w:rsid w:val="009555CC"/>
    <w:rsid w:val="00956929"/>
    <w:rsid w:val="009573E7"/>
    <w:rsid w:val="00960A2A"/>
    <w:rsid w:val="00964A3C"/>
    <w:rsid w:val="009675F8"/>
    <w:rsid w:val="00970D3C"/>
    <w:rsid w:val="00972446"/>
    <w:rsid w:val="00991093"/>
    <w:rsid w:val="009921E3"/>
    <w:rsid w:val="0099705C"/>
    <w:rsid w:val="009A31FD"/>
    <w:rsid w:val="009A5537"/>
    <w:rsid w:val="009B0CC7"/>
    <w:rsid w:val="009C0094"/>
    <w:rsid w:val="009D0A29"/>
    <w:rsid w:val="009D19C3"/>
    <w:rsid w:val="009E0850"/>
    <w:rsid w:val="009E20F3"/>
    <w:rsid w:val="009E34F3"/>
    <w:rsid w:val="009F19EC"/>
    <w:rsid w:val="00A00AC9"/>
    <w:rsid w:val="00A011EF"/>
    <w:rsid w:val="00A03129"/>
    <w:rsid w:val="00A06FDB"/>
    <w:rsid w:val="00A07540"/>
    <w:rsid w:val="00A11A29"/>
    <w:rsid w:val="00A12EA0"/>
    <w:rsid w:val="00A15B7A"/>
    <w:rsid w:val="00A160A3"/>
    <w:rsid w:val="00A17E37"/>
    <w:rsid w:val="00A21034"/>
    <w:rsid w:val="00A212C0"/>
    <w:rsid w:val="00A27D90"/>
    <w:rsid w:val="00A307B6"/>
    <w:rsid w:val="00A3157F"/>
    <w:rsid w:val="00A3284F"/>
    <w:rsid w:val="00A338DB"/>
    <w:rsid w:val="00A346C5"/>
    <w:rsid w:val="00A4008A"/>
    <w:rsid w:val="00A45F97"/>
    <w:rsid w:val="00A50CB9"/>
    <w:rsid w:val="00A51F1F"/>
    <w:rsid w:val="00A53CD4"/>
    <w:rsid w:val="00A548AC"/>
    <w:rsid w:val="00A64E0C"/>
    <w:rsid w:val="00A654F1"/>
    <w:rsid w:val="00A70743"/>
    <w:rsid w:val="00A71CCF"/>
    <w:rsid w:val="00A76A07"/>
    <w:rsid w:val="00A81BD5"/>
    <w:rsid w:val="00A86DB4"/>
    <w:rsid w:val="00A9221C"/>
    <w:rsid w:val="00AA1E56"/>
    <w:rsid w:val="00AA4F24"/>
    <w:rsid w:val="00AA5084"/>
    <w:rsid w:val="00AA6492"/>
    <w:rsid w:val="00AB0D28"/>
    <w:rsid w:val="00AB5175"/>
    <w:rsid w:val="00AB5197"/>
    <w:rsid w:val="00AB5338"/>
    <w:rsid w:val="00AB650D"/>
    <w:rsid w:val="00AC0127"/>
    <w:rsid w:val="00AC7302"/>
    <w:rsid w:val="00AD3797"/>
    <w:rsid w:val="00AD4C3F"/>
    <w:rsid w:val="00AE0BC0"/>
    <w:rsid w:val="00AE7408"/>
    <w:rsid w:val="00AF29AE"/>
    <w:rsid w:val="00AF38B1"/>
    <w:rsid w:val="00AF5753"/>
    <w:rsid w:val="00AF643B"/>
    <w:rsid w:val="00AF69F6"/>
    <w:rsid w:val="00B01144"/>
    <w:rsid w:val="00B02416"/>
    <w:rsid w:val="00B024D3"/>
    <w:rsid w:val="00B02B4C"/>
    <w:rsid w:val="00B07BE0"/>
    <w:rsid w:val="00B1044F"/>
    <w:rsid w:val="00B2205C"/>
    <w:rsid w:val="00B257AC"/>
    <w:rsid w:val="00B264C0"/>
    <w:rsid w:val="00B42199"/>
    <w:rsid w:val="00B506AB"/>
    <w:rsid w:val="00B535B1"/>
    <w:rsid w:val="00B570AF"/>
    <w:rsid w:val="00B57FD3"/>
    <w:rsid w:val="00B62120"/>
    <w:rsid w:val="00B6774B"/>
    <w:rsid w:val="00B82963"/>
    <w:rsid w:val="00B84A5B"/>
    <w:rsid w:val="00BA3659"/>
    <w:rsid w:val="00BA6846"/>
    <w:rsid w:val="00BB6ED6"/>
    <w:rsid w:val="00BC5620"/>
    <w:rsid w:val="00BD64C1"/>
    <w:rsid w:val="00BD7565"/>
    <w:rsid w:val="00BD7619"/>
    <w:rsid w:val="00BD7F9B"/>
    <w:rsid w:val="00BE00EB"/>
    <w:rsid w:val="00BE2D5A"/>
    <w:rsid w:val="00BE60AF"/>
    <w:rsid w:val="00BE7E9D"/>
    <w:rsid w:val="00BF7A26"/>
    <w:rsid w:val="00C07A84"/>
    <w:rsid w:val="00C12730"/>
    <w:rsid w:val="00C17E1B"/>
    <w:rsid w:val="00C37288"/>
    <w:rsid w:val="00C43719"/>
    <w:rsid w:val="00C4758D"/>
    <w:rsid w:val="00C5133C"/>
    <w:rsid w:val="00C675B7"/>
    <w:rsid w:val="00C74056"/>
    <w:rsid w:val="00C74EF3"/>
    <w:rsid w:val="00C75CBB"/>
    <w:rsid w:val="00C77B75"/>
    <w:rsid w:val="00C804D9"/>
    <w:rsid w:val="00C8313E"/>
    <w:rsid w:val="00C90F0D"/>
    <w:rsid w:val="00C93598"/>
    <w:rsid w:val="00CA0317"/>
    <w:rsid w:val="00CA0CB4"/>
    <w:rsid w:val="00CA5B55"/>
    <w:rsid w:val="00CB3A61"/>
    <w:rsid w:val="00CB67B6"/>
    <w:rsid w:val="00CC26D6"/>
    <w:rsid w:val="00CC3EDB"/>
    <w:rsid w:val="00CC7D03"/>
    <w:rsid w:val="00CC7E2D"/>
    <w:rsid w:val="00CD1B83"/>
    <w:rsid w:val="00CD3814"/>
    <w:rsid w:val="00CD7C4F"/>
    <w:rsid w:val="00CE205E"/>
    <w:rsid w:val="00CE2E22"/>
    <w:rsid w:val="00CE3831"/>
    <w:rsid w:val="00CF1129"/>
    <w:rsid w:val="00CF3C48"/>
    <w:rsid w:val="00CF5EC1"/>
    <w:rsid w:val="00D0283A"/>
    <w:rsid w:val="00D04F89"/>
    <w:rsid w:val="00D0735E"/>
    <w:rsid w:val="00D07A17"/>
    <w:rsid w:val="00D10D81"/>
    <w:rsid w:val="00D119BC"/>
    <w:rsid w:val="00D16180"/>
    <w:rsid w:val="00D16A1C"/>
    <w:rsid w:val="00D210DA"/>
    <w:rsid w:val="00D2270B"/>
    <w:rsid w:val="00D304C4"/>
    <w:rsid w:val="00D305AA"/>
    <w:rsid w:val="00D3208B"/>
    <w:rsid w:val="00D34E9D"/>
    <w:rsid w:val="00D36FD0"/>
    <w:rsid w:val="00D4015C"/>
    <w:rsid w:val="00D40CFC"/>
    <w:rsid w:val="00D41DB2"/>
    <w:rsid w:val="00D4217C"/>
    <w:rsid w:val="00D42CAD"/>
    <w:rsid w:val="00D5361F"/>
    <w:rsid w:val="00D55728"/>
    <w:rsid w:val="00D5761B"/>
    <w:rsid w:val="00D61F3A"/>
    <w:rsid w:val="00D7167F"/>
    <w:rsid w:val="00D72DCC"/>
    <w:rsid w:val="00D74BF8"/>
    <w:rsid w:val="00D76A7D"/>
    <w:rsid w:val="00D80E64"/>
    <w:rsid w:val="00D8375A"/>
    <w:rsid w:val="00D83B42"/>
    <w:rsid w:val="00D928E0"/>
    <w:rsid w:val="00D96290"/>
    <w:rsid w:val="00DA52B3"/>
    <w:rsid w:val="00DA6AB6"/>
    <w:rsid w:val="00DB1642"/>
    <w:rsid w:val="00DB1BED"/>
    <w:rsid w:val="00DB7562"/>
    <w:rsid w:val="00DC1734"/>
    <w:rsid w:val="00DC2A21"/>
    <w:rsid w:val="00DC2BD7"/>
    <w:rsid w:val="00DC4754"/>
    <w:rsid w:val="00DD55B3"/>
    <w:rsid w:val="00DD6BFE"/>
    <w:rsid w:val="00DE3741"/>
    <w:rsid w:val="00DF211A"/>
    <w:rsid w:val="00DF7911"/>
    <w:rsid w:val="00E01EFE"/>
    <w:rsid w:val="00E02375"/>
    <w:rsid w:val="00E0275F"/>
    <w:rsid w:val="00E07467"/>
    <w:rsid w:val="00E07A64"/>
    <w:rsid w:val="00E1100E"/>
    <w:rsid w:val="00E11A4A"/>
    <w:rsid w:val="00E20C5F"/>
    <w:rsid w:val="00E20E9B"/>
    <w:rsid w:val="00E222C4"/>
    <w:rsid w:val="00E261FF"/>
    <w:rsid w:val="00E26EB0"/>
    <w:rsid w:val="00E30C08"/>
    <w:rsid w:val="00E33F0C"/>
    <w:rsid w:val="00E34378"/>
    <w:rsid w:val="00E35ABA"/>
    <w:rsid w:val="00E362FC"/>
    <w:rsid w:val="00E368B2"/>
    <w:rsid w:val="00E42E7C"/>
    <w:rsid w:val="00E45CBA"/>
    <w:rsid w:val="00E45F58"/>
    <w:rsid w:val="00E52460"/>
    <w:rsid w:val="00E531B9"/>
    <w:rsid w:val="00E53F77"/>
    <w:rsid w:val="00E5422A"/>
    <w:rsid w:val="00E565EF"/>
    <w:rsid w:val="00E56EB9"/>
    <w:rsid w:val="00E57658"/>
    <w:rsid w:val="00E668BD"/>
    <w:rsid w:val="00E81401"/>
    <w:rsid w:val="00E866A1"/>
    <w:rsid w:val="00E87078"/>
    <w:rsid w:val="00E92A51"/>
    <w:rsid w:val="00EA1EAD"/>
    <w:rsid w:val="00EA6403"/>
    <w:rsid w:val="00EB2A0D"/>
    <w:rsid w:val="00EB2D21"/>
    <w:rsid w:val="00EB55C9"/>
    <w:rsid w:val="00EC190C"/>
    <w:rsid w:val="00EC1C79"/>
    <w:rsid w:val="00EC5B90"/>
    <w:rsid w:val="00EC650A"/>
    <w:rsid w:val="00EC6C5B"/>
    <w:rsid w:val="00ED0FEA"/>
    <w:rsid w:val="00ED4179"/>
    <w:rsid w:val="00ED7B8B"/>
    <w:rsid w:val="00EE1841"/>
    <w:rsid w:val="00EE3C39"/>
    <w:rsid w:val="00EE4ACC"/>
    <w:rsid w:val="00EE73B0"/>
    <w:rsid w:val="00EE7733"/>
    <w:rsid w:val="00EF2219"/>
    <w:rsid w:val="00EF5956"/>
    <w:rsid w:val="00F02AD7"/>
    <w:rsid w:val="00F06F5A"/>
    <w:rsid w:val="00F07101"/>
    <w:rsid w:val="00F1276C"/>
    <w:rsid w:val="00F155C4"/>
    <w:rsid w:val="00F168CB"/>
    <w:rsid w:val="00F21753"/>
    <w:rsid w:val="00F219F2"/>
    <w:rsid w:val="00F24900"/>
    <w:rsid w:val="00F309A1"/>
    <w:rsid w:val="00F35891"/>
    <w:rsid w:val="00F37379"/>
    <w:rsid w:val="00F46CB7"/>
    <w:rsid w:val="00F537D9"/>
    <w:rsid w:val="00F563E1"/>
    <w:rsid w:val="00F60587"/>
    <w:rsid w:val="00F611B9"/>
    <w:rsid w:val="00F6590C"/>
    <w:rsid w:val="00F66F09"/>
    <w:rsid w:val="00F67007"/>
    <w:rsid w:val="00F73084"/>
    <w:rsid w:val="00F77A61"/>
    <w:rsid w:val="00F828F7"/>
    <w:rsid w:val="00F84F92"/>
    <w:rsid w:val="00F85560"/>
    <w:rsid w:val="00F9482F"/>
    <w:rsid w:val="00F97CCC"/>
    <w:rsid w:val="00FA2306"/>
    <w:rsid w:val="00FA2E36"/>
    <w:rsid w:val="00FA56E7"/>
    <w:rsid w:val="00FB1513"/>
    <w:rsid w:val="00FB371E"/>
    <w:rsid w:val="00FB3E14"/>
    <w:rsid w:val="00FB5A0C"/>
    <w:rsid w:val="00FB6EA4"/>
    <w:rsid w:val="00FC1D8E"/>
    <w:rsid w:val="00FC2214"/>
    <w:rsid w:val="00FD0312"/>
    <w:rsid w:val="00FD396D"/>
    <w:rsid w:val="00FE2811"/>
    <w:rsid w:val="00FE48F8"/>
    <w:rsid w:val="00FE4B6E"/>
    <w:rsid w:val="00FE51BB"/>
    <w:rsid w:val="00FF447B"/>
    <w:rsid w:val="00FF60A0"/>
    <w:rsid w:val="00FF6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AA8B37B"/>
  <w15:docId w15:val="{4E12F990-67DF-434A-86F2-F9EAD1B1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 w:type="character" w:styleId="Hyperlink">
    <w:name w:val="Hyperlink"/>
    <w:uiPriority w:val="99"/>
    <w:rsid w:val="00F06F5A"/>
    <w:rPr>
      <w:rFonts w:cs="Times New Roman"/>
      <w:color w:val="0000FF"/>
      <w:u w:val="single"/>
    </w:rPr>
  </w:style>
  <w:style w:type="paragraph" w:styleId="FootnoteText">
    <w:name w:val="footnote text"/>
    <w:aliases w:val="Footnote,Fußnote,Footnote Text Char2,Footnote Text Char1 Char,Footnote Text Char Char Char,Footnote Text Char Char Char Char Char Char Char,Footnote Char Char Char Char Char Char Char,Fußnote Char Char Char Char Char Char Char,Footnote tex"/>
    <w:basedOn w:val="Normal"/>
    <w:link w:val="FootnoteTextChar"/>
    <w:uiPriority w:val="99"/>
    <w:rsid w:val="00F06F5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Footnote Text Char2 Char,Footnote Text Char1 Char Char,Footnote Text Char Char Char Char,Footnote Text Char Char Char Char Char Char Char Char,Footnote Char Char Char Char Char Char Char Char"/>
    <w:basedOn w:val="DefaultParagraphFont"/>
    <w:link w:val="FootnoteText"/>
    <w:uiPriority w:val="99"/>
    <w:rsid w:val="00F06F5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
    <w:uiPriority w:val="99"/>
    <w:rsid w:val="00F06F5A"/>
    <w:rPr>
      <w:rFonts w:cs="Times New Roman"/>
      <w:vertAlign w:val="superscript"/>
    </w:rPr>
  </w:style>
  <w:style w:type="table" w:styleId="TableGrid">
    <w:name w:val="Table Grid"/>
    <w:basedOn w:val="TableNormal"/>
    <w:uiPriority w:val="59"/>
    <w:rsid w:val="00B84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E6FA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56EB9"/>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D7C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567E66"/>
    <w:rPr>
      <w:rFonts w:cs="Times New Roman"/>
      <w:b/>
      <w:bCs/>
    </w:rPr>
  </w:style>
  <w:style w:type="paragraph" w:customStyle="1" w:styleId="ti-doc-eph">
    <w:name w:val="ti-doc-eph"/>
    <w:basedOn w:val="Normal"/>
    <w:rsid w:val="00D10D81"/>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92364444">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182135534">
      <w:bodyDiv w:val="1"/>
      <w:marLeft w:val="0"/>
      <w:marRight w:val="0"/>
      <w:marTop w:val="0"/>
      <w:marBottom w:val="0"/>
      <w:divBdr>
        <w:top w:val="none" w:sz="0" w:space="0" w:color="auto"/>
        <w:left w:val="none" w:sz="0" w:space="0" w:color="auto"/>
        <w:bottom w:val="none" w:sz="0" w:space="0" w:color="auto"/>
        <w:right w:val="none" w:sz="0" w:space="0" w:color="auto"/>
      </w:divBdr>
    </w:div>
    <w:div w:id="195126073">
      <w:bodyDiv w:val="1"/>
      <w:marLeft w:val="0"/>
      <w:marRight w:val="0"/>
      <w:marTop w:val="0"/>
      <w:marBottom w:val="0"/>
      <w:divBdr>
        <w:top w:val="none" w:sz="0" w:space="0" w:color="auto"/>
        <w:left w:val="none" w:sz="0" w:space="0" w:color="auto"/>
        <w:bottom w:val="none" w:sz="0" w:space="0" w:color="auto"/>
        <w:right w:val="none" w:sz="0" w:space="0" w:color="auto"/>
      </w:divBdr>
    </w:div>
    <w:div w:id="248542115">
      <w:bodyDiv w:val="1"/>
      <w:marLeft w:val="0"/>
      <w:marRight w:val="0"/>
      <w:marTop w:val="0"/>
      <w:marBottom w:val="0"/>
      <w:divBdr>
        <w:top w:val="none" w:sz="0" w:space="0" w:color="auto"/>
        <w:left w:val="none" w:sz="0" w:space="0" w:color="auto"/>
        <w:bottom w:val="none" w:sz="0" w:space="0" w:color="auto"/>
        <w:right w:val="none" w:sz="0" w:space="0" w:color="auto"/>
      </w:divBdr>
    </w:div>
    <w:div w:id="306132588">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60933746">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411467343">
      <w:bodyDiv w:val="1"/>
      <w:marLeft w:val="0"/>
      <w:marRight w:val="0"/>
      <w:marTop w:val="0"/>
      <w:marBottom w:val="0"/>
      <w:divBdr>
        <w:top w:val="none" w:sz="0" w:space="0" w:color="auto"/>
        <w:left w:val="none" w:sz="0" w:space="0" w:color="auto"/>
        <w:bottom w:val="none" w:sz="0" w:space="0" w:color="auto"/>
        <w:right w:val="none" w:sz="0" w:space="0" w:color="auto"/>
      </w:divBdr>
    </w:div>
    <w:div w:id="417095936">
      <w:bodyDiv w:val="1"/>
      <w:marLeft w:val="0"/>
      <w:marRight w:val="0"/>
      <w:marTop w:val="0"/>
      <w:marBottom w:val="0"/>
      <w:divBdr>
        <w:top w:val="none" w:sz="0" w:space="0" w:color="auto"/>
        <w:left w:val="none" w:sz="0" w:space="0" w:color="auto"/>
        <w:bottom w:val="none" w:sz="0" w:space="0" w:color="auto"/>
        <w:right w:val="none" w:sz="0" w:space="0" w:color="auto"/>
      </w:divBdr>
    </w:div>
    <w:div w:id="682779481">
      <w:bodyDiv w:val="1"/>
      <w:marLeft w:val="0"/>
      <w:marRight w:val="0"/>
      <w:marTop w:val="0"/>
      <w:marBottom w:val="0"/>
      <w:divBdr>
        <w:top w:val="none" w:sz="0" w:space="0" w:color="auto"/>
        <w:left w:val="none" w:sz="0" w:space="0" w:color="auto"/>
        <w:bottom w:val="none" w:sz="0" w:space="0" w:color="auto"/>
        <w:right w:val="none" w:sz="0" w:space="0" w:color="auto"/>
      </w:divBdr>
    </w:div>
    <w:div w:id="687290025">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766777242">
      <w:bodyDiv w:val="1"/>
      <w:marLeft w:val="0"/>
      <w:marRight w:val="0"/>
      <w:marTop w:val="0"/>
      <w:marBottom w:val="0"/>
      <w:divBdr>
        <w:top w:val="none" w:sz="0" w:space="0" w:color="auto"/>
        <w:left w:val="none" w:sz="0" w:space="0" w:color="auto"/>
        <w:bottom w:val="none" w:sz="0" w:space="0" w:color="auto"/>
        <w:right w:val="none" w:sz="0" w:space="0" w:color="auto"/>
      </w:divBdr>
    </w:div>
    <w:div w:id="777485480">
      <w:bodyDiv w:val="1"/>
      <w:marLeft w:val="0"/>
      <w:marRight w:val="0"/>
      <w:marTop w:val="0"/>
      <w:marBottom w:val="0"/>
      <w:divBdr>
        <w:top w:val="none" w:sz="0" w:space="0" w:color="auto"/>
        <w:left w:val="none" w:sz="0" w:space="0" w:color="auto"/>
        <w:bottom w:val="none" w:sz="0" w:space="0" w:color="auto"/>
        <w:right w:val="none" w:sz="0" w:space="0" w:color="auto"/>
      </w:divBdr>
    </w:div>
    <w:div w:id="791633972">
      <w:bodyDiv w:val="1"/>
      <w:marLeft w:val="0"/>
      <w:marRight w:val="0"/>
      <w:marTop w:val="0"/>
      <w:marBottom w:val="0"/>
      <w:divBdr>
        <w:top w:val="none" w:sz="0" w:space="0" w:color="auto"/>
        <w:left w:val="none" w:sz="0" w:space="0" w:color="auto"/>
        <w:bottom w:val="none" w:sz="0" w:space="0" w:color="auto"/>
        <w:right w:val="none" w:sz="0" w:space="0" w:color="auto"/>
      </w:divBdr>
    </w:div>
    <w:div w:id="795607595">
      <w:bodyDiv w:val="1"/>
      <w:marLeft w:val="0"/>
      <w:marRight w:val="0"/>
      <w:marTop w:val="0"/>
      <w:marBottom w:val="0"/>
      <w:divBdr>
        <w:top w:val="none" w:sz="0" w:space="0" w:color="auto"/>
        <w:left w:val="none" w:sz="0" w:space="0" w:color="auto"/>
        <w:bottom w:val="none" w:sz="0" w:space="0" w:color="auto"/>
        <w:right w:val="none" w:sz="0" w:space="0" w:color="auto"/>
      </w:divBdr>
    </w:div>
    <w:div w:id="1051810417">
      <w:bodyDiv w:val="1"/>
      <w:marLeft w:val="0"/>
      <w:marRight w:val="0"/>
      <w:marTop w:val="0"/>
      <w:marBottom w:val="0"/>
      <w:divBdr>
        <w:top w:val="none" w:sz="0" w:space="0" w:color="auto"/>
        <w:left w:val="none" w:sz="0" w:space="0" w:color="auto"/>
        <w:bottom w:val="none" w:sz="0" w:space="0" w:color="auto"/>
        <w:right w:val="none" w:sz="0" w:space="0" w:color="auto"/>
      </w:divBdr>
    </w:div>
    <w:div w:id="1089160137">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262101486">
      <w:bodyDiv w:val="1"/>
      <w:marLeft w:val="0"/>
      <w:marRight w:val="0"/>
      <w:marTop w:val="0"/>
      <w:marBottom w:val="0"/>
      <w:divBdr>
        <w:top w:val="none" w:sz="0" w:space="0" w:color="auto"/>
        <w:left w:val="none" w:sz="0" w:space="0" w:color="auto"/>
        <w:bottom w:val="none" w:sz="0" w:space="0" w:color="auto"/>
        <w:right w:val="none" w:sz="0" w:space="0" w:color="auto"/>
      </w:divBdr>
    </w:div>
    <w:div w:id="1266960960">
      <w:bodyDiv w:val="1"/>
      <w:marLeft w:val="0"/>
      <w:marRight w:val="0"/>
      <w:marTop w:val="0"/>
      <w:marBottom w:val="0"/>
      <w:divBdr>
        <w:top w:val="none" w:sz="0" w:space="0" w:color="auto"/>
        <w:left w:val="none" w:sz="0" w:space="0" w:color="auto"/>
        <w:bottom w:val="none" w:sz="0" w:space="0" w:color="auto"/>
        <w:right w:val="none" w:sz="0" w:space="0" w:color="auto"/>
      </w:divBdr>
    </w:div>
    <w:div w:id="1386684998">
      <w:bodyDiv w:val="1"/>
      <w:marLeft w:val="0"/>
      <w:marRight w:val="0"/>
      <w:marTop w:val="0"/>
      <w:marBottom w:val="0"/>
      <w:divBdr>
        <w:top w:val="none" w:sz="0" w:space="0" w:color="auto"/>
        <w:left w:val="none" w:sz="0" w:space="0" w:color="auto"/>
        <w:bottom w:val="none" w:sz="0" w:space="0" w:color="auto"/>
        <w:right w:val="none" w:sz="0" w:space="0" w:color="auto"/>
      </w:divBdr>
    </w:div>
    <w:div w:id="1439252152">
      <w:bodyDiv w:val="1"/>
      <w:marLeft w:val="0"/>
      <w:marRight w:val="0"/>
      <w:marTop w:val="0"/>
      <w:marBottom w:val="0"/>
      <w:divBdr>
        <w:top w:val="none" w:sz="0" w:space="0" w:color="auto"/>
        <w:left w:val="none" w:sz="0" w:space="0" w:color="auto"/>
        <w:bottom w:val="none" w:sz="0" w:space="0" w:color="auto"/>
        <w:right w:val="none" w:sz="0" w:space="0" w:color="auto"/>
      </w:divBdr>
    </w:div>
    <w:div w:id="1485968909">
      <w:bodyDiv w:val="1"/>
      <w:marLeft w:val="0"/>
      <w:marRight w:val="0"/>
      <w:marTop w:val="0"/>
      <w:marBottom w:val="0"/>
      <w:divBdr>
        <w:top w:val="none" w:sz="0" w:space="0" w:color="auto"/>
        <w:left w:val="none" w:sz="0" w:space="0" w:color="auto"/>
        <w:bottom w:val="none" w:sz="0" w:space="0" w:color="auto"/>
        <w:right w:val="none" w:sz="0" w:space="0" w:color="auto"/>
      </w:divBdr>
    </w:div>
    <w:div w:id="1547059750">
      <w:bodyDiv w:val="1"/>
      <w:marLeft w:val="0"/>
      <w:marRight w:val="0"/>
      <w:marTop w:val="0"/>
      <w:marBottom w:val="0"/>
      <w:divBdr>
        <w:top w:val="none" w:sz="0" w:space="0" w:color="auto"/>
        <w:left w:val="none" w:sz="0" w:space="0" w:color="auto"/>
        <w:bottom w:val="none" w:sz="0" w:space="0" w:color="auto"/>
        <w:right w:val="none" w:sz="0" w:space="0" w:color="auto"/>
      </w:divBdr>
    </w:div>
    <w:div w:id="1553079769">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1794323813">
      <w:bodyDiv w:val="1"/>
      <w:marLeft w:val="0"/>
      <w:marRight w:val="0"/>
      <w:marTop w:val="0"/>
      <w:marBottom w:val="0"/>
      <w:divBdr>
        <w:top w:val="none" w:sz="0" w:space="0" w:color="auto"/>
        <w:left w:val="none" w:sz="0" w:space="0" w:color="auto"/>
        <w:bottom w:val="none" w:sz="0" w:space="0" w:color="auto"/>
        <w:right w:val="none" w:sz="0" w:space="0" w:color="auto"/>
      </w:divBdr>
    </w:div>
    <w:div w:id="1836072818">
      <w:bodyDiv w:val="1"/>
      <w:marLeft w:val="0"/>
      <w:marRight w:val="0"/>
      <w:marTop w:val="0"/>
      <w:marBottom w:val="0"/>
      <w:divBdr>
        <w:top w:val="none" w:sz="0" w:space="0" w:color="auto"/>
        <w:left w:val="none" w:sz="0" w:space="0" w:color="auto"/>
        <w:bottom w:val="none" w:sz="0" w:space="0" w:color="auto"/>
        <w:right w:val="none" w:sz="0" w:space="0" w:color="auto"/>
      </w:divBdr>
    </w:div>
    <w:div w:id="1846050326">
      <w:bodyDiv w:val="1"/>
      <w:marLeft w:val="0"/>
      <w:marRight w:val="0"/>
      <w:marTop w:val="0"/>
      <w:marBottom w:val="0"/>
      <w:divBdr>
        <w:top w:val="none" w:sz="0" w:space="0" w:color="auto"/>
        <w:left w:val="none" w:sz="0" w:space="0" w:color="auto"/>
        <w:bottom w:val="none" w:sz="0" w:space="0" w:color="auto"/>
        <w:right w:val="none" w:sz="0" w:space="0" w:color="auto"/>
      </w:divBdr>
    </w:div>
    <w:div w:id="1973896991">
      <w:bodyDiv w:val="1"/>
      <w:marLeft w:val="0"/>
      <w:marRight w:val="0"/>
      <w:marTop w:val="0"/>
      <w:marBottom w:val="0"/>
      <w:divBdr>
        <w:top w:val="none" w:sz="0" w:space="0" w:color="auto"/>
        <w:left w:val="none" w:sz="0" w:space="0" w:color="auto"/>
        <w:bottom w:val="none" w:sz="0" w:space="0" w:color="auto"/>
        <w:right w:val="none" w:sz="0" w:space="0" w:color="auto"/>
      </w:divBdr>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5E53-65F7-4A75-AEE5-6F2C5032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7</Pages>
  <Words>1810</Words>
  <Characters>13874</Characters>
  <Application>Microsoft Office Word</Application>
  <DocSecurity>0</DocSecurity>
  <Lines>376</Lines>
  <Paragraphs>102</Paragraphs>
  <ScaleCrop>false</ScaleCrop>
  <HeadingPairs>
    <vt:vector size="2" baseType="variant">
      <vt:variant>
        <vt:lpstr>Title</vt:lpstr>
      </vt:variant>
      <vt:variant>
        <vt:i4>1</vt:i4>
      </vt:variant>
    </vt:vector>
  </HeadingPairs>
  <TitlesOfParts>
    <vt:vector size="1" baseType="lpstr">
      <vt:lpstr>Grozījumi Ministru kabineta 2014.gada 10.novembra noteikumos Nr.700</vt:lpstr>
    </vt:vector>
  </TitlesOfParts>
  <Company>Finanšu ministrija</Company>
  <LinksUpToDate>false</LinksUpToDate>
  <CharactersWithSpaces>15625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10.novembra noteikumos Nr.700</dc:title>
  <dc:subject>Sākotnējās ietekmes novērtējuma ziņojums (anotācija)</dc:subject>
  <dc:creator>Andrejs Zambžetskis</dc:creator>
  <dc:description>67083944, Andrejs.Zambzetskis@fm.gov.lv</dc:description>
  <cp:lastModifiedBy>Inguna Dancīte</cp:lastModifiedBy>
  <cp:revision>211</cp:revision>
  <cp:lastPrinted>2014-12-23T11:00:00Z</cp:lastPrinted>
  <dcterms:created xsi:type="dcterms:W3CDTF">2014-10-28T15:31:00Z</dcterms:created>
  <dcterms:modified xsi:type="dcterms:W3CDTF">2015-01-22T11:50:00Z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