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AD" w:rsidRPr="00A765FB" w:rsidRDefault="00982AAD" w:rsidP="00D02338">
      <w:pPr>
        <w:jc w:val="center"/>
        <w:rPr>
          <w:b/>
          <w:bCs/>
          <w:sz w:val="28"/>
          <w:szCs w:val="28"/>
        </w:rPr>
      </w:pPr>
      <w:bookmarkStart w:id="0" w:name="_GoBack"/>
      <w:bookmarkEnd w:id="0"/>
      <w:r w:rsidRPr="00A765FB">
        <w:rPr>
          <w:b/>
          <w:sz w:val="28"/>
          <w:szCs w:val="28"/>
        </w:rPr>
        <w:t>Ministru kabineta noteikumu projekta</w:t>
      </w:r>
      <w:bookmarkStart w:id="1" w:name="OLE_LINK1"/>
      <w:bookmarkStart w:id="2" w:name="OLE_LINK2"/>
      <w:r w:rsidR="00A324D2">
        <w:rPr>
          <w:b/>
          <w:sz w:val="28"/>
          <w:szCs w:val="28"/>
        </w:rPr>
        <w:t xml:space="preserve"> </w:t>
      </w:r>
      <w:r w:rsidRPr="00A765FB">
        <w:rPr>
          <w:b/>
          <w:sz w:val="28"/>
          <w:szCs w:val="28"/>
        </w:rPr>
        <w:t xml:space="preserve"> </w:t>
      </w:r>
      <w:r>
        <w:rPr>
          <w:b/>
          <w:sz w:val="28"/>
          <w:szCs w:val="28"/>
        </w:rPr>
        <w:t>“</w:t>
      </w:r>
      <w:r w:rsidR="00674A47" w:rsidRPr="00674A47">
        <w:rPr>
          <w:rStyle w:val="FontStyle20"/>
          <w:rFonts w:ascii="Times New Roman" w:hAnsi="Times New Roman" w:cs="Times New Roman"/>
          <w:sz w:val="28"/>
          <w:szCs w:val="28"/>
        </w:rPr>
        <w:t>Noteikumi par speciālo ekonomisko zonu un brīvostu kapitālsabiedrību un pašvaldību pārskatu veidlapu paraugiem</w:t>
      </w:r>
      <w:r w:rsidR="00663DF4" w:rsidRPr="00663DF4">
        <w:rPr>
          <w:b/>
          <w:bCs/>
          <w:sz w:val="28"/>
          <w:szCs w:val="28"/>
        </w:rPr>
        <w:t xml:space="preserve"> </w:t>
      </w:r>
      <w:r w:rsidR="00663DF4">
        <w:rPr>
          <w:b/>
          <w:bCs/>
          <w:sz w:val="28"/>
          <w:szCs w:val="28"/>
        </w:rPr>
        <w:t>un to aizpildīšanas un iesniegšanas kārtību</w:t>
      </w:r>
      <w:r>
        <w:rPr>
          <w:b/>
          <w:sz w:val="28"/>
          <w:szCs w:val="28"/>
        </w:rPr>
        <w:t>”</w:t>
      </w:r>
      <w:r w:rsidRPr="00A765FB">
        <w:rPr>
          <w:b/>
          <w:sz w:val="28"/>
          <w:szCs w:val="28"/>
        </w:rPr>
        <w:t xml:space="preserve"> </w:t>
      </w:r>
      <w:r w:rsidRPr="00A765FB">
        <w:rPr>
          <w:b/>
          <w:bCs/>
          <w:sz w:val="28"/>
          <w:szCs w:val="28"/>
        </w:rPr>
        <w:t>sākotnējās ietekmes novērtējuma ziņojums (anotācija</w:t>
      </w:r>
      <w:bookmarkEnd w:id="1"/>
      <w:bookmarkEnd w:id="2"/>
      <w:r w:rsidRPr="00A765FB">
        <w:rPr>
          <w:b/>
          <w:bCs/>
          <w:sz w:val="28"/>
          <w:szCs w:val="28"/>
        </w:rPr>
        <w:t>)</w:t>
      </w:r>
    </w:p>
    <w:p w:rsidR="009F30B3" w:rsidRPr="009F30B3" w:rsidRDefault="009F30B3" w:rsidP="006D0922">
      <w:pPr>
        <w:pStyle w:val="naislab"/>
        <w:spacing w:before="0" w:after="0"/>
        <w:jc w:val="center"/>
        <w:rPr>
          <w:b/>
          <w:sz w:val="16"/>
          <w:szCs w:val="16"/>
        </w:rPr>
      </w:pPr>
    </w:p>
    <w:tbl>
      <w:tblPr>
        <w:tblpPr w:leftFromText="180" w:rightFromText="180" w:vertAnchor="text" w:horzAnchor="margin" w:tblpXSpec="center" w:tblpY="14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5995"/>
      </w:tblGrid>
      <w:tr w:rsidR="009A0027" w:rsidRPr="009656DE" w:rsidTr="00C96B4C">
        <w:tc>
          <w:tcPr>
            <w:tcW w:w="9696" w:type="dxa"/>
            <w:gridSpan w:val="3"/>
            <w:vAlign w:val="center"/>
          </w:tcPr>
          <w:p w:rsidR="00852042" w:rsidRPr="009656DE" w:rsidRDefault="00852042" w:rsidP="00C96B4C">
            <w:pPr>
              <w:pStyle w:val="naisnod"/>
              <w:spacing w:before="0" w:after="60"/>
              <w:ind w:right="142"/>
            </w:pPr>
            <w:r w:rsidRPr="009656DE">
              <w:t>I</w:t>
            </w:r>
            <w:r w:rsidR="000941C5" w:rsidRPr="009656DE">
              <w:t>.</w:t>
            </w:r>
            <w:r w:rsidRPr="009656DE">
              <w:t xml:space="preserve"> Tiesību akta </w:t>
            </w:r>
            <w:r w:rsidR="002E3FF4" w:rsidRPr="009656DE">
              <w:t xml:space="preserve">projekta </w:t>
            </w:r>
            <w:r w:rsidRPr="009656DE">
              <w:t>izstrādes nepieciešamība</w:t>
            </w:r>
          </w:p>
        </w:tc>
      </w:tr>
      <w:tr w:rsidR="009A0027" w:rsidRPr="009656DE" w:rsidTr="00C96B4C">
        <w:trPr>
          <w:trHeight w:val="267"/>
        </w:trPr>
        <w:tc>
          <w:tcPr>
            <w:tcW w:w="677" w:type="dxa"/>
          </w:tcPr>
          <w:p w:rsidR="00262E2B" w:rsidRPr="009656DE" w:rsidRDefault="00262E2B" w:rsidP="00C96B4C">
            <w:pPr>
              <w:pStyle w:val="naiskr"/>
              <w:spacing w:before="0" w:after="0"/>
              <w:ind w:right="142"/>
              <w:jc w:val="center"/>
            </w:pPr>
            <w:r w:rsidRPr="009656DE">
              <w:t>1.</w:t>
            </w:r>
          </w:p>
        </w:tc>
        <w:tc>
          <w:tcPr>
            <w:tcW w:w="3024" w:type="dxa"/>
          </w:tcPr>
          <w:p w:rsidR="00262E2B" w:rsidRPr="009656DE" w:rsidRDefault="002D7F54" w:rsidP="00C96B4C">
            <w:pPr>
              <w:pStyle w:val="naiskr"/>
              <w:spacing w:before="0" w:after="0"/>
              <w:ind w:right="142"/>
            </w:pPr>
            <w:r w:rsidRPr="009656DE">
              <w:t>Pamatojums</w:t>
            </w:r>
          </w:p>
        </w:tc>
        <w:tc>
          <w:tcPr>
            <w:tcW w:w="5995" w:type="dxa"/>
          </w:tcPr>
          <w:p w:rsidR="00C65995" w:rsidRPr="009656DE" w:rsidRDefault="00C65995" w:rsidP="00B71E87">
            <w:pPr>
              <w:pStyle w:val="naiskr"/>
              <w:spacing w:before="0" w:after="0"/>
              <w:ind w:right="142" w:firstLine="127"/>
              <w:jc w:val="both"/>
            </w:pPr>
            <w:r>
              <w:t>20</w:t>
            </w:r>
            <w:r w:rsidR="00ED3CD2">
              <w:t>14</w:t>
            </w:r>
            <w:r>
              <w:t xml:space="preserve">.gada </w:t>
            </w:r>
            <w:r w:rsidR="00ED3CD2">
              <w:t>3</w:t>
            </w:r>
            <w:r>
              <w:t>.jū</w:t>
            </w:r>
            <w:r w:rsidR="00ED3CD2">
              <w:t>l</w:t>
            </w:r>
            <w:r>
              <w:t>ija</w:t>
            </w:r>
            <w:r w:rsidR="00AA3642">
              <w:t xml:space="preserve"> </w:t>
            </w:r>
            <w:r w:rsidR="001E2687">
              <w:t>likums „</w:t>
            </w:r>
            <w:r w:rsidR="00645940">
              <w:t>Grozījumi likumā „</w:t>
            </w:r>
            <w:r w:rsidR="001E2687" w:rsidRPr="001E2687">
              <w:t xml:space="preserve">Par </w:t>
            </w:r>
            <w:r w:rsidR="00ED3CD2">
              <w:t>nodokļu piemērošanu brīvostās un speciālajās ekonomiskajās zonās</w:t>
            </w:r>
            <w:r w:rsidR="00645940">
              <w:t>”</w:t>
            </w:r>
            <w:r w:rsidR="00DB6DDB">
              <w:t>”</w:t>
            </w:r>
            <w:r w:rsidR="001E2687">
              <w:t xml:space="preserve"> (stājās spēkā 20</w:t>
            </w:r>
            <w:r w:rsidR="00B71E87">
              <w:t>14</w:t>
            </w:r>
            <w:r w:rsidR="001E2687">
              <w:t>.gada 1</w:t>
            </w:r>
            <w:r w:rsidR="00B71E87">
              <w:t>1</w:t>
            </w:r>
            <w:r w:rsidR="001E2687">
              <w:t>.jūlijā)</w:t>
            </w:r>
            <w:r w:rsidR="00B71E87">
              <w:t>.</w:t>
            </w:r>
          </w:p>
        </w:tc>
      </w:tr>
      <w:tr w:rsidR="009A0027" w:rsidRPr="009656DE" w:rsidTr="00C96B4C">
        <w:trPr>
          <w:trHeight w:val="472"/>
        </w:trPr>
        <w:tc>
          <w:tcPr>
            <w:tcW w:w="677" w:type="dxa"/>
          </w:tcPr>
          <w:p w:rsidR="00262E2B" w:rsidRPr="009656DE" w:rsidRDefault="00262E2B" w:rsidP="00C96B4C">
            <w:pPr>
              <w:pStyle w:val="naiskr"/>
              <w:spacing w:before="0" w:after="0"/>
              <w:ind w:right="142"/>
              <w:jc w:val="center"/>
            </w:pPr>
            <w:r w:rsidRPr="009656DE">
              <w:t>2.</w:t>
            </w:r>
          </w:p>
        </w:tc>
        <w:tc>
          <w:tcPr>
            <w:tcW w:w="3024" w:type="dxa"/>
          </w:tcPr>
          <w:p w:rsidR="00262E2B" w:rsidRPr="00FB331B" w:rsidRDefault="003A3C61" w:rsidP="00C96B4C">
            <w:pPr>
              <w:pStyle w:val="naiskr"/>
              <w:spacing w:before="0" w:after="0"/>
              <w:ind w:right="142"/>
            </w:pPr>
            <w:r w:rsidRPr="009656DE">
              <w:t>Pašreizējā situācija un problēmas, kuru risināšanai tiesību akta projekts izstrādāts, tiesiskā regulējuma mērķis un būtība</w:t>
            </w:r>
          </w:p>
        </w:tc>
        <w:tc>
          <w:tcPr>
            <w:tcW w:w="5995" w:type="dxa"/>
          </w:tcPr>
          <w:p w:rsidR="004F5827" w:rsidRDefault="00EE6BBC" w:rsidP="00645940">
            <w:pPr>
              <w:ind w:right="142" w:firstLine="127"/>
              <w:jc w:val="both"/>
            </w:pPr>
            <w:r>
              <w:t xml:space="preserve">1. </w:t>
            </w:r>
            <w:r w:rsidR="00C65995">
              <w:t>Ar 20</w:t>
            </w:r>
            <w:r w:rsidR="004F5827">
              <w:t>14</w:t>
            </w:r>
            <w:r w:rsidR="00C65995">
              <w:t xml:space="preserve">.gada </w:t>
            </w:r>
            <w:r w:rsidR="004F5827">
              <w:t xml:space="preserve">3.jūlija </w:t>
            </w:r>
            <w:r w:rsidR="001E2687">
              <w:t>likumu „</w:t>
            </w:r>
            <w:r w:rsidR="004F5827">
              <w:t>Grozījumi likumā „</w:t>
            </w:r>
            <w:r w:rsidR="004F5827" w:rsidRPr="001E2687">
              <w:t xml:space="preserve">Par </w:t>
            </w:r>
            <w:r w:rsidR="004F5827">
              <w:t>nodokļu piemērošanu brīvostās un speciālajās ekonomiskajās zonās</w:t>
            </w:r>
            <w:r w:rsidR="00645940">
              <w:t>”</w:t>
            </w:r>
            <w:r w:rsidR="001E2687">
              <w:t xml:space="preserve">” </w:t>
            </w:r>
            <w:r w:rsidR="00DB6DDB">
              <w:t xml:space="preserve">tika </w:t>
            </w:r>
            <w:r w:rsidR="001E2687">
              <w:t xml:space="preserve">izdarīti </w:t>
            </w:r>
            <w:r w:rsidR="00C65995">
              <w:t xml:space="preserve">grozījumi </w:t>
            </w:r>
            <w:r w:rsidR="00DB6DDB" w:rsidRPr="00DB6DDB">
              <w:t>likum</w:t>
            </w:r>
            <w:r w:rsidR="00DB6DDB">
              <w:t>a</w:t>
            </w:r>
            <w:r w:rsidR="00DB6DDB" w:rsidRPr="00DB6DDB">
              <w:t xml:space="preserve"> </w:t>
            </w:r>
            <w:r w:rsidR="00045FA0">
              <w:t>„</w:t>
            </w:r>
            <w:r w:rsidR="004F5827" w:rsidRPr="001E2687">
              <w:t xml:space="preserve">Par </w:t>
            </w:r>
            <w:r w:rsidR="004F5827">
              <w:t>nodokļu piemērošanu brīvostās un speciālajās ekonomiskajās zonās</w:t>
            </w:r>
            <w:r w:rsidR="00045FA0">
              <w:t>”</w:t>
            </w:r>
            <w:r w:rsidR="00DB6DDB">
              <w:t xml:space="preserve"> (turpmāk – </w:t>
            </w:r>
            <w:r w:rsidR="00C53B59" w:rsidRPr="00C53B59">
              <w:t>Likum</w:t>
            </w:r>
            <w:r w:rsidR="00DB6DDB">
              <w:t>s)</w:t>
            </w:r>
            <w:r w:rsidR="00C53B59" w:rsidRPr="00C53B59">
              <w:t xml:space="preserve"> </w:t>
            </w:r>
            <w:r w:rsidR="004F5827">
              <w:t>12</w:t>
            </w:r>
            <w:r w:rsidR="00C53B59" w:rsidRPr="00C53B59">
              <w:t>.pant</w:t>
            </w:r>
            <w:r w:rsidR="001E2687">
              <w:t>ā un saskaņā ar šā panta</w:t>
            </w:r>
            <w:r w:rsidR="00C53B59" w:rsidRPr="00C53B59">
              <w:t xml:space="preserve"> </w:t>
            </w:r>
            <w:r w:rsidR="004F5827">
              <w:t>pirmo</w:t>
            </w:r>
            <w:r w:rsidR="00C53B59" w:rsidRPr="00C53B59">
              <w:t xml:space="preserve"> daļ</w:t>
            </w:r>
            <w:r w:rsidR="001E2687">
              <w:t>u</w:t>
            </w:r>
            <w:r w:rsidR="00C53B59" w:rsidRPr="00C53B59">
              <w:t xml:space="preserve"> </w:t>
            </w:r>
            <w:r w:rsidR="00DB6DDB">
              <w:t>tika</w:t>
            </w:r>
            <w:r w:rsidR="00DB6DDB" w:rsidRPr="00C53B59">
              <w:t xml:space="preserve"> </w:t>
            </w:r>
            <w:r w:rsidR="00C53B59" w:rsidRPr="00C53B59">
              <w:t xml:space="preserve">mainīta </w:t>
            </w:r>
            <w:r w:rsidR="004F5827">
              <w:t xml:space="preserve">kārtība, kādā </w:t>
            </w:r>
            <w:r w:rsidR="004F5827" w:rsidRPr="004F5827">
              <w:rPr>
                <w:b/>
                <w:bCs/>
                <w:color w:val="000000"/>
                <w:sz w:val="28"/>
                <w:szCs w:val="28"/>
              </w:rPr>
              <w:t xml:space="preserve"> </w:t>
            </w:r>
            <w:r w:rsidR="004F5827" w:rsidRPr="004F5827">
              <w:rPr>
                <w:bCs/>
              </w:rPr>
              <w:t xml:space="preserve">speciālo ekonomisko zonu </w:t>
            </w:r>
            <w:r w:rsidR="00B613DE" w:rsidRPr="004F5827">
              <w:rPr>
                <w:bCs/>
              </w:rPr>
              <w:t xml:space="preserve"> kapitālsabiedrīb</w:t>
            </w:r>
            <w:r w:rsidR="00B613DE">
              <w:rPr>
                <w:bCs/>
              </w:rPr>
              <w:t>as</w:t>
            </w:r>
            <w:r w:rsidR="00B613DE" w:rsidRPr="004F5827">
              <w:rPr>
                <w:bCs/>
              </w:rPr>
              <w:t xml:space="preserve"> </w:t>
            </w:r>
            <w:r w:rsidR="004F5827" w:rsidRPr="004F5827">
              <w:rPr>
                <w:bCs/>
              </w:rPr>
              <w:t xml:space="preserve">un brīvostu </w:t>
            </w:r>
            <w:r w:rsidR="00B613DE">
              <w:rPr>
                <w:bCs/>
              </w:rPr>
              <w:t xml:space="preserve">licencētas </w:t>
            </w:r>
            <w:r w:rsidR="004F5827" w:rsidRPr="004F5827">
              <w:rPr>
                <w:bCs/>
              </w:rPr>
              <w:t>kapitālsabiedrīb</w:t>
            </w:r>
            <w:r w:rsidR="004F5827">
              <w:rPr>
                <w:bCs/>
              </w:rPr>
              <w:t xml:space="preserve">as un pašvaldības sniedz </w:t>
            </w:r>
            <w:r w:rsidR="004F5827">
              <w:t>Valsts ieņēmumu dienestam informācij</w:t>
            </w:r>
            <w:r w:rsidR="00B613DE">
              <w:t>u</w:t>
            </w:r>
            <w:r w:rsidR="004F5827">
              <w:t xml:space="preserve"> par </w:t>
            </w:r>
            <w:r w:rsidR="00B613DE">
              <w:t>uzņēmumu ienākuma nodokļa atlaides piemērošanu, nekustamā īpašuma nodokļa atlaides piemērošanu un citu saņemto atbalstu sākotnējo ieguldījumu veikšanai, kā arī par uzkrāto tiešo nodokļu atlaižu summu un uzkrāto ieguldījumu summu taksācijas periodā.</w:t>
            </w:r>
          </w:p>
          <w:p w:rsidR="00820750" w:rsidRPr="00820750" w:rsidRDefault="00C66246" w:rsidP="00820750">
            <w:pPr>
              <w:pStyle w:val="DefaultParagraphFont1"/>
              <w:ind w:right="142" w:firstLine="127"/>
              <w:jc w:val="both"/>
              <w:rPr>
                <w:rFonts w:ascii="Times New Roman" w:hAnsi="Times New Roman"/>
                <w:sz w:val="24"/>
                <w:szCs w:val="24"/>
              </w:rPr>
            </w:pPr>
            <w:r w:rsidRPr="00C66246">
              <w:rPr>
                <w:rFonts w:ascii="Times New Roman" w:hAnsi="Times New Roman"/>
                <w:sz w:val="24"/>
                <w:szCs w:val="24"/>
              </w:rPr>
              <w:t xml:space="preserve">Līdz grozījumiem </w:t>
            </w:r>
            <w:r w:rsidR="00347A14">
              <w:rPr>
                <w:rFonts w:ascii="Times New Roman" w:hAnsi="Times New Roman"/>
                <w:sz w:val="24"/>
                <w:szCs w:val="24"/>
              </w:rPr>
              <w:t>L</w:t>
            </w:r>
            <w:r w:rsidR="000A11F5">
              <w:rPr>
                <w:rFonts w:ascii="Times New Roman" w:hAnsi="Times New Roman"/>
                <w:sz w:val="24"/>
                <w:szCs w:val="24"/>
              </w:rPr>
              <w:t>ikumā</w:t>
            </w:r>
            <w:r w:rsidR="000A11F5" w:rsidRPr="000A11F5">
              <w:rPr>
                <w:rFonts w:ascii="Times New Roman" w:hAnsi="Times New Roman"/>
                <w:bCs/>
                <w:sz w:val="24"/>
                <w:szCs w:val="24"/>
                <w:lang w:eastAsia="lv-LV"/>
              </w:rPr>
              <w:t xml:space="preserve"> </w:t>
            </w:r>
            <w:r w:rsidR="000A11F5" w:rsidRPr="000A11F5">
              <w:rPr>
                <w:rFonts w:ascii="Times New Roman" w:hAnsi="Times New Roman"/>
                <w:bCs/>
                <w:sz w:val="24"/>
                <w:szCs w:val="24"/>
              </w:rPr>
              <w:t>speciālo ekonomisko zonu kapitālsabiedrības un brīvostu licencētas kapitālsabiedrības</w:t>
            </w:r>
            <w:r w:rsidR="000A11F5">
              <w:rPr>
                <w:rFonts w:ascii="Times New Roman" w:hAnsi="Times New Roman"/>
                <w:bCs/>
                <w:sz w:val="24"/>
                <w:szCs w:val="24"/>
              </w:rPr>
              <w:t xml:space="preserve"> sniedza informāciju </w:t>
            </w:r>
            <w:r w:rsidR="000A11F5" w:rsidRPr="000A11F5">
              <w:rPr>
                <w:rFonts w:ascii="Times New Roman" w:hAnsi="Times New Roman"/>
                <w:bCs/>
                <w:sz w:val="24"/>
                <w:szCs w:val="24"/>
              </w:rPr>
              <w:t>Valsts ieņēmumu dienestam</w:t>
            </w:r>
            <w:r w:rsidR="000A11F5">
              <w:rPr>
                <w:rFonts w:ascii="Times New Roman" w:hAnsi="Times New Roman"/>
                <w:bCs/>
                <w:sz w:val="24"/>
                <w:szCs w:val="24"/>
              </w:rPr>
              <w:t xml:space="preserve">, aizpildot veidlapas, kuras apstiprināja Ministru kabineta 2001.gada 18.decembra </w:t>
            </w:r>
            <w:r w:rsidR="00820750">
              <w:rPr>
                <w:rFonts w:ascii="Times New Roman" w:hAnsi="Times New Roman"/>
                <w:bCs/>
                <w:sz w:val="24"/>
                <w:szCs w:val="24"/>
              </w:rPr>
              <w:t>noteikumi Nr.517 „</w:t>
            </w:r>
            <w:r w:rsidR="000A11F5" w:rsidRPr="000A11F5">
              <w:rPr>
                <w:rFonts w:ascii="Times New Roman" w:hAnsi="Times New Roman"/>
                <w:sz w:val="24"/>
                <w:szCs w:val="24"/>
              </w:rPr>
              <w:t>Noteikumi par speciālo ekonomisko zonu un brīvostu kapitālsabiedrību pārskatu veidlapu paraugiem</w:t>
            </w:r>
            <w:r w:rsidR="00820750">
              <w:rPr>
                <w:rFonts w:ascii="Times New Roman" w:hAnsi="Times New Roman"/>
                <w:sz w:val="24"/>
                <w:szCs w:val="24"/>
              </w:rPr>
              <w:t xml:space="preserve">”. </w:t>
            </w:r>
            <w:r w:rsidR="00AA3642">
              <w:rPr>
                <w:rFonts w:ascii="Times New Roman" w:hAnsi="Times New Roman"/>
                <w:sz w:val="24"/>
                <w:szCs w:val="24"/>
              </w:rPr>
              <w:t>Savukārt</w:t>
            </w:r>
            <w:r w:rsidR="00347A14">
              <w:rPr>
                <w:rFonts w:ascii="Times New Roman" w:hAnsi="Times New Roman"/>
                <w:sz w:val="24"/>
                <w:szCs w:val="24"/>
              </w:rPr>
              <w:t>,</w:t>
            </w:r>
            <w:r w:rsidR="00AA3642">
              <w:rPr>
                <w:rFonts w:ascii="Times New Roman" w:hAnsi="Times New Roman"/>
                <w:sz w:val="24"/>
                <w:szCs w:val="24"/>
              </w:rPr>
              <w:t xml:space="preserve"> pēc grozījumu veikšanas </w:t>
            </w:r>
            <w:r w:rsidR="00347A14">
              <w:rPr>
                <w:rFonts w:ascii="Times New Roman" w:hAnsi="Times New Roman"/>
                <w:sz w:val="24"/>
                <w:szCs w:val="24"/>
              </w:rPr>
              <w:t>L</w:t>
            </w:r>
            <w:r w:rsidR="00DB6DDB">
              <w:rPr>
                <w:rFonts w:ascii="Times New Roman" w:hAnsi="Times New Roman"/>
                <w:sz w:val="24"/>
                <w:szCs w:val="24"/>
              </w:rPr>
              <w:t xml:space="preserve">ikumā </w:t>
            </w:r>
            <w:r w:rsidR="00820750">
              <w:rPr>
                <w:rFonts w:ascii="Times New Roman" w:hAnsi="Times New Roman"/>
                <w:sz w:val="24"/>
                <w:szCs w:val="24"/>
              </w:rPr>
              <w:t>pašvaldībām</w:t>
            </w:r>
            <w:r w:rsidR="00820750" w:rsidRPr="00820750">
              <w:rPr>
                <w:rFonts w:ascii="Times New Roman" w:hAnsi="Times New Roman"/>
                <w:sz w:val="24"/>
                <w:szCs w:val="24"/>
              </w:rPr>
              <w:t xml:space="preserve"> </w:t>
            </w:r>
            <w:r w:rsidR="00820750">
              <w:rPr>
                <w:rFonts w:ascii="Times New Roman" w:hAnsi="Times New Roman"/>
                <w:sz w:val="24"/>
                <w:szCs w:val="24"/>
              </w:rPr>
              <w:t xml:space="preserve">ir jāsniedz </w:t>
            </w:r>
            <w:r w:rsidR="00820750" w:rsidRPr="00820750">
              <w:rPr>
                <w:rFonts w:ascii="Times New Roman" w:hAnsi="Times New Roman"/>
                <w:sz w:val="24"/>
                <w:szCs w:val="24"/>
              </w:rPr>
              <w:t>informācij</w:t>
            </w:r>
            <w:r w:rsidR="00820750">
              <w:rPr>
                <w:rFonts w:ascii="Times New Roman" w:hAnsi="Times New Roman"/>
                <w:sz w:val="24"/>
                <w:szCs w:val="24"/>
              </w:rPr>
              <w:t>a</w:t>
            </w:r>
            <w:r w:rsidR="00820750" w:rsidRPr="00820750">
              <w:rPr>
                <w:rFonts w:ascii="Times New Roman" w:hAnsi="Times New Roman"/>
                <w:sz w:val="24"/>
                <w:szCs w:val="24"/>
              </w:rPr>
              <w:t xml:space="preserve"> </w:t>
            </w:r>
            <w:r w:rsidR="00820750" w:rsidRPr="000A11F5">
              <w:rPr>
                <w:rFonts w:ascii="Times New Roman" w:hAnsi="Times New Roman"/>
                <w:bCs/>
                <w:sz w:val="24"/>
                <w:szCs w:val="24"/>
              </w:rPr>
              <w:t>Valsts ieņēmumu dienestam</w:t>
            </w:r>
            <w:r w:rsidR="00820750" w:rsidRPr="00820750">
              <w:rPr>
                <w:rFonts w:ascii="Times New Roman" w:hAnsi="Times New Roman"/>
                <w:sz w:val="24"/>
                <w:szCs w:val="24"/>
              </w:rPr>
              <w:t xml:space="preserve"> par nekustamā īpašuma nodokļa atlaides piemērošanu</w:t>
            </w:r>
            <w:r w:rsidR="00820750">
              <w:rPr>
                <w:rFonts w:ascii="Times New Roman" w:hAnsi="Times New Roman"/>
                <w:sz w:val="24"/>
                <w:szCs w:val="24"/>
              </w:rPr>
              <w:t xml:space="preserve">, kā arī atbilstošajām kapitālsabiedrībām ir jāsniedz </w:t>
            </w:r>
            <w:r w:rsidR="00820750" w:rsidRPr="00820750">
              <w:rPr>
                <w:rFonts w:ascii="Times New Roman" w:hAnsi="Times New Roman"/>
                <w:sz w:val="24"/>
                <w:szCs w:val="24"/>
              </w:rPr>
              <w:t>informācij</w:t>
            </w:r>
            <w:r w:rsidR="00820750">
              <w:rPr>
                <w:rFonts w:ascii="Times New Roman" w:hAnsi="Times New Roman"/>
                <w:sz w:val="24"/>
                <w:szCs w:val="24"/>
              </w:rPr>
              <w:t xml:space="preserve">a par tiešo nodokļu atlaidēm un </w:t>
            </w:r>
            <w:r w:rsidR="00820750" w:rsidRPr="00820750">
              <w:rPr>
                <w:rFonts w:ascii="Times New Roman" w:hAnsi="Times New Roman"/>
                <w:sz w:val="24"/>
                <w:szCs w:val="24"/>
              </w:rPr>
              <w:t>citu saņemto atbalstu s</w:t>
            </w:r>
            <w:r w:rsidR="00820750">
              <w:rPr>
                <w:rFonts w:ascii="Times New Roman" w:hAnsi="Times New Roman"/>
                <w:sz w:val="24"/>
                <w:szCs w:val="24"/>
              </w:rPr>
              <w:t>ākotnējo ieguldījumu veikšanai.</w:t>
            </w:r>
          </w:p>
          <w:p w:rsidR="00EF2E31" w:rsidRPr="00C53B59" w:rsidRDefault="00EF2E31" w:rsidP="00645940">
            <w:pPr>
              <w:pStyle w:val="DefaultParagraphFont1"/>
              <w:ind w:right="142" w:firstLine="127"/>
              <w:jc w:val="both"/>
              <w:rPr>
                <w:rFonts w:ascii="Times New Roman" w:hAnsi="Times New Roman"/>
                <w:sz w:val="24"/>
                <w:szCs w:val="24"/>
              </w:rPr>
            </w:pPr>
            <w:r>
              <w:rPr>
                <w:rFonts w:ascii="Times New Roman" w:hAnsi="Times New Roman"/>
                <w:sz w:val="24"/>
                <w:szCs w:val="24"/>
              </w:rPr>
              <w:t xml:space="preserve">Ņemot vērā veiktos grozījumus </w:t>
            </w:r>
            <w:r w:rsidR="005171F5">
              <w:rPr>
                <w:rFonts w:ascii="Times New Roman" w:hAnsi="Times New Roman"/>
                <w:sz w:val="24"/>
                <w:szCs w:val="24"/>
              </w:rPr>
              <w:t>L</w:t>
            </w:r>
            <w:r>
              <w:rPr>
                <w:rFonts w:ascii="Times New Roman" w:hAnsi="Times New Roman"/>
                <w:sz w:val="24"/>
                <w:szCs w:val="24"/>
              </w:rPr>
              <w:t xml:space="preserve">ikuma </w:t>
            </w:r>
            <w:r w:rsidR="000121E6">
              <w:rPr>
                <w:rFonts w:ascii="Times New Roman" w:hAnsi="Times New Roman"/>
                <w:sz w:val="24"/>
                <w:szCs w:val="24"/>
              </w:rPr>
              <w:t>12</w:t>
            </w:r>
            <w:r>
              <w:rPr>
                <w:rFonts w:ascii="Times New Roman" w:hAnsi="Times New Roman"/>
                <w:sz w:val="24"/>
                <w:szCs w:val="24"/>
              </w:rPr>
              <w:t>.pantā</w:t>
            </w:r>
            <w:r w:rsidR="000121E6">
              <w:rPr>
                <w:rFonts w:ascii="Times New Roman" w:hAnsi="Times New Roman"/>
                <w:sz w:val="24"/>
                <w:szCs w:val="24"/>
              </w:rPr>
              <w:t xml:space="preserve"> un Valsts ieņēmumu dienestam sniedzamās informācijas saturiskās izmaiņas</w:t>
            </w:r>
            <w:r w:rsidR="00FF0802">
              <w:rPr>
                <w:rFonts w:ascii="Times New Roman" w:hAnsi="Times New Roman"/>
                <w:sz w:val="24"/>
                <w:szCs w:val="24"/>
              </w:rPr>
              <w:t>, ko arī nosaka grozījumi Likuma 12.pantā</w:t>
            </w:r>
            <w:r>
              <w:rPr>
                <w:rFonts w:ascii="Times New Roman" w:hAnsi="Times New Roman"/>
                <w:sz w:val="24"/>
                <w:szCs w:val="24"/>
              </w:rPr>
              <w:t xml:space="preserve">, </w:t>
            </w:r>
            <w:r w:rsidR="000121E6">
              <w:rPr>
                <w:rFonts w:ascii="Times New Roman" w:hAnsi="Times New Roman"/>
                <w:sz w:val="24"/>
                <w:szCs w:val="24"/>
              </w:rPr>
              <w:t>ir</w:t>
            </w:r>
            <w:r>
              <w:rPr>
                <w:rFonts w:ascii="Times New Roman" w:hAnsi="Times New Roman"/>
                <w:sz w:val="24"/>
                <w:szCs w:val="24"/>
              </w:rPr>
              <w:t xml:space="preserve"> nepieciešam</w:t>
            </w:r>
            <w:r w:rsidR="000121E6">
              <w:rPr>
                <w:rFonts w:ascii="Times New Roman" w:hAnsi="Times New Roman"/>
                <w:sz w:val="24"/>
                <w:szCs w:val="24"/>
              </w:rPr>
              <w:t>as jaunas p</w:t>
            </w:r>
            <w:r>
              <w:rPr>
                <w:rFonts w:ascii="Times New Roman" w:hAnsi="Times New Roman"/>
                <w:sz w:val="24"/>
                <w:szCs w:val="24"/>
              </w:rPr>
              <w:t>ārskatu veidlapas.</w:t>
            </w:r>
          </w:p>
          <w:p w:rsidR="0097347D" w:rsidRPr="00EA4493" w:rsidRDefault="00822B9D" w:rsidP="00822B9D">
            <w:pPr>
              <w:tabs>
                <w:tab w:val="left" w:pos="2127"/>
                <w:tab w:val="left" w:pos="6096"/>
              </w:tabs>
              <w:ind w:right="142" w:firstLine="127"/>
              <w:jc w:val="both"/>
              <w:rPr>
                <w:bCs/>
              </w:rPr>
            </w:pPr>
            <w:r>
              <w:rPr>
                <w:bCs/>
              </w:rPr>
              <w:t>S</w:t>
            </w:r>
            <w:r w:rsidRPr="004F5827">
              <w:rPr>
                <w:bCs/>
              </w:rPr>
              <w:t>peciālo ekonomisko zonu kapitālsabiedrīb</w:t>
            </w:r>
            <w:r>
              <w:rPr>
                <w:bCs/>
              </w:rPr>
              <w:t>u</w:t>
            </w:r>
            <w:r w:rsidRPr="004F5827">
              <w:rPr>
                <w:bCs/>
              </w:rPr>
              <w:t xml:space="preserve"> un brīvostu </w:t>
            </w:r>
            <w:r>
              <w:rPr>
                <w:bCs/>
              </w:rPr>
              <w:t xml:space="preserve">licencēto </w:t>
            </w:r>
            <w:r w:rsidRPr="004F5827">
              <w:rPr>
                <w:bCs/>
              </w:rPr>
              <w:t>kapitālsabiedrīb</w:t>
            </w:r>
            <w:r>
              <w:rPr>
                <w:bCs/>
              </w:rPr>
              <w:t>u sniedzamo i</w:t>
            </w:r>
            <w:r w:rsidR="0097347D" w:rsidRPr="00EA4493">
              <w:rPr>
                <w:bCs/>
              </w:rPr>
              <w:t>nformācij</w:t>
            </w:r>
            <w:r w:rsidR="00F137E4">
              <w:rPr>
                <w:bCs/>
              </w:rPr>
              <w:t>u</w:t>
            </w:r>
            <w:r w:rsidR="0097347D" w:rsidRPr="00EA4493">
              <w:rPr>
                <w:bCs/>
              </w:rPr>
              <w:t xml:space="preserve"> par </w:t>
            </w:r>
            <w:r>
              <w:rPr>
                <w:bCs/>
              </w:rPr>
              <w:t xml:space="preserve">uzņēmumu ienākuma nodokļa atlaides piemērošanu, citu saņemto atbalstu sākotnējo ieguldījumu veikšanai, uzkrāto tiešo nodokļu atlaižu summu un uzkrāto ieguldījumu summu ir </w:t>
            </w:r>
            <w:r w:rsidR="0097347D">
              <w:rPr>
                <w:bCs/>
              </w:rPr>
              <w:t xml:space="preserve">paredzēts </w:t>
            </w:r>
            <w:r w:rsidR="0097347D" w:rsidRPr="00EA4493">
              <w:rPr>
                <w:bCs/>
              </w:rPr>
              <w:t>norād</w:t>
            </w:r>
            <w:r w:rsidR="0097347D">
              <w:rPr>
                <w:bCs/>
              </w:rPr>
              <w:t>īt</w:t>
            </w:r>
            <w:r w:rsidR="0097347D" w:rsidRPr="00EA4493">
              <w:rPr>
                <w:bCs/>
              </w:rPr>
              <w:t xml:space="preserve"> vienā pārskatā un </w:t>
            </w:r>
            <w:r>
              <w:rPr>
                <w:bCs/>
              </w:rPr>
              <w:t>pašvaldības sniedzamo</w:t>
            </w:r>
            <w:r w:rsidRPr="00EA4493">
              <w:rPr>
                <w:bCs/>
              </w:rPr>
              <w:t xml:space="preserve"> </w:t>
            </w:r>
            <w:r w:rsidR="0097347D" w:rsidRPr="00EA4493">
              <w:rPr>
                <w:bCs/>
              </w:rPr>
              <w:t>informācij</w:t>
            </w:r>
            <w:r w:rsidR="0097347D">
              <w:rPr>
                <w:bCs/>
              </w:rPr>
              <w:t>u</w:t>
            </w:r>
            <w:r w:rsidR="0097347D" w:rsidRPr="00EA4493">
              <w:rPr>
                <w:bCs/>
              </w:rPr>
              <w:t xml:space="preserve"> par </w:t>
            </w:r>
            <w:r>
              <w:rPr>
                <w:bCs/>
              </w:rPr>
              <w:t>nekustamā īpašuma nodokļa atlaižu piemērošanu –</w:t>
            </w:r>
            <w:r w:rsidR="0097347D" w:rsidRPr="00EA4493">
              <w:rPr>
                <w:bCs/>
              </w:rPr>
              <w:t xml:space="preserve"> otrā pārskatā.</w:t>
            </w:r>
          </w:p>
          <w:p w:rsidR="00372EAE" w:rsidRDefault="008C3A13" w:rsidP="00645940">
            <w:pPr>
              <w:tabs>
                <w:tab w:val="left" w:pos="2127"/>
                <w:tab w:val="left" w:pos="6096"/>
              </w:tabs>
              <w:ind w:right="142" w:firstLine="127"/>
              <w:jc w:val="both"/>
            </w:pPr>
            <w:r>
              <w:t xml:space="preserve">Līdz ar to </w:t>
            </w:r>
            <w:r w:rsidR="00372EAE">
              <w:t>Ministru kabineta noteikumu projekts paredz:</w:t>
            </w:r>
          </w:p>
          <w:p w:rsidR="007862BD" w:rsidRPr="007862BD" w:rsidRDefault="00372EAE" w:rsidP="00BF68A9">
            <w:pPr>
              <w:pStyle w:val="ListParagraph"/>
              <w:numPr>
                <w:ilvl w:val="0"/>
                <w:numId w:val="24"/>
              </w:numPr>
              <w:tabs>
                <w:tab w:val="left" w:pos="410"/>
                <w:tab w:val="left" w:pos="6096"/>
              </w:tabs>
              <w:ind w:right="142"/>
              <w:jc w:val="both"/>
              <w:rPr>
                <w:lang w:val="lv-LV"/>
              </w:rPr>
            </w:pPr>
            <w:r w:rsidRPr="007862BD">
              <w:rPr>
                <w:lang w:val="lv-LV"/>
              </w:rPr>
              <w:lastRenderedPageBreak/>
              <w:t>pārskat</w:t>
            </w:r>
            <w:r w:rsidR="00822B9D" w:rsidRPr="007862BD">
              <w:rPr>
                <w:lang w:val="lv-LV"/>
              </w:rPr>
              <w:t>a</w:t>
            </w:r>
            <w:r w:rsidR="007862BD" w:rsidRPr="007862BD">
              <w:rPr>
                <w:lang w:val="lv-LV"/>
              </w:rPr>
              <w:t xml:space="preserve"> veidlapas paraugu, kuru</w:t>
            </w:r>
            <w:r w:rsidR="007862BD" w:rsidRPr="007862BD">
              <w:rPr>
                <w:bCs/>
                <w:lang w:val="lv-LV"/>
              </w:rPr>
              <w:t xml:space="preserve"> aizpilda un iesniedz speciālo ekonomisko zonu kapitālsabiedrības un brīvostu licencētās kapitālsabiedrības</w:t>
            </w:r>
            <w:r w:rsidR="007862BD">
              <w:rPr>
                <w:bCs/>
                <w:lang w:val="lv-LV"/>
              </w:rPr>
              <w:t>, un aizpildīšanas kārtību</w:t>
            </w:r>
            <w:r w:rsidR="007862BD" w:rsidRPr="007862BD">
              <w:rPr>
                <w:bCs/>
                <w:lang w:val="lv-LV"/>
              </w:rPr>
              <w:t>;</w:t>
            </w:r>
          </w:p>
          <w:p w:rsidR="007862BD" w:rsidRPr="007862BD" w:rsidRDefault="007862BD" w:rsidP="00BF68A9">
            <w:pPr>
              <w:pStyle w:val="ListParagraph"/>
              <w:numPr>
                <w:ilvl w:val="0"/>
                <w:numId w:val="24"/>
              </w:numPr>
              <w:tabs>
                <w:tab w:val="left" w:pos="410"/>
                <w:tab w:val="left" w:pos="6096"/>
              </w:tabs>
              <w:ind w:right="142"/>
              <w:jc w:val="both"/>
              <w:rPr>
                <w:lang w:val="lv-LV"/>
              </w:rPr>
            </w:pPr>
            <w:r w:rsidRPr="007862BD">
              <w:rPr>
                <w:lang w:val="lv-LV"/>
              </w:rPr>
              <w:t>pārskata veidlapas paraugu, kuru</w:t>
            </w:r>
            <w:r w:rsidRPr="007862BD">
              <w:rPr>
                <w:bCs/>
                <w:lang w:val="lv-LV"/>
              </w:rPr>
              <w:t xml:space="preserve"> aizpilda un iesniedz </w:t>
            </w:r>
            <w:r>
              <w:rPr>
                <w:bCs/>
                <w:lang w:val="lv-LV"/>
              </w:rPr>
              <w:t xml:space="preserve">pašvaldības, </w:t>
            </w:r>
            <w:r w:rsidR="00FF0802">
              <w:rPr>
                <w:bCs/>
                <w:lang w:val="lv-LV"/>
              </w:rPr>
              <w:t>kuru teritorijā atrodas</w:t>
            </w:r>
            <w:r w:rsidR="00FF0802" w:rsidRPr="007862BD">
              <w:rPr>
                <w:bCs/>
                <w:lang w:val="lv-LV"/>
              </w:rPr>
              <w:t xml:space="preserve"> speciālo ekonomisko zonu kapitālsabiedrības un brīvostu licencētās kapitālsabiedrības</w:t>
            </w:r>
            <w:r w:rsidR="00FF0802">
              <w:rPr>
                <w:bCs/>
                <w:lang w:val="lv-LV"/>
              </w:rPr>
              <w:t xml:space="preserve">, </w:t>
            </w:r>
            <w:r>
              <w:rPr>
                <w:bCs/>
                <w:lang w:val="lv-LV"/>
              </w:rPr>
              <w:t>un aizpildīšanas kārtību.</w:t>
            </w:r>
          </w:p>
          <w:p w:rsidR="00372EAE" w:rsidRPr="00591C5A" w:rsidRDefault="00372EAE" w:rsidP="00645940">
            <w:pPr>
              <w:tabs>
                <w:tab w:val="left" w:pos="2127"/>
                <w:tab w:val="left" w:pos="6096"/>
              </w:tabs>
              <w:ind w:right="142" w:firstLine="127"/>
              <w:jc w:val="both"/>
              <w:rPr>
                <w:bCs/>
              </w:rPr>
            </w:pPr>
          </w:p>
        </w:tc>
      </w:tr>
      <w:tr w:rsidR="009A0027" w:rsidRPr="009656DE" w:rsidTr="00C96B4C">
        <w:trPr>
          <w:trHeight w:val="476"/>
        </w:trPr>
        <w:tc>
          <w:tcPr>
            <w:tcW w:w="677" w:type="dxa"/>
          </w:tcPr>
          <w:p w:rsidR="00262E2B" w:rsidRPr="009656DE" w:rsidRDefault="003A3C61" w:rsidP="00C96B4C">
            <w:pPr>
              <w:pStyle w:val="naiskr"/>
              <w:spacing w:before="0" w:after="0"/>
              <w:ind w:right="142"/>
              <w:jc w:val="center"/>
            </w:pPr>
            <w:r w:rsidRPr="009656DE">
              <w:lastRenderedPageBreak/>
              <w:t>3</w:t>
            </w:r>
            <w:r w:rsidR="00262E2B" w:rsidRPr="009656DE">
              <w:t>.</w:t>
            </w:r>
          </w:p>
        </w:tc>
        <w:tc>
          <w:tcPr>
            <w:tcW w:w="3024" w:type="dxa"/>
          </w:tcPr>
          <w:p w:rsidR="00262E2B" w:rsidRPr="009656DE" w:rsidRDefault="001A4066" w:rsidP="00C96B4C">
            <w:pPr>
              <w:pStyle w:val="naiskr"/>
              <w:spacing w:before="0" w:after="60"/>
              <w:ind w:right="142"/>
            </w:pPr>
            <w:r w:rsidRPr="009656DE">
              <w:t>Projekta i</w:t>
            </w:r>
            <w:r w:rsidR="00262E2B" w:rsidRPr="009656DE">
              <w:t>zstrād</w:t>
            </w:r>
            <w:r w:rsidR="00420870" w:rsidRPr="009656DE">
              <w:t xml:space="preserve">ē </w:t>
            </w:r>
            <w:r w:rsidR="00262E2B" w:rsidRPr="009656DE">
              <w:t>iesaistītās institūcijas</w:t>
            </w:r>
          </w:p>
        </w:tc>
        <w:tc>
          <w:tcPr>
            <w:tcW w:w="5995" w:type="dxa"/>
          </w:tcPr>
          <w:p w:rsidR="009C5659" w:rsidRPr="00233198" w:rsidRDefault="001C4D38" w:rsidP="007862BD">
            <w:pPr>
              <w:pStyle w:val="naiskr"/>
              <w:spacing w:before="0" w:after="120"/>
              <w:ind w:right="142"/>
              <w:jc w:val="both"/>
            </w:pPr>
            <w:r>
              <w:t>Valsts ieņēmumu dienests</w:t>
            </w:r>
            <w:r w:rsidR="00257155">
              <w:t xml:space="preserve"> </w:t>
            </w:r>
          </w:p>
        </w:tc>
      </w:tr>
      <w:tr w:rsidR="009A0027" w:rsidRPr="009656DE" w:rsidTr="00C96B4C">
        <w:tc>
          <w:tcPr>
            <w:tcW w:w="677" w:type="dxa"/>
          </w:tcPr>
          <w:p w:rsidR="00262E2B" w:rsidRPr="009656DE" w:rsidRDefault="003A3C61" w:rsidP="00C96B4C">
            <w:pPr>
              <w:pStyle w:val="naiskr"/>
              <w:spacing w:before="0" w:after="0"/>
              <w:ind w:right="142"/>
              <w:jc w:val="center"/>
            </w:pPr>
            <w:r w:rsidRPr="009656DE">
              <w:t>4</w:t>
            </w:r>
            <w:r w:rsidR="00262E2B" w:rsidRPr="009656DE">
              <w:t>.</w:t>
            </w:r>
          </w:p>
        </w:tc>
        <w:tc>
          <w:tcPr>
            <w:tcW w:w="3024" w:type="dxa"/>
          </w:tcPr>
          <w:p w:rsidR="00262E2B" w:rsidRPr="009656DE" w:rsidRDefault="00262E2B" w:rsidP="00C96B4C">
            <w:pPr>
              <w:pStyle w:val="naiskr"/>
              <w:spacing w:before="0" w:after="0"/>
              <w:ind w:right="142"/>
            </w:pPr>
            <w:r w:rsidRPr="009656DE">
              <w:t>Cita informācija</w:t>
            </w:r>
          </w:p>
        </w:tc>
        <w:tc>
          <w:tcPr>
            <w:tcW w:w="5995" w:type="dxa"/>
          </w:tcPr>
          <w:p w:rsidR="00F00FA3" w:rsidRPr="009656DE" w:rsidRDefault="00257155" w:rsidP="00C96B4C">
            <w:pPr>
              <w:ind w:right="142"/>
              <w:jc w:val="both"/>
            </w:pPr>
            <w:r>
              <w:t>Nav</w:t>
            </w:r>
          </w:p>
        </w:tc>
      </w:tr>
    </w:tbl>
    <w:p w:rsidR="009D4EF6" w:rsidRPr="009656DE" w:rsidRDefault="009D4EF6" w:rsidP="00C96B4C">
      <w:pPr>
        <w:pStyle w:val="naisf"/>
        <w:spacing w:before="0" w:after="0"/>
        <w:ind w:right="142"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456A5B" w:rsidTr="00D36916">
        <w:trPr>
          <w:jc w:val="center"/>
        </w:trPr>
        <w:tc>
          <w:tcPr>
            <w:tcW w:w="9786" w:type="dxa"/>
            <w:gridSpan w:val="3"/>
          </w:tcPr>
          <w:p w:rsidR="00573099" w:rsidRDefault="00FE4973" w:rsidP="00C96B4C">
            <w:pPr>
              <w:pStyle w:val="naisnod"/>
              <w:spacing w:before="0" w:after="60"/>
              <w:ind w:right="142"/>
              <w:rPr>
                <w:bCs w:val="0"/>
              </w:rPr>
            </w:pPr>
            <w:r w:rsidRPr="00573099">
              <w:t>II.</w:t>
            </w:r>
            <w:r w:rsidRPr="00573099">
              <w:rPr>
                <w:bCs w:val="0"/>
              </w:rPr>
              <w:t xml:space="preserve"> Tiesību akta projekta ietekme uz sabiedrību, tautsaimniecības attīstību un </w:t>
            </w:r>
          </w:p>
          <w:p w:rsidR="00FE4973" w:rsidRPr="00573099" w:rsidRDefault="00FE4973" w:rsidP="00C96B4C">
            <w:pPr>
              <w:pStyle w:val="naisnod"/>
              <w:spacing w:before="0" w:after="60"/>
              <w:ind w:right="142"/>
            </w:pPr>
            <w:r w:rsidRPr="00573099">
              <w:rPr>
                <w:bCs w:val="0"/>
              </w:rPr>
              <w:t>administratīvo slogu</w:t>
            </w:r>
          </w:p>
        </w:tc>
      </w:tr>
      <w:tr w:rsidR="009A0027" w:rsidRPr="009656DE" w:rsidTr="00C95F30">
        <w:trPr>
          <w:jc w:val="center"/>
        </w:trPr>
        <w:tc>
          <w:tcPr>
            <w:tcW w:w="694" w:type="dxa"/>
          </w:tcPr>
          <w:p w:rsidR="00FE4973" w:rsidRPr="009656DE" w:rsidRDefault="00FE4973" w:rsidP="00C96B4C">
            <w:pPr>
              <w:pStyle w:val="naiskr"/>
              <w:tabs>
                <w:tab w:val="left" w:pos="2628"/>
              </w:tabs>
              <w:spacing w:before="0" w:after="0"/>
              <w:ind w:right="142"/>
              <w:jc w:val="center"/>
              <w:rPr>
                <w:iCs/>
              </w:rPr>
            </w:pPr>
            <w:r w:rsidRPr="009656DE">
              <w:rPr>
                <w:iCs/>
              </w:rPr>
              <w:t>1.</w:t>
            </w:r>
          </w:p>
        </w:tc>
        <w:tc>
          <w:tcPr>
            <w:tcW w:w="3010" w:type="dxa"/>
          </w:tcPr>
          <w:p w:rsidR="00FE4973" w:rsidRPr="009656DE" w:rsidRDefault="00FE4973" w:rsidP="00C96B4C">
            <w:pPr>
              <w:pStyle w:val="naiskr"/>
              <w:spacing w:before="0" w:after="0"/>
              <w:ind w:right="142"/>
              <w:rPr>
                <w:iCs/>
              </w:rPr>
            </w:pPr>
            <w:r w:rsidRPr="009656DE">
              <w:t>Sabiedrības mērķgrupas, kuras tiesiskais regulējums ietekmē vai varētu ietekmēt</w:t>
            </w:r>
          </w:p>
        </w:tc>
        <w:tc>
          <w:tcPr>
            <w:tcW w:w="6082" w:type="dxa"/>
          </w:tcPr>
          <w:p w:rsidR="003667AD" w:rsidRPr="00197064" w:rsidRDefault="00C66910" w:rsidP="00C66910">
            <w:pPr>
              <w:pStyle w:val="naiskr"/>
              <w:tabs>
                <w:tab w:val="left" w:pos="360"/>
              </w:tabs>
              <w:spacing w:before="0" w:after="0"/>
              <w:ind w:right="142" w:firstLine="140"/>
              <w:jc w:val="both"/>
            </w:pPr>
            <w:r>
              <w:rPr>
                <w:bCs/>
              </w:rPr>
              <w:t>S</w:t>
            </w:r>
            <w:r w:rsidRPr="007862BD">
              <w:rPr>
                <w:bCs/>
              </w:rPr>
              <w:t>peciālo ekonomisko zonu kapitālsabiedrības un brīvostu licencētās kapitālsabiedrības</w:t>
            </w:r>
            <w:r>
              <w:rPr>
                <w:bCs/>
              </w:rPr>
              <w:t xml:space="preserve"> un pašvaldības, kuru teritorijā darbojas šādas kapitālsabiedrības.</w:t>
            </w:r>
          </w:p>
        </w:tc>
      </w:tr>
      <w:tr w:rsidR="009A0027" w:rsidRPr="009656DE" w:rsidTr="00C95F30">
        <w:trPr>
          <w:jc w:val="center"/>
        </w:trPr>
        <w:tc>
          <w:tcPr>
            <w:tcW w:w="694" w:type="dxa"/>
          </w:tcPr>
          <w:p w:rsidR="00FE4973" w:rsidRPr="009656DE" w:rsidRDefault="00FE4973" w:rsidP="00C96B4C">
            <w:pPr>
              <w:pStyle w:val="naiskr"/>
              <w:tabs>
                <w:tab w:val="left" w:pos="2628"/>
              </w:tabs>
              <w:spacing w:before="0" w:after="0"/>
              <w:ind w:right="142"/>
              <w:jc w:val="center"/>
              <w:rPr>
                <w:iCs/>
              </w:rPr>
            </w:pPr>
            <w:r w:rsidRPr="009656DE">
              <w:rPr>
                <w:iCs/>
              </w:rPr>
              <w:t>2.</w:t>
            </w:r>
          </w:p>
        </w:tc>
        <w:tc>
          <w:tcPr>
            <w:tcW w:w="3010" w:type="dxa"/>
          </w:tcPr>
          <w:p w:rsidR="00FE4973" w:rsidRPr="009656DE" w:rsidRDefault="00FE4973" w:rsidP="00C96B4C">
            <w:pPr>
              <w:pStyle w:val="naiskr"/>
              <w:spacing w:before="0" w:after="0"/>
              <w:ind w:right="142"/>
            </w:pPr>
            <w:r w:rsidRPr="009656DE">
              <w:t>Tiesiskā regulējuma ietekme uz tautsaimniecību un administratīvo slogu</w:t>
            </w:r>
          </w:p>
        </w:tc>
        <w:tc>
          <w:tcPr>
            <w:tcW w:w="6082" w:type="dxa"/>
          </w:tcPr>
          <w:p w:rsidR="00D42CF8" w:rsidRPr="00C66910" w:rsidRDefault="00061662" w:rsidP="00C66910">
            <w:pPr>
              <w:pStyle w:val="naiskr"/>
              <w:tabs>
                <w:tab w:val="left" w:pos="283"/>
              </w:tabs>
              <w:spacing w:before="0" w:after="0"/>
              <w:ind w:right="142" w:firstLine="140"/>
              <w:jc w:val="both"/>
              <w:rPr>
                <w:iCs/>
              </w:rPr>
            </w:pPr>
            <w:r>
              <w:rPr>
                <w:iCs/>
              </w:rPr>
              <w:t xml:space="preserve">Noteikumu projekts paredz pārskatu </w:t>
            </w:r>
            <w:r w:rsidR="00C66910">
              <w:rPr>
                <w:iCs/>
              </w:rPr>
              <w:t xml:space="preserve">ieviešanu, kuri aizstāj jau esošus pārskatus. </w:t>
            </w:r>
            <w:r>
              <w:rPr>
                <w:iCs/>
              </w:rPr>
              <w:t xml:space="preserve">Tādējādi </w:t>
            </w:r>
            <w:r w:rsidR="00C66910">
              <w:rPr>
                <w:iCs/>
              </w:rPr>
              <w:t>s</w:t>
            </w:r>
            <w:r w:rsidR="00C66910" w:rsidRPr="007862BD">
              <w:rPr>
                <w:bCs/>
              </w:rPr>
              <w:t>peciālo ekonomisko zonu kapitālsabiedrīb</w:t>
            </w:r>
            <w:r w:rsidR="00C66910">
              <w:rPr>
                <w:bCs/>
              </w:rPr>
              <w:t>ām</w:t>
            </w:r>
            <w:r w:rsidR="00C66910" w:rsidRPr="007862BD">
              <w:rPr>
                <w:bCs/>
              </w:rPr>
              <w:t xml:space="preserve"> un brīvostu licencētā</w:t>
            </w:r>
            <w:r w:rsidR="00C66910">
              <w:rPr>
                <w:bCs/>
              </w:rPr>
              <w:t>m</w:t>
            </w:r>
            <w:r w:rsidR="00C66910" w:rsidRPr="007862BD">
              <w:rPr>
                <w:bCs/>
              </w:rPr>
              <w:t xml:space="preserve"> kapitālsabiedrīb</w:t>
            </w:r>
            <w:r w:rsidR="00C66910">
              <w:rPr>
                <w:bCs/>
              </w:rPr>
              <w:t>ām net</w:t>
            </w:r>
            <w:r>
              <w:rPr>
                <w:iCs/>
              </w:rPr>
              <w:t xml:space="preserve">iks </w:t>
            </w:r>
            <w:r w:rsidR="00C66910">
              <w:rPr>
                <w:iCs/>
              </w:rPr>
              <w:t xml:space="preserve">palielināts </w:t>
            </w:r>
            <w:r>
              <w:rPr>
                <w:iCs/>
              </w:rPr>
              <w:t>sniedzamās informācijas apjoms un administratīvais slogs</w:t>
            </w:r>
            <w:r w:rsidR="00C66910">
              <w:rPr>
                <w:iCs/>
              </w:rPr>
              <w:t>. Pašvaldībām,</w:t>
            </w:r>
            <w:r w:rsidR="00C66910">
              <w:rPr>
                <w:bCs/>
              </w:rPr>
              <w:t xml:space="preserve"> kuru teritorijā darbojas minētās kapitālsabiedrības,</w:t>
            </w:r>
            <w:r w:rsidR="00C66910">
              <w:rPr>
                <w:iCs/>
              </w:rPr>
              <w:t xml:space="preserve"> tiek noteikts jauns pārskats par nekustamā īpašuma nodokļa atlaižu piemērošanu taksācijas periodā, kuru tām jāiesniedz līdz pēctaksācijas gada 1.maijam.</w:t>
            </w:r>
          </w:p>
        </w:tc>
      </w:tr>
      <w:tr w:rsidR="009A0027" w:rsidRPr="009656DE" w:rsidTr="00C95F30">
        <w:trPr>
          <w:jc w:val="center"/>
        </w:trPr>
        <w:tc>
          <w:tcPr>
            <w:tcW w:w="694" w:type="dxa"/>
          </w:tcPr>
          <w:p w:rsidR="00FE4973" w:rsidRPr="009656DE" w:rsidRDefault="00FE4973" w:rsidP="00C96B4C">
            <w:pPr>
              <w:pStyle w:val="naiskr"/>
              <w:tabs>
                <w:tab w:val="left" w:pos="2628"/>
              </w:tabs>
              <w:spacing w:before="0" w:after="0"/>
              <w:ind w:right="142"/>
              <w:jc w:val="center"/>
              <w:rPr>
                <w:iCs/>
              </w:rPr>
            </w:pPr>
            <w:r w:rsidRPr="009656DE">
              <w:rPr>
                <w:iCs/>
              </w:rPr>
              <w:t>3.</w:t>
            </w:r>
          </w:p>
        </w:tc>
        <w:tc>
          <w:tcPr>
            <w:tcW w:w="3010" w:type="dxa"/>
          </w:tcPr>
          <w:p w:rsidR="00FE4973" w:rsidRPr="009656DE" w:rsidRDefault="00FE4973" w:rsidP="00C96B4C">
            <w:pPr>
              <w:pStyle w:val="naiskr"/>
              <w:tabs>
                <w:tab w:val="left" w:pos="2628"/>
              </w:tabs>
              <w:spacing w:before="0" w:after="0"/>
              <w:ind w:right="142"/>
              <w:rPr>
                <w:iCs/>
              </w:rPr>
            </w:pPr>
            <w:r w:rsidRPr="009656DE">
              <w:t>Administratīvo izmaksu monetārs novērtējums</w:t>
            </w:r>
          </w:p>
        </w:tc>
        <w:tc>
          <w:tcPr>
            <w:tcW w:w="6082" w:type="dxa"/>
          </w:tcPr>
          <w:p w:rsidR="00FE4973" w:rsidRPr="001679AF" w:rsidRDefault="00591C5A" w:rsidP="00585F82">
            <w:pPr>
              <w:pStyle w:val="naiskr"/>
              <w:tabs>
                <w:tab w:val="left" w:pos="2628"/>
              </w:tabs>
              <w:spacing w:before="0" w:after="0"/>
              <w:ind w:right="142" w:firstLine="142"/>
              <w:jc w:val="both"/>
              <w:rPr>
                <w:iCs/>
              </w:rPr>
            </w:pPr>
            <w:r>
              <w:rPr>
                <w:iCs/>
              </w:rPr>
              <w:t xml:space="preserve"> </w:t>
            </w:r>
            <w:r w:rsidR="007A3A0B">
              <w:t xml:space="preserve">Noteikumu projekta izmaksas Valsts ieņēmumu dienesta informācijas sistēmās jaunu </w:t>
            </w:r>
            <w:r w:rsidR="007A3A0B" w:rsidRPr="007A3A0B">
              <w:t>pārskatu</w:t>
            </w:r>
            <w:r w:rsidR="007A3A0B">
              <w:t xml:space="preserve"> ieviešanai</w:t>
            </w:r>
            <w:r w:rsidR="007A3A0B" w:rsidRPr="00645940">
              <w:rPr>
                <w:iCs/>
              </w:rPr>
              <w:t xml:space="preserve"> </w:t>
            </w:r>
            <w:r w:rsidR="00585F82">
              <w:rPr>
                <w:iCs/>
              </w:rPr>
              <w:t xml:space="preserve">ir </w:t>
            </w:r>
            <w:r w:rsidR="00182266">
              <w:rPr>
                <w:iCs/>
              </w:rPr>
              <w:t xml:space="preserve">līdz </w:t>
            </w:r>
            <w:r w:rsidR="00182266">
              <w:rPr>
                <w:iCs/>
              </w:rPr>
              <w:br/>
            </w:r>
            <w:r w:rsidR="003B7F23">
              <w:rPr>
                <w:iCs/>
              </w:rPr>
              <w:t xml:space="preserve">100 </w:t>
            </w:r>
            <w:r w:rsidR="003B7F23" w:rsidRPr="00182266">
              <w:rPr>
                <w:iCs/>
              </w:rPr>
              <w:t>000</w:t>
            </w:r>
            <w:r w:rsidR="007A3A0B" w:rsidRPr="00182266">
              <w:rPr>
                <w:iCs/>
              </w:rPr>
              <w:t xml:space="preserve"> </w:t>
            </w:r>
            <w:r w:rsidR="007A3A0B" w:rsidRPr="00182266">
              <w:rPr>
                <w:i/>
                <w:iCs/>
              </w:rPr>
              <w:t>euro</w:t>
            </w:r>
            <w:r w:rsidR="003B7F23" w:rsidRPr="00182266">
              <w:rPr>
                <w:iCs/>
              </w:rPr>
              <w:t>.</w:t>
            </w:r>
            <w:r w:rsidR="007A3A0B">
              <w:rPr>
                <w:iCs/>
              </w:rPr>
              <w:t xml:space="preserve"> </w:t>
            </w:r>
          </w:p>
        </w:tc>
      </w:tr>
      <w:tr w:rsidR="009A0027" w:rsidRPr="009656DE" w:rsidTr="00C95F30">
        <w:trPr>
          <w:jc w:val="center"/>
        </w:trPr>
        <w:tc>
          <w:tcPr>
            <w:tcW w:w="694" w:type="dxa"/>
          </w:tcPr>
          <w:p w:rsidR="00FE4973" w:rsidRPr="009656DE" w:rsidRDefault="00FE4973" w:rsidP="00C96B4C">
            <w:pPr>
              <w:pStyle w:val="naiskr"/>
              <w:tabs>
                <w:tab w:val="left" w:pos="2628"/>
              </w:tabs>
              <w:spacing w:before="0" w:after="0"/>
              <w:ind w:right="142"/>
              <w:jc w:val="center"/>
              <w:rPr>
                <w:iCs/>
              </w:rPr>
            </w:pPr>
            <w:r w:rsidRPr="009656DE">
              <w:rPr>
                <w:iCs/>
              </w:rPr>
              <w:t>4.</w:t>
            </w:r>
          </w:p>
        </w:tc>
        <w:tc>
          <w:tcPr>
            <w:tcW w:w="3010" w:type="dxa"/>
          </w:tcPr>
          <w:p w:rsidR="00FE4973" w:rsidRPr="009656DE" w:rsidRDefault="00FE4973" w:rsidP="00C96B4C">
            <w:pPr>
              <w:pStyle w:val="naiskr"/>
              <w:tabs>
                <w:tab w:val="left" w:pos="2628"/>
              </w:tabs>
              <w:spacing w:before="0" w:after="0"/>
              <w:ind w:right="142"/>
            </w:pPr>
            <w:r w:rsidRPr="009656DE">
              <w:t>Cita informācija</w:t>
            </w:r>
          </w:p>
        </w:tc>
        <w:tc>
          <w:tcPr>
            <w:tcW w:w="6082" w:type="dxa"/>
          </w:tcPr>
          <w:p w:rsidR="00FE4973" w:rsidRPr="009656DE" w:rsidRDefault="00F64A42" w:rsidP="00C96B4C">
            <w:pPr>
              <w:pStyle w:val="naiskr"/>
              <w:tabs>
                <w:tab w:val="left" w:pos="2628"/>
              </w:tabs>
              <w:spacing w:before="0" w:after="120"/>
              <w:ind w:right="142"/>
              <w:jc w:val="both"/>
            </w:pPr>
            <w:r w:rsidRPr="009656DE">
              <w:t>Nav</w:t>
            </w:r>
          </w:p>
        </w:tc>
      </w:tr>
    </w:tbl>
    <w:p w:rsidR="003C1635" w:rsidRDefault="003C1635" w:rsidP="00C96B4C">
      <w:pPr>
        <w:pStyle w:val="naisf"/>
        <w:spacing w:before="0" w:after="0"/>
        <w:ind w:right="142" w:firstLine="0"/>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727"/>
        <w:gridCol w:w="1292"/>
        <w:gridCol w:w="1420"/>
        <w:gridCol w:w="1391"/>
        <w:gridCol w:w="1934"/>
      </w:tblGrid>
      <w:tr w:rsidR="00573099" w:rsidTr="0007288C">
        <w:trPr>
          <w:trHeight w:val="444"/>
          <w:jc w:val="center"/>
        </w:trPr>
        <w:tc>
          <w:tcPr>
            <w:tcW w:w="9836" w:type="dxa"/>
            <w:gridSpan w:val="6"/>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nod"/>
              <w:spacing w:before="0" w:after="0"/>
              <w:ind w:right="142"/>
            </w:pPr>
            <w:r w:rsidRPr="00573099">
              <w:rPr>
                <w:b w:val="0"/>
                <w:bCs w:val="0"/>
                <w:lang w:eastAsia="en-US"/>
              </w:rPr>
              <w:br w:type="page"/>
            </w:r>
            <w:r w:rsidRPr="00573099">
              <w:t>III. Tiesību akta projekta ietekme uz valsts budžetu un pašvaldību budžetiem</w:t>
            </w:r>
          </w:p>
        </w:tc>
      </w:tr>
      <w:tr w:rsidR="00573099" w:rsidTr="0007288C">
        <w:trPr>
          <w:jc w:val="center"/>
        </w:trPr>
        <w:tc>
          <w:tcPr>
            <w:tcW w:w="2072" w:type="dxa"/>
            <w:vMerge w:val="restart"/>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rPr>
            </w:pPr>
            <w:r w:rsidRPr="00573099">
              <w:rPr>
                <w:b/>
              </w:rPr>
              <w:t>Rādītāji</w:t>
            </w:r>
          </w:p>
        </w:tc>
        <w:tc>
          <w:tcPr>
            <w:tcW w:w="30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rPr>
            </w:pPr>
            <w:r w:rsidRPr="00573099">
              <w:rPr>
                <w:b/>
              </w:rPr>
              <w:t>2014.</w:t>
            </w:r>
          </w:p>
        </w:tc>
        <w:tc>
          <w:tcPr>
            <w:tcW w:w="4745" w:type="dxa"/>
            <w:gridSpan w:val="3"/>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Turpmākie trīs gadi (tūkst. latu)</w:t>
            </w:r>
          </w:p>
        </w:tc>
      </w:tr>
      <w:tr w:rsidR="00573099" w:rsidTr="0007288C">
        <w:trP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rPr>
                <w:b/>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rPr>
                <w:b/>
                <w:bCs/>
              </w:rPr>
              <w:t>2015.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rPr>
            </w:pPr>
            <w:r w:rsidRPr="00573099">
              <w:rPr>
                <w:b/>
              </w:rPr>
              <w:t>2016.</w:t>
            </w:r>
          </w:p>
        </w:tc>
        <w:tc>
          <w:tcPr>
            <w:tcW w:w="1934"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rPr>
            </w:pPr>
            <w:r w:rsidRPr="00573099">
              <w:rPr>
                <w:b/>
              </w:rPr>
              <w:t>2017.</w:t>
            </w:r>
          </w:p>
        </w:tc>
      </w:tr>
      <w:tr w:rsidR="00573099" w:rsidTr="0007288C">
        <w:trP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rPr>
                <w:b/>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Saskaņā ar valsts budžetu kārtējam gadam</w:t>
            </w:r>
          </w:p>
        </w:tc>
        <w:tc>
          <w:tcPr>
            <w:tcW w:w="1292"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Izmaiņas kārtējā gadā, salīdzinot ar budžetu kārtējam gadam</w:t>
            </w:r>
          </w:p>
        </w:tc>
        <w:tc>
          <w:tcPr>
            <w:tcW w:w="1420"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Izmaiņas, salīdzinot ar kārtējo (n) gadu</w:t>
            </w:r>
          </w:p>
        </w:tc>
        <w:tc>
          <w:tcPr>
            <w:tcW w:w="1391"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Izmaiņas, salīdzinot ar kārtējo (n) gadu</w:t>
            </w:r>
          </w:p>
        </w:tc>
        <w:tc>
          <w:tcPr>
            <w:tcW w:w="1934"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
                <w:i/>
              </w:rPr>
            </w:pPr>
            <w:r w:rsidRPr="00573099">
              <w:t>Izmaiņas, salīdzinot ar kārtējo (n) gadu</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3</w:t>
            </w:r>
          </w:p>
        </w:tc>
        <w:tc>
          <w:tcPr>
            <w:tcW w:w="1420"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4</w:t>
            </w:r>
          </w:p>
        </w:tc>
        <w:tc>
          <w:tcPr>
            <w:tcW w:w="1391"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5</w:t>
            </w:r>
          </w:p>
        </w:tc>
        <w:tc>
          <w:tcPr>
            <w:tcW w:w="1934" w:type="dxa"/>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pStyle w:val="naisf"/>
              <w:spacing w:before="0" w:after="0"/>
              <w:ind w:right="142" w:firstLine="0"/>
              <w:jc w:val="center"/>
              <w:rPr>
                <w:bCs/>
              </w:rPr>
            </w:pPr>
            <w:r w:rsidRPr="00573099">
              <w:rPr>
                <w:bCs/>
              </w:rPr>
              <w:t>6</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rPr>
                <w:b/>
                <w:i/>
              </w:rPr>
            </w:pPr>
            <w:r w:rsidRPr="00573099">
              <w:rPr>
                <w:b/>
              </w:rPr>
              <w:t>1. Budžeta ieņēmumi:</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29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420"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391"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934"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rPr>
                <w:i/>
              </w:rPr>
            </w:pPr>
            <w:r w:rsidRPr="00573099">
              <w:t xml:space="preserve">1.1. valsts pamatbudžets, tai </w:t>
            </w:r>
            <w:r w:rsidRPr="00573099">
              <w:lastRenderedPageBreak/>
              <w:t>skaitā ieņēmumi no maksas pakalpo-jumiem un citi pašu ieņēmumi</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rPr>
                <w:i/>
              </w:rPr>
            </w:pPr>
            <w:r w:rsidRPr="00573099">
              <w:lastRenderedPageBreak/>
              <w:t>1.2. valsts speciālais budžets</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rPr>
                <w:i/>
              </w:rPr>
            </w:pPr>
            <w:r w:rsidRPr="00573099">
              <w:t>1.3. pašvaldību budžets</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rPr>
                <w:b/>
              </w:rPr>
            </w:pPr>
            <w:r w:rsidRPr="00573099">
              <w:rPr>
                <w:b/>
              </w:rPr>
              <w:t>2. Budžeta izdevumi:</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29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420"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391"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934"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2.1. valsts pamatbudžets</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2.2. valsts speciālais budžets</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 xml:space="preserve">2.3. pašvaldību budžets </w:t>
            </w:r>
          </w:p>
        </w:tc>
        <w:tc>
          <w:tcPr>
            <w:tcW w:w="1727"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rPr>
                <w:b/>
              </w:rPr>
            </w:pPr>
            <w:r w:rsidRPr="00573099">
              <w:rPr>
                <w:b/>
              </w:rPr>
              <w:t>3. Finansiālā ietekme:</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29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420"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391"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934"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3.1. valsts pamatbudžets</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X</w:t>
            </w: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3.2. speciālais budžets</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X</w:t>
            </w: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 xml:space="preserve">3.3. pašvaldību budžets </w:t>
            </w:r>
          </w:p>
        </w:tc>
        <w:tc>
          <w:tcPr>
            <w:tcW w:w="1727"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X</w:t>
            </w: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jc w:val="cente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pPr>
          </w:p>
        </w:tc>
      </w:tr>
      <w:tr w:rsidR="00573099" w:rsidTr="0007288C">
        <w:trPr>
          <w:jc w:val="center"/>
        </w:trPr>
        <w:tc>
          <w:tcPr>
            <w:tcW w:w="2072" w:type="dxa"/>
            <w:vMerge w:val="restart"/>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4. Finanšu līdzekļi papildu izde</w:t>
            </w:r>
            <w:r w:rsidRPr="00573099">
              <w:softHyphen/>
              <w:t>vumu finansēšanai (kompensējošu izdevumu samazinājumu norāda ar "+" zīmi)</w:t>
            </w:r>
          </w:p>
        </w:tc>
        <w:tc>
          <w:tcPr>
            <w:tcW w:w="1727" w:type="dxa"/>
            <w:vMerge w:val="restart"/>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pPr>
            <w:r w:rsidRPr="00573099">
              <w:t>X</w:t>
            </w:r>
          </w:p>
        </w:tc>
        <w:tc>
          <w:tcPr>
            <w:tcW w:w="129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420"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391"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934"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r>
      <w:tr w:rsidR="00573099" w:rsidTr="0007288C">
        <w:trP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5. Precizēta finansiālā ietekme:</w:t>
            </w:r>
          </w:p>
        </w:tc>
        <w:tc>
          <w:tcPr>
            <w:tcW w:w="1727" w:type="dxa"/>
            <w:vMerge w:val="restart"/>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pPr>
            <w:r w:rsidRPr="00573099">
              <w:t>X</w:t>
            </w:r>
          </w:p>
        </w:tc>
        <w:tc>
          <w:tcPr>
            <w:tcW w:w="129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420"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391"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c>
          <w:tcPr>
            <w:tcW w:w="1934"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pStyle w:val="naisf"/>
              <w:spacing w:before="0" w:after="0"/>
              <w:ind w:right="142" w:firstLine="0"/>
              <w:jc w:val="center"/>
              <w:rPr>
                <w:b/>
              </w:rPr>
            </w:pPr>
            <w:r w:rsidRPr="00573099">
              <w:rPr>
                <w:b/>
              </w:rPr>
              <w:t>0</w:t>
            </w: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 xml:space="preserve">5.1. valsts pamatbudžets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c>
          <w:tcPr>
            <w:tcW w:w="1292"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420"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391"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c>
          <w:tcPr>
            <w:tcW w:w="1934" w:type="dxa"/>
            <w:tcBorders>
              <w:top w:val="single" w:sz="4" w:space="0" w:color="auto"/>
              <w:left w:val="single" w:sz="4" w:space="0" w:color="auto"/>
              <w:bottom w:val="single" w:sz="4" w:space="0" w:color="auto"/>
              <w:right w:val="single" w:sz="4" w:space="0" w:color="auto"/>
            </w:tcBorders>
          </w:tcPr>
          <w:p w:rsidR="00573099" w:rsidRPr="00573099" w:rsidRDefault="00573099" w:rsidP="00C96B4C">
            <w:pPr>
              <w:pStyle w:val="naisf"/>
              <w:spacing w:before="0" w:after="0"/>
              <w:ind w:right="142" w:firstLine="0"/>
              <w:jc w:val="center"/>
              <w:rPr>
                <w:b/>
              </w:rPr>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6. Detalizēts ieņēmumu un izdevu</w:t>
            </w:r>
            <w:r w:rsidRPr="00573099">
              <w:softHyphen/>
              <w:t xml:space="preserve">mu aprēķins (ja nepieciešams, </w:t>
            </w:r>
            <w:r w:rsidRPr="00573099">
              <w:lastRenderedPageBreak/>
              <w:t>detalizētu ieņēmumu un izdevumu aprēķinu var pievienot anotācijas pielikumā):</w:t>
            </w:r>
          </w:p>
        </w:tc>
        <w:tc>
          <w:tcPr>
            <w:tcW w:w="7764" w:type="dxa"/>
            <w:gridSpan w:val="5"/>
            <w:vMerge w:val="restart"/>
            <w:tcBorders>
              <w:top w:val="single" w:sz="4" w:space="0" w:color="auto"/>
              <w:left w:val="single" w:sz="4" w:space="0" w:color="auto"/>
              <w:bottom w:val="single" w:sz="4" w:space="0" w:color="auto"/>
              <w:right w:val="single" w:sz="4" w:space="0" w:color="auto"/>
            </w:tcBorders>
            <w:vAlign w:val="center"/>
          </w:tcPr>
          <w:p w:rsidR="00ED61ED" w:rsidRDefault="00814B2E" w:rsidP="00C96B4C">
            <w:pPr>
              <w:pStyle w:val="naisf"/>
              <w:spacing w:before="0" w:after="0"/>
              <w:ind w:right="142" w:firstLine="0"/>
            </w:pPr>
            <w:r>
              <w:lastRenderedPageBreak/>
              <w:t>Valsts ieņēmumu dienestam,</w:t>
            </w:r>
            <w:r w:rsidR="00ED5D0B">
              <w:t xml:space="preserve"> lai ieviestu Ministru kabineta noteikumu projektu „</w:t>
            </w:r>
            <w:r w:rsidR="003B7F23" w:rsidRPr="003B7F23">
              <w:rPr>
                <w:bCs/>
              </w:rPr>
              <w:t>Noteikumi par speciālo ekonomisko zonu un brīvostu kapitālsabiedrību piemērotajām tiešo nodokļu atlaidēm un saņemto atbalstu</w:t>
            </w:r>
            <w:r w:rsidR="00ED5D0B" w:rsidRPr="003B7F23">
              <w:t>”</w:t>
            </w:r>
            <w:r>
              <w:t xml:space="preserve"> </w:t>
            </w:r>
            <w:r w:rsidR="00ED5D0B">
              <w:t xml:space="preserve"> un veiktu izmaiņas </w:t>
            </w:r>
            <w:r w:rsidR="00310FF9">
              <w:t>informācijas sistēmās izmaiņu realizācijai</w:t>
            </w:r>
            <w:r w:rsidR="00EC6901">
              <w:t>,</w:t>
            </w:r>
            <w:r w:rsidR="00310FF9">
              <w:t xml:space="preserve"> plānotā</w:t>
            </w:r>
            <w:r w:rsidR="00990716">
              <w:t xml:space="preserve">s </w:t>
            </w:r>
            <w:r w:rsidR="00F72C94">
              <w:t>darbietilpība ir 239 -</w:t>
            </w:r>
            <w:r w:rsidR="0017266E">
              <w:t xml:space="preserve"> </w:t>
            </w:r>
            <w:r w:rsidR="00F72C94">
              <w:t xml:space="preserve">274 cilvēkdienām (izmaksas </w:t>
            </w:r>
            <w:r w:rsidR="000F4713">
              <w:t xml:space="preserve"> </w:t>
            </w:r>
            <w:r w:rsidR="009C6FD0">
              <w:t xml:space="preserve">līdz </w:t>
            </w:r>
            <w:r w:rsidR="007853B4">
              <w:t xml:space="preserve">EUR </w:t>
            </w:r>
            <w:r w:rsidR="001E49FD">
              <w:t>1</w:t>
            </w:r>
            <w:r w:rsidR="003B7F23">
              <w:t>00</w:t>
            </w:r>
            <w:r w:rsidR="001E49FD">
              <w:t xml:space="preserve"> </w:t>
            </w:r>
            <w:r w:rsidR="003B7F23">
              <w:t>0</w:t>
            </w:r>
            <w:r w:rsidR="000C1CDF">
              <w:t>00</w:t>
            </w:r>
            <w:r w:rsidR="00ED61ED">
              <w:t>)</w:t>
            </w:r>
            <w:r w:rsidR="00645C63">
              <w:t>, t.sk.</w:t>
            </w:r>
          </w:p>
          <w:p w:rsidR="00ED61ED" w:rsidRDefault="00ED61ED" w:rsidP="00C96B4C">
            <w:pPr>
              <w:pStyle w:val="naisf"/>
              <w:spacing w:before="0" w:after="0"/>
              <w:ind w:right="142" w:firstLine="0"/>
            </w:pPr>
            <w:r>
              <w:lastRenderedPageBreak/>
              <w:t>-</w:t>
            </w:r>
            <w:r w:rsidR="00645C63">
              <w:t xml:space="preserve"> Nodokļu informācijas sistēmā </w:t>
            </w:r>
            <w:r w:rsidR="007853B4">
              <w:t xml:space="preserve">EUR </w:t>
            </w:r>
            <w:r w:rsidR="00645C63">
              <w:t>25</w:t>
            </w:r>
            <w:r>
              <w:t xml:space="preserve"> </w:t>
            </w:r>
            <w:r w:rsidR="00645C63">
              <w:t>473 – 36</w:t>
            </w:r>
            <w:r>
              <w:t xml:space="preserve"> </w:t>
            </w:r>
            <w:r w:rsidR="00645C63">
              <w:t>400 (70-100c/d)</w:t>
            </w:r>
            <w:r>
              <w:t>.</w:t>
            </w:r>
          </w:p>
          <w:p w:rsidR="00ED61ED" w:rsidRDefault="00645C63" w:rsidP="00C96B4C">
            <w:pPr>
              <w:pStyle w:val="naisf"/>
              <w:spacing w:before="0" w:after="0"/>
              <w:ind w:right="142" w:firstLine="0"/>
            </w:pPr>
            <w:r>
              <w:t xml:space="preserve"> </w:t>
            </w:r>
            <w:r w:rsidR="00ED61ED">
              <w:t xml:space="preserve">-  </w:t>
            </w:r>
            <w:r>
              <w:t xml:space="preserve">Elektroniskajā deklarēšanās sistēmā </w:t>
            </w:r>
            <w:r w:rsidR="007853B4">
              <w:t xml:space="preserve">EUR </w:t>
            </w:r>
            <w:r>
              <w:t>20</w:t>
            </w:r>
            <w:r w:rsidR="00ED61ED">
              <w:t xml:space="preserve"> </w:t>
            </w:r>
            <w:r>
              <w:t>015 – 22</w:t>
            </w:r>
            <w:r w:rsidR="00ED61ED">
              <w:t xml:space="preserve"> </w:t>
            </w:r>
            <w:r>
              <w:t xml:space="preserve">000 (55 – 60 </w:t>
            </w:r>
            <w:r w:rsidR="00ED61ED">
              <w:t>c/d).</w:t>
            </w:r>
          </w:p>
          <w:p w:rsidR="00ED61ED" w:rsidRDefault="00ED61ED" w:rsidP="00C96B4C">
            <w:pPr>
              <w:pStyle w:val="naisf"/>
              <w:spacing w:before="0" w:after="0"/>
              <w:ind w:right="142" w:firstLine="0"/>
            </w:pPr>
            <w:r>
              <w:t>-</w:t>
            </w:r>
            <w:r w:rsidR="00645C63">
              <w:t xml:space="preserve"> Datu noliktavas sistēmā </w:t>
            </w:r>
            <w:r w:rsidR="007853B4">
              <w:t xml:space="preserve">EUR </w:t>
            </w:r>
            <w:r w:rsidR="00645C63">
              <w:t>24</w:t>
            </w:r>
            <w:r>
              <w:t xml:space="preserve"> </w:t>
            </w:r>
            <w:r w:rsidR="00645C63">
              <w:t>500 (6</w:t>
            </w:r>
            <w:r>
              <w:t>7 c/d).</w:t>
            </w:r>
          </w:p>
          <w:p w:rsidR="00814B2E" w:rsidRDefault="00ED61ED" w:rsidP="00C96B4C">
            <w:pPr>
              <w:pStyle w:val="naisf"/>
              <w:spacing w:before="0" w:after="0"/>
              <w:ind w:right="142" w:firstLine="0"/>
            </w:pPr>
            <w:r>
              <w:t xml:space="preserve">-  </w:t>
            </w:r>
            <w:r w:rsidR="00645C63">
              <w:t xml:space="preserve">Audita atbalsta informācijas sistēmā </w:t>
            </w:r>
            <w:r w:rsidR="007853B4">
              <w:t xml:space="preserve">EUR </w:t>
            </w:r>
            <w:r w:rsidR="00645C63">
              <w:t>17</w:t>
            </w:r>
            <w:r>
              <w:t xml:space="preserve"> </w:t>
            </w:r>
            <w:r w:rsidR="00645C63">
              <w:t>1</w:t>
            </w:r>
            <w:r w:rsidR="007853B4">
              <w:t xml:space="preserve"> </w:t>
            </w:r>
            <w:r w:rsidR="00645C63">
              <w:t>00 (</w:t>
            </w:r>
            <w:r>
              <w:t>47 c/d).</w:t>
            </w:r>
          </w:p>
          <w:p w:rsidR="00814B2E" w:rsidRPr="00573099" w:rsidRDefault="00814B2E" w:rsidP="00001F0B">
            <w:pPr>
              <w:pStyle w:val="naisf"/>
              <w:spacing w:before="0" w:after="0"/>
              <w:ind w:right="142"/>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lastRenderedPageBreak/>
              <w:t>6.1. detalizēts ieņēmumu aprēķins</w:t>
            </w:r>
          </w:p>
        </w:tc>
        <w:tc>
          <w:tcPr>
            <w:tcW w:w="7764" w:type="dxa"/>
            <w:gridSpan w:val="5"/>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r>
      <w:tr w:rsidR="00573099" w:rsidTr="0007288C">
        <w:trPr>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6.2. detalizēts izdevumu aprēķins</w:t>
            </w:r>
          </w:p>
        </w:tc>
        <w:tc>
          <w:tcPr>
            <w:tcW w:w="7764" w:type="dxa"/>
            <w:gridSpan w:val="5"/>
            <w:vMerge/>
            <w:tcBorders>
              <w:top w:val="single" w:sz="4" w:space="0" w:color="auto"/>
              <w:left w:val="single" w:sz="4" w:space="0" w:color="auto"/>
              <w:bottom w:val="single" w:sz="4" w:space="0" w:color="auto"/>
              <w:right w:val="single" w:sz="4" w:space="0" w:color="auto"/>
            </w:tcBorders>
            <w:vAlign w:val="center"/>
            <w:hideMark/>
          </w:tcPr>
          <w:p w:rsidR="00573099" w:rsidRPr="00573099" w:rsidRDefault="00573099" w:rsidP="00C96B4C">
            <w:pPr>
              <w:ind w:right="142"/>
            </w:pPr>
          </w:p>
        </w:tc>
      </w:tr>
      <w:tr w:rsidR="00573099" w:rsidTr="004F0F68">
        <w:trPr>
          <w:trHeight w:val="70"/>
          <w:jc w:val="center"/>
        </w:trPr>
        <w:tc>
          <w:tcPr>
            <w:tcW w:w="2072" w:type="dxa"/>
            <w:tcBorders>
              <w:top w:val="single" w:sz="4" w:space="0" w:color="auto"/>
              <w:left w:val="single" w:sz="4" w:space="0" w:color="auto"/>
              <w:bottom w:val="single" w:sz="4" w:space="0" w:color="auto"/>
              <w:right w:val="single" w:sz="4" w:space="0" w:color="auto"/>
            </w:tcBorders>
            <w:hideMark/>
          </w:tcPr>
          <w:p w:rsidR="00573099" w:rsidRPr="00573099" w:rsidRDefault="00573099" w:rsidP="00C96B4C">
            <w:pPr>
              <w:ind w:right="142"/>
              <w:jc w:val="both"/>
            </w:pPr>
            <w:r w:rsidRPr="00573099">
              <w:t>7. Cita informācija</w:t>
            </w:r>
          </w:p>
        </w:tc>
        <w:tc>
          <w:tcPr>
            <w:tcW w:w="7764" w:type="dxa"/>
            <w:gridSpan w:val="5"/>
            <w:tcBorders>
              <w:top w:val="single" w:sz="4" w:space="0" w:color="auto"/>
              <w:left w:val="single" w:sz="4" w:space="0" w:color="auto"/>
              <w:bottom w:val="single" w:sz="4" w:space="0" w:color="auto"/>
              <w:right w:val="single" w:sz="4" w:space="0" w:color="auto"/>
            </w:tcBorders>
            <w:hideMark/>
          </w:tcPr>
          <w:p w:rsidR="00573099" w:rsidRPr="00BE4A8E" w:rsidRDefault="00ED61ED" w:rsidP="007853B4">
            <w:pPr>
              <w:pStyle w:val="naisf"/>
              <w:tabs>
                <w:tab w:val="left" w:pos="4644"/>
              </w:tabs>
              <w:spacing w:before="0" w:after="0"/>
              <w:ind w:right="142" w:firstLine="0"/>
            </w:pPr>
            <w:r w:rsidRPr="00BE4A8E">
              <w:rPr>
                <w:bCs/>
              </w:rPr>
              <w:t xml:space="preserve">Nepieciešamais finansējums </w:t>
            </w:r>
            <w:r w:rsidR="007853B4" w:rsidRPr="00BE4A8E">
              <w:rPr>
                <w:bCs/>
              </w:rPr>
              <w:t xml:space="preserve">EUR </w:t>
            </w:r>
            <w:r w:rsidRPr="00BE4A8E">
              <w:t>100 000</w:t>
            </w:r>
            <w:r w:rsidRPr="00BE4A8E">
              <w:rPr>
                <w:bCs/>
              </w:rPr>
              <w:t xml:space="preserve"> apmērā, lai veiktu minētās izmaiņas </w:t>
            </w:r>
            <w:r w:rsidRPr="00BE4A8E">
              <w:t>Valsts ieņēmumu dienesta</w:t>
            </w:r>
            <w:r w:rsidRPr="00BE4A8E">
              <w:rPr>
                <w:bCs/>
              </w:rPr>
              <w:t xml:space="preserve"> informācijas sistēmās, tiks nodrošināts </w:t>
            </w:r>
            <w:r w:rsidRPr="00BE4A8E">
              <w:t>Valsts ieņēmumu dienesta</w:t>
            </w:r>
            <w:r w:rsidRPr="00BE4A8E">
              <w:rPr>
                <w:bCs/>
              </w:rPr>
              <w:t xml:space="preserve">m piešķirtā budžeta ietvaros un papildu finansējums netiks pieprasīts. </w:t>
            </w:r>
            <w:r w:rsidRPr="00BE4A8E">
              <w:t>Izmaksas tiks segtas no F</w:t>
            </w:r>
            <w:r w:rsidR="007853B4">
              <w:t>inanšu ministrijas</w:t>
            </w:r>
            <w:r w:rsidRPr="00BE4A8E">
              <w:t xml:space="preserve"> budžeta programmas 33.00.00 „Valsts ieņēmumu un muitas politikas nodrošināšana”.</w:t>
            </w:r>
          </w:p>
        </w:tc>
      </w:tr>
    </w:tbl>
    <w:p w:rsidR="00573099" w:rsidRDefault="00573099" w:rsidP="00C96B4C">
      <w:pPr>
        <w:pStyle w:val="naisf"/>
        <w:spacing w:before="0" w:after="0"/>
        <w:ind w:right="142" w:firstLine="0"/>
      </w:pPr>
    </w:p>
    <w:tbl>
      <w:tblPr>
        <w:tblpPr w:leftFromText="180" w:rightFromText="180" w:vertAnchor="text" w:horzAnchor="margin" w:tblpX="-254" w:tblpY="212"/>
        <w:tblW w:w="52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023"/>
        <w:gridCol w:w="3070"/>
        <w:gridCol w:w="5860"/>
      </w:tblGrid>
      <w:tr w:rsidR="00081E26" w:rsidRPr="00242DE6" w:rsidTr="00555F60">
        <w:tc>
          <w:tcPr>
            <w:tcW w:w="5000" w:type="pct"/>
            <w:gridSpan w:val="3"/>
            <w:tcBorders>
              <w:top w:val="outset" w:sz="6" w:space="0" w:color="000000"/>
              <w:left w:val="outset" w:sz="6" w:space="0" w:color="000000"/>
              <w:bottom w:val="outset" w:sz="6" w:space="0" w:color="000000"/>
              <w:right w:val="outset" w:sz="6" w:space="0" w:color="000000"/>
            </w:tcBorders>
          </w:tcPr>
          <w:p w:rsidR="00081E26" w:rsidRPr="00242DE6" w:rsidRDefault="00081E26" w:rsidP="00555F60">
            <w:pPr>
              <w:spacing w:before="100" w:beforeAutospacing="1" w:after="100" w:afterAutospacing="1"/>
              <w:ind w:right="142"/>
              <w:jc w:val="center"/>
              <w:rPr>
                <w:b/>
                <w:bCs/>
              </w:rPr>
            </w:pPr>
            <w:r w:rsidRPr="00037AB9">
              <w:rPr>
                <w:b/>
                <w:bCs/>
              </w:rPr>
              <w:t>VII</w:t>
            </w:r>
            <w:r w:rsidRPr="00242DE6">
              <w:rPr>
                <w:b/>
                <w:bCs/>
              </w:rPr>
              <w:t xml:space="preserve">. </w:t>
            </w:r>
            <w:r w:rsidRPr="00037AB9">
              <w:rPr>
                <w:b/>
                <w:bCs/>
              </w:rPr>
              <w:t>Ties</w:t>
            </w:r>
            <w:r w:rsidRPr="00242DE6">
              <w:rPr>
                <w:b/>
                <w:bCs/>
              </w:rPr>
              <w:t>ī</w:t>
            </w:r>
            <w:r w:rsidRPr="00037AB9">
              <w:rPr>
                <w:b/>
                <w:bCs/>
              </w:rPr>
              <w:t>bu</w:t>
            </w:r>
            <w:r w:rsidRPr="00242DE6">
              <w:rPr>
                <w:b/>
                <w:bCs/>
              </w:rPr>
              <w:t xml:space="preserve"> </w:t>
            </w:r>
            <w:r w:rsidRPr="00037AB9">
              <w:rPr>
                <w:b/>
                <w:bCs/>
              </w:rPr>
              <w:t>akta</w:t>
            </w:r>
            <w:r w:rsidRPr="00242DE6">
              <w:rPr>
                <w:b/>
                <w:bCs/>
              </w:rPr>
              <w:t xml:space="preserve"> </w:t>
            </w:r>
            <w:r w:rsidRPr="00037AB9">
              <w:rPr>
                <w:b/>
                <w:bCs/>
              </w:rPr>
              <w:t>projekta</w:t>
            </w:r>
            <w:r w:rsidRPr="00242DE6">
              <w:rPr>
                <w:b/>
                <w:bCs/>
              </w:rPr>
              <w:t xml:space="preserve"> </w:t>
            </w:r>
            <w:r w:rsidRPr="00037AB9">
              <w:rPr>
                <w:b/>
                <w:bCs/>
              </w:rPr>
              <w:t>izpildes</w:t>
            </w:r>
            <w:r w:rsidRPr="00242DE6">
              <w:rPr>
                <w:b/>
                <w:bCs/>
              </w:rPr>
              <w:t xml:space="preserve"> </w:t>
            </w:r>
            <w:r w:rsidRPr="00037AB9">
              <w:rPr>
                <w:b/>
                <w:bCs/>
              </w:rPr>
              <w:t>nodro</w:t>
            </w:r>
            <w:r w:rsidRPr="00242DE6">
              <w:rPr>
                <w:b/>
                <w:bCs/>
              </w:rPr>
              <w:t>š</w:t>
            </w:r>
            <w:r w:rsidRPr="00037AB9">
              <w:rPr>
                <w:b/>
                <w:bCs/>
              </w:rPr>
              <w:t>in</w:t>
            </w:r>
            <w:r w:rsidRPr="00242DE6">
              <w:rPr>
                <w:b/>
                <w:bCs/>
              </w:rPr>
              <w:t>āš</w:t>
            </w:r>
            <w:r w:rsidRPr="00037AB9">
              <w:rPr>
                <w:b/>
                <w:bCs/>
              </w:rPr>
              <w:t>ana</w:t>
            </w:r>
            <w:r w:rsidRPr="00242DE6">
              <w:rPr>
                <w:b/>
                <w:bCs/>
              </w:rPr>
              <w:t xml:space="preserve"> </w:t>
            </w:r>
            <w:r w:rsidRPr="00037AB9">
              <w:rPr>
                <w:b/>
                <w:bCs/>
              </w:rPr>
              <w:t>un</w:t>
            </w:r>
            <w:r w:rsidRPr="00242DE6">
              <w:rPr>
                <w:b/>
                <w:bCs/>
              </w:rPr>
              <w:t xml:space="preserve"> </w:t>
            </w:r>
            <w:r w:rsidRPr="00037AB9">
              <w:rPr>
                <w:b/>
                <w:bCs/>
              </w:rPr>
              <w:t>t</w:t>
            </w:r>
            <w:r w:rsidRPr="00242DE6">
              <w:rPr>
                <w:b/>
                <w:bCs/>
              </w:rPr>
              <w:t>ā</w:t>
            </w:r>
            <w:r w:rsidRPr="00037AB9">
              <w:rPr>
                <w:b/>
                <w:bCs/>
              </w:rPr>
              <w:t>s</w:t>
            </w:r>
            <w:r w:rsidRPr="00242DE6">
              <w:rPr>
                <w:b/>
                <w:bCs/>
              </w:rPr>
              <w:t xml:space="preserve"> </w:t>
            </w:r>
            <w:r w:rsidRPr="00037AB9">
              <w:rPr>
                <w:b/>
                <w:bCs/>
              </w:rPr>
              <w:t>ietekme</w:t>
            </w:r>
            <w:r w:rsidRPr="00242DE6">
              <w:rPr>
                <w:b/>
                <w:bCs/>
              </w:rPr>
              <w:t xml:space="preserve"> </w:t>
            </w:r>
            <w:r w:rsidRPr="00037AB9">
              <w:rPr>
                <w:b/>
                <w:bCs/>
              </w:rPr>
              <w:t>uz</w:t>
            </w:r>
            <w:r w:rsidRPr="00242DE6">
              <w:rPr>
                <w:b/>
                <w:bCs/>
              </w:rPr>
              <w:t xml:space="preserve"> </w:t>
            </w:r>
            <w:r w:rsidRPr="00037AB9">
              <w:rPr>
                <w:b/>
                <w:bCs/>
              </w:rPr>
              <w:t>instit</w:t>
            </w:r>
            <w:r w:rsidRPr="00242DE6">
              <w:rPr>
                <w:b/>
                <w:bCs/>
              </w:rPr>
              <w:t>ū</w:t>
            </w:r>
            <w:r w:rsidRPr="00037AB9">
              <w:rPr>
                <w:b/>
                <w:bCs/>
              </w:rPr>
              <w:t>cij</w:t>
            </w:r>
            <w:r w:rsidRPr="00242DE6">
              <w:rPr>
                <w:b/>
                <w:bCs/>
              </w:rPr>
              <w:t>ā</w:t>
            </w:r>
            <w:r w:rsidRPr="00037AB9">
              <w:rPr>
                <w:b/>
                <w:bCs/>
              </w:rPr>
              <w:t>m</w:t>
            </w:r>
          </w:p>
        </w:tc>
      </w:tr>
      <w:tr w:rsidR="00037AB9" w:rsidRPr="005F43FE" w:rsidTr="00555F60">
        <w:tc>
          <w:tcPr>
            <w:tcW w:w="514" w:type="pct"/>
            <w:tcBorders>
              <w:top w:val="outset" w:sz="6" w:space="0" w:color="000000"/>
              <w:left w:val="outset" w:sz="6" w:space="0" w:color="000000"/>
              <w:bottom w:val="outset" w:sz="6" w:space="0" w:color="000000"/>
              <w:right w:val="outset" w:sz="6" w:space="0" w:color="000000"/>
            </w:tcBorders>
          </w:tcPr>
          <w:p w:rsidR="00037AB9" w:rsidRPr="00544B62" w:rsidRDefault="00081E26" w:rsidP="00555F60">
            <w:pPr>
              <w:spacing w:before="100" w:beforeAutospacing="1" w:after="100" w:afterAutospacing="1"/>
              <w:ind w:right="142"/>
              <w:jc w:val="both"/>
            </w:pPr>
            <w:r>
              <w:t>1.</w:t>
            </w:r>
          </w:p>
        </w:tc>
        <w:tc>
          <w:tcPr>
            <w:tcW w:w="1542" w:type="pct"/>
            <w:tcBorders>
              <w:top w:val="outset" w:sz="6" w:space="0" w:color="000000"/>
              <w:left w:val="outset" w:sz="6" w:space="0" w:color="000000"/>
              <w:bottom w:val="outset" w:sz="6" w:space="0" w:color="000000"/>
              <w:right w:val="outset" w:sz="6" w:space="0" w:color="000000"/>
            </w:tcBorders>
          </w:tcPr>
          <w:p w:rsidR="00037AB9" w:rsidRPr="00544B62" w:rsidRDefault="00037AB9" w:rsidP="00555F60">
            <w:pPr>
              <w:spacing w:before="100" w:beforeAutospacing="1" w:after="100" w:afterAutospacing="1"/>
              <w:ind w:right="142"/>
              <w:jc w:val="both"/>
            </w:pPr>
            <w:r w:rsidRPr="00544B62">
              <w:t>Projekta izpildē iesaistītās institūcijas</w:t>
            </w:r>
          </w:p>
        </w:tc>
        <w:tc>
          <w:tcPr>
            <w:tcW w:w="2944" w:type="pct"/>
            <w:tcBorders>
              <w:top w:val="outset" w:sz="6" w:space="0" w:color="000000"/>
              <w:left w:val="outset" w:sz="6" w:space="0" w:color="000000"/>
              <w:bottom w:val="outset" w:sz="6" w:space="0" w:color="000000"/>
              <w:right w:val="outset" w:sz="6" w:space="0" w:color="000000"/>
            </w:tcBorders>
          </w:tcPr>
          <w:p w:rsidR="00037AB9" w:rsidRPr="005F43FE" w:rsidRDefault="00114BE0" w:rsidP="00555F60">
            <w:pPr>
              <w:spacing w:before="100" w:beforeAutospacing="1" w:after="100" w:afterAutospacing="1"/>
              <w:ind w:right="142"/>
              <w:jc w:val="both"/>
            </w:pPr>
            <w:r>
              <w:t>Valsts ieņēmumu dienests</w:t>
            </w:r>
          </w:p>
        </w:tc>
      </w:tr>
      <w:tr w:rsidR="00037AB9" w:rsidRPr="00F53F64" w:rsidTr="00555F60">
        <w:tc>
          <w:tcPr>
            <w:tcW w:w="514" w:type="pct"/>
            <w:tcBorders>
              <w:top w:val="outset" w:sz="6" w:space="0" w:color="000000"/>
              <w:left w:val="outset" w:sz="6" w:space="0" w:color="000000"/>
              <w:bottom w:val="outset" w:sz="6" w:space="0" w:color="000000"/>
              <w:right w:val="outset" w:sz="6" w:space="0" w:color="000000"/>
            </w:tcBorders>
          </w:tcPr>
          <w:p w:rsidR="00037AB9" w:rsidRPr="00544B62" w:rsidRDefault="00081E26" w:rsidP="00555F60">
            <w:pPr>
              <w:spacing w:before="100" w:beforeAutospacing="1" w:after="100" w:afterAutospacing="1"/>
              <w:ind w:right="142"/>
              <w:jc w:val="both"/>
              <w:rPr>
                <w:lang w:val="en-US"/>
              </w:rPr>
            </w:pPr>
            <w:r>
              <w:rPr>
                <w:lang w:val="en-US"/>
              </w:rPr>
              <w:t>2.</w:t>
            </w:r>
          </w:p>
        </w:tc>
        <w:tc>
          <w:tcPr>
            <w:tcW w:w="1542" w:type="pct"/>
            <w:tcBorders>
              <w:top w:val="outset" w:sz="6" w:space="0" w:color="000000"/>
              <w:left w:val="outset" w:sz="6" w:space="0" w:color="000000"/>
              <w:bottom w:val="outset" w:sz="6" w:space="0" w:color="000000"/>
              <w:right w:val="outset" w:sz="6" w:space="0" w:color="000000"/>
            </w:tcBorders>
          </w:tcPr>
          <w:p w:rsidR="00F53F64" w:rsidRDefault="00037AB9" w:rsidP="00555F60">
            <w:pPr>
              <w:ind w:right="142"/>
              <w:jc w:val="both"/>
            </w:pPr>
            <w:r w:rsidRPr="00C44AF7">
              <w:t>Projekta izpildes ietekme uz pārvaldes funkcijām un institucionālo struktūru</w:t>
            </w:r>
            <w:r w:rsidR="00F53F64">
              <w:t>.</w:t>
            </w:r>
          </w:p>
          <w:p w:rsidR="00037AB9" w:rsidRPr="00C44AF7" w:rsidRDefault="00037AB9" w:rsidP="00555F60">
            <w:pPr>
              <w:ind w:right="142"/>
              <w:jc w:val="both"/>
            </w:pPr>
            <w:r w:rsidRPr="00C44AF7">
              <w:t>Jaunu institūciju izveide, esošu institūciju likvidācija vai reorganizācija, to ietekme uz institūcijas cilvēkresursiem</w:t>
            </w:r>
          </w:p>
        </w:tc>
        <w:tc>
          <w:tcPr>
            <w:tcW w:w="2944" w:type="pct"/>
            <w:tcBorders>
              <w:top w:val="outset" w:sz="6" w:space="0" w:color="000000"/>
              <w:left w:val="outset" w:sz="6" w:space="0" w:color="000000"/>
              <w:bottom w:val="outset" w:sz="6" w:space="0" w:color="000000"/>
              <w:right w:val="outset" w:sz="6" w:space="0" w:color="000000"/>
            </w:tcBorders>
          </w:tcPr>
          <w:p w:rsidR="008F444F" w:rsidRPr="00C44AF7" w:rsidRDefault="00114BE0" w:rsidP="00555F60">
            <w:pPr>
              <w:ind w:right="142"/>
              <w:jc w:val="both"/>
            </w:pPr>
            <w:r w:rsidRPr="00C44AF7">
              <w:t>Valsts ieņēmumu dienesta funkcijas netiks mainītas</w:t>
            </w:r>
            <w:r w:rsidR="00106309">
              <w:t>.</w:t>
            </w:r>
          </w:p>
          <w:p w:rsidR="003B7F23" w:rsidRDefault="003B7F23" w:rsidP="00555F60">
            <w:pPr>
              <w:ind w:right="142"/>
              <w:jc w:val="both"/>
            </w:pPr>
          </w:p>
          <w:p w:rsidR="003B7F23" w:rsidRDefault="003B7F23" w:rsidP="00555F60">
            <w:pPr>
              <w:ind w:right="142"/>
              <w:jc w:val="both"/>
            </w:pPr>
          </w:p>
          <w:p w:rsidR="00037AB9" w:rsidRPr="00C44AF7" w:rsidRDefault="008F444F" w:rsidP="00555F60">
            <w:pPr>
              <w:ind w:right="142"/>
              <w:jc w:val="both"/>
            </w:pPr>
            <w:r w:rsidRPr="00C44AF7">
              <w:t>N</w:t>
            </w:r>
            <w:r w:rsidR="00037AB9" w:rsidRPr="00C44AF7">
              <w:t>av nepieciešams veidot jaunas institūcijas.</w:t>
            </w:r>
          </w:p>
          <w:p w:rsidR="00081E26" w:rsidRPr="00C44AF7" w:rsidRDefault="00081E26" w:rsidP="00555F60">
            <w:pPr>
              <w:ind w:right="142"/>
              <w:jc w:val="both"/>
            </w:pPr>
            <w:r w:rsidRPr="00C44AF7">
              <w:t>Nav nepieciešama esošu institūciju</w:t>
            </w:r>
            <w:r w:rsidR="00106309">
              <w:t xml:space="preserve"> likvidācija vai reorganizācija</w:t>
            </w:r>
          </w:p>
        </w:tc>
      </w:tr>
      <w:tr w:rsidR="00037AB9" w:rsidRPr="007768EC" w:rsidTr="00555F60">
        <w:tc>
          <w:tcPr>
            <w:tcW w:w="514" w:type="pct"/>
            <w:tcBorders>
              <w:top w:val="outset" w:sz="6" w:space="0" w:color="000000"/>
              <w:left w:val="outset" w:sz="6" w:space="0" w:color="000000"/>
              <w:bottom w:val="outset" w:sz="6" w:space="0" w:color="000000"/>
              <w:right w:val="outset" w:sz="6" w:space="0" w:color="000000"/>
            </w:tcBorders>
          </w:tcPr>
          <w:p w:rsidR="00037AB9" w:rsidRPr="00544B62" w:rsidRDefault="00081E26" w:rsidP="00555F60">
            <w:pPr>
              <w:spacing w:before="100" w:beforeAutospacing="1" w:after="100" w:afterAutospacing="1"/>
              <w:ind w:right="142"/>
              <w:jc w:val="both"/>
              <w:rPr>
                <w:lang w:val="en-US"/>
              </w:rPr>
            </w:pPr>
            <w:r>
              <w:rPr>
                <w:lang w:val="en-US"/>
              </w:rPr>
              <w:t>3.</w:t>
            </w:r>
          </w:p>
        </w:tc>
        <w:tc>
          <w:tcPr>
            <w:tcW w:w="1542" w:type="pct"/>
            <w:tcBorders>
              <w:top w:val="outset" w:sz="6" w:space="0" w:color="000000"/>
              <w:left w:val="outset" w:sz="6" w:space="0" w:color="000000"/>
              <w:bottom w:val="outset" w:sz="6" w:space="0" w:color="000000"/>
              <w:right w:val="outset" w:sz="6" w:space="0" w:color="000000"/>
            </w:tcBorders>
          </w:tcPr>
          <w:p w:rsidR="00037AB9" w:rsidRPr="00C44AF7" w:rsidRDefault="00081E26" w:rsidP="00555F60">
            <w:pPr>
              <w:spacing w:before="100" w:beforeAutospacing="1" w:after="100" w:afterAutospacing="1"/>
              <w:ind w:right="142"/>
              <w:jc w:val="both"/>
            </w:pPr>
            <w:r w:rsidRPr="00C44AF7">
              <w:t>Cita informācija</w:t>
            </w:r>
          </w:p>
        </w:tc>
        <w:tc>
          <w:tcPr>
            <w:tcW w:w="2944" w:type="pct"/>
            <w:tcBorders>
              <w:top w:val="outset" w:sz="6" w:space="0" w:color="000000"/>
              <w:left w:val="outset" w:sz="6" w:space="0" w:color="000000"/>
              <w:bottom w:val="outset" w:sz="6" w:space="0" w:color="000000"/>
              <w:right w:val="outset" w:sz="6" w:space="0" w:color="000000"/>
            </w:tcBorders>
          </w:tcPr>
          <w:p w:rsidR="00037AB9" w:rsidRPr="00C44AF7" w:rsidRDefault="00081E26" w:rsidP="00555F60">
            <w:pPr>
              <w:spacing w:before="100" w:beforeAutospacing="1" w:after="100" w:afterAutospacing="1"/>
              <w:ind w:right="142"/>
              <w:jc w:val="both"/>
            </w:pPr>
            <w:r w:rsidRPr="00C44AF7">
              <w:t>Nav</w:t>
            </w:r>
          </w:p>
        </w:tc>
      </w:tr>
    </w:tbl>
    <w:p w:rsidR="00080AD1" w:rsidRDefault="00080AD1" w:rsidP="006D0922">
      <w:pPr>
        <w:pStyle w:val="naisf"/>
        <w:tabs>
          <w:tab w:val="left" w:pos="6804"/>
        </w:tabs>
        <w:spacing w:before="0" w:after="0"/>
        <w:ind w:firstLine="0"/>
      </w:pPr>
    </w:p>
    <w:p w:rsidR="00CD46A7" w:rsidRPr="009656DE" w:rsidRDefault="00555F60" w:rsidP="00CD46A7">
      <w:pPr>
        <w:pStyle w:val="naisf"/>
        <w:spacing w:before="0" w:after="0"/>
        <w:ind w:firstLine="0"/>
      </w:pPr>
      <w:r>
        <w:t xml:space="preserve">Anotācijas IV, </w:t>
      </w:r>
      <w:r w:rsidR="00CD46A7">
        <w:t>V un VI</w:t>
      </w:r>
      <w:r w:rsidR="00645940">
        <w:t xml:space="preserve"> </w:t>
      </w:r>
      <w:r w:rsidR="00CD46A7">
        <w:t>sadaļa – projekts šīs jomas neskar</w:t>
      </w:r>
      <w:r w:rsidR="00807D76">
        <w:t>.</w:t>
      </w:r>
    </w:p>
    <w:p w:rsidR="0003506F" w:rsidRPr="00555F60" w:rsidRDefault="0003506F" w:rsidP="0003506F">
      <w:pPr>
        <w:jc w:val="both"/>
        <w:rPr>
          <w:sz w:val="28"/>
          <w:szCs w:val="28"/>
        </w:rPr>
      </w:pPr>
    </w:p>
    <w:p w:rsidR="00CD46A7" w:rsidRPr="0003506F" w:rsidRDefault="00CD46A7" w:rsidP="0003506F">
      <w:pPr>
        <w:jc w:val="both"/>
        <w:rPr>
          <w:sz w:val="28"/>
          <w:szCs w:val="28"/>
          <w:lang w:val="de-DE"/>
        </w:rPr>
      </w:pPr>
    </w:p>
    <w:p w:rsidR="0003506F" w:rsidRPr="0003506F" w:rsidRDefault="0003506F" w:rsidP="00B862F6">
      <w:pPr>
        <w:jc w:val="both"/>
        <w:rPr>
          <w:sz w:val="28"/>
          <w:szCs w:val="28"/>
          <w:lang w:val="de-DE"/>
        </w:rPr>
      </w:pPr>
      <w:r w:rsidRPr="0003506F">
        <w:rPr>
          <w:sz w:val="28"/>
          <w:szCs w:val="28"/>
          <w:lang w:val="de-DE"/>
        </w:rPr>
        <w:t>Finanšu ministr</w:t>
      </w:r>
      <w:r w:rsidR="00496ED2">
        <w:rPr>
          <w:sz w:val="28"/>
          <w:szCs w:val="28"/>
          <w:lang w:val="de-DE"/>
        </w:rPr>
        <w:t>s</w:t>
      </w:r>
      <w:r w:rsidR="002D425B">
        <w:rPr>
          <w:sz w:val="28"/>
          <w:szCs w:val="28"/>
        </w:rPr>
        <w:tab/>
      </w:r>
      <w:r w:rsidR="002D425B">
        <w:rPr>
          <w:sz w:val="28"/>
          <w:szCs w:val="28"/>
        </w:rPr>
        <w:tab/>
      </w:r>
      <w:r w:rsidR="002D425B">
        <w:rPr>
          <w:sz w:val="28"/>
          <w:szCs w:val="28"/>
        </w:rPr>
        <w:tab/>
      </w:r>
      <w:r w:rsidR="002D425B">
        <w:rPr>
          <w:sz w:val="28"/>
          <w:szCs w:val="28"/>
        </w:rPr>
        <w:tab/>
      </w:r>
      <w:r w:rsidR="002D425B">
        <w:rPr>
          <w:sz w:val="28"/>
          <w:szCs w:val="28"/>
        </w:rPr>
        <w:tab/>
      </w:r>
      <w:r w:rsidR="002D425B">
        <w:rPr>
          <w:sz w:val="28"/>
          <w:szCs w:val="28"/>
        </w:rPr>
        <w:tab/>
      </w:r>
      <w:r w:rsidR="002D425B">
        <w:rPr>
          <w:sz w:val="28"/>
          <w:szCs w:val="28"/>
        </w:rPr>
        <w:tab/>
      </w:r>
      <w:r w:rsidR="00496ED2">
        <w:rPr>
          <w:sz w:val="28"/>
          <w:szCs w:val="28"/>
        </w:rPr>
        <w:t>J.Reirs</w:t>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r>
      <w:r w:rsidRPr="0003506F">
        <w:rPr>
          <w:sz w:val="28"/>
          <w:szCs w:val="28"/>
          <w:lang w:val="de-DE"/>
        </w:rPr>
        <w:tab/>
        <w:t xml:space="preserve"> </w:t>
      </w:r>
    </w:p>
    <w:p w:rsidR="007A66D8" w:rsidRDefault="007A66D8" w:rsidP="006D0922">
      <w:pPr>
        <w:pStyle w:val="naisf"/>
        <w:tabs>
          <w:tab w:val="left" w:pos="6804"/>
        </w:tabs>
        <w:spacing w:before="0" w:after="0"/>
        <w:ind w:firstLine="0"/>
      </w:pPr>
    </w:p>
    <w:p w:rsidR="00114BE0" w:rsidRDefault="00496ED2" w:rsidP="00F961AE">
      <w:pPr>
        <w:tabs>
          <w:tab w:val="center" w:pos="4153"/>
          <w:tab w:val="right" w:pos="8306"/>
        </w:tabs>
        <w:rPr>
          <w:sz w:val="20"/>
        </w:rPr>
      </w:pPr>
      <w:r>
        <w:rPr>
          <w:sz w:val="20"/>
        </w:rPr>
        <w:t>0</w:t>
      </w:r>
      <w:r w:rsidR="00341924">
        <w:rPr>
          <w:sz w:val="20"/>
        </w:rPr>
        <w:t>2</w:t>
      </w:r>
      <w:r w:rsidR="00114BE0">
        <w:rPr>
          <w:sz w:val="20"/>
        </w:rPr>
        <w:t>.</w:t>
      </w:r>
      <w:r>
        <w:rPr>
          <w:sz w:val="20"/>
        </w:rPr>
        <w:t>02</w:t>
      </w:r>
      <w:r w:rsidR="00114BE0">
        <w:rPr>
          <w:sz w:val="20"/>
        </w:rPr>
        <w:t>.201</w:t>
      </w:r>
      <w:r>
        <w:rPr>
          <w:sz w:val="20"/>
        </w:rPr>
        <w:t>5</w:t>
      </w:r>
      <w:r w:rsidR="003B7F23">
        <w:rPr>
          <w:sz w:val="20"/>
        </w:rPr>
        <w:t>.</w:t>
      </w:r>
    </w:p>
    <w:p w:rsidR="00F961AE" w:rsidRPr="00F961AE" w:rsidRDefault="0017266E" w:rsidP="00F961AE">
      <w:pPr>
        <w:tabs>
          <w:tab w:val="center" w:pos="4153"/>
          <w:tab w:val="right" w:pos="8306"/>
        </w:tabs>
        <w:rPr>
          <w:iCs/>
          <w:sz w:val="20"/>
        </w:rPr>
      </w:pPr>
      <w:r>
        <w:rPr>
          <w:iCs/>
          <w:sz w:val="20"/>
          <w:lang w:val="en-GB"/>
        </w:rPr>
        <w:t>8</w:t>
      </w:r>
      <w:r w:rsidR="00496ED2">
        <w:rPr>
          <w:iCs/>
          <w:sz w:val="20"/>
          <w:lang w:val="en-GB"/>
        </w:rPr>
        <w:t>89</w:t>
      </w:r>
    </w:p>
    <w:p w:rsidR="00F961AE" w:rsidRPr="00F961AE" w:rsidRDefault="007867C7" w:rsidP="00F961AE">
      <w:pPr>
        <w:tabs>
          <w:tab w:val="center" w:pos="4153"/>
          <w:tab w:val="right" w:pos="8306"/>
        </w:tabs>
        <w:rPr>
          <w:sz w:val="20"/>
        </w:rPr>
      </w:pPr>
      <w:r>
        <w:rPr>
          <w:sz w:val="20"/>
        </w:rPr>
        <w:t>Kudravecs</w:t>
      </w:r>
      <w:r w:rsidR="00FC20E9">
        <w:rPr>
          <w:sz w:val="20"/>
        </w:rPr>
        <w:t>, 6712204</w:t>
      </w:r>
      <w:r>
        <w:rPr>
          <w:sz w:val="20"/>
        </w:rPr>
        <w:t>2</w:t>
      </w:r>
    </w:p>
    <w:p w:rsidR="007A66D8" w:rsidRPr="00E8093E" w:rsidRDefault="00F961AE" w:rsidP="00F961AE">
      <w:pPr>
        <w:tabs>
          <w:tab w:val="center" w:pos="4153"/>
          <w:tab w:val="right" w:pos="8306"/>
        </w:tabs>
        <w:rPr>
          <w:sz w:val="20"/>
        </w:rPr>
      </w:pPr>
      <w:r w:rsidRPr="00F961AE">
        <w:rPr>
          <w:sz w:val="20"/>
        </w:rPr>
        <w:t xml:space="preserve">e-pasts: </w:t>
      </w:r>
      <w:r w:rsidR="007867C7">
        <w:rPr>
          <w:sz w:val="20"/>
        </w:rPr>
        <w:t>diana.kudravecs</w:t>
      </w:r>
      <w:r w:rsidR="00A0609C">
        <w:rPr>
          <w:sz w:val="20"/>
        </w:rPr>
        <w:t>@vid.gov.lv</w:t>
      </w:r>
    </w:p>
    <w:sectPr w:rsidR="007A66D8" w:rsidRPr="00E8093E" w:rsidSect="00C96B4C">
      <w:headerReference w:type="even" r:id="rId12"/>
      <w:headerReference w:type="default" r:id="rId13"/>
      <w:footerReference w:type="default" r:id="rId14"/>
      <w:footerReference w:type="first" r:id="rId15"/>
      <w:pgSz w:w="11906" w:h="16838" w:code="9"/>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7A" w:rsidRDefault="0060497A">
      <w:r>
        <w:separator/>
      </w:r>
    </w:p>
  </w:endnote>
  <w:endnote w:type="continuationSeparator" w:id="0">
    <w:p w:rsidR="0060497A" w:rsidRDefault="0060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114BE0" w:rsidRDefault="00D805F0" w:rsidP="00114BE0">
    <w:pPr>
      <w:pStyle w:val="Footer"/>
      <w:jc w:val="both"/>
      <w:rPr>
        <w:sz w:val="20"/>
        <w:szCs w:val="20"/>
      </w:rPr>
    </w:pPr>
    <w:r w:rsidRPr="002542DA">
      <w:rPr>
        <w:sz w:val="20"/>
        <w:szCs w:val="20"/>
      </w:rPr>
      <w:t>F</w:t>
    </w:r>
    <w:r w:rsidR="00561D6A">
      <w:rPr>
        <w:sz w:val="20"/>
        <w:szCs w:val="20"/>
      </w:rPr>
      <w:t>MAnot_</w:t>
    </w:r>
    <w:r w:rsidR="00496ED2">
      <w:rPr>
        <w:sz w:val="20"/>
        <w:szCs w:val="20"/>
      </w:rPr>
      <w:t>0</w:t>
    </w:r>
    <w:r w:rsidR="00341924">
      <w:rPr>
        <w:sz w:val="20"/>
        <w:szCs w:val="20"/>
      </w:rPr>
      <w:t>2</w:t>
    </w:r>
    <w:r w:rsidR="00496ED2">
      <w:rPr>
        <w:sz w:val="20"/>
        <w:szCs w:val="20"/>
      </w:rPr>
      <w:t>022015</w:t>
    </w:r>
    <w:r w:rsidR="001C4D38">
      <w:rPr>
        <w:sz w:val="20"/>
        <w:szCs w:val="20"/>
      </w:rPr>
      <w:t>_</w:t>
    </w:r>
    <w:r w:rsidR="00BF1845">
      <w:rPr>
        <w:sz w:val="20"/>
        <w:szCs w:val="20"/>
      </w:rPr>
      <w:t>SEZparskati</w:t>
    </w:r>
    <w:r w:rsidR="001C4D38">
      <w:rPr>
        <w:sz w:val="20"/>
        <w:szCs w:val="20"/>
      </w:rPr>
      <w:t>;</w:t>
    </w:r>
    <w:r w:rsidR="001C4D38" w:rsidRPr="001C4D38">
      <w:t xml:space="preserve"> </w:t>
    </w:r>
    <w:r w:rsidR="001C4D38" w:rsidRPr="001C4D38">
      <w:rPr>
        <w:sz w:val="20"/>
        <w:szCs w:val="20"/>
      </w:rPr>
      <w:t>Minist</w:t>
    </w:r>
    <w:r w:rsidR="00A324D2">
      <w:rPr>
        <w:sz w:val="20"/>
        <w:szCs w:val="20"/>
      </w:rPr>
      <w:t>ru kabineta noteikumu projekta</w:t>
    </w:r>
    <w:r w:rsidR="001C4D38" w:rsidRPr="001C4D38">
      <w:rPr>
        <w:sz w:val="20"/>
        <w:szCs w:val="20"/>
      </w:rPr>
      <w:t xml:space="preserve"> </w:t>
    </w:r>
    <w:r w:rsidR="00663DF4" w:rsidRPr="001C4D38">
      <w:rPr>
        <w:sz w:val="20"/>
        <w:szCs w:val="20"/>
      </w:rPr>
      <w:t xml:space="preserve">“Noteikumi </w:t>
    </w:r>
    <w:r w:rsidR="00663DF4" w:rsidRPr="00BF1845">
      <w:rPr>
        <w:sz w:val="20"/>
        <w:szCs w:val="20"/>
      </w:rPr>
      <w:t>par speciālo ekonomisko zonu un brīvostu kapitālsabiedrību un pašvaldību pārskatu veidlapu paraugiem</w:t>
    </w:r>
    <w:r w:rsidR="00663DF4">
      <w:rPr>
        <w:sz w:val="20"/>
        <w:szCs w:val="20"/>
      </w:rPr>
      <w:t xml:space="preserve"> </w:t>
    </w:r>
    <w:r w:rsidR="00663DF4" w:rsidRPr="000A5548">
      <w:rPr>
        <w:bCs/>
        <w:sz w:val="20"/>
        <w:szCs w:val="20"/>
      </w:rPr>
      <w:t>un to aizpildīšanas un iesniegšanas kārtību</w:t>
    </w:r>
    <w:r w:rsidR="00663DF4">
      <w:rPr>
        <w:sz w:val="20"/>
        <w:szCs w:val="20"/>
      </w:rPr>
      <w:t>”</w:t>
    </w:r>
    <w:r w:rsidR="00663DF4" w:rsidRPr="001C4D38">
      <w:rPr>
        <w:sz w:val="20"/>
        <w:szCs w:val="20"/>
      </w:rPr>
      <w:t xml:space="preserve"> </w:t>
    </w:r>
    <w:r w:rsidR="001C4D38" w:rsidRPr="001C4D38">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1C4D38" w:rsidRDefault="001C4D38" w:rsidP="001C4D38">
    <w:pPr>
      <w:pStyle w:val="Footer"/>
      <w:jc w:val="both"/>
      <w:rPr>
        <w:sz w:val="20"/>
        <w:szCs w:val="20"/>
      </w:rPr>
    </w:pPr>
    <w:r w:rsidRPr="002542DA">
      <w:rPr>
        <w:sz w:val="20"/>
        <w:szCs w:val="20"/>
      </w:rPr>
      <w:t>F</w:t>
    </w:r>
    <w:r w:rsidR="00B80AC2">
      <w:rPr>
        <w:sz w:val="20"/>
        <w:szCs w:val="20"/>
      </w:rPr>
      <w:t>MAnot_</w:t>
    </w:r>
    <w:r w:rsidR="00341924">
      <w:rPr>
        <w:sz w:val="20"/>
        <w:szCs w:val="20"/>
      </w:rPr>
      <w:t>02022015</w:t>
    </w:r>
    <w:r>
      <w:rPr>
        <w:sz w:val="20"/>
        <w:szCs w:val="20"/>
      </w:rPr>
      <w:t>_</w:t>
    </w:r>
    <w:r w:rsidR="00BF1845">
      <w:rPr>
        <w:sz w:val="20"/>
        <w:szCs w:val="20"/>
      </w:rPr>
      <w:t>SEZparskati</w:t>
    </w:r>
    <w:r>
      <w:rPr>
        <w:sz w:val="20"/>
        <w:szCs w:val="20"/>
      </w:rPr>
      <w:t>;</w:t>
    </w:r>
    <w:r w:rsidRPr="001C4D38">
      <w:t xml:space="preserve"> </w:t>
    </w:r>
    <w:r w:rsidRPr="001C4D38">
      <w:rPr>
        <w:sz w:val="20"/>
        <w:szCs w:val="20"/>
      </w:rPr>
      <w:t xml:space="preserve">Ministru kabineta noteikumu projekta “Noteikumi </w:t>
    </w:r>
    <w:r w:rsidR="00BF1845" w:rsidRPr="00BF1845">
      <w:rPr>
        <w:sz w:val="20"/>
        <w:szCs w:val="20"/>
      </w:rPr>
      <w:t>par speciālo ekonomisko zonu un brīvostu kapitālsabiedrību un pašvaldību pārskatu veidlapu paraugiem</w:t>
    </w:r>
    <w:r w:rsidR="00663DF4">
      <w:rPr>
        <w:sz w:val="20"/>
        <w:szCs w:val="20"/>
      </w:rPr>
      <w:t xml:space="preserve"> </w:t>
    </w:r>
    <w:r w:rsidR="00663DF4" w:rsidRPr="00D02338">
      <w:rPr>
        <w:bCs/>
        <w:sz w:val="20"/>
        <w:szCs w:val="20"/>
      </w:rPr>
      <w:t>un to aizpildīšanas un iesniegšanas kārtību</w:t>
    </w:r>
    <w:r w:rsidR="00456A5B">
      <w:rPr>
        <w:sz w:val="20"/>
        <w:szCs w:val="20"/>
      </w:rPr>
      <w:t>”</w:t>
    </w:r>
    <w:r w:rsidRPr="001C4D3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7A" w:rsidRDefault="0060497A">
      <w:r>
        <w:separator/>
      </w:r>
    </w:p>
  </w:footnote>
  <w:footnote w:type="continuationSeparator" w:id="0">
    <w:p w:rsidR="0060497A" w:rsidRDefault="0060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4C2">
      <w:rPr>
        <w:rStyle w:val="PageNumber"/>
        <w:noProof/>
      </w:rPr>
      <w:t>4</w:t>
    </w:r>
    <w:r>
      <w:rPr>
        <w:rStyle w:val="PageNumber"/>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72435E"/>
    <w:multiLevelType w:val="hybridMultilevel"/>
    <w:tmpl w:val="B2060386"/>
    <w:lvl w:ilvl="0" w:tplc="9AEA78E6">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8"/>
  </w:num>
  <w:num w:numId="2">
    <w:abstractNumId w:val="21"/>
  </w:num>
  <w:num w:numId="3">
    <w:abstractNumId w:val="5"/>
  </w:num>
  <w:num w:numId="4">
    <w:abstractNumId w:val="3"/>
  </w:num>
  <w:num w:numId="5">
    <w:abstractNumId w:val="1"/>
  </w:num>
  <w:num w:numId="6">
    <w:abstractNumId w:val="16"/>
  </w:num>
  <w:num w:numId="7">
    <w:abstractNumId w:val="22"/>
  </w:num>
  <w:num w:numId="8">
    <w:abstractNumId w:val="12"/>
  </w:num>
  <w:num w:numId="9">
    <w:abstractNumId w:val="4"/>
  </w:num>
  <w:num w:numId="10">
    <w:abstractNumId w:val="13"/>
  </w:num>
  <w:num w:numId="11">
    <w:abstractNumId w:val="14"/>
  </w:num>
  <w:num w:numId="12">
    <w:abstractNumId w:val="17"/>
  </w:num>
  <w:num w:numId="13">
    <w:abstractNumId w:val="20"/>
  </w:num>
  <w:num w:numId="14">
    <w:abstractNumId w:val="0"/>
  </w:num>
  <w:num w:numId="15">
    <w:abstractNumId w:val="9"/>
  </w:num>
  <w:num w:numId="16">
    <w:abstractNumId w:val="11"/>
  </w:num>
  <w:num w:numId="17">
    <w:abstractNumId w:val="19"/>
  </w:num>
  <w:num w:numId="18">
    <w:abstractNumId w:val="7"/>
  </w:num>
  <w:num w:numId="19">
    <w:abstractNumId w:val="10"/>
  </w:num>
  <w:num w:numId="20">
    <w:abstractNumId w:val="15"/>
  </w:num>
  <w:num w:numId="21">
    <w:abstractNumId w:val="18"/>
  </w:num>
  <w:num w:numId="22">
    <w:abstractNumId w:val="2"/>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308F"/>
    <w:rsid w:val="00003517"/>
    <w:rsid w:val="00005687"/>
    <w:rsid w:val="0000641C"/>
    <w:rsid w:val="00011C00"/>
    <w:rsid w:val="00011D24"/>
    <w:rsid w:val="000121E6"/>
    <w:rsid w:val="00012BEC"/>
    <w:rsid w:val="00013FF4"/>
    <w:rsid w:val="00015213"/>
    <w:rsid w:val="00017EAF"/>
    <w:rsid w:val="00020FE1"/>
    <w:rsid w:val="00022E13"/>
    <w:rsid w:val="000257A5"/>
    <w:rsid w:val="0002627A"/>
    <w:rsid w:val="00026323"/>
    <w:rsid w:val="00027394"/>
    <w:rsid w:val="00032388"/>
    <w:rsid w:val="000347CE"/>
    <w:rsid w:val="0003506F"/>
    <w:rsid w:val="00035CE2"/>
    <w:rsid w:val="00035DDF"/>
    <w:rsid w:val="00037AB9"/>
    <w:rsid w:val="00037DAC"/>
    <w:rsid w:val="00042CA0"/>
    <w:rsid w:val="00045FA0"/>
    <w:rsid w:val="00053EE5"/>
    <w:rsid w:val="0005553B"/>
    <w:rsid w:val="000604D2"/>
    <w:rsid w:val="00061587"/>
    <w:rsid w:val="00061662"/>
    <w:rsid w:val="00065241"/>
    <w:rsid w:val="00066B2F"/>
    <w:rsid w:val="000675A9"/>
    <w:rsid w:val="00067DDB"/>
    <w:rsid w:val="00070D7A"/>
    <w:rsid w:val="0007288C"/>
    <w:rsid w:val="00074B12"/>
    <w:rsid w:val="00075766"/>
    <w:rsid w:val="00080AD1"/>
    <w:rsid w:val="00081E26"/>
    <w:rsid w:val="00083B68"/>
    <w:rsid w:val="0009005E"/>
    <w:rsid w:val="00090BFB"/>
    <w:rsid w:val="00090DFB"/>
    <w:rsid w:val="000941C5"/>
    <w:rsid w:val="000971F9"/>
    <w:rsid w:val="00097549"/>
    <w:rsid w:val="000A11F5"/>
    <w:rsid w:val="000A6451"/>
    <w:rsid w:val="000B064E"/>
    <w:rsid w:val="000B0C7C"/>
    <w:rsid w:val="000B69CF"/>
    <w:rsid w:val="000B7357"/>
    <w:rsid w:val="000C1CDF"/>
    <w:rsid w:val="000C1E30"/>
    <w:rsid w:val="000C5398"/>
    <w:rsid w:val="000C6DD5"/>
    <w:rsid w:val="000C788D"/>
    <w:rsid w:val="000C790C"/>
    <w:rsid w:val="000D1A1A"/>
    <w:rsid w:val="000D3AED"/>
    <w:rsid w:val="000D452C"/>
    <w:rsid w:val="000D5A7F"/>
    <w:rsid w:val="000E0375"/>
    <w:rsid w:val="000E2DE5"/>
    <w:rsid w:val="000E3723"/>
    <w:rsid w:val="000E6A1E"/>
    <w:rsid w:val="000F061D"/>
    <w:rsid w:val="000F1982"/>
    <w:rsid w:val="000F4713"/>
    <w:rsid w:val="000F4794"/>
    <w:rsid w:val="00100EF9"/>
    <w:rsid w:val="001010FC"/>
    <w:rsid w:val="00101149"/>
    <w:rsid w:val="00102C2B"/>
    <w:rsid w:val="00105059"/>
    <w:rsid w:val="00106309"/>
    <w:rsid w:val="00112480"/>
    <w:rsid w:val="00114BE0"/>
    <w:rsid w:val="00115838"/>
    <w:rsid w:val="00117E30"/>
    <w:rsid w:val="00124F12"/>
    <w:rsid w:val="001254C2"/>
    <w:rsid w:val="001347F7"/>
    <w:rsid w:val="001405CC"/>
    <w:rsid w:val="00141024"/>
    <w:rsid w:val="001417B4"/>
    <w:rsid w:val="00141D8A"/>
    <w:rsid w:val="0014222F"/>
    <w:rsid w:val="00142604"/>
    <w:rsid w:val="00144E3A"/>
    <w:rsid w:val="00146F25"/>
    <w:rsid w:val="0015060C"/>
    <w:rsid w:val="00151D26"/>
    <w:rsid w:val="00155D2D"/>
    <w:rsid w:val="00155FF1"/>
    <w:rsid w:val="0016018A"/>
    <w:rsid w:val="00161F0E"/>
    <w:rsid w:val="00165B11"/>
    <w:rsid w:val="0016758D"/>
    <w:rsid w:val="001679AF"/>
    <w:rsid w:val="00170E2A"/>
    <w:rsid w:val="001713F3"/>
    <w:rsid w:val="001717AD"/>
    <w:rsid w:val="0017266E"/>
    <w:rsid w:val="00177394"/>
    <w:rsid w:val="00182266"/>
    <w:rsid w:val="00182C18"/>
    <w:rsid w:val="00183CC2"/>
    <w:rsid w:val="001900E4"/>
    <w:rsid w:val="00190F88"/>
    <w:rsid w:val="001917DF"/>
    <w:rsid w:val="001926C8"/>
    <w:rsid w:val="00192DDB"/>
    <w:rsid w:val="00197064"/>
    <w:rsid w:val="001A2E25"/>
    <w:rsid w:val="001A4066"/>
    <w:rsid w:val="001A6AE4"/>
    <w:rsid w:val="001A769D"/>
    <w:rsid w:val="001B01FD"/>
    <w:rsid w:val="001B08B8"/>
    <w:rsid w:val="001B4A71"/>
    <w:rsid w:val="001B6D4E"/>
    <w:rsid w:val="001B7692"/>
    <w:rsid w:val="001C4D38"/>
    <w:rsid w:val="001C612F"/>
    <w:rsid w:val="001D166B"/>
    <w:rsid w:val="001D1780"/>
    <w:rsid w:val="001D2CD8"/>
    <w:rsid w:val="001D390F"/>
    <w:rsid w:val="001D5B54"/>
    <w:rsid w:val="001D668E"/>
    <w:rsid w:val="001D79C3"/>
    <w:rsid w:val="001E1DBF"/>
    <w:rsid w:val="001E2687"/>
    <w:rsid w:val="001E3070"/>
    <w:rsid w:val="001E4639"/>
    <w:rsid w:val="001E49FD"/>
    <w:rsid w:val="001E4A7D"/>
    <w:rsid w:val="001F4209"/>
    <w:rsid w:val="001F43A8"/>
    <w:rsid w:val="001F4D49"/>
    <w:rsid w:val="001F5CD6"/>
    <w:rsid w:val="001F6009"/>
    <w:rsid w:val="00200CC7"/>
    <w:rsid w:val="00202D9C"/>
    <w:rsid w:val="00204489"/>
    <w:rsid w:val="00204CD2"/>
    <w:rsid w:val="00206600"/>
    <w:rsid w:val="0020681D"/>
    <w:rsid w:val="00210D0B"/>
    <w:rsid w:val="0021263D"/>
    <w:rsid w:val="00213F0C"/>
    <w:rsid w:val="00214094"/>
    <w:rsid w:val="0021592D"/>
    <w:rsid w:val="00215A98"/>
    <w:rsid w:val="00222D76"/>
    <w:rsid w:val="00223507"/>
    <w:rsid w:val="00223EB1"/>
    <w:rsid w:val="002257D7"/>
    <w:rsid w:val="002259E6"/>
    <w:rsid w:val="00231344"/>
    <w:rsid w:val="00233198"/>
    <w:rsid w:val="0023436E"/>
    <w:rsid w:val="002347C0"/>
    <w:rsid w:val="00241A6C"/>
    <w:rsid w:val="0024252D"/>
    <w:rsid w:val="00242D2B"/>
    <w:rsid w:val="00247D3C"/>
    <w:rsid w:val="00250B39"/>
    <w:rsid w:val="00251ADB"/>
    <w:rsid w:val="00252AAD"/>
    <w:rsid w:val="002542DA"/>
    <w:rsid w:val="00257155"/>
    <w:rsid w:val="002571C9"/>
    <w:rsid w:val="00260B74"/>
    <w:rsid w:val="00262E2B"/>
    <w:rsid w:val="002640EA"/>
    <w:rsid w:val="00267D42"/>
    <w:rsid w:val="00270429"/>
    <w:rsid w:val="002723E9"/>
    <w:rsid w:val="00277929"/>
    <w:rsid w:val="002818DF"/>
    <w:rsid w:val="002820A2"/>
    <w:rsid w:val="002824DE"/>
    <w:rsid w:val="00283255"/>
    <w:rsid w:val="00283B53"/>
    <w:rsid w:val="00283B82"/>
    <w:rsid w:val="002846E9"/>
    <w:rsid w:val="00284C34"/>
    <w:rsid w:val="0029066C"/>
    <w:rsid w:val="00294B19"/>
    <w:rsid w:val="00297969"/>
    <w:rsid w:val="002A3E3E"/>
    <w:rsid w:val="002A50A8"/>
    <w:rsid w:val="002B04AE"/>
    <w:rsid w:val="002B0982"/>
    <w:rsid w:val="002B10D4"/>
    <w:rsid w:val="002B50DB"/>
    <w:rsid w:val="002B5455"/>
    <w:rsid w:val="002C10A7"/>
    <w:rsid w:val="002C12AB"/>
    <w:rsid w:val="002C279D"/>
    <w:rsid w:val="002C5945"/>
    <w:rsid w:val="002C5C60"/>
    <w:rsid w:val="002C69D8"/>
    <w:rsid w:val="002C7CAC"/>
    <w:rsid w:val="002D3248"/>
    <w:rsid w:val="002D3306"/>
    <w:rsid w:val="002D3418"/>
    <w:rsid w:val="002D4244"/>
    <w:rsid w:val="002D425B"/>
    <w:rsid w:val="002D48AA"/>
    <w:rsid w:val="002D5D6C"/>
    <w:rsid w:val="002D7875"/>
    <w:rsid w:val="002D7BAA"/>
    <w:rsid w:val="002D7DC7"/>
    <w:rsid w:val="002D7F54"/>
    <w:rsid w:val="002E37E7"/>
    <w:rsid w:val="002E3FF4"/>
    <w:rsid w:val="002E4126"/>
    <w:rsid w:val="002F3569"/>
    <w:rsid w:val="002F5FDC"/>
    <w:rsid w:val="002F7078"/>
    <w:rsid w:val="002F759C"/>
    <w:rsid w:val="002F78C8"/>
    <w:rsid w:val="003006CA"/>
    <w:rsid w:val="00301CF3"/>
    <w:rsid w:val="003032C1"/>
    <w:rsid w:val="00303AC1"/>
    <w:rsid w:val="00303F8C"/>
    <w:rsid w:val="003040EA"/>
    <w:rsid w:val="00306656"/>
    <w:rsid w:val="00307033"/>
    <w:rsid w:val="00310FF9"/>
    <w:rsid w:val="003133E3"/>
    <w:rsid w:val="00321247"/>
    <w:rsid w:val="0032715C"/>
    <w:rsid w:val="00332DF0"/>
    <w:rsid w:val="00334E28"/>
    <w:rsid w:val="003359A9"/>
    <w:rsid w:val="003369B8"/>
    <w:rsid w:val="00336B3B"/>
    <w:rsid w:val="00337CA5"/>
    <w:rsid w:val="00341924"/>
    <w:rsid w:val="0034270B"/>
    <w:rsid w:val="00347A14"/>
    <w:rsid w:val="00351F16"/>
    <w:rsid w:val="00362478"/>
    <w:rsid w:val="00363EF3"/>
    <w:rsid w:val="00364341"/>
    <w:rsid w:val="003667AD"/>
    <w:rsid w:val="00372EAE"/>
    <w:rsid w:val="003733BA"/>
    <w:rsid w:val="00375B25"/>
    <w:rsid w:val="003807FF"/>
    <w:rsid w:val="0038132C"/>
    <w:rsid w:val="00381D9E"/>
    <w:rsid w:val="003878A9"/>
    <w:rsid w:val="00390D8B"/>
    <w:rsid w:val="00396542"/>
    <w:rsid w:val="0039685B"/>
    <w:rsid w:val="003A31A6"/>
    <w:rsid w:val="003A3B29"/>
    <w:rsid w:val="003A3C61"/>
    <w:rsid w:val="003A6A3C"/>
    <w:rsid w:val="003A7F0C"/>
    <w:rsid w:val="003A7F79"/>
    <w:rsid w:val="003B37E9"/>
    <w:rsid w:val="003B426E"/>
    <w:rsid w:val="003B6404"/>
    <w:rsid w:val="003B67A2"/>
    <w:rsid w:val="003B6BD1"/>
    <w:rsid w:val="003B787E"/>
    <w:rsid w:val="003B7F23"/>
    <w:rsid w:val="003C1635"/>
    <w:rsid w:val="003C2215"/>
    <w:rsid w:val="003C35C6"/>
    <w:rsid w:val="003C449B"/>
    <w:rsid w:val="003C45C1"/>
    <w:rsid w:val="003C6409"/>
    <w:rsid w:val="003D21FF"/>
    <w:rsid w:val="003D33DD"/>
    <w:rsid w:val="003D357A"/>
    <w:rsid w:val="003D698A"/>
    <w:rsid w:val="003E5828"/>
    <w:rsid w:val="003F0112"/>
    <w:rsid w:val="003F071A"/>
    <w:rsid w:val="003F160B"/>
    <w:rsid w:val="003F1E50"/>
    <w:rsid w:val="003F4D77"/>
    <w:rsid w:val="003F7754"/>
    <w:rsid w:val="00400032"/>
    <w:rsid w:val="00400B5B"/>
    <w:rsid w:val="00404852"/>
    <w:rsid w:val="004056ED"/>
    <w:rsid w:val="00405A00"/>
    <w:rsid w:val="00410246"/>
    <w:rsid w:val="00413396"/>
    <w:rsid w:val="004179DE"/>
    <w:rsid w:val="00420870"/>
    <w:rsid w:val="00425868"/>
    <w:rsid w:val="004268F6"/>
    <w:rsid w:val="00427C10"/>
    <w:rsid w:val="00432422"/>
    <w:rsid w:val="00432D0C"/>
    <w:rsid w:val="00433C6B"/>
    <w:rsid w:val="0043791B"/>
    <w:rsid w:val="00440FC7"/>
    <w:rsid w:val="00441187"/>
    <w:rsid w:val="00441483"/>
    <w:rsid w:val="00441BCB"/>
    <w:rsid w:val="00441DBE"/>
    <w:rsid w:val="0045176A"/>
    <w:rsid w:val="0045202F"/>
    <w:rsid w:val="00456332"/>
    <w:rsid w:val="00456663"/>
    <w:rsid w:val="00456A48"/>
    <w:rsid w:val="00456A5B"/>
    <w:rsid w:val="00461826"/>
    <w:rsid w:val="00467DD9"/>
    <w:rsid w:val="004704CE"/>
    <w:rsid w:val="0047358D"/>
    <w:rsid w:val="00475AF2"/>
    <w:rsid w:val="004800F9"/>
    <w:rsid w:val="00486634"/>
    <w:rsid w:val="00486FDD"/>
    <w:rsid w:val="0049134A"/>
    <w:rsid w:val="00491694"/>
    <w:rsid w:val="004918A5"/>
    <w:rsid w:val="00491D5C"/>
    <w:rsid w:val="00492070"/>
    <w:rsid w:val="004933A0"/>
    <w:rsid w:val="004942C6"/>
    <w:rsid w:val="00496ED2"/>
    <w:rsid w:val="004A5603"/>
    <w:rsid w:val="004A58CB"/>
    <w:rsid w:val="004A63C3"/>
    <w:rsid w:val="004B1795"/>
    <w:rsid w:val="004B231D"/>
    <w:rsid w:val="004B392E"/>
    <w:rsid w:val="004B56DD"/>
    <w:rsid w:val="004B5B0C"/>
    <w:rsid w:val="004C020F"/>
    <w:rsid w:val="004C1AFD"/>
    <w:rsid w:val="004C49D2"/>
    <w:rsid w:val="004C558B"/>
    <w:rsid w:val="004C7A0E"/>
    <w:rsid w:val="004D492F"/>
    <w:rsid w:val="004D526B"/>
    <w:rsid w:val="004D564C"/>
    <w:rsid w:val="004D5C7F"/>
    <w:rsid w:val="004E2E8D"/>
    <w:rsid w:val="004E6B86"/>
    <w:rsid w:val="004F0E6D"/>
    <w:rsid w:val="004F0F68"/>
    <w:rsid w:val="004F1F88"/>
    <w:rsid w:val="004F304C"/>
    <w:rsid w:val="004F5827"/>
    <w:rsid w:val="004F5F1B"/>
    <w:rsid w:val="00502374"/>
    <w:rsid w:val="005026E7"/>
    <w:rsid w:val="005037C5"/>
    <w:rsid w:val="0050422D"/>
    <w:rsid w:val="005060A1"/>
    <w:rsid w:val="00506F1D"/>
    <w:rsid w:val="0051005B"/>
    <w:rsid w:val="005156F3"/>
    <w:rsid w:val="00516072"/>
    <w:rsid w:val="005171F5"/>
    <w:rsid w:val="00527517"/>
    <w:rsid w:val="00530649"/>
    <w:rsid w:val="0053070D"/>
    <w:rsid w:val="00531404"/>
    <w:rsid w:val="005332EC"/>
    <w:rsid w:val="00534418"/>
    <w:rsid w:val="005353AB"/>
    <w:rsid w:val="00535E98"/>
    <w:rsid w:val="0053633C"/>
    <w:rsid w:val="005374D7"/>
    <w:rsid w:val="005542A6"/>
    <w:rsid w:val="00554F08"/>
    <w:rsid w:val="00555391"/>
    <w:rsid w:val="00555F60"/>
    <w:rsid w:val="005560BC"/>
    <w:rsid w:val="005573BE"/>
    <w:rsid w:val="00557BEB"/>
    <w:rsid w:val="00561D6A"/>
    <w:rsid w:val="00562633"/>
    <w:rsid w:val="00572700"/>
    <w:rsid w:val="00573099"/>
    <w:rsid w:val="005739B0"/>
    <w:rsid w:val="005748AA"/>
    <w:rsid w:val="00580468"/>
    <w:rsid w:val="00582231"/>
    <w:rsid w:val="00583F9F"/>
    <w:rsid w:val="00585F82"/>
    <w:rsid w:val="0058603B"/>
    <w:rsid w:val="00591C5A"/>
    <w:rsid w:val="00594229"/>
    <w:rsid w:val="0059431B"/>
    <w:rsid w:val="005955FA"/>
    <w:rsid w:val="005A38C3"/>
    <w:rsid w:val="005A39CC"/>
    <w:rsid w:val="005A44ED"/>
    <w:rsid w:val="005A6055"/>
    <w:rsid w:val="005B0D8F"/>
    <w:rsid w:val="005B4730"/>
    <w:rsid w:val="005C0006"/>
    <w:rsid w:val="005C1119"/>
    <w:rsid w:val="005C6979"/>
    <w:rsid w:val="005D4435"/>
    <w:rsid w:val="005E05D7"/>
    <w:rsid w:val="005E41E7"/>
    <w:rsid w:val="005E450F"/>
    <w:rsid w:val="005F066B"/>
    <w:rsid w:val="005F0C0D"/>
    <w:rsid w:val="005F10A1"/>
    <w:rsid w:val="005F126D"/>
    <w:rsid w:val="005F3D9B"/>
    <w:rsid w:val="005F43FE"/>
    <w:rsid w:val="005F5FD1"/>
    <w:rsid w:val="0060497A"/>
    <w:rsid w:val="00611CCF"/>
    <w:rsid w:val="006135BC"/>
    <w:rsid w:val="00614A94"/>
    <w:rsid w:val="006161B7"/>
    <w:rsid w:val="00616C55"/>
    <w:rsid w:val="0062298A"/>
    <w:rsid w:val="00622BB8"/>
    <w:rsid w:val="00625C4A"/>
    <w:rsid w:val="00626514"/>
    <w:rsid w:val="00626589"/>
    <w:rsid w:val="00627C9A"/>
    <w:rsid w:val="00630F37"/>
    <w:rsid w:val="00630FCC"/>
    <w:rsid w:val="00632064"/>
    <w:rsid w:val="006339A0"/>
    <w:rsid w:val="00637F83"/>
    <w:rsid w:val="00640460"/>
    <w:rsid w:val="006408AC"/>
    <w:rsid w:val="006413A8"/>
    <w:rsid w:val="00641ECC"/>
    <w:rsid w:val="00642A9B"/>
    <w:rsid w:val="00642E56"/>
    <w:rsid w:val="00644238"/>
    <w:rsid w:val="006447FA"/>
    <w:rsid w:val="00645940"/>
    <w:rsid w:val="00645C63"/>
    <w:rsid w:val="00651E00"/>
    <w:rsid w:val="006538D4"/>
    <w:rsid w:val="00653BDC"/>
    <w:rsid w:val="00655110"/>
    <w:rsid w:val="0066093B"/>
    <w:rsid w:val="00661D25"/>
    <w:rsid w:val="00663DF4"/>
    <w:rsid w:val="00664480"/>
    <w:rsid w:val="00671C01"/>
    <w:rsid w:val="00672FF4"/>
    <w:rsid w:val="00674572"/>
    <w:rsid w:val="00674A47"/>
    <w:rsid w:val="00687763"/>
    <w:rsid w:val="00692B0D"/>
    <w:rsid w:val="00692E1D"/>
    <w:rsid w:val="00693C78"/>
    <w:rsid w:val="00693E0E"/>
    <w:rsid w:val="00695BB7"/>
    <w:rsid w:val="00696FDF"/>
    <w:rsid w:val="006A1AE3"/>
    <w:rsid w:val="006A73C1"/>
    <w:rsid w:val="006B042F"/>
    <w:rsid w:val="006B37E9"/>
    <w:rsid w:val="006B6062"/>
    <w:rsid w:val="006C30E1"/>
    <w:rsid w:val="006C3DE1"/>
    <w:rsid w:val="006C4607"/>
    <w:rsid w:val="006D0440"/>
    <w:rsid w:val="006D0922"/>
    <w:rsid w:val="006D2766"/>
    <w:rsid w:val="006D39ED"/>
    <w:rsid w:val="006D41BF"/>
    <w:rsid w:val="006D45B8"/>
    <w:rsid w:val="006D48F1"/>
    <w:rsid w:val="006D7E24"/>
    <w:rsid w:val="006E5AF5"/>
    <w:rsid w:val="006F0F87"/>
    <w:rsid w:val="006F263C"/>
    <w:rsid w:val="006F45BE"/>
    <w:rsid w:val="006F5A7D"/>
    <w:rsid w:val="007004FC"/>
    <w:rsid w:val="00706670"/>
    <w:rsid w:val="00710D2A"/>
    <w:rsid w:val="00711F59"/>
    <w:rsid w:val="00712DF6"/>
    <w:rsid w:val="0072417C"/>
    <w:rsid w:val="007319F1"/>
    <w:rsid w:val="00734450"/>
    <w:rsid w:val="0073482D"/>
    <w:rsid w:val="00741006"/>
    <w:rsid w:val="00745F67"/>
    <w:rsid w:val="007501E6"/>
    <w:rsid w:val="0075039E"/>
    <w:rsid w:val="00751242"/>
    <w:rsid w:val="00752D9D"/>
    <w:rsid w:val="00754784"/>
    <w:rsid w:val="00757C6E"/>
    <w:rsid w:val="00762BDA"/>
    <w:rsid w:val="00765346"/>
    <w:rsid w:val="00765A71"/>
    <w:rsid w:val="007665CF"/>
    <w:rsid w:val="007676EC"/>
    <w:rsid w:val="007736F1"/>
    <w:rsid w:val="00774AE2"/>
    <w:rsid w:val="007805FD"/>
    <w:rsid w:val="00783474"/>
    <w:rsid w:val="007839BC"/>
    <w:rsid w:val="00784422"/>
    <w:rsid w:val="007852BC"/>
    <w:rsid w:val="007853B4"/>
    <w:rsid w:val="00785924"/>
    <w:rsid w:val="007862BD"/>
    <w:rsid w:val="007867C7"/>
    <w:rsid w:val="0079000A"/>
    <w:rsid w:val="00793C37"/>
    <w:rsid w:val="007964D6"/>
    <w:rsid w:val="00796DA2"/>
    <w:rsid w:val="007A2008"/>
    <w:rsid w:val="007A28B9"/>
    <w:rsid w:val="007A36DF"/>
    <w:rsid w:val="007A3846"/>
    <w:rsid w:val="007A3A0B"/>
    <w:rsid w:val="007A3BCF"/>
    <w:rsid w:val="007A4E59"/>
    <w:rsid w:val="007A5B7B"/>
    <w:rsid w:val="007A66D8"/>
    <w:rsid w:val="007B056C"/>
    <w:rsid w:val="007B3B54"/>
    <w:rsid w:val="007B3FA0"/>
    <w:rsid w:val="007B4BC6"/>
    <w:rsid w:val="007C0F2C"/>
    <w:rsid w:val="007C2BCC"/>
    <w:rsid w:val="007C35B2"/>
    <w:rsid w:val="007C4EF0"/>
    <w:rsid w:val="007C6281"/>
    <w:rsid w:val="007D099D"/>
    <w:rsid w:val="007D7BA1"/>
    <w:rsid w:val="007E2664"/>
    <w:rsid w:val="007E3ABF"/>
    <w:rsid w:val="007E44C5"/>
    <w:rsid w:val="007E5416"/>
    <w:rsid w:val="007E5BFA"/>
    <w:rsid w:val="007E6689"/>
    <w:rsid w:val="007E731C"/>
    <w:rsid w:val="007F0A03"/>
    <w:rsid w:val="007F2F05"/>
    <w:rsid w:val="007F7EAD"/>
    <w:rsid w:val="00807D76"/>
    <w:rsid w:val="00810040"/>
    <w:rsid w:val="00814B2E"/>
    <w:rsid w:val="008201D2"/>
    <w:rsid w:val="0082023A"/>
    <w:rsid w:val="00820750"/>
    <w:rsid w:val="00821A7A"/>
    <w:rsid w:val="00822B9D"/>
    <w:rsid w:val="008253F8"/>
    <w:rsid w:val="00826B74"/>
    <w:rsid w:val="00826C67"/>
    <w:rsid w:val="00826F98"/>
    <w:rsid w:val="008325E4"/>
    <w:rsid w:val="00832A2B"/>
    <w:rsid w:val="008343EA"/>
    <w:rsid w:val="0083777F"/>
    <w:rsid w:val="00842B02"/>
    <w:rsid w:val="008433E8"/>
    <w:rsid w:val="00843A2D"/>
    <w:rsid w:val="00845811"/>
    <w:rsid w:val="00846994"/>
    <w:rsid w:val="00847023"/>
    <w:rsid w:val="00850451"/>
    <w:rsid w:val="00852042"/>
    <w:rsid w:val="008525FD"/>
    <w:rsid w:val="008534C9"/>
    <w:rsid w:val="0085599D"/>
    <w:rsid w:val="00855FF4"/>
    <w:rsid w:val="0087464B"/>
    <w:rsid w:val="0087510C"/>
    <w:rsid w:val="00881B32"/>
    <w:rsid w:val="008851FB"/>
    <w:rsid w:val="00886A98"/>
    <w:rsid w:val="00890442"/>
    <w:rsid w:val="00890499"/>
    <w:rsid w:val="00893E73"/>
    <w:rsid w:val="008968D2"/>
    <w:rsid w:val="0089738E"/>
    <w:rsid w:val="008A1B39"/>
    <w:rsid w:val="008A7608"/>
    <w:rsid w:val="008B4465"/>
    <w:rsid w:val="008B5FDB"/>
    <w:rsid w:val="008B6B16"/>
    <w:rsid w:val="008C2F07"/>
    <w:rsid w:val="008C3A13"/>
    <w:rsid w:val="008C50F4"/>
    <w:rsid w:val="008C5649"/>
    <w:rsid w:val="008D2EC0"/>
    <w:rsid w:val="008E44A2"/>
    <w:rsid w:val="008E4EB6"/>
    <w:rsid w:val="008E697D"/>
    <w:rsid w:val="008F1A69"/>
    <w:rsid w:val="008F1A6E"/>
    <w:rsid w:val="008F444F"/>
    <w:rsid w:val="008F6857"/>
    <w:rsid w:val="008F7FFA"/>
    <w:rsid w:val="0090135E"/>
    <w:rsid w:val="0090267E"/>
    <w:rsid w:val="00903263"/>
    <w:rsid w:val="009032AB"/>
    <w:rsid w:val="00904019"/>
    <w:rsid w:val="00906A21"/>
    <w:rsid w:val="009079C3"/>
    <w:rsid w:val="00910462"/>
    <w:rsid w:val="009122EC"/>
    <w:rsid w:val="00915AB1"/>
    <w:rsid w:val="00917532"/>
    <w:rsid w:val="00917600"/>
    <w:rsid w:val="009202D1"/>
    <w:rsid w:val="00920E7B"/>
    <w:rsid w:val="009235BA"/>
    <w:rsid w:val="00924023"/>
    <w:rsid w:val="00924CE2"/>
    <w:rsid w:val="00925B9F"/>
    <w:rsid w:val="009309EB"/>
    <w:rsid w:val="00931AED"/>
    <w:rsid w:val="00941300"/>
    <w:rsid w:val="00945766"/>
    <w:rsid w:val="009476A3"/>
    <w:rsid w:val="0095334F"/>
    <w:rsid w:val="0095423D"/>
    <w:rsid w:val="00956C8B"/>
    <w:rsid w:val="009656DE"/>
    <w:rsid w:val="00965897"/>
    <w:rsid w:val="0096765C"/>
    <w:rsid w:val="00967848"/>
    <w:rsid w:val="009714D2"/>
    <w:rsid w:val="009727E4"/>
    <w:rsid w:val="0097347D"/>
    <w:rsid w:val="00981B57"/>
    <w:rsid w:val="00981DA6"/>
    <w:rsid w:val="00982AAD"/>
    <w:rsid w:val="009864BB"/>
    <w:rsid w:val="0098773B"/>
    <w:rsid w:val="00987B16"/>
    <w:rsid w:val="00990716"/>
    <w:rsid w:val="00992E99"/>
    <w:rsid w:val="009934C5"/>
    <w:rsid w:val="00994342"/>
    <w:rsid w:val="009945B8"/>
    <w:rsid w:val="00994C0F"/>
    <w:rsid w:val="009A0027"/>
    <w:rsid w:val="009A33ED"/>
    <w:rsid w:val="009B118C"/>
    <w:rsid w:val="009B22D7"/>
    <w:rsid w:val="009B23A7"/>
    <w:rsid w:val="009B2A92"/>
    <w:rsid w:val="009B4270"/>
    <w:rsid w:val="009B72ED"/>
    <w:rsid w:val="009B7987"/>
    <w:rsid w:val="009C0D06"/>
    <w:rsid w:val="009C30E0"/>
    <w:rsid w:val="009C5659"/>
    <w:rsid w:val="009C6DEB"/>
    <w:rsid w:val="009C6FD0"/>
    <w:rsid w:val="009D27A6"/>
    <w:rsid w:val="009D4EF6"/>
    <w:rsid w:val="009D6027"/>
    <w:rsid w:val="009D62BB"/>
    <w:rsid w:val="009D6504"/>
    <w:rsid w:val="009E12D7"/>
    <w:rsid w:val="009E159A"/>
    <w:rsid w:val="009E242E"/>
    <w:rsid w:val="009E4BD1"/>
    <w:rsid w:val="009E656D"/>
    <w:rsid w:val="009E661A"/>
    <w:rsid w:val="009E6C0C"/>
    <w:rsid w:val="009F0513"/>
    <w:rsid w:val="009F1276"/>
    <w:rsid w:val="009F30B3"/>
    <w:rsid w:val="009F5710"/>
    <w:rsid w:val="009F7D7D"/>
    <w:rsid w:val="00A01B80"/>
    <w:rsid w:val="00A05E77"/>
    <w:rsid w:val="00A06077"/>
    <w:rsid w:val="00A0609C"/>
    <w:rsid w:val="00A06781"/>
    <w:rsid w:val="00A074C3"/>
    <w:rsid w:val="00A07DC8"/>
    <w:rsid w:val="00A100ED"/>
    <w:rsid w:val="00A102CE"/>
    <w:rsid w:val="00A1367E"/>
    <w:rsid w:val="00A1509C"/>
    <w:rsid w:val="00A17D0E"/>
    <w:rsid w:val="00A238AE"/>
    <w:rsid w:val="00A249B9"/>
    <w:rsid w:val="00A26187"/>
    <w:rsid w:val="00A31F77"/>
    <w:rsid w:val="00A32321"/>
    <w:rsid w:val="00A324D2"/>
    <w:rsid w:val="00A34260"/>
    <w:rsid w:val="00A342D3"/>
    <w:rsid w:val="00A43390"/>
    <w:rsid w:val="00A513CA"/>
    <w:rsid w:val="00A51E31"/>
    <w:rsid w:val="00A523F9"/>
    <w:rsid w:val="00A55ACA"/>
    <w:rsid w:val="00A5793E"/>
    <w:rsid w:val="00A6048E"/>
    <w:rsid w:val="00A6468C"/>
    <w:rsid w:val="00A648A4"/>
    <w:rsid w:val="00A65338"/>
    <w:rsid w:val="00A70CFD"/>
    <w:rsid w:val="00A72A0B"/>
    <w:rsid w:val="00A72CAB"/>
    <w:rsid w:val="00A73F73"/>
    <w:rsid w:val="00A77110"/>
    <w:rsid w:val="00A77DBB"/>
    <w:rsid w:val="00A77F80"/>
    <w:rsid w:val="00A81217"/>
    <w:rsid w:val="00A8123C"/>
    <w:rsid w:val="00A81E42"/>
    <w:rsid w:val="00A82F8D"/>
    <w:rsid w:val="00A8314F"/>
    <w:rsid w:val="00A864FE"/>
    <w:rsid w:val="00A86C31"/>
    <w:rsid w:val="00A86F41"/>
    <w:rsid w:val="00A8776B"/>
    <w:rsid w:val="00A87D04"/>
    <w:rsid w:val="00A950C5"/>
    <w:rsid w:val="00A95777"/>
    <w:rsid w:val="00AA16DE"/>
    <w:rsid w:val="00AA1BF0"/>
    <w:rsid w:val="00AA1D25"/>
    <w:rsid w:val="00AA2D6D"/>
    <w:rsid w:val="00AA3642"/>
    <w:rsid w:val="00AA3897"/>
    <w:rsid w:val="00AB2B1A"/>
    <w:rsid w:val="00AB397F"/>
    <w:rsid w:val="00AB5832"/>
    <w:rsid w:val="00AC19C6"/>
    <w:rsid w:val="00AC51F2"/>
    <w:rsid w:val="00AD104F"/>
    <w:rsid w:val="00AD27C6"/>
    <w:rsid w:val="00AD3269"/>
    <w:rsid w:val="00AD3936"/>
    <w:rsid w:val="00AD64BC"/>
    <w:rsid w:val="00AE0B4B"/>
    <w:rsid w:val="00AE1F32"/>
    <w:rsid w:val="00AE5066"/>
    <w:rsid w:val="00AE5C2C"/>
    <w:rsid w:val="00AE5E24"/>
    <w:rsid w:val="00AE61B7"/>
    <w:rsid w:val="00AE6CBA"/>
    <w:rsid w:val="00AE79AD"/>
    <w:rsid w:val="00AF10B5"/>
    <w:rsid w:val="00AF2549"/>
    <w:rsid w:val="00AF35E4"/>
    <w:rsid w:val="00AF561A"/>
    <w:rsid w:val="00AF5CDE"/>
    <w:rsid w:val="00AF6A09"/>
    <w:rsid w:val="00B032F8"/>
    <w:rsid w:val="00B06239"/>
    <w:rsid w:val="00B1057C"/>
    <w:rsid w:val="00B11A57"/>
    <w:rsid w:val="00B211C3"/>
    <w:rsid w:val="00B233A7"/>
    <w:rsid w:val="00B25597"/>
    <w:rsid w:val="00B25658"/>
    <w:rsid w:val="00B267B9"/>
    <w:rsid w:val="00B31EF8"/>
    <w:rsid w:val="00B336A7"/>
    <w:rsid w:val="00B33E09"/>
    <w:rsid w:val="00B40D37"/>
    <w:rsid w:val="00B4248B"/>
    <w:rsid w:val="00B45326"/>
    <w:rsid w:val="00B50708"/>
    <w:rsid w:val="00B50C68"/>
    <w:rsid w:val="00B51293"/>
    <w:rsid w:val="00B52488"/>
    <w:rsid w:val="00B52B1E"/>
    <w:rsid w:val="00B53E6B"/>
    <w:rsid w:val="00B54828"/>
    <w:rsid w:val="00B55481"/>
    <w:rsid w:val="00B56C32"/>
    <w:rsid w:val="00B56D61"/>
    <w:rsid w:val="00B57ACF"/>
    <w:rsid w:val="00B613DE"/>
    <w:rsid w:val="00B61E4D"/>
    <w:rsid w:val="00B64BB1"/>
    <w:rsid w:val="00B67B8D"/>
    <w:rsid w:val="00B71E87"/>
    <w:rsid w:val="00B7276F"/>
    <w:rsid w:val="00B73166"/>
    <w:rsid w:val="00B73D56"/>
    <w:rsid w:val="00B80AC2"/>
    <w:rsid w:val="00B8426C"/>
    <w:rsid w:val="00B84642"/>
    <w:rsid w:val="00B85104"/>
    <w:rsid w:val="00B862F6"/>
    <w:rsid w:val="00B86462"/>
    <w:rsid w:val="00B9193F"/>
    <w:rsid w:val="00B91B8D"/>
    <w:rsid w:val="00B94E90"/>
    <w:rsid w:val="00BA3F32"/>
    <w:rsid w:val="00BA569A"/>
    <w:rsid w:val="00BA64D3"/>
    <w:rsid w:val="00BA7CAD"/>
    <w:rsid w:val="00BB0A82"/>
    <w:rsid w:val="00BB0AB3"/>
    <w:rsid w:val="00BB7C94"/>
    <w:rsid w:val="00BC0A9D"/>
    <w:rsid w:val="00BC54D5"/>
    <w:rsid w:val="00BD02BB"/>
    <w:rsid w:val="00BD0EDB"/>
    <w:rsid w:val="00BD0F53"/>
    <w:rsid w:val="00BD12CA"/>
    <w:rsid w:val="00BD2D1A"/>
    <w:rsid w:val="00BD3D8C"/>
    <w:rsid w:val="00BD494D"/>
    <w:rsid w:val="00BD4D26"/>
    <w:rsid w:val="00BD5A4C"/>
    <w:rsid w:val="00BD7A1F"/>
    <w:rsid w:val="00BE1763"/>
    <w:rsid w:val="00BE4A8E"/>
    <w:rsid w:val="00BE58F9"/>
    <w:rsid w:val="00BF1845"/>
    <w:rsid w:val="00BF40ED"/>
    <w:rsid w:val="00BF5BC2"/>
    <w:rsid w:val="00BF68A9"/>
    <w:rsid w:val="00BF75BE"/>
    <w:rsid w:val="00C10939"/>
    <w:rsid w:val="00C109F4"/>
    <w:rsid w:val="00C10EA6"/>
    <w:rsid w:val="00C1133D"/>
    <w:rsid w:val="00C11872"/>
    <w:rsid w:val="00C16414"/>
    <w:rsid w:val="00C1735C"/>
    <w:rsid w:val="00C24407"/>
    <w:rsid w:val="00C27A08"/>
    <w:rsid w:val="00C31312"/>
    <w:rsid w:val="00C31693"/>
    <w:rsid w:val="00C31E36"/>
    <w:rsid w:val="00C326C6"/>
    <w:rsid w:val="00C35295"/>
    <w:rsid w:val="00C368D6"/>
    <w:rsid w:val="00C36ADD"/>
    <w:rsid w:val="00C36E74"/>
    <w:rsid w:val="00C40595"/>
    <w:rsid w:val="00C41621"/>
    <w:rsid w:val="00C41B7C"/>
    <w:rsid w:val="00C449FA"/>
    <w:rsid w:val="00C44AF7"/>
    <w:rsid w:val="00C5384F"/>
    <w:rsid w:val="00C53B59"/>
    <w:rsid w:val="00C53D75"/>
    <w:rsid w:val="00C56964"/>
    <w:rsid w:val="00C656D5"/>
    <w:rsid w:val="00C65995"/>
    <w:rsid w:val="00C66246"/>
    <w:rsid w:val="00C66910"/>
    <w:rsid w:val="00C67103"/>
    <w:rsid w:val="00C67E68"/>
    <w:rsid w:val="00C71BB9"/>
    <w:rsid w:val="00C736FB"/>
    <w:rsid w:val="00C7439D"/>
    <w:rsid w:val="00C74DEE"/>
    <w:rsid w:val="00C822B3"/>
    <w:rsid w:val="00C82A12"/>
    <w:rsid w:val="00C87CE3"/>
    <w:rsid w:val="00C945FA"/>
    <w:rsid w:val="00C94C28"/>
    <w:rsid w:val="00C95F30"/>
    <w:rsid w:val="00C96B4C"/>
    <w:rsid w:val="00C97CEF"/>
    <w:rsid w:val="00CA15AA"/>
    <w:rsid w:val="00CA6A2D"/>
    <w:rsid w:val="00CB0247"/>
    <w:rsid w:val="00CB0A64"/>
    <w:rsid w:val="00CB3440"/>
    <w:rsid w:val="00CB3FC2"/>
    <w:rsid w:val="00CB4084"/>
    <w:rsid w:val="00CB616A"/>
    <w:rsid w:val="00CC1692"/>
    <w:rsid w:val="00CC7AC4"/>
    <w:rsid w:val="00CD0BA7"/>
    <w:rsid w:val="00CD138B"/>
    <w:rsid w:val="00CD3E31"/>
    <w:rsid w:val="00CD46A7"/>
    <w:rsid w:val="00CD617D"/>
    <w:rsid w:val="00CD7117"/>
    <w:rsid w:val="00CD74A3"/>
    <w:rsid w:val="00CE0527"/>
    <w:rsid w:val="00CE1DEE"/>
    <w:rsid w:val="00CE27C5"/>
    <w:rsid w:val="00CE30D0"/>
    <w:rsid w:val="00CE5174"/>
    <w:rsid w:val="00CE5B23"/>
    <w:rsid w:val="00CF2486"/>
    <w:rsid w:val="00CF573B"/>
    <w:rsid w:val="00CF58A8"/>
    <w:rsid w:val="00CF70AD"/>
    <w:rsid w:val="00CF7729"/>
    <w:rsid w:val="00D00059"/>
    <w:rsid w:val="00D009CE"/>
    <w:rsid w:val="00D00C4D"/>
    <w:rsid w:val="00D02338"/>
    <w:rsid w:val="00D02F34"/>
    <w:rsid w:val="00D0446A"/>
    <w:rsid w:val="00D0487F"/>
    <w:rsid w:val="00D06BC9"/>
    <w:rsid w:val="00D107FA"/>
    <w:rsid w:val="00D11555"/>
    <w:rsid w:val="00D11924"/>
    <w:rsid w:val="00D12275"/>
    <w:rsid w:val="00D12766"/>
    <w:rsid w:val="00D12AB6"/>
    <w:rsid w:val="00D20E4E"/>
    <w:rsid w:val="00D20FF4"/>
    <w:rsid w:val="00D212D8"/>
    <w:rsid w:val="00D226D4"/>
    <w:rsid w:val="00D22B0E"/>
    <w:rsid w:val="00D24D2C"/>
    <w:rsid w:val="00D26B55"/>
    <w:rsid w:val="00D33A31"/>
    <w:rsid w:val="00D34B3F"/>
    <w:rsid w:val="00D35881"/>
    <w:rsid w:val="00D36648"/>
    <w:rsid w:val="00D36916"/>
    <w:rsid w:val="00D42CF8"/>
    <w:rsid w:val="00D442BD"/>
    <w:rsid w:val="00D44A23"/>
    <w:rsid w:val="00D479AF"/>
    <w:rsid w:val="00D55399"/>
    <w:rsid w:val="00D55859"/>
    <w:rsid w:val="00D71E21"/>
    <w:rsid w:val="00D73C93"/>
    <w:rsid w:val="00D77B6F"/>
    <w:rsid w:val="00D805F0"/>
    <w:rsid w:val="00D83214"/>
    <w:rsid w:val="00D83E21"/>
    <w:rsid w:val="00D901A0"/>
    <w:rsid w:val="00D920E7"/>
    <w:rsid w:val="00D95461"/>
    <w:rsid w:val="00DA57C0"/>
    <w:rsid w:val="00DA664C"/>
    <w:rsid w:val="00DA78A7"/>
    <w:rsid w:val="00DA7DA5"/>
    <w:rsid w:val="00DB0440"/>
    <w:rsid w:val="00DB073B"/>
    <w:rsid w:val="00DB264F"/>
    <w:rsid w:val="00DB6DDB"/>
    <w:rsid w:val="00DB7308"/>
    <w:rsid w:val="00DB78F0"/>
    <w:rsid w:val="00DC0CEA"/>
    <w:rsid w:val="00DC2E43"/>
    <w:rsid w:val="00DC34AC"/>
    <w:rsid w:val="00DC3B82"/>
    <w:rsid w:val="00DC55A3"/>
    <w:rsid w:val="00DC73F1"/>
    <w:rsid w:val="00DC7F9C"/>
    <w:rsid w:val="00DD095C"/>
    <w:rsid w:val="00DD0A7A"/>
    <w:rsid w:val="00DD1020"/>
    <w:rsid w:val="00DD1330"/>
    <w:rsid w:val="00DD28E0"/>
    <w:rsid w:val="00DD3231"/>
    <w:rsid w:val="00DE0B83"/>
    <w:rsid w:val="00DE0D0F"/>
    <w:rsid w:val="00DE1A81"/>
    <w:rsid w:val="00DE1C13"/>
    <w:rsid w:val="00DE2677"/>
    <w:rsid w:val="00DE3B30"/>
    <w:rsid w:val="00DE4D02"/>
    <w:rsid w:val="00DE4E10"/>
    <w:rsid w:val="00DE7083"/>
    <w:rsid w:val="00DE7949"/>
    <w:rsid w:val="00DF4689"/>
    <w:rsid w:val="00DF6797"/>
    <w:rsid w:val="00DF6A1A"/>
    <w:rsid w:val="00DF7678"/>
    <w:rsid w:val="00E02ABF"/>
    <w:rsid w:val="00E0557E"/>
    <w:rsid w:val="00E14995"/>
    <w:rsid w:val="00E15E3E"/>
    <w:rsid w:val="00E166B0"/>
    <w:rsid w:val="00E179CD"/>
    <w:rsid w:val="00E23250"/>
    <w:rsid w:val="00E232AD"/>
    <w:rsid w:val="00E23E8D"/>
    <w:rsid w:val="00E24289"/>
    <w:rsid w:val="00E246E3"/>
    <w:rsid w:val="00E253EB"/>
    <w:rsid w:val="00E271A3"/>
    <w:rsid w:val="00E30E9F"/>
    <w:rsid w:val="00E311A3"/>
    <w:rsid w:val="00E37F98"/>
    <w:rsid w:val="00E46559"/>
    <w:rsid w:val="00E5238B"/>
    <w:rsid w:val="00E62175"/>
    <w:rsid w:val="00E64099"/>
    <w:rsid w:val="00E6670C"/>
    <w:rsid w:val="00E66E5F"/>
    <w:rsid w:val="00E744B2"/>
    <w:rsid w:val="00E77471"/>
    <w:rsid w:val="00E776E8"/>
    <w:rsid w:val="00E8093E"/>
    <w:rsid w:val="00E83AD7"/>
    <w:rsid w:val="00E8764A"/>
    <w:rsid w:val="00E92C1F"/>
    <w:rsid w:val="00E95D4B"/>
    <w:rsid w:val="00EA20DE"/>
    <w:rsid w:val="00EA4493"/>
    <w:rsid w:val="00EA5176"/>
    <w:rsid w:val="00EA6728"/>
    <w:rsid w:val="00EA76B8"/>
    <w:rsid w:val="00EB0D3C"/>
    <w:rsid w:val="00EB199F"/>
    <w:rsid w:val="00EB230C"/>
    <w:rsid w:val="00EC0312"/>
    <w:rsid w:val="00EC23F7"/>
    <w:rsid w:val="00EC2675"/>
    <w:rsid w:val="00EC4BD8"/>
    <w:rsid w:val="00EC63EB"/>
    <w:rsid w:val="00EC6901"/>
    <w:rsid w:val="00ED23A9"/>
    <w:rsid w:val="00ED3684"/>
    <w:rsid w:val="00ED3CD2"/>
    <w:rsid w:val="00ED412F"/>
    <w:rsid w:val="00ED5D0B"/>
    <w:rsid w:val="00ED61ED"/>
    <w:rsid w:val="00ED641C"/>
    <w:rsid w:val="00EE20B3"/>
    <w:rsid w:val="00EE6BBC"/>
    <w:rsid w:val="00EF0186"/>
    <w:rsid w:val="00EF0B43"/>
    <w:rsid w:val="00EF0E3C"/>
    <w:rsid w:val="00EF1C15"/>
    <w:rsid w:val="00EF2E31"/>
    <w:rsid w:val="00EF36B2"/>
    <w:rsid w:val="00EF5800"/>
    <w:rsid w:val="00EF77F9"/>
    <w:rsid w:val="00F00FA3"/>
    <w:rsid w:val="00F068C5"/>
    <w:rsid w:val="00F1231C"/>
    <w:rsid w:val="00F1246B"/>
    <w:rsid w:val="00F137E4"/>
    <w:rsid w:val="00F16CC4"/>
    <w:rsid w:val="00F17B35"/>
    <w:rsid w:val="00F201EC"/>
    <w:rsid w:val="00F208A9"/>
    <w:rsid w:val="00F2102F"/>
    <w:rsid w:val="00F217F2"/>
    <w:rsid w:val="00F22CAF"/>
    <w:rsid w:val="00F23DB4"/>
    <w:rsid w:val="00F314E8"/>
    <w:rsid w:val="00F35633"/>
    <w:rsid w:val="00F37796"/>
    <w:rsid w:val="00F41D75"/>
    <w:rsid w:val="00F47372"/>
    <w:rsid w:val="00F508C7"/>
    <w:rsid w:val="00F5139D"/>
    <w:rsid w:val="00F52629"/>
    <w:rsid w:val="00F53F64"/>
    <w:rsid w:val="00F5498A"/>
    <w:rsid w:val="00F55314"/>
    <w:rsid w:val="00F55977"/>
    <w:rsid w:val="00F5770B"/>
    <w:rsid w:val="00F62D4C"/>
    <w:rsid w:val="00F62F43"/>
    <w:rsid w:val="00F63DAC"/>
    <w:rsid w:val="00F64A42"/>
    <w:rsid w:val="00F66DA3"/>
    <w:rsid w:val="00F71B07"/>
    <w:rsid w:val="00F72C94"/>
    <w:rsid w:val="00F73DEE"/>
    <w:rsid w:val="00F7454F"/>
    <w:rsid w:val="00F745ED"/>
    <w:rsid w:val="00F74C18"/>
    <w:rsid w:val="00F77511"/>
    <w:rsid w:val="00F77988"/>
    <w:rsid w:val="00F77F48"/>
    <w:rsid w:val="00F81BFC"/>
    <w:rsid w:val="00F82FD3"/>
    <w:rsid w:val="00F846BB"/>
    <w:rsid w:val="00F86A26"/>
    <w:rsid w:val="00F93F55"/>
    <w:rsid w:val="00F95719"/>
    <w:rsid w:val="00F961AE"/>
    <w:rsid w:val="00F96858"/>
    <w:rsid w:val="00FA0FD5"/>
    <w:rsid w:val="00FA6DD0"/>
    <w:rsid w:val="00FB2B33"/>
    <w:rsid w:val="00FB30F1"/>
    <w:rsid w:val="00FB331B"/>
    <w:rsid w:val="00FB37FF"/>
    <w:rsid w:val="00FB3AD8"/>
    <w:rsid w:val="00FB53E7"/>
    <w:rsid w:val="00FB5BAF"/>
    <w:rsid w:val="00FB69DD"/>
    <w:rsid w:val="00FC20E9"/>
    <w:rsid w:val="00FD2A8A"/>
    <w:rsid w:val="00FD5301"/>
    <w:rsid w:val="00FE2265"/>
    <w:rsid w:val="00FE254C"/>
    <w:rsid w:val="00FE4973"/>
    <w:rsid w:val="00FE4B5F"/>
    <w:rsid w:val="00FE5A2C"/>
    <w:rsid w:val="00FE647D"/>
    <w:rsid w:val="00FF0802"/>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45BBB-9AEB-47CE-A2C3-ED47A7D0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DBB2-97AC-4FDB-8FA3-5C63BFBF21F3}">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5.xml><?xml version="1.0" encoding="utf-8"?>
<ds:datastoreItem xmlns:ds="http://schemas.openxmlformats.org/officeDocument/2006/customXml" ds:itemID="{A90DFEEB-1754-45B3-9987-D043018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4608</Words>
  <Characters>2627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FMAnot_23102014_SEZparskati</vt:lpstr>
      <vt:lpstr>Likumprojekta „Grozījumi Publiskas personas mantas atsavināšanas likumā” sākotnējās ietekmes novērtējuma ziņojums (anotācija)</vt:lpstr>
    </vt:vector>
  </TitlesOfParts>
  <Company>Finanšu ministrija</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FMAnot_23102014_SEZparskati</dc:title>
  <dc:subject>Anotācija</dc:subject>
  <dc:creator>Diana.Kudravecs@vid.gov.lv</dc:creator>
  <dc:description>67122042, diana.kudravecs@vid.gov.lv </dc:description>
  <cp:lastModifiedBy>Liene Strēlniece</cp:lastModifiedBy>
  <cp:revision>6</cp:revision>
  <cp:lastPrinted>2014-10-24T04:53:00Z</cp:lastPrinted>
  <dcterms:created xsi:type="dcterms:W3CDTF">2015-02-02T06:41:00Z</dcterms:created>
  <dcterms:modified xsi:type="dcterms:W3CDTF">2015-02-16T08:02:00Z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