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8F645" w14:textId="2E8FA090" w:rsidR="00DC689C" w:rsidRPr="00123439" w:rsidRDefault="00DC689C" w:rsidP="000F7E01">
      <w:pPr>
        <w:pStyle w:val="naislab"/>
        <w:spacing w:before="0" w:after="0"/>
        <w:ind w:left="-284" w:right="-285"/>
        <w:jc w:val="center"/>
        <w:outlineLvl w:val="0"/>
        <w:rPr>
          <w:b/>
        </w:rPr>
      </w:pPr>
      <w:r w:rsidRPr="00BF4A60">
        <w:t>Ministru kabineta noteikum</w:t>
      </w:r>
      <w:r w:rsidR="007578EB" w:rsidRPr="00BF4A60">
        <w:t>u</w:t>
      </w:r>
      <w:r w:rsidRPr="00BF4A60">
        <w:t xml:space="preserve"> projekta</w:t>
      </w:r>
      <w:r w:rsidRPr="00123439">
        <w:rPr>
          <w:b/>
        </w:rPr>
        <w:t xml:space="preserve"> </w:t>
      </w:r>
      <w:r w:rsidR="00283D6B" w:rsidRPr="00123439">
        <w:rPr>
          <w:b/>
        </w:rPr>
        <w:t>„</w:t>
      </w:r>
      <w:r w:rsidR="002B57DA" w:rsidRPr="00123439">
        <w:rPr>
          <w:b/>
        </w:rPr>
        <w:t>Grozījum</w:t>
      </w:r>
      <w:r w:rsidR="00BF4A60">
        <w:rPr>
          <w:b/>
        </w:rPr>
        <w:t>s</w:t>
      </w:r>
      <w:r w:rsidR="002B57DA" w:rsidRPr="00123439">
        <w:rPr>
          <w:b/>
        </w:rPr>
        <w:t xml:space="preserve"> Ministru kabineta 2012.gada 11.decembra noteikumos Nr.867 </w:t>
      </w:r>
      <w:r w:rsidR="00137E65" w:rsidRPr="00123439">
        <w:rPr>
          <w:b/>
        </w:rPr>
        <w:t>„</w:t>
      </w:r>
      <w:r w:rsidR="002B57DA" w:rsidRPr="00123439">
        <w:rPr>
          <w:b/>
        </w:rPr>
        <w:t>Kārtība, kādā nosakāms maksimāli pieļaujamais valsts budžeta izdevumu kopapjoms un maksimāli pieļaujamais valsts budžeta izdevumu kopējais apjoms katrai ministrijai un citām centrālajām valsts iestādēm vidējam termiņam”</w:t>
      </w:r>
      <w:r w:rsidR="00283D6B" w:rsidRPr="00123439">
        <w:rPr>
          <w:b/>
        </w:rPr>
        <w:t>”</w:t>
      </w:r>
      <w:r w:rsidR="00743B6F" w:rsidRPr="00123439">
        <w:rPr>
          <w:b/>
        </w:rPr>
        <w:t xml:space="preserve"> </w:t>
      </w:r>
      <w:r w:rsidRPr="00BF4A60">
        <w:t>sākotnējās ietekmes novērtējuma ziņojums</w:t>
      </w:r>
      <w:r w:rsidRPr="00123439">
        <w:rPr>
          <w:b/>
        </w:rPr>
        <w:t xml:space="preserve"> (anotācija)</w:t>
      </w:r>
    </w:p>
    <w:p w14:paraId="39BC8132" w14:textId="77777777" w:rsidR="00496027" w:rsidRPr="00123439" w:rsidRDefault="00496027" w:rsidP="0023237B">
      <w:pPr>
        <w:pStyle w:val="naislab"/>
        <w:spacing w:before="0" w:after="0"/>
        <w:jc w:val="center"/>
        <w:outlineLvl w:val="0"/>
        <w:rPr>
          <w:b/>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2693"/>
        <w:gridCol w:w="6389"/>
      </w:tblGrid>
      <w:tr w:rsidR="00DC689C" w:rsidRPr="00F4151F" w14:paraId="3324570A" w14:textId="77777777" w:rsidTr="002634CF">
        <w:trPr>
          <w:jc w:val="center"/>
        </w:trPr>
        <w:tc>
          <w:tcPr>
            <w:tcW w:w="9786" w:type="dxa"/>
            <w:gridSpan w:val="3"/>
            <w:vAlign w:val="center"/>
          </w:tcPr>
          <w:p w14:paraId="0FB5239F" w14:textId="77777777" w:rsidR="00DC689C" w:rsidRPr="00F4151F" w:rsidRDefault="00DC689C" w:rsidP="002634CF">
            <w:pPr>
              <w:pStyle w:val="naisnod"/>
              <w:spacing w:before="0" w:after="0"/>
            </w:pPr>
            <w:r w:rsidRPr="00F4151F">
              <w:t>I. Tiesību akta projekta izstrādes nepieciešamība</w:t>
            </w:r>
          </w:p>
        </w:tc>
      </w:tr>
      <w:tr w:rsidR="00DC689C" w:rsidRPr="00F4151F" w14:paraId="260C20B7" w14:textId="77777777" w:rsidTr="00A20040">
        <w:trPr>
          <w:trHeight w:val="1975"/>
          <w:jc w:val="center"/>
        </w:trPr>
        <w:tc>
          <w:tcPr>
            <w:tcW w:w="704" w:type="dxa"/>
          </w:tcPr>
          <w:p w14:paraId="142BF107" w14:textId="77777777" w:rsidR="00DC689C" w:rsidRPr="00F4151F" w:rsidRDefault="00DC689C" w:rsidP="002634CF">
            <w:pPr>
              <w:pStyle w:val="naiskr"/>
              <w:spacing w:before="0" w:after="0"/>
            </w:pPr>
            <w:r w:rsidRPr="00F4151F">
              <w:t>1.</w:t>
            </w:r>
          </w:p>
        </w:tc>
        <w:tc>
          <w:tcPr>
            <w:tcW w:w="2693" w:type="dxa"/>
          </w:tcPr>
          <w:p w14:paraId="74CA5D93" w14:textId="77777777" w:rsidR="00DC689C" w:rsidRPr="00F4151F" w:rsidRDefault="00DC689C" w:rsidP="002634CF">
            <w:pPr>
              <w:pStyle w:val="naiskr"/>
              <w:spacing w:before="0" w:after="0"/>
              <w:ind w:hanging="10"/>
            </w:pPr>
            <w:r w:rsidRPr="00F4151F">
              <w:t>Pamatojums</w:t>
            </w:r>
          </w:p>
        </w:tc>
        <w:tc>
          <w:tcPr>
            <w:tcW w:w="6389" w:type="dxa"/>
          </w:tcPr>
          <w:p w14:paraId="1274CDE9" w14:textId="61DE32CD" w:rsidR="00BA7031" w:rsidRPr="00F4151F" w:rsidRDefault="00A20040" w:rsidP="00A20040">
            <w:pPr>
              <w:pStyle w:val="naiskr"/>
              <w:spacing w:before="0" w:after="0"/>
              <w:ind w:right="81"/>
              <w:jc w:val="both"/>
            </w:pPr>
            <w:r w:rsidRPr="00F4151F">
              <w:t xml:space="preserve">   </w:t>
            </w:r>
            <w:r w:rsidR="00870FC5" w:rsidRPr="00F4151F">
              <w:t>Ministru kabine</w:t>
            </w:r>
            <w:r w:rsidR="00BF4A60" w:rsidRPr="00F4151F">
              <w:t>ta noteikumu projekts „Grozījums</w:t>
            </w:r>
            <w:r w:rsidR="00870FC5" w:rsidRPr="00F4151F">
              <w:t xml:space="preserve"> Ministru kabineta 2012.gada</w:t>
            </w:r>
            <w:r w:rsidR="00137E65" w:rsidRPr="00F4151F">
              <w:t xml:space="preserve"> 11.decembra noteikumos Nr.867 „</w:t>
            </w:r>
            <w:r w:rsidR="00870FC5" w:rsidRPr="00F4151F">
              <w:t xml:space="preserve">Kārtība, kādā nosakāms maksimāli pieļaujamais valsts budžeta izdevumu kopapjoms un maksimāli pieļaujamais valsts budžeta izdevumu kopējais apjoms katrai ministrijai un citām centrālajām valsts iestādēm vidējam termiņam”” (turpmāk – noteikumu projekts) sagatavots pēc </w:t>
            </w:r>
            <w:r w:rsidR="00BF4A60" w:rsidRPr="00F4151F">
              <w:t xml:space="preserve">Finanšu ministrijas iniciatīvas, lai saskaņotu Likuma par budžetu un finanšu vadību normas </w:t>
            </w:r>
            <w:r w:rsidRPr="00F4151F">
              <w:t>(</w:t>
            </w:r>
            <w:r w:rsidRPr="00F4151F">
              <w:rPr>
                <w:bCs/>
              </w:rPr>
              <w:t>16.</w:t>
            </w:r>
            <w:r w:rsidRPr="00F4151F">
              <w:rPr>
                <w:bCs/>
                <w:vertAlign w:val="superscript"/>
              </w:rPr>
              <w:t>1</w:t>
            </w:r>
            <w:r w:rsidRPr="00F4151F">
              <w:rPr>
                <w:bCs/>
              </w:rPr>
              <w:t xml:space="preserve"> pants un pārejas noteikumu 66.punkts)</w:t>
            </w:r>
            <w:r w:rsidRPr="00F4151F">
              <w:rPr>
                <w:rFonts w:ascii="Arial" w:hAnsi="Arial" w:cs="Arial"/>
                <w:b/>
                <w:bCs/>
              </w:rPr>
              <w:t xml:space="preserve"> </w:t>
            </w:r>
            <w:r w:rsidR="00BF4A60" w:rsidRPr="00F4151F">
              <w:t>ar Ministru kabineta</w:t>
            </w:r>
            <w:r w:rsidRPr="00F4151F">
              <w:t xml:space="preserve"> 2012.gada 11.decembra noteikumu Nr.867 „Kārtība, kādā nosakāms maksimāli pieļaujamais valsts budžeta izdevumu kopapjoms un maksimāli pieļaujamais valsts budžeta izdevumu kopējais apjoms katrai ministrijai un citām centrālajām valsts iestādēm vidējam termiņam” </w:t>
            </w:r>
            <w:r w:rsidR="00D666CD" w:rsidRPr="00F4151F">
              <w:t xml:space="preserve">(turpmāk – noteikumi Nr.867) </w:t>
            </w:r>
            <w:r w:rsidRPr="00F4151F">
              <w:t>normām (14. un 18.punkts).</w:t>
            </w:r>
            <w:r w:rsidR="00BF4A60" w:rsidRPr="00F4151F">
              <w:t xml:space="preserve">  </w:t>
            </w:r>
          </w:p>
        </w:tc>
      </w:tr>
      <w:tr w:rsidR="00DC689C" w:rsidRPr="00F4151F" w14:paraId="55C5F3AC" w14:textId="77777777" w:rsidTr="00A20040">
        <w:trPr>
          <w:trHeight w:val="2547"/>
          <w:jc w:val="center"/>
        </w:trPr>
        <w:tc>
          <w:tcPr>
            <w:tcW w:w="704" w:type="dxa"/>
          </w:tcPr>
          <w:p w14:paraId="3A4FC161" w14:textId="77777777" w:rsidR="00DC689C" w:rsidRPr="00F4151F" w:rsidRDefault="00DC689C" w:rsidP="002634CF">
            <w:pPr>
              <w:pStyle w:val="naiskr"/>
              <w:spacing w:before="0" w:after="0"/>
            </w:pPr>
            <w:r w:rsidRPr="00F4151F">
              <w:t>2.</w:t>
            </w:r>
          </w:p>
        </w:tc>
        <w:tc>
          <w:tcPr>
            <w:tcW w:w="2693" w:type="dxa"/>
          </w:tcPr>
          <w:p w14:paraId="20BA8939" w14:textId="77777777" w:rsidR="00DC689C" w:rsidRPr="00F4151F" w:rsidRDefault="00DC689C" w:rsidP="002634CF">
            <w:pPr>
              <w:pStyle w:val="naiskr"/>
              <w:tabs>
                <w:tab w:val="left" w:pos="170"/>
              </w:tabs>
              <w:spacing w:before="0" w:after="0"/>
            </w:pPr>
            <w:r w:rsidRPr="00F4151F">
              <w:t>Pašreizējā situācija un problēmas</w:t>
            </w:r>
            <w:r w:rsidR="00C90FFC" w:rsidRPr="00F4151F">
              <w:t>, kuru risināšanai tiesību akta projekts izstrādāts, tiesiskā regulējuma mērķis un būtība</w:t>
            </w:r>
          </w:p>
        </w:tc>
        <w:tc>
          <w:tcPr>
            <w:tcW w:w="6389" w:type="dxa"/>
          </w:tcPr>
          <w:p w14:paraId="20F44E30" w14:textId="72F15054" w:rsidR="00D666CD" w:rsidRPr="00F4151F" w:rsidRDefault="003068BF" w:rsidP="003068BF">
            <w:pPr>
              <w:ind w:right="79"/>
              <w:jc w:val="both"/>
            </w:pPr>
            <w:r w:rsidRPr="00F4151F">
              <w:t xml:space="preserve">   </w:t>
            </w:r>
            <w:r w:rsidR="00A20040" w:rsidRPr="00F4151F">
              <w:t xml:space="preserve">Likuma par budžetu un finanšu vadību pārejas noteikumu 66.punkts nosaka, ka šā likuma </w:t>
            </w:r>
            <w:hyperlink r:id="rId11" w:anchor="p16.1" w:tgtFrame="_blank" w:history="1">
              <w:r w:rsidR="00A20040" w:rsidRPr="00F4151F">
                <w:t>16.</w:t>
              </w:r>
              <w:r w:rsidR="00A20040" w:rsidRPr="00F4151F">
                <w:rPr>
                  <w:vertAlign w:val="superscript"/>
                </w:rPr>
                <w:t>1</w:t>
              </w:r>
              <w:r w:rsidR="00A20040" w:rsidRPr="00F4151F">
                <w:t xml:space="preserve"> panta</w:t>
              </w:r>
            </w:hyperlink>
            <w:r w:rsidR="00A20040" w:rsidRPr="00F4151F">
              <w:t xml:space="preserve"> pirmajā daļā minēto vidēja termiņa budžeta ietvara likuma projekta un gadskārtējā valsts budžeta likuma projekta izstrādes un iesniegšanas grafika projektu 2015.gadam finanšu ministrs iesniedz Ministru kabinetam līdz 2015.gada 1.martam. Savukārt, noteikumu</w:t>
            </w:r>
            <w:r w:rsidR="00D666CD" w:rsidRPr="00F4151F">
              <w:t xml:space="preserve"> Nr.867 </w:t>
            </w:r>
            <w:r w:rsidR="00A20040" w:rsidRPr="00F4151F">
              <w:t>14.punkts paredz, ka Finanš</w:t>
            </w:r>
            <w:r w:rsidR="00D666CD" w:rsidRPr="00F4151F">
              <w:t>u ministrija izvērtē ministriju</w:t>
            </w:r>
            <w:r w:rsidR="00A20040" w:rsidRPr="00F4151F">
              <w:t xml:space="preserve"> iesniegtos iebildumus un priekšlikumus, ja nepieciešams, precizē valsts pamatbudžeta bāzes aprēķinus un līdz n gada 5.martam iesniedz Ministru kabinetā apstiprināšanai valsts pamatbudžeta bāzes projektu, pievienojot nesaskaņoto bāzes izdevumos neiekļauto pasākumu sarakstu; 18.punkts - ja Labklājības ministrija nesaskaņo ar Finanšu ministriju valsts speciālā budžeta bāzes projektu, tā piecu darbdienu laikā var iesniegt pamatotus iebildumus. Finanšu ministrija izvērtē Labklājības ministrijas iesniegtos iebildumus, ja nepieciešams, precizē valsts speciālā budžeta bāzes aprēķinus un līdz n gada 5.martam iesniedz Ministru kabinetā apstiprināšanai valsts speciālā budžeta bāzes projektu, pievienojot nesaskaņoto bāzes izdevumos neiekļauto pasākumu sarakstu.</w:t>
            </w:r>
          </w:p>
          <w:p w14:paraId="2ED52A8D" w14:textId="5B4436AC" w:rsidR="007D2056" w:rsidRPr="00F4151F" w:rsidRDefault="003068BF" w:rsidP="007D2056">
            <w:pPr>
              <w:pStyle w:val="naiskr"/>
              <w:spacing w:before="0" w:after="0"/>
              <w:ind w:right="81"/>
              <w:jc w:val="both"/>
            </w:pPr>
            <w:r w:rsidRPr="00F4151F">
              <w:t xml:space="preserve">   </w:t>
            </w:r>
            <w:r w:rsidR="00D666CD" w:rsidRPr="00F4151F">
              <w:t xml:space="preserve">Vidēja termiņa ietvara un kārtējā gada budžeta sagatavošanas procesā iesaistītie izpildītāji un katra no budžeta </w:t>
            </w:r>
            <w:r w:rsidR="005E1A6D">
              <w:t>sagatavošanas posmiem konkrētie izpildes termiņi</w:t>
            </w:r>
            <w:r w:rsidR="00D666CD" w:rsidRPr="00F4151F">
              <w:t xml:space="preserve"> </w:t>
            </w:r>
            <w:r w:rsidRPr="00F4151F">
              <w:t xml:space="preserve">ikgadēji </w:t>
            </w:r>
            <w:r w:rsidR="005E1A6D">
              <w:t>tiek apstiprināti ar Ministru kabineta  rīkojumu</w:t>
            </w:r>
            <w:r w:rsidR="00D666CD" w:rsidRPr="00F4151F">
              <w:t xml:space="preserve"> par vidēja termiņa budžeta ietvara likuma projekta un gadskārtējā valsts budžeta likuma projekta i</w:t>
            </w:r>
            <w:r w:rsidR="005E1A6D">
              <w:t>zstrādes un iesniegšanas grafiku</w:t>
            </w:r>
            <w:r w:rsidR="00D666CD" w:rsidRPr="00F4151F">
              <w:t xml:space="preserve">. </w:t>
            </w:r>
            <w:r w:rsidR="005E1A6D">
              <w:t>Savukārt, Noteikumos Nr.867 termiņš ir norādīts tikai vienam no valsts budžeta sagatavošanas posmiem par valsts pamatbudžeta un speciālā budžeta bāzi. Minētie</w:t>
            </w:r>
            <w:r w:rsidRPr="00F4151F">
              <w:t xml:space="preserve"> termiņi ir mainīgi un Finanšu ministrijai ir jāievēro arī </w:t>
            </w:r>
            <w:r w:rsidRPr="00F4151F">
              <w:lastRenderedPageBreak/>
              <w:t>Eiropas Komisijas prasības</w:t>
            </w:r>
            <w:r w:rsidR="007D2056" w:rsidRPr="00F4151F">
              <w:t xml:space="preserve"> par Latvijas Stabilitātes programmas 2015. – 2018.gadam sagatavošanu un iesniegšanu</w:t>
            </w:r>
            <w:r w:rsidRPr="00F4151F">
              <w:t xml:space="preserve">. </w:t>
            </w:r>
            <w:r w:rsidR="00D666CD" w:rsidRPr="00F4151F">
              <w:t xml:space="preserve">Tādējādi nav </w:t>
            </w:r>
            <w:r w:rsidRPr="00F4151F">
              <w:t>lietderīgi</w:t>
            </w:r>
            <w:r w:rsidR="00D666CD" w:rsidRPr="00F4151F">
              <w:t xml:space="preserve"> noteikumu Nr.867 14. un </w:t>
            </w:r>
            <w:r w:rsidR="005E1A6D">
              <w:t>18.punktā norādīt konkrētu termiņu (5.martu) tikai vienam no budžeta sagatavošanas posmiem</w:t>
            </w:r>
            <w:r w:rsidR="00D666CD" w:rsidRPr="00F4151F">
              <w:t xml:space="preserve">, bet gan veidot atsauci uz Likumā par budžetu un finanšu vadību atrunāto </w:t>
            </w:r>
            <w:r w:rsidRPr="00F4151F">
              <w:t>vidēja termiņa budžeta ietvara likuma projekta un gadskārtējā valsts budžeta likuma projekta izstrādes un iesniegšanas grafik</w:t>
            </w:r>
            <w:r w:rsidR="007D2056" w:rsidRPr="00F4151F">
              <w:t xml:space="preserve">u. Tādējādi tiks </w:t>
            </w:r>
            <w:r w:rsidR="005E1A6D">
              <w:t>nodrošināta Likuma par budžetu un finanšu vadību un noteikumu Nr.867 normu saskaņotība</w:t>
            </w:r>
            <w:r w:rsidR="007D2056" w:rsidRPr="00F4151F">
              <w:t>.</w:t>
            </w:r>
          </w:p>
          <w:p w14:paraId="5DE888DA" w14:textId="77777777" w:rsidR="00065BB4" w:rsidRDefault="007D2056" w:rsidP="00065BB4">
            <w:pPr>
              <w:pStyle w:val="naiskr"/>
              <w:spacing w:before="0" w:after="0"/>
              <w:ind w:right="81"/>
              <w:jc w:val="both"/>
            </w:pPr>
            <w:r w:rsidRPr="00F4151F">
              <w:t xml:space="preserve">   </w:t>
            </w:r>
            <w:r w:rsidR="003068BF" w:rsidRPr="00F4151F">
              <w:t>Pamatojoties uz iepriekš min</w:t>
            </w:r>
            <w:r w:rsidRPr="00F4151F">
              <w:t>ēto,</w:t>
            </w:r>
            <w:r w:rsidR="005E1A6D">
              <w:t xml:space="preserve"> </w:t>
            </w:r>
            <w:r w:rsidRPr="00F4151F">
              <w:t>noteikumu projekts pare</w:t>
            </w:r>
            <w:r w:rsidR="005E1A6D">
              <w:t xml:space="preserve">dz tehnisku grozījumu noteikumu Nr.876 </w:t>
            </w:r>
            <w:r w:rsidRPr="00F4151F">
              <w:t>14. un 18.punktā</w:t>
            </w:r>
            <w:r w:rsidR="005E1A6D">
              <w:t>,</w:t>
            </w:r>
            <w:r w:rsidRPr="00F4151F">
              <w:t xml:space="preserve"> aizstājot vārdus</w:t>
            </w:r>
            <w:r w:rsidR="00F4151F" w:rsidRPr="00F4151F">
              <w:t xml:space="preserve"> un skaitli</w:t>
            </w:r>
            <w:r w:rsidRPr="00F4151F">
              <w:t xml:space="preserve"> “līdz n gada 5.martam” ar vārdiem “atbilstoši vidēja termiņa budžeta ietvara likuma projekta un gadskārtējā valsts budžeta likuma projekta izstrādes un iesniegšanas grafikam”.</w:t>
            </w:r>
          </w:p>
          <w:p w14:paraId="17132D85" w14:textId="3A40AAE3" w:rsidR="005E1A6D" w:rsidRPr="00F4151F" w:rsidRDefault="005E1A6D" w:rsidP="00065BB4">
            <w:pPr>
              <w:pStyle w:val="naiskr"/>
              <w:spacing w:before="0" w:after="0"/>
              <w:ind w:right="81"/>
              <w:jc w:val="both"/>
            </w:pPr>
          </w:p>
        </w:tc>
      </w:tr>
      <w:tr w:rsidR="00DC689C" w:rsidRPr="00F4151F" w14:paraId="200DCF61" w14:textId="77777777" w:rsidTr="00A20040">
        <w:trPr>
          <w:trHeight w:val="476"/>
          <w:jc w:val="center"/>
        </w:trPr>
        <w:tc>
          <w:tcPr>
            <w:tcW w:w="704" w:type="dxa"/>
          </w:tcPr>
          <w:p w14:paraId="2621FBB5" w14:textId="3F62BCBA" w:rsidR="00DC689C" w:rsidRPr="00F4151F" w:rsidRDefault="00C90FFC" w:rsidP="002634CF">
            <w:pPr>
              <w:pStyle w:val="naiskr"/>
              <w:spacing w:before="0" w:after="0"/>
            </w:pPr>
            <w:r w:rsidRPr="00F4151F">
              <w:lastRenderedPageBreak/>
              <w:t>3</w:t>
            </w:r>
            <w:r w:rsidR="00DC689C" w:rsidRPr="00F4151F">
              <w:t>.</w:t>
            </w:r>
          </w:p>
        </w:tc>
        <w:tc>
          <w:tcPr>
            <w:tcW w:w="2693" w:type="dxa"/>
          </w:tcPr>
          <w:p w14:paraId="00C209A7" w14:textId="77777777" w:rsidR="00DC689C" w:rsidRPr="00F4151F" w:rsidRDefault="00DC689C" w:rsidP="002634CF">
            <w:pPr>
              <w:pStyle w:val="naiskr"/>
              <w:spacing w:before="0" w:after="0"/>
            </w:pPr>
            <w:r w:rsidRPr="00F4151F">
              <w:t>Projekta izstrādē iesaistītās institūcijas</w:t>
            </w:r>
          </w:p>
        </w:tc>
        <w:tc>
          <w:tcPr>
            <w:tcW w:w="6389" w:type="dxa"/>
          </w:tcPr>
          <w:p w14:paraId="1872E75E" w14:textId="07F4D914" w:rsidR="003068BF" w:rsidRPr="00F4151F" w:rsidRDefault="00065BB4" w:rsidP="003068BF">
            <w:pPr>
              <w:rPr>
                <w:color w:val="1F497D"/>
              </w:rPr>
            </w:pPr>
            <w:r w:rsidRPr="00F4151F">
              <w:t>Projekts šo jomu neskar.</w:t>
            </w:r>
          </w:p>
          <w:p w14:paraId="2EF8F64E" w14:textId="6E3F7DD2" w:rsidR="003068BF" w:rsidRPr="00F4151F" w:rsidRDefault="003068BF" w:rsidP="003068BF">
            <w:pPr>
              <w:pStyle w:val="naiskr"/>
              <w:spacing w:before="0" w:after="0"/>
              <w:ind w:right="81"/>
              <w:jc w:val="both"/>
            </w:pPr>
          </w:p>
        </w:tc>
      </w:tr>
      <w:tr w:rsidR="00DC689C" w:rsidRPr="00F4151F" w14:paraId="6083267C" w14:textId="77777777" w:rsidTr="00A20040">
        <w:trPr>
          <w:jc w:val="center"/>
        </w:trPr>
        <w:tc>
          <w:tcPr>
            <w:tcW w:w="704" w:type="dxa"/>
          </w:tcPr>
          <w:p w14:paraId="4CD96E54" w14:textId="43DDCBAE" w:rsidR="00DC689C" w:rsidRPr="00F4151F" w:rsidRDefault="00C90FFC" w:rsidP="002634CF">
            <w:pPr>
              <w:pStyle w:val="naiskr"/>
              <w:spacing w:before="0" w:after="0"/>
            </w:pPr>
            <w:r w:rsidRPr="00F4151F">
              <w:t>4</w:t>
            </w:r>
            <w:r w:rsidR="00DC689C" w:rsidRPr="00F4151F">
              <w:t>.</w:t>
            </w:r>
          </w:p>
        </w:tc>
        <w:tc>
          <w:tcPr>
            <w:tcW w:w="2693" w:type="dxa"/>
          </w:tcPr>
          <w:p w14:paraId="4C6A638B" w14:textId="77777777" w:rsidR="00DC689C" w:rsidRPr="00F4151F" w:rsidRDefault="00DC689C" w:rsidP="002634CF">
            <w:pPr>
              <w:pStyle w:val="naiskr"/>
              <w:spacing w:before="0" w:after="0"/>
            </w:pPr>
            <w:r w:rsidRPr="00F4151F">
              <w:t>Cita informācija</w:t>
            </w:r>
          </w:p>
        </w:tc>
        <w:tc>
          <w:tcPr>
            <w:tcW w:w="6389" w:type="dxa"/>
          </w:tcPr>
          <w:p w14:paraId="2879B78B" w14:textId="312939C3" w:rsidR="00DC689C" w:rsidRPr="00F4151F" w:rsidRDefault="00065BB4" w:rsidP="002634CF">
            <w:pPr>
              <w:pStyle w:val="naiskr"/>
              <w:spacing w:before="0" w:after="0"/>
              <w:ind w:left="142" w:right="81"/>
            </w:pPr>
            <w:r w:rsidRPr="00F4151F">
              <w:t>Nav</w:t>
            </w:r>
          </w:p>
        </w:tc>
      </w:tr>
    </w:tbl>
    <w:p w14:paraId="22685ED5" w14:textId="77777777" w:rsidR="008D3A5D" w:rsidRDefault="008D3A5D" w:rsidP="00014F75">
      <w:pPr>
        <w:pStyle w:val="naisf"/>
        <w:spacing w:before="0" w:after="0"/>
        <w:ind w:firstLine="0"/>
        <w:rPr>
          <w:sz w:val="28"/>
          <w:szCs w:val="28"/>
        </w:rPr>
      </w:pPr>
    </w:p>
    <w:tbl>
      <w:tblPr>
        <w:tblW w:w="9924"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
        <w:gridCol w:w="2693"/>
        <w:gridCol w:w="6521"/>
      </w:tblGrid>
      <w:tr w:rsidR="00A20040" w:rsidRPr="00A91187" w14:paraId="531D7F7E" w14:textId="77777777" w:rsidTr="00F4151F">
        <w:trPr>
          <w:tblCellSpacing w:w="0" w:type="dxa"/>
        </w:trPr>
        <w:tc>
          <w:tcPr>
            <w:tcW w:w="9924" w:type="dxa"/>
            <w:gridSpan w:val="3"/>
            <w:tcBorders>
              <w:top w:val="outset" w:sz="6" w:space="0" w:color="auto"/>
              <w:left w:val="outset" w:sz="6" w:space="0" w:color="auto"/>
              <w:bottom w:val="outset" w:sz="6" w:space="0" w:color="auto"/>
              <w:right w:val="outset" w:sz="6" w:space="0" w:color="auto"/>
            </w:tcBorders>
            <w:vAlign w:val="center"/>
            <w:hideMark/>
          </w:tcPr>
          <w:p w14:paraId="1683A354" w14:textId="77777777" w:rsidR="00A20040" w:rsidRPr="00A91187" w:rsidRDefault="00A20040" w:rsidP="008C5C92">
            <w:pPr>
              <w:spacing w:before="100" w:beforeAutospacing="1" w:after="100" w:afterAutospacing="1"/>
              <w:rPr>
                <w:b/>
              </w:rPr>
            </w:pPr>
            <w:r w:rsidRPr="00A91187">
              <w:rPr>
                <w:b/>
              </w:rPr>
              <w:t xml:space="preserve"> II. </w:t>
            </w:r>
            <w:r w:rsidRPr="00A91187">
              <w:rPr>
                <w:b/>
                <w:bCs/>
              </w:rPr>
              <w:t>Tiesību akta projekta ietekme uz sabiedrību, tautsaimniecības attīstību un administratīvo slogu</w:t>
            </w:r>
          </w:p>
        </w:tc>
      </w:tr>
      <w:tr w:rsidR="00A20040" w:rsidRPr="00A91187" w14:paraId="447FFCAF" w14:textId="77777777" w:rsidTr="00F4151F">
        <w:trPr>
          <w:trHeight w:val="276"/>
          <w:tblCellSpacing w:w="0" w:type="dxa"/>
        </w:trPr>
        <w:tc>
          <w:tcPr>
            <w:tcW w:w="710" w:type="dxa"/>
            <w:tcBorders>
              <w:top w:val="outset" w:sz="6" w:space="0" w:color="auto"/>
              <w:left w:val="outset" w:sz="6" w:space="0" w:color="auto"/>
              <w:bottom w:val="outset" w:sz="6" w:space="0" w:color="auto"/>
              <w:right w:val="outset" w:sz="6" w:space="0" w:color="auto"/>
            </w:tcBorders>
            <w:hideMark/>
          </w:tcPr>
          <w:p w14:paraId="2DB0E489" w14:textId="77777777" w:rsidR="00A20040" w:rsidRPr="00A91187" w:rsidRDefault="00A20040" w:rsidP="008C5C92">
            <w:pPr>
              <w:spacing w:before="100" w:beforeAutospacing="1" w:after="100" w:afterAutospacing="1"/>
            </w:pPr>
            <w:r w:rsidRPr="00A91187">
              <w:t> 1.</w:t>
            </w:r>
          </w:p>
        </w:tc>
        <w:tc>
          <w:tcPr>
            <w:tcW w:w="2693" w:type="dxa"/>
            <w:tcBorders>
              <w:top w:val="outset" w:sz="6" w:space="0" w:color="auto"/>
              <w:left w:val="outset" w:sz="6" w:space="0" w:color="auto"/>
              <w:bottom w:val="outset" w:sz="6" w:space="0" w:color="auto"/>
              <w:right w:val="outset" w:sz="6" w:space="0" w:color="auto"/>
            </w:tcBorders>
            <w:hideMark/>
          </w:tcPr>
          <w:p w14:paraId="763C147D" w14:textId="77777777" w:rsidR="00A20040" w:rsidRPr="00A91187" w:rsidRDefault="00A20040" w:rsidP="008C5C92">
            <w:pPr>
              <w:spacing w:before="100" w:beforeAutospacing="1" w:after="100" w:afterAutospacing="1"/>
            </w:pPr>
            <w:r w:rsidRPr="00A91187">
              <w:t> Sabiedrības mērķgrupas, kuras tiesiskais regulējums ietekmē vai varētu ietekmēt</w:t>
            </w:r>
          </w:p>
        </w:tc>
        <w:tc>
          <w:tcPr>
            <w:tcW w:w="6521" w:type="dxa"/>
            <w:tcBorders>
              <w:top w:val="outset" w:sz="6" w:space="0" w:color="auto"/>
              <w:left w:val="outset" w:sz="6" w:space="0" w:color="auto"/>
              <w:bottom w:val="outset" w:sz="6" w:space="0" w:color="auto"/>
              <w:right w:val="outset" w:sz="6" w:space="0" w:color="auto"/>
            </w:tcBorders>
            <w:hideMark/>
          </w:tcPr>
          <w:p w14:paraId="79EAEC81" w14:textId="086FF324" w:rsidR="00A20040" w:rsidRPr="00A91187" w:rsidRDefault="00065BB4" w:rsidP="00065BB4">
            <w:pPr>
              <w:spacing w:before="100" w:beforeAutospacing="1" w:after="100" w:afterAutospacing="1"/>
              <w:jc w:val="both"/>
            </w:pPr>
            <w:r w:rsidRPr="00A91187">
              <w:t>Ministriju un centrālo valsts iestāžu amatpersonas (darbinieki).</w:t>
            </w:r>
            <w:r w:rsidR="00A20040" w:rsidRPr="00A91187">
              <w:t xml:space="preserve"> </w:t>
            </w:r>
          </w:p>
        </w:tc>
      </w:tr>
      <w:tr w:rsidR="00A20040" w:rsidRPr="00A91187" w14:paraId="4ECD5027" w14:textId="77777777" w:rsidTr="00F4151F">
        <w:trPr>
          <w:trHeight w:val="523"/>
          <w:tblCellSpacing w:w="0" w:type="dxa"/>
        </w:trPr>
        <w:tc>
          <w:tcPr>
            <w:tcW w:w="710" w:type="dxa"/>
            <w:tcBorders>
              <w:top w:val="outset" w:sz="6" w:space="0" w:color="auto"/>
              <w:left w:val="outset" w:sz="6" w:space="0" w:color="auto"/>
              <w:bottom w:val="outset" w:sz="6" w:space="0" w:color="auto"/>
              <w:right w:val="outset" w:sz="6" w:space="0" w:color="auto"/>
            </w:tcBorders>
            <w:hideMark/>
          </w:tcPr>
          <w:p w14:paraId="7D0DAE19" w14:textId="77777777" w:rsidR="00A20040" w:rsidRPr="00A91187" w:rsidRDefault="00A20040" w:rsidP="008C5C92">
            <w:pPr>
              <w:spacing w:before="100" w:beforeAutospacing="1" w:after="100" w:afterAutospacing="1"/>
            </w:pPr>
            <w:r w:rsidRPr="00A91187">
              <w:t> 2.</w:t>
            </w:r>
          </w:p>
        </w:tc>
        <w:tc>
          <w:tcPr>
            <w:tcW w:w="2693" w:type="dxa"/>
            <w:tcBorders>
              <w:top w:val="outset" w:sz="6" w:space="0" w:color="auto"/>
              <w:left w:val="outset" w:sz="6" w:space="0" w:color="auto"/>
              <w:bottom w:val="outset" w:sz="6" w:space="0" w:color="auto"/>
              <w:right w:val="outset" w:sz="6" w:space="0" w:color="auto"/>
            </w:tcBorders>
            <w:hideMark/>
          </w:tcPr>
          <w:p w14:paraId="10DCDDD6" w14:textId="77777777" w:rsidR="00A20040" w:rsidRPr="00A91187" w:rsidRDefault="00A20040" w:rsidP="008C5C92">
            <w:pPr>
              <w:spacing w:before="100" w:beforeAutospacing="1" w:after="100" w:afterAutospacing="1"/>
            </w:pPr>
            <w:r w:rsidRPr="00A91187">
              <w:t> Tiesiskā regulējuma ietekme uz tautsaimniecību un administratīvo slogu</w:t>
            </w:r>
          </w:p>
        </w:tc>
        <w:tc>
          <w:tcPr>
            <w:tcW w:w="6521" w:type="dxa"/>
            <w:tcBorders>
              <w:top w:val="outset" w:sz="6" w:space="0" w:color="auto"/>
              <w:left w:val="outset" w:sz="6" w:space="0" w:color="auto"/>
              <w:bottom w:val="outset" w:sz="6" w:space="0" w:color="auto"/>
              <w:right w:val="outset" w:sz="6" w:space="0" w:color="auto"/>
            </w:tcBorders>
          </w:tcPr>
          <w:p w14:paraId="04370BD3" w14:textId="77777777" w:rsidR="00A20040" w:rsidRPr="00A91187" w:rsidRDefault="00A20040" w:rsidP="008C5C92">
            <w:pPr>
              <w:jc w:val="both"/>
            </w:pPr>
            <w:r w:rsidRPr="00A91187">
              <w:t> Projekts šo jomu neskar</w:t>
            </w:r>
          </w:p>
        </w:tc>
      </w:tr>
      <w:tr w:rsidR="00A20040" w:rsidRPr="00A91187" w14:paraId="080CE1D9" w14:textId="77777777" w:rsidTr="00F4151F">
        <w:trPr>
          <w:trHeight w:val="517"/>
          <w:tblCellSpacing w:w="0" w:type="dxa"/>
        </w:trPr>
        <w:tc>
          <w:tcPr>
            <w:tcW w:w="710" w:type="dxa"/>
            <w:tcBorders>
              <w:top w:val="outset" w:sz="6" w:space="0" w:color="auto"/>
              <w:left w:val="outset" w:sz="6" w:space="0" w:color="auto"/>
              <w:bottom w:val="outset" w:sz="6" w:space="0" w:color="auto"/>
              <w:right w:val="outset" w:sz="6" w:space="0" w:color="auto"/>
            </w:tcBorders>
            <w:hideMark/>
          </w:tcPr>
          <w:p w14:paraId="3588D258" w14:textId="77777777" w:rsidR="00A20040" w:rsidRPr="00A91187" w:rsidRDefault="00A20040" w:rsidP="008C5C92">
            <w:pPr>
              <w:spacing w:before="100" w:beforeAutospacing="1" w:after="100" w:afterAutospacing="1"/>
            </w:pPr>
            <w:r w:rsidRPr="00A91187">
              <w:t> 3.</w:t>
            </w:r>
          </w:p>
        </w:tc>
        <w:tc>
          <w:tcPr>
            <w:tcW w:w="2693" w:type="dxa"/>
            <w:tcBorders>
              <w:top w:val="outset" w:sz="6" w:space="0" w:color="auto"/>
              <w:left w:val="outset" w:sz="6" w:space="0" w:color="auto"/>
              <w:bottom w:val="outset" w:sz="6" w:space="0" w:color="auto"/>
              <w:right w:val="outset" w:sz="6" w:space="0" w:color="auto"/>
            </w:tcBorders>
            <w:hideMark/>
          </w:tcPr>
          <w:p w14:paraId="5CFA3C34" w14:textId="77777777" w:rsidR="00A20040" w:rsidRPr="00A91187" w:rsidRDefault="00A20040" w:rsidP="008C5C92">
            <w:pPr>
              <w:spacing w:before="100" w:beforeAutospacing="1" w:after="100" w:afterAutospacing="1"/>
            </w:pPr>
            <w:r w:rsidRPr="00A91187">
              <w:t> Administratīvo izmaksu monetārs novērtējums</w:t>
            </w:r>
          </w:p>
        </w:tc>
        <w:tc>
          <w:tcPr>
            <w:tcW w:w="6521" w:type="dxa"/>
            <w:tcBorders>
              <w:top w:val="outset" w:sz="6" w:space="0" w:color="auto"/>
              <w:left w:val="outset" w:sz="6" w:space="0" w:color="auto"/>
              <w:bottom w:val="outset" w:sz="6" w:space="0" w:color="auto"/>
              <w:right w:val="outset" w:sz="6" w:space="0" w:color="auto"/>
            </w:tcBorders>
          </w:tcPr>
          <w:p w14:paraId="06E4869D" w14:textId="77777777" w:rsidR="00A20040" w:rsidRPr="00A91187" w:rsidRDefault="00A20040" w:rsidP="008C5C92">
            <w:pPr>
              <w:jc w:val="both"/>
              <w:rPr>
                <w:b/>
              </w:rPr>
            </w:pPr>
            <w:r w:rsidRPr="00A91187">
              <w:t> Projekts šo jomu neskar</w:t>
            </w:r>
          </w:p>
        </w:tc>
      </w:tr>
      <w:tr w:rsidR="00A20040" w:rsidRPr="00A91187" w14:paraId="305FF6CF" w14:textId="77777777" w:rsidTr="00F4151F">
        <w:trPr>
          <w:trHeight w:val="517"/>
          <w:tblCellSpacing w:w="0" w:type="dxa"/>
        </w:trPr>
        <w:tc>
          <w:tcPr>
            <w:tcW w:w="710" w:type="dxa"/>
            <w:tcBorders>
              <w:top w:val="outset" w:sz="6" w:space="0" w:color="auto"/>
              <w:left w:val="outset" w:sz="6" w:space="0" w:color="auto"/>
              <w:bottom w:val="outset" w:sz="6" w:space="0" w:color="auto"/>
              <w:right w:val="outset" w:sz="6" w:space="0" w:color="auto"/>
            </w:tcBorders>
            <w:hideMark/>
          </w:tcPr>
          <w:p w14:paraId="7140E6C5" w14:textId="77777777" w:rsidR="00A20040" w:rsidRPr="00A91187" w:rsidRDefault="00A20040" w:rsidP="008C5C92">
            <w:pPr>
              <w:spacing w:before="100" w:beforeAutospacing="1" w:after="100" w:afterAutospacing="1"/>
            </w:pPr>
            <w:r w:rsidRPr="00A91187">
              <w:t> 4.</w:t>
            </w:r>
          </w:p>
        </w:tc>
        <w:tc>
          <w:tcPr>
            <w:tcW w:w="2693" w:type="dxa"/>
            <w:tcBorders>
              <w:top w:val="outset" w:sz="6" w:space="0" w:color="auto"/>
              <w:left w:val="outset" w:sz="6" w:space="0" w:color="auto"/>
              <w:bottom w:val="outset" w:sz="6" w:space="0" w:color="auto"/>
              <w:right w:val="outset" w:sz="6" w:space="0" w:color="auto"/>
            </w:tcBorders>
            <w:hideMark/>
          </w:tcPr>
          <w:p w14:paraId="61E20275" w14:textId="77777777" w:rsidR="00A20040" w:rsidRPr="00A91187" w:rsidRDefault="00A20040" w:rsidP="008C5C92">
            <w:pPr>
              <w:spacing w:before="100" w:beforeAutospacing="1" w:after="100" w:afterAutospacing="1"/>
            </w:pPr>
            <w:r w:rsidRPr="00A91187">
              <w:t> Cita informācija</w:t>
            </w:r>
          </w:p>
        </w:tc>
        <w:tc>
          <w:tcPr>
            <w:tcW w:w="6521" w:type="dxa"/>
            <w:tcBorders>
              <w:top w:val="outset" w:sz="6" w:space="0" w:color="auto"/>
              <w:left w:val="outset" w:sz="6" w:space="0" w:color="auto"/>
              <w:bottom w:val="outset" w:sz="6" w:space="0" w:color="auto"/>
              <w:right w:val="outset" w:sz="6" w:space="0" w:color="auto"/>
            </w:tcBorders>
            <w:hideMark/>
          </w:tcPr>
          <w:p w14:paraId="36853C1D" w14:textId="77777777" w:rsidR="00A20040" w:rsidRPr="00A91187" w:rsidRDefault="00A20040" w:rsidP="008C5C92">
            <w:pPr>
              <w:spacing w:before="100" w:beforeAutospacing="1" w:after="100" w:afterAutospacing="1"/>
            </w:pPr>
            <w:r w:rsidRPr="00A91187">
              <w:t> Nav</w:t>
            </w:r>
          </w:p>
        </w:tc>
      </w:tr>
    </w:tbl>
    <w:p w14:paraId="48C4FF34" w14:textId="77777777" w:rsidR="004F543E" w:rsidRDefault="004F543E" w:rsidP="00014F75">
      <w:pPr>
        <w:pStyle w:val="naisf"/>
        <w:spacing w:before="0" w:after="0"/>
        <w:ind w:firstLine="0"/>
        <w:rPr>
          <w:sz w:val="28"/>
          <w:szCs w:val="28"/>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693"/>
        <w:gridCol w:w="6521"/>
      </w:tblGrid>
      <w:tr w:rsidR="00C06E32" w:rsidRPr="00A91187" w14:paraId="7ADDB5B0" w14:textId="77777777" w:rsidTr="00F4151F">
        <w:tc>
          <w:tcPr>
            <w:tcW w:w="9924" w:type="dxa"/>
            <w:gridSpan w:val="3"/>
            <w:shd w:val="clear" w:color="auto" w:fill="auto"/>
          </w:tcPr>
          <w:p w14:paraId="12239A28" w14:textId="77777777" w:rsidR="00C06E32" w:rsidRPr="00A91187" w:rsidRDefault="00C06E32" w:rsidP="00A47DB4">
            <w:pPr>
              <w:jc w:val="center"/>
              <w:rPr>
                <w:b/>
              </w:rPr>
            </w:pPr>
            <w:r w:rsidRPr="00A91187">
              <w:rPr>
                <w:b/>
              </w:rPr>
              <w:t>VI. Sabiedrības līdzdalība un komunikācijas aktivitātes</w:t>
            </w:r>
          </w:p>
        </w:tc>
      </w:tr>
      <w:tr w:rsidR="00C06E32" w:rsidRPr="00A91187" w14:paraId="21389F92" w14:textId="77777777" w:rsidTr="00F4151F">
        <w:tc>
          <w:tcPr>
            <w:tcW w:w="710" w:type="dxa"/>
            <w:shd w:val="clear" w:color="auto" w:fill="auto"/>
          </w:tcPr>
          <w:p w14:paraId="269013E1" w14:textId="77777777" w:rsidR="00C06E32" w:rsidRPr="00A91187" w:rsidRDefault="00C06E32" w:rsidP="00A47DB4">
            <w:r w:rsidRPr="00A91187">
              <w:t>1.</w:t>
            </w:r>
          </w:p>
        </w:tc>
        <w:tc>
          <w:tcPr>
            <w:tcW w:w="2693" w:type="dxa"/>
            <w:shd w:val="clear" w:color="auto" w:fill="auto"/>
          </w:tcPr>
          <w:p w14:paraId="00576ACB" w14:textId="77777777" w:rsidR="00C06E32" w:rsidRPr="00A91187" w:rsidRDefault="00C06E32" w:rsidP="00A47DB4">
            <w:r w:rsidRPr="00A91187">
              <w:t>Plānotās sabiedrības līdzdalības un komunikācijas aktivitātes saistībā ar projektu</w:t>
            </w:r>
          </w:p>
        </w:tc>
        <w:tc>
          <w:tcPr>
            <w:tcW w:w="6521" w:type="dxa"/>
            <w:shd w:val="clear" w:color="auto" w:fill="auto"/>
          </w:tcPr>
          <w:p w14:paraId="46576132" w14:textId="4B98C8D7" w:rsidR="00C06E32" w:rsidRPr="00A91187" w:rsidRDefault="00F4151F" w:rsidP="005E1A6D">
            <w:pPr>
              <w:jc w:val="both"/>
            </w:pPr>
            <w:r w:rsidRPr="00A91187">
              <w:t>Sabiedrības līdzdalības un komunikācijas aktivitātes netika organizētas, jo noteikum</w:t>
            </w:r>
            <w:r w:rsidR="005E1A6D">
              <w:t>u</w:t>
            </w:r>
            <w:r w:rsidRPr="00A91187">
              <w:t xml:space="preserve"> projekts </w:t>
            </w:r>
            <w:r w:rsidR="00A14DDA">
              <w:t>tieši sabiedrības intereses nekar. Tas ir</w:t>
            </w:r>
            <w:r w:rsidRPr="00A91187">
              <w:t xml:space="preserve"> saistošs valsts budžeta projekta sagatavošanā iesaistītajām institūcijām,  t.i., ministrijām un citām centrālām valsts iestādēm, un paredzētais grozījums ir tehniska rakstura – valsts budžeta sagatavošanas un iesniegšanas Ministru kabinetā darba organizācijas </w:t>
            </w:r>
            <w:r w:rsidR="00A14DDA">
              <w:t xml:space="preserve">(valsts budžeta sagatavošanas posmu) </w:t>
            </w:r>
            <w:r w:rsidRPr="00A91187">
              <w:t xml:space="preserve">jautājums.   </w:t>
            </w:r>
          </w:p>
        </w:tc>
      </w:tr>
      <w:tr w:rsidR="00C06E32" w:rsidRPr="00A91187" w14:paraId="142B7CBE" w14:textId="77777777" w:rsidTr="00F4151F">
        <w:tc>
          <w:tcPr>
            <w:tcW w:w="710" w:type="dxa"/>
            <w:shd w:val="clear" w:color="auto" w:fill="auto"/>
          </w:tcPr>
          <w:p w14:paraId="144E66CE" w14:textId="77777777" w:rsidR="00C06E32" w:rsidRPr="00A91187" w:rsidRDefault="00C06E32" w:rsidP="00A47DB4">
            <w:r w:rsidRPr="00A91187">
              <w:t>2.</w:t>
            </w:r>
          </w:p>
        </w:tc>
        <w:tc>
          <w:tcPr>
            <w:tcW w:w="2693" w:type="dxa"/>
            <w:shd w:val="clear" w:color="auto" w:fill="auto"/>
          </w:tcPr>
          <w:p w14:paraId="1ECA9A3F" w14:textId="77777777" w:rsidR="00C06E32" w:rsidRPr="00A91187" w:rsidRDefault="00C06E32" w:rsidP="00A47DB4">
            <w:r w:rsidRPr="00A91187">
              <w:t>Sabiedrības līdzdalība projekta izstrādē</w:t>
            </w:r>
          </w:p>
        </w:tc>
        <w:tc>
          <w:tcPr>
            <w:tcW w:w="6521" w:type="dxa"/>
            <w:shd w:val="clear" w:color="auto" w:fill="auto"/>
          </w:tcPr>
          <w:p w14:paraId="62AFFA8A" w14:textId="1D0C4682" w:rsidR="00C06E32" w:rsidRPr="00A91187" w:rsidRDefault="00F4151F" w:rsidP="00A47DB4">
            <w:pPr>
              <w:jc w:val="both"/>
            </w:pPr>
            <w:r w:rsidRPr="00A91187">
              <w:rPr>
                <w:iCs/>
              </w:rPr>
              <w:t>Projekts šo jomu neskar.</w:t>
            </w:r>
          </w:p>
        </w:tc>
      </w:tr>
      <w:tr w:rsidR="00C06E32" w:rsidRPr="00A91187" w14:paraId="7928611C" w14:textId="77777777" w:rsidTr="00F4151F">
        <w:tc>
          <w:tcPr>
            <w:tcW w:w="710" w:type="dxa"/>
            <w:shd w:val="clear" w:color="auto" w:fill="auto"/>
          </w:tcPr>
          <w:p w14:paraId="635D3B1F" w14:textId="77777777" w:rsidR="00C06E32" w:rsidRPr="00A91187" w:rsidRDefault="00C06E32" w:rsidP="00A47DB4">
            <w:r w:rsidRPr="00A91187">
              <w:t>3.</w:t>
            </w:r>
          </w:p>
        </w:tc>
        <w:tc>
          <w:tcPr>
            <w:tcW w:w="2693" w:type="dxa"/>
            <w:shd w:val="clear" w:color="auto" w:fill="auto"/>
          </w:tcPr>
          <w:p w14:paraId="0AB1F3A6" w14:textId="77777777" w:rsidR="00C06E32" w:rsidRPr="00A91187" w:rsidRDefault="00C06E32" w:rsidP="00A47DB4">
            <w:r w:rsidRPr="00A91187">
              <w:t>Sabiedrības līdzdalības rezultāti</w:t>
            </w:r>
          </w:p>
        </w:tc>
        <w:tc>
          <w:tcPr>
            <w:tcW w:w="6521" w:type="dxa"/>
            <w:shd w:val="clear" w:color="auto" w:fill="auto"/>
          </w:tcPr>
          <w:p w14:paraId="20124D33" w14:textId="7AF9B846" w:rsidR="00C06E32" w:rsidRPr="00A91187" w:rsidRDefault="00F4151F" w:rsidP="00A47DB4">
            <w:pPr>
              <w:jc w:val="both"/>
            </w:pPr>
            <w:r w:rsidRPr="00A91187">
              <w:rPr>
                <w:iCs/>
              </w:rPr>
              <w:t>Projekts šo jomu neskar.</w:t>
            </w:r>
          </w:p>
        </w:tc>
      </w:tr>
      <w:tr w:rsidR="00C06E32" w:rsidRPr="00A91187" w14:paraId="7AD121BC" w14:textId="77777777" w:rsidTr="00F4151F">
        <w:tc>
          <w:tcPr>
            <w:tcW w:w="710" w:type="dxa"/>
            <w:shd w:val="clear" w:color="auto" w:fill="auto"/>
          </w:tcPr>
          <w:p w14:paraId="1D22693C" w14:textId="77777777" w:rsidR="00C06E32" w:rsidRPr="00A91187" w:rsidRDefault="00C06E32" w:rsidP="00A47DB4">
            <w:r w:rsidRPr="00A91187">
              <w:t>4.</w:t>
            </w:r>
          </w:p>
        </w:tc>
        <w:tc>
          <w:tcPr>
            <w:tcW w:w="2693" w:type="dxa"/>
            <w:shd w:val="clear" w:color="auto" w:fill="auto"/>
          </w:tcPr>
          <w:p w14:paraId="4C2BD23A" w14:textId="77777777" w:rsidR="00C06E32" w:rsidRPr="00A91187" w:rsidRDefault="00C06E32" w:rsidP="00A47DB4">
            <w:r w:rsidRPr="00A91187">
              <w:t>Cita informācija</w:t>
            </w:r>
          </w:p>
        </w:tc>
        <w:tc>
          <w:tcPr>
            <w:tcW w:w="6521" w:type="dxa"/>
            <w:shd w:val="clear" w:color="auto" w:fill="auto"/>
          </w:tcPr>
          <w:p w14:paraId="482CD416" w14:textId="77777777" w:rsidR="00C06E32" w:rsidRPr="00A91187" w:rsidRDefault="00C06E32" w:rsidP="00A47DB4">
            <w:r w:rsidRPr="00A91187">
              <w:t>Nav</w:t>
            </w:r>
          </w:p>
        </w:tc>
      </w:tr>
    </w:tbl>
    <w:p w14:paraId="57DFDCF2" w14:textId="77777777" w:rsidR="00C06E32" w:rsidRDefault="00C06E32" w:rsidP="00014F75">
      <w:pPr>
        <w:pStyle w:val="naisf"/>
        <w:spacing w:before="0" w:after="0"/>
        <w:ind w:firstLine="0"/>
        <w:rPr>
          <w:sz w:val="28"/>
          <w:szCs w:val="28"/>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43"/>
        <w:gridCol w:w="2660"/>
        <w:gridCol w:w="6521"/>
      </w:tblGrid>
      <w:tr w:rsidR="00DC689C" w:rsidRPr="00A91187" w14:paraId="554EA9D9" w14:textId="77777777" w:rsidTr="00A20040">
        <w:tc>
          <w:tcPr>
            <w:tcW w:w="9924" w:type="dxa"/>
            <w:gridSpan w:val="3"/>
            <w:tcBorders>
              <w:top w:val="single" w:sz="4" w:space="0" w:color="auto"/>
            </w:tcBorders>
          </w:tcPr>
          <w:p w14:paraId="487F4389" w14:textId="77777777" w:rsidR="00DC689C" w:rsidRPr="00A91187" w:rsidRDefault="00DC689C" w:rsidP="0023237B">
            <w:pPr>
              <w:pStyle w:val="naisnod"/>
              <w:spacing w:before="0" w:after="0"/>
              <w:ind w:left="57" w:right="57"/>
            </w:pPr>
            <w:r w:rsidRPr="00A91187">
              <w:t>VII. Tiesību akta projekta izpildes nodrošināšana un tās ietekme uz institūcijām</w:t>
            </w:r>
          </w:p>
        </w:tc>
      </w:tr>
      <w:tr w:rsidR="00DC689C" w:rsidRPr="00A91187" w14:paraId="599A0E5D" w14:textId="77777777" w:rsidTr="00F4151F">
        <w:trPr>
          <w:trHeight w:val="427"/>
        </w:trPr>
        <w:tc>
          <w:tcPr>
            <w:tcW w:w="743" w:type="dxa"/>
          </w:tcPr>
          <w:p w14:paraId="45D6C3D2" w14:textId="77777777" w:rsidR="00DC689C" w:rsidRPr="00A91187" w:rsidRDefault="00DC689C" w:rsidP="0023237B">
            <w:pPr>
              <w:pStyle w:val="naisnod"/>
              <w:spacing w:before="0" w:after="0"/>
              <w:ind w:left="57" w:right="57"/>
              <w:jc w:val="left"/>
              <w:rPr>
                <w:b w:val="0"/>
              </w:rPr>
            </w:pPr>
            <w:r w:rsidRPr="00A91187">
              <w:rPr>
                <w:b w:val="0"/>
              </w:rPr>
              <w:lastRenderedPageBreak/>
              <w:t>1.</w:t>
            </w:r>
          </w:p>
        </w:tc>
        <w:tc>
          <w:tcPr>
            <w:tcW w:w="2660" w:type="dxa"/>
          </w:tcPr>
          <w:p w14:paraId="5B232EE5" w14:textId="77777777" w:rsidR="00DC689C" w:rsidRPr="00A91187" w:rsidRDefault="00DC689C" w:rsidP="0023237B">
            <w:pPr>
              <w:pStyle w:val="naisf"/>
              <w:spacing w:before="0" w:after="0"/>
              <w:ind w:left="57" w:right="57" w:firstLine="0"/>
              <w:jc w:val="left"/>
            </w:pPr>
            <w:r w:rsidRPr="00A91187">
              <w:t xml:space="preserve">Projekta izpildē iesaistītās institūcijas </w:t>
            </w:r>
          </w:p>
        </w:tc>
        <w:tc>
          <w:tcPr>
            <w:tcW w:w="6521" w:type="dxa"/>
          </w:tcPr>
          <w:p w14:paraId="6FCAFEB3" w14:textId="49CF6B18" w:rsidR="00DC689C" w:rsidRPr="00A91187" w:rsidRDefault="00390B89" w:rsidP="00283D6B">
            <w:pPr>
              <w:pStyle w:val="naisnod"/>
              <w:spacing w:before="0" w:after="0"/>
              <w:ind w:left="57" w:right="57"/>
              <w:jc w:val="left"/>
              <w:rPr>
                <w:b w:val="0"/>
              </w:rPr>
            </w:pPr>
            <w:r w:rsidRPr="00A91187">
              <w:rPr>
                <w:b w:val="0"/>
                <w:iCs/>
              </w:rPr>
              <w:t>Ministrijas un citas centrālās valsts iestādes</w:t>
            </w:r>
            <w:r w:rsidR="00E21FA7" w:rsidRPr="00A91187">
              <w:rPr>
                <w:b w:val="0"/>
                <w:iCs/>
              </w:rPr>
              <w:t>, Pārresoru koordinācijas centrs</w:t>
            </w:r>
            <w:r w:rsidR="00065BB4" w:rsidRPr="00A91187">
              <w:rPr>
                <w:b w:val="0"/>
                <w:iCs/>
              </w:rPr>
              <w:t>.</w:t>
            </w:r>
          </w:p>
        </w:tc>
      </w:tr>
      <w:tr w:rsidR="00DC689C" w:rsidRPr="00A91187" w14:paraId="59A848D7" w14:textId="77777777" w:rsidTr="00F4151F">
        <w:trPr>
          <w:trHeight w:val="463"/>
        </w:trPr>
        <w:tc>
          <w:tcPr>
            <w:tcW w:w="743" w:type="dxa"/>
          </w:tcPr>
          <w:p w14:paraId="0625F103" w14:textId="77777777" w:rsidR="00DC689C" w:rsidRPr="00A91187" w:rsidRDefault="00DC689C" w:rsidP="0023237B">
            <w:pPr>
              <w:pStyle w:val="naisnod"/>
              <w:spacing w:before="0" w:after="0"/>
              <w:ind w:left="57" w:right="57"/>
              <w:jc w:val="left"/>
              <w:rPr>
                <w:b w:val="0"/>
              </w:rPr>
            </w:pPr>
            <w:r w:rsidRPr="00A91187">
              <w:rPr>
                <w:b w:val="0"/>
              </w:rPr>
              <w:t>2.</w:t>
            </w:r>
          </w:p>
        </w:tc>
        <w:tc>
          <w:tcPr>
            <w:tcW w:w="2660" w:type="dxa"/>
          </w:tcPr>
          <w:p w14:paraId="789BB0CA" w14:textId="77777777" w:rsidR="00DC689C" w:rsidRPr="00A91187" w:rsidRDefault="00DC689C" w:rsidP="0023237B">
            <w:pPr>
              <w:pStyle w:val="naisf"/>
              <w:spacing w:before="0" w:after="0"/>
              <w:ind w:left="57" w:right="57" w:firstLine="0"/>
              <w:jc w:val="left"/>
            </w:pPr>
            <w:r w:rsidRPr="00A91187">
              <w:t xml:space="preserve">Projekta izpildes ietekme uz pārvaldes funkcijām </w:t>
            </w:r>
          </w:p>
        </w:tc>
        <w:tc>
          <w:tcPr>
            <w:tcW w:w="6521" w:type="dxa"/>
          </w:tcPr>
          <w:p w14:paraId="07DA3823" w14:textId="77777777" w:rsidR="00DC689C" w:rsidRPr="00A91187" w:rsidRDefault="00014F75" w:rsidP="0023237B">
            <w:pPr>
              <w:pStyle w:val="naisnod"/>
              <w:spacing w:before="0" w:after="0"/>
              <w:ind w:left="57" w:right="57"/>
              <w:jc w:val="left"/>
              <w:rPr>
                <w:b w:val="0"/>
              </w:rPr>
            </w:pPr>
            <w:r w:rsidRPr="00A91187">
              <w:rPr>
                <w:b w:val="0"/>
                <w:iCs/>
              </w:rPr>
              <w:t>Projekts šo jomu neskar.</w:t>
            </w:r>
          </w:p>
        </w:tc>
      </w:tr>
      <w:tr w:rsidR="00DC689C" w:rsidRPr="00A91187" w14:paraId="3BC1EC0D" w14:textId="77777777" w:rsidTr="00F4151F">
        <w:trPr>
          <w:trHeight w:val="725"/>
        </w:trPr>
        <w:tc>
          <w:tcPr>
            <w:tcW w:w="743" w:type="dxa"/>
          </w:tcPr>
          <w:p w14:paraId="27FF4DCD" w14:textId="77777777" w:rsidR="00DC689C" w:rsidRPr="00A91187" w:rsidRDefault="00DC689C" w:rsidP="0023237B">
            <w:pPr>
              <w:pStyle w:val="naisnod"/>
              <w:spacing w:before="0" w:after="0"/>
              <w:ind w:left="57" w:right="57"/>
              <w:jc w:val="left"/>
              <w:rPr>
                <w:b w:val="0"/>
              </w:rPr>
            </w:pPr>
            <w:r w:rsidRPr="00A91187">
              <w:rPr>
                <w:b w:val="0"/>
              </w:rPr>
              <w:t>3.</w:t>
            </w:r>
          </w:p>
        </w:tc>
        <w:tc>
          <w:tcPr>
            <w:tcW w:w="2660" w:type="dxa"/>
          </w:tcPr>
          <w:p w14:paraId="08588851" w14:textId="77777777" w:rsidR="00DC689C" w:rsidRPr="00A91187" w:rsidRDefault="00DC689C" w:rsidP="0023237B">
            <w:pPr>
              <w:pStyle w:val="naisf"/>
              <w:spacing w:before="0" w:after="0"/>
              <w:ind w:left="57" w:right="57" w:firstLine="0"/>
              <w:jc w:val="left"/>
            </w:pPr>
            <w:r w:rsidRPr="00A91187">
              <w:t>Projekta izpildes ietekme uz pārvaldes institucionālo struktūru.</w:t>
            </w:r>
          </w:p>
          <w:p w14:paraId="477252E8" w14:textId="77777777" w:rsidR="00DC689C" w:rsidRPr="00A91187" w:rsidRDefault="00DC689C" w:rsidP="0023237B">
            <w:pPr>
              <w:pStyle w:val="naisf"/>
              <w:spacing w:before="0" w:after="0"/>
              <w:ind w:left="57" w:right="57" w:firstLine="0"/>
              <w:jc w:val="left"/>
            </w:pPr>
            <w:r w:rsidRPr="00A91187">
              <w:t>Jaunu institūciju izveide</w:t>
            </w:r>
            <w:r w:rsidR="00C90FFC" w:rsidRPr="00A91187">
              <w:t>, esošo institūciju likvidācija vai reorganizācija, to ietekme uz institūcijas cilvēkresursiem</w:t>
            </w:r>
          </w:p>
        </w:tc>
        <w:tc>
          <w:tcPr>
            <w:tcW w:w="6521" w:type="dxa"/>
          </w:tcPr>
          <w:p w14:paraId="07E37310" w14:textId="6AE5EFBA" w:rsidR="00DC689C" w:rsidRPr="00A91187" w:rsidRDefault="00A91187" w:rsidP="00A91187">
            <w:pPr>
              <w:jc w:val="both"/>
            </w:pPr>
            <w:r w:rsidRPr="00A91187">
              <w:t>Noteikumu projekts neietekmē valsts pārvaldes institūciju funkcij</w:t>
            </w:r>
            <w:r>
              <w:t xml:space="preserve">as un institucionālo struktūru un </w:t>
            </w:r>
            <w:r w:rsidRPr="00A91187">
              <w:t>tiks īstenots esošu institūciju un cilvēkresursu ietvaros.</w:t>
            </w:r>
          </w:p>
        </w:tc>
      </w:tr>
      <w:tr w:rsidR="00DC689C" w:rsidRPr="00A91187" w14:paraId="19BE460C" w14:textId="77777777" w:rsidTr="00F4151F">
        <w:trPr>
          <w:trHeight w:val="476"/>
        </w:trPr>
        <w:tc>
          <w:tcPr>
            <w:tcW w:w="743" w:type="dxa"/>
          </w:tcPr>
          <w:p w14:paraId="19899441" w14:textId="77777777" w:rsidR="00DC689C" w:rsidRPr="00A91187" w:rsidRDefault="00C90FFC" w:rsidP="0023237B">
            <w:pPr>
              <w:pStyle w:val="naiskr"/>
              <w:spacing w:before="0" w:after="0"/>
              <w:ind w:left="57" w:right="57"/>
            </w:pPr>
            <w:r w:rsidRPr="00A91187">
              <w:t>4</w:t>
            </w:r>
            <w:r w:rsidR="00DC689C" w:rsidRPr="00A91187">
              <w:t>.</w:t>
            </w:r>
          </w:p>
        </w:tc>
        <w:tc>
          <w:tcPr>
            <w:tcW w:w="2660" w:type="dxa"/>
          </w:tcPr>
          <w:p w14:paraId="4E0939CF" w14:textId="77777777" w:rsidR="00DC689C" w:rsidRPr="00A91187" w:rsidRDefault="00DC689C" w:rsidP="0023237B">
            <w:pPr>
              <w:pStyle w:val="naiskr"/>
              <w:spacing w:before="0" w:after="0"/>
              <w:ind w:left="57" w:right="57"/>
            </w:pPr>
            <w:r w:rsidRPr="00A91187">
              <w:t>Cita informācija</w:t>
            </w:r>
          </w:p>
        </w:tc>
        <w:tc>
          <w:tcPr>
            <w:tcW w:w="6521" w:type="dxa"/>
          </w:tcPr>
          <w:p w14:paraId="52FB9CE1" w14:textId="4A801C87" w:rsidR="00DC689C" w:rsidRPr="00A91187" w:rsidRDefault="00065BB4" w:rsidP="0023237B">
            <w:pPr>
              <w:pStyle w:val="naiskr"/>
              <w:spacing w:before="0" w:after="0"/>
              <w:ind w:left="57" w:right="57"/>
            </w:pPr>
            <w:r w:rsidRPr="00A91187">
              <w:t>Nav</w:t>
            </w:r>
          </w:p>
        </w:tc>
      </w:tr>
    </w:tbl>
    <w:p w14:paraId="3391F9D3" w14:textId="77777777" w:rsidR="004264D8" w:rsidRDefault="004264D8" w:rsidP="00014F75">
      <w:pPr>
        <w:pStyle w:val="naisf"/>
        <w:tabs>
          <w:tab w:val="left" w:pos="5760"/>
        </w:tabs>
        <w:spacing w:before="0" w:after="0"/>
        <w:ind w:firstLine="0"/>
        <w:rPr>
          <w:i/>
        </w:rPr>
      </w:pPr>
    </w:p>
    <w:p w14:paraId="5577059F" w14:textId="77777777" w:rsidR="00F4151F" w:rsidRDefault="00F4151F" w:rsidP="00A20040">
      <w:pPr>
        <w:spacing w:before="120" w:after="120"/>
        <w:jc w:val="center"/>
        <w:rPr>
          <w:i/>
          <w:sz w:val="28"/>
          <w:szCs w:val="28"/>
        </w:rPr>
      </w:pPr>
    </w:p>
    <w:p w14:paraId="3A0B70B5" w14:textId="0926FA13" w:rsidR="00A20040" w:rsidRPr="00065BB4" w:rsidRDefault="00C06E32" w:rsidP="00A20040">
      <w:pPr>
        <w:spacing w:before="120" w:after="120"/>
        <w:jc w:val="center"/>
        <w:rPr>
          <w:i/>
          <w:sz w:val="28"/>
          <w:szCs w:val="28"/>
        </w:rPr>
      </w:pPr>
      <w:r>
        <w:rPr>
          <w:i/>
          <w:sz w:val="28"/>
          <w:szCs w:val="28"/>
        </w:rPr>
        <w:t>Anotācijas III – V</w:t>
      </w:r>
      <w:r w:rsidR="00A20040" w:rsidRPr="00065BB4">
        <w:rPr>
          <w:i/>
          <w:sz w:val="28"/>
          <w:szCs w:val="28"/>
        </w:rPr>
        <w:t xml:space="preserve"> sadaļa – projekts šīs jomas neskar.</w:t>
      </w:r>
    </w:p>
    <w:p w14:paraId="78EA3139" w14:textId="77777777" w:rsidR="0005443C" w:rsidRDefault="0005443C" w:rsidP="00AE45A1">
      <w:pPr>
        <w:rPr>
          <w:sz w:val="28"/>
          <w:szCs w:val="28"/>
        </w:rPr>
      </w:pPr>
    </w:p>
    <w:p w14:paraId="4B6F4673" w14:textId="77777777" w:rsidR="0005443C" w:rsidRDefault="0005443C" w:rsidP="00AE45A1">
      <w:pPr>
        <w:rPr>
          <w:sz w:val="28"/>
          <w:szCs w:val="28"/>
        </w:rPr>
      </w:pPr>
    </w:p>
    <w:p w14:paraId="5110250D" w14:textId="77777777" w:rsidR="00A20040" w:rsidRDefault="00A20040" w:rsidP="00AE45A1">
      <w:pPr>
        <w:rPr>
          <w:sz w:val="28"/>
          <w:szCs w:val="28"/>
        </w:rPr>
      </w:pPr>
    </w:p>
    <w:p w14:paraId="7B741883" w14:textId="77777777" w:rsidR="000A12A0" w:rsidRDefault="000A12A0" w:rsidP="000A12A0">
      <w:pPr>
        <w:autoSpaceDE w:val="0"/>
        <w:autoSpaceDN w:val="0"/>
        <w:adjustRightInd w:val="0"/>
        <w:rPr>
          <w:sz w:val="28"/>
          <w:szCs w:val="28"/>
        </w:rPr>
      </w:pPr>
      <w:r>
        <w:rPr>
          <w:sz w:val="28"/>
          <w:szCs w:val="28"/>
        </w:rPr>
        <w:t>Finanšu ministra vietā -</w:t>
      </w:r>
    </w:p>
    <w:p w14:paraId="2FDD5A2B" w14:textId="77777777" w:rsidR="000A12A0" w:rsidRDefault="000A12A0" w:rsidP="000A12A0">
      <w:pPr>
        <w:rPr>
          <w:rFonts w:ascii="Calibri" w:hAnsi="Calibri"/>
          <w:sz w:val="28"/>
          <w:szCs w:val="28"/>
          <w:lang w:eastAsia="en-US"/>
        </w:rPr>
      </w:pPr>
      <w:r>
        <w:rPr>
          <w:sz w:val="28"/>
          <w:szCs w:val="28"/>
        </w:rPr>
        <w:t>izglītības un zinātnes ministre                                                                M.Seile</w:t>
      </w:r>
    </w:p>
    <w:p w14:paraId="09EDF709" w14:textId="77777777" w:rsidR="004264D8" w:rsidRDefault="004264D8" w:rsidP="00283D6B">
      <w:pPr>
        <w:jc w:val="both"/>
        <w:rPr>
          <w:sz w:val="18"/>
          <w:szCs w:val="18"/>
        </w:rPr>
      </w:pPr>
    </w:p>
    <w:p w14:paraId="092ACFB1" w14:textId="77777777" w:rsidR="004264D8" w:rsidRDefault="004264D8" w:rsidP="00283D6B">
      <w:pPr>
        <w:jc w:val="both"/>
        <w:rPr>
          <w:sz w:val="18"/>
          <w:szCs w:val="18"/>
        </w:rPr>
      </w:pPr>
    </w:p>
    <w:p w14:paraId="4A6E6E5A" w14:textId="77777777" w:rsidR="003F35BE" w:rsidRDefault="003F35BE" w:rsidP="00283D6B">
      <w:pPr>
        <w:jc w:val="both"/>
        <w:rPr>
          <w:sz w:val="18"/>
          <w:szCs w:val="18"/>
        </w:rPr>
      </w:pPr>
    </w:p>
    <w:p w14:paraId="098C3D41" w14:textId="77777777" w:rsidR="003F35BE" w:rsidRDefault="003F35BE" w:rsidP="00283D6B">
      <w:pPr>
        <w:jc w:val="both"/>
        <w:rPr>
          <w:sz w:val="18"/>
          <w:szCs w:val="18"/>
        </w:rPr>
      </w:pPr>
    </w:p>
    <w:p w14:paraId="64168FD2" w14:textId="77777777" w:rsidR="003F35BE" w:rsidRDefault="003F35BE" w:rsidP="00283D6B">
      <w:pPr>
        <w:jc w:val="both"/>
        <w:rPr>
          <w:sz w:val="18"/>
          <w:szCs w:val="18"/>
        </w:rPr>
      </w:pPr>
    </w:p>
    <w:p w14:paraId="509867BF" w14:textId="77777777" w:rsidR="003F35BE" w:rsidRDefault="003F35BE" w:rsidP="00283D6B">
      <w:pPr>
        <w:jc w:val="both"/>
        <w:rPr>
          <w:sz w:val="18"/>
          <w:szCs w:val="18"/>
        </w:rPr>
      </w:pPr>
    </w:p>
    <w:p w14:paraId="01D0D8EA" w14:textId="77777777" w:rsidR="003F35BE" w:rsidRDefault="003F35BE" w:rsidP="00283D6B">
      <w:pPr>
        <w:jc w:val="both"/>
        <w:rPr>
          <w:sz w:val="18"/>
          <w:szCs w:val="18"/>
        </w:rPr>
      </w:pPr>
    </w:p>
    <w:p w14:paraId="736A3817" w14:textId="77777777" w:rsidR="00A20040" w:rsidRDefault="00A20040" w:rsidP="00283D6B">
      <w:pPr>
        <w:jc w:val="both"/>
        <w:rPr>
          <w:sz w:val="18"/>
          <w:szCs w:val="18"/>
        </w:rPr>
      </w:pPr>
    </w:p>
    <w:p w14:paraId="37B67A0C" w14:textId="0C2BC524" w:rsidR="00ED2F24" w:rsidRDefault="00ED2F24" w:rsidP="00BF4A60">
      <w:pPr>
        <w:jc w:val="both"/>
        <w:rPr>
          <w:sz w:val="22"/>
          <w:szCs w:val="22"/>
        </w:rPr>
      </w:pPr>
      <w:r>
        <w:rPr>
          <w:sz w:val="22"/>
          <w:szCs w:val="22"/>
        </w:rPr>
        <w:t xml:space="preserve">19.02.2015       </w:t>
      </w:r>
      <w:r w:rsidR="005E1A6D">
        <w:rPr>
          <w:sz w:val="22"/>
          <w:szCs w:val="22"/>
        </w:rPr>
        <w:t>14:42</w:t>
      </w:r>
    </w:p>
    <w:p w14:paraId="001B4B12" w14:textId="7AC2D65E" w:rsidR="00BF4A60" w:rsidRPr="000C706C" w:rsidRDefault="005E1A6D" w:rsidP="00BF4A60">
      <w:pPr>
        <w:jc w:val="both"/>
        <w:rPr>
          <w:sz w:val="22"/>
          <w:szCs w:val="22"/>
        </w:rPr>
      </w:pPr>
      <w:r>
        <w:rPr>
          <w:sz w:val="22"/>
          <w:szCs w:val="22"/>
        </w:rPr>
        <w:t>753</w:t>
      </w:r>
      <w:bookmarkStart w:id="0" w:name="_GoBack"/>
      <w:bookmarkEnd w:id="0"/>
    </w:p>
    <w:p w14:paraId="321B93A2" w14:textId="77777777" w:rsidR="00BF4A60" w:rsidRPr="000C706C" w:rsidRDefault="00BF4A60" w:rsidP="00BF4A60">
      <w:pPr>
        <w:jc w:val="both"/>
        <w:rPr>
          <w:sz w:val="22"/>
          <w:szCs w:val="22"/>
        </w:rPr>
      </w:pPr>
      <w:r>
        <w:rPr>
          <w:sz w:val="22"/>
          <w:szCs w:val="22"/>
        </w:rPr>
        <w:t>Ž.Zvaigzne</w:t>
      </w:r>
    </w:p>
    <w:p w14:paraId="66FB7A21" w14:textId="77777777" w:rsidR="00BF4A60" w:rsidRPr="000C706C" w:rsidRDefault="00BF4A60" w:rsidP="00BF4A60">
      <w:pPr>
        <w:jc w:val="both"/>
        <w:rPr>
          <w:sz w:val="22"/>
          <w:szCs w:val="22"/>
        </w:rPr>
      </w:pPr>
      <w:r>
        <w:rPr>
          <w:sz w:val="22"/>
          <w:szCs w:val="22"/>
        </w:rPr>
        <w:t>67083976</w:t>
      </w:r>
      <w:r w:rsidRPr="000C706C">
        <w:rPr>
          <w:sz w:val="22"/>
          <w:szCs w:val="22"/>
        </w:rPr>
        <w:t xml:space="preserve">, </w:t>
      </w:r>
      <w:hyperlink r:id="rId12" w:history="1">
        <w:r w:rsidRPr="00AF5BE0">
          <w:rPr>
            <w:rStyle w:val="Hyperlink"/>
            <w:sz w:val="22"/>
            <w:szCs w:val="22"/>
          </w:rPr>
          <w:t>zanete.zvaigzne@fm.gov.lv</w:t>
        </w:r>
      </w:hyperlink>
    </w:p>
    <w:p w14:paraId="588928C4" w14:textId="77777777" w:rsidR="00BF4A60" w:rsidRDefault="00BF4A60" w:rsidP="00BF4A60">
      <w:pPr>
        <w:tabs>
          <w:tab w:val="center" w:pos="-426"/>
        </w:tabs>
        <w:ind w:left="-426"/>
        <w:jc w:val="both"/>
        <w:rPr>
          <w:sz w:val="16"/>
          <w:szCs w:val="16"/>
        </w:rPr>
      </w:pPr>
    </w:p>
    <w:p w14:paraId="381428B5" w14:textId="2C69F723" w:rsidR="00283D6B" w:rsidRPr="006071D8" w:rsidRDefault="00283D6B" w:rsidP="00BF4A60">
      <w:pPr>
        <w:jc w:val="both"/>
        <w:rPr>
          <w:sz w:val="18"/>
          <w:szCs w:val="18"/>
        </w:rPr>
      </w:pPr>
    </w:p>
    <w:sectPr w:rsidR="00283D6B" w:rsidRPr="006071D8" w:rsidSect="005E2E43">
      <w:headerReference w:type="even" r:id="rId13"/>
      <w:headerReference w:type="default" r:id="rId14"/>
      <w:footerReference w:type="default" r:id="rId15"/>
      <w:footerReference w:type="first" r:id="rId16"/>
      <w:pgSz w:w="11906" w:h="16838" w:code="9"/>
      <w:pgMar w:top="1134" w:right="1134" w:bottom="1134" w:left="1701" w:header="709"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A695F" w14:textId="77777777" w:rsidR="00466914" w:rsidRDefault="00466914" w:rsidP="00307F91">
      <w:r>
        <w:separator/>
      </w:r>
    </w:p>
  </w:endnote>
  <w:endnote w:type="continuationSeparator" w:id="0">
    <w:p w14:paraId="1B17A779" w14:textId="77777777" w:rsidR="00466914" w:rsidRDefault="00466914"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7E029" w14:textId="0E93AFE1" w:rsidR="002B57DA" w:rsidRPr="00BF4A60" w:rsidRDefault="002B57DA" w:rsidP="002B57DA">
    <w:pPr>
      <w:pStyle w:val="Footer"/>
      <w:ind w:left="-284" w:right="-285"/>
      <w:jc w:val="both"/>
      <w:rPr>
        <w:sz w:val="22"/>
        <w:szCs w:val="22"/>
      </w:rPr>
    </w:pPr>
    <w:r w:rsidRPr="00BF4A60">
      <w:rPr>
        <w:sz w:val="22"/>
        <w:szCs w:val="22"/>
      </w:rPr>
      <w:t>FMAnot_</w:t>
    </w:r>
    <w:r w:rsidR="00ED2F24">
      <w:rPr>
        <w:sz w:val="22"/>
        <w:szCs w:val="22"/>
      </w:rPr>
      <w:t>19</w:t>
    </w:r>
    <w:r w:rsidR="00BF4A60">
      <w:rPr>
        <w:sz w:val="22"/>
        <w:szCs w:val="22"/>
      </w:rPr>
      <w:t>0215</w:t>
    </w:r>
    <w:r w:rsidRPr="00BF4A60">
      <w:rPr>
        <w:sz w:val="22"/>
        <w:szCs w:val="22"/>
      </w:rPr>
      <w:t>_</w:t>
    </w:r>
    <w:r w:rsidR="00BF4A60">
      <w:rPr>
        <w:sz w:val="22"/>
        <w:szCs w:val="22"/>
      </w:rPr>
      <w:t>867</w:t>
    </w:r>
    <w:r w:rsidRPr="00BF4A60">
      <w:rPr>
        <w:sz w:val="22"/>
        <w:szCs w:val="22"/>
      </w:rPr>
      <w:t>; Ministru kabineta noteikumu projekta „Grozījum</w:t>
    </w:r>
    <w:r w:rsidR="00A20040">
      <w:rPr>
        <w:sz w:val="22"/>
        <w:szCs w:val="22"/>
      </w:rPr>
      <w:t>s</w:t>
    </w:r>
    <w:r w:rsidRPr="00BF4A60">
      <w:rPr>
        <w:sz w:val="22"/>
        <w:szCs w:val="22"/>
      </w:rPr>
      <w:t xml:space="preserve">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 sākotnējās ietekmes novērtējuma ziņojums (anotācija)</w:t>
    </w:r>
  </w:p>
  <w:p w14:paraId="6F3F57EA" w14:textId="77777777" w:rsidR="00743B6F" w:rsidRPr="002B57DA" w:rsidRDefault="00743B6F" w:rsidP="002B5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9A61" w14:textId="690FA041" w:rsidR="00A20040" w:rsidRPr="00BF4A60" w:rsidRDefault="00A20040" w:rsidP="00A20040">
    <w:pPr>
      <w:pStyle w:val="Footer"/>
      <w:ind w:left="-284" w:right="-285"/>
      <w:jc w:val="both"/>
      <w:rPr>
        <w:sz w:val="22"/>
        <w:szCs w:val="22"/>
      </w:rPr>
    </w:pPr>
    <w:r w:rsidRPr="00BF4A60">
      <w:rPr>
        <w:sz w:val="22"/>
        <w:szCs w:val="22"/>
      </w:rPr>
      <w:t>FMAnot_</w:t>
    </w:r>
    <w:r w:rsidR="00ED2F24">
      <w:rPr>
        <w:sz w:val="22"/>
        <w:szCs w:val="22"/>
      </w:rPr>
      <w:t>19</w:t>
    </w:r>
    <w:r>
      <w:rPr>
        <w:sz w:val="22"/>
        <w:szCs w:val="22"/>
      </w:rPr>
      <w:t>0215</w:t>
    </w:r>
    <w:r w:rsidRPr="00BF4A60">
      <w:rPr>
        <w:sz w:val="22"/>
        <w:szCs w:val="22"/>
      </w:rPr>
      <w:t>_</w:t>
    </w:r>
    <w:r>
      <w:rPr>
        <w:sz w:val="22"/>
        <w:szCs w:val="22"/>
      </w:rPr>
      <w:t>867</w:t>
    </w:r>
    <w:r w:rsidRPr="00BF4A60">
      <w:rPr>
        <w:sz w:val="22"/>
        <w:szCs w:val="22"/>
      </w:rPr>
      <w:t>; Ministru kabineta noteikumu projekta „Grozījum</w:t>
    </w:r>
    <w:r>
      <w:rPr>
        <w:sz w:val="22"/>
        <w:szCs w:val="22"/>
      </w:rPr>
      <w:t>s</w:t>
    </w:r>
    <w:r w:rsidRPr="00BF4A60">
      <w:rPr>
        <w:sz w:val="22"/>
        <w:szCs w:val="22"/>
      </w:rPr>
      <w:t xml:space="preserve">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 sākotnējās ietekmes novērtējuma ziņojums (anotācija)</w:t>
    </w:r>
  </w:p>
  <w:p w14:paraId="1EC31683" w14:textId="07744BFB" w:rsidR="00743B6F" w:rsidRPr="00A20040" w:rsidRDefault="00743B6F" w:rsidP="00A20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B77BC" w14:textId="77777777" w:rsidR="00466914" w:rsidRDefault="00466914" w:rsidP="00307F91">
      <w:r>
        <w:separator/>
      </w:r>
    </w:p>
  </w:footnote>
  <w:footnote w:type="continuationSeparator" w:id="0">
    <w:p w14:paraId="6DB350F7" w14:textId="77777777" w:rsidR="00466914" w:rsidRDefault="00466914" w:rsidP="00307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89F00" w14:textId="77777777" w:rsidR="007578EB" w:rsidRDefault="007578E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C8A3F5" w14:textId="77777777" w:rsidR="007578EB" w:rsidRDefault="00757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B84C" w14:textId="77777777" w:rsidR="007578EB" w:rsidRDefault="007578E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1A6D">
      <w:rPr>
        <w:rStyle w:val="PageNumber"/>
        <w:noProof/>
      </w:rPr>
      <w:t>2</w:t>
    </w:r>
    <w:r>
      <w:rPr>
        <w:rStyle w:val="PageNumber"/>
      </w:rPr>
      <w:fldChar w:fldCharType="end"/>
    </w:r>
  </w:p>
  <w:p w14:paraId="4B270710" w14:textId="77777777" w:rsidR="007578EB" w:rsidRDefault="00757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5492"/>
    <w:multiLevelType w:val="hybridMultilevel"/>
    <w:tmpl w:val="8AA0A964"/>
    <w:lvl w:ilvl="0" w:tplc="0E7E3B7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C"/>
    <w:rsid w:val="00006C5A"/>
    <w:rsid w:val="00011FD8"/>
    <w:rsid w:val="00014F75"/>
    <w:rsid w:val="00025D74"/>
    <w:rsid w:val="000325F2"/>
    <w:rsid w:val="000334A9"/>
    <w:rsid w:val="00041298"/>
    <w:rsid w:val="00041966"/>
    <w:rsid w:val="000452BD"/>
    <w:rsid w:val="00046858"/>
    <w:rsid w:val="0005443C"/>
    <w:rsid w:val="00064157"/>
    <w:rsid w:val="0006462B"/>
    <w:rsid w:val="00065BB4"/>
    <w:rsid w:val="0006640F"/>
    <w:rsid w:val="00066834"/>
    <w:rsid w:val="00071337"/>
    <w:rsid w:val="00072749"/>
    <w:rsid w:val="00082662"/>
    <w:rsid w:val="00087569"/>
    <w:rsid w:val="000A12A0"/>
    <w:rsid w:val="000A4B61"/>
    <w:rsid w:val="000A6768"/>
    <w:rsid w:val="000C4B6B"/>
    <w:rsid w:val="000C4C14"/>
    <w:rsid w:val="000D6D4B"/>
    <w:rsid w:val="000E2559"/>
    <w:rsid w:val="000E3269"/>
    <w:rsid w:val="000E59AC"/>
    <w:rsid w:val="000E6AFC"/>
    <w:rsid w:val="000F7E01"/>
    <w:rsid w:val="0010377F"/>
    <w:rsid w:val="00104BDC"/>
    <w:rsid w:val="001160EE"/>
    <w:rsid w:val="00120E17"/>
    <w:rsid w:val="00123439"/>
    <w:rsid w:val="00127768"/>
    <w:rsid w:val="00137E65"/>
    <w:rsid w:val="00137F0A"/>
    <w:rsid w:val="001630FC"/>
    <w:rsid w:val="00185D51"/>
    <w:rsid w:val="00193142"/>
    <w:rsid w:val="00193ACB"/>
    <w:rsid w:val="001A16C5"/>
    <w:rsid w:val="001A757D"/>
    <w:rsid w:val="001B01A2"/>
    <w:rsid w:val="001B6443"/>
    <w:rsid w:val="001C07FB"/>
    <w:rsid w:val="001C5CA4"/>
    <w:rsid w:val="001E1F6D"/>
    <w:rsid w:val="001E5481"/>
    <w:rsid w:val="001F0B08"/>
    <w:rsid w:val="001F3005"/>
    <w:rsid w:val="001F3AAA"/>
    <w:rsid w:val="001F3D07"/>
    <w:rsid w:val="001F6DAB"/>
    <w:rsid w:val="00200159"/>
    <w:rsid w:val="002004B3"/>
    <w:rsid w:val="00225CD4"/>
    <w:rsid w:val="00231EBA"/>
    <w:rsid w:val="0023237B"/>
    <w:rsid w:val="002345AA"/>
    <w:rsid w:val="00236B30"/>
    <w:rsid w:val="002379E0"/>
    <w:rsid w:val="0025068D"/>
    <w:rsid w:val="00254E1F"/>
    <w:rsid w:val="0025517E"/>
    <w:rsid w:val="002634CF"/>
    <w:rsid w:val="00265083"/>
    <w:rsid w:val="00274800"/>
    <w:rsid w:val="00275F03"/>
    <w:rsid w:val="00280295"/>
    <w:rsid w:val="00283D6B"/>
    <w:rsid w:val="00286021"/>
    <w:rsid w:val="00286F46"/>
    <w:rsid w:val="002A096A"/>
    <w:rsid w:val="002A3415"/>
    <w:rsid w:val="002A4D03"/>
    <w:rsid w:val="002A6395"/>
    <w:rsid w:val="002B3ED8"/>
    <w:rsid w:val="002B57DA"/>
    <w:rsid w:val="002B6529"/>
    <w:rsid w:val="002C0678"/>
    <w:rsid w:val="002C28A4"/>
    <w:rsid w:val="002C2EE0"/>
    <w:rsid w:val="002C7253"/>
    <w:rsid w:val="002D351B"/>
    <w:rsid w:val="002D64E7"/>
    <w:rsid w:val="002D7349"/>
    <w:rsid w:val="002E1D26"/>
    <w:rsid w:val="00303934"/>
    <w:rsid w:val="003068BF"/>
    <w:rsid w:val="00307F91"/>
    <w:rsid w:val="00316053"/>
    <w:rsid w:val="00320C04"/>
    <w:rsid w:val="00337BC3"/>
    <w:rsid w:val="00346BE5"/>
    <w:rsid w:val="0037540B"/>
    <w:rsid w:val="00390903"/>
    <w:rsid w:val="00390B89"/>
    <w:rsid w:val="00393747"/>
    <w:rsid w:val="00394DAC"/>
    <w:rsid w:val="003A5C5F"/>
    <w:rsid w:val="003B6D36"/>
    <w:rsid w:val="003B7B41"/>
    <w:rsid w:val="003B7FB3"/>
    <w:rsid w:val="003C16D7"/>
    <w:rsid w:val="003C2448"/>
    <w:rsid w:val="003C44C3"/>
    <w:rsid w:val="003D4480"/>
    <w:rsid w:val="003D46EE"/>
    <w:rsid w:val="003D64EC"/>
    <w:rsid w:val="003D68C6"/>
    <w:rsid w:val="003E0413"/>
    <w:rsid w:val="003E47EC"/>
    <w:rsid w:val="003F35BE"/>
    <w:rsid w:val="003F4153"/>
    <w:rsid w:val="00407969"/>
    <w:rsid w:val="00413666"/>
    <w:rsid w:val="00423A8D"/>
    <w:rsid w:val="004264D8"/>
    <w:rsid w:val="0043045A"/>
    <w:rsid w:val="00440C2F"/>
    <w:rsid w:val="004511E2"/>
    <w:rsid w:val="00466914"/>
    <w:rsid w:val="00467B1E"/>
    <w:rsid w:val="00471BA0"/>
    <w:rsid w:val="00476ED8"/>
    <w:rsid w:val="00482AE6"/>
    <w:rsid w:val="00482F9F"/>
    <w:rsid w:val="00496027"/>
    <w:rsid w:val="004964F3"/>
    <w:rsid w:val="00497891"/>
    <w:rsid w:val="004A6F46"/>
    <w:rsid w:val="004A769B"/>
    <w:rsid w:val="004B0A81"/>
    <w:rsid w:val="004B46CC"/>
    <w:rsid w:val="004B6FE4"/>
    <w:rsid w:val="004B77DA"/>
    <w:rsid w:val="004C0B72"/>
    <w:rsid w:val="004C180B"/>
    <w:rsid w:val="004D04BD"/>
    <w:rsid w:val="004D4536"/>
    <w:rsid w:val="004D5484"/>
    <w:rsid w:val="004E5F5B"/>
    <w:rsid w:val="004F3A4C"/>
    <w:rsid w:val="004F543E"/>
    <w:rsid w:val="00503E32"/>
    <w:rsid w:val="00512C42"/>
    <w:rsid w:val="0052636A"/>
    <w:rsid w:val="00526B54"/>
    <w:rsid w:val="00531471"/>
    <w:rsid w:val="00531E88"/>
    <w:rsid w:val="00532B5A"/>
    <w:rsid w:val="00550B06"/>
    <w:rsid w:val="005553B8"/>
    <w:rsid w:val="00557597"/>
    <w:rsid w:val="005705C2"/>
    <w:rsid w:val="00571380"/>
    <w:rsid w:val="00574A93"/>
    <w:rsid w:val="00584EEF"/>
    <w:rsid w:val="005A4EDF"/>
    <w:rsid w:val="005B765E"/>
    <w:rsid w:val="005C738F"/>
    <w:rsid w:val="005D6FA3"/>
    <w:rsid w:val="005E1A6D"/>
    <w:rsid w:val="005E2E43"/>
    <w:rsid w:val="005E4CF6"/>
    <w:rsid w:val="005F4937"/>
    <w:rsid w:val="005F5A14"/>
    <w:rsid w:val="00601125"/>
    <w:rsid w:val="00606DEA"/>
    <w:rsid w:val="006071D8"/>
    <w:rsid w:val="006071E6"/>
    <w:rsid w:val="00611697"/>
    <w:rsid w:val="00620281"/>
    <w:rsid w:val="006342C2"/>
    <w:rsid w:val="00647CB3"/>
    <w:rsid w:val="00652ABE"/>
    <w:rsid w:val="006572D9"/>
    <w:rsid w:val="00665E37"/>
    <w:rsid w:val="00666EDF"/>
    <w:rsid w:val="006747EB"/>
    <w:rsid w:val="006A22A4"/>
    <w:rsid w:val="006A5605"/>
    <w:rsid w:val="006A576C"/>
    <w:rsid w:val="006B3082"/>
    <w:rsid w:val="006B53D5"/>
    <w:rsid w:val="006B6475"/>
    <w:rsid w:val="006C5BAB"/>
    <w:rsid w:val="006D73C8"/>
    <w:rsid w:val="006E0721"/>
    <w:rsid w:val="006E0762"/>
    <w:rsid w:val="006E4D1C"/>
    <w:rsid w:val="006F2A19"/>
    <w:rsid w:val="006F7EE0"/>
    <w:rsid w:val="00701527"/>
    <w:rsid w:val="007102E6"/>
    <w:rsid w:val="00716AFE"/>
    <w:rsid w:val="00726A39"/>
    <w:rsid w:val="0073699C"/>
    <w:rsid w:val="007400D4"/>
    <w:rsid w:val="007406A5"/>
    <w:rsid w:val="0074219B"/>
    <w:rsid w:val="007439A7"/>
    <w:rsid w:val="00743B6F"/>
    <w:rsid w:val="0074410F"/>
    <w:rsid w:val="00753574"/>
    <w:rsid w:val="007578EB"/>
    <w:rsid w:val="00763232"/>
    <w:rsid w:val="00767BC3"/>
    <w:rsid w:val="00767E7B"/>
    <w:rsid w:val="00775869"/>
    <w:rsid w:val="00776B90"/>
    <w:rsid w:val="00791AE3"/>
    <w:rsid w:val="0079227F"/>
    <w:rsid w:val="00797DF5"/>
    <w:rsid w:val="007A2DA8"/>
    <w:rsid w:val="007A40DB"/>
    <w:rsid w:val="007A44C1"/>
    <w:rsid w:val="007D1858"/>
    <w:rsid w:val="007D2056"/>
    <w:rsid w:val="007D3D14"/>
    <w:rsid w:val="007E3CB9"/>
    <w:rsid w:val="007E747A"/>
    <w:rsid w:val="007F0AF9"/>
    <w:rsid w:val="007F33B5"/>
    <w:rsid w:val="00801AFF"/>
    <w:rsid w:val="008200C5"/>
    <w:rsid w:val="00824EC3"/>
    <w:rsid w:val="00826850"/>
    <w:rsid w:val="008363CD"/>
    <w:rsid w:val="00841793"/>
    <w:rsid w:val="00847881"/>
    <w:rsid w:val="008532CC"/>
    <w:rsid w:val="008546C6"/>
    <w:rsid w:val="00856969"/>
    <w:rsid w:val="00862BC1"/>
    <w:rsid w:val="008670FF"/>
    <w:rsid w:val="00870FC5"/>
    <w:rsid w:val="008A24ED"/>
    <w:rsid w:val="008C1E67"/>
    <w:rsid w:val="008C3B6B"/>
    <w:rsid w:val="008C5531"/>
    <w:rsid w:val="008C5700"/>
    <w:rsid w:val="008D229C"/>
    <w:rsid w:val="008D2A2B"/>
    <w:rsid w:val="008D3058"/>
    <w:rsid w:val="008D3A5D"/>
    <w:rsid w:val="008D4493"/>
    <w:rsid w:val="008D4B2B"/>
    <w:rsid w:val="008E2419"/>
    <w:rsid w:val="008E4D69"/>
    <w:rsid w:val="008F26D3"/>
    <w:rsid w:val="009057F2"/>
    <w:rsid w:val="00907062"/>
    <w:rsid w:val="00913CA2"/>
    <w:rsid w:val="009176D2"/>
    <w:rsid w:val="00920581"/>
    <w:rsid w:val="00922CD6"/>
    <w:rsid w:val="00924DD8"/>
    <w:rsid w:val="00933E9E"/>
    <w:rsid w:val="0093631C"/>
    <w:rsid w:val="009463A5"/>
    <w:rsid w:val="00946C15"/>
    <w:rsid w:val="00962326"/>
    <w:rsid w:val="00962889"/>
    <w:rsid w:val="00966967"/>
    <w:rsid w:val="00971D23"/>
    <w:rsid w:val="00974C5B"/>
    <w:rsid w:val="0098003D"/>
    <w:rsid w:val="00980382"/>
    <w:rsid w:val="009B3A31"/>
    <w:rsid w:val="009B3AB7"/>
    <w:rsid w:val="009D1172"/>
    <w:rsid w:val="009D1535"/>
    <w:rsid w:val="009D7FCE"/>
    <w:rsid w:val="009E1A91"/>
    <w:rsid w:val="009E2E0C"/>
    <w:rsid w:val="00A10FDE"/>
    <w:rsid w:val="00A14357"/>
    <w:rsid w:val="00A14DDA"/>
    <w:rsid w:val="00A15F74"/>
    <w:rsid w:val="00A17F43"/>
    <w:rsid w:val="00A20040"/>
    <w:rsid w:val="00A26C12"/>
    <w:rsid w:val="00A3584E"/>
    <w:rsid w:val="00A3632A"/>
    <w:rsid w:val="00A37FA4"/>
    <w:rsid w:val="00A43FE0"/>
    <w:rsid w:val="00A4711D"/>
    <w:rsid w:val="00A54284"/>
    <w:rsid w:val="00A6515D"/>
    <w:rsid w:val="00A7137A"/>
    <w:rsid w:val="00A75371"/>
    <w:rsid w:val="00A75B3A"/>
    <w:rsid w:val="00A76F6E"/>
    <w:rsid w:val="00A907D6"/>
    <w:rsid w:val="00A91187"/>
    <w:rsid w:val="00A9688C"/>
    <w:rsid w:val="00AA1585"/>
    <w:rsid w:val="00AA1F45"/>
    <w:rsid w:val="00AC150D"/>
    <w:rsid w:val="00AC3ECB"/>
    <w:rsid w:val="00AD45C6"/>
    <w:rsid w:val="00AD78FC"/>
    <w:rsid w:val="00AE45A1"/>
    <w:rsid w:val="00AF4C9E"/>
    <w:rsid w:val="00B031B8"/>
    <w:rsid w:val="00B07ED3"/>
    <w:rsid w:val="00B11354"/>
    <w:rsid w:val="00B235FE"/>
    <w:rsid w:val="00B52BAE"/>
    <w:rsid w:val="00B5571C"/>
    <w:rsid w:val="00B55733"/>
    <w:rsid w:val="00B6132A"/>
    <w:rsid w:val="00B9570B"/>
    <w:rsid w:val="00B963A3"/>
    <w:rsid w:val="00BA0166"/>
    <w:rsid w:val="00BA6A29"/>
    <w:rsid w:val="00BA7031"/>
    <w:rsid w:val="00BB1397"/>
    <w:rsid w:val="00BB5CE6"/>
    <w:rsid w:val="00BC014A"/>
    <w:rsid w:val="00BD265A"/>
    <w:rsid w:val="00BD2EB5"/>
    <w:rsid w:val="00BD43EC"/>
    <w:rsid w:val="00BD60E2"/>
    <w:rsid w:val="00BE392C"/>
    <w:rsid w:val="00BE5986"/>
    <w:rsid w:val="00BF4A60"/>
    <w:rsid w:val="00C06E32"/>
    <w:rsid w:val="00C102D1"/>
    <w:rsid w:val="00C1051F"/>
    <w:rsid w:val="00C10A08"/>
    <w:rsid w:val="00C22703"/>
    <w:rsid w:val="00C44328"/>
    <w:rsid w:val="00C45363"/>
    <w:rsid w:val="00C5294E"/>
    <w:rsid w:val="00C66A9B"/>
    <w:rsid w:val="00C71401"/>
    <w:rsid w:val="00C77757"/>
    <w:rsid w:val="00C90FFC"/>
    <w:rsid w:val="00C95036"/>
    <w:rsid w:val="00C96569"/>
    <w:rsid w:val="00C96C5E"/>
    <w:rsid w:val="00CA2026"/>
    <w:rsid w:val="00CA555A"/>
    <w:rsid w:val="00CC0B44"/>
    <w:rsid w:val="00CC277D"/>
    <w:rsid w:val="00CD6ED4"/>
    <w:rsid w:val="00CE11CD"/>
    <w:rsid w:val="00CE63F8"/>
    <w:rsid w:val="00CF5666"/>
    <w:rsid w:val="00CF76EC"/>
    <w:rsid w:val="00D00A19"/>
    <w:rsid w:val="00D06852"/>
    <w:rsid w:val="00D14039"/>
    <w:rsid w:val="00D34939"/>
    <w:rsid w:val="00D36BD1"/>
    <w:rsid w:val="00D36D26"/>
    <w:rsid w:val="00D44AC1"/>
    <w:rsid w:val="00D617AE"/>
    <w:rsid w:val="00D6268A"/>
    <w:rsid w:val="00D633B1"/>
    <w:rsid w:val="00D666CD"/>
    <w:rsid w:val="00D6698A"/>
    <w:rsid w:val="00D67EFF"/>
    <w:rsid w:val="00D7058A"/>
    <w:rsid w:val="00D84A1A"/>
    <w:rsid w:val="00D86709"/>
    <w:rsid w:val="00D8761C"/>
    <w:rsid w:val="00D9029F"/>
    <w:rsid w:val="00DC689C"/>
    <w:rsid w:val="00DE7621"/>
    <w:rsid w:val="00DF2792"/>
    <w:rsid w:val="00DF3CF3"/>
    <w:rsid w:val="00DF7D4A"/>
    <w:rsid w:val="00E0016E"/>
    <w:rsid w:val="00E0232D"/>
    <w:rsid w:val="00E21FA7"/>
    <w:rsid w:val="00E226BA"/>
    <w:rsid w:val="00E231F4"/>
    <w:rsid w:val="00E271FB"/>
    <w:rsid w:val="00E33115"/>
    <w:rsid w:val="00E33BB8"/>
    <w:rsid w:val="00E51617"/>
    <w:rsid w:val="00E53471"/>
    <w:rsid w:val="00E6267E"/>
    <w:rsid w:val="00E70200"/>
    <w:rsid w:val="00E73768"/>
    <w:rsid w:val="00E752D9"/>
    <w:rsid w:val="00EB50E3"/>
    <w:rsid w:val="00EB5517"/>
    <w:rsid w:val="00EC05D2"/>
    <w:rsid w:val="00EC0948"/>
    <w:rsid w:val="00EC6090"/>
    <w:rsid w:val="00EC7696"/>
    <w:rsid w:val="00ED295B"/>
    <w:rsid w:val="00ED2F24"/>
    <w:rsid w:val="00ED63F9"/>
    <w:rsid w:val="00F05152"/>
    <w:rsid w:val="00F074ED"/>
    <w:rsid w:val="00F17E69"/>
    <w:rsid w:val="00F4151F"/>
    <w:rsid w:val="00F51403"/>
    <w:rsid w:val="00F56C41"/>
    <w:rsid w:val="00F64D7E"/>
    <w:rsid w:val="00F753F7"/>
    <w:rsid w:val="00F77BFC"/>
    <w:rsid w:val="00F81F07"/>
    <w:rsid w:val="00F82D99"/>
    <w:rsid w:val="00F85CA7"/>
    <w:rsid w:val="00F86B33"/>
    <w:rsid w:val="00F87C00"/>
    <w:rsid w:val="00FB7C0B"/>
    <w:rsid w:val="00FC0B65"/>
    <w:rsid w:val="00FC2C34"/>
    <w:rsid w:val="00FC3551"/>
    <w:rsid w:val="00FC5894"/>
    <w:rsid w:val="00FD455B"/>
    <w:rsid w:val="00FE3EC5"/>
    <w:rsid w:val="00FE4B33"/>
    <w:rsid w:val="00FF32DC"/>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34E21F"/>
  <w15:docId w15:val="{E45BFABA-C177-43B9-8615-A5C9EEFA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9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iPriority w:val="99"/>
    <w:semiHidden/>
    <w:unhideWhenUsed/>
    <w:rsid w:val="00A75B3A"/>
    <w:rPr>
      <w:sz w:val="20"/>
      <w:szCs w:val="20"/>
    </w:rPr>
  </w:style>
  <w:style w:type="character" w:customStyle="1" w:styleId="CommentTextChar">
    <w:name w:val="Comment Text Char"/>
    <w:basedOn w:val="DefaultParagraphFont"/>
    <w:link w:val="CommentText"/>
    <w:uiPriority w:val="99"/>
    <w:semiHidden/>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table" w:styleId="TableGrid">
    <w:name w:val="Table Grid"/>
    <w:basedOn w:val="TableNormal"/>
    <w:uiPriority w:val="59"/>
    <w:rsid w:val="00A5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4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966528">
      <w:bodyDiv w:val="1"/>
      <w:marLeft w:val="0"/>
      <w:marRight w:val="0"/>
      <w:marTop w:val="0"/>
      <w:marBottom w:val="0"/>
      <w:divBdr>
        <w:top w:val="none" w:sz="0" w:space="0" w:color="auto"/>
        <w:left w:val="none" w:sz="0" w:space="0" w:color="auto"/>
        <w:bottom w:val="none" w:sz="0" w:space="0" w:color="auto"/>
        <w:right w:val="none" w:sz="0" w:space="0" w:color="auto"/>
      </w:divBdr>
    </w:div>
    <w:div w:id="586234183">
      <w:bodyDiv w:val="1"/>
      <w:marLeft w:val="0"/>
      <w:marRight w:val="0"/>
      <w:marTop w:val="0"/>
      <w:marBottom w:val="0"/>
      <w:divBdr>
        <w:top w:val="none" w:sz="0" w:space="0" w:color="auto"/>
        <w:left w:val="none" w:sz="0" w:space="0" w:color="auto"/>
        <w:bottom w:val="none" w:sz="0" w:space="0" w:color="auto"/>
        <w:right w:val="none" w:sz="0" w:space="0" w:color="auto"/>
      </w:divBdr>
    </w:div>
    <w:div w:id="1448038724">
      <w:bodyDiv w:val="1"/>
      <w:marLeft w:val="0"/>
      <w:marRight w:val="0"/>
      <w:marTop w:val="0"/>
      <w:marBottom w:val="0"/>
      <w:divBdr>
        <w:top w:val="none" w:sz="0" w:space="0" w:color="auto"/>
        <w:left w:val="none" w:sz="0" w:space="0" w:color="auto"/>
        <w:bottom w:val="none" w:sz="0" w:space="0" w:color="auto"/>
        <w:right w:val="none" w:sz="0" w:space="0" w:color="auto"/>
      </w:divBdr>
      <w:divsChild>
        <w:div w:id="345256482">
          <w:marLeft w:val="0"/>
          <w:marRight w:val="0"/>
          <w:marTop w:val="0"/>
          <w:marBottom w:val="0"/>
          <w:divBdr>
            <w:top w:val="none" w:sz="0" w:space="0" w:color="auto"/>
            <w:left w:val="none" w:sz="0" w:space="0" w:color="auto"/>
            <w:bottom w:val="none" w:sz="0" w:space="0" w:color="auto"/>
            <w:right w:val="none" w:sz="0" w:space="0" w:color="auto"/>
          </w:divBdr>
          <w:divsChild>
            <w:div w:id="1175651325">
              <w:marLeft w:val="0"/>
              <w:marRight w:val="0"/>
              <w:marTop w:val="0"/>
              <w:marBottom w:val="0"/>
              <w:divBdr>
                <w:top w:val="none" w:sz="0" w:space="0" w:color="auto"/>
                <w:left w:val="none" w:sz="0" w:space="0" w:color="auto"/>
                <w:bottom w:val="none" w:sz="0" w:space="0" w:color="auto"/>
                <w:right w:val="none" w:sz="0" w:space="0" w:color="auto"/>
              </w:divBdr>
              <w:divsChild>
                <w:div w:id="1101536480">
                  <w:marLeft w:val="0"/>
                  <w:marRight w:val="0"/>
                  <w:marTop w:val="0"/>
                  <w:marBottom w:val="0"/>
                  <w:divBdr>
                    <w:top w:val="none" w:sz="0" w:space="0" w:color="auto"/>
                    <w:left w:val="none" w:sz="0" w:space="0" w:color="auto"/>
                    <w:bottom w:val="none" w:sz="0" w:space="0" w:color="auto"/>
                    <w:right w:val="none" w:sz="0" w:space="0" w:color="auto"/>
                  </w:divBdr>
                  <w:divsChild>
                    <w:div w:id="1638335200">
                      <w:marLeft w:val="0"/>
                      <w:marRight w:val="0"/>
                      <w:marTop w:val="0"/>
                      <w:marBottom w:val="0"/>
                      <w:divBdr>
                        <w:top w:val="none" w:sz="0" w:space="0" w:color="auto"/>
                        <w:left w:val="none" w:sz="0" w:space="0" w:color="auto"/>
                        <w:bottom w:val="none" w:sz="0" w:space="0" w:color="auto"/>
                        <w:right w:val="none" w:sz="0" w:space="0" w:color="auto"/>
                      </w:divBdr>
                      <w:divsChild>
                        <w:div w:id="178392783">
                          <w:marLeft w:val="0"/>
                          <w:marRight w:val="0"/>
                          <w:marTop w:val="0"/>
                          <w:marBottom w:val="0"/>
                          <w:divBdr>
                            <w:top w:val="none" w:sz="0" w:space="0" w:color="auto"/>
                            <w:left w:val="none" w:sz="0" w:space="0" w:color="auto"/>
                            <w:bottom w:val="none" w:sz="0" w:space="0" w:color="auto"/>
                            <w:right w:val="none" w:sz="0" w:space="0" w:color="auto"/>
                          </w:divBdr>
                          <w:divsChild>
                            <w:div w:id="204112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nete.zvaigzne@f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58057-likums-par-budzetu-un-finansu-vadib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L.Jevčuka</Vad_x012b_t_x0101_js>
    <Kategorija xmlns="2e5bb04e-596e-45bd-9003-43ca78b1ba16">Anotācija</Kategorija>
    <DKP xmlns="2e5bb04e-596e-45bd-9003-43ca78b1ba16">463</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96D3-F1C0-47DF-84FD-01D246966911}">
  <ds:schemaRefs>
    <ds:schemaRef ds:uri="http://schemas.microsoft.com/office/2006/documentManagement/types"/>
    <ds:schemaRef ds:uri="http://www.w3.org/XML/1998/namespace"/>
    <ds:schemaRef ds:uri="http://purl.org/dc/elements/1.1/"/>
    <ds:schemaRef ds:uri="http://purl.org/dc/terms/"/>
    <ds:schemaRef ds:uri="http://purl.org/dc/dcmitype/"/>
    <ds:schemaRef ds:uri="2e5bb04e-596e-45bd-9003-43ca78b1ba16"/>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9E3E756-FA49-4BBD-936F-82180B2E6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E73109-AE00-49DF-89CA-B86A224F4146}">
  <ds:schemaRefs>
    <ds:schemaRef ds:uri="http://schemas.microsoft.com/sharepoint/v3/contenttype/forms"/>
  </ds:schemaRefs>
</ds:datastoreItem>
</file>

<file path=customXml/itemProps4.xml><?xml version="1.0" encoding="utf-8"?>
<ds:datastoreItem xmlns:ds="http://schemas.openxmlformats.org/officeDocument/2006/customXml" ds:itemID="{2B9755E5-6F47-47FF-A1BF-4F791F7E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790</Words>
  <Characters>5662</Characters>
  <Application>Microsoft Office Word</Application>
  <DocSecurity>0</DocSecurity>
  <Lines>188</Lines>
  <Paragraphs>75</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2012.gada 11.decembra noteikumos Nr.867 "Kārtība, kādā nosakāms maksimāli pieļaujamais valsts budžeta izdevumu kopapjoms un maksimāli pieļaujamais valsts budžeta izdevumu kopējais apjoms ka</vt:lpstr>
    </vt:vector>
  </TitlesOfParts>
  <Company>Finanšu ministrija</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 sākotnējās ietekmes novērtējuma ziņojums (anotācija)</dc:title>
  <dc:subject>Anotācija</dc:subject>
  <dc:creator>Ž.Zvaigzne</dc:creator>
  <dc:description>67083976, Zanete.Zvaigzne@fm.gov.lv</dc:description>
  <cp:lastModifiedBy>Žanete Zvaigzne</cp:lastModifiedBy>
  <cp:revision>16</cp:revision>
  <cp:lastPrinted>2014-01-09T08:44:00Z</cp:lastPrinted>
  <dcterms:created xsi:type="dcterms:W3CDTF">2014-04-04T13:27:00Z</dcterms:created>
  <dcterms:modified xsi:type="dcterms:W3CDTF">2015-02-19T12:42:00Z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