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F2C9E" w14:textId="7D082BC6" w:rsidR="00616AA6" w:rsidRPr="00D65D1A" w:rsidRDefault="00132DF0" w:rsidP="00132DF0">
      <w:pPr>
        <w:jc w:val="center"/>
        <w:rPr>
          <w:b/>
          <w:color w:val="000000"/>
          <w:sz w:val="28"/>
          <w:szCs w:val="28"/>
        </w:rPr>
      </w:pPr>
      <w:r>
        <w:rPr>
          <w:b/>
          <w:sz w:val="28"/>
          <w:szCs w:val="28"/>
        </w:rPr>
        <w:t>Ministru kabineta rīkojuma projekta “</w:t>
      </w:r>
      <w:r w:rsidRPr="00A81B7F">
        <w:rPr>
          <w:b/>
          <w:sz w:val="28"/>
          <w:szCs w:val="28"/>
        </w:rPr>
        <w:t xml:space="preserve">Par </w:t>
      </w:r>
      <w:r>
        <w:rPr>
          <w:b/>
          <w:sz w:val="28"/>
          <w:szCs w:val="28"/>
        </w:rPr>
        <w:t xml:space="preserve">grozījumiem </w:t>
      </w:r>
      <w:r w:rsidRPr="007260D3">
        <w:rPr>
          <w:b/>
          <w:sz w:val="28"/>
          <w:szCs w:val="28"/>
        </w:rPr>
        <w:t xml:space="preserve">Ministru kabineta </w:t>
      </w:r>
      <w:proofErr w:type="gramStart"/>
      <w:r w:rsidRPr="007260D3">
        <w:rPr>
          <w:b/>
          <w:sz w:val="28"/>
          <w:szCs w:val="28"/>
        </w:rPr>
        <w:t>2013.gada</w:t>
      </w:r>
      <w:proofErr w:type="gramEnd"/>
      <w:r w:rsidRPr="007260D3">
        <w:rPr>
          <w:b/>
          <w:sz w:val="28"/>
          <w:szCs w:val="28"/>
        </w:rPr>
        <w:t xml:space="preserve"> 27.decembra rīkojumā Nr.675 “Par Koncepciju par jaunu darba samaksas sistēmu Iekšlietu ministrijas sistēmas iestāžu un Ieslodzījuma vietu pārvaldes amatpersonām ar speciālajām dienesta pakāpēm</w:t>
      </w:r>
      <w:r>
        <w:rPr>
          <w:b/>
          <w:sz w:val="28"/>
          <w:szCs w:val="28"/>
        </w:rPr>
        <w:t xml:space="preserve">”” </w:t>
      </w:r>
      <w:r w:rsidR="00616AA6" w:rsidRPr="00D65D1A">
        <w:rPr>
          <w:b/>
          <w:sz w:val="28"/>
          <w:szCs w:val="28"/>
        </w:rPr>
        <w:t>sākotnējās ietekmes novērtējuma ziņojums</w:t>
      </w:r>
      <w:r w:rsidR="00CC496E" w:rsidRPr="00D65D1A">
        <w:rPr>
          <w:b/>
          <w:sz w:val="28"/>
          <w:szCs w:val="28"/>
        </w:rPr>
        <w:t xml:space="preserve"> </w:t>
      </w:r>
      <w:r w:rsidR="00616AA6" w:rsidRPr="00D65D1A">
        <w:rPr>
          <w:b/>
          <w:sz w:val="28"/>
          <w:szCs w:val="28"/>
        </w:rPr>
        <w:t>(anotācija)</w:t>
      </w:r>
    </w:p>
    <w:p w14:paraId="4E9F9811" w14:textId="77777777" w:rsidR="00616AA6" w:rsidRPr="00D65D1A" w:rsidRDefault="00616AA6" w:rsidP="00616AA6">
      <w:pPr>
        <w:pStyle w:val="BodyText"/>
        <w:rPr>
          <w:szCs w:val="28"/>
        </w:rPr>
      </w:pPr>
    </w:p>
    <w:tbl>
      <w:tblPr>
        <w:tblStyle w:val="TableGrid"/>
        <w:tblW w:w="9133" w:type="dxa"/>
        <w:tblLook w:val="04A0" w:firstRow="1" w:lastRow="0" w:firstColumn="1" w:lastColumn="0" w:noHBand="0" w:noVBand="1"/>
      </w:tblPr>
      <w:tblGrid>
        <w:gridCol w:w="426"/>
        <w:gridCol w:w="108"/>
        <w:gridCol w:w="2601"/>
        <w:gridCol w:w="1935"/>
        <w:gridCol w:w="4063"/>
      </w:tblGrid>
      <w:tr w:rsidR="00616AA6" w:rsidRPr="00D65D1A" w14:paraId="30F37E3F" w14:textId="77777777" w:rsidTr="00F03184">
        <w:tc>
          <w:tcPr>
            <w:tcW w:w="9133" w:type="dxa"/>
            <w:gridSpan w:val="5"/>
          </w:tcPr>
          <w:p w14:paraId="5B99A8F4" w14:textId="77777777" w:rsidR="00616AA6" w:rsidRPr="00D65D1A" w:rsidRDefault="00616AA6" w:rsidP="00710EAA">
            <w:pPr>
              <w:pStyle w:val="BodyText"/>
              <w:spacing w:before="60" w:after="60"/>
              <w:rPr>
                <w:szCs w:val="28"/>
              </w:rPr>
            </w:pPr>
            <w:r w:rsidRPr="00D65D1A">
              <w:rPr>
                <w:szCs w:val="28"/>
              </w:rPr>
              <w:t>I. Tiesību akta projekta izstrādes nepieciešamība</w:t>
            </w:r>
          </w:p>
        </w:tc>
      </w:tr>
      <w:tr w:rsidR="00616AA6" w:rsidRPr="00D65D1A" w14:paraId="2FA85720" w14:textId="77777777" w:rsidTr="00F03184">
        <w:tc>
          <w:tcPr>
            <w:tcW w:w="426" w:type="dxa"/>
          </w:tcPr>
          <w:p w14:paraId="083EF60E" w14:textId="77777777" w:rsidR="00616AA6" w:rsidRPr="00D65D1A" w:rsidRDefault="00616AA6" w:rsidP="00710EAA">
            <w:pPr>
              <w:spacing w:before="60"/>
              <w:rPr>
                <w:sz w:val="28"/>
                <w:szCs w:val="28"/>
              </w:rPr>
            </w:pPr>
            <w:r w:rsidRPr="00D65D1A">
              <w:rPr>
                <w:sz w:val="28"/>
                <w:szCs w:val="28"/>
              </w:rPr>
              <w:t>1.</w:t>
            </w:r>
          </w:p>
        </w:tc>
        <w:tc>
          <w:tcPr>
            <w:tcW w:w="2709" w:type="dxa"/>
            <w:gridSpan w:val="2"/>
          </w:tcPr>
          <w:p w14:paraId="72722F48" w14:textId="77777777" w:rsidR="00616AA6" w:rsidRPr="00D65D1A" w:rsidRDefault="00616AA6" w:rsidP="00710EAA">
            <w:pPr>
              <w:spacing w:before="60"/>
              <w:rPr>
                <w:sz w:val="28"/>
                <w:szCs w:val="28"/>
              </w:rPr>
            </w:pPr>
            <w:r w:rsidRPr="00D65D1A">
              <w:rPr>
                <w:sz w:val="28"/>
                <w:szCs w:val="28"/>
              </w:rPr>
              <w:t>Pamatojums</w:t>
            </w:r>
          </w:p>
        </w:tc>
        <w:tc>
          <w:tcPr>
            <w:tcW w:w="5998" w:type="dxa"/>
            <w:gridSpan w:val="2"/>
          </w:tcPr>
          <w:p w14:paraId="3B8559E7" w14:textId="74538417" w:rsidR="007E5425" w:rsidRDefault="00057968" w:rsidP="007E5425">
            <w:pPr>
              <w:spacing w:before="60"/>
              <w:jc w:val="both"/>
              <w:rPr>
                <w:sz w:val="28"/>
                <w:szCs w:val="28"/>
              </w:rPr>
            </w:pPr>
            <w:r w:rsidRPr="00D65D1A">
              <w:rPr>
                <w:sz w:val="28"/>
                <w:szCs w:val="28"/>
              </w:rPr>
              <w:t xml:space="preserve">Ministru kabineta </w:t>
            </w:r>
            <w:r w:rsidR="00132DF0">
              <w:rPr>
                <w:sz w:val="28"/>
                <w:szCs w:val="28"/>
              </w:rPr>
              <w:t xml:space="preserve">rīkojuma </w:t>
            </w:r>
            <w:r w:rsidR="00736938" w:rsidRPr="00D65D1A">
              <w:rPr>
                <w:sz w:val="28"/>
                <w:szCs w:val="28"/>
              </w:rPr>
              <w:t xml:space="preserve">projekts </w:t>
            </w:r>
            <w:r w:rsidR="00871B81" w:rsidRPr="00871B81">
              <w:rPr>
                <w:sz w:val="28"/>
                <w:szCs w:val="28"/>
              </w:rPr>
              <w:t xml:space="preserve">“Par grozījumiem Ministru kabineta </w:t>
            </w:r>
            <w:proofErr w:type="gramStart"/>
            <w:r w:rsidR="00871B81" w:rsidRPr="00871B81">
              <w:rPr>
                <w:sz w:val="28"/>
                <w:szCs w:val="28"/>
              </w:rPr>
              <w:t>2013.gada</w:t>
            </w:r>
            <w:proofErr w:type="gramEnd"/>
            <w:r w:rsidR="00871B81" w:rsidRPr="00871B81">
              <w:rPr>
                <w:sz w:val="28"/>
                <w:szCs w:val="28"/>
              </w:rPr>
              <w:t xml:space="preserve"> 27.decembra rīkojumā Nr.675 “Par Koncepciju par jaunu darba samaksas sistēmu Iekšlietu ministrijas sistēmas iestāžu un Ieslodzījuma vietu pārvaldes amatpersonām ar speciālajām dienesta pakāpēm””</w:t>
            </w:r>
            <w:r w:rsidR="00871B81" w:rsidRPr="00D65D1A">
              <w:rPr>
                <w:sz w:val="28"/>
                <w:szCs w:val="28"/>
              </w:rPr>
              <w:t xml:space="preserve"> </w:t>
            </w:r>
            <w:r w:rsidR="00736938" w:rsidRPr="00D65D1A">
              <w:rPr>
                <w:sz w:val="28"/>
                <w:szCs w:val="28"/>
              </w:rPr>
              <w:t>(turpmāk –</w:t>
            </w:r>
            <w:r w:rsidRPr="00D65D1A">
              <w:rPr>
                <w:sz w:val="28"/>
                <w:szCs w:val="28"/>
              </w:rPr>
              <w:t xml:space="preserve"> projekts</w:t>
            </w:r>
            <w:r w:rsidR="00736938" w:rsidRPr="00D65D1A">
              <w:rPr>
                <w:sz w:val="28"/>
                <w:szCs w:val="28"/>
              </w:rPr>
              <w:t>)</w:t>
            </w:r>
            <w:r w:rsidR="0070343E" w:rsidRPr="00D65D1A">
              <w:rPr>
                <w:sz w:val="28"/>
                <w:szCs w:val="28"/>
                <w:lang w:eastAsia="lv-LV"/>
              </w:rPr>
              <w:t xml:space="preserve"> izstrādāt</w:t>
            </w:r>
            <w:r w:rsidR="0070343E" w:rsidRPr="00D65D1A">
              <w:rPr>
                <w:sz w:val="28"/>
                <w:szCs w:val="28"/>
              </w:rPr>
              <w:t>s</w:t>
            </w:r>
            <w:r w:rsidR="007E5425">
              <w:rPr>
                <w:sz w:val="28"/>
                <w:szCs w:val="28"/>
              </w:rPr>
              <w:t>:</w:t>
            </w:r>
          </w:p>
          <w:p w14:paraId="588E8EA7" w14:textId="1560A754" w:rsidR="00655C91" w:rsidRDefault="007E5425" w:rsidP="007E5425">
            <w:pPr>
              <w:spacing w:before="60"/>
              <w:jc w:val="both"/>
              <w:rPr>
                <w:sz w:val="28"/>
                <w:szCs w:val="28"/>
              </w:rPr>
            </w:pPr>
            <w:r>
              <w:rPr>
                <w:sz w:val="28"/>
                <w:szCs w:val="28"/>
              </w:rPr>
              <w:t xml:space="preserve">- lai precizētu </w:t>
            </w:r>
            <w:r w:rsidRPr="007E5425">
              <w:rPr>
                <w:sz w:val="28"/>
                <w:szCs w:val="28"/>
              </w:rPr>
              <w:t xml:space="preserve">Ministru kabineta </w:t>
            </w:r>
            <w:proofErr w:type="gramStart"/>
            <w:r w:rsidRPr="007E5425">
              <w:rPr>
                <w:sz w:val="28"/>
                <w:szCs w:val="28"/>
              </w:rPr>
              <w:t>2013.gada</w:t>
            </w:r>
            <w:proofErr w:type="gramEnd"/>
            <w:r w:rsidRPr="007E5425">
              <w:rPr>
                <w:sz w:val="28"/>
                <w:szCs w:val="28"/>
              </w:rPr>
              <w:t xml:space="preserve"> 27.decembra rīkojumā Nr.675 “Par Koncepciju par jaunu darba samaksas sistēmu Iekšlietu ministrijas sistēmas iestāžu un Ieslodzījuma vietu pārvaldes amatpersonām ar speciālajām dienesta pakāpēm”</w:t>
            </w:r>
            <w:r w:rsidR="00DC1543">
              <w:rPr>
                <w:sz w:val="28"/>
                <w:szCs w:val="28"/>
              </w:rPr>
              <w:t xml:space="preserve"> (turpmāk – rīkojums Nr.675) </w:t>
            </w:r>
            <w:r>
              <w:rPr>
                <w:sz w:val="28"/>
                <w:szCs w:val="28"/>
              </w:rPr>
              <w:t xml:space="preserve"> paredzētos jaunās politikas iniciatīvas un tiesību aktu</w:t>
            </w:r>
            <w:r w:rsidR="00C213E9">
              <w:rPr>
                <w:sz w:val="28"/>
                <w:szCs w:val="28"/>
              </w:rPr>
              <w:t xml:space="preserve"> projektu</w:t>
            </w:r>
            <w:r>
              <w:rPr>
                <w:sz w:val="28"/>
                <w:szCs w:val="28"/>
              </w:rPr>
              <w:t xml:space="preserve"> iesniegšanas termiņus, ievērojot, ka likumprojekta “Par vidēja termiņa budžeta ietvaru 2015., 2016. un 2017.gadam” sagatavošanas procesā jaunā politikas iniciatīva netika atbalstīta un likumā par “Par vidēja termiņa budžeta ietvaru 2015., 2016. un 2017.gadam” finansējums jaunās darba samaksas sistēmas ieviešanai ar 2016.gada 1.janvāri nav paredzēts;</w:t>
            </w:r>
          </w:p>
          <w:p w14:paraId="60B4E5BD" w14:textId="425745EB" w:rsidR="00080E08" w:rsidRPr="00080E08" w:rsidRDefault="007E5425" w:rsidP="00795FF1">
            <w:pPr>
              <w:spacing w:before="60"/>
              <w:jc w:val="both"/>
              <w:rPr>
                <w:sz w:val="28"/>
                <w:szCs w:val="28"/>
              </w:rPr>
            </w:pPr>
            <w:r>
              <w:rPr>
                <w:sz w:val="28"/>
                <w:szCs w:val="28"/>
              </w:rPr>
              <w:t xml:space="preserve">- pamatojoties uz </w:t>
            </w:r>
            <w:r w:rsidR="00080E08" w:rsidRPr="00080E08">
              <w:rPr>
                <w:sz w:val="28"/>
                <w:szCs w:val="28"/>
              </w:rPr>
              <w:t>Deklarācija</w:t>
            </w:r>
            <w:r w:rsidR="00795FF1">
              <w:rPr>
                <w:sz w:val="28"/>
                <w:szCs w:val="28"/>
              </w:rPr>
              <w:t xml:space="preserve">s </w:t>
            </w:r>
            <w:r w:rsidR="00080E08" w:rsidRPr="00080E08">
              <w:rPr>
                <w:sz w:val="28"/>
                <w:szCs w:val="28"/>
              </w:rPr>
              <w:t xml:space="preserve">par Laimdotas </w:t>
            </w:r>
            <w:proofErr w:type="spellStart"/>
            <w:r w:rsidR="00080E08" w:rsidRPr="00080E08">
              <w:rPr>
                <w:sz w:val="28"/>
                <w:szCs w:val="28"/>
              </w:rPr>
              <w:t>Straujumas</w:t>
            </w:r>
            <w:proofErr w:type="spellEnd"/>
            <w:r w:rsidR="00080E08" w:rsidRPr="00080E08">
              <w:rPr>
                <w:sz w:val="28"/>
                <w:szCs w:val="28"/>
              </w:rPr>
              <w:t xml:space="preserve"> vadītā Ministru kabineta</w:t>
            </w:r>
            <w:r w:rsidR="00795FF1">
              <w:rPr>
                <w:sz w:val="28"/>
                <w:szCs w:val="28"/>
              </w:rPr>
              <w:t xml:space="preserve"> </w:t>
            </w:r>
            <w:r w:rsidR="00080E08" w:rsidRPr="00080E08">
              <w:rPr>
                <w:sz w:val="28"/>
                <w:szCs w:val="28"/>
              </w:rPr>
              <w:t>iecerēto darbību</w:t>
            </w:r>
            <w:r w:rsidR="00795FF1">
              <w:rPr>
                <w:sz w:val="28"/>
                <w:szCs w:val="28"/>
              </w:rPr>
              <w:t xml:space="preserve"> sadaļas “</w:t>
            </w:r>
            <w:r w:rsidR="00080E08" w:rsidRPr="00795FF1">
              <w:rPr>
                <w:sz w:val="28"/>
                <w:szCs w:val="28"/>
              </w:rPr>
              <w:t>Sabiedrības drošība</w:t>
            </w:r>
            <w:r w:rsidR="00795FF1" w:rsidRPr="00795FF1">
              <w:rPr>
                <w:sz w:val="28"/>
                <w:szCs w:val="28"/>
              </w:rPr>
              <w:t>”</w:t>
            </w:r>
            <w:r w:rsidR="00795FF1">
              <w:rPr>
                <w:sz w:val="28"/>
                <w:szCs w:val="28"/>
              </w:rPr>
              <w:t xml:space="preserve"> </w:t>
            </w:r>
            <w:r w:rsidR="00080E08" w:rsidRPr="00080E08">
              <w:rPr>
                <w:sz w:val="28"/>
                <w:szCs w:val="28"/>
              </w:rPr>
              <w:t>153.</w:t>
            </w:r>
            <w:r w:rsidR="00795FF1">
              <w:rPr>
                <w:sz w:val="28"/>
                <w:szCs w:val="28"/>
              </w:rPr>
              <w:t xml:space="preserve"> uzdevumu – i</w:t>
            </w:r>
            <w:r w:rsidR="00080E08" w:rsidRPr="00080E08">
              <w:rPr>
                <w:sz w:val="28"/>
                <w:szCs w:val="28"/>
              </w:rPr>
              <w:t xml:space="preserve">eviesīsim uz jauniem kvalitātes kritērijiem balstītu atlīdzības sistēmu amatpersonām </w:t>
            </w:r>
          </w:p>
          <w:p w14:paraId="218CBFD7" w14:textId="779E911B" w:rsidR="007E5425" w:rsidRPr="00D65D1A" w:rsidRDefault="00080E08" w:rsidP="000A650A">
            <w:pPr>
              <w:spacing w:before="60"/>
              <w:jc w:val="both"/>
              <w:rPr>
                <w:sz w:val="28"/>
                <w:szCs w:val="28"/>
              </w:rPr>
            </w:pPr>
            <w:r w:rsidRPr="00080E08">
              <w:rPr>
                <w:sz w:val="28"/>
                <w:szCs w:val="28"/>
              </w:rPr>
              <w:t>ar speciālajām dienesta pakāpēm</w:t>
            </w:r>
            <w:r w:rsidR="00795FF1">
              <w:rPr>
                <w:sz w:val="28"/>
                <w:szCs w:val="28"/>
              </w:rPr>
              <w:t>.</w:t>
            </w:r>
            <w:r w:rsidRPr="00080E08">
              <w:rPr>
                <w:sz w:val="28"/>
                <w:szCs w:val="28"/>
              </w:rPr>
              <w:t xml:space="preserve"> </w:t>
            </w:r>
          </w:p>
        </w:tc>
      </w:tr>
      <w:tr w:rsidR="00616AA6" w:rsidRPr="00D108AA" w14:paraId="5FCB99D7" w14:textId="77777777" w:rsidTr="00F03184">
        <w:tc>
          <w:tcPr>
            <w:tcW w:w="426" w:type="dxa"/>
          </w:tcPr>
          <w:p w14:paraId="68232D0E" w14:textId="70037335" w:rsidR="00616AA6" w:rsidRPr="00D65D1A" w:rsidRDefault="00616AA6" w:rsidP="00710EAA">
            <w:pPr>
              <w:spacing w:before="60" w:line="720" w:lineRule="auto"/>
              <w:rPr>
                <w:sz w:val="28"/>
                <w:szCs w:val="28"/>
              </w:rPr>
            </w:pPr>
            <w:r w:rsidRPr="00D65D1A">
              <w:rPr>
                <w:sz w:val="28"/>
                <w:szCs w:val="28"/>
              </w:rPr>
              <w:t>2.</w:t>
            </w:r>
          </w:p>
        </w:tc>
        <w:tc>
          <w:tcPr>
            <w:tcW w:w="2709" w:type="dxa"/>
            <w:gridSpan w:val="2"/>
          </w:tcPr>
          <w:p w14:paraId="28846866" w14:textId="77777777" w:rsidR="00616AA6" w:rsidRPr="00D65D1A" w:rsidRDefault="00616AA6" w:rsidP="00710EAA">
            <w:pPr>
              <w:spacing w:before="60"/>
              <w:rPr>
                <w:sz w:val="28"/>
                <w:szCs w:val="28"/>
              </w:rPr>
            </w:pPr>
            <w:r w:rsidRPr="00D65D1A">
              <w:rPr>
                <w:sz w:val="28"/>
                <w:szCs w:val="28"/>
              </w:rPr>
              <w:t>Pašreizējā situācija un problēmas</w:t>
            </w:r>
            <w:r w:rsidR="000F2F91" w:rsidRPr="00D65D1A">
              <w:rPr>
                <w:sz w:val="28"/>
                <w:szCs w:val="28"/>
              </w:rPr>
              <w:t xml:space="preserve">, kuru risināšanai tiesību akta projekts izstrādāts, tiesiskā </w:t>
            </w:r>
            <w:r w:rsidR="000F2F91" w:rsidRPr="00D65D1A">
              <w:rPr>
                <w:sz w:val="28"/>
                <w:szCs w:val="28"/>
              </w:rPr>
              <w:lastRenderedPageBreak/>
              <w:t>regulējuma mērķis un būtība</w:t>
            </w:r>
          </w:p>
        </w:tc>
        <w:tc>
          <w:tcPr>
            <w:tcW w:w="5998" w:type="dxa"/>
            <w:gridSpan w:val="2"/>
          </w:tcPr>
          <w:p w14:paraId="1CDB112D" w14:textId="7A50794E" w:rsidR="00364798" w:rsidRDefault="00DC1543" w:rsidP="00791C04">
            <w:pPr>
              <w:pStyle w:val="tv213"/>
              <w:spacing w:before="0" w:beforeAutospacing="0" w:after="0" w:afterAutospacing="0"/>
              <w:jc w:val="both"/>
              <w:rPr>
                <w:sz w:val="28"/>
                <w:szCs w:val="28"/>
              </w:rPr>
            </w:pPr>
            <w:r>
              <w:rPr>
                <w:sz w:val="28"/>
                <w:szCs w:val="28"/>
              </w:rPr>
              <w:lastRenderedPageBreak/>
              <w:t>R</w:t>
            </w:r>
            <w:r w:rsidR="00795FF1" w:rsidRPr="007E5425">
              <w:rPr>
                <w:sz w:val="28"/>
                <w:szCs w:val="28"/>
              </w:rPr>
              <w:t>īkojum</w:t>
            </w:r>
            <w:r>
              <w:rPr>
                <w:sz w:val="28"/>
                <w:szCs w:val="28"/>
              </w:rPr>
              <w:t>ā</w:t>
            </w:r>
            <w:r w:rsidR="00795FF1" w:rsidRPr="007E5425">
              <w:rPr>
                <w:sz w:val="28"/>
                <w:szCs w:val="28"/>
              </w:rPr>
              <w:t xml:space="preserve"> Nr.675</w:t>
            </w:r>
            <w:r w:rsidR="00364798">
              <w:rPr>
                <w:sz w:val="28"/>
                <w:szCs w:val="28"/>
              </w:rPr>
              <w:t xml:space="preserve"> noteikts</w:t>
            </w:r>
            <w:r w:rsidR="00C213E9">
              <w:rPr>
                <w:sz w:val="28"/>
                <w:szCs w:val="28"/>
              </w:rPr>
              <w:t xml:space="preserve">, ka jaunā politikas iniciatīva finansējuma pieprasīšanai jaunās darba samaksas </w:t>
            </w:r>
            <w:r w:rsidR="00364798">
              <w:rPr>
                <w:sz w:val="28"/>
                <w:szCs w:val="28"/>
              </w:rPr>
              <w:t xml:space="preserve">sistēmas </w:t>
            </w:r>
            <w:r w:rsidR="00C213E9">
              <w:rPr>
                <w:sz w:val="28"/>
                <w:szCs w:val="28"/>
              </w:rPr>
              <w:t xml:space="preserve">ieviešanai ar </w:t>
            </w:r>
            <w:proofErr w:type="gramStart"/>
            <w:r w:rsidR="00C213E9">
              <w:rPr>
                <w:sz w:val="28"/>
                <w:szCs w:val="28"/>
              </w:rPr>
              <w:t>2016.gada</w:t>
            </w:r>
            <w:proofErr w:type="gramEnd"/>
            <w:r w:rsidR="00C213E9">
              <w:rPr>
                <w:sz w:val="28"/>
                <w:szCs w:val="28"/>
              </w:rPr>
              <w:t xml:space="preserve"> 1.janvāri virzāma likumprojekta “Par vidēja termiņa budžeta</w:t>
            </w:r>
            <w:r w:rsidR="00364798">
              <w:rPr>
                <w:sz w:val="28"/>
                <w:szCs w:val="28"/>
              </w:rPr>
              <w:t xml:space="preserve"> </w:t>
            </w:r>
            <w:r w:rsidR="00C213E9">
              <w:rPr>
                <w:sz w:val="28"/>
                <w:szCs w:val="28"/>
              </w:rPr>
              <w:t xml:space="preserve">ietvaru 2015., 2016. un 2017.gadam” </w:t>
            </w:r>
            <w:r w:rsidR="00364798">
              <w:rPr>
                <w:sz w:val="28"/>
                <w:szCs w:val="28"/>
              </w:rPr>
              <w:t>sagatavošanas procesā.</w:t>
            </w:r>
            <w:r w:rsidR="00C213E9">
              <w:rPr>
                <w:sz w:val="28"/>
                <w:szCs w:val="28"/>
              </w:rPr>
              <w:t xml:space="preserve"> </w:t>
            </w:r>
            <w:r w:rsidR="00364798">
              <w:rPr>
                <w:sz w:val="28"/>
                <w:szCs w:val="28"/>
              </w:rPr>
              <w:t>Vienlaikus r</w:t>
            </w:r>
            <w:r w:rsidR="00364798" w:rsidRPr="007E5425">
              <w:rPr>
                <w:sz w:val="28"/>
                <w:szCs w:val="28"/>
              </w:rPr>
              <w:t>īkojum</w:t>
            </w:r>
            <w:r w:rsidR="00364798">
              <w:rPr>
                <w:sz w:val="28"/>
                <w:szCs w:val="28"/>
              </w:rPr>
              <w:t>ā</w:t>
            </w:r>
            <w:r w:rsidR="00364798" w:rsidRPr="007E5425">
              <w:rPr>
                <w:sz w:val="28"/>
                <w:szCs w:val="28"/>
              </w:rPr>
              <w:t xml:space="preserve"> Nr.675</w:t>
            </w:r>
            <w:r w:rsidR="00364798">
              <w:rPr>
                <w:sz w:val="28"/>
                <w:szCs w:val="28"/>
              </w:rPr>
              <w:t xml:space="preserve"> noteikti arī </w:t>
            </w:r>
            <w:r w:rsidR="00364798">
              <w:rPr>
                <w:sz w:val="28"/>
                <w:szCs w:val="28"/>
              </w:rPr>
              <w:lastRenderedPageBreak/>
              <w:t xml:space="preserve">jaunās darba samaksas sistēmas ieviešanai nepieciešamo tiesību aktu projektu iesniegšanas termiņi Ministru kabinetā, ja jaunā politikas iniciatīva tiek atbalstīta. </w:t>
            </w:r>
          </w:p>
          <w:p w14:paraId="18BB9BDF" w14:textId="25CEED70" w:rsidR="00DC1543" w:rsidRDefault="00DC1543" w:rsidP="00791C04">
            <w:pPr>
              <w:pStyle w:val="tv213"/>
              <w:spacing w:before="0" w:beforeAutospacing="0" w:after="0" w:afterAutospacing="0"/>
              <w:jc w:val="both"/>
              <w:rPr>
                <w:sz w:val="28"/>
                <w:szCs w:val="28"/>
              </w:rPr>
            </w:pPr>
            <w:r>
              <w:rPr>
                <w:sz w:val="28"/>
                <w:szCs w:val="28"/>
              </w:rPr>
              <w:t xml:space="preserve">       Ievērojot, ka likumprojekta “Par vidēja termiņa budžeta ietvaru 2015., 2016. un </w:t>
            </w:r>
            <w:proofErr w:type="gramStart"/>
            <w:r>
              <w:rPr>
                <w:sz w:val="28"/>
                <w:szCs w:val="28"/>
              </w:rPr>
              <w:t>2017.gadam</w:t>
            </w:r>
            <w:proofErr w:type="gramEnd"/>
            <w:r>
              <w:rPr>
                <w:sz w:val="28"/>
                <w:szCs w:val="28"/>
              </w:rPr>
              <w:t xml:space="preserve">” sagatavošanas procesā jaunā politikas iniciatīva netika atbalstīta un likumā par “Par vidēja termiņa budžeta ietvaru 2015., 2016. un 2017.gadam” finansējums jaunās darba samaksas sistēmas ieviešanai ar 2016.gada 1.janvāri nav paredzēts, nepieciešami grozījumi </w:t>
            </w:r>
            <w:r w:rsidR="00871B81">
              <w:rPr>
                <w:sz w:val="28"/>
                <w:szCs w:val="28"/>
              </w:rPr>
              <w:t>rīkojumā Nr.675.</w:t>
            </w:r>
          </w:p>
          <w:p w14:paraId="0F9B8827" w14:textId="77777777" w:rsidR="0013129B" w:rsidRDefault="0013129B" w:rsidP="00791C04">
            <w:pPr>
              <w:pStyle w:val="tv213"/>
              <w:spacing w:before="0" w:beforeAutospacing="0" w:after="0" w:afterAutospacing="0"/>
              <w:jc w:val="both"/>
              <w:rPr>
                <w:sz w:val="28"/>
                <w:szCs w:val="28"/>
              </w:rPr>
            </w:pPr>
            <w:r>
              <w:rPr>
                <w:sz w:val="28"/>
                <w:szCs w:val="28"/>
              </w:rPr>
              <w:t xml:space="preserve">   Pašreiz Iekšlietu ministrija veic šādas aktivitātes koncepcijas ieviešanas nodrošināšanai:</w:t>
            </w:r>
          </w:p>
          <w:p w14:paraId="60A0917A" w14:textId="16EF8C0E" w:rsidR="0013129B" w:rsidRDefault="0013129B" w:rsidP="00791C04">
            <w:pPr>
              <w:pStyle w:val="tv213"/>
              <w:spacing w:before="0" w:beforeAutospacing="0" w:after="0" w:afterAutospacing="0"/>
              <w:jc w:val="both"/>
              <w:rPr>
                <w:sz w:val="28"/>
                <w:szCs w:val="28"/>
              </w:rPr>
            </w:pPr>
            <w:r>
              <w:rPr>
                <w:sz w:val="28"/>
                <w:szCs w:val="28"/>
              </w:rPr>
              <w:t xml:space="preserve">- </w:t>
            </w:r>
            <w:r w:rsidR="0015500E">
              <w:rPr>
                <w:sz w:val="28"/>
                <w:szCs w:val="28"/>
              </w:rPr>
              <w:t xml:space="preserve">ar Iekšlietu ministrijas </w:t>
            </w:r>
            <w:proofErr w:type="gramStart"/>
            <w:r w:rsidR="0015500E">
              <w:rPr>
                <w:sz w:val="28"/>
                <w:szCs w:val="28"/>
              </w:rPr>
              <w:t>2014.gada</w:t>
            </w:r>
            <w:proofErr w:type="gramEnd"/>
            <w:r w:rsidR="0015500E">
              <w:rPr>
                <w:sz w:val="28"/>
                <w:szCs w:val="28"/>
              </w:rPr>
              <w:t xml:space="preserve"> 17.februāra rīkojumu Nr.1-12/365 izveidotā grupa veic visu </w:t>
            </w:r>
            <w:r w:rsidR="0015500E" w:rsidRPr="00D108AA">
              <w:rPr>
                <w:sz w:val="28"/>
                <w:szCs w:val="28"/>
              </w:rPr>
              <w:t xml:space="preserve">Iekšlietu ministrijas sistēmas iestāžu un Ieslodzījuma vietu pārvaldes amatpersonu ar speciālajām dienesta pakāpēm </w:t>
            </w:r>
            <w:r w:rsidR="0015500E">
              <w:rPr>
                <w:sz w:val="28"/>
                <w:szCs w:val="28"/>
              </w:rPr>
              <w:t xml:space="preserve">amatu novērtēšanu, lai izstrādātu amatu kataloga projektu un noteiktu mēnešalgu grupas, kas būs pamats jaunu darba samaksas noteikumu izstrādei; </w:t>
            </w:r>
          </w:p>
          <w:p w14:paraId="65388A8B" w14:textId="77777777" w:rsidR="0015500E" w:rsidRDefault="0015500E" w:rsidP="00791C04">
            <w:pPr>
              <w:pStyle w:val="tv213"/>
              <w:spacing w:before="0" w:beforeAutospacing="0" w:after="0" w:afterAutospacing="0"/>
              <w:jc w:val="both"/>
              <w:rPr>
                <w:sz w:val="28"/>
                <w:szCs w:val="28"/>
              </w:rPr>
            </w:pPr>
            <w:r>
              <w:rPr>
                <w:sz w:val="28"/>
                <w:szCs w:val="28"/>
              </w:rPr>
              <w:t>- ir izstrādāts grozījumu projekts Valsts un pašvaldību institūciju amatpersonu un darbinieku atlīdzības likumā un tiek veikta</w:t>
            </w:r>
            <w:r w:rsidRPr="00D108AA">
              <w:rPr>
                <w:sz w:val="28"/>
                <w:szCs w:val="28"/>
              </w:rPr>
              <w:t xml:space="preserve"> Iekšlietu ministrijas </w:t>
            </w:r>
            <w:r>
              <w:rPr>
                <w:sz w:val="28"/>
                <w:szCs w:val="28"/>
              </w:rPr>
              <w:t xml:space="preserve">struktūrvienību un </w:t>
            </w:r>
            <w:r w:rsidRPr="00D108AA">
              <w:rPr>
                <w:sz w:val="28"/>
                <w:szCs w:val="28"/>
              </w:rPr>
              <w:t>sistēmas iestā</w:t>
            </w:r>
            <w:r>
              <w:rPr>
                <w:sz w:val="28"/>
                <w:szCs w:val="28"/>
              </w:rPr>
              <w:t>žu sniegto iebildumu un priekšlikumu saskaņošana;</w:t>
            </w:r>
          </w:p>
          <w:p w14:paraId="71AEB829" w14:textId="56DBF7A0" w:rsidR="00DB2C83" w:rsidRPr="00D108AA" w:rsidRDefault="0015500E" w:rsidP="00791C04">
            <w:pPr>
              <w:pStyle w:val="tv213"/>
              <w:spacing w:before="0" w:beforeAutospacing="0" w:after="0" w:afterAutospacing="0"/>
              <w:jc w:val="both"/>
              <w:rPr>
                <w:sz w:val="28"/>
                <w:szCs w:val="28"/>
              </w:rPr>
            </w:pPr>
            <w:r>
              <w:rPr>
                <w:sz w:val="28"/>
                <w:szCs w:val="28"/>
              </w:rPr>
              <w:t xml:space="preserve">- ar Iekšlietu ministrijas </w:t>
            </w:r>
            <w:proofErr w:type="gramStart"/>
            <w:r>
              <w:rPr>
                <w:sz w:val="28"/>
                <w:szCs w:val="28"/>
              </w:rPr>
              <w:t>2014.gada</w:t>
            </w:r>
            <w:proofErr w:type="gramEnd"/>
            <w:r w:rsidR="00612741">
              <w:rPr>
                <w:sz w:val="28"/>
                <w:szCs w:val="28"/>
              </w:rPr>
              <w:t xml:space="preserve"> 2.janvāra rīkojumu Nr.12/43 izveidotā Uzraudzības komiteja nodrošina un koordinē jaunās darba samaksas sistēmas ieviešanai nepieciešamo normatīvo aktu izstrādes procesu. </w:t>
            </w:r>
          </w:p>
          <w:p w14:paraId="077AFAB7" w14:textId="45B9F07B" w:rsidR="00361411" w:rsidRDefault="00871B81" w:rsidP="00104D50">
            <w:pPr>
              <w:ind w:left="360"/>
              <w:jc w:val="both"/>
              <w:rPr>
                <w:sz w:val="28"/>
                <w:szCs w:val="28"/>
              </w:rPr>
            </w:pPr>
            <w:r w:rsidRPr="00104D50">
              <w:rPr>
                <w:sz w:val="28"/>
                <w:szCs w:val="28"/>
              </w:rPr>
              <w:t>Projekt</w:t>
            </w:r>
            <w:r w:rsidR="00361411">
              <w:rPr>
                <w:sz w:val="28"/>
                <w:szCs w:val="28"/>
              </w:rPr>
              <w:t>s</w:t>
            </w:r>
            <w:r w:rsidRPr="00104D50">
              <w:rPr>
                <w:sz w:val="28"/>
                <w:szCs w:val="28"/>
              </w:rPr>
              <w:t xml:space="preserve"> paredz</w:t>
            </w:r>
            <w:r w:rsidR="00361411">
              <w:rPr>
                <w:sz w:val="28"/>
                <w:szCs w:val="28"/>
              </w:rPr>
              <w:t>:</w:t>
            </w:r>
          </w:p>
          <w:p w14:paraId="6A92B4D7" w14:textId="3C8DC88F" w:rsidR="00361411" w:rsidRDefault="00612741" w:rsidP="00612741">
            <w:pPr>
              <w:pStyle w:val="tv213"/>
              <w:spacing w:before="0" w:beforeAutospacing="0" w:after="0" w:afterAutospacing="0"/>
              <w:jc w:val="both"/>
              <w:rPr>
                <w:sz w:val="28"/>
                <w:szCs w:val="28"/>
              </w:rPr>
            </w:pPr>
            <w:r>
              <w:rPr>
                <w:sz w:val="28"/>
                <w:szCs w:val="28"/>
              </w:rPr>
              <w:t xml:space="preserve">- ka </w:t>
            </w:r>
            <w:r w:rsidR="00361411">
              <w:rPr>
                <w:sz w:val="28"/>
                <w:szCs w:val="28"/>
              </w:rPr>
              <w:t>starpnozaru</w:t>
            </w:r>
            <w:r w:rsidR="00871B81" w:rsidRPr="00104D50">
              <w:rPr>
                <w:sz w:val="28"/>
                <w:szCs w:val="28"/>
              </w:rPr>
              <w:t xml:space="preserve"> </w:t>
            </w:r>
            <w:r w:rsidR="00104D50">
              <w:rPr>
                <w:sz w:val="28"/>
                <w:szCs w:val="28"/>
              </w:rPr>
              <w:t>jaunā politikas iniciatīva (iekļaujot tajā precizētus aprēķinus par koncepcijas</w:t>
            </w:r>
            <w:r w:rsidR="00361411">
              <w:rPr>
                <w:sz w:val="28"/>
                <w:szCs w:val="28"/>
              </w:rPr>
              <w:t xml:space="preserve"> īstenošanai nepieciešamo finansējumu)</w:t>
            </w:r>
            <w:r w:rsidR="00104D50">
              <w:rPr>
                <w:sz w:val="28"/>
                <w:szCs w:val="28"/>
              </w:rPr>
              <w:t xml:space="preserve"> </w:t>
            </w:r>
            <w:r w:rsidR="00361411">
              <w:rPr>
                <w:sz w:val="28"/>
                <w:szCs w:val="28"/>
              </w:rPr>
              <w:t xml:space="preserve">tiek virzīta </w:t>
            </w:r>
            <w:r w:rsidR="00361411" w:rsidRPr="00D108AA">
              <w:rPr>
                <w:sz w:val="28"/>
                <w:szCs w:val="28"/>
              </w:rPr>
              <w:t>izskatī</w:t>
            </w:r>
            <w:r w:rsidR="00361411">
              <w:rPr>
                <w:sz w:val="28"/>
                <w:szCs w:val="28"/>
              </w:rPr>
              <w:t>šanai</w:t>
            </w:r>
            <w:r w:rsidR="00361411" w:rsidRPr="00D108AA">
              <w:rPr>
                <w:sz w:val="28"/>
                <w:szCs w:val="28"/>
              </w:rPr>
              <w:t xml:space="preserve"> Ministru kabinetā </w:t>
            </w:r>
            <w:r w:rsidR="00361411">
              <w:rPr>
                <w:sz w:val="28"/>
                <w:szCs w:val="28"/>
              </w:rPr>
              <w:t>l</w:t>
            </w:r>
            <w:r w:rsidR="00104D50" w:rsidRPr="00104D50">
              <w:rPr>
                <w:sz w:val="28"/>
                <w:szCs w:val="28"/>
              </w:rPr>
              <w:t>ikumprojekt</w:t>
            </w:r>
            <w:r w:rsidR="00361411">
              <w:rPr>
                <w:sz w:val="28"/>
                <w:szCs w:val="28"/>
              </w:rPr>
              <w:t>a “P</w:t>
            </w:r>
            <w:r w:rsidR="00104D50" w:rsidRPr="00104D50">
              <w:rPr>
                <w:sz w:val="28"/>
                <w:szCs w:val="28"/>
              </w:rPr>
              <w:t xml:space="preserve">ar vidēja termiņa budžeta ietvaru 2016., 2017. un </w:t>
            </w:r>
            <w:proofErr w:type="gramStart"/>
            <w:r w:rsidR="00104D50" w:rsidRPr="00104D50">
              <w:rPr>
                <w:sz w:val="28"/>
                <w:szCs w:val="28"/>
              </w:rPr>
              <w:t>2018.gadam</w:t>
            </w:r>
            <w:proofErr w:type="gramEnd"/>
            <w:r w:rsidR="00361411">
              <w:rPr>
                <w:sz w:val="28"/>
                <w:szCs w:val="28"/>
              </w:rPr>
              <w:t>”</w:t>
            </w:r>
            <w:r w:rsidR="00104D50" w:rsidRPr="00104D50">
              <w:rPr>
                <w:sz w:val="28"/>
                <w:szCs w:val="28"/>
              </w:rPr>
              <w:t xml:space="preserve"> un likumprojekt</w:t>
            </w:r>
            <w:r w:rsidR="00361411">
              <w:rPr>
                <w:sz w:val="28"/>
                <w:szCs w:val="28"/>
              </w:rPr>
              <w:t>a</w:t>
            </w:r>
            <w:r w:rsidR="00104D50" w:rsidRPr="00104D50">
              <w:rPr>
                <w:sz w:val="28"/>
                <w:szCs w:val="28"/>
              </w:rPr>
              <w:t xml:space="preserve"> </w:t>
            </w:r>
            <w:r w:rsidR="00361411">
              <w:rPr>
                <w:sz w:val="28"/>
                <w:szCs w:val="28"/>
              </w:rPr>
              <w:t>“P</w:t>
            </w:r>
            <w:r w:rsidR="00104D50" w:rsidRPr="00104D50">
              <w:rPr>
                <w:sz w:val="28"/>
                <w:szCs w:val="28"/>
              </w:rPr>
              <w:t>ar valsts budžetu 2016.gadam”</w:t>
            </w:r>
            <w:r w:rsidR="00361411">
              <w:rPr>
                <w:sz w:val="28"/>
                <w:szCs w:val="28"/>
              </w:rPr>
              <w:t xml:space="preserve"> sagatavošanas procesā</w:t>
            </w:r>
            <w:r w:rsidR="00361411" w:rsidRPr="00D108AA">
              <w:rPr>
                <w:sz w:val="28"/>
                <w:szCs w:val="28"/>
              </w:rPr>
              <w:t xml:space="preserve"> kopā ar visu ministriju un citu centrālo valsts iestāžu jauno politikas iniciatīvu pieprasījumiem</w:t>
            </w:r>
            <w:r w:rsidR="00361411">
              <w:rPr>
                <w:sz w:val="28"/>
                <w:szCs w:val="28"/>
              </w:rPr>
              <w:t>;</w:t>
            </w:r>
            <w:r w:rsidR="00270B28">
              <w:rPr>
                <w:sz w:val="28"/>
                <w:szCs w:val="28"/>
              </w:rPr>
              <w:t xml:space="preserve"> </w:t>
            </w:r>
          </w:p>
          <w:p w14:paraId="37D170BA" w14:textId="67B04E0A" w:rsidR="00612741" w:rsidRDefault="00612741" w:rsidP="00612741">
            <w:pPr>
              <w:pStyle w:val="tv213"/>
              <w:spacing w:before="0" w:beforeAutospacing="0" w:after="0" w:afterAutospacing="0"/>
              <w:jc w:val="both"/>
              <w:rPr>
                <w:sz w:val="28"/>
                <w:szCs w:val="28"/>
              </w:rPr>
            </w:pPr>
            <w:r>
              <w:rPr>
                <w:sz w:val="28"/>
                <w:szCs w:val="28"/>
              </w:rPr>
              <w:lastRenderedPageBreak/>
              <w:t xml:space="preserve">- nenoteikt konkrētu mēnesi, ar kuru </w:t>
            </w:r>
            <w:proofErr w:type="gramStart"/>
            <w:r>
              <w:rPr>
                <w:sz w:val="28"/>
                <w:szCs w:val="28"/>
              </w:rPr>
              <w:t>2016.gadā</w:t>
            </w:r>
            <w:proofErr w:type="gramEnd"/>
            <w:r>
              <w:rPr>
                <w:sz w:val="28"/>
                <w:szCs w:val="28"/>
              </w:rPr>
              <w:t xml:space="preserve"> tiek ieviesta jaunā  darba samaksas sistēma</w:t>
            </w:r>
            <w:r w:rsidR="00DB2C83">
              <w:rPr>
                <w:sz w:val="28"/>
                <w:szCs w:val="28"/>
              </w:rPr>
              <w:t>, ievērojot valsts budžeta iespējas;</w:t>
            </w:r>
          </w:p>
          <w:p w14:paraId="148C6175" w14:textId="77777777" w:rsidR="00D108AA" w:rsidRDefault="00612741" w:rsidP="0018504A">
            <w:pPr>
              <w:pStyle w:val="tv213"/>
              <w:spacing w:before="0" w:beforeAutospacing="0" w:after="0" w:afterAutospacing="0"/>
              <w:jc w:val="both"/>
              <w:rPr>
                <w:sz w:val="28"/>
                <w:szCs w:val="28"/>
              </w:rPr>
            </w:pPr>
            <w:r>
              <w:rPr>
                <w:sz w:val="28"/>
                <w:szCs w:val="28"/>
              </w:rPr>
              <w:t xml:space="preserve">- </w:t>
            </w:r>
            <w:r w:rsidR="00361411" w:rsidRPr="00361411">
              <w:rPr>
                <w:sz w:val="28"/>
                <w:szCs w:val="28"/>
              </w:rPr>
              <w:t>precizēt rīkojumā Nr.675 minēto tiesību aktu projektu iesniegšanas termiņ</w:t>
            </w:r>
            <w:r>
              <w:rPr>
                <w:sz w:val="28"/>
                <w:szCs w:val="28"/>
              </w:rPr>
              <w:t>us</w:t>
            </w:r>
            <w:r w:rsidR="00361411" w:rsidRPr="00361411">
              <w:rPr>
                <w:sz w:val="28"/>
                <w:szCs w:val="28"/>
              </w:rPr>
              <w:t xml:space="preserve"> (</w:t>
            </w:r>
            <w:r w:rsidR="0018504A">
              <w:rPr>
                <w:sz w:val="28"/>
                <w:szCs w:val="28"/>
              </w:rPr>
              <w:t>tie noteikti pēc</w:t>
            </w:r>
            <w:proofErr w:type="gramStart"/>
            <w:r w:rsidR="0018504A">
              <w:rPr>
                <w:sz w:val="28"/>
                <w:szCs w:val="28"/>
              </w:rPr>
              <w:t xml:space="preserve"> </w:t>
            </w:r>
            <w:r w:rsidR="00361411" w:rsidRPr="00361411">
              <w:rPr>
                <w:sz w:val="28"/>
                <w:szCs w:val="28"/>
              </w:rPr>
              <w:t xml:space="preserve"> </w:t>
            </w:r>
            <w:proofErr w:type="gramEnd"/>
            <w:r w:rsidR="00361411" w:rsidRPr="00361411">
              <w:rPr>
                <w:sz w:val="28"/>
                <w:szCs w:val="28"/>
              </w:rPr>
              <w:t>tam, kad Ministru kabinets būs lēmis par jaunās politikas iniciatīvas atbalstīšanu un finansējuma piešķiršanu).</w:t>
            </w:r>
          </w:p>
          <w:p w14:paraId="525346AF" w14:textId="06EB5B94" w:rsidR="009E7AB4" w:rsidRPr="00D65488" w:rsidRDefault="009E7AB4" w:rsidP="009E7AB4">
            <w:pPr>
              <w:pStyle w:val="tv213"/>
              <w:spacing w:before="0" w:beforeAutospacing="0" w:after="0" w:afterAutospacing="0"/>
              <w:jc w:val="both"/>
              <w:rPr>
                <w:sz w:val="28"/>
                <w:szCs w:val="28"/>
              </w:rPr>
            </w:pPr>
            <w:r>
              <w:rPr>
                <w:sz w:val="28"/>
                <w:szCs w:val="28"/>
              </w:rPr>
              <w:t>Jaunajā politikas iniciatīvā, kas tiks virzīta l</w:t>
            </w:r>
            <w:r w:rsidRPr="00104D50">
              <w:rPr>
                <w:sz w:val="28"/>
                <w:szCs w:val="28"/>
              </w:rPr>
              <w:t>ikumprojekt</w:t>
            </w:r>
            <w:r>
              <w:rPr>
                <w:sz w:val="28"/>
                <w:szCs w:val="28"/>
              </w:rPr>
              <w:t>a “P</w:t>
            </w:r>
            <w:r w:rsidRPr="00104D50">
              <w:rPr>
                <w:sz w:val="28"/>
                <w:szCs w:val="28"/>
              </w:rPr>
              <w:t xml:space="preserve">ar vidēja termiņa budžeta ietvaru 2016., 2017. un </w:t>
            </w:r>
            <w:proofErr w:type="gramStart"/>
            <w:r w:rsidRPr="00104D50">
              <w:rPr>
                <w:sz w:val="28"/>
                <w:szCs w:val="28"/>
              </w:rPr>
              <w:t>2018.gadam</w:t>
            </w:r>
            <w:proofErr w:type="gramEnd"/>
            <w:r>
              <w:rPr>
                <w:sz w:val="28"/>
                <w:szCs w:val="28"/>
              </w:rPr>
              <w:t>”</w:t>
            </w:r>
            <w:r w:rsidRPr="00104D50">
              <w:rPr>
                <w:sz w:val="28"/>
                <w:szCs w:val="28"/>
              </w:rPr>
              <w:t xml:space="preserve"> un likumprojekt</w:t>
            </w:r>
            <w:r>
              <w:rPr>
                <w:sz w:val="28"/>
                <w:szCs w:val="28"/>
              </w:rPr>
              <w:t>a</w:t>
            </w:r>
            <w:r w:rsidRPr="00104D50">
              <w:rPr>
                <w:sz w:val="28"/>
                <w:szCs w:val="28"/>
              </w:rPr>
              <w:t xml:space="preserve"> </w:t>
            </w:r>
            <w:r>
              <w:rPr>
                <w:sz w:val="28"/>
                <w:szCs w:val="28"/>
              </w:rPr>
              <w:t>“P</w:t>
            </w:r>
            <w:r w:rsidRPr="00104D50">
              <w:rPr>
                <w:sz w:val="28"/>
                <w:szCs w:val="28"/>
              </w:rPr>
              <w:t>ar valsts budžetu 2016.gadam”</w:t>
            </w:r>
            <w:r>
              <w:rPr>
                <w:sz w:val="28"/>
                <w:szCs w:val="28"/>
              </w:rPr>
              <w:t xml:space="preserve"> sagatavošanas procesā, būs atspoguļoti precizēti aprēķini par papildu nepieciešamo finansējumu, nepārsniedzot  rīkojumā Nr.675 apstiprināto maksimālo izdevumu ietvaru, ievērojot, ka mēnešalgu grupas un amatpersonu</w:t>
            </w:r>
            <w:r w:rsidRPr="00F31085">
              <w:rPr>
                <w:sz w:val="28"/>
                <w:szCs w:val="28"/>
              </w:rPr>
              <w:t xml:space="preserve"> ar speciālajām dienesta pakāpēm</w:t>
            </w:r>
            <w:r>
              <w:rPr>
                <w:sz w:val="28"/>
                <w:szCs w:val="28"/>
              </w:rPr>
              <w:t xml:space="preserve"> skaits katrā mēnešalgu grupā uz jaunās politikas iniciatīvas iesniegšanas brīdi jau būs noteikts.</w:t>
            </w:r>
          </w:p>
        </w:tc>
      </w:tr>
      <w:tr w:rsidR="00616AA6" w:rsidRPr="00BA5E65" w14:paraId="799CDE87" w14:textId="77777777" w:rsidTr="00F03184">
        <w:tc>
          <w:tcPr>
            <w:tcW w:w="426" w:type="dxa"/>
          </w:tcPr>
          <w:p w14:paraId="20D9A706" w14:textId="1B2EBCA6" w:rsidR="00616AA6" w:rsidRPr="00BA5E65" w:rsidRDefault="00616AA6" w:rsidP="00710EAA">
            <w:pPr>
              <w:spacing w:before="60"/>
              <w:rPr>
                <w:sz w:val="28"/>
                <w:szCs w:val="28"/>
              </w:rPr>
            </w:pPr>
            <w:r w:rsidRPr="00BA5E65">
              <w:rPr>
                <w:sz w:val="28"/>
                <w:szCs w:val="28"/>
              </w:rPr>
              <w:lastRenderedPageBreak/>
              <w:t>3.</w:t>
            </w:r>
          </w:p>
        </w:tc>
        <w:tc>
          <w:tcPr>
            <w:tcW w:w="2709" w:type="dxa"/>
            <w:gridSpan w:val="2"/>
          </w:tcPr>
          <w:p w14:paraId="58E94375" w14:textId="77777777" w:rsidR="00616AA6" w:rsidRPr="00BA5E65" w:rsidRDefault="008C47BE" w:rsidP="00710EAA">
            <w:pPr>
              <w:spacing w:before="60" w:after="60"/>
              <w:rPr>
                <w:sz w:val="28"/>
                <w:szCs w:val="28"/>
              </w:rPr>
            </w:pPr>
            <w:r w:rsidRPr="00BA5E65">
              <w:rPr>
                <w:sz w:val="28"/>
                <w:szCs w:val="28"/>
              </w:rPr>
              <w:t>Projekta izstrādē iesaistītās institūcijas</w:t>
            </w:r>
          </w:p>
        </w:tc>
        <w:tc>
          <w:tcPr>
            <w:tcW w:w="5998" w:type="dxa"/>
            <w:gridSpan w:val="2"/>
          </w:tcPr>
          <w:p w14:paraId="07CDB4C7" w14:textId="6B9759C4" w:rsidR="00616AA6" w:rsidRPr="00BA5E65" w:rsidRDefault="0013129B" w:rsidP="00777C69">
            <w:pPr>
              <w:autoSpaceDE w:val="0"/>
              <w:autoSpaceDN w:val="0"/>
              <w:adjustRightInd w:val="0"/>
              <w:spacing w:before="60" w:after="60"/>
              <w:jc w:val="both"/>
              <w:rPr>
                <w:sz w:val="28"/>
                <w:szCs w:val="28"/>
              </w:rPr>
            </w:pPr>
            <w:r>
              <w:rPr>
                <w:sz w:val="28"/>
                <w:szCs w:val="28"/>
              </w:rPr>
              <w:t>Iekšlietu ministrija.</w:t>
            </w:r>
          </w:p>
        </w:tc>
      </w:tr>
      <w:tr w:rsidR="00616AA6" w:rsidRPr="00BA5E65" w14:paraId="3C5F3A2E" w14:textId="77777777" w:rsidTr="00F03184">
        <w:tc>
          <w:tcPr>
            <w:tcW w:w="426" w:type="dxa"/>
          </w:tcPr>
          <w:p w14:paraId="1211CFA4" w14:textId="77777777" w:rsidR="00616AA6" w:rsidRPr="00BA5E65" w:rsidRDefault="00616AA6" w:rsidP="00710EAA">
            <w:pPr>
              <w:spacing w:before="60"/>
              <w:rPr>
                <w:sz w:val="28"/>
                <w:szCs w:val="28"/>
              </w:rPr>
            </w:pPr>
            <w:r w:rsidRPr="00BA5E65">
              <w:rPr>
                <w:sz w:val="28"/>
                <w:szCs w:val="28"/>
              </w:rPr>
              <w:t>4.</w:t>
            </w:r>
          </w:p>
        </w:tc>
        <w:tc>
          <w:tcPr>
            <w:tcW w:w="2709" w:type="dxa"/>
            <w:gridSpan w:val="2"/>
          </w:tcPr>
          <w:p w14:paraId="50577DF3" w14:textId="77777777" w:rsidR="00616AA6" w:rsidRPr="00BA5E65" w:rsidRDefault="008C47BE" w:rsidP="00710EAA">
            <w:pPr>
              <w:spacing w:before="60" w:after="60"/>
              <w:rPr>
                <w:sz w:val="28"/>
                <w:szCs w:val="28"/>
              </w:rPr>
            </w:pPr>
            <w:r w:rsidRPr="00BA5E65">
              <w:rPr>
                <w:sz w:val="28"/>
                <w:szCs w:val="28"/>
              </w:rPr>
              <w:t xml:space="preserve">Cita informācija </w:t>
            </w:r>
          </w:p>
        </w:tc>
        <w:tc>
          <w:tcPr>
            <w:tcW w:w="5998" w:type="dxa"/>
            <w:gridSpan w:val="2"/>
          </w:tcPr>
          <w:p w14:paraId="4787B608" w14:textId="5A1900B2" w:rsidR="00E06CCE" w:rsidRPr="005651F4" w:rsidRDefault="004371FF" w:rsidP="00710EAA">
            <w:pPr>
              <w:spacing w:before="60" w:after="60"/>
              <w:jc w:val="both"/>
              <w:rPr>
                <w:sz w:val="28"/>
                <w:szCs w:val="28"/>
              </w:rPr>
            </w:pPr>
            <w:r>
              <w:rPr>
                <w:sz w:val="28"/>
                <w:szCs w:val="28"/>
              </w:rPr>
              <w:t>Nav.</w:t>
            </w:r>
          </w:p>
        </w:tc>
      </w:tr>
      <w:tr w:rsidR="00E86D2D" w:rsidRPr="00BA5E65" w14:paraId="5B465550" w14:textId="77777777" w:rsidTr="00F03184">
        <w:tc>
          <w:tcPr>
            <w:tcW w:w="9133" w:type="dxa"/>
            <w:gridSpan w:val="5"/>
          </w:tcPr>
          <w:p w14:paraId="2C47D86B" w14:textId="77777777" w:rsidR="00E86D2D" w:rsidRDefault="00E86D2D" w:rsidP="00710EAA">
            <w:pPr>
              <w:spacing w:before="60" w:after="60"/>
              <w:jc w:val="center"/>
              <w:rPr>
                <w:sz w:val="28"/>
                <w:szCs w:val="28"/>
              </w:rPr>
            </w:pPr>
            <w:r w:rsidRPr="00E86D2D">
              <w:rPr>
                <w:b/>
                <w:sz w:val="28"/>
                <w:szCs w:val="28"/>
              </w:rPr>
              <w:t>II. Tiesību akta projekta ietekme uz sabiedrību, tautsaimniecības attīstību un administratīvo slogu</w:t>
            </w:r>
          </w:p>
        </w:tc>
      </w:tr>
      <w:tr w:rsidR="00E86D2D" w:rsidRPr="00BA5E65" w14:paraId="57C704B7" w14:textId="77777777" w:rsidTr="00953A72">
        <w:tc>
          <w:tcPr>
            <w:tcW w:w="426" w:type="dxa"/>
          </w:tcPr>
          <w:p w14:paraId="3443D31A" w14:textId="77777777" w:rsidR="00E86D2D" w:rsidRPr="00BA5E65" w:rsidRDefault="00E86D2D" w:rsidP="00953A72">
            <w:pPr>
              <w:rPr>
                <w:sz w:val="28"/>
                <w:szCs w:val="28"/>
              </w:rPr>
            </w:pPr>
            <w:r>
              <w:rPr>
                <w:sz w:val="28"/>
                <w:szCs w:val="28"/>
              </w:rPr>
              <w:t xml:space="preserve">1. </w:t>
            </w:r>
          </w:p>
        </w:tc>
        <w:tc>
          <w:tcPr>
            <w:tcW w:w="2709" w:type="dxa"/>
            <w:gridSpan w:val="2"/>
          </w:tcPr>
          <w:p w14:paraId="29065BA5" w14:textId="77777777" w:rsidR="00E86D2D" w:rsidRPr="00BA5E65" w:rsidRDefault="00E86D2D" w:rsidP="00710EAA">
            <w:pPr>
              <w:spacing w:before="60" w:after="60"/>
              <w:rPr>
                <w:sz w:val="28"/>
                <w:szCs w:val="28"/>
              </w:rPr>
            </w:pPr>
            <w:r w:rsidRPr="00F31085">
              <w:rPr>
                <w:sz w:val="28"/>
                <w:szCs w:val="28"/>
              </w:rPr>
              <w:t>Sabiedrības mērķgrupas, kuras tiesiskais regulējums ietekmē vai varētu ietekmēt</w:t>
            </w:r>
          </w:p>
        </w:tc>
        <w:tc>
          <w:tcPr>
            <w:tcW w:w="5998" w:type="dxa"/>
            <w:gridSpan w:val="2"/>
          </w:tcPr>
          <w:p w14:paraId="73F6A28E" w14:textId="1B93BDFA" w:rsidR="00E86D2D" w:rsidRDefault="00E86D2D" w:rsidP="004676D7">
            <w:pPr>
              <w:spacing w:before="60" w:after="60"/>
              <w:jc w:val="both"/>
              <w:rPr>
                <w:sz w:val="28"/>
                <w:szCs w:val="28"/>
              </w:rPr>
            </w:pPr>
            <w:r w:rsidRPr="00F31085">
              <w:rPr>
                <w:sz w:val="28"/>
                <w:szCs w:val="28"/>
              </w:rPr>
              <w:t>Iekšlietu ministrijas sistēmas iestāžu un Ieslodzījuma vietu pārvaldes amatpersonas ar speciālajām dienesta pakāpēm.</w:t>
            </w:r>
          </w:p>
        </w:tc>
      </w:tr>
      <w:tr w:rsidR="00E86D2D" w:rsidRPr="00BA5E65" w14:paraId="6E450FA4" w14:textId="77777777" w:rsidTr="00953A72">
        <w:tc>
          <w:tcPr>
            <w:tcW w:w="426" w:type="dxa"/>
          </w:tcPr>
          <w:p w14:paraId="090CC650" w14:textId="77777777" w:rsidR="00E86D2D" w:rsidRDefault="00E86D2D" w:rsidP="00953A72">
            <w:pPr>
              <w:rPr>
                <w:sz w:val="28"/>
                <w:szCs w:val="28"/>
              </w:rPr>
            </w:pPr>
            <w:r>
              <w:rPr>
                <w:sz w:val="28"/>
                <w:szCs w:val="28"/>
              </w:rPr>
              <w:t>2.</w:t>
            </w:r>
          </w:p>
        </w:tc>
        <w:tc>
          <w:tcPr>
            <w:tcW w:w="2709" w:type="dxa"/>
            <w:gridSpan w:val="2"/>
          </w:tcPr>
          <w:p w14:paraId="4A2098C5" w14:textId="77777777" w:rsidR="00E86D2D" w:rsidRPr="00F31085" w:rsidRDefault="00E86D2D" w:rsidP="00710EAA">
            <w:pPr>
              <w:spacing w:before="60" w:after="60"/>
              <w:rPr>
                <w:sz w:val="28"/>
                <w:szCs w:val="28"/>
              </w:rPr>
            </w:pPr>
            <w:r w:rsidRPr="00D65D1A">
              <w:rPr>
                <w:sz w:val="28"/>
                <w:szCs w:val="28"/>
              </w:rPr>
              <w:t>Tiesiskā regulējuma ietekme uz tautsaimniecību un administratīvo slogu</w:t>
            </w:r>
          </w:p>
        </w:tc>
        <w:tc>
          <w:tcPr>
            <w:tcW w:w="5998" w:type="dxa"/>
            <w:gridSpan w:val="2"/>
          </w:tcPr>
          <w:p w14:paraId="5F918FC3" w14:textId="0727CF83" w:rsidR="00E86D2D" w:rsidRPr="00F31085" w:rsidRDefault="005B2CAE" w:rsidP="00FA3806">
            <w:pPr>
              <w:spacing w:before="60" w:after="60"/>
              <w:jc w:val="both"/>
              <w:rPr>
                <w:sz w:val="28"/>
                <w:szCs w:val="28"/>
              </w:rPr>
            </w:pPr>
            <w:r w:rsidRPr="00F31085">
              <w:rPr>
                <w:sz w:val="28"/>
                <w:szCs w:val="28"/>
              </w:rPr>
              <w:t>Projekts šo jomu neskar.</w:t>
            </w:r>
          </w:p>
        </w:tc>
      </w:tr>
      <w:tr w:rsidR="00E86D2D" w:rsidRPr="00BA5E65" w14:paraId="288D41B9" w14:textId="77777777" w:rsidTr="00953A72">
        <w:tc>
          <w:tcPr>
            <w:tcW w:w="426" w:type="dxa"/>
          </w:tcPr>
          <w:p w14:paraId="6A7604AE" w14:textId="77777777" w:rsidR="00E86D2D" w:rsidRPr="00BA5E65" w:rsidRDefault="00E86D2D" w:rsidP="00953A72">
            <w:pPr>
              <w:rPr>
                <w:sz w:val="28"/>
                <w:szCs w:val="28"/>
              </w:rPr>
            </w:pPr>
            <w:r>
              <w:rPr>
                <w:sz w:val="28"/>
                <w:szCs w:val="28"/>
              </w:rPr>
              <w:t>3.</w:t>
            </w:r>
          </w:p>
        </w:tc>
        <w:tc>
          <w:tcPr>
            <w:tcW w:w="2709" w:type="dxa"/>
            <w:gridSpan w:val="2"/>
          </w:tcPr>
          <w:p w14:paraId="4C9E7C06" w14:textId="77777777" w:rsidR="00E86D2D" w:rsidRPr="00BA5E65" w:rsidRDefault="00E86D2D" w:rsidP="00710EAA">
            <w:pPr>
              <w:spacing w:before="60" w:after="60"/>
              <w:rPr>
                <w:sz w:val="28"/>
                <w:szCs w:val="28"/>
              </w:rPr>
            </w:pPr>
            <w:r w:rsidRPr="003B10C2">
              <w:rPr>
                <w:sz w:val="28"/>
                <w:szCs w:val="28"/>
              </w:rPr>
              <w:t>Administratīvo izmaksu monetārs novērtējums</w:t>
            </w:r>
          </w:p>
        </w:tc>
        <w:tc>
          <w:tcPr>
            <w:tcW w:w="5998" w:type="dxa"/>
            <w:gridSpan w:val="2"/>
          </w:tcPr>
          <w:p w14:paraId="7708D2D6" w14:textId="77777777" w:rsidR="00E86D2D" w:rsidRDefault="00E86D2D" w:rsidP="00710EAA">
            <w:pPr>
              <w:spacing w:before="60" w:after="60"/>
              <w:jc w:val="both"/>
              <w:rPr>
                <w:sz w:val="28"/>
                <w:szCs w:val="28"/>
              </w:rPr>
            </w:pPr>
            <w:r w:rsidRPr="00F31085">
              <w:rPr>
                <w:sz w:val="28"/>
                <w:szCs w:val="28"/>
              </w:rPr>
              <w:t>Projekts šo jomu neskar.</w:t>
            </w:r>
          </w:p>
        </w:tc>
      </w:tr>
      <w:tr w:rsidR="00E86D2D" w:rsidRPr="00BA5E65" w14:paraId="36609A53" w14:textId="77777777" w:rsidTr="00953A72">
        <w:tc>
          <w:tcPr>
            <w:tcW w:w="426" w:type="dxa"/>
          </w:tcPr>
          <w:p w14:paraId="4E1F11ED" w14:textId="77777777" w:rsidR="00E86D2D" w:rsidRPr="00BA5E65" w:rsidRDefault="00E86D2D" w:rsidP="00953A72">
            <w:pPr>
              <w:rPr>
                <w:sz w:val="28"/>
                <w:szCs w:val="28"/>
              </w:rPr>
            </w:pPr>
            <w:r>
              <w:rPr>
                <w:sz w:val="28"/>
                <w:szCs w:val="28"/>
              </w:rPr>
              <w:t>4.</w:t>
            </w:r>
          </w:p>
        </w:tc>
        <w:tc>
          <w:tcPr>
            <w:tcW w:w="2709" w:type="dxa"/>
            <w:gridSpan w:val="2"/>
          </w:tcPr>
          <w:p w14:paraId="18FF8206" w14:textId="77777777" w:rsidR="00E86D2D" w:rsidRPr="00BA5E65" w:rsidRDefault="00E86D2D" w:rsidP="00710EAA">
            <w:pPr>
              <w:spacing w:before="60" w:after="60"/>
              <w:rPr>
                <w:sz w:val="28"/>
                <w:szCs w:val="28"/>
              </w:rPr>
            </w:pPr>
            <w:r w:rsidRPr="00D65D1A">
              <w:rPr>
                <w:sz w:val="28"/>
                <w:szCs w:val="28"/>
              </w:rPr>
              <w:t>Cita informācija</w:t>
            </w:r>
          </w:p>
        </w:tc>
        <w:tc>
          <w:tcPr>
            <w:tcW w:w="5998" w:type="dxa"/>
            <w:gridSpan w:val="2"/>
          </w:tcPr>
          <w:p w14:paraId="1D2BDA40" w14:textId="77777777" w:rsidR="00E86D2D" w:rsidRDefault="00E86D2D" w:rsidP="00710EAA">
            <w:pPr>
              <w:spacing w:before="60" w:after="60"/>
              <w:jc w:val="both"/>
              <w:rPr>
                <w:sz w:val="28"/>
                <w:szCs w:val="28"/>
              </w:rPr>
            </w:pPr>
            <w:r w:rsidRPr="00D65D1A">
              <w:rPr>
                <w:sz w:val="28"/>
                <w:szCs w:val="28"/>
              </w:rPr>
              <w:t>Nav</w:t>
            </w:r>
            <w:r>
              <w:rPr>
                <w:sz w:val="28"/>
                <w:szCs w:val="28"/>
              </w:rPr>
              <w:t>.</w:t>
            </w:r>
          </w:p>
        </w:tc>
      </w:tr>
      <w:tr w:rsidR="00F03184" w:rsidRPr="005A3C61" w14:paraId="26039478" w14:textId="77777777" w:rsidTr="008A4EEF">
        <w:tc>
          <w:tcPr>
            <w:tcW w:w="9133" w:type="dxa"/>
            <w:gridSpan w:val="5"/>
          </w:tcPr>
          <w:p w14:paraId="78A67C83" w14:textId="77777777" w:rsidR="00F03184" w:rsidRPr="00F03184" w:rsidRDefault="00F03184" w:rsidP="008A4EEF">
            <w:pPr>
              <w:pStyle w:val="naisf"/>
              <w:spacing w:before="60" w:after="60"/>
              <w:ind w:firstLine="357"/>
              <w:jc w:val="center"/>
              <w:rPr>
                <w:b/>
                <w:color w:val="000000" w:themeColor="text1"/>
                <w:sz w:val="28"/>
                <w:szCs w:val="26"/>
              </w:rPr>
            </w:pPr>
            <w:r w:rsidRPr="00F03184">
              <w:rPr>
                <w:b/>
                <w:sz w:val="28"/>
              </w:rPr>
              <w:t>VII</w:t>
            </w:r>
            <w:r w:rsidR="00237C20">
              <w:rPr>
                <w:b/>
                <w:sz w:val="28"/>
              </w:rPr>
              <w:t>.</w:t>
            </w:r>
            <w:r w:rsidRPr="00F03184">
              <w:rPr>
                <w:b/>
                <w:sz w:val="28"/>
              </w:rPr>
              <w:t xml:space="preserve"> Tiesību akta projekta izpildes nodrošināšana un tās ietekme uz institūcijām</w:t>
            </w:r>
          </w:p>
        </w:tc>
      </w:tr>
      <w:tr w:rsidR="00F03184" w14:paraId="0E11D3FD" w14:textId="77777777" w:rsidTr="008A4EEF">
        <w:tc>
          <w:tcPr>
            <w:tcW w:w="534" w:type="dxa"/>
            <w:gridSpan w:val="2"/>
          </w:tcPr>
          <w:p w14:paraId="72638234" w14:textId="77777777" w:rsidR="00F03184" w:rsidRDefault="00F03184" w:rsidP="008A4EEF">
            <w:pPr>
              <w:rPr>
                <w:iCs/>
                <w:sz w:val="28"/>
                <w:szCs w:val="28"/>
                <w:lang w:eastAsia="lv-LV"/>
              </w:rPr>
            </w:pPr>
            <w:r>
              <w:rPr>
                <w:iCs/>
                <w:sz w:val="28"/>
                <w:szCs w:val="28"/>
                <w:lang w:eastAsia="lv-LV"/>
              </w:rPr>
              <w:lastRenderedPageBreak/>
              <w:t>1.</w:t>
            </w:r>
          </w:p>
        </w:tc>
        <w:tc>
          <w:tcPr>
            <w:tcW w:w="4536" w:type="dxa"/>
            <w:gridSpan w:val="2"/>
          </w:tcPr>
          <w:p w14:paraId="6E86F116" w14:textId="77777777" w:rsidR="00F03184" w:rsidRDefault="00F03184" w:rsidP="008A4EEF">
            <w:pPr>
              <w:spacing w:before="60" w:after="60"/>
              <w:rPr>
                <w:iCs/>
                <w:sz w:val="28"/>
                <w:szCs w:val="28"/>
                <w:lang w:eastAsia="lv-LV"/>
              </w:rPr>
            </w:pPr>
            <w:r w:rsidRPr="00ED6A06">
              <w:rPr>
                <w:sz w:val="28"/>
                <w:szCs w:val="28"/>
              </w:rPr>
              <w:t>Projekta izpildē iesaistītās institūcijas</w:t>
            </w:r>
          </w:p>
        </w:tc>
        <w:tc>
          <w:tcPr>
            <w:tcW w:w="4063" w:type="dxa"/>
            <w:vAlign w:val="center"/>
          </w:tcPr>
          <w:p w14:paraId="49DBBDEC" w14:textId="6B3F6CF3" w:rsidR="00F03184" w:rsidRDefault="004371FF" w:rsidP="0018504A">
            <w:pPr>
              <w:spacing w:before="60" w:after="60"/>
              <w:jc w:val="both"/>
              <w:rPr>
                <w:iCs/>
                <w:sz w:val="28"/>
                <w:szCs w:val="28"/>
                <w:lang w:eastAsia="lv-LV"/>
              </w:rPr>
            </w:pPr>
            <w:r w:rsidRPr="00F31085">
              <w:rPr>
                <w:sz w:val="28"/>
                <w:szCs w:val="28"/>
              </w:rPr>
              <w:t>Iekšlietu ministrijas sistēmas iestā</w:t>
            </w:r>
            <w:r>
              <w:rPr>
                <w:sz w:val="28"/>
                <w:szCs w:val="28"/>
              </w:rPr>
              <w:t>des (Valsts policija, Valsts robežsardze, Valsts ugunsdzēsības un glābšanas dienests, Valsts policijas koledža, Valsts robežsardzes koledža, Ugunsdrošības un civilās aizsardzības koledža)</w:t>
            </w:r>
            <w:r w:rsidRPr="00F31085">
              <w:rPr>
                <w:sz w:val="28"/>
                <w:szCs w:val="28"/>
              </w:rPr>
              <w:t xml:space="preserve"> un Ieslodzījuma vietu pārvalde</w:t>
            </w:r>
            <w:r w:rsidR="00850054" w:rsidRPr="007A462B">
              <w:rPr>
                <w:iCs/>
                <w:sz w:val="28"/>
                <w:szCs w:val="28"/>
                <w:lang w:eastAsia="lv-LV"/>
              </w:rPr>
              <w:t>.</w:t>
            </w:r>
          </w:p>
        </w:tc>
      </w:tr>
      <w:tr w:rsidR="00F03184" w14:paraId="189A75B9" w14:textId="77777777" w:rsidTr="008A4EEF">
        <w:tc>
          <w:tcPr>
            <w:tcW w:w="534" w:type="dxa"/>
            <w:gridSpan w:val="2"/>
          </w:tcPr>
          <w:p w14:paraId="5CFE4ECD" w14:textId="77777777" w:rsidR="00F03184" w:rsidRDefault="00F03184" w:rsidP="008A4EEF">
            <w:pPr>
              <w:rPr>
                <w:iCs/>
                <w:sz w:val="28"/>
                <w:szCs w:val="28"/>
                <w:lang w:eastAsia="lv-LV"/>
              </w:rPr>
            </w:pPr>
            <w:r>
              <w:rPr>
                <w:iCs/>
                <w:sz w:val="28"/>
                <w:szCs w:val="28"/>
                <w:lang w:eastAsia="lv-LV"/>
              </w:rPr>
              <w:t>2.</w:t>
            </w:r>
          </w:p>
        </w:tc>
        <w:tc>
          <w:tcPr>
            <w:tcW w:w="4536" w:type="dxa"/>
            <w:gridSpan w:val="2"/>
          </w:tcPr>
          <w:p w14:paraId="2321E9AA" w14:textId="77777777" w:rsidR="00F03184" w:rsidRDefault="00F03184" w:rsidP="008A4EEF">
            <w:pPr>
              <w:spacing w:before="60" w:after="60"/>
              <w:rPr>
                <w:iCs/>
                <w:sz w:val="28"/>
                <w:szCs w:val="28"/>
                <w:lang w:eastAsia="lv-LV"/>
              </w:rPr>
            </w:pPr>
            <w:r w:rsidRPr="00ED6A06">
              <w:rPr>
                <w:sz w:val="28"/>
                <w:szCs w:val="28"/>
              </w:rPr>
              <w:t>Projekta izpildes ietekme uz pārvaldes funkcijām un institucionālo struktūru. Jaunu institūciju izveide, esošu institūciju likvidācija vai reorganizācija, to ietekme uz institūcijas cilvēkresursiem</w:t>
            </w:r>
          </w:p>
        </w:tc>
        <w:tc>
          <w:tcPr>
            <w:tcW w:w="4063" w:type="dxa"/>
          </w:tcPr>
          <w:p w14:paraId="670DD468" w14:textId="77777777" w:rsidR="00F03184" w:rsidRDefault="00F03184" w:rsidP="0018504A">
            <w:pPr>
              <w:spacing w:before="60"/>
              <w:jc w:val="both"/>
              <w:rPr>
                <w:iCs/>
                <w:sz w:val="28"/>
                <w:szCs w:val="28"/>
                <w:lang w:eastAsia="lv-LV"/>
              </w:rPr>
            </w:pPr>
            <w:r w:rsidRPr="00ED6A06">
              <w:rPr>
                <w:sz w:val="28"/>
                <w:szCs w:val="28"/>
              </w:rPr>
              <w:t>Saistībā ar projekta izpildi nav nepieciešams veidot jaunas institūcijas, likvidēt vai reorganizēt esošās.</w:t>
            </w:r>
          </w:p>
        </w:tc>
      </w:tr>
      <w:tr w:rsidR="00F03184" w14:paraId="3FEC1AB6" w14:textId="77777777" w:rsidTr="008A4EEF">
        <w:tc>
          <w:tcPr>
            <w:tcW w:w="534" w:type="dxa"/>
            <w:gridSpan w:val="2"/>
          </w:tcPr>
          <w:p w14:paraId="78A2E8CF" w14:textId="77777777" w:rsidR="00F03184" w:rsidRDefault="00F03184" w:rsidP="008A4EEF">
            <w:pPr>
              <w:rPr>
                <w:iCs/>
                <w:sz w:val="28"/>
                <w:szCs w:val="28"/>
                <w:lang w:eastAsia="lv-LV"/>
              </w:rPr>
            </w:pPr>
            <w:r>
              <w:rPr>
                <w:iCs/>
                <w:sz w:val="28"/>
                <w:szCs w:val="28"/>
                <w:lang w:eastAsia="lv-LV"/>
              </w:rPr>
              <w:t>3.</w:t>
            </w:r>
          </w:p>
        </w:tc>
        <w:tc>
          <w:tcPr>
            <w:tcW w:w="4536" w:type="dxa"/>
            <w:gridSpan w:val="2"/>
          </w:tcPr>
          <w:p w14:paraId="1CCA4CA8" w14:textId="77777777" w:rsidR="00F03184" w:rsidRDefault="008A4EEF" w:rsidP="008A4EEF">
            <w:pPr>
              <w:spacing w:before="60" w:after="60"/>
              <w:rPr>
                <w:iCs/>
                <w:sz w:val="28"/>
                <w:szCs w:val="28"/>
                <w:lang w:eastAsia="lv-LV"/>
              </w:rPr>
            </w:pPr>
            <w:r>
              <w:rPr>
                <w:iCs/>
                <w:sz w:val="28"/>
                <w:szCs w:val="28"/>
                <w:lang w:eastAsia="lv-LV"/>
              </w:rPr>
              <w:t>Cita informācija</w:t>
            </w:r>
          </w:p>
        </w:tc>
        <w:tc>
          <w:tcPr>
            <w:tcW w:w="4063" w:type="dxa"/>
            <w:vAlign w:val="center"/>
          </w:tcPr>
          <w:p w14:paraId="17EB7B76" w14:textId="77777777" w:rsidR="00F03184" w:rsidRDefault="00F03184" w:rsidP="008A4EEF">
            <w:pPr>
              <w:spacing w:before="60" w:after="60"/>
              <w:rPr>
                <w:iCs/>
                <w:sz w:val="28"/>
                <w:szCs w:val="28"/>
                <w:lang w:eastAsia="lv-LV"/>
              </w:rPr>
            </w:pPr>
            <w:r w:rsidRPr="00ED6A06">
              <w:rPr>
                <w:sz w:val="28"/>
                <w:szCs w:val="28"/>
              </w:rPr>
              <w:t>Nav</w:t>
            </w:r>
            <w:r>
              <w:rPr>
                <w:sz w:val="28"/>
                <w:szCs w:val="28"/>
              </w:rPr>
              <w:t>.</w:t>
            </w:r>
          </w:p>
        </w:tc>
      </w:tr>
    </w:tbl>
    <w:p w14:paraId="5FC97E79" w14:textId="77777777" w:rsidR="00ED6A06" w:rsidRDefault="00ED6A06" w:rsidP="0007077C">
      <w:pPr>
        <w:rPr>
          <w:iCs/>
          <w:sz w:val="28"/>
          <w:szCs w:val="28"/>
          <w:lang w:eastAsia="lv-LV"/>
        </w:rPr>
      </w:pPr>
    </w:p>
    <w:p w14:paraId="5005D74D" w14:textId="0B68A429" w:rsidR="0007077C" w:rsidRPr="00A63E6C" w:rsidRDefault="008D5F20" w:rsidP="0007077C">
      <w:pPr>
        <w:rPr>
          <w:sz w:val="28"/>
          <w:szCs w:val="28"/>
          <w:lang w:eastAsia="lv-LV"/>
        </w:rPr>
      </w:pPr>
      <w:r>
        <w:rPr>
          <w:iCs/>
          <w:sz w:val="28"/>
          <w:szCs w:val="28"/>
          <w:lang w:eastAsia="lv-LV"/>
        </w:rPr>
        <w:t xml:space="preserve">Anotācijas </w:t>
      </w:r>
      <w:r w:rsidR="00132DF0">
        <w:rPr>
          <w:iCs/>
          <w:sz w:val="28"/>
          <w:szCs w:val="28"/>
          <w:lang w:eastAsia="lv-LV"/>
        </w:rPr>
        <w:t xml:space="preserve">III, </w:t>
      </w:r>
      <w:r w:rsidR="0007077C" w:rsidRPr="00A63E6C">
        <w:rPr>
          <w:iCs/>
          <w:sz w:val="28"/>
          <w:szCs w:val="28"/>
          <w:lang w:eastAsia="lv-LV"/>
        </w:rPr>
        <w:t>IV, V</w:t>
      </w:r>
      <w:r w:rsidR="00AF1B96">
        <w:rPr>
          <w:iCs/>
          <w:sz w:val="28"/>
          <w:szCs w:val="28"/>
          <w:lang w:eastAsia="lv-LV"/>
        </w:rPr>
        <w:t xml:space="preserve"> un</w:t>
      </w:r>
      <w:r w:rsidR="0007077C" w:rsidRPr="00A63E6C">
        <w:rPr>
          <w:iCs/>
          <w:sz w:val="28"/>
          <w:szCs w:val="28"/>
          <w:lang w:eastAsia="lv-LV"/>
        </w:rPr>
        <w:t xml:space="preserve"> VI</w:t>
      </w:r>
      <w:r>
        <w:rPr>
          <w:iCs/>
          <w:sz w:val="28"/>
          <w:szCs w:val="28"/>
          <w:lang w:eastAsia="lv-LV"/>
        </w:rPr>
        <w:t xml:space="preserve"> </w:t>
      </w:r>
      <w:r w:rsidR="0007077C" w:rsidRPr="00A63E6C">
        <w:rPr>
          <w:iCs/>
          <w:sz w:val="28"/>
          <w:szCs w:val="28"/>
          <w:lang w:eastAsia="lv-LV"/>
        </w:rPr>
        <w:t>sadaļa</w:t>
      </w:r>
      <w:r w:rsidR="002A6197">
        <w:rPr>
          <w:iCs/>
          <w:sz w:val="28"/>
          <w:szCs w:val="28"/>
          <w:lang w:eastAsia="lv-LV"/>
        </w:rPr>
        <w:t xml:space="preserve"> –</w:t>
      </w:r>
      <w:r w:rsidR="0007077C" w:rsidRPr="00A63E6C">
        <w:rPr>
          <w:iCs/>
          <w:sz w:val="28"/>
          <w:szCs w:val="28"/>
          <w:lang w:eastAsia="lv-LV"/>
        </w:rPr>
        <w:t xml:space="preserve"> </w:t>
      </w:r>
      <w:r w:rsidR="0007077C" w:rsidRPr="00A63E6C">
        <w:rPr>
          <w:sz w:val="28"/>
          <w:szCs w:val="28"/>
          <w:lang w:eastAsia="lv-LV"/>
        </w:rPr>
        <w:t>projekts šo jomu neskar.</w:t>
      </w:r>
    </w:p>
    <w:p w14:paraId="0B217BAB" w14:textId="77777777" w:rsidR="00AF1B96" w:rsidRDefault="00AF1B96" w:rsidP="00C338A6">
      <w:pPr>
        <w:jc w:val="both"/>
        <w:rPr>
          <w:sz w:val="28"/>
          <w:szCs w:val="28"/>
          <w:lang w:val="de-DE"/>
        </w:rPr>
      </w:pPr>
    </w:p>
    <w:p w14:paraId="1E9208AB" w14:textId="77777777" w:rsidR="00AF1B96" w:rsidRDefault="00AF1B96" w:rsidP="00C338A6">
      <w:pPr>
        <w:jc w:val="both"/>
        <w:rPr>
          <w:sz w:val="28"/>
          <w:szCs w:val="28"/>
          <w:lang w:val="de-DE"/>
        </w:rPr>
      </w:pPr>
    </w:p>
    <w:p w14:paraId="63634EC7" w14:textId="01AECC19" w:rsidR="00616AA6" w:rsidRDefault="00616AA6" w:rsidP="00C338A6">
      <w:pPr>
        <w:jc w:val="both"/>
        <w:rPr>
          <w:sz w:val="28"/>
          <w:szCs w:val="28"/>
          <w:lang w:val="de-DE"/>
        </w:rPr>
      </w:pPr>
      <w:r w:rsidRPr="00D1252E">
        <w:rPr>
          <w:sz w:val="28"/>
          <w:szCs w:val="28"/>
          <w:lang w:val="de-DE"/>
        </w:rPr>
        <w:t>Iekšlietu ministrs</w:t>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00A217E7" w:rsidRPr="00D1252E">
        <w:rPr>
          <w:sz w:val="28"/>
          <w:szCs w:val="28"/>
          <w:lang w:val="de-DE"/>
        </w:rPr>
        <w:t xml:space="preserve">           </w:t>
      </w:r>
      <w:r w:rsidR="004E3B9D">
        <w:rPr>
          <w:sz w:val="28"/>
          <w:szCs w:val="28"/>
          <w:lang w:val="de-DE"/>
        </w:rPr>
        <w:tab/>
      </w:r>
      <w:r w:rsidR="000C0D0C">
        <w:rPr>
          <w:sz w:val="28"/>
          <w:szCs w:val="28"/>
          <w:lang w:val="de-DE"/>
        </w:rPr>
        <w:t xml:space="preserve">    </w:t>
      </w:r>
      <w:r w:rsidR="00E72240">
        <w:rPr>
          <w:sz w:val="28"/>
          <w:szCs w:val="28"/>
          <w:lang w:val="de-DE"/>
        </w:rPr>
        <w:t xml:space="preserve"> </w:t>
      </w:r>
      <w:r w:rsidR="00A217E7" w:rsidRPr="00D1252E">
        <w:rPr>
          <w:sz w:val="28"/>
          <w:szCs w:val="28"/>
          <w:lang w:val="de-DE"/>
        </w:rPr>
        <w:t xml:space="preserve">  </w:t>
      </w:r>
      <w:r w:rsidR="0069179F">
        <w:rPr>
          <w:sz w:val="28"/>
          <w:szCs w:val="28"/>
          <w:lang w:val="de-DE"/>
        </w:rPr>
        <w:t>R.</w:t>
      </w:r>
      <w:r w:rsidRPr="00D1252E">
        <w:rPr>
          <w:sz w:val="28"/>
          <w:szCs w:val="28"/>
          <w:lang w:val="de-DE"/>
        </w:rPr>
        <w:t>Kozlovskis</w:t>
      </w:r>
    </w:p>
    <w:p w14:paraId="10DBE495" w14:textId="77777777" w:rsidR="004E3B9D" w:rsidRDefault="004E3B9D" w:rsidP="00C338A6">
      <w:pPr>
        <w:jc w:val="both"/>
        <w:rPr>
          <w:sz w:val="28"/>
          <w:szCs w:val="28"/>
        </w:rPr>
      </w:pPr>
    </w:p>
    <w:p w14:paraId="5EDCE7AB" w14:textId="77777777" w:rsidR="004E3B9D" w:rsidRPr="00D1252E" w:rsidRDefault="004E3B9D" w:rsidP="00C338A6">
      <w:pPr>
        <w:jc w:val="both"/>
        <w:rPr>
          <w:sz w:val="28"/>
          <w:szCs w:val="28"/>
        </w:rPr>
      </w:pPr>
    </w:p>
    <w:p w14:paraId="73D20D25" w14:textId="59ED991E" w:rsidR="002720A2" w:rsidRDefault="00616AA6" w:rsidP="00C338A6">
      <w:pPr>
        <w:pStyle w:val="naisf"/>
        <w:ind w:firstLine="0"/>
        <w:rPr>
          <w:color w:val="000000"/>
          <w:sz w:val="20"/>
          <w:szCs w:val="20"/>
        </w:rPr>
      </w:pPr>
      <w:r w:rsidRPr="00D1252E">
        <w:rPr>
          <w:sz w:val="28"/>
          <w:szCs w:val="28"/>
        </w:rPr>
        <w:t>Vīza: valsts sekretāre</w:t>
      </w:r>
      <w:r w:rsidRPr="00D1252E">
        <w:rPr>
          <w:sz w:val="28"/>
          <w:szCs w:val="28"/>
        </w:rPr>
        <w:tab/>
      </w:r>
      <w:r w:rsidRPr="00D1252E">
        <w:rPr>
          <w:sz w:val="28"/>
          <w:szCs w:val="28"/>
        </w:rPr>
        <w:tab/>
      </w:r>
      <w:r w:rsidRPr="00D1252E">
        <w:rPr>
          <w:sz w:val="28"/>
          <w:szCs w:val="28"/>
        </w:rPr>
        <w:tab/>
      </w:r>
      <w:r w:rsidRPr="00D1252E">
        <w:rPr>
          <w:sz w:val="28"/>
          <w:szCs w:val="28"/>
        </w:rPr>
        <w:tab/>
      </w:r>
      <w:r w:rsidR="004E3B9D">
        <w:rPr>
          <w:sz w:val="28"/>
          <w:szCs w:val="28"/>
        </w:rPr>
        <w:tab/>
      </w:r>
      <w:proofErr w:type="gramStart"/>
      <w:r w:rsidR="000C0D0C">
        <w:rPr>
          <w:sz w:val="28"/>
          <w:szCs w:val="28"/>
        </w:rPr>
        <w:t xml:space="preserve">     </w:t>
      </w:r>
      <w:r w:rsidR="00502E7D" w:rsidRPr="00D1252E">
        <w:rPr>
          <w:sz w:val="28"/>
          <w:szCs w:val="28"/>
        </w:rPr>
        <w:t xml:space="preserve"> </w:t>
      </w:r>
      <w:proofErr w:type="gramEnd"/>
      <w:r w:rsidRPr="00D1252E">
        <w:rPr>
          <w:sz w:val="28"/>
          <w:szCs w:val="28"/>
        </w:rPr>
        <w:t>I.Pētersone</w:t>
      </w:r>
      <w:r w:rsidR="00B74BDF" w:rsidRPr="00D1252E">
        <w:rPr>
          <w:sz w:val="28"/>
          <w:szCs w:val="28"/>
        </w:rPr>
        <w:t>–</w:t>
      </w:r>
      <w:r w:rsidRPr="00D1252E">
        <w:rPr>
          <w:sz w:val="28"/>
          <w:szCs w:val="28"/>
        </w:rPr>
        <w:t>Godmane</w:t>
      </w:r>
    </w:p>
    <w:p w14:paraId="5C4F3103" w14:textId="77777777" w:rsidR="00AF1B96" w:rsidRDefault="00AF1B96" w:rsidP="00D539DB">
      <w:pPr>
        <w:rPr>
          <w:color w:val="000000"/>
          <w:sz w:val="20"/>
          <w:szCs w:val="20"/>
        </w:rPr>
      </w:pPr>
    </w:p>
    <w:p w14:paraId="65182192" w14:textId="77777777" w:rsidR="00AF1B96" w:rsidRDefault="00AF1B96" w:rsidP="00D539DB">
      <w:pPr>
        <w:rPr>
          <w:color w:val="000000"/>
          <w:sz w:val="20"/>
          <w:szCs w:val="20"/>
        </w:rPr>
      </w:pPr>
    </w:p>
    <w:p w14:paraId="69CCC3F0" w14:textId="77777777" w:rsidR="00AF1B96" w:rsidRDefault="00AF1B96" w:rsidP="00D539DB">
      <w:pPr>
        <w:rPr>
          <w:color w:val="000000"/>
          <w:sz w:val="20"/>
          <w:szCs w:val="20"/>
        </w:rPr>
      </w:pPr>
    </w:p>
    <w:p w14:paraId="6F85CF96" w14:textId="77777777" w:rsidR="00AF1B96" w:rsidRDefault="00AF1B96" w:rsidP="00D539DB">
      <w:pPr>
        <w:rPr>
          <w:color w:val="000000"/>
          <w:sz w:val="20"/>
          <w:szCs w:val="20"/>
        </w:rPr>
      </w:pPr>
    </w:p>
    <w:p w14:paraId="7B79A1ED" w14:textId="77777777" w:rsidR="00AF1B96" w:rsidRDefault="00AF1B96" w:rsidP="00D539DB">
      <w:pPr>
        <w:rPr>
          <w:color w:val="000000"/>
          <w:sz w:val="20"/>
          <w:szCs w:val="20"/>
        </w:rPr>
      </w:pPr>
    </w:p>
    <w:p w14:paraId="038D5D70" w14:textId="77777777" w:rsidR="0018504A" w:rsidRPr="00270B28" w:rsidRDefault="0018504A" w:rsidP="00CE417F">
      <w:pPr>
        <w:pStyle w:val="naisf"/>
        <w:spacing w:before="0" w:after="0"/>
        <w:ind w:firstLine="0"/>
        <w:rPr>
          <w:sz w:val="20"/>
          <w:szCs w:val="20"/>
          <w:lang w:val="en-US"/>
        </w:rPr>
      </w:pPr>
    </w:p>
    <w:p w14:paraId="614638B9" w14:textId="77777777" w:rsidR="0018504A" w:rsidRPr="00270B28" w:rsidRDefault="0018504A" w:rsidP="00CE417F">
      <w:pPr>
        <w:pStyle w:val="naisf"/>
        <w:spacing w:before="0" w:after="0"/>
        <w:ind w:firstLine="0"/>
        <w:rPr>
          <w:sz w:val="20"/>
          <w:szCs w:val="20"/>
          <w:lang w:val="en-US"/>
        </w:rPr>
      </w:pPr>
    </w:p>
    <w:p w14:paraId="5DFB0365" w14:textId="77777777" w:rsidR="0018504A" w:rsidRPr="00270B28" w:rsidRDefault="0018504A" w:rsidP="00CE417F">
      <w:pPr>
        <w:pStyle w:val="naisf"/>
        <w:spacing w:before="0" w:after="0"/>
        <w:ind w:firstLine="0"/>
        <w:rPr>
          <w:sz w:val="20"/>
          <w:szCs w:val="20"/>
          <w:lang w:val="en-US"/>
        </w:rPr>
      </w:pPr>
    </w:p>
    <w:p w14:paraId="01BE3301" w14:textId="77777777" w:rsidR="0018504A" w:rsidRPr="00270B28" w:rsidRDefault="0018504A" w:rsidP="00CE417F">
      <w:pPr>
        <w:pStyle w:val="naisf"/>
        <w:spacing w:before="0" w:after="0"/>
        <w:ind w:firstLine="0"/>
        <w:rPr>
          <w:sz w:val="20"/>
          <w:szCs w:val="20"/>
          <w:lang w:val="en-US"/>
        </w:rPr>
      </w:pPr>
    </w:p>
    <w:p w14:paraId="4C1CD9A6" w14:textId="77777777" w:rsidR="0018504A" w:rsidRPr="00270B28" w:rsidRDefault="0018504A" w:rsidP="00CE417F">
      <w:pPr>
        <w:pStyle w:val="naisf"/>
        <w:spacing w:before="0" w:after="0"/>
        <w:ind w:firstLine="0"/>
        <w:rPr>
          <w:sz w:val="20"/>
          <w:szCs w:val="20"/>
          <w:lang w:val="en-US"/>
        </w:rPr>
      </w:pPr>
    </w:p>
    <w:p w14:paraId="09D68781" w14:textId="77777777" w:rsidR="0018504A" w:rsidRPr="00270B28" w:rsidRDefault="0018504A" w:rsidP="00CE417F">
      <w:pPr>
        <w:pStyle w:val="naisf"/>
        <w:spacing w:before="0" w:after="0"/>
        <w:ind w:firstLine="0"/>
        <w:rPr>
          <w:sz w:val="20"/>
          <w:szCs w:val="20"/>
          <w:lang w:val="en-US"/>
        </w:rPr>
      </w:pPr>
    </w:p>
    <w:p w14:paraId="06191D4F" w14:textId="77777777" w:rsidR="0018504A" w:rsidRDefault="0018504A" w:rsidP="00CE417F">
      <w:pPr>
        <w:pStyle w:val="naisf"/>
        <w:spacing w:before="0" w:after="0"/>
        <w:ind w:firstLine="0"/>
        <w:rPr>
          <w:sz w:val="20"/>
          <w:szCs w:val="20"/>
          <w:lang w:val="en-US"/>
        </w:rPr>
      </w:pPr>
    </w:p>
    <w:p w14:paraId="21E49E71" w14:textId="77777777" w:rsidR="004E3B9D" w:rsidRDefault="004E3B9D" w:rsidP="00CE417F">
      <w:pPr>
        <w:pStyle w:val="naisf"/>
        <w:spacing w:before="0" w:after="0"/>
        <w:ind w:firstLine="0"/>
        <w:rPr>
          <w:sz w:val="20"/>
          <w:szCs w:val="20"/>
          <w:lang w:val="en-US"/>
        </w:rPr>
      </w:pPr>
    </w:p>
    <w:p w14:paraId="39E8BFF7" w14:textId="77777777" w:rsidR="00FC1DE3" w:rsidRDefault="00FC1DE3" w:rsidP="00CE417F">
      <w:pPr>
        <w:pStyle w:val="naisf"/>
        <w:spacing w:before="0" w:after="0"/>
        <w:ind w:firstLine="0"/>
        <w:rPr>
          <w:sz w:val="20"/>
          <w:szCs w:val="20"/>
          <w:lang w:val="en-US"/>
        </w:rPr>
      </w:pPr>
      <w:bookmarkStart w:id="0" w:name="_GoBack"/>
      <w:bookmarkEnd w:id="0"/>
    </w:p>
    <w:p w14:paraId="5A9F19D5" w14:textId="77777777" w:rsidR="004E3B9D" w:rsidRPr="00270B28" w:rsidRDefault="004E3B9D" w:rsidP="00CE417F">
      <w:pPr>
        <w:pStyle w:val="naisf"/>
        <w:spacing w:before="0" w:after="0"/>
        <w:ind w:firstLine="0"/>
        <w:rPr>
          <w:sz w:val="20"/>
          <w:szCs w:val="20"/>
          <w:lang w:val="en-US"/>
        </w:rPr>
      </w:pPr>
    </w:p>
    <w:p w14:paraId="0C861115" w14:textId="77777777" w:rsidR="0018504A" w:rsidRPr="00270B28" w:rsidRDefault="0018504A" w:rsidP="00CE417F">
      <w:pPr>
        <w:pStyle w:val="naisf"/>
        <w:spacing w:before="0" w:after="0"/>
        <w:ind w:firstLine="0"/>
        <w:rPr>
          <w:sz w:val="20"/>
          <w:szCs w:val="20"/>
          <w:lang w:val="en-US"/>
        </w:rPr>
      </w:pPr>
    </w:p>
    <w:p w14:paraId="0E49FAA5" w14:textId="77777777" w:rsidR="0018504A" w:rsidRPr="00270B28" w:rsidRDefault="0018504A" w:rsidP="00CE417F">
      <w:pPr>
        <w:pStyle w:val="naisf"/>
        <w:spacing w:before="0" w:after="0"/>
        <w:ind w:firstLine="0"/>
        <w:rPr>
          <w:sz w:val="20"/>
          <w:szCs w:val="20"/>
          <w:lang w:val="en-US"/>
        </w:rPr>
      </w:pPr>
    </w:p>
    <w:p w14:paraId="0071D529" w14:textId="461A51D3" w:rsidR="00CE417F" w:rsidRPr="00FC2F9C" w:rsidRDefault="00CE417F" w:rsidP="00CE417F">
      <w:pPr>
        <w:pStyle w:val="naisf"/>
        <w:spacing w:before="0" w:after="0"/>
        <w:ind w:firstLine="0"/>
        <w:rPr>
          <w:sz w:val="20"/>
          <w:szCs w:val="20"/>
        </w:rPr>
      </w:pPr>
      <w:r w:rsidRPr="00FC2F9C">
        <w:rPr>
          <w:sz w:val="20"/>
          <w:szCs w:val="20"/>
          <w:lang w:val="ru-RU"/>
        </w:rPr>
        <w:fldChar w:fldCharType="begin"/>
      </w:r>
      <w:r w:rsidRPr="00FC2F9C">
        <w:rPr>
          <w:sz w:val="20"/>
          <w:szCs w:val="20"/>
          <w:lang w:val="ru-RU"/>
        </w:rPr>
        <w:instrText xml:space="preserve"> TIME \@ "dd.MM.yyyy H:mm" </w:instrText>
      </w:r>
      <w:r w:rsidRPr="00FC2F9C">
        <w:rPr>
          <w:sz w:val="20"/>
          <w:szCs w:val="20"/>
          <w:lang w:val="ru-RU"/>
        </w:rPr>
        <w:fldChar w:fldCharType="separate"/>
      </w:r>
      <w:r w:rsidR="004E3B9D">
        <w:rPr>
          <w:noProof/>
          <w:sz w:val="20"/>
          <w:szCs w:val="20"/>
          <w:lang w:val="ru-RU"/>
        </w:rPr>
        <w:t>26.02.2015 9:14</w:t>
      </w:r>
      <w:r w:rsidRPr="00FC2F9C">
        <w:rPr>
          <w:sz w:val="20"/>
          <w:szCs w:val="20"/>
          <w:lang w:val="ru-RU"/>
        </w:rPr>
        <w:fldChar w:fldCharType="end"/>
      </w:r>
    </w:p>
    <w:p w14:paraId="2A0B38FF" w14:textId="7AC1E843" w:rsidR="00CE417F" w:rsidRPr="00FC2F9C" w:rsidRDefault="00CE417F" w:rsidP="00CE417F">
      <w:pPr>
        <w:jc w:val="both"/>
        <w:rPr>
          <w:sz w:val="20"/>
        </w:rPr>
      </w:pPr>
      <w:r w:rsidRPr="00FC2F9C">
        <w:rPr>
          <w:sz w:val="20"/>
        </w:rPr>
        <w:fldChar w:fldCharType="begin"/>
      </w:r>
      <w:r w:rsidRPr="00FC2F9C">
        <w:rPr>
          <w:sz w:val="20"/>
        </w:rPr>
        <w:instrText xml:space="preserve"> NUMWORDS   \* MERGEFORMAT </w:instrText>
      </w:r>
      <w:r w:rsidRPr="00FC2F9C">
        <w:rPr>
          <w:sz w:val="20"/>
        </w:rPr>
        <w:fldChar w:fldCharType="separate"/>
      </w:r>
      <w:r w:rsidR="0069179F">
        <w:rPr>
          <w:noProof/>
          <w:sz w:val="20"/>
        </w:rPr>
        <w:t>755</w:t>
      </w:r>
      <w:r w:rsidRPr="00FC2F9C">
        <w:rPr>
          <w:sz w:val="20"/>
        </w:rPr>
        <w:fldChar w:fldCharType="end"/>
      </w:r>
    </w:p>
    <w:p w14:paraId="1BC03D98" w14:textId="77777777" w:rsidR="00D1252E" w:rsidRDefault="00D1252E" w:rsidP="00527A75">
      <w:pPr>
        <w:pStyle w:val="BodyText"/>
        <w:jc w:val="left"/>
        <w:rPr>
          <w:b w:val="0"/>
          <w:sz w:val="20"/>
        </w:rPr>
      </w:pPr>
      <w:r>
        <w:rPr>
          <w:b w:val="0"/>
          <w:sz w:val="20"/>
        </w:rPr>
        <w:t>A.Strode</w:t>
      </w:r>
    </w:p>
    <w:p w14:paraId="3907A7A1" w14:textId="77777777" w:rsidR="00D1252E" w:rsidRPr="00527A75" w:rsidRDefault="00D1252E" w:rsidP="00527A75">
      <w:pPr>
        <w:pStyle w:val="BodyText"/>
        <w:jc w:val="left"/>
        <w:rPr>
          <w:b w:val="0"/>
          <w:sz w:val="20"/>
        </w:rPr>
      </w:pPr>
      <w:r>
        <w:rPr>
          <w:b w:val="0"/>
          <w:sz w:val="20"/>
        </w:rPr>
        <w:t xml:space="preserve">67219602, </w:t>
      </w:r>
      <w:hyperlink r:id="rId8" w:history="1">
        <w:r w:rsidRPr="00395BA1">
          <w:rPr>
            <w:rStyle w:val="Hyperlink"/>
            <w:b w:val="0"/>
            <w:sz w:val="20"/>
          </w:rPr>
          <w:t>Alda.Strode@iem.gov.lv</w:t>
        </w:r>
      </w:hyperlink>
      <w:r>
        <w:rPr>
          <w:b w:val="0"/>
          <w:sz w:val="20"/>
        </w:rPr>
        <w:t xml:space="preserve"> </w:t>
      </w:r>
    </w:p>
    <w:sectPr w:rsidR="00D1252E" w:rsidRPr="00527A75" w:rsidSect="00542E31">
      <w:headerReference w:type="even" r:id="rId9"/>
      <w:headerReference w:type="default" r:id="rId10"/>
      <w:footerReference w:type="default" r:id="rId11"/>
      <w:footerReference w:type="first" r:id="rId12"/>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473A1" w14:textId="77777777" w:rsidR="00D43B3C" w:rsidRDefault="00D43B3C" w:rsidP="00616AA6">
      <w:r>
        <w:separator/>
      </w:r>
    </w:p>
  </w:endnote>
  <w:endnote w:type="continuationSeparator" w:id="0">
    <w:p w14:paraId="076C0E31" w14:textId="77777777" w:rsidR="00D43B3C" w:rsidRDefault="00D43B3C"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B2AB" w14:textId="1AA93392" w:rsidR="00FA3806" w:rsidRPr="00732FE0" w:rsidRDefault="004E3B9D" w:rsidP="00732FE0">
    <w:pPr>
      <w:jc w:val="both"/>
      <w:rPr>
        <w:sz w:val="20"/>
        <w:szCs w:val="20"/>
      </w:rPr>
    </w:pPr>
    <w:r w:rsidRPr="004E3B9D">
      <w:rPr>
        <w:sz w:val="18"/>
        <w:szCs w:val="18"/>
      </w:rPr>
      <w:fldChar w:fldCharType="begin"/>
    </w:r>
    <w:r w:rsidRPr="004E3B9D">
      <w:rPr>
        <w:sz w:val="18"/>
        <w:szCs w:val="18"/>
      </w:rPr>
      <w:instrText xml:space="preserve"> FILENAME   \* MERGEFORMAT </w:instrText>
    </w:r>
    <w:r w:rsidRPr="004E3B9D">
      <w:rPr>
        <w:sz w:val="18"/>
        <w:szCs w:val="18"/>
      </w:rPr>
      <w:fldChar w:fldCharType="separate"/>
    </w:r>
    <w:r>
      <w:rPr>
        <w:noProof/>
        <w:sz w:val="18"/>
        <w:szCs w:val="18"/>
      </w:rPr>
      <w:t>IEMAnot_260215_675</w:t>
    </w:r>
    <w:r w:rsidRPr="004E3B9D">
      <w:rPr>
        <w:sz w:val="18"/>
        <w:szCs w:val="18"/>
      </w:rPr>
      <w:fldChar w:fldCharType="end"/>
    </w:r>
    <w:r w:rsidR="00732FE0" w:rsidRPr="004E3B9D">
      <w:rPr>
        <w:sz w:val="18"/>
        <w:szCs w:val="18"/>
      </w:rPr>
      <w:t xml:space="preserve">; Ministru kabineta rīkojuma projekta “Par grozījumiem Ministru kabineta </w:t>
    </w:r>
    <w:proofErr w:type="gramStart"/>
    <w:r w:rsidR="00732FE0" w:rsidRPr="004E3B9D">
      <w:rPr>
        <w:sz w:val="18"/>
        <w:szCs w:val="18"/>
      </w:rPr>
      <w:t>2013.gada</w:t>
    </w:r>
    <w:proofErr w:type="gramEnd"/>
    <w:r w:rsidR="00732FE0" w:rsidRPr="004E3B9D">
      <w:rPr>
        <w:sz w:val="18"/>
        <w:szCs w:val="18"/>
      </w:rPr>
      <w:t xml:space="preserve"> 27.decembra rīkojumā Nr.675 “Par Koncepciju par jaunu darba samaksas sistēmu Iekšlietu ministrijas sistēmas iestāžu un Ieslodzījuma vietu pārvaldes amatpersonām ar speciālajām dienesta pakāpēm””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90EF" w14:textId="2A9A9596" w:rsidR="00732FE0" w:rsidRPr="004E3B9D" w:rsidRDefault="004E3B9D" w:rsidP="004E3B9D">
    <w:pPr>
      <w:jc w:val="both"/>
      <w:rPr>
        <w:sz w:val="18"/>
        <w:szCs w:val="18"/>
      </w:rPr>
    </w:pPr>
    <w:r w:rsidRPr="004E3B9D">
      <w:rPr>
        <w:sz w:val="18"/>
        <w:szCs w:val="18"/>
      </w:rPr>
      <w:fldChar w:fldCharType="begin"/>
    </w:r>
    <w:r w:rsidRPr="004E3B9D">
      <w:rPr>
        <w:sz w:val="18"/>
        <w:szCs w:val="18"/>
      </w:rPr>
      <w:instrText xml:space="preserve"> FILENAME   \* MERGEFORMAT </w:instrText>
    </w:r>
    <w:r w:rsidRPr="004E3B9D">
      <w:rPr>
        <w:sz w:val="18"/>
        <w:szCs w:val="18"/>
      </w:rPr>
      <w:fldChar w:fldCharType="separate"/>
    </w:r>
    <w:r w:rsidRPr="004E3B9D">
      <w:rPr>
        <w:noProof/>
        <w:sz w:val="18"/>
        <w:szCs w:val="18"/>
      </w:rPr>
      <w:t>IEMAnot_260215_675</w:t>
    </w:r>
    <w:r w:rsidRPr="004E3B9D">
      <w:rPr>
        <w:sz w:val="18"/>
        <w:szCs w:val="18"/>
      </w:rPr>
      <w:fldChar w:fldCharType="end"/>
    </w:r>
    <w:r w:rsidR="00732FE0" w:rsidRPr="004E3B9D">
      <w:rPr>
        <w:sz w:val="18"/>
        <w:szCs w:val="18"/>
      </w:rPr>
      <w:t xml:space="preserve">; Ministru kabineta rīkojuma projekta “Par grozījumiem Ministru kabineta </w:t>
    </w:r>
    <w:proofErr w:type="gramStart"/>
    <w:r w:rsidR="00732FE0" w:rsidRPr="004E3B9D">
      <w:rPr>
        <w:sz w:val="18"/>
        <w:szCs w:val="18"/>
      </w:rPr>
      <w:t>2013.gada</w:t>
    </w:r>
    <w:proofErr w:type="gramEnd"/>
    <w:r w:rsidR="00732FE0" w:rsidRPr="004E3B9D">
      <w:rPr>
        <w:sz w:val="18"/>
        <w:szCs w:val="18"/>
      </w:rPr>
      <w:t xml:space="preserve"> 27.decembra rīkojumā Nr.675 “Par Koncepciju par jaunu darba samaksas sistēmu Iekšlietu ministrijas sistēmas iestāžu un Ieslodzījuma vietu pārvaldes amatpersonām ar speciālajām dienesta pakāpēm””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37F78" w14:textId="77777777" w:rsidR="00D43B3C" w:rsidRDefault="00D43B3C" w:rsidP="00616AA6">
      <w:r>
        <w:separator/>
      </w:r>
    </w:p>
  </w:footnote>
  <w:footnote w:type="continuationSeparator" w:id="0">
    <w:p w14:paraId="78109C8C" w14:textId="77777777" w:rsidR="00D43B3C" w:rsidRDefault="00D43B3C"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3149" w14:textId="77777777"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762E8" w14:textId="77777777" w:rsidR="00FA3806" w:rsidRDefault="00FA3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C4A4" w14:textId="77777777"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79F">
      <w:rPr>
        <w:rStyle w:val="PageNumber"/>
        <w:noProof/>
      </w:rPr>
      <w:t>3</w:t>
    </w:r>
    <w:r>
      <w:rPr>
        <w:rStyle w:val="PageNumber"/>
      </w:rPr>
      <w:fldChar w:fldCharType="end"/>
    </w:r>
  </w:p>
  <w:p w14:paraId="2FCBC276" w14:textId="77777777" w:rsidR="00FA3806" w:rsidRDefault="00FA3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8E7387"/>
    <w:multiLevelType w:val="hybridMultilevel"/>
    <w:tmpl w:val="0206DE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3">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CA27680"/>
    <w:multiLevelType w:val="hybridMultilevel"/>
    <w:tmpl w:val="6D54CE4E"/>
    <w:lvl w:ilvl="0" w:tplc="8F4CDBCA">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9"/>
  </w:num>
  <w:num w:numId="2">
    <w:abstractNumId w:val="8"/>
  </w:num>
  <w:num w:numId="3">
    <w:abstractNumId w:val="3"/>
  </w:num>
  <w:num w:numId="4">
    <w:abstractNumId w:val="0"/>
  </w:num>
  <w:num w:numId="5">
    <w:abstractNumId w:val="4"/>
  </w:num>
  <w:num w:numId="6">
    <w:abstractNumId w:val="2"/>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A7A"/>
    <w:rsid w:val="00010981"/>
    <w:rsid w:val="0002334F"/>
    <w:rsid w:val="00027BDC"/>
    <w:rsid w:val="00027C37"/>
    <w:rsid w:val="000307BA"/>
    <w:rsid w:val="00051AAA"/>
    <w:rsid w:val="00056443"/>
    <w:rsid w:val="00057968"/>
    <w:rsid w:val="0007077C"/>
    <w:rsid w:val="00070AA3"/>
    <w:rsid w:val="000757EC"/>
    <w:rsid w:val="00080BAA"/>
    <w:rsid w:val="00080E08"/>
    <w:rsid w:val="000A06FD"/>
    <w:rsid w:val="000A650A"/>
    <w:rsid w:val="000A7F51"/>
    <w:rsid w:val="000B528F"/>
    <w:rsid w:val="000C0D0C"/>
    <w:rsid w:val="000F1582"/>
    <w:rsid w:val="000F1729"/>
    <w:rsid w:val="000F2A4A"/>
    <w:rsid w:val="000F2F91"/>
    <w:rsid w:val="00104D50"/>
    <w:rsid w:val="00116D23"/>
    <w:rsid w:val="00127E4B"/>
    <w:rsid w:val="0013129B"/>
    <w:rsid w:val="00132192"/>
    <w:rsid w:val="00132DF0"/>
    <w:rsid w:val="001403DC"/>
    <w:rsid w:val="00144CAD"/>
    <w:rsid w:val="0015500E"/>
    <w:rsid w:val="0015557D"/>
    <w:rsid w:val="00166FDD"/>
    <w:rsid w:val="00172FAF"/>
    <w:rsid w:val="00174DE1"/>
    <w:rsid w:val="0017581A"/>
    <w:rsid w:val="0018504A"/>
    <w:rsid w:val="00186EFA"/>
    <w:rsid w:val="00193A8B"/>
    <w:rsid w:val="00197C43"/>
    <w:rsid w:val="001A4AE4"/>
    <w:rsid w:val="001B30CD"/>
    <w:rsid w:val="001B3EBE"/>
    <w:rsid w:val="001D23EC"/>
    <w:rsid w:val="001D349F"/>
    <w:rsid w:val="001E3E86"/>
    <w:rsid w:val="001F4C14"/>
    <w:rsid w:val="001F692A"/>
    <w:rsid w:val="00201BD9"/>
    <w:rsid w:val="002055CE"/>
    <w:rsid w:val="00215D9C"/>
    <w:rsid w:val="00221979"/>
    <w:rsid w:val="00221D5F"/>
    <w:rsid w:val="00223E3D"/>
    <w:rsid w:val="00237C20"/>
    <w:rsid w:val="002447E8"/>
    <w:rsid w:val="00246FDC"/>
    <w:rsid w:val="002554BA"/>
    <w:rsid w:val="00257716"/>
    <w:rsid w:val="00267391"/>
    <w:rsid w:val="00270572"/>
    <w:rsid w:val="00270B28"/>
    <w:rsid w:val="002720A2"/>
    <w:rsid w:val="00273A9F"/>
    <w:rsid w:val="00275C6D"/>
    <w:rsid w:val="00283342"/>
    <w:rsid w:val="0029110D"/>
    <w:rsid w:val="002926D3"/>
    <w:rsid w:val="002940CD"/>
    <w:rsid w:val="002960EA"/>
    <w:rsid w:val="002A6197"/>
    <w:rsid w:val="002A7573"/>
    <w:rsid w:val="002B10A1"/>
    <w:rsid w:val="002B21C0"/>
    <w:rsid w:val="002B4610"/>
    <w:rsid w:val="002B5B67"/>
    <w:rsid w:val="002C7006"/>
    <w:rsid w:val="002C7EAA"/>
    <w:rsid w:val="002D1149"/>
    <w:rsid w:val="002D66F8"/>
    <w:rsid w:val="002E5EF8"/>
    <w:rsid w:val="002E6C12"/>
    <w:rsid w:val="00300439"/>
    <w:rsid w:val="003005B6"/>
    <w:rsid w:val="003019EE"/>
    <w:rsid w:val="0030306E"/>
    <w:rsid w:val="00311674"/>
    <w:rsid w:val="003126D5"/>
    <w:rsid w:val="003166FB"/>
    <w:rsid w:val="0035487B"/>
    <w:rsid w:val="00361411"/>
    <w:rsid w:val="00364798"/>
    <w:rsid w:val="003665C6"/>
    <w:rsid w:val="00373890"/>
    <w:rsid w:val="00374F27"/>
    <w:rsid w:val="0037540D"/>
    <w:rsid w:val="00375FAB"/>
    <w:rsid w:val="00382850"/>
    <w:rsid w:val="00383A15"/>
    <w:rsid w:val="003B10C2"/>
    <w:rsid w:val="003C5BC9"/>
    <w:rsid w:val="003C6387"/>
    <w:rsid w:val="003D1339"/>
    <w:rsid w:val="003D1A40"/>
    <w:rsid w:val="003F6F12"/>
    <w:rsid w:val="00403411"/>
    <w:rsid w:val="004034E0"/>
    <w:rsid w:val="00410DE6"/>
    <w:rsid w:val="004130AE"/>
    <w:rsid w:val="004139D6"/>
    <w:rsid w:val="004175B1"/>
    <w:rsid w:val="004262C0"/>
    <w:rsid w:val="00430403"/>
    <w:rsid w:val="004327F8"/>
    <w:rsid w:val="004371FF"/>
    <w:rsid w:val="00437542"/>
    <w:rsid w:val="00442C6B"/>
    <w:rsid w:val="004430F1"/>
    <w:rsid w:val="004519E2"/>
    <w:rsid w:val="004529EF"/>
    <w:rsid w:val="00453324"/>
    <w:rsid w:val="004545E7"/>
    <w:rsid w:val="004676D7"/>
    <w:rsid w:val="004705F1"/>
    <w:rsid w:val="004767AF"/>
    <w:rsid w:val="004854D4"/>
    <w:rsid w:val="004A11F7"/>
    <w:rsid w:val="004A4FA5"/>
    <w:rsid w:val="004B32B3"/>
    <w:rsid w:val="004B3E87"/>
    <w:rsid w:val="004B4D39"/>
    <w:rsid w:val="004C51BE"/>
    <w:rsid w:val="004C669F"/>
    <w:rsid w:val="004D1FCD"/>
    <w:rsid w:val="004D4483"/>
    <w:rsid w:val="004E1E03"/>
    <w:rsid w:val="004E3B9D"/>
    <w:rsid w:val="00500381"/>
    <w:rsid w:val="00502E7D"/>
    <w:rsid w:val="00504DDF"/>
    <w:rsid w:val="0051217B"/>
    <w:rsid w:val="005126CA"/>
    <w:rsid w:val="00527A75"/>
    <w:rsid w:val="00527E3D"/>
    <w:rsid w:val="0053087D"/>
    <w:rsid w:val="00542E31"/>
    <w:rsid w:val="00545E70"/>
    <w:rsid w:val="005614ED"/>
    <w:rsid w:val="005651F4"/>
    <w:rsid w:val="00577B09"/>
    <w:rsid w:val="00581CD9"/>
    <w:rsid w:val="00593AC8"/>
    <w:rsid w:val="005A1B50"/>
    <w:rsid w:val="005B2CAE"/>
    <w:rsid w:val="005B2CE7"/>
    <w:rsid w:val="005C3D9C"/>
    <w:rsid w:val="00612741"/>
    <w:rsid w:val="00612D7E"/>
    <w:rsid w:val="00615C3B"/>
    <w:rsid w:val="00616AA6"/>
    <w:rsid w:val="00623908"/>
    <w:rsid w:val="006329F8"/>
    <w:rsid w:val="00633D6B"/>
    <w:rsid w:val="00655C91"/>
    <w:rsid w:val="006617E1"/>
    <w:rsid w:val="00664FC6"/>
    <w:rsid w:val="00680236"/>
    <w:rsid w:val="0069179F"/>
    <w:rsid w:val="006A0DA7"/>
    <w:rsid w:val="006B251F"/>
    <w:rsid w:val="006C55ED"/>
    <w:rsid w:val="006E3688"/>
    <w:rsid w:val="006E480C"/>
    <w:rsid w:val="006E54AA"/>
    <w:rsid w:val="006E54B1"/>
    <w:rsid w:val="006E76B7"/>
    <w:rsid w:val="006F0B68"/>
    <w:rsid w:val="006F73BC"/>
    <w:rsid w:val="0070343E"/>
    <w:rsid w:val="00710EAA"/>
    <w:rsid w:val="00711E40"/>
    <w:rsid w:val="00717B91"/>
    <w:rsid w:val="00725865"/>
    <w:rsid w:val="00730E41"/>
    <w:rsid w:val="00732C68"/>
    <w:rsid w:val="00732FE0"/>
    <w:rsid w:val="00736938"/>
    <w:rsid w:val="00747C51"/>
    <w:rsid w:val="007528E2"/>
    <w:rsid w:val="00753535"/>
    <w:rsid w:val="00755684"/>
    <w:rsid w:val="007610E4"/>
    <w:rsid w:val="00762F26"/>
    <w:rsid w:val="00765A92"/>
    <w:rsid w:val="0077070F"/>
    <w:rsid w:val="00772A46"/>
    <w:rsid w:val="00777C69"/>
    <w:rsid w:val="00784102"/>
    <w:rsid w:val="00791C04"/>
    <w:rsid w:val="00794E6B"/>
    <w:rsid w:val="00795FF1"/>
    <w:rsid w:val="0079708F"/>
    <w:rsid w:val="007A462B"/>
    <w:rsid w:val="007B0C0C"/>
    <w:rsid w:val="007B5718"/>
    <w:rsid w:val="007D3FD0"/>
    <w:rsid w:val="007D4808"/>
    <w:rsid w:val="007D4C86"/>
    <w:rsid w:val="007D783D"/>
    <w:rsid w:val="007E11F5"/>
    <w:rsid w:val="007E5425"/>
    <w:rsid w:val="007E7062"/>
    <w:rsid w:val="007F4918"/>
    <w:rsid w:val="00805D9E"/>
    <w:rsid w:val="0080751B"/>
    <w:rsid w:val="00816363"/>
    <w:rsid w:val="008167ED"/>
    <w:rsid w:val="00834ED9"/>
    <w:rsid w:val="008372E7"/>
    <w:rsid w:val="00837BD6"/>
    <w:rsid w:val="00850054"/>
    <w:rsid w:val="00851BC0"/>
    <w:rsid w:val="008605D0"/>
    <w:rsid w:val="00863995"/>
    <w:rsid w:val="00863DB5"/>
    <w:rsid w:val="00866E6B"/>
    <w:rsid w:val="00871B81"/>
    <w:rsid w:val="00874E35"/>
    <w:rsid w:val="008936BC"/>
    <w:rsid w:val="008A023A"/>
    <w:rsid w:val="008A4EEF"/>
    <w:rsid w:val="008C2585"/>
    <w:rsid w:val="008C2D66"/>
    <w:rsid w:val="008C47BE"/>
    <w:rsid w:val="008C6FC8"/>
    <w:rsid w:val="008D39F4"/>
    <w:rsid w:val="008D5F20"/>
    <w:rsid w:val="008F2ACB"/>
    <w:rsid w:val="0090153F"/>
    <w:rsid w:val="009114A0"/>
    <w:rsid w:val="00921B1A"/>
    <w:rsid w:val="00927C25"/>
    <w:rsid w:val="009304C8"/>
    <w:rsid w:val="00942BC7"/>
    <w:rsid w:val="00947830"/>
    <w:rsid w:val="00953A72"/>
    <w:rsid w:val="00963119"/>
    <w:rsid w:val="009652EF"/>
    <w:rsid w:val="00973642"/>
    <w:rsid w:val="00977B2E"/>
    <w:rsid w:val="0098089E"/>
    <w:rsid w:val="0098181D"/>
    <w:rsid w:val="009860CC"/>
    <w:rsid w:val="009860E6"/>
    <w:rsid w:val="0099042F"/>
    <w:rsid w:val="00990B02"/>
    <w:rsid w:val="00991ED2"/>
    <w:rsid w:val="00997FA9"/>
    <w:rsid w:val="009A1968"/>
    <w:rsid w:val="009A1D77"/>
    <w:rsid w:val="009A5325"/>
    <w:rsid w:val="009A64DE"/>
    <w:rsid w:val="009A6FC2"/>
    <w:rsid w:val="009B1BDE"/>
    <w:rsid w:val="009B56A3"/>
    <w:rsid w:val="009B6C9D"/>
    <w:rsid w:val="009B7E5E"/>
    <w:rsid w:val="009C3026"/>
    <w:rsid w:val="009D1066"/>
    <w:rsid w:val="009D62F6"/>
    <w:rsid w:val="009E0671"/>
    <w:rsid w:val="009E4FD6"/>
    <w:rsid w:val="009E7AB4"/>
    <w:rsid w:val="009F0229"/>
    <w:rsid w:val="00A03CBF"/>
    <w:rsid w:val="00A074A5"/>
    <w:rsid w:val="00A07F4E"/>
    <w:rsid w:val="00A102C0"/>
    <w:rsid w:val="00A105D7"/>
    <w:rsid w:val="00A162FE"/>
    <w:rsid w:val="00A217E7"/>
    <w:rsid w:val="00A329B2"/>
    <w:rsid w:val="00A55FEA"/>
    <w:rsid w:val="00A63E6C"/>
    <w:rsid w:val="00A6421B"/>
    <w:rsid w:val="00A81223"/>
    <w:rsid w:val="00A84C26"/>
    <w:rsid w:val="00A91B2A"/>
    <w:rsid w:val="00A9333D"/>
    <w:rsid w:val="00A959EC"/>
    <w:rsid w:val="00A965F1"/>
    <w:rsid w:val="00AB0063"/>
    <w:rsid w:val="00AB0C04"/>
    <w:rsid w:val="00AB1199"/>
    <w:rsid w:val="00AB3C41"/>
    <w:rsid w:val="00AC1E3B"/>
    <w:rsid w:val="00AE4367"/>
    <w:rsid w:val="00AE608F"/>
    <w:rsid w:val="00AE70EE"/>
    <w:rsid w:val="00AF000F"/>
    <w:rsid w:val="00AF1B96"/>
    <w:rsid w:val="00AF352B"/>
    <w:rsid w:val="00AF666E"/>
    <w:rsid w:val="00B01423"/>
    <w:rsid w:val="00B0227E"/>
    <w:rsid w:val="00B03005"/>
    <w:rsid w:val="00B05EBC"/>
    <w:rsid w:val="00B069C2"/>
    <w:rsid w:val="00B06A93"/>
    <w:rsid w:val="00B14E57"/>
    <w:rsid w:val="00B25820"/>
    <w:rsid w:val="00B313A5"/>
    <w:rsid w:val="00B31A7F"/>
    <w:rsid w:val="00B55E0D"/>
    <w:rsid w:val="00B6426D"/>
    <w:rsid w:val="00B70B4A"/>
    <w:rsid w:val="00B73EF6"/>
    <w:rsid w:val="00B74BDF"/>
    <w:rsid w:val="00B81CE4"/>
    <w:rsid w:val="00B8301F"/>
    <w:rsid w:val="00B8615D"/>
    <w:rsid w:val="00B9098B"/>
    <w:rsid w:val="00B93F08"/>
    <w:rsid w:val="00B945D8"/>
    <w:rsid w:val="00BA682D"/>
    <w:rsid w:val="00BB3042"/>
    <w:rsid w:val="00BC1C4E"/>
    <w:rsid w:val="00BD6300"/>
    <w:rsid w:val="00BE2989"/>
    <w:rsid w:val="00BE31A9"/>
    <w:rsid w:val="00BF2B82"/>
    <w:rsid w:val="00C10320"/>
    <w:rsid w:val="00C213E9"/>
    <w:rsid w:val="00C215E5"/>
    <w:rsid w:val="00C21897"/>
    <w:rsid w:val="00C22E09"/>
    <w:rsid w:val="00C338A6"/>
    <w:rsid w:val="00C409BA"/>
    <w:rsid w:val="00C40B1A"/>
    <w:rsid w:val="00C435E9"/>
    <w:rsid w:val="00C47791"/>
    <w:rsid w:val="00C477D5"/>
    <w:rsid w:val="00C50297"/>
    <w:rsid w:val="00C51712"/>
    <w:rsid w:val="00C51910"/>
    <w:rsid w:val="00C52D99"/>
    <w:rsid w:val="00C555E0"/>
    <w:rsid w:val="00C56A76"/>
    <w:rsid w:val="00C642A7"/>
    <w:rsid w:val="00C64847"/>
    <w:rsid w:val="00C657C0"/>
    <w:rsid w:val="00C66F33"/>
    <w:rsid w:val="00C67515"/>
    <w:rsid w:val="00C67B32"/>
    <w:rsid w:val="00C772F4"/>
    <w:rsid w:val="00C82AE8"/>
    <w:rsid w:val="00C82F00"/>
    <w:rsid w:val="00C95F96"/>
    <w:rsid w:val="00C971D2"/>
    <w:rsid w:val="00CB4634"/>
    <w:rsid w:val="00CC35CF"/>
    <w:rsid w:val="00CC4638"/>
    <w:rsid w:val="00CC496E"/>
    <w:rsid w:val="00CD4F8E"/>
    <w:rsid w:val="00CD54B5"/>
    <w:rsid w:val="00CD628B"/>
    <w:rsid w:val="00CE3660"/>
    <w:rsid w:val="00CE36C0"/>
    <w:rsid w:val="00CE417F"/>
    <w:rsid w:val="00D01F6B"/>
    <w:rsid w:val="00D108AA"/>
    <w:rsid w:val="00D1252E"/>
    <w:rsid w:val="00D12B8D"/>
    <w:rsid w:val="00D20893"/>
    <w:rsid w:val="00D22685"/>
    <w:rsid w:val="00D23903"/>
    <w:rsid w:val="00D27291"/>
    <w:rsid w:val="00D34670"/>
    <w:rsid w:val="00D346C9"/>
    <w:rsid w:val="00D4062C"/>
    <w:rsid w:val="00D42BC2"/>
    <w:rsid w:val="00D430F0"/>
    <w:rsid w:val="00D43B3C"/>
    <w:rsid w:val="00D45A48"/>
    <w:rsid w:val="00D539DB"/>
    <w:rsid w:val="00D556A2"/>
    <w:rsid w:val="00D5707B"/>
    <w:rsid w:val="00D65488"/>
    <w:rsid w:val="00D65D1A"/>
    <w:rsid w:val="00D71FE1"/>
    <w:rsid w:val="00D80896"/>
    <w:rsid w:val="00D8120A"/>
    <w:rsid w:val="00D90FA7"/>
    <w:rsid w:val="00D915CC"/>
    <w:rsid w:val="00D94C4E"/>
    <w:rsid w:val="00DA3EC5"/>
    <w:rsid w:val="00DB2C83"/>
    <w:rsid w:val="00DB313F"/>
    <w:rsid w:val="00DB3BC6"/>
    <w:rsid w:val="00DC152F"/>
    <w:rsid w:val="00DC1543"/>
    <w:rsid w:val="00DC287F"/>
    <w:rsid w:val="00DC5725"/>
    <w:rsid w:val="00DD02FF"/>
    <w:rsid w:val="00DE03B5"/>
    <w:rsid w:val="00DE0EDD"/>
    <w:rsid w:val="00DE5E38"/>
    <w:rsid w:val="00DF2B43"/>
    <w:rsid w:val="00DF45E9"/>
    <w:rsid w:val="00E06CCE"/>
    <w:rsid w:val="00E07EB8"/>
    <w:rsid w:val="00E150BC"/>
    <w:rsid w:val="00E16CDE"/>
    <w:rsid w:val="00E249A5"/>
    <w:rsid w:val="00E26598"/>
    <w:rsid w:val="00E27051"/>
    <w:rsid w:val="00E307A9"/>
    <w:rsid w:val="00E568D4"/>
    <w:rsid w:val="00E72240"/>
    <w:rsid w:val="00E7262B"/>
    <w:rsid w:val="00E75E5B"/>
    <w:rsid w:val="00E80593"/>
    <w:rsid w:val="00E807C4"/>
    <w:rsid w:val="00E86D2D"/>
    <w:rsid w:val="00E9479A"/>
    <w:rsid w:val="00EA3691"/>
    <w:rsid w:val="00EA526B"/>
    <w:rsid w:val="00EA55BE"/>
    <w:rsid w:val="00EA7D81"/>
    <w:rsid w:val="00EB2636"/>
    <w:rsid w:val="00EB4CB3"/>
    <w:rsid w:val="00EC4578"/>
    <w:rsid w:val="00EC51E6"/>
    <w:rsid w:val="00EC5ED5"/>
    <w:rsid w:val="00ED2217"/>
    <w:rsid w:val="00ED6A06"/>
    <w:rsid w:val="00ED7568"/>
    <w:rsid w:val="00EE0C0F"/>
    <w:rsid w:val="00EE4A6F"/>
    <w:rsid w:val="00EE501B"/>
    <w:rsid w:val="00EE55CF"/>
    <w:rsid w:val="00EF30AD"/>
    <w:rsid w:val="00EF75F9"/>
    <w:rsid w:val="00F02DB5"/>
    <w:rsid w:val="00F03184"/>
    <w:rsid w:val="00F0543C"/>
    <w:rsid w:val="00F11BBB"/>
    <w:rsid w:val="00F129F4"/>
    <w:rsid w:val="00F13B40"/>
    <w:rsid w:val="00F153B3"/>
    <w:rsid w:val="00F16489"/>
    <w:rsid w:val="00F17318"/>
    <w:rsid w:val="00F22CE0"/>
    <w:rsid w:val="00F23834"/>
    <w:rsid w:val="00F31085"/>
    <w:rsid w:val="00F36722"/>
    <w:rsid w:val="00F44595"/>
    <w:rsid w:val="00F506A2"/>
    <w:rsid w:val="00F602CC"/>
    <w:rsid w:val="00F66B7E"/>
    <w:rsid w:val="00F91CB1"/>
    <w:rsid w:val="00F9365C"/>
    <w:rsid w:val="00F97240"/>
    <w:rsid w:val="00FA0150"/>
    <w:rsid w:val="00FA3806"/>
    <w:rsid w:val="00FA6074"/>
    <w:rsid w:val="00FB0D6A"/>
    <w:rsid w:val="00FC116E"/>
    <w:rsid w:val="00FC1DE3"/>
    <w:rsid w:val="00FC26F8"/>
    <w:rsid w:val="00FC2F9C"/>
    <w:rsid w:val="00FC420D"/>
    <w:rsid w:val="00FC538E"/>
    <w:rsid w:val="00FD1BF2"/>
    <w:rsid w:val="00FD2175"/>
    <w:rsid w:val="00FD2840"/>
    <w:rsid w:val="00FD5FE7"/>
    <w:rsid w:val="00FE110A"/>
    <w:rsid w:val="00FE77F0"/>
    <w:rsid w:val="00FF2A6F"/>
    <w:rsid w:val="00FF5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6DA2"/>
  <w15:docId w15:val="{DE0A6AEB-E01E-4F9B-96D7-0DA7859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semiHidden/>
    <w:rsid w:val="00ED6A06"/>
    <w:rPr>
      <w:sz w:val="20"/>
      <w:szCs w:val="20"/>
      <w:lang w:eastAsia="lv-LV"/>
    </w:rPr>
  </w:style>
  <w:style w:type="character" w:customStyle="1" w:styleId="FootnoteTextChar">
    <w:name w:val="Footnote Text Char"/>
    <w:basedOn w:val="DefaultParagraphFont"/>
    <w:link w:val="FootnoteText"/>
    <w:semiHidden/>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3EC5"/>
    <w:rPr>
      <w:sz w:val="16"/>
      <w:szCs w:val="16"/>
    </w:rPr>
  </w:style>
  <w:style w:type="paragraph" w:styleId="CommentText">
    <w:name w:val="annotation text"/>
    <w:basedOn w:val="Normal"/>
    <w:link w:val="CommentTextChar"/>
    <w:uiPriority w:val="99"/>
    <w:semiHidden/>
    <w:unhideWhenUsed/>
    <w:rsid w:val="00DA3EC5"/>
    <w:rPr>
      <w:sz w:val="20"/>
      <w:szCs w:val="20"/>
    </w:rPr>
  </w:style>
  <w:style w:type="character" w:customStyle="1" w:styleId="CommentTextChar">
    <w:name w:val="Comment Text Char"/>
    <w:basedOn w:val="DefaultParagraphFont"/>
    <w:link w:val="CommentText"/>
    <w:uiPriority w:val="99"/>
    <w:semiHidden/>
    <w:rsid w:val="00DA3E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EC5"/>
    <w:rPr>
      <w:b/>
      <w:bCs/>
    </w:rPr>
  </w:style>
  <w:style w:type="character" w:customStyle="1" w:styleId="CommentSubjectChar">
    <w:name w:val="Comment Subject Char"/>
    <w:basedOn w:val="CommentTextChar"/>
    <w:link w:val="CommentSubject"/>
    <w:uiPriority w:val="99"/>
    <w:semiHidden/>
    <w:rsid w:val="00DA3EC5"/>
    <w:rPr>
      <w:rFonts w:ascii="Times New Roman" w:eastAsia="Times New Roman" w:hAnsi="Times New Roman" w:cs="Times New Roman"/>
      <w:b/>
      <w:bCs/>
      <w:sz w:val="20"/>
      <w:szCs w:val="20"/>
    </w:rPr>
  </w:style>
  <w:style w:type="paragraph" w:customStyle="1" w:styleId="naisc">
    <w:name w:val="naisc"/>
    <w:basedOn w:val="Normal"/>
    <w:rsid w:val="00784102"/>
    <w:pPr>
      <w:spacing w:before="75" w:after="75"/>
      <w:jc w:val="center"/>
    </w:pPr>
    <w:rPr>
      <w:lang w:eastAsia="lv-LV"/>
    </w:rPr>
  </w:style>
  <w:style w:type="paragraph" w:styleId="Revision">
    <w:name w:val="Revision"/>
    <w:hidden/>
    <w:uiPriority w:val="99"/>
    <w:semiHidden/>
    <w:rsid w:val="00C95F9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08AA"/>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238858405">
      <w:bodyDiv w:val="1"/>
      <w:marLeft w:val="0"/>
      <w:marRight w:val="0"/>
      <w:marTop w:val="0"/>
      <w:marBottom w:val="0"/>
      <w:divBdr>
        <w:top w:val="none" w:sz="0" w:space="0" w:color="auto"/>
        <w:left w:val="none" w:sz="0" w:space="0" w:color="auto"/>
        <w:bottom w:val="none" w:sz="0" w:space="0" w:color="auto"/>
        <w:right w:val="none" w:sz="0" w:space="0" w:color="auto"/>
      </w:divBdr>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75097538">
      <w:bodyDiv w:val="1"/>
      <w:marLeft w:val="0"/>
      <w:marRight w:val="0"/>
      <w:marTop w:val="0"/>
      <w:marBottom w:val="0"/>
      <w:divBdr>
        <w:top w:val="none" w:sz="0" w:space="0" w:color="auto"/>
        <w:left w:val="none" w:sz="0" w:space="0" w:color="auto"/>
        <w:bottom w:val="none" w:sz="0" w:space="0" w:color="auto"/>
        <w:right w:val="none" w:sz="0" w:space="0" w:color="auto"/>
      </w:divBdr>
      <w:divsChild>
        <w:div w:id="1654526277">
          <w:marLeft w:val="0"/>
          <w:marRight w:val="0"/>
          <w:marTop w:val="0"/>
          <w:marBottom w:val="0"/>
          <w:divBdr>
            <w:top w:val="none" w:sz="0" w:space="0" w:color="auto"/>
            <w:left w:val="none" w:sz="0" w:space="0" w:color="auto"/>
            <w:bottom w:val="none" w:sz="0" w:space="0" w:color="auto"/>
            <w:right w:val="none" w:sz="0" w:space="0" w:color="auto"/>
          </w:divBdr>
        </w:div>
        <w:div w:id="43720036">
          <w:marLeft w:val="0"/>
          <w:marRight w:val="0"/>
          <w:marTop w:val="0"/>
          <w:marBottom w:val="0"/>
          <w:divBdr>
            <w:top w:val="none" w:sz="0" w:space="0" w:color="auto"/>
            <w:left w:val="none" w:sz="0" w:space="0" w:color="auto"/>
            <w:bottom w:val="none" w:sz="0" w:space="0" w:color="auto"/>
            <w:right w:val="none" w:sz="0" w:space="0" w:color="auto"/>
          </w:divBdr>
        </w:div>
        <w:div w:id="476536182">
          <w:marLeft w:val="0"/>
          <w:marRight w:val="0"/>
          <w:marTop w:val="0"/>
          <w:marBottom w:val="0"/>
          <w:divBdr>
            <w:top w:val="none" w:sz="0" w:space="0" w:color="auto"/>
            <w:left w:val="none" w:sz="0" w:space="0" w:color="auto"/>
            <w:bottom w:val="none" w:sz="0" w:space="0" w:color="auto"/>
            <w:right w:val="none" w:sz="0" w:space="0" w:color="auto"/>
          </w:divBdr>
        </w:div>
        <w:div w:id="727073742">
          <w:marLeft w:val="0"/>
          <w:marRight w:val="0"/>
          <w:marTop w:val="0"/>
          <w:marBottom w:val="0"/>
          <w:divBdr>
            <w:top w:val="none" w:sz="0" w:space="0" w:color="auto"/>
            <w:left w:val="none" w:sz="0" w:space="0" w:color="auto"/>
            <w:bottom w:val="none" w:sz="0" w:space="0" w:color="auto"/>
            <w:right w:val="none" w:sz="0" w:space="0" w:color="auto"/>
          </w:divBdr>
        </w:div>
      </w:divsChild>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34926337">
      <w:bodyDiv w:val="1"/>
      <w:marLeft w:val="0"/>
      <w:marRight w:val="0"/>
      <w:marTop w:val="0"/>
      <w:marBottom w:val="0"/>
      <w:divBdr>
        <w:top w:val="none" w:sz="0" w:space="0" w:color="auto"/>
        <w:left w:val="none" w:sz="0" w:space="0" w:color="auto"/>
        <w:bottom w:val="none" w:sz="0" w:space="0" w:color="auto"/>
        <w:right w:val="none" w:sz="0" w:space="0" w:color="auto"/>
      </w:divBdr>
      <w:divsChild>
        <w:div w:id="1083645441">
          <w:marLeft w:val="0"/>
          <w:marRight w:val="0"/>
          <w:marTop w:val="0"/>
          <w:marBottom w:val="0"/>
          <w:divBdr>
            <w:top w:val="none" w:sz="0" w:space="0" w:color="auto"/>
            <w:left w:val="none" w:sz="0" w:space="0" w:color="auto"/>
            <w:bottom w:val="none" w:sz="0" w:space="0" w:color="auto"/>
            <w:right w:val="none" w:sz="0" w:space="0" w:color="auto"/>
          </w:divBdr>
        </w:div>
        <w:div w:id="336886743">
          <w:marLeft w:val="0"/>
          <w:marRight w:val="0"/>
          <w:marTop w:val="0"/>
          <w:marBottom w:val="0"/>
          <w:divBdr>
            <w:top w:val="none" w:sz="0" w:space="0" w:color="auto"/>
            <w:left w:val="none" w:sz="0" w:space="0" w:color="auto"/>
            <w:bottom w:val="none" w:sz="0" w:space="0" w:color="auto"/>
            <w:right w:val="none" w:sz="0" w:space="0" w:color="auto"/>
          </w:divBdr>
        </w:div>
        <w:div w:id="91750462">
          <w:marLeft w:val="0"/>
          <w:marRight w:val="0"/>
          <w:marTop w:val="0"/>
          <w:marBottom w:val="0"/>
          <w:divBdr>
            <w:top w:val="none" w:sz="0" w:space="0" w:color="auto"/>
            <w:left w:val="none" w:sz="0" w:space="0" w:color="auto"/>
            <w:bottom w:val="none" w:sz="0" w:space="0" w:color="auto"/>
            <w:right w:val="none" w:sz="0" w:space="0" w:color="auto"/>
          </w:divBdr>
        </w:div>
      </w:divsChild>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 w:id="2088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2713-4840-4BE8-A009-E0EE4857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779</Words>
  <Characters>5707</Characters>
  <Application>Microsoft Office Word</Application>
  <DocSecurity>0</DocSecurity>
  <Lines>211</Lines>
  <Paragraphs>66</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Ieva Potjomkina</cp:lastModifiedBy>
  <cp:revision>16</cp:revision>
  <cp:lastPrinted>2014-08-22T09:12:00Z</cp:lastPrinted>
  <dcterms:created xsi:type="dcterms:W3CDTF">2015-01-29T07:44:00Z</dcterms:created>
  <dcterms:modified xsi:type="dcterms:W3CDTF">2015-02-26T07:19:00Z</dcterms:modified>
</cp:coreProperties>
</file>