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30" w:rsidRPr="002668D4" w:rsidRDefault="00136D87" w:rsidP="00DD347D">
      <w:pPr>
        <w:tabs>
          <w:tab w:val="center" w:pos="4535"/>
          <w:tab w:val="left" w:pos="7035"/>
        </w:tabs>
        <w:jc w:val="center"/>
        <w:rPr>
          <w:b/>
        </w:rPr>
      </w:pPr>
      <w:bookmarkStart w:id="0" w:name="OLE_LINK3"/>
      <w:bookmarkStart w:id="1" w:name="OLE_LINK4"/>
      <w:bookmarkStart w:id="2" w:name="OLE_LINK1"/>
      <w:r w:rsidRPr="002668D4">
        <w:rPr>
          <w:b/>
        </w:rPr>
        <w:t>M</w:t>
      </w:r>
      <w:r w:rsidR="005D6B8A" w:rsidRPr="002668D4">
        <w:rPr>
          <w:b/>
        </w:rPr>
        <w:t>in</w:t>
      </w:r>
      <w:r w:rsidR="00DD347D" w:rsidRPr="002668D4">
        <w:rPr>
          <w:b/>
        </w:rPr>
        <w:t xml:space="preserve">istru kabineta rīkojuma projekta </w:t>
      </w:r>
      <w:r w:rsidR="009F5CAD" w:rsidRPr="002668D4">
        <w:rPr>
          <w:b/>
        </w:rPr>
        <w:t>“</w:t>
      </w:r>
      <w:r w:rsidR="00DD347D" w:rsidRPr="002668D4">
        <w:rPr>
          <w:b/>
        </w:rPr>
        <w:t>Par</w:t>
      </w:r>
      <w:r w:rsidR="00986F46" w:rsidRPr="002668D4">
        <w:rPr>
          <w:b/>
          <w:bCs/>
          <w:color w:val="000000"/>
        </w:rPr>
        <w:t xml:space="preserve"> </w:t>
      </w:r>
      <w:r w:rsidR="00DD347D" w:rsidRPr="002668D4">
        <w:rPr>
          <w:b/>
        </w:rPr>
        <w:t>apropriācijas pārdali”</w:t>
      </w:r>
      <w:r w:rsidR="00020664" w:rsidRPr="002668D4">
        <w:rPr>
          <w:b/>
        </w:rPr>
        <w:t xml:space="preserve"> </w:t>
      </w:r>
    </w:p>
    <w:p w:rsidR="00585B7B" w:rsidRPr="002668D4" w:rsidRDefault="00585B7B" w:rsidP="00DD347D">
      <w:pPr>
        <w:tabs>
          <w:tab w:val="center" w:pos="4535"/>
          <w:tab w:val="left" w:pos="7035"/>
        </w:tabs>
        <w:jc w:val="center"/>
        <w:rPr>
          <w:b/>
        </w:rPr>
      </w:pPr>
      <w:r w:rsidRPr="002668D4">
        <w:rPr>
          <w:b/>
        </w:rPr>
        <w:t xml:space="preserve">sākotnējās ietekmes novērtējuma </w:t>
      </w:r>
      <w:smartTag w:uri="schemas-tilde-lv/tildestengine" w:element="veidnes">
        <w:smartTagPr>
          <w:attr w:name="id" w:val="-1"/>
          <w:attr w:name="baseform" w:val="ziņojums"/>
          <w:attr w:name="text" w:val="ziņojums"/>
        </w:smartTagPr>
        <w:r w:rsidRPr="002668D4">
          <w:rPr>
            <w:b/>
          </w:rPr>
          <w:t>ziņojums</w:t>
        </w:r>
      </w:smartTag>
      <w:r w:rsidRPr="002668D4">
        <w:rPr>
          <w:b/>
        </w:rPr>
        <w:t xml:space="preserve"> (anotācija)</w:t>
      </w: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410"/>
        <w:gridCol w:w="7229"/>
      </w:tblGrid>
      <w:tr w:rsidR="00585B7B" w:rsidRPr="002668D4" w:rsidTr="009C68C6">
        <w:tc>
          <w:tcPr>
            <w:tcW w:w="10201" w:type="dxa"/>
            <w:gridSpan w:val="3"/>
            <w:vAlign w:val="center"/>
          </w:tcPr>
          <w:bookmarkEnd w:id="0"/>
          <w:bookmarkEnd w:id="1"/>
          <w:bookmarkEnd w:id="2"/>
          <w:p w:rsidR="00585B7B" w:rsidRPr="002668D4" w:rsidRDefault="00585B7B" w:rsidP="00194A0F">
            <w:pPr>
              <w:pStyle w:val="naisnod"/>
              <w:spacing w:before="0" w:after="0"/>
            </w:pPr>
            <w:r w:rsidRPr="002668D4">
              <w:t>I. Tiesību akta projekta izstrādes nepieciešamība</w:t>
            </w:r>
          </w:p>
        </w:tc>
      </w:tr>
      <w:tr w:rsidR="00585B7B" w:rsidRPr="002668D4" w:rsidTr="009C68C6">
        <w:trPr>
          <w:trHeight w:val="630"/>
        </w:trPr>
        <w:tc>
          <w:tcPr>
            <w:tcW w:w="562" w:type="dxa"/>
          </w:tcPr>
          <w:p w:rsidR="00585B7B" w:rsidRPr="002668D4" w:rsidRDefault="00585B7B" w:rsidP="00BD696A">
            <w:pPr>
              <w:pStyle w:val="naiskr"/>
              <w:spacing w:before="0" w:after="0"/>
              <w:jc w:val="center"/>
            </w:pPr>
            <w:r w:rsidRPr="002668D4">
              <w:t>1.</w:t>
            </w:r>
          </w:p>
        </w:tc>
        <w:tc>
          <w:tcPr>
            <w:tcW w:w="2410" w:type="dxa"/>
          </w:tcPr>
          <w:p w:rsidR="00585B7B" w:rsidRPr="002668D4" w:rsidRDefault="00585B7B" w:rsidP="00916055">
            <w:pPr>
              <w:pStyle w:val="naiskr"/>
              <w:spacing w:before="0" w:after="0"/>
              <w:ind w:left="141" w:hanging="10"/>
            </w:pPr>
            <w:r w:rsidRPr="002668D4">
              <w:t>Pamatojums</w:t>
            </w:r>
          </w:p>
        </w:tc>
        <w:tc>
          <w:tcPr>
            <w:tcW w:w="7229" w:type="dxa"/>
          </w:tcPr>
          <w:p w:rsidR="00CE5F5C" w:rsidRPr="002668D4" w:rsidRDefault="00CE5F5C" w:rsidP="00CE5F5C">
            <w:pPr>
              <w:ind w:right="127"/>
              <w:jc w:val="both"/>
            </w:pPr>
            <w:r w:rsidRPr="002668D4">
              <w:t>Ministru kabineta rīkojuma projekts „Par apropriācijas pārdali”  sagatavots, pamatojoties uz:</w:t>
            </w:r>
          </w:p>
          <w:p w:rsidR="00CE5F5C" w:rsidRPr="002668D4" w:rsidRDefault="00081ACD" w:rsidP="00CE5F5C">
            <w:pPr>
              <w:pStyle w:val="ListParagraph"/>
              <w:numPr>
                <w:ilvl w:val="0"/>
                <w:numId w:val="9"/>
              </w:numPr>
              <w:jc w:val="both"/>
            </w:pPr>
            <w:r w:rsidRPr="002668D4">
              <w:t>Nepieciešamību</w:t>
            </w:r>
            <w:r w:rsidR="00CE5F5C" w:rsidRPr="002668D4">
              <w:t xml:space="preserve"> segt  Latvijas dalības maksu Eiropas Kosmosa aģentūras Eiropas sadarbības valsts statusā 2015.gadam.</w:t>
            </w:r>
          </w:p>
          <w:p w:rsidR="00CE5F5C" w:rsidRPr="002668D4" w:rsidRDefault="00CE5F5C" w:rsidP="00CE5F5C">
            <w:pPr>
              <w:pStyle w:val="ListParagraph"/>
              <w:numPr>
                <w:ilvl w:val="0"/>
                <w:numId w:val="9"/>
              </w:numPr>
              <w:ind w:right="127"/>
              <w:jc w:val="both"/>
            </w:pPr>
            <w:r w:rsidRPr="002668D4">
              <w:t xml:space="preserve"> likuma “Par valsts budžetu 2015.gadam” 31.panta 4.punktu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30.panta nosacījumus. Minētā norma arī nosaka, ka šādu apropriācijas pārdali atļauts veikt, ja Saeimas Budžeta un finanšu (nodokļu) komisija piecu dienu laikā no attiecīgās informācijas saņemšanas nav iebildusi pret apropriācijas pārdali. Likuma “Par valst</w:t>
            </w:r>
            <w:r w:rsidR="00367A01" w:rsidRPr="002668D4">
              <w:t xml:space="preserve">s budžetu 2015.gadam” 30.panta </w:t>
            </w:r>
            <w:r w:rsidRPr="002668D4">
              <w:t xml:space="preserve"> 1.punkts nosaka, ka kopējais pārdales apjoms starp pamatbudžeta programmām (apakšprogrammām) nedrīkst izraisīt katras atsevišķās programmas (apakšprogrammas) palielinājumu, kas būtu lielāks par 5 procentiem no programmai (apakšprogrammai) apstiprinātās gada apropriācijas apjoma un 7.punkts, nosaka, ka  nav pieļaujamas apropriācijas izmaiņas valsts pamatfunkciju īstenošanai, kas palielina ministrijas ilgtermiņa saistību maksimāli pieļaujamo apjomu.</w:t>
            </w:r>
          </w:p>
        </w:tc>
      </w:tr>
      <w:tr w:rsidR="00585B7B" w:rsidRPr="002668D4" w:rsidTr="009C68C6">
        <w:trPr>
          <w:trHeight w:val="562"/>
        </w:trPr>
        <w:tc>
          <w:tcPr>
            <w:tcW w:w="562" w:type="dxa"/>
          </w:tcPr>
          <w:p w:rsidR="00585B7B" w:rsidRPr="002668D4" w:rsidRDefault="00585B7B" w:rsidP="00BD696A">
            <w:pPr>
              <w:pStyle w:val="naiskr"/>
              <w:spacing w:before="0" w:after="0"/>
              <w:jc w:val="center"/>
            </w:pPr>
            <w:r w:rsidRPr="002668D4">
              <w:t>2.</w:t>
            </w:r>
          </w:p>
        </w:tc>
        <w:tc>
          <w:tcPr>
            <w:tcW w:w="2410" w:type="dxa"/>
          </w:tcPr>
          <w:p w:rsidR="00585B7B" w:rsidRPr="002668D4" w:rsidRDefault="00005A9D" w:rsidP="00916055">
            <w:pPr>
              <w:pStyle w:val="naiskr"/>
              <w:tabs>
                <w:tab w:val="left" w:pos="170"/>
              </w:tabs>
              <w:spacing w:before="0" w:after="0"/>
              <w:ind w:left="141"/>
            </w:pPr>
            <w:r w:rsidRPr="002668D4">
              <w:t>Pašreizējā situācija un problēmas, kuru risināšanai tiesību akta projekts izstrādāts, tiesiskā regulējuma mērķis un būtība</w:t>
            </w:r>
          </w:p>
        </w:tc>
        <w:tc>
          <w:tcPr>
            <w:tcW w:w="7229" w:type="dxa"/>
          </w:tcPr>
          <w:p w:rsidR="00E83BC5" w:rsidRPr="002668D4" w:rsidRDefault="00DC1EE5" w:rsidP="00A24A9C">
            <w:pPr>
              <w:ind w:left="132" w:right="127"/>
              <w:jc w:val="both"/>
            </w:pPr>
            <w:r w:rsidRPr="002668D4">
              <w:t>Ministru kabineta 201</w:t>
            </w:r>
            <w:r w:rsidR="00441E70" w:rsidRPr="002668D4">
              <w:t>5</w:t>
            </w:r>
            <w:r w:rsidRPr="002668D4">
              <w:t xml:space="preserve">.gada </w:t>
            </w:r>
            <w:r w:rsidR="00E83BC5" w:rsidRPr="002668D4">
              <w:t>27.janvārā sēdē (prot. Nr.</w:t>
            </w:r>
            <w:r w:rsidR="0003639A" w:rsidRPr="002668D4">
              <w:t>5</w:t>
            </w:r>
            <w:r w:rsidR="00E83BC5" w:rsidRPr="002668D4">
              <w:t xml:space="preserve"> </w:t>
            </w:r>
            <w:r w:rsidR="0003639A" w:rsidRPr="002668D4">
              <w:t>88.§., 2.</w:t>
            </w:r>
            <w:r w:rsidR="00E83BC5" w:rsidRPr="002668D4">
              <w:t xml:space="preserve">punkts), </w:t>
            </w:r>
            <w:r w:rsidR="0003639A" w:rsidRPr="002668D4">
              <w:t xml:space="preserve">izskatot Ministru kabineta noteikumu projektu "Par Latvijas Republikas valdības un Eiropas Kosmosa aģentūras Eiropas sadarbības valsts plāna hartu", </w:t>
            </w:r>
            <w:r w:rsidR="00B27926" w:rsidRPr="002668D4">
              <w:t>atbalstīja</w:t>
            </w:r>
            <w:r w:rsidR="0003639A" w:rsidRPr="002668D4">
              <w:t xml:space="preserve"> Latvijas Republikas valdības un Eiropas Kosmosa aģentūras Eiropas sadarbības valsts plāna (turp</w:t>
            </w:r>
            <w:r w:rsidR="00B27926" w:rsidRPr="002668D4">
              <w:t>māk – ESVP) hartas parakstīšanu</w:t>
            </w:r>
            <w:r w:rsidR="0003639A" w:rsidRPr="002668D4">
              <w:t>. ESVP hartas parakstīšana tika veikta 2015.gada 30.janvārī Parīzē.  Saskaņā ar Latvijas Republikas valdības un Eiropas Kosmosa aģentūras Eiropas Sadarbības valsts līgumā (turpmāk – ESV līgums) 14.1.pantā noteikto</w:t>
            </w:r>
            <w:r w:rsidR="00F974FF" w:rsidRPr="002668D4">
              <w:t xml:space="preserve">, 2015.gada 30.janvārī spēkā ir stājies ESV līgums. </w:t>
            </w:r>
            <w:r w:rsidR="0003639A" w:rsidRPr="002668D4">
              <w:t xml:space="preserve"> </w:t>
            </w:r>
            <w:r w:rsidRPr="002668D4">
              <w:t xml:space="preserve"> </w:t>
            </w:r>
          </w:p>
          <w:p w:rsidR="00CA212A" w:rsidRPr="002668D4" w:rsidRDefault="00B27926" w:rsidP="00A24A9C">
            <w:pPr>
              <w:ind w:left="132" w:right="127"/>
              <w:jc w:val="both"/>
            </w:pPr>
            <w:r w:rsidRPr="002668D4">
              <w:t xml:space="preserve"> </w:t>
            </w:r>
          </w:p>
          <w:p w:rsidR="00F974FF" w:rsidRPr="002668D4" w:rsidRDefault="00F974FF" w:rsidP="00A24A9C">
            <w:pPr>
              <w:ind w:left="132" w:right="127"/>
              <w:jc w:val="both"/>
            </w:pPr>
            <w:r w:rsidRPr="002668D4">
              <w:t>Eiropas Kosmosa aģentūra četru nedēļā laikā pēc ESVP hartas parakstīšana</w:t>
            </w:r>
            <w:r w:rsidR="00B27926" w:rsidRPr="002668D4">
              <w:t>s Izglītības un zinātnes ministrijai (turpmāk –</w:t>
            </w:r>
            <w:r w:rsidR="00F645B6" w:rsidRPr="002668D4">
              <w:t xml:space="preserve"> </w:t>
            </w:r>
            <w:r w:rsidR="00B27926" w:rsidRPr="002668D4">
              <w:t xml:space="preserve">ministrija) </w:t>
            </w:r>
            <w:r w:rsidRPr="002668D4">
              <w:t>nosūtīs rēķinu par dalī</w:t>
            </w:r>
            <w:r w:rsidR="00F645B6" w:rsidRPr="002668D4">
              <w:t>bas maksas veikšanu 2015.gadam.</w:t>
            </w:r>
          </w:p>
          <w:p w:rsidR="0003639A" w:rsidRPr="002668D4" w:rsidRDefault="0003639A" w:rsidP="00A24A9C">
            <w:pPr>
              <w:ind w:left="132" w:right="127"/>
              <w:jc w:val="both"/>
            </w:pPr>
            <w:r w:rsidRPr="002668D4">
              <w:t>Ministru kabineta 201</w:t>
            </w:r>
            <w:r w:rsidR="00D94EBF" w:rsidRPr="002668D4">
              <w:t>5</w:t>
            </w:r>
            <w:r w:rsidRPr="002668D4">
              <w:t xml:space="preserve">.gada 27.janvārā sēdē (prot. Nr.5 90.§., 3.punkts) tika noteikts </w:t>
            </w:r>
            <w:r w:rsidR="00B27926" w:rsidRPr="002668D4">
              <w:t>ministrijai</w:t>
            </w:r>
            <w:r w:rsidRPr="002668D4">
              <w:t xml:space="preserve"> segt dalības maksu Eiropas Kosmosa aģentūras Eiropas sadarbības valsts statusā par 2015.gadu, finansējumu nodrošinot ministrijas budžeta ietvaros.</w:t>
            </w:r>
          </w:p>
          <w:p w:rsidR="00966DE0" w:rsidRPr="002668D4" w:rsidRDefault="00966DE0" w:rsidP="00787630">
            <w:pPr>
              <w:ind w:left="183" w:right="127"/>
              <w:jc w:val="both"/>
            </w:pPr>
          </w:p>
          <w:p w:rsidR="00787630" w:rsidRPr="002668D4" w:rsidRDefault="00886FCE" w:rsidP="00787630">
            <w:pPr>
              <w:ind w:left="183" w:right="127"/>
              <w:jc w:val="both"/>
            </w:pPr>
            <w:r w:rsidRPr="002668D4">
              <w:t>M</w:t>
            </w:r>
            <w:r w:rsidR="006C5BC8" w:rsidRPr="002668D4">
              <w:t>inis</w:t>
            </w:r>
            <w:r w:rsidRPr="002668D4">
              <w:t xml:space="preserve">trija ir izvērtējusi budžeta programmas un </w:t>
            </w:r>
            <w:r w:rsidR="006C5BC8" w:rsidRPr="002668D4">
              <w:t xml:space="preserve">uzskata, ka vienīgā budžeta programma, no kuras ir iespējams segt  dalības maksu Eiropas Kosmosa </w:t>
            </w:r>
            <w:r w:rsidR="00787630" w:rsidRPr="002668D4">
              <w:t xml:space="preserve">aģentūrā </w:t>
            </w:r>
            <w:r w:rsidR="00966DE0" w:rsidRPr="002668D4">
              <w:t xml:space="preserve">2015.gadā </w:t>
            </w:r>
            <w:r w:rsidR="006C5BC8" w:rsidRPr="002668D4">
              <w:t xml:space="preserve">ir  ministrijas budžeta apakšprogramma 05.02.00 </w:t>
            </w:r>
            <w:r w:rsidR="00F645B6" w:rsidRPr="002668D4">
              <w:t>“</w:t>
            </w:r>
            <w:r w:rsidR="006C5BC8" w:rsidRPr="002668D4">
              <w:t>Zinātnes bāzes finansējums</w:t>
            </w:r>
            <w:r w:rsidR="00F645B6" w:rsidRPr="002668D4">
              <w:t>”</w:t>
            </w:r>
            <w:r w:rsidR="00AA559A" w:rsidRPr="002668D4">
              <w:t>. Šajā programmā</w:t>
            </w:r>
            <w:r w:rsidR="006C5BC8" w:rsidRPr="002668D4">
              <w:t xml:space="preserve"> 2015.gadā 2 206 564 </w:t>
            </w:r>
            <w:proofErr w:type="spellStart"/>
            <w:r w:rsidR="00D10D0B" w:rsidRPr="002668D4">
              <w:rPr>
                <w:i/>
              </w:rPr>
              <w:t>euro</w:t>
            </w:r>
            <w:proofErr w:type="spellEnd"/>
            <w:r w:rsidR="006C5BC8" w:rsidRPr="002668D4">
              <w:t xml:space="preserve"> ir paredzēti līdzek</w:t>
            </w:r>
            <w:r w:rsidR="00AA559A" w:rsidRPr="002668D4">
              <w:t>ļi pievienotās vērtības nodokļa</w:t>
            </w:r>
            <w:r w:rsidR="006C5BC8" w:rsidRPr="002668D4">
              <w:t xml:space="preserve"> maksājumu līdzfina</w:t>
            </w:r>
            <w:r w:rsidR="00AA559A" w:rsidRPr="002668D4">
              <w:t>nsēšanai zinātnisko institūciju</w:t>
            </w:r>
            <w:r w:rsidR="006C5BC8" w:rsidRPr="002668D4">
              <w:t xml:space="preserve"> Eiropas Savienības pamatprogrammu projekt</w:t>
            </w:r>
            <w:r w:rsidR="00986F46" w:rsidRPr="002668D4">
              <w:t>os.</w:t>
            </w:r>
          </w:p>
          <w:p w:rsidR="00966DE0" w:rsidRPr="002668D4" w:rsidRDefault="00966DE0" w:rsidP="00787630">
            <w:pPr>
              <w:ind w:left="183" w:right="127"/>
              <w:jc w:val="both"/>
            </w:pPr>
          </w:p>
          <w:p w:rsidR="00C112B7" w:rsidRPr="002668D4" w:rsidRDefault="00787630" w:rsidP="00787630">
            <w:pPr>
              <w:ind w:left="183" w:right="127"/>
              <w:jc w:val="both"/>
              <w:rPr>
                <w:rFonts w:eastAsia="Times New Roman"/>
              </w:rPr>
            </w:pPr>
            <w:r w:rsidRPr="002668D4">
              <w:lastRenderedPageBreak/>
              <w:t>M</w:t>
            </w:r>
            <w:r w:rsidR="00755E78" w:rsidRPr="002668D4">
              <w:t>inistrija</w:t>
            </w:r>
            <w:r w:rsidR="00AE1F4F" w:rsidRPr="002668D4">
              <w:t xml:space="preserve"> ierosina </w:t>
            </w:r>
            <w:r w:rsidR="00755E78" w:rsidRPr="002668D4">
              <w:t>veikt apropriācijas pārdali no ministrijas</w:t>
            </w:r>
            <w:r w:rsidR="00AE1F4F" w:rsidRPr="002668D4">
              <w:t xml:space="preserve"> budžeta apakšprogrammas </w:t>
            </w:r>
            <w:r w:rsidR="00755E78" w:rsidRPr="002668D4">
              <w:rPr>
                <w:rFonts w:eastAsia="Times New Roman"/>
              </w:rPr>
              <w:t>05.02.00 Zinātnes bāzes finansējums 1 339 900</w:t>
            </w:r>
            <w:r w:rsidR="003B2313" w:rsidRPr="002668D4">
              <w:rPr>
                <w:rStyle w:val="FootnoteReference"/>
                <w:rFonts w:eastAsia="Times New Roman"/>
              </w:rPr>
              <w:footnoteReference w:id="1"/>
            </w:r>
            <w:r w:rsidR="00755E78" w:rsidRPr="002668D4">
              <w:rPr>
                <w:rFonts w:eastAsia="Times New Roman"/>
              </w:rPr>
              <w:t xml:space="preserve"> </w:t>
            </w:r>
            <w:proofErr w:type="spellStart"/>
            <w:r w:rsidR="00755E78" w:rsidRPr="002668D4">
              <w:rPr>
                <w:rFonts w:eastAsia="Times New Roman"/>
                <w:i/>
              </w:rPr>
              <w:t>euro</w:t>
            </w:r>
            <w:proofErr w:type="spellEnd"/>
            <w:r w:rsidR="00755E78" w:rsidRPr="002668D4">
              <w:rPr>
                <w:rFonts w:eastAsia="Times New Roman"/>
              </w:rPr>
              <w:t xml:space="preserve"> apmērā uz ministrijas budžeta programmu </w:t>
            </w:r>
            <w:r w:rsidR="00C776F9" w:rsidRPr="002668D4">
              <w:t>16.00.00 “Eiropas Savienības lietas un starptautiskā sadarbība”</w:t>
            </w:r>
            <w:r w:rsidR="00755E78" w:rsidRPr="002668D4">
              <w:rPr>
                <w:rFonts w:eastAsia="Times New Roman"/>
              </w:rPr>
              <w:t>, lai segtu Latvijas dalības maksu Eiropas Kosmosa aģentūras Eiropas sadarbības valsts statusā</w:t>
            </w:r>
            <w:r w:rsidR="003B2313" w:rsidRPr="002668D4">
              <w:rPr>
                <w:rFonts w:eastAsia="Times New Roman"/>
              </w:rPr>
              <w:t xml:space="preserve"> 2015.gadam. </w:t>
            </w:r>
          </w:p>
          <w:p w:rsidR="00876518" w:rsidRPr="002668D4" w:rsidRDefault="00876518" w:rsidP="003741FB">
            <w:pPr>
              <w:ind w:right="127"/>
              <w:jc w:val="both"/>
              <w:rPr>
                <w:rFonts w:eastAsia="Times New Roman"/>
                <w:color w:val="000000"/>
              </w:rPr>
            </w:pPr>
          </w:p>
          <w:p w:rsidR="008A6C8A" w:rsidRPr="002668D4" w:rsidRDefault="00876518" w:rsidP="00755E78">
            <w:pPr>
              <w:ind w:left="132" w:right="127"/>
              <w:jc w:val="both"/>
              <w:rPr>
                <w:rFonts w:eastAsia="Times New Roman"/>
                <w:color w:val="000000"/>
              </w:rPr>
            </w:pPr>
            <w:r w:rsidRPr="002668D4">
              <w:rPr>
                <w:rFonts w:eastAsia="Times New Roman"/>
                <w:color w:val="000000"/>
              </w:rPr>
              <w:t xml:space="preserve">Ievērojot minēto, </w:t>
            </w:r>
            <w:r w:rsidR="00755E78" w:rsidRPr="002668D4">
              <w:rPr>
                <w:rFonts w:eastAsia="Times New Roman"/>
                <w:color w:val="000000"/>
              </w:rPr>
              <w:t>ministrija</w:t>
            </w:r>
            <w:r w:rsidRPr="002668D4">
              <w:rPr>
                <w:rFonts w:eastAsia="Times New Roman"/>
                <w:color w:val="000000"/>
              </w:rPr>
              <w:t xml:space="preserve"> ir izstrādājusi Ministru kabineta rīkojuma projektu “Par</w:t>
            </w:r>
            <w:r w:rsidR="00966DE0" w:rsidRPr="002668D4">
              <w:rPr>
                <w:rFonts w:eastAsia="Times New Roman"/>
                <w:color w:val="000000"/>
              </w:rPr>
              <w:t xml:space="preserve"> </w:t>
            </w:r>
            <w:r w:rsidR="00C112B7" w:rsidRPr="002668D4">
              <w:rPr>
                <w:rFonts w:eastAsia="Times New Roman"/>
                <w:color w:val="000000"/>
              </w:rPr>
              <w:t>apropriācijas pārdali”</w:t>
            </w:r>
            <w:r w:rsidRPr="002668D4">
              <w:rPr>
                <w:rFonts w:eastAsia="Times New Roman"/>
                <w:color w:val="000000"/>
              </w:rPr>
              <w:t>.</w:t>
            </w:r>
          </w:p>
          <w:p w:rsidR="00886FCE" w:rsidRPr="002668D4" w:rsidRDefault="00886FCE" w:rsidP="00986F46">
            <w:pPr>
              <w:ind w:right="127"/>
              <w:jc w:val="both"/>
            </w:pPr>
          </w:p>
          <w:p w:rsidR="00441E70" w:rsidRPr="002668D4" w:rsidRDefault="00441E70" w:rsidP="00441E70">
            <w:pPr>
              <w:ind w:left="132" w:right="127"/>
              <w:jc w:val="both"/>
            </w:pPr>
            <w:r w:rsidRPr="002668D4">
              <w:t xml:space="preserve">Ievērojot to, ka ministrijas budžeta apakšprogrammas 05.02.00 Zinātnes bāzes finansējums pievienotās vērtības nodokļa (turpmāk – PVN) līdzfinansējumam paredzēto līdzekļu apguve ir atkarīga no zinātnisko institūciju sekmēm Eiropas Savienības pamatprogrammu projektos un tajos veiktos PVN maksājumu apjoma. 2014.gadā PVN maksājumiem tika piešķirti 1 565 159 </w:t>
            </w:r>
            <w:proofErr w:type="spellStart"/>
            <w:r w:rsidRPr="002668D4">
              <w:t>euro</w:t>
            </w:r>
            <w:proofErr w:type="spellEnd"/>
            <w:r w:rsidRPr="002668D4">
              <w:t xml:space="preserve">, no kuriem maksājumi tika veikti 10 valsts zinātniskajām institūcijām, 357 251,98 </w:t>
            </w:r>
            <w:proofErr w:type="spellStart"/>
            <w:r w:rsidRPr="002668D4">
              <w:rPr>
                <w:i/>
              </w:rPr>
              <w:t>euro</w:t>
            </w:r>
            <w:proofErr w:type="spellEnd"/>
            <w:r w:rsidRPr="002668D4">
              <w:t xml:space="preserve"> apmērā. Ņemot vērā to, ka 2014.gadā līdzfinansējums tika piešķirts pirmo reizi un 2013 un 2014.gadā ir uzsākta vairāku liela apjoma projektu īstenošana, ir paredzams, ka 2015.gadā līdzfinansējuma pieprasījumu apjoms pieaugs. Lai gan tikai 2015.gada aprīlī ministrija varēs noteikt precīzāku prognozi nepieciešamo finansējumu apjomam PVN maksājumu līdzfinansēšanai par iepriekšējā gadā veikto PVN maksājumu summu, ir paredzams ka būs nepieciešams vismaz četras reizes vairāk nekā 2014.gadā. No pamatprogrammām piesaistītā finansējuma palielināšana ir viens no zinātniskajām institūcijām izvirzītajām prioritātēm. Ja valsts zinātniskās institūcijas būs veiksmīgas Eiropas Savienības pamatprogrammu projektu apguvē pastāv risks, ka var pietrūkt finanšu līdzekļu apakšprogrammas 05.02.00 “Zinātnes bāzes finansējums” mērķu sasniegšanai. Gadījumā, ja pārdales rezultātā ministrijai 2015.gada otrajā pusē radīsies finanšu līdzekļu iztrūkums apakšprogrammas 05.02.00 “Zinātnes bāzes finansējums” pamatmērķu sasniegšanai, ministrija par to informēs Ministru kabinetu. Vienlaikus, finanšu līdzekļu iztrūkuma gadījumā, ministrija prioritāri izvērtēs finanšu pārdali starp ministrijas pārraudzībā esošajām budžeta programmām, ja tajās būs pārpalikums. </w:t>
            </w:r>
          </w:p>
          <w:p w:rsidR="00886FCE" w:rsidRPr="002668D4" w:rsidRDefault="00886FCE" w:rsidP="00886FCE">
            <w:pPr>
              <w:ind w:left="132" w:right="127"/>
              <w:jc w:val="both"/>
              <w:rPr>
                <w:lang w:eastAsia="en-US"/>
              </w:rPr>
            </w:pPr>
          </w:p>
          <w:p w:rsidR="00223030" w:rsidRPr="002668D4" w:rsidRDefault="00223030" w:rsidP="00886FCE">
            <w:pPr>
              <w:ind w:left="132" w:right="127"/>
              <w:jc w:val="both"/>
              <w:rPr>
                <w:lang w:eastAsia="en-US"/>
              </w:rPr>
            </w:pPr>
          </w:p>
          <w:p w:rsidR="002036DD" w:rsidRPr="002668D4" w:rsidRDefault="00223030" w:rsidP="00C776F9">
            <w:pPr>
              <w:tabs>
                <w:tab w:val="left" w:pos="993"/>
              </w:tabs>
              <w:jc w:val="both"/>
            </w:pPr>
            <w:r w:rsidRPr="002668D4">
              <w:t>Saskaņā ar 2015.gada 27.janvāra Ministru kabineta lēmumu (prot. Nr.5 90.§., 4</w:t>
            </w:r>
            <w:r w:rsidR="00F645B6" w:rsidRPr="002668D4">
              <w:t>.punkts),</w:t>
            </w:r>
            <w:r w:rsidRPr="002668D4">
              <w:t xml:space="preserve"> izskatot </w:t>
            </w:r>
            <w:r w:rsidR="005A3232" w:rsidRPr="002668D4">
              <w:t>r</w:t>
            </w:r>
            <w:r w:rsidRPr="002668D4">
              <w:t xml:space="preserve">īkojuma projektu "Par atļauju Izglītības un zinātnes ministrijai uzņemties ilgtermiņa saistības, lai nodrošinātu Latvijas dalību Eiropas Kosmosa aģentūras Eiropas sadarbības valsts statusā", ministrijai sadarbībā ar Ekonomikas ministriju un Finanšu ministriju </w:t>
            </w:r>
            <w:r w:rsidR="005A3232" w:rsidRPr="002668D4">
              <w:t xml:space="preserve">tika </w:t>
            </w:r>
            <w:r w:rsidRPr="002668D4">
              <w:t>dots uzdevums sagatavot un izglītības un zinātnes ministram līdz 2015.gada 1.martam iesniegt izskatīšanai Ministru kabinetā konkrētus priekšlikumus dalības maksas nodrošināšanai par 2016.gadu Eiropas Kosmosa aģentūras Eiropas sadarbības valsts statusā.</w:t>
            </w:r>
          </w:p>
          <w:p w:rsidR="00441E70" w:rsidRPr="002668D4" w:rsidRDefault="00441E70" w:rsidP="00C776F9">
            <w:pPr>
              <w:tabs>
                <w:tab w:val="left" w:pos="993"/>
              </w:tabs>
              <w:jc w:val="both"/>
            </w:pPr>
          </w:p>
          <w:p w:rsidR="00441E70" w:rsidRPr="002668D4" w:rsidRDefault="00441E70" w:rsidP="00441E70">
            <w:pPr>
              <w:tabs>
                <w:tab w:val="left" w:pos="993"/>
              </w:tabs>
              <w:jc w:val="both"/>
            </w:pPr>
            <w:r w:rsidRPr="002668D4">
              <w:t xml:space="preserve">Ekonomikas ministrija līdz 2015.gada 1.maijam iesniegs Ministru kabinetā informatīvo ziņojumu par "Expo </w:t>
            </w:r>
            <w:proofErr w:type="spellStart"/>
            <w:r w:rsidRPr="002668D4">
              <w:t>Milano</w:t>
            </w:r>
            <w:proofErr w:type="spellEnd"/>
            <w:r w:rsidRPr="002668D4">
              <w:t xml:space="preserve"> 2015" projektam piešķirto valsts </w:t>
            </w:r>
            <w:r w:rsidRPr="002668D4">
              <w:lastRenderedPageBreak/>
              <w:t xml:space="preserve">budžeta līdzekļu izlietojumu, kuram tiks pievienots  Ekonomikas ministrijas sadarbībā ar ministriju izstrādātais Ministru kabineta rīkojuma projekts, paredzot 1 400 000 </w:t>
            </w:r>
            <w:proofErr w:type="spellStart"/>
            <w:r w:rsidRPr="002668D4">
              <w:rPr>
                <w:i/>
              </w:rPr>
              <w:t>euro</w:t>
            </w:r>
            <w:proofErr w:type="spellEnd"/>
            <w:r w:rsidRPr="002668D4">
              <w:t xml:space="preserve"> pārdali no Ekonomikas ministrijas budžeta programmā 28.00.00 “Ārējās ekonomiskās politikas ieviešana” "Expo </w:t>
            </w:r>
            <w:proofErr w:type="spellStart"/>
            <w:r w:rsidRPr="002668D4">
              <w:t>Milano</w:t>
            </w:r>
            <w:proofErr w:type="spellEnd"/>
            <w:r w:rsidRPr="002668D4">
              <w:t xml:space="preserve"> 2015" projektam piešķirto valsts budžeta līdzekļu atlikuma uz  ministrijas budžeta programmu 16.00.00 “Eiropas Savienības lietas un starptautiskā sadarbība”, lai segtu Latvijas dalības maksu Eiropas Kosmosa aģentūras Eiropas sadarbības valsts statusā 2016.gadam.</w:t>
            </w:r>
          </w:p>
          <w:p w:rsidR="00441E70" w:rsidRPr="002668D4" w:rsidRDefault="00441E70" w:rsidP="00441E70">
            <w:pPr>
              <w:tabs>
                <w:tab w:val="left" w:pos="993"/>
              </w:tabs>
              <w:jc w:val="both"/>
            </w:pPr>
          </w:p>
          <w:p w:rsidR="00441E70" w:rsidRPr="002668D4" w:rsidRDefault="00441E70" w:rsidP="00441E70">
            <w:pPr>
              <w:tabs>
                <w:tab w:val="left" w:pos="993"/>
              </w:tabs>
              <w:jc w:val="both"/>
            </w:pPr>
            <w:r w:rsidRPr="002668D4">
              <w:t>Lai segtu Latvijas dalības maksu Eiropas Kosmosa aģentūras Eiropas sadarbības valsts statusā 2017.-2019.gadiem, ministrija ir sagatavojusi rīkojuma projektu "Par atļauju ministrijai uzņemties ilgtermiņa saistības, lai nodrošinātu Latvijas dalību Eiropas Kosmosa aģentūras Eiropas sadarbības valsts statusā" paredzot palielināt ministrijas valsts pamatbudžeta bāzes izdevumus</w:t>
            </w:r>
            <w:r w:rsidRPr="002668D4">
              <w:rPr>
                <w:bCs/>
              </w:rPr>
              <w:t xml:space="preserve"> 2017.gadam – </w:t>
            </w:r>
            <w:r w:rsidRPr="002668D4">
              <w:rPr>
                <w:bCs/>
                <w:iCs/>
              </w:rPr>
              <w:t xml:space="preserve">1 440 000 </w:t>
            </w:r>
            <w:proofErr w:type="spellStart"/>
            <w:r w:rsidRPr="002668D4">
              <w:rPr>
                <w:bCs/>
                <w:i/>
                <w:iCs/>
              </w:rPr>
              <w:t>euro</w:t>
            </w:r>
            <w:proofErr w:type="spellEnd"/>
            <w:r w:rsidRPr="002668D4">
              <w:rPr>
                <w:bCs/>
                <w:iCs/>
              </w:rPr>
              <w:t xml:space="preserve"> apmērā</w:t>
            </w:r>
            <w:r w:rsidRPr="002668D4">
              <w:rPr>
                <w:bCs/>
              </w:rPr>
              <w:t xml:space="preserve">, 2018.gadam – 1 480 000 </w:t>
            </w:r>
            <w:proofErr w:type="spellStart"/>
            <w:r w:rsidRPr="002668D4">
              <w:rPr>
                <w:bCs/>
                <w:i/>
                <w:iCs/>
              </w:rPr>
              <w:t>euro</w:t>
            </w:r>
            <w:proofErr w:type="spellEnd"/>
            <w:r w:rsidRPr="002668D4">
              <w:rPr>
                <w:bCs/>
                <w:iCs/>
              </w:rPr>
              <w:t xml:space="preserve"> apmērā</w:t>
            </w:r>
            <w:r w:rsidRPr="002668D4">
              <w:rPr>
                <w:bCs/>
              </w:rPr>
              <w:t xml:space="preserve">, vienlaikus paredzot finansējumu 2019.gadam –  1 520 000 </w:t>
            </w:r>
            <w:proofErr w:type="spellStart"/>
            <w:r w:rsidRPr="002668D4">
              <w:rPr>
                <w:bCs/>
                <w:i/>
                <w:iCs/>
              </w:rPr>
              <w:t>euro</w:t>
            </w:r>
            <w:proofErr w:type="spellEnd"/>
            <w:r w:rsidRPr="002668D4">
              <w:rPr>
                <w:bCs/>
                <w:iCs/>
              </w:rPr>
              <w:t xml:space="preserve"> apmērā</w:t>
            </w:r>
            <w:r w:rsidRPr="002668D4">
              <w:t>.</w:t>
            </w:r>
          </w:p>
          <w:p w:rsidR="00441E70" w:rsidRPr="002668D4" w:rsidRDefault="00441E70" w:rsidP="00C776F9">
            <w:pPr>
              <w:tabs>
                <w:tab w:val="left" w:pos="993"/>
              </w:tabs>
              <w:jc w:val="both"/>
            </w:pPr>
          </w:p>
          <w:p w:rsidR="00886FCE" w:rsidRPr="002668D4" w:rsidRDefault="009B517A" w:rsidP="009B517A">
            <w:pPr>
              <w:ind w:right="127"/>
              <w:jc w:val="both"/>
            </w:pPr>
            <w:r w:rsidRPr="002668D4">
              <w:rPr>
                <w:lang w:eastAsia="en-US"/>
              </w:rPr>
              <w:t>Ministrija informēs</w:t>
            </w:r>
            <w:r w:rsidRPr="002668D4">
              <w:rPr>
                <w:lang w:eastAsia="en-US"/>
              </w:rPr>
              <w:t xml:space="preserve"> Eiropas Kosmosa aģentūru, ka 2016.gada Latvijas dalības maksa Eiropas Kosmosa aģentūras Eiropas sadarbības valsts statusā tiks nodrošināta 2015.gadā.</w:t>
            </w:r>
          </w:p>
        </w:tc>
      </w:tr>
      <w:tr w:rsidR="00585B7B" w:rsidRPr="002668D4" w:rsidTr="009C68C6">
        <w:trPr>
          <w:trHeight w:val="476"/>
        </w:trPr>
        <w:tc>
          <w:tcPr>
            <w:tcW w:w="562" w:type="dxa"/>
          </w:tcPr>
          <w:p w:rsidR="00585B7B" w:rsidRPr="002668D4" w:rsidRDefault="00005A9D" w:rsidP="00BD696A">
            <w:pPr>
              <w:pStyle w:val="naiskr"/>
              <w:spacing w:before="0" w:after="0"/>
              <w:jc w:val="center"/>
            </w:pPr>
            <w:r w:rsidRPr="002668D4">
              <w:lastRenderedPageBreak/>
              <w:t>3.</w:t>
            </w:r>
          </w:p>
        </w:tc>
        <w:tc>
          <w:tcPr>
            <w:tcW w:w="2410" w:type="dxa"/>
          </w:tcPr>
          <w:p w:rsidR="00585B7B" w:rsidRPr="002668D4" w:rsidRDefault="00005A9D" w:rsidP="00916055">
            <w:pPr>
              <w:pStyle w:val="naiskr"/>
              <w:spacing w:before="0" w:after="0"/>
              <w:ind w:left="141"/>
            </w:pPr>
            <w:r w:rsidRPr="002668D4">
              <w:t>Projekta izstrādē iesaistītās institūcijas</w:t>
            </w:r>
          </w:p>
        </w:tc>
        <w:tc>
          <w:tcPr>
            <w:tcW w:w="7229" w:type="dxa"/>
          </w:tcPr>
          <w:p w:rsidR="00643E6C" w:rsidRPr="002668D4" w:rsidRDefault="00DC332F" w:rsidP="00755E78">
            <w:pPr>
              <w:ind w:left="82" w:right="141"/>
              <w:jc w:val="both"/>
            </w:pPr>
            <w:r w:rsidRPr="002668D4">
              <w:t xml:space="preserve">Ministru kabineta rīkojuma projektu izstrādāja </w:t>
            </w:r>
            <w:r w:rsidR="00755E78" w:rsidRPr="002668D4">
              <w:t>ministrija</w:t>
            </w:r>
            <w:r w:rsidR="00593EB2" w:rsidRPr="002668D4">
              <w:t>,</w:t>
            </w:r>
            <w:r w:rsidR="00377E19" w:rsidRPr="002668D4">
              <w:t xml:space="preserve"> konsultējoties ar Finanšu ministriju</w:t>
            </w:r>
            <w:r w:rsidR="00CE5F5C" w:rsidRPr="002668D4">
              <w:t xml:space="preserve"> un Ekonomikas ministriju</w:t>
            </w:r>
            <w:r w:rsidR="00377E19" w:rsidRPr="002668D4">
              <w:t>.</w:t>
            </w:r>
          </w:p>
        </w:tc>
      </w:tr>
      <w:tr w:rsidR="00585B7B" w:rsidRPr="002668D4" w:rsidTr="009C68C6">
        <w:tc>
          <w:tcPr>
            <w:tcW w:w="562" w:type="dxa"/>
          </w:tcPr>
          <w:p w:rsidR="00585B7B" w:rsidRPr="002668D4" w:rsidRDefault="00005A9D" w:rsidP="00BD696A">
            <w:pPr>
              <w:pStyle w:val="naiskr"/>
              <w:spacing w:before="0" w:after="0"/>
              <w:jc w:val="center"/>
            </w:pPr>
            <w:r w:rsidRPr="002668D4">
              <w:t>4</w:t>
            </w:r>
            <w:r w:rsidR="00585B7B" w:rsidRPr="002668D4">
              <w:t>.</w:t>
            </w:r>
          </w:p>
        </w:tc>
        <w:tc>
          <w:tcPr>
            <w:tcW w:w="2410" w:type="dxa"/>
          </w:tcPr>
          <w:p w:rsidR="00585B7B" w:rsidRPr="002668D4" w:rsidRDefault="00585B7B" w:rsidP="00916055">
            <w:pPr>
              <w:pStyle w:val="naiskr"/>
              <w:spacing w:before="0" w:after="0"/>
              <w:ind w:left="141"/>
            </w:pPr>
            <w:r w:rsidRPr="002668D4">
              <w:t>Cita informācija</w:t>
            </w:r>
          </w:p>
        </w:tc>
        <w:tc>
          <w:tcPr>
            <w:tcW w:w="7229" w:type="dxa"/>
          </w:tcPr>
          <w:p w:rsidR="006A26FB" w:rsidRPr="002668D4" w:rsidRDefault="00291AF4" w:rsidP="00CA212A">
            <w:pPr>
              <w:ind w:right="127"/>
              <w:jc w:val="both"/>
            </w:pPr>
            <w:r w:rsidRPr="002668D4">
              <w:t>Ministru kabineta r</w:t>
            </w:r>
            <w:r w:rsidR="00E5461A" w:rsidRPr="002668D4">
              <w:t xml:space="preserve">īkojuma projekts tiešā veidā attiecas uz </w:t>
            </w:r>
            <w:r w:rsidR="00755E78" w:rsidRPr="002668D4">
              <w:t>augstākās izglītības un zinātnes politiku. Pastarpināti</w:t>
            </w:r>
            <w:r w:rsidRPr="002668D4">
              <w:t xml:space="preserve"> Ministru kabineta rīkojuma projekts attiecas uz budžeta un finanšu politiku.</w:t>
            </w:r>
          </w:p>
          <w:p w:rsidR="00CA212A" w:rsidRPr="002668D4" w:rsidRDefault="00CA212A" w:rsidP="00CA212A">
            <w:pPr>
              <w:ind w:right="127"/>
              <w:jc w:val="both"/>
            </w:pPr>
          </w:p>
          <w:p w:rsidR="00D47B77" w:rsidRPr="002668D4" w:rsidRDefault="00D47B77" w:rsidP="00CA212A">
            <w:pPr>
              <w:ind w:right="127"/>
              <w:jc w:val="both"/>
            </w:pPr>
            <w:r w:rsidRPr="002668D4">
              <w:t xml:space="preserve">Ņemot vērā to, ka Ministru kabineta rīkojuma projektā paredzētā apropriācijas pārdale ir jāsaskaņo ar Saeimas budžeta un finanšu (nodokļu) komisiju, </w:t>
            </w:r>
            <w:r w:rsidR="00B27926" w:rsidRPr="002668D4">
              <w:t>ministrija</w:t>
            </w:r>
            <w:r w:rsidRPr="002668D4">
              <w:t xml:space="preserve"> veiks visas nepieciešamās darbības, lai apropriācijas pārdales pieprasījums Finanšu ministrijā tiktu iesniegts lēmuma pieņemšanas dienā, kā arī </w:t>
            </w:r>
            <w:r w:rsidR="006F62D0" w:rsidRPr="002668D4">
              <w:t xml:space="preserve">pēc lēmuma </w:t>
            </w:r>
            <w:r w:rsidRPr="002668D4">
              <w:t>pieņemšanas</w:t>
            </w:r>
            <w:r w:rsidR="0038389A" w:rsidRPr="002668D4">
              <w:t xml:space="preserve"> tiktu </w:t>
            </w:r>
            <w:r w:rsidRPr="002668D4">
              <w:t>nodrošināt</w:t>
            </w:r>
            <w:r w:rsidR="0038389A" w:rsidRPr="002668D4">
              <w:t>a</w:t>
            </w:r>
            <w:r w:rsidRPr="002668D4">
              <w:t xml:space="preserve"> iespējami drīz</w:t>
            </w:r>
            <w:r w:rsidR="0038389A" w:rsidRPr="002668D4">
              <w:t>a</w:t>
            </w:r>
            <w:r w:rsidRPr="002668D4">
              <w:t xml:space="preserve"> Ministru kabineta rīkojuma parakstīšan</w:t>
            </w:r>
            <w:r w:rsidR="0038389A" w:rsidRPr="002668D4">
              <w:t>a</w:t>
            </w:r>
            <w:r w:rsidRPr="002668D4">
              <w:t>.</w:t>
            </w:r>
          </w:p>
        </w:tc>
      </w:tr>
    </w:tbl>
    <w:p w:rsidR="005134ED" w:rsidRPr="002668D4" w:rsidRDefault="005134ED" w:rsidP="009B774A">
      <w:pPr>
        <w:pStyle w:val="naisf"/>
        <w:tabs>
          <w:tab w:val="left" w:pos="3819"/>
        </w:tabs>
        <w:spacing w:before="0" w:after="0"/>
        <w:ind w:firstLine="0"/>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1529"/>
        <w:gridCol w:w="1383"/>
        <w:gridCol w:w="1007"/>
        <w:gridCol w:w="1418"/>
        <w:gridCol w:w="1275"/>
      </w:tblGrid>
      <w:tr w:rsidR="009B774A" w:rsidRPr="002668D4" w:rsidTr="009C68C6">
        <w:trPr>
          <w:trHeight w:val="361"/>
          <w:jc w:val="center"/>
        </w:trPr>
        <w:tc>
          <w:tcPr>
            <w:tcW w:w="10201" w:type="dxa"/>
            <w:gridSpan w:val="6"/>
            <w:vAlign w:val="center"/>
          </w:tcPr>
          <w:p w:rsidR="009B774A" w:rsidRPr="002668D4" w:rsidRDefault="009B774A" w:rsidP="001A0506">
            <w:pPr>
              <w:jc w:val="center"/>
              <w:rPr>
                <w:b/>
                <w:i/>
              </w:rPr>
            </w:pPr>
            <w:r w:rsidRPr="002668D4">
              <w:br w:type="page"/>
            </w:r>
            <w:r w:rsidRPr="002668D4">
              <w:br w:type="page"/>
            </w:r>
            <w:r w:rsidRPr="002668D4">
              <w:rPr>
                <w:b/>
              </w:rPr>
              <w:t>III. Tiesību akta projekta ietekme uz valsts budžetu un pašvaldību budžetiem</w:t>
            </w:r>
          </w:p>
        </w:tc>
      </w:tr>
      <w:tr w:rsidR="009B774A" w:rsidRPr="002668D4" w:rsidTr="009C68C6">
        <w:trPr>
          <w:jc w:val="center"/>
        </w:trPr>
        <w:tc>
          <w:tcPr>
            <w:tcW w:w="3589" w:type="dxa"/>
            <w:vMerge w:val="restart"/>
            <w:vAlign w:val="center"/>
          </w:tcPr>
          <w:p w:rsidR="009B774A" w:rsidRPr="002668D4" w:rsidRDefault="009B774A" w:rsidP="001A0506">
            <w:pPr>
              <w:jc w:val="center"/>
              <w:rPr>
                <w:b/>
              </w:rPr>
            </w:pPr>
            <w:r w:rsidRPr="002668D4">
              <w:rPr>
                <w:b/>
              </w:rPr>
              <w:t>Rādītāji</w:t>
            </w:r>
          </w:p>
        </w:tc>
        <w:tc>
          <w:tcPr>
            <w:tcW w:w="2912" w:type="dxa"/>
            <w:gridSpan w:val="2"/>
            <w:vMerge w:val="restart"/>
            <w:vAlign w:val="center"/>
          </w:tcPr>
          <w:p w:rsidR="009B774A" w:rsidRPr="002668D4" w:rsidRDefault="009B774A" w:rsidP="004F6780">
            <w:pPr>
              <w:jc w:val="center"/>
              <w:rPr>
                <w:b/>
              </w:rPr>
            </w:pPr>
            <w:r w:rsidRPr="002668D4">
              <w:rPr>
                <w:b/>
              </w:rPr>
              <w:t>201</w:t>
            </w:r>
            <w:r w:rsidR="004F6780" w:rsidRPr="002668D4">
              <w:rPr>
                <w:b/>
              </w:rPr>
              <w:t>5</w:t>
            </w:r>
          </w:p>
        </w:tc>
        <w:tc>
          <w:tcPr>
            <w:tcW w:w="3700" w:type="dxa"/>
            <w:gridSpan w:val="3"/>
            <w:vAlign w:val="center"/>
          </w:tcPr>
          <w:p w:rsidR="009B774A" w:rsidRPr="002668D4" w:rsidRDefault="009B774A" w:rsidP="001A0506">
            <w:pPr>
              <w:jc w:val="center"/>
              <w:rPr>
                <w:b/>
                <w:i/>
              </w:rPr>
            </w:pPr>
            <w:r w:rsidRPr="002668D4">
              <w:t>Turpmākie trīs gadi (</w:t>
            </w:r>
            <w:proofErr w:type="spellStart"/>
            <w:r w:rsidRPr="002668D4">
              <w:rPr>
                <w:i/>
              </w:rPr>
              <w:t>euro</w:t>
            </w:r>
            <w:proofErr w:type="spellEnd"/>
            <w:r w:rsidRPr="002668D4">
              <w:t>)</w:t>
            </w:r>
          </w:p>
        </w:tc>
      </w:tr>
      <w:tr w:rsidR="009B774A" w:rsidRPr="002668D4" w:rsidTr="007A4634">
        <w:trPr>
          <w:jc w:val="center"/>
        </w:trPr>
        <w:tc>
          <w:tcPr>
            <w:tcW w:w="3589" w:type="dxa"/>
            <w:vMerge/>
            <w:vAlign w:val="center"/>
          </w:tcPr>
          <w:p w:rsidR="009B774A" w:rsidRPr="002668D4" w:rsidRDefault="009B774A" w:rsidP="001A0506">
            <w:pPr>
              <w:jc w:val="center"/>
              <w:rPr>
                <w:b/>
                <w:i/>
              </w:rPr>
            </w:pPr>
          </w:p>
        </w:tc>
        <w:tc>
          <w:tcPr>
            <w:tcW w:w="2912" w:type="dxa"/>
            <w:gridSpan w:val="2"/>
            <w:vMerge/>
            <w:vAlign w:val="center"/>
          </w:tcPr>
          <w:p w:rsidR="009B774A" w:rsidRPr="002668D4" w:rsidRDefault="009B774A" w:rsidP="001A0506">
            <w:pPr>
              <w:jc w:val="center"/>
              <w:rPr>
                <w:b/>
                <w:i/>
              </w:rPr>
            </w:pPr>
          </w:p>
        </w:tc>
        <w:tc>
          <w:tcPr>
            <w:tcW w:w="1007" w:type="dxa"/>
            <w:vAlign w:val="center"/>
          </w:tcPr>
          <w:p w:rsidR="009B774A" w:rsidRPr="002668D4" w:rsidRDefault="009B774A" w:rsidP="004F6780">
            <w:pPr>
              <w:jc w:val="center"/>
              <w:rPr>
                <w:b/>
                <w:i/>
              </w:rPr>
            </w:pPr>
            <w:r w:rsidRPr="002668D4">
              <w:rPr>
                <w:b/>
                <w:bCs/>
              </w:rPr>
              <w:t>201</w:t>
            </w:r>
            <w:r w:rsidR="004F6780" w:rsidRPr="002668D4">
              <w:rPr>
                <w:b/>
                <w:bCs/>
              </w:rPr>
              <w:t>6</w:t>
            </w:r>
          </w:p>
        </w:tc>
        <w:tc>
          <w:tcPr>
            <w:tcW w:w="1418" w:type="dxa"/>
            <w:vAlign w:val="center"/>
          </w:tcPr>
          <w:p w:rsidR="009B774A" w:rsidRPr="002668D4" w:rsidRDefault="009B774A" w:rsidP="004F6780">
            <w:pPr>
              <w:jc w:val="center"/>
              <w:rPr>
                <w:b/>
                <w:i/>
              </w:rPr>
            </w:pPr>
            <w:r w:rsidRPr="002668D4">
              <w:rPr>
                <w:b/>
                <w:bCs/>
              </w:rPr>
              <w:t>201</w:t>
            </w:r>
            <w:r w:rsidR="004F6780" w:rsidRPr="002668D4">
              <w:rPr>
                <w:b/>
                <w:bCs/>
              </w:rPr>
              <w:t>7</w:t>
            </w:r>
          </w:p>
        </w:tc>
        <w:tc>
          <w:tcPr>
            <w:tcW w:w="1275" w:type="dxa"/>
            <w:vAlign w:val="center"/>
          </w:tcPr>
          <w:p w:rsidR="009B774A" w:rsidRPr="002668D4" w:rsidRDefault="009B774A" w:rsidP="004F6780">
            <w:pPr>
              <w:jc w:val="center"/>
              <w:rPr>
                <w:b/>
                <w:i/>
              </w:rPr>
            </w:pPr>
            <w:r w:rsidRPr="002668D4">
              <w:rPr>
                <w:b/>
                <w:bCs/>
              </w:rPr>
              <w:t>201</w:t>
            </w:r>
            <w:r w:rsidR="004F6780" w:rsidRPr="002668D4">
              <w:rPr>
                <w:b/>
                <w:bCs/>
              </w:rPr>
              <w:t>8</w:t>
            </w:r>
          </w:p>
        </w:tc>
      </w:tr>
      <w:tr w:rsidR="009B774A" w:rsidRPr="002668D4" w:rsidTr="007A4634">
        <w:trPr>
          <w:jc w:val="center"/>
        </w:trPr>
        <w:tc>
          <w:tcPr>
            <w:tcW w:w="3589" w:type="dxa"/>
            <w:vMerge/>
            <w:vAlign w:val="center"/>
          </w:tcPr>
          <w:p w:rsidR="009B774A" w:rsidRPr="002668D4" w:rsidRDefault="009B774A" w:rsidP="001A0506">
            <w:pPr>
              <w:jc w:val="center"/>
              <w:rPr>
                <w:b/>
                <w:i/>
              </w:rPr>
            </w:pPr>
          </w:p>
        </w:tc>
        <w:tc>
          <w:tcPr>
            <w:tcW w:w="1529" w:type="dxa"/>
            <w:vAlign w:val="center"/>
          </w:tcPr>
          <w:p w:rsidR="009B774A" w:rsidRPr="002668D4" w:rsidRDefault="009B774A" w:rsidP="001A0506">
            <w:pPr>
              <w:jc w:val="center"/>
              <w:rPr>
                <w:b/>
                <w:i/>
              </w:rPr>
            </w:pPr>
            <w:r w:rsidRPr="002668D4">
              <w:t>saskaņā ar valsts budžetu kārtējam gadam</w:t>
            </w:r>
          </w:p>
        </w:tc>
        <w:tc>
          <w:tcPr>
            <w:tcW w:w="1383" w:type="dxa"/>
            <w:vAlign w:val="center"/>
          </w:tcPr>
          <w:p w:rsidR="009B774A" w:rsidRPr="002668D4" w:rsidRDefault="009B774A" w:rsidP="001A0506">
            <w:pPr>
              <w:jc w:val="center"/>
              <w:rPr>
                <w:b/>
                <w:i/>
              </w:rPr>
            </w:pPr>
            <w:r w:rsidRPr="002668D4">
              <w:t>izmaiņas kārtējā gadā, salīdzinot ar budžetu kārtējam gadam</w:t>
            </w:r>
          </w:p>
        </w:tc>
        <w:tc>
          <w:tcPr>
            <w:tcW w:w="1007" w:type="dxa"/>
            <w:vAlign w:val="center"/>
          </w:tcPr>
          <w:p w:rsidR="009B774A" w:rsidRPr="002668D4" w:rsidRDefault="009B774A" w:rsidP="001A0506">
            <w:pPr>
              <w:jc w:val="center"/>
              <w:rPr>
                <w:b/>
                <w:i/>
              </w:rPr>
            </w:pPr>
            <w:r w:rsidRPr="002668D4">
              <w:t>izmaiņas, salīdzinot ar kārtējo  gadu</w:t>
            </w:r>
          </w:p>
        </w:tc>
        <w:tc>
          <w:tcPr>
            <w:tcW w:w="1418" w:type="dxa"/>
            <w:vAlign w:val="center"/>
          </w:tcPr>
          <w:p w:rsidR="009B774A" w:rsidRPr="002668D4" w:rsidRDefault="009B774A" w:rsidP="001A0506">
            <w:pPr>
              <w:jc w:val="center"/>
              <w:rPr>
                <w:b/>
                <w:i/>
              </w:rPr>
            </w:pPr>
            <w:r w:rsidRPr="002668D4">
              <w:t>izmaiņas, salīdzinot ar kārtējo  gadu</w:t>
            </w:r>
          </w:p>
        </w:tc>
        <w:tc>
          <w:tcPr>
            <w:tcW w:w="1275" w:type="dxa"/>
            <w:vAlign w:val="center"/>
          </w:tcPr>
          <w:p w:rsidR="009B774A" w:rsidRPr="002668D4" w:rsidRDefault="009B774A" w:rsidP="001A0506">
            <w:pPr>
              <w:jc w:val="center"/>
              <w:rPr>
                <w:b/>
                <w:i/>
              </w:rPr>
            </w:pPr>
            <w:r w:rsidRPr="002668D4">
              <w:t>izmaiņas, salīdzinot ar kārtējo  gadu</w:t>
            </w:r>
          </w:p>
        </w:tc>
      </w:tr>
      <w:tr w:rsidR="009B774A" w:rsidRPr="002668D4" w:rsidTr="007A4634">
        <w:trPr>
          <w:jc w:val="center"/>
        </w:trPr>
        <w:tc>
          <w:tcPr>
            <w:tcW w:w="3589" w:type="dxa"/>
            <w:vAlign w:val="center"/>
          </w:tcPr>
          <w:p w:rsidR="009B774A" w:rsidRPr="002668D4" w:rsidRDefault="009B774A" w:rsidP="001A0506">
            <w:pPr>
              <w:jc w:val="center"/>
              <w:rPr>
                <w:bCs/>
              </w:rPr>
            </w:pPr>
            <w:r w:rsidRPr="002668D4">
              <w:rPr>
                <w:bCs/>
              </w:rPr>
              <w:t>1</w:t>
            </w:r>
          </w:p>
        </w:tc>
        <w:tc>
          <w:tcPr>
            <w:tcW w:w="1529" w:type="dxa"/>
            <w:vAlign w:val="center"/>
          </w:tcPr>
          <w:p w:rsidR="009B774A" w:rsidRPr="002668D4" w:rsidRDefault="009B774A" w:rsidP="001A0506">
            <w:pPr>
              <w:jc w:val="center"/>
              <w:rPr>
                <w:bCs/>
              </w:rPr>
            </w:pPr>
            <w:r w:rsidRPr="002668D4">
              <w:rPr>
                <w:bCs/>
              </w:rPr>
              <w:t>2</w:t>
            </w:r>
          </w:p>
        </w:tc>
        <w:tc>
          <w:tcPr>
            <w:tcW w:w="1383" w:type="dxa"/>
            <w:vAlign w:val="center"/>
          </w:tcPr>
          <w:p w:rsidR="009B774A" w:rsidRPr="002668D4" w:rsidRDefault="009B774A" w:rsidP="001A0506">
            <w:pPr>
              <w:jc w:val="center"/>
              <w:rPr>
                <w:bCs/>
              </w:rPr>
            </w:pPr>
            <w:r w:rsidRPr="002668D4">
              <w:rPr>
                <w:bCs/>
              </w:rPr>
              <w:t>3</w:t>
            </w:r>
          </w:p>
        </w:tc>
        <w:tc>
          <w:tcPr>
            <w:tcW w:w="1007" w:type="dxa"/>
            <w:vAlign w:val="center"/>
          </w:tcPr>
          <w:p w:rsidR="009B774A" w:rsidRPr="002668D4" w:rsidRDefault="009B774A" w:rsidP="001A0506">
            <w:pPr>
              <w:jc w:val="center"/>
              <w:rPr>
                <w:bCs/>
              </w:rPr>
            </w:pPr>
            <w:r w:rsidRPr="002668D4">
              <w:rPr>
                <w:bCs/>
              </w:rPr>
              <w:t>4</w:t>
            </w:r>
          </w:p>
        </w:tc>
        <w:tc>
          <w:tcPr>
            <w:tcW w:w="1418" w:type="dxa"/>
            <w:vAlign w:val="center"/>
          </w:tcPr>
          <w:p w:rsidR="009B774A" w:rsidRPr="002668D4" w:rsidRDefault="009B774A" w:rsidP="001A0506">
            <w:pPr>
              <w:jc w:val="center"/>
              <w:rPr>
                <w:bCs/>
              </w:rPr>
            </w:pPr>
            <w:r w:rsidRPr="002668D4">
              <w:rPr>
                <w:bCs/>
              </w:rPr>
              <w:t>5</w:t>
            </w:r>
          </w:p>
        </w:tc>
        <w:tc>
          <w:tcPr>
            <w:tcW w:w="1275" w:type="dxa"/>
            <w:vAlign w:val="center"/>
          </w:tcPr>
          <w:p w:rsidR="009B774A" w:rsidRPr="002668D4" w:rsidRDefault="009B774A" w:rsidP="001A0506">
            <w:pPr>
              <w:jc w:val="center"/>
              <w:rPr>
                <w:bCs/>
              </w:rPr>
            </w:pPr>
            <w:r w:rsidRPr="002668D4">
              <w:rPr>
                <w:bCs/>
              </w:rPr>
              <w:t>6</w:t>
            </w:r>
          </w:p>
        </w:tc>
      </w:tr>
      <w:tr w:rsidR="0005209B" w:rsidRPr="002668D4" w:rsidTr="007A4634">
        <w:trPr>
          <w:jc w:val="center"/>
        </w:trPr>
        <w:tc>
          <w:tcPr>
            <w:tcW w:w="3589" w:type="dxa"/>
          </w:tcPr>
          <w:p w:rsidR="0005209B" w:rsidRPr="002668D4" w:rsidRDefault="0005209B" w:rsidP="0005209B">
            <w:pPr>
              <w:rPr>
                <w:i/>
              </w:rPr>
            </w:pPr>
            <w:r w:rsidRPr="002668D4">
              <w:t>1. Budžeta ieņēmumi:</w:t>
            </w:r>
          </w:p>
        </w:tc>
        <w:tc>
          <w:tcPr>
            <w:tcW w:w="1529" w:type="dxa"/>
          </w:tcPr>
          <w:p w:rsidR="0005209B" w:rsidRPr="002668D4" w:rsidRDefault="004A56AF" w:rsidP="0005209B">
            <w:pPr>
              <w:jc w:val="center"/>
              <w:rPr>
                <w:b/>
              </w:rPr>
            </w:pPr>
            <w:r w:rsidRPr="002668D4">
              <w:rPr>
                <w:b/>
              </w:rPr>
              <w:t>0</w:t>
            </w:r>
          </w:p>
        </w:tc>
        <w:tc>
          <w:tcPr>
            <w:tcW w:w="1383" w:type="dxa"/>
          </w:tcPr>
          <w:p w:rsidR="0005209B" w:rsidRPr="002668D4" w:rsidRDefault="004A56AF" w:rsidP="007A1337">
            <w:pPr>
              <w:jc w:val="center"/>
              <w:rPr>
                <w:b/>
              </w:rPr>
            </w:pPr>
            <w:r w:rsidRPr="002668D4">
              <w:rPr>
                <w:b/>
              </w:rPr>
              <w:t>0</w:t>
            </w:r>
          </w:p>
        </w:tc>
        <w:tc>
          <w:tcPr>
            <w:tcW w:w="1007" w:type="dxa"/>
          </w:tcPr>
          <w:p w:rsidR="0005209B" w:rsidRPr="002668D4" w:rsidRDefault="0005209B" w:rsidP="0005209B">
            <w:pPr>
              <w:jc w:val="center"/>
              <w:rPr>
                <w:b/>
              </w:rPr>
            </w:pPr>
            <w:r w:rsidRPr="002668D4">
              <w:rPr>
                <w:b/>
              </w:rPr>
              <w:t>0</w:t>
            </w:r>
          </w:p>
        </w:tc>
        <w:tc>
          <w:tcPr>
            <w:tcW w:w="1418" w:type="dxa"/>
          </w:tcPr>
          <w:p w:rsidR="0005209B" w:rsidRPr="002668D4" w:rsidRDefault="0005209B" w:rsidP="0005209B">
            <w:pPr>
              <w:jc w:val="center"/>
              <w:rPr>
                <w:b/>
              </w:rPr>
            </w:pPr>
            <w:r w:rsidRPr="002668D4">
              <w:rPr>
                <w:b/>
              </w:rPr>
              <w:t>0</w:t>
            </w:r>
          </w:p>
        </w:tc>
        <w:tc>
          <w:tcPr>
            <w:tcW w:w="1275" w:type="dxa"/>
          </w:tcPr>
          <w:p w:rsidR="0005209B" w:rsidRPr="002668D4" w:rsidRDefault="00FA0234" w:rsidP="00FA0234">
            <w:pPr>
              <w:jc w:val="center"/>
              <w:rPr>
                <w:b/>
              </w:rPr>
            </w:pPr>
            <w:r w:rsidRPr="002668D4">
              <w:rPr>
                <w:b/>
              </w:rPr>
              <w:t>0</w:t>
            </w:r>
          </w:p>
        </w:tc>
      </w:tr>
      <w:tr w:rsidR="0005209B" w:rsidRPr="002668D4" w:rsidTr="007A4634">
        <w:trPr>
          <w:jc w:val="center"/>
        </w:trPr>
        <w:tc>
          <w:tcPr>
            <w:tcW w:w="3589" w:type="dxa"/>
          </w:tcPr>
          <w:p w:rsidR="0005209B" w:rsidRPr="002668D4" w:rsidRDefault="0005209B" w:rsidP="0005209B">
            <w:pPr>
              <w:rPr>
                <w:i/>
              </w:rPr>
            </w:pPr>
            <w:r w:rsidRPr="002668D4">
              <w:t>1.1. valsts pamatbudžets, tai skaitā ieņēmumi no maksas pakalpojumiem un citi pašu ieņēmumi</w:t>
            </w:r>
          </w:p>
        </w:tc>
        <w:tc>
          <w:tcPr>
            <w:tcW w:w="1529" w:type="dxa"/>
          </w:tcPr>
          <w:p w:rsidR="0005209B" w:rsidRPr="002668D4" w:rsidRDefault="0005209B" w:rsidP="0005209B">
            <w:pPr>
              <w:jc w:val="center"/>
              <w:rPr>
                <w:i/>
              </w:rPr>
            </w:pPr>
          </w:p>
        </w:tc>
        <w:tc>
          <w:tcPr>
            <w:tcW w:w="1383" w:type="dxa"/>
          </w:tcPr>
          <w:p w:rsidR="0005209B" w:rsidRPr="002668D4" w:rsidRDefault="0005209B" w:rsidP="0005209B">
            <w:pPr>
              <w:jc w:val="center"/>
              <w:rPr>
                <w:i/>
              </w:rPr>
            </w:pPr>
          </w:p>
        </w:tc>
        <w:tc>
          <w:tcPr>
            <w:tcW w:w="1007" w:type="dxa"/>
          </w:tcPr>
          <w:p w:rsidR="0005209B" w:rsidRPr="002668D4" w:rsidRDefault="0005209B" w:rsidP="0005209B">
            <w:pPr>
              <w:jc w:val="center"/>
              <w:rPr>
                <w:i/>
              </w:rPr>
            </w:pPr>
          </w:p>
        </w:tc>
        <w:tc>
          <w:tcPr>
            <w:tcW w:w="1418" w:type="dxa"/>
          </w:tcPr>
          <w:p w:rsidR="0005209B" w:rsidRPr="002668D4" w:rsidRDefault="0005209B" w:rsidP="0005209B">
            <w:pPr>
              <w:jc w:val="center"/>
              <w:rPr>
                <w:i/>
              </w:rPr>
            </w:pPr>
          </w:p>
        </w:tc>
        <w:tc>
          <w:tcPr>
            <w:tcW w:w="1275" w:type="dxa"/>
          </w:tcPr>
          <w:p w:rsidR="0005209B" w:rsidRPr="002668D4" w:rsidRDefault="0005209B" w:rsidP="0005209B">
            <w:pPr>
              <w:jc w:val="center"/>
              <w:rPr>
                <w:i/>
              </w:rPr>
            </w:pPr>
          </w:p>
        </w:tc>
      </w:tr>
      <w:tr w:rsidR="009B774A" w:rsidRPr="002668D4" w:rsidTr="007A4634">
        <w:trPr>
          <w:jc w:val="center"/>
        </w:trPr>
        <w:tc>
          <w:tcPr>
            <w:tcW w:w="3589" w:type="dxa"/>
          </w:tcPr>
          <w:p w:rsidR="009B774A" w:rsidRPr="002668D4" w:rsidRDefault="009B774A" w:rsidP="001A0506">
            <w:pPr>
              <w:rPr>
                <w:i/>
              </w:rPr>
            </w:pPr>
            <w:r w:rsidRPr="002668D4">
              <w:t>1.2. valsts speciālais budžets</w:t>
            </w:r>
          </w:p>
        </w:tc>
        <w:tc>
          <w:tcPr>
            <w:tcW w:w="1529" w:type="dxa"/>
          </w:tcPr>
          <w:p w:rsidR="009B774A" w:rsidRPr="002668D4" w:rsidRDefault="009B774A" w:rsidP="001A0506">
            <w:pPr>
              <w:jc w:val="center"/>
            </w:pPr>
          </w:p>
        </w:tc>
        <w:tc>
          <w:tcPr>
            <w:tcW w:w="1383" w:type="dxa"/>
          </w:tcPr>
          <w:p w:rsidR="009B774A" w:rsidRPr="002668D4" w:rsidRDefault="009B774A" w:rsidP="001A0506">
            <w:pPr>
              <w:jc w:val="center"/>
            </w:pPr>
          </w:p>
        </w:tc>
        <w:tc>
          <w:tcPr>
            <w:tcW w:w="1007" w:type="dxa"/>
          </w:tcPr>
          <w:p w:rsidR="009B774A" w:rsidRPr="002668D4" w:rsidRDefault="009B774A" w:rsidP="001A0506">
            <w:pPr>
              <w:jc w:val="center"/>
            </w:pPr>
          </w:p>
        </w:tc>
        <w:tc>
          <w:tcPr>
            <w:tcW w:w="1418" w:type="dxa"/>
          </w:tcPr>
          <w:p w:rsidR="009B774A" w:rsidRPr="002668D4" w:rsidRDefault="009B774A" w:rsidP="001A0506">
            <w:pPr>
              <w:jc w:val="center"/>
            </w:pPr>
          </w:p>
        </w:tc>
        <w:tc>
          <w:tcPr>
            <w:tcW w:w="1275" w:type="dxa"/>
          </w:tcPr>
          <w:p w:rsidR="009B774A" w:rsidRPr="002668D4" w:rsidRDefault="009B774A" w:rsidP="001A0506">
            <w:pPr>
              <w:jc w:val="center"/>
            </w:pPr>
          </w:p>
        </w:tc>
      </w:tr>
      <w:tr w:rsidR="009B774A" w:rsidRPr="002668D4" w:rsidTr="007A4634">
        <w:trPr>
          <w:jc w:val="center"/>
        </w:trPr>
        <w:tc>
          <w:tcPr>
            <w:tcW w:w="3589" w:type="dxa"/>
          </w:tcPr>
          <w:p w:rsidR="009B774A" w:rsidRPr="002668D4" w:rsidRDefault="009B774A" w:rsidP="001A0506">
            <w:pPr>
              <w:rPr>
                <w:i/>
              </w:rPr>
            </w:pPr>
            <w:r w:rsidRPr="002668D4">
              <w:t>1.3. pašvaldību budžets</w:t>
            </w:r>
          </w:p>
        </w:tc>
        <w:tc>
          <w:tcPr>
            <w:tcW w:w="1529" w:type="dxa"/>
          </w:tcPr>
          <w:p w:rsidR="009B774A" w:rsidRPr="002668D4" w:rsidRDefault="009B774A" w:rsidP="001A0506">
            <w:pPr>
              <w:jc w:val="center"/>
            </w:pPr>
          </w:p>
        </w:tc>
        <w:tc>
          <w:tcPr>
            <w:tcW w:w="1383" w:type="dxa"/>
          </w:tcPr>
          <w:p w:rsidR="009B774A" w:rsidRPr="002668D4" w:rsidRDefault="009B774A" w:rsidP="001A0506">
            <w:pPr>
              <w:jc w:val="center"/>
            </w:pPr>
          </w:p>
        </w:tc>
        <w:tc>
          <w:tcPr>
            <w:tcW w:w="1007" w:type="dxa"/>
          </w:tcPr>
          <w:p w:rsidR="009B774A" w:rsidRPr="002668D4" w:rsidRDefault="009B774A" w:rsidP="001A0506">
            <w:pPr>
              <w:jc w:val="center"/>
            </w:pPr>
          </w:p>
        </w:tc>
        <w:tc>
          <w:tcPr>
            <w:tcW w:w="1418" w:type="dxa"/>
          </w:tcPr>
          <w:p w:rsidR="009B774A" w:rsidRPr="002668D4" w:rsidRDefault="009B774A" w:rsidP="001A0506">
            <w:pPr>
              <w:jc w:val="center"/>
            </w:pPr>
          </w:p>
        </w:tc>
        <w:tc>
          <w:tcPr>
            <w:tcW w:w="1275" w:type="dxa"/>
          </w:tcPr>
          <w:p w:rsidR="009B774A" w:rsidRPr="002668D4" w:rsidRDefault="009B774A" w:rsidP="001A0506">
            <w:pPr>
              <w:jc w:val="center"/>
            </w:pPr>
          </w:p>
        </w:tc>
      </w:tr>
      <w:tr w:rsidR="00B428A4" w:rsidRPr="002668D4" w:rsidTr="007A4634">
        <w:trPr>
          <w:jc w:val="center"/>
        </w:trPr>
        <w:tc>
          <w:tcPr>
            <w:tcW w:w="3589" w:type="dxa"/>
          </w:tcPr>
          <w:p w:rsidR="00B428A4" w:rsidRPr="002668D4" w:rsidRDefault="00B428A4" w:rsidP="00B428A4">
            <w:r w:rsidRPr="002668D4">
              <w:lastRenderedPageBreak/>
              <w:t>2. Budžeta izdevumi:</w:t>
            </w:r>
          </w:p>
        </w:tc>
        <w:tc>
          <w:tcPr>
            <w:tcW w:w="1529" w:type="dxa"/>
          </w:tcPr>
          <w:p w:rsidR="00B428A4" w:rsidRPr="002668D4" w:rsidRDefault="00B428A4" w:rsidP="00B428A4">
            <w:pPr>
              <w:jc w:val="center"/>
              <w:rPr>
                <w:b/>
              </w:rPr>
            </w:pPr>
            <w:r w:rsidRPr="002668D4">
              <w:rPr>
                <w:b/>
              </w:rPr>
              <w:t>0</w:t>
            </w:r>
          </w:p>
        </w:tc>
        <w:tc>
          <w:tcPr>
            <w:tcW w:w="1383" w:type="dxa"/>
          </w:tcPr>
          <w:p w:rsidR="00B428A4" w:rsidRPr="002668D4" w:rsidRDefault="00B428A4" w:rsidP="00B428A4">
            <w:pPr>
              <w:jc w:val="center"/>
              <w:rPr>
                <w:b/>
              </w:rPr>
            </w:pPr>
            <w:r w:rsidRPr="002668D4">
              <w:rPr>
                <w:b/>
              </w:rPr>
              <w:t>0</w:t>
            </w:r>
          </w:p>
        </w:tc>
        <w:tc>
          <w:tcPr>
            <w:tcW w:w="1007" w:type="dxa"/>
          </w:tcPr>
          <w:p w:rsidR="00B428A4" w:rsidRPr="002668D4" w:rsidRDefault="00B428A4" w:rsidP="00B428A4">
            <w:pPr>
              <w:jc w:val="center"/>
              <w:rPr>
                <w:b/>
              </w:rPr>
            </w:pPr>
            <w:r w:rsidRPr="002668D4">
              <w:rPr>
                <w:b/>
              </w:rPr>
              <w:t>0</w:t>
            </w:r>
          </w:p>
        </w:tc>
        <w:tc>
          <w:tcPr>
            <w:tcW w:w="1418" w:type="dxa"/>
          </w:tcPr>
          <w:p w:rsidR="00B428A4" w:rsidRPr="002668D4" w:rsidRDefault="00C776F9" w:rsidP="00C776F9">
            <w:pPr>
              <w:rPr>
                <w:b/>
              </w:rPr>
            </w:pPr>
            <w:r w:rsidRPr="002668D4">
              <w:rPr>
                <w:bCs/>
                <w:i/>
                <w:iCs/>
                <w:color w:val="000000"/>
              </w:rPr>
              <w:t>+1</w:t>
            </w:r>
            <w:r w:rsidR="007A4634" w:rsidRPr="002668D4">
              <w:rPr>
                <w:bCs/>
                <w:i/>
                <w:iCs/>
                <w:color w:val="000000"/>
              </w:rPr>
              <w:t> </w:t>
            </w:r>
            <w:r w:rsidRPr="002668D4">
              <w:rPr>
                <w:bCs/>
                <w:i/>
                <w:iCs/>
                <w:color w:val="000000"/>
              </w:rPr>
              <w:t>440</w:t>
            </w:r>
            <w:r w:rsidR="007A4634" w:rsidRPr="002668D4">
              <w:rPr>
                <w:bCs/>
                <w:i/>
                <w:iCs/>
                <w:color w:val="000000"/>
              </w:rPr>
              <w:t xml:space="preserve"> </w:t>
            </w:r>
            <w:r w:rsidRPr="002668D4">
              <w:rPr>
                <w:bCs/>
                <w:i/>
                <w:iCs/>
                <w:color w:val="000000"/>
              </w:rPr>
              <w:t>000</w:t>
            </w:r>
          </w:p>
        </w:tc>
        <w:tc>
          <w:tcPr>
            <w:tcW w:w="1275" w:type="dxa"/>
          </w:tcPr>
          <w:p w:rsidR="00B428A4" w:rsidRPr="002668D4" w:rsidRDefault="00C776F9" w:rsidP="00C776F9">
            <w:pPr>
              <w:rPr>
                <w:b/>
              </w:rPr>
            </w:pPr>
            <w:r w:rsidRPr="002668D4">
              <w:rPr>
                <w:bCs/>
                <w:color w:val="000000"/>
              </w:rPr>
              <w:t>+1</w:t>
            </w:r>
            <w:r w:rsidR="007A4634" w:rsidRPr="002668D4">
              <w:rPr>
                <w:bCs/>
                <w:color w:val="000000"/>
              </w:rPr>
              <w:t xml:space="preserve"> </w:t>
            </w:r>
            <w:r w:rsidRPr="002668D4">
              <w:rPr>
                <w:bCs/>
                <w:color w:val="000000"/>
              </w:rPr>
              <w:t>480000</w:t>
            </w:r>
          </w:p>
        </w:tc>
      </w:tr>
      <w:tr w:rsidR="0060679E" w:rsidRPr="002668D4" w:rsidTr="007A4634">
        <w:trPr>
          <w:jc w:val="center"/>
        </w:trPr>
        <w:tc>
          <w:tcPr>
            <w:tcW w:w="3589" w:type="dxa"/>
          </w:tcPr>
          <w:p w:rsidR="0060679E" w:rsidRPr="002668D4" w:rsidRDefault="0060679E" w:rsidP="0060679E">
            <w:r w:rsidRPr="002668D4">
              <w:t>2.1. valsts pamatbudžets</w:t>
            </w:r>
          </w:p>
        </w:tc>
        <w:tc>
          <w:tcPr>
            <w:tcW w:w="1529" w:type="dxa"/>
          </w:tcPr>
          <w:p w:rsidR="0060679E" w:rsidRPr="002668D4" w:rsidRDefault="0060679E" w:rsidP="0060679E">
            <w:pPr>
              <w:jc w:val="center"/>
              <w:rPr>
                <w:i/>
              </w:rPr>
            </w:pPr>
            <w:r w:rsidRPr="002668D4">
              <w:rPr>
                <w:i/>
              </w:rPr>
              <w:t>0</w:t>
            </w:r>
          </w:p>
        </w:tc>
        <w:tc>
          <w:tcPr>
            <w:tcW w:w="1383" w:type="dxa"/>
          </w:tcPr>
          <w:p w:rsidR="0060679E" w:rsidRPr="002668D4" w:rsidRDefault="00B428A4" w:rsidP="0060679E">
            <w:pPr>
              <w:jc w:val="center"/>
              <w:rPr>
                <w:i/>
              </w:rPr>
            </w:pPr>
            <w:r w:rsidRPr="002668D4">
              <w:rPr>
                <w:i/>
              </w:rPr>
              <w:t>0</w:t>
            </w:r>
          </w:p>
        </w:tc>
        <w:tc>
          <w:tcPr>
            <w:tcW w:w="1007" w:type="dxa"/>
          </w:tcPr>
          <w:p w:rsidR="0060679E" w:rsidRPr="002668D4" w:rsidRDefault="0060679E" w:rsidP="0060679E">
            <w:pPr>
              <w:jc w:val="center"/>
              <w:rPr>
                <w:i/>
              </w:rPr>
            </w:pPr>
            <w:r w:rsidRPr="002668D4">
              <w:rPr>
                <w:i/>
              </w:rPr>
              <w:t>0</w:t>
            </w:r>
          </w:p>
        </w:tc>
        <w:tc>
          <w:tcPr>
            <w:tcW w:w="1418" w:type="dxa"/>
          </w:tcPr>
          <w:p w:rsidR="0060679E" w:rsidRPr="002668D4" w:rsidRDefault="00C776F9" w:rsidP="00C776F9">
            <w:pPr>
              <w:rPr>
                <w:i/>
              </w:rPr>
            </w:pPr>
            <w:r w:rsidRPr="002668D4">
              <w:rPr>
                <w:bCs/>
                <w:i/>
                <w:iCs/>
                <w:color w:val="000000"/>
              </w:rPr>
              <w:t>+1</w:t>
            </w:r>
            <w:r w:rsidR="007A4634" w:rsidRPr="002668D4">
              <w:rPr>
                <w:bCs/>
                <w:i/>
                <w:iCs/>
                <w:color w:val="000000"/>
              </w:rPr>
              <w:t> </w:t>
            </w:r>
            <w:r w:rsidRPr="002668D4">
              <w:rPr>
                <w:bCs/>
                <w:i/>
                <w:iCs/>
                <w:color w:val="000000"/>
              </w:rPr>
              <w:t>440</w:t>
            </w:r>
            <w:r w:rsidR="007A4634" w:rsidRPr="002668D4">
              <w:rPr>
                <w:bCs/>
                <w:i/>
                <w:iCs/>
                <w:color w:val="000000"/>
              </w:rPr>
              <w:t xml:space="preserve"> </w:t>
            </w:r>
            <w:r w:rsidRPr="002668D4">
              <w:rPr>
                <w:bCs/>
                <w:i/>
                <w:iCs/>
                <w:color w:val="000000"/>
              </w:rPr>
              <w:t>000</w:t>
            </w:r>
          </w:p>
        </w:tc>
        <w:tc>
          <w:tcPr>
            <w:tcW w:w="1275" w:type="dxa"/>
          </w:tcPr>
          <w:p w:rsidR="0060679E" w:rsidRPr="002668D4" w:rsidRDefault="00C776F9" w:rsidP="00C776F9">
            <w:pPr>
              <w:rPr>
                <w:i/>
              </w:rPr>
            </w:pPr>
            <w:r w:rsidRPr="002668D4">
              <w:rPr>
                <w:bCs/>
                <w:color w:val="000000"/>
              </w:rPr>
              <w:t>+1</w:t>
            </w:r>
            <w:r w:rsidR="007A4634" w:rsidRPr="002668D4">
              <w:rPr>
                <w:bCs/>
                <w:color w:val="000000"/>
              </w:rPr>
              <w:t xml:space="preserve"> </w:t>
            </w:r>
            <w:r w:rsidRPr="002668D4">
              <w:rPr>
                <w:bCs/>
                <w:color w:val="000000"/>
              </w:rPr>
              <w:t>480000</w:t>
            </w:r>
          </w:p>
        </w:tc>
      </w:tr>
      <w:tr w:rsidR="0060679E" w:rsidRPr="002668D4" w:rsidTr="007A4634">
        <w:trPr>
          <w:jc w:val="center"/>
        </w:trPr>
        <w:tc>
          <w:tcPr>
            <w:tcW w:w="3589" w:type="dxa"/>
          </w:tcPr>
          <w:p w:rsidR="0060679E" w:rsidRPr="002668D4" w:rsidRDefault="0060679E" w:rsidP="0060679E">
            <w:r w:rsidRPr="002668D4">
              <w:t>2.2. valsts speciālais budžets</w:t>
            </w:r>
          </w:p>
        </w:tc>
        <w:tc>
          <w:tcPr>
            <w:tcW w:w="1529" w:type="dxa"/>
          </w:tcPr>
          <w:p w:rsidR="0060679E" w:rsidRPr="002668D4" w:rsidRDefault="0060679E" w:rsidP="0060679E">
            <w:pPr>
              <w:jc w:val="center"/>
            </w:pPr>
          </w:p>
        </w:tc>
        <w:tc>
          <w:tcPr>
            <w:tcW w:w="1383" w:type="dxa"/>
          </w:tcPr>
          <w:p w:rsidR="0060679E" w:rsidRPr="002668D4" w:rsidRDefault="0060679E" w:rsidP="0060679E">
            <w:pPr>
              <w:jc w:val="center"/>
            </w:pPr>
          </w:p>
        </w:tc>
        <w:tc>
          <w:tcPr>
            <w:tcW w:w="1007" w:type="dxa"/>
          </w:tcPr>
          <w:p w:rsidR="0060679E" w:rsidRPr="002668D4" w:rsidRDefault="0060679E" w:rsidP="0060679E">
            <w:pPr>
              <w:jc w:val="center"/>
            </w:pPr>
          </w:p>
        </w:tc>
        <w:tc>
          <w:tcPr>
            <w:tcW w:w="1418" w:type="dxa"/>
          </w:tcPr>
          <w:p w:rsidR="0060679E" w:rsidRPr="002668D4" w:rsidRDefault="0060679E" w:rsidP="0060679E">
            <w:pPr>
              <w:jc w:val="center"/>
            </w:pPr>
          </w:p>
        </w:tc>
        <w:tc>
          <w:tcPr>
            <w:tcW w:w="1275" w:type="dxa"/>
          </w:tcPr>
          <w:p w:rsidR="0060679E" w:rsidRPr="002668D4" w:rsidRDefault="0060679E" w:rsidP="0060679E">
            <w:pPr>
              <w:jc w:val="center"/>
            </w:pPr>
          </w:p>
        </w:tc>
      </w:tr>
      <w:tr w:rsidR="0060679E" w:rsidRPr="002668D4" w:rsidTr="007A4634">
        <w:trPr>
          <w:jc w:val="center"/>
        </w:trPr>
        <w:tc>
          <w:tcPr>
            <w:tcW w:w="3589" w:type="dxa"/>
          </w:tcPr>
          <w:p w:rsidR="0060679E" w:rsidRPr="002668D4" w:rsidRDefault="0060679E" w:rsidP="0060679E">
            <w:r w:rsidRPr="002668D4">
              <w:t xml:space="preserve">2.3. pašvaldību budžets </w:t>
            </w:r>
          </w:p>
        </w:tc>
        <w:tc>
          <w:tcPr>
            <w:tcW w:w="1529" w:type="dxa"/>
          </w:tcPr>
          <w:p w:rsidR="0060679E" w:rsidRPr="002668D4" w:rsidRDefault="0060679E" w:rsidP="0060679E">
            <w:pPr>
              <w:jc w:val="center"/>
            </w:pPr>
          </w:p>
        </w:tc>
        <w:tc>
          <w:tcPr>
            <w:tcW w:w="1383" w:type="dxa"/>
          </w:tcPr>
          <w:p w:rsidR="0060679E" w:rsidRPr="002668D4" w:rsidRDefault="0060679E" w:rsidP="0060679E">
            <w:pPr>
              <w:jc w:val="center"/>
            </w:pPr>
          </w:p>
        </w:tc>
        <w:tc>
          <w:tcPr>
            <w:tcW w:w="1007" w:type="dxa"/>
          </w:tcPr>
          <w:p w:rsidR="0060679E" w:rsidRPr="002668D4" w:rsidRDefault="0060679E" w:rsidP="0060679E">
            <w:pPr>
              <w:jc w:val="center"/>
            </w:pPr>
          </w:p>
        </w:tc>
        <w:tc>
          <w:tcPr>
            <w:tcW w:w="1418" w:type="dxa"/>
          </w:tcPr>
          <w:p w:rsidR="0060679E" w:rsidRPr="002668D4" w:rsidRDefault="0060679E" w:rsidP="0060679E">
            <w:pPr>
              <w:jc w:val="center"/>
            </w:pPr>
          </w:p>
        </w:tc>
        <w:tc>
          <w:tcPr>
            <w:tcW w:w="1275" w:type="dxa"/>
          </w:tcPr>
          <w:p w:rsidR="0060679E" w:rsidRPr="002668D4" w:rsidRDefault="0060679E" w:rsidP="0060679E">
            <w:pPr>
              <w:jc w:val="center"/>
            </w:pPr>
          </w:p>
        </w:tc>
      </w:tr>
      <w:tr w:rsidR="00B428A4" w:rsidRPr="002668D4" w:rsidTr="007A4634">
        <w:trPr>
          <w:jc w:val="center"/>
        </w:trPr>
        <w:tc>
          <w:tcPr>
            <w:tcW w:w="3589" w:type="dxa"/>
          </w:tcPr>
          <w:p w:rsidR="00B428A4" w:rsidRPr="002668D4" w:rsidRDefault="00B428A4" w:rsidP="00B428A4">
            <w:r w:rsidRPr="002668D4">
              <w:t>3. Finansiālā ietekme:</w:t>
            </w:r>
          </w:p>
        </w:tc>
        <w:tc>
          <w:tcPr>
            <w:tcW w:w="1529" w:type="dxa"/>
            <w:shd w:val="clear" w:color="auto" w:fill="auto"/>
          </w:tcPr>
          <w:p w:rsidR="00B428A4" w:rsidRPr="002668D4" w:rsidRDefault="00B428A4" w:rsidP="00B428A4">
            <w:pPr>
              <w:jc w:val="center"/>
              <w:rPr>
                <w:b/>
              </w:rPr>
            </w:pPr>
            <w:r w:rsidRPr="002668D4">
              <w:rPr>
                <w:b/>
              </w:rPr>
              <w:t>0</w:t>
            </w:r>
          </w:p>
        </w:tc>
        <w:tc>
          <w:tcPr>
            <w:tcW w:w="1383" w:type="dxa"/>
          </w:tcPr>
          <w:p w:rsidR="00B428A4" w:rsidRPr="002668D4" w:rsidRDefault="00B428A4" w:rsidP="00B428A4">
            <w:pPr>
              <w:jc w:val="center"/>
              <w:rPr>
                <w:b/>
              </w:rPr>
            </w:pPr>
            <w:r w:rsidRPr="002668D4">
              <w:rPr>
                <w:b/>
              </w:rPr>
              <w:t>0</w:t>
            </w:r>
          </w:p>
        </w:tc>
        <w:tc>
          <w:tcPr>
            <w:tcW w:w="1007" w:type="dxa"/>
          </w:tcPr>
          <w:p w:rsidR="00B428A4" w:rsidRPr="002668D4" w:rsidRDefault="00B428A4" w:rsidP="00B428A4">
            <w:pPr>
              <w:jc w:val="center"/>
              <w:rPr>
                <w:b/>
              </w:rPr>
            </w:pPr>
            <w:r w:rsidRPr="002668D4">
              <w:rPr>
                <w:b/>
              </w:rPr>
              <w:t>0</w:t>
            </w:r>
          </w:p>
        </w:tc>
        <w:tc>
          <w:tcPr>
            <w:tcW w:w="1418" w:type="dxa"/>
          </w:tcPr>
          <w:p w:rsidR="00B428A4" w:rsidRPr="002668D4" w:rsidRDefault="00C776F9" w:rsidP="00C776F9">
            <w:pPr>
              <w:rPr>
                <w:b/>
              </w:rPr>
            </w:pPr>
            <w:r w:rsidRPr="002668D4">
              <w:rPr>
                <w:bCs/>
                <w:i/>
                <w:iCs/>
                <w:color w:val="000000"/>
              </w:rPr>
              <w:t>-1</w:t>
            </w:r>
            <w:r w:rsidR="007A4634" w:rsidRPr="002668D4">
              <w:rPr>
                <w:bCs/>
                <w:i/>
                <w:iCs/>
                <w:color w:val="000000"/>
              </w:rPr>
              <w:t xml:space="preserve"> </w:t>
            </w:r>
            <w:r w:rsidRPr="002668D4">
              <w:rPr>
                <w:bCs/>
                <w:i/>
                <w:iCs/>
                <w:color w:val="000000"/>
              </w:rPr>
              <w:t xml:space="preserve">440 000 </w:t>
            </w:r>
          </w:p>
        </w:tc>
        <w:tc>
          <w:tcPr>
            <w:tcW w:w="1275" w:type="dxa"/>
          </w:tcPr>
          <w:p w:rsidR="00B428A4" w:rsidRPr="002668D4" w:rsidRDefault="00C776F9" w:rsidP="00C776F9">
            <w:pPr>
              <w:rPr>
                <w:b/>
              </w:rPr>
            </w:pPr>
            <w:r w:rsidRPr="002668D4">
              <w:rPr>
                <w:bCs/>
                <w:color w:val="000000"/>
              </w:rPr>
              <w:t>-1</w:t>
            </w:r>
            <w:r w:rsidR="007A4634" w:rsidRPr="002668D4">
              <w:rPr>
                <w:bCs/>
                <w:color w:val="000000"/>
              </w:rPr>
              <w:t xml:space="preserve"> </w:t>
            </w:r>
            <w:r w:rsidRPr="002668D4">
              <w:rPr>
                <w:bCs/>
                <w:color w:val="000000"/>
              </w:rPr>
              <w:t>480 000</w:t>
            </w:r>
          </w:p>
        </w:tc>
      </w:tr>
      <w:tr w:rsidR="00B428A4" w:rsidRPr="002668D4" w:rsidTr="007A4634">
        <w:trPr>
          <w:jc w:val="center"/>
        </w:trPr>
        <w:tc>
          <w:tcPr>
            <w:tcW w:w="3589" w:type="dxa"/>
          </w:tcPr>
          <w:p w:rsidR="00B428A4" w:rsidRPr="002668D4" w:rsidRDefault="00B428A4" w:rsidP="00B428A4">
            <w:r w:rsidRPr="002668D4">
              <w:t>3.1. valsts pamatbudžets</w:t>
            </w:r>
          </w:p>
        </w:tc>
        <w:tc>
          <w:tcPr>
            <w:tcW w:w="1529" w:type="dxa"/>
            <w:shd w:val="clear" w:color="auto" w:fill="auto"/>
          </w:tcPr>
          <w:p w:rsidR="00B428A4" w:rsidRPr="002668D4" w:rsidRDefault="00B428A4" w:rsidP="00B428A4">
            <w:pPr>
              <w:jc w:val="center"/>
              <w:rPr>
                <w:i/>
              </w:rPr>
            </w:pPr>
            <w:r w:rsidRPr="002668D4">
              <w:rPr>
                <w:i/>
              </w:rPr>
              <w:t>0</w:t>
            </w:r>
          </w:p>
        </w:tc>
        <w:tc>
          <w:tcPr>
            <w:tcW w:w="1383" w:type="dxa"/>
          </w:tcPr>
          <w:p w:rsidR="00B428A4" w:rsidRPr="002668D4" w:rsidRDefault="00B428A4" w:rsidP="00B428A4">
            <w:pPr>
              <w:jc w:val="center"/>
              <w:rPr>
                <w:i/>
              </w:rPr>
            </w:pPr>
            <w:r w:rsidRPr="002668D4">
              <w:rPr>
                <w:i/>
              </w:rPr>
              <w:t>0</w:t>
            </w:r>
          </w:p>
        </w:tc>
        <w:tc>
          <w:tcPr>
            <w:tcW w:w="1007" w:type="dxa"/>
          </w:tcPr>
          <w:p w:rsidR="00B428A4" w:rsidRPr="002668D4" w:rsidRDefault="00B428A4" w:rsidP="00B428A4">
            <w:pPr>
              <w:jc w:val="center"/>
              <w:rPr>
                <w:i/>
              </w:rPr>
            </w:pPr>
            <w:r w:rsidRPr="002668D4">
              <w:rPr>
                <w:i/>
              </w:rPr>
              <w:t>0</w:t>
            </w:r>
          </w:p>
        </w:tc>
        <w:tc>
          <w:tcPr>
            <w:tcW w:w="1418" w:type="dxa"/>
          </w:tcPr>
          <w:p w:rsidR="00B428A4" w:rsidRPr="002668D4" w:rsidRDefault="00C776F9" w:rsidP="00C776F9">
            <w:pPr>
              <w:rPr>
                <w:i/>
              </w:rPr>
            </w:pPr>
            <w:r w:rsidRPr="002668D4">
              <w:rPr>
                <w:bCs/>
                <w:i/>
                <w:iCs/>
                <w:color w:val="000000"/>
              </w:rPr>
              <w:t>-1</w:t>
            </w:r>
            <w:r w:rsidR="007A4634" w:rsidRPr="002668D4">
              <w:rPr>
                <w:bCs/>
                <w:i/>
                <w:iCs/>
                <w:color w:val="000000"/>
              </w:rPr>
              <w:t xml:space="preserve"> </w:t>
            </w:r>
            <w:r w:rsidRPr="002668D4">
              <w:rPr>
                <w:bCs/>
                <w:i/>
                <w:iCs/>
                <w:color w:val="000000"/>
              </w:rPr>
              <w:t>440 000</w:t>
            </w:r>
          </w:p>
        </w:tc>
        <w:tc>
          <w:tcPr>
            <w:tcW w:w="1275" w:type="dxa"/>
          </w:tcPr>
          <w:p w:rsidR="00B428A4" w:rsidRPr="002668D4" w:rsidRDefault="00C776F9" w:rsidP="00C776F9">
            <w:pPr>
              <w:rPr>
                <w:i/>
              </w:rPr>
            </w:pPr>
            <w:r w:rsidRPr="002668D4">
              <w:rPr>
                <w:bCs/>
                <w:color w:val="000000"/>
              </w:rPr>
              <w:t>-1</w:t>
            </w:r>
            <w:r w:rsidR="007A4634" w:rsidRPr="002668D4">
              <w:rPr>
                <w:bCs/>
                <w:color w:val="000000"/>
              </w:rPr>
              <w:t xml:space="preserve"> </w:t>
            </w:r>
            <w:r w:rsidRPr="002668D4">
              <w:rPr>
                <w:bCs/>
                <w:color w:val="000000"/>
              </w:rPr>
              <w:t>480 000</w:t>
            </w:r>
          </w:p>
        </w:tc>
      </w:tr>
      <w:tr w:rsidR="009B774A" w:rsidRPr="002668D4" w:rsidTr="007A4634">
        <w:trPr>
          <w:jc w:val="center"/>
        </w:trPr>
        <w:tc>
          <w:tcPr>
            <w:tcW w:w="3589" w:type="dxa"/>
          </w:tcPr>
          <w:p w:rsidR="009B774A" w:rsidRPr="002668D4" w:rsidRDefault="009B774A" w:rsidP="001A0506">
            <w:r w:rsidRPr="002668D4">
              <w:t>3.2. speciālais budžets</w:t>
            </w:r>
          </w:p>
        </w:tc>
        <w:tc>
          <w:tcPr>
            <w:tcW w:w="1529" w:type="dxa"/>
            <w:shd w:val="clear" w:color="auto" w:fill="auto"/>
          </w:tcPr>
          <w:p w:rsidR="009B774A" w:rsidRPr="002668D4" w:rsidRDefault="009B774A" w:rsidP="001A0506">
            <w:pPr>
              <w:jc w:val="center"/>
            </w:pPr>
          </w:p>
        </w:tc>
        <w:tc>
          <w:tcPr>
            <w:tcW w:w="1383" w:type="dxa"/>
          </w:tcPr>
          <w:p w:rsidR="009B774A" w:rsidRPr="002668D4" w:rsidRDefault="009B774A" w:rsidP="001A0506">
            <w:pPr>
              <w:jc w:val="center"/>
            </w:pPr>
          </w:p>
        </w:tc>
        <w:tc>
          <w:tcPr>
            <w:tcW w:w="1007" w:type="dxa"/>
          </w:tcPr>
          <w:p w:rsidR="009B774A" w:rsidRPr="002668D4" w:rsidRDefault="009B774A" w:rsidP="001A0506">
            <w:pPr>
              <w:jc w:val="center"/>
            </w:pPr>
          </w:p>
        </w:tc>
        <w:tc>
          <w:tcPr>
            <w:tcW w:w="1418" w:type="dxa"/>
          </w:tcPr>
          <w:p w:rsidR="009B774A" w:rsidRPr="002668D4" w:rsidRDefault="009B774A" w:rsidP="001A0506">
            <w:pPr>
              <w:jc w:val="center"/>
            </w:pPr>
          </w:p>
        </w:tc>
        <w:tc>
          <w:tcPr>
            <w:tcW w:w="1275" w:type="dxa"/>
          </w:tcPr>
          <w:p w:rsidR="009B774A" w:rsidRPr="002668D4" w:rsidRDefault="009B774A" w:rsidP="001A0506">
            <w:pPr>
              <w:jc w:val="center"/>
            </w:pPr>
          </w:p>
        </w:tc>
      </w:tr>
      <w:tr w:rsidR="009B774A" w:rsidRPr="002668D4" w:rsidTr="007A4634">
        <w:trPr>
          <w:jc w:val="center"/>
        </w:trPr>
        <w:tc>
          <w:tcPr>
            <w:tcW w:w="3589" w:type="dxa"/>
          </w:tcPr>
          <w:p w:rsidR="009B774A" w:rsidRPr="002668D4" w:rsidRDefault="009B774A" w:rsidP="001A0506">
            <w:r w:rsidRPr="002668D4">
              <w:t xml:space="preserve">3.3. pašvaldību budžets </w:t>
            </w:r>
          </w:p>
        </w:tc>
        <w:tc>
          <w:tcPr>
            <w:tcW w:w="1529" w:type="dxa"/>
            <w:shd w:val="clear" w:color="auto" w:fill="auto"/>
          </w:tcPr>
          <w:p w:rsidR="009B774A" w:rsidRPr="002668D4" w:rsidRDefault="009B774A" w:rsidP="001A0506">
            <w:pPr>
              <w:jc w:val="center"/>
            </w:pPr>
          </w:p>
        </w:tc>
        <w:tc>
          <w:tcPr>
            <w:tcW w:w="1383" w:type="dxa"/>
          </w:tcPr>
          <w:p w:rsidR="009B774A" w:rsidRPr="002668D4" w:rsidRDefault="009B774A" w:rsidP="001A0506">
            <w:pPr>
              <w:jc w:val="center"/>
            </w:pPr>
          </w:p>
        </w:tc>
        <w:tc>
          <w:tcPr>
            <w:tcW w:w="1007" w:type="dxa"/>
          </w:tcPr>
          <w:p w:rsidR="009B774A" w:rsidRPr="002668D4" w:rsidRDefault="009B774A" w:rsidP="001A0506">
            <w:pPr>
              <w:jc w:val="center"/>
            </w:pPr>
          </w:p>
        </w:tc>
        <w:tc>
          <w:tcPr>
            <w:tcW w:w="1418" w:type="dxa"/>
          </w:tcPr>
          <w:p w:rsidR="009B774A" w:rsidRPr="002668D4" w:rsidRDefault="009B774A" w:rsidP="001A0506">
            <w:pPr>
              <w:jc w:val="center"/>
            </w:pPr>
          </w:p>
        </w:tc>
        <w:tc>
          <w:tcPr>
            <w:tcW w:w="1275" w:type="dxa"/>
          </w:tcPr>
          <w:p w:rsidR="009B774A" w:rsidRPr="002668D4" w:rsidRDefault="009B774A" w:rsidP="001A0506">
            <w:pPr>
              <w:jc w:val="center"/>
            </w:pPr>
          </w:p>
        </w:tc>
      </w:tr>
      <w:tr w:rsidR="009B774A" w:rsidRPr="002668D4" w:rsidTr="007A4634">
        <w:trPr>
          <w:jc w:val="center"/>
        </w:trPr>
        <w:tc>
          <w:tcPr>
            <w:tcW w:w="3589" w:type="dxa"/>
            <w:vMerge w:val="restart"/>
          </w:tcPr>
          <w:p w:rsidR="009B774A" w:rsidRPr="002668D4" w:rsidRDefault="009B774A" w:rsidP="001A0506">
            <w:r w:rsidRPr="002668D4">
              <w:t>4. Finanšu līdzekļi papildu izdevumu finansēšanai (kompensējošu izdevumu samazinājumu norāda ar "+" zīmi)</w:t>
            </w:r>
          </w:p>
        </w:tc>
        <w:tc>
          <w:tcPr>
            <w:tcW w:w="1529" w:type="dxa"/>
            <w:vMerge w:val="restart"/>
          </w:tcPr>
          <w:p w:rsidR="009B774A" w:rsidRPr="002668D4" w:rsidRDefault="009B774A" w:rsidP="001A0506">
            <w:pPr>
              <w:jc w:val="center"/>
              <w:rPr>
                <w:i/>
              </w:rPr>
            </w:pPr>
            <w:r w:rsidRPr="002668D4">
              <w:t>X</w:t>
            </w:r>
          </w:p>
        </w:tc>
        <w:tc>
          <w:tcPr>
            <w:tcW w:w="1383" w:type="dxa"/>
          </w:tcPr>
          <w:p w:rsidR="009B774A" w:rsidRPr="002668D4" w:rsidRDefault="00B428A4" w:rsidP="001A0506">
            <w:pPr>
              <w:jc w:val="center"/>
            </w:pPr>
            <w:r w:rsidRPr="002668D4">
              <w:t>0</w:t>
            </w:r>
          </w:p>
        </w:tc>
        <w:tc>
          <w:tcPr>
            <w:tcW w:w="1007" w:type="dxa"/>
          </w:tcPr>
          <w:p w:rsidR="009B774A" w:rsidRPr="002668D4" w:rsidRDefault="009B774A" w:rsidP="001A0506">
            <w:pPr>
              <w:jc w:val="center"/>
            </w:pPr>
            <w:r w:rsidRPr="002668D4">
              <w:t>0</w:t>
            </w:r>
          </w:p>
        </w:tc>
        <w:tc>
          <w:tcPr>
            <w:tcW w:w="1418" w:type="dxa"/>
          </w:tcPr>
          <w:p w:rsidR="009B774A" w:rsidRPr="002668D4" w:rsidRDefault="009B774A" w:rsidP="001A0506">
            <w:pPr>
              <w:jc w:val="center"/>
            </w:pPr>
            <w:r w:rsidRPr="002668D4">
              <w:t>0</w:t>
            </w:r>
          </w:p>
        </w:tc>
        <w:tc>
          <w:tcPr>
            <w:tcW w:w="1275" w:type="dxa"/>
          </w:tcPr>
          <w:p w:rsidR="009B774A" w:rsidRPr="002668D4" w:rsidRDefault="009B774A" w:rsidP="001A0506">
            <w:pPr>
              <w:jc w:val="center"/>
            </w:pPr>
            <w:r w:rsidRPr="002668D4">
              <w:t>0</w:t>
            </w:r>
          </w:p>
        </w:tc>
      </w:tr>
      <w:tr w:rsidR="009B774A" w:rsidRPr="002668D4" w:rsidTr="007A4634">
        <w:trPr>
          <w:jc w:val="center"/>
        </w:trPr>
        <w:tc>
          <w:tcPr>
            <w:tcW w:w="3589" w:type="dxa"/>
            <w:vMerge/>
          </w:tcPr>
          <w:p w:rsidR="009B774A" w:rsidRPr="002668D4" w:rsidRDefault="009B774A" w:rsidP="001A0506"/>
        </w:tc>
        <w:tc>
          <w:tcPr>
            <w:tcW w:w="1529" w:type="dxa"/>
            <w:vMerge/>
          </w:tcPr>
          <w:p w:rsidR="009B774A" w:rsidRPr="002668D4" w:rsidRDefault="009B774A" w:rsidP="001A0506">
            <w:pPr>
              <w:jc w:val="center"/>
              <w:rPr>
                <w:i/>
              </w:rPr>
            </w:pPr>
          </w:p>
        </w:tc>
        <w:tc>
          <w:tcPr>
            <w:tcW w:w="1383" w:type="dxa"/>
          </w:tcPr>
          <w:p w:rsidR="009B774A" w:rsidRPr="002668D4" w:rsidRDefault="009B774A" w:rsidP="001A0506">
            <w:pPr>
              <w:jc w:val="center"/>
            </w:pPr>
          </w:p>
        </w:tc>
        <w:tc>
          <w:tcPr>
            <w:tcW w:w="1007" w:type="dxa"/>
          </w:tcPr>
          <w:p w:rsidR="009B774A" w:rsidRPr="002668D4" w:rsidRDefault="009B774A" w:rsidP="001A0506">
            <w:pPr>
              <w:jc w:val="center"/>
            </w:pPr>
          </w:p>
        </w:tc>
        <w:tc>
          <w:tcPr>
            <w:tcW w:w="1418" w:type="dxa"/>
          </w:tcPr>
          <w:p w:rsidR="009B774A" w:rsidRPr="002668D4" w:rsidRDefault="009B774A" w:rsidP="001A0506">
            <w:pPr>
              <w:jc w:val="center"/>
            </w:pPr>
          </w:p>
        </w:tc>
        <w:tc>
          <w:tcPr>
            <w:tcW w:w="1275" w:type="dxa"/>
          </w:tcPr>
          <w:p w:rsidR="009B774A" w:rsidRPr="002668D4" w:rsidRDefault="009B774A" w:rsidP="001A0506">
            <w:pPr>
              <w:jc w:val="center"/>
            </w:pPr>
          </w:p>
        </w:tc>
      </w:tr>
      <w:tr w:rsidR="009B774A" w:rsidRPr="002668D4" w:rsidTr="007A4634">
        <w:trPr>
          <w:jc w:val="center"/>
        </w:trPr>
        <w:tc>
          <w:tcPr>
            <w:tcW w:w="3589" w:type="dxa"/>
            <w:vMerge/>
          </w:tcPr>
          <w:p w:rsidR="009B774A" w:rsidRPr="002668D4" w:rsidRDefault="009B774A" w:rsidP="001A0506"/>
        </w:tc>
        <w:tc>
          <w:tcPr>
            <w:tcW w:w="1529" w:type="dxa"/>
            <w:vMerge/>
          </w:tcPr>
          <w:p w:rsidR="009B774A" w:rsidRPr="002668D4" w:rsidRDefault="009B774A" w:rsidP="001A0506">
            <w:pPr>
              <w:jc w:val="center"/>
              <w:rPr>
                <w:i/>
              </w:rPr>
            </w:pPr>
          </w:p>
        </w:tc>
        <w:tc>
          <w:tcPr>
            <w:tcW w:w="1383" w:type="dxa"/>
          </w:tcPr>
          <w:p w:rsidR="009B774A" w:rsidRPr="002668D4" w:rsidRDefault="009B774A" w:rsidP="001A0506">
            <w:pPr>
              <w:jc w:val="center"/>
            </w:pPr>
          </w:p>
        </w:tc>
        <w:tc>
          <w:tcPr>
            <w:tcW w:w="1007" w:type="dxa"/>
          </w:tcPr>
          <w:p w:rsidR="009B774A" w:rsidRPr="002668D4" w:rsidRDefault="009B774A" w:rsidP="001A0506">
            <w:pPr>
              <w:jc w:val="center"/>
            </w:pPr>
          </w:p>
        </w:tc>
        <w:tc>
          <w:tcPr>
            <w:tcW w:w="1418" w:type="dxa"/>
          </w:tcPr>
          <w:p w:rsidR="009B774A" w:rsidRPr="002668D4" w:rsidRDefault="009B774A" w:rsidP="001A0506">
            <w:pPr>
              <w:jc w:val="center"/>
            </w:pPr>
          </w:p>
        </w:tc>
        <w:tc>
          <w:tcPr>
            <w:tcW w:w="1275" w:type="dxa"/>
          </w:tcPr>
          <w:p w:rsidR="009B774A" w:rsidRPr="002668D4" w:rsidRDefault="009B774A" w:rsidP="001A0506">
            <w:pPr>
              <w:jc w:val="center"/>
            </w:pPr>
          </w:p>
        </w:tc>
      </w:tr>
      <w:tr w:rsidR="0060679E" w:rsidRPr="002668D4" w:rsidTr="007A4634">
        <w:trPr>
          <w:jc w:val="center"/>
        </w:trPr>
        <w:tc>
          <w:tcPr>
            <w:tcW w:w="3589" w:type="dxa"/>
          </w:tcPr>
          <w:p w:rsidR="0060679E" w:rsidRPr="002668D4" w:rsidRDefault="0060679E" w:rsidP="0060679E">
            <w:r w:rsidRPr="002668D4">
              <w:t>5. Precizēta finansiālā ietekme:</w:t>
            </w:r>
          </w:p>
        </w:tc>
        <w:tc>
          <w:tcPr>
            <w:tcW w:w="1529" w:type="dxa"/>
            <w:vMerge w:val="restart"/>
          </w:tcPr>
          <w:p w:rsidR="0060679E" w:rsidRPr="002668D4" w:rsidRDefault="0060679E" w:rsidP="0060679E">
            <w:pPr>
              <w:jc w:val="center"/>
              <w:rPr>
                <w:i/>
              </w:rPr>
            </w:pPr>
            <w:r w:rsidRPr="002668D4">
              <w:t>X</w:t>
            </w:r>
          </w:p>
        </w:tc>
        <w:tc>
          <w:tcPr>
            <w:tcW w:w="1383" w:type="dxa"/>
          </w:tcPr>
          <w:p w:rsidR="0060679E" w:rsidRPr="002668D4" w:rsidRDefault="0060679E" w:rsidP="0060679E">
            <w:pPr>
              <w:jc w:val="center"/>
              <w:rPr>
                <w:b/>
              </w:rPr>
            </w:pPr>
            <w:r w:rsidRPr="002668D4">
              <w:rPr>
                <w:b/>
              </w:rPr>
              <w:t>0</w:t>
            </w:r>
          </w:p>
        </w:tc>
        <w:tc>
          <w:tcPr>
            <w:tcW w:w="1007" w:type="dxa"/>
          </w:tcPr>
          <w:p w:rsidR="0060679E" w:rsidRPr="002668D4" w:rsidRDefault="0060679E" w:rsidP="0060679E">
            <w:pPr>
              <w:jc w:val="center"/>
              <w:rPr>
                <w:b/>
              </w:rPr>
            </w:pPr>
            <w:r w:rsidRPr="002668D4">
              <w:rPr>
                <w:b/>
              </w:rPr>
              <w:t>0</w:t>
            </w:r>
          </w:p>
        </w:tc>
        <w:tc>
          <w:tcPr>
            <w:tcW w:w="1418" w:type="dxa"/>
          </w:tcPr>
          <w:p w:rsidR="0060679E" w:rsidRPr="002668D4" w:rsidRDefault="0060679E" w:rsidP="0060679E">
            <w:pPr>
              <w:jc w:val="center"/>
              <w:rPr>
                <w:b/>
              </w:rPr>
            </w:pPr>
            <w:r w:rsidRPr="002668D4">
              <w:rPr>
                <w:b/>
              </w:rPr>
              <w:t>0</w:t>
            </w:r>
          </w:p>
        </w:tc>
        <w:tc>
          <w:tcPr>
            <w:tcW w:w="1275" w:type="dxa"/>
          </w:tcPr>
          <w:p w:rsidR="0060679E" w:rsidRPr="002668D4" w:rsidRDefault="0060679E" w:rsidP="0060679E">
            <w:pPr>
              <w:jc w:val="center"/>
              <w:rPr>
                <w:b/>
              </w:rPr>
            </w:pPr>
            <w:r w:rsidRPr="002668D4">
              <w:rPr>
                <w:b/>
              </w:rPr>
              <w:t>0</w:t>
            </w:r>
          </w:p>
        </w:tc>
      </w:tr>
      <w:tr w:rsidR="0060679E" w:rsidRPr="002668D4" w:rsidTr="007A4634">
        <w:trPr>
          <w:jc w:val="center"/>
        </w:trPr>
        <w:tc>
          <w:tcPr>
            <w:tcW w:w="3589" w:type="dxa"/>
          </w:tcPr>
          <w:p w:rsidR="0060679E" w:rsidRPr="002668D4" w:rsidRDefault="0060679E" w:rsidP="0060679E">
            <w:r w:rsidRPr="002668D4">
              <w:t>5.1. valsts pamatbudžets</w:t>
            </w:r>
          </w:p>
        </w:tc>
        <w:tc>
          <w:tcPr>
            <w:tcW w:w="1529" w:type="dxa"/>
            <w:vMerge/>
            <w:vAlign w:val="center"/>
          </w:tcPr>
          <w:p w:rsidR="0060679E" w:rsidRPr="002668D4" w:rsidRDefault="0060679E" w:rsidP="0060679E">
            <w:pPr>
              <w:jc w:val="center"/>
              <w:rPr>
                <w:i/>
              </w:rPr>
            </w:pPr>
          </w:p>
        </w:tc>
        <w:tc>
          <w:tcPr>
            <w:tcW w:w="1383" w:type="dxa"/>
          </w:tcPr>
          <w:p w:rsidR="0060679E" w:rsidRPr="002668D4" w:rsidRDefault="0060679E" w:rsidP="0060679E">
            <w:pPr>
              <w:jc w:val="center"/>
              <w:rPr>
                <w:i/>
              </w:rPr>
            </w:pPr>
            <w:r w:rsidRPr="002668D4">
              <w:rPr>
                <w:i/>
              </w:rPr>
              <w:t>0</w:t>
            </w:r>
          </w:p>
        </w:tc>
        <w:tc>
          <w:tcPr>
            <w:tcW w:w="1007" w:type="dxa"/>
          </w:tcPr>
          <w:p w:rsidR="0060679E" w:rsidRPr="002668D4" w:rsidRDefault="0060679E" w:rsidP="0060679E">
            <w:pPr>
              <w:jc w:val="center"/>
              <w:rPr>
                <w:i/>
              </w:rPr>
            </w:pPr>
            <w:r w:rsidRPr="002668D4">
              <w:rPr>
                <w:i/>
              </w:rPr>
              <w:t>0</w:t>
            </w:r>
          </w:p>
        </w:tc>
        <w:tc>
          <w:tcPr>
            <w:tcW w:w="1418" w:type="dxa"/>
          </w:tcPr>
          <w:p w:rsidR="0060679E" w:rsidRPr="002668D4" w:rsidRDefault="0060679E" w:rsidP="0060679E">
            <w:pPr>
              <w:jc w:val="center"/>
              <w:rPr>
                <w:i/>
              </w:rPr>
            </w:pPr>
            <w:r w:rsidRPr="002668D4">
              <w:rPr>
                <w:i/>
              </w:rPr>
              <w:t>0</w:t>
            </w:r>
          </w:p>
        </w:tc>
        <w:tc>
          <w:tcPr>
            <w:tcW w:w="1275" w:type="dxa"/>
          </w:tcPr>
          <w:p w:rsidR="0060679E" w:rsidRPr="002668D4" w:rsidRDefault="0060679E" w:rsidP="0060679E">
            <w:pPr>
              <w:jc w:val="center"/>
              <w:rPr>
                <w:i/>
              </w:rPr>
            </w:pPr>
            <w:r w:rsidRPr="002668D4">
              <w:rPr>
                <w:i/>
              </w:rPr>
              <w:t>0</w:t>
            </w:r>
          </w:p>
        </w:tc>
      </w:tr>
      <w:tr w:rsidR="009B774A" w:rsidRPr="002668D4" w:rsidTr="007A4634">
        <w:trPr>
          <w:jc w:val="center"/>
        </w:trPr>
        <w:tc>
          <w:tcPr>
            <w:tcW w:w="3589" w:type="dxa"/>
          </w:tcPr>
          <w:p w:rsidR="009B774A" w:rsidRPr="002668D4" w:rsidRDefault="009B774A" w:rsidP="001A0506">
            <w:r w:rsidRPr="002668D4">
              <w:t>5.2. speciālais budžets</w:t>
            </w:r>
          </w:p>
        </w:tc>
        <w:tc>
          <w:tcPr>
            <w:tcW w:w="1529" w:type="dxa"/>
            <w:vMerge/>
            <w:vAlign w:val="center"/>
          </w:tcPr>
          <w:p w:rsidR="009B774A" w:rsidRPr="002668D4" w:rsidRDefault="009B774A" w:rsidP="001A0506">
            <w:pPr>
              <w:jc w:val="center"/>
              <w:rPr>
                <w:i/>
              </w:rPr>
            </w:pPr>
          </w:p>
        </w:tc>
        <w:tc>
          <w:tcPr>
            <w:tcW w:w="1383" w:type="dxa"/>
          </w:tcPr>
          <w:p w:rsidR="009B774A" w:rsidRPr="002668D4" w:rsidRDefault="009B774A" w:rsidP="001A0506">
            <w:pPr>
              <w:jc w:val="center"/>
            </w:pPr>
          </w:p>
        </w:tc>
        <w:tc>
          <w:tcPr>
            <w:tcW w:w="1007" w:type="dxa"/>
          </w:tcPr>
          <w:p w:rsidR="009B774A" w:rsidRPr="002668D4" w:rsidRDefault="009B774A" w:rsidP="001A0506">
            <w:pPr>
              <w:jc w:val="center"/>
            </w:pPr>
          </w:p>
        </w:tc>
        <w:tc>
          <w:tcPr>
            <w:tcW w:w="1418" w:type="dxa"/>
          </w:tcPr>
          <w:p w:rsidR="009B774A" w:rsidRPr="002668D4" w:rsidRDefault="009B774A" w:rsidP="001A0506">
            <w:pPr>
              <w:jc w:val="center"/>
            </w:pPr>
          </w:p>
        </w:tc>
        <w:tc>
          <w:tcPr>
            <w:tcW w:w="1275" w:type="dxa"/>
          </w:tcPr>
          <w:p w:rsidR="009B774A" w:rsidRPr="002668D4" w:rsidRDefault="009B774A" w:rsidP="001A0506">
            <w:pPr>
              <w:jc w:val="center"/>
            </w:pPr>
          </w:p>
        </w:tc>
      </w:tr>
      <w:tr w:rsidR="009B774A" w:rsidRPr="002668D4" w:rsidTr="007A4634">
        <w:trPr>
          <w:jc w:val="center"/>
        </w:trPr>
        <w:tc>
          <w:tcPr>
            <w:tcW w:w="3589" w:type="dxa"/>
          </w:tcPr>
          <w:p w:rsidR="009B774A" w:rsidRPr="002668D4" w:rsidRDefault="009B774A" w:rsidP="001A0506">
            <w:r w:rsidRPr="002668D4">
              <w:t xml:space="preserve">5.3. pašvaldību budžets </w:t>
            </w:r>
          </w:p>
        </w:tc>
        <w:tc>
          <w:tcPr>
            <w:tcW w:w="1529" w:type="dxa"/>
            <w:vMerge/>
            <w:vAlign w:val="center"/>
          </w:tcPr>
          <w:p w:rsidR="009B774A" w:rsidRPr="002668D4" w:rsidRDefault="009B774A" w:rsidP="001A0506">
            <w:pPr>
              <w:jc w:val="center"/>
              <w:rPr>
                <w:i/>
              </w:rPr>
            </w:pPr>
          </w:p>
        </w:tc>
        <w:tc>
          <w:tcPr>
            <w:tcW w:w="1383" w:type="dxa"/>
          </w:tcPr>
          <w:p w:rsidR="009B774A" w:rsidRPr="002668D4" w:rsidRDefault="009B774A" w:rsidP="001A0506">
            <w:pPr>
              <w:jc w:val="center"/>
            </w:pPr>
          </w:p>
        </w:tc>
        <w:tc>
          <w:tcPr>
            <w:tcW w:w="1007" w:type="dxa"/>
          </w:tcPr>
          <w:p w:rsidR="009B774A" w:rsidRPr="002668D4" w:rsidRDefault="009B774A" w:rsidP="001A0506">
            <w:pPr>
              <w:jc w:val="center"/>
            </w:pPr>
          </w:p>
        </w:tc>
        <w:tc>
          <w:tcPr>
            <w:tcW w:w="1418" w:type="dxa"/>
          </w:tcPr>
          <w:p w:rsidR="009B774A" w:rsidRPr="002668D4" w:rsidRDefault="009B774A" w:rsidP="001A0506">
            <w:pPr>
              <w:jc w:val="center"/>
            </w:pPr>
          </w:p>
        </w:tc>
        <w:tc>
          <w:tcPr>
            <w:tcW w:w="1275" w:type="dxa"/>
          </w:tcPr>
          <w:p w:rsidR="009B774A" w:rsidRPr="002668D4" w:rsidRDefault="009B774A" w:rsidP="001A0506">
            <w:pPr>
              <w:jc w:val="center"/>
            </w:pPr>
          </w:p>
        </w:tc>
      </w:tr>
      <w:tr w:rsidR="009B774A" w:rsidRPr="002668D4" w:rsidTr="009C68C6">
        <w:trPr>
          <w:jc w:val="center"/>
        </w:trPr>
        <w:tc>
          <w:tcPr>
            <w:tcW w:w="3589" w:type="dxa"/>
          </w:tcPr>
          <w:p w:rsidR="009B774A" w:rsidRPr="002668D4" w:rsidRDefault="009B774A" w:rsidP="001A0506">
            <w:r w:rsidRPr="002668D4">
              <w:t>6. Detalizēts ieņēmumu un izdevumu aprēķins (ja nepie</w:t>
            </w:r>
            <w:r w:rsidRPr="002668D4">
              <w:softHyphen/>
              <w:t>ciešams, detalizētu ieņēmumu un izdevumu aprēķinu var pie</w:t>
            </w:r>
            <w:r w:rsidRPr="002668D4">
              <w:softHyphen/>
              <w:t>vienot anotācijas pielikumā):</w:t>
            </w:r>
          </w:p>
        </w:tc>
        <w:tc>
          <w:tcPr>
            <w:tcW w:w="6612" w:type="dxa"/>
            <w:gridSpan w:val="5"/>
            <w:vMerge w:val="restart"/>
            <w:shd w:val="clear" w:color="auto" w:fill="auto"/>
          </w:tcPr>
          <w:p w:rsidR="00AA559A" w:rsidRPr="002668D4" w:rsidRDefault="00AA559A" w:rsidP="00AA559A">
            <w:pPr>
              <w:jc w:val="both"/>
            </w:pPr>
            <w:r w:rsidRPr="002668D4">
              <w:t xml:space="preserve">2015.gada dalība maksa Eiropas Kosmosa aģentūrā 1 399 900 </w:t>
            </w:r>
            <w:proofErr w:type="spellStart"/>
            <w:r w:rsidRPr="002668D4">
              <w:rPr>
                <w:i/>
              </w:rPr>
              <w:t>euro</w:t>
            </w:r>
            <w:proofErr w:type="spellEnd"/>
            <w:r w:rsidRPr="002668D4">
              <w:t xml:space="preserve"> apmērā tiek aprēķināta izmantojot ESVP hartā norādīto 1 milj. EUR 2001.gada ekonomiskajos apstākļos un piemērojot šādus EUROSTAT noteiktos inflācijas rādītājus pa gadiem:</w:t>
            </w:r>
          </w:p>
          <w:tbl>
            <w:tblPr>
              <w:tblW w:w="6499" w:type="dxa"/>
              <w:tblLayout w:type="fixed"/>
              <w:tblLook w:val="04A0" w:firstRow="1" w:lastRow="0" w:firstColumn="1" w:lastColumn="0" w:noHBand="0" w:noVBand="1"/>
            </w:tblPr>
            <w:tblGrid>
              <w:gridCol w:w="1560"/>
              <w:gridCol w:w="2246"/>
              <w:gridCol w:w="2693"/>
            </w:tblGrid>
            <w:tr w:rsidR="00AA559A" w:rsidRPr="002668D4" w:rsidTr="00E165A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Gads</w:t>
                  </w:r>
                </w:p>
              </w:tc>
              <w:tc>
                <w:tcPr>
                  <w:tcW w:w="2246" w:type="dxa"/>
                  <w:tcBorders>
                    <w:top w:val="single" w:sz="4" w:space="0" w:color="auto"/>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inflācijas rādītājs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 xml:space="preserve">summa, </w:t>
                  </w:r>
                  <w:proofErr w:type="spellStart"/>
                  <w:r w:rsidRPr="002668D4">
                    <w:t>euro</w:t>
                  </w:r>
                  <w:proofErr w:type="spellEnd"/>
                </w:p>
              </w:tc>
            </w:tr>
            <w:tr w:rsidR="00AA559A" w:rsidRPr="002668D4" w:rsidTr="00E165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559A" w:rsidRPr="002668D4" w:rsidRDefault="00AA559A" w:rsidP="00AA559A">
                  <w:pPr>
                    <w:jc w:val="both"/>
                    <w:rPr>
                      <w:b/>
                      <w:bCs/>
                    </w:rPr>
                  </w:pPr>
                  <w:r w:rsidRPr="002668D4">
                    <w:rPr>
                      <w:b/>
                      <w:bCs/>
                    </w:rPr>
                    <w:t>2001</w:t>
                  </w:r>
                </w:p>
              </w:tc>
              <w:tc>
                <w:tcPr>
                  <w:tcW w:w="2246"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rPr>
                      <w:b/>
                      <w:bCs/>
                    </w:rPr>
                  </w:pPr>
                  <w:r w:rsidRPr="002668D4">
                    <w:rPr>
                      <w:b/>
                      <w:bCs/>
                    </w:rPr>
                    <w:t> </w:t>
                  </w:r>
                </w:p>
              </w:tc>
              <w:tc>
                <w:tcPr>
                  <w:tcW w:w="2693"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rPr>
                      <w:b/>
                      <w:bCs/>
                    </w:rPr>
                  </w:pPr>
                  <w:r w:rsidRPr="002668D4">
                    <w:rPr>
                      <w:b/>
                      <w:bCs/>
                    </w:rPr>
                    <w:t>1 000 000</w:t>
                  </w:r>
                </w:p>
              </w:tc>
            </w:tr>
            <w:tr w:rsidR="00AA559A" w:rsidRPr="002668D4" w:rsidTr="00E165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2002</w:t>
                  </w:r>
                </w:p>
              </w:tc>
              <w:tc>
                <w:tcPr>
                  <w:tcW w:w="2246"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0,029</w:t>
                  </w:r>
                </w:p>
              </w:tc>
              <w:tc>
                <w:tcPr>
                  <w:tcW w:w="2693"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1 029 000</w:t>
                  </w:r>
                </w:p>
              </w:tc>
            </w:tr>
            <w:tr w:rsidR="00AA559A" w:rsidRPr="002668D4" w:rsidTr="00E165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2003</w:t>
                  </w:r>
                </w:p>
              </w:tc>
              <w:tc>
                <w:tcPr>
                  <w:tcW w:w="2246"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0,021</w:t>
                  </w:r>
                </w:p>
              </w:tc>
              <w:tc>
                <w:tcPr>
                  <w:tcW w:w="2693"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1 050 609</w:t>
                  </w:r>
                </w:p>
              </w:tc>
            </w:tr>
            <w:tr w:rsidR="00AA559A" w:rsidRPr="002668D4" w:rsidTr="00E165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2004</w:t>
                  </w:r>
                </w:p>
              </w:tc>
              <w:tc>
                <w:tcPr>
                  <w:tcW w:w="2246"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0,023</w:t>
                  </w:r>
                </w:p>
              </w:tc>
              <w:tc>
                <w:tcPr>
                  <w:tcW w:w="2693"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1 074 773</w:t>
                  </w:r>
                </w:p>
              </w:tc>
            </w:tr>
            <w:tr w:rsidR="00AA559A" w:rsidRPr="002668D4" w:rsidTr="00E165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2005</w:t>
                  </w:r>
                </w:p>
              </w:tc>
              <w:tc>
                <w:tcPr>
                  <w:tcW w:w="2246"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0,022</w:t>
                  </w:r>
                </w:p>
              </w:tc>
              <w:tc>
                <w:tcPr>
                  <w:tcW w:w="2693"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1 098 418</w:t>
                  </w:r>
                </w:p>
              </w:tc>
            </w:tr>
            <w:tr w:rsidR="00AA559A" w:rsidRPr="002668D4" w:rsidTr="00E165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2006</w:t>
                  </w:r>
                </w:p>
              </w:tc>
              <w:tc>
                <w:tcPr>
                  <w:tcW w:w="2246"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0,022</w:t>
                  </w:r>
                </w:p>
              </w:tc>
              <w:tc>
                <w:tcPr>
                  <w:tcW w:w="2693"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1 122 583</w:t>
                  </w:r>
                </w:p>
              </w:tc>
            </w:tr>
            <w:tr w:rsidR="00AA559A" w:rsidRPr="002668D4" w:rsidTr="00E165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2007</w:t>
                  </w:r>
                </w:p>
              </w:tc>
              <w:tc>
                <w:tcPr>
                  <w:tcW w:w="2246"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0,023</w:t>
                  </w:r>
                </w:p>
              </w:tc>
              <w:tc>
                <w:tcPr>
                  <w:tcW w:w="2693"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1 148 403</w:t>
                  </w:r>
                </w:p>
              </w:tc>
            </w:tr>
            <w:tr w:rsidR="00AA559A" w:rsidRPr="002668D4" w:rsidTr="00E165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2008</w:t>
                  </w:r>
                </w:p>
              </w:tc>
              <w:tc>
                <w:tcPr>
                  <w:tcW w:w="2246"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0,019</w:t>
                  </w:r>
                </w:p>
              </w:tc>
              <w:tc>
                <w:tcPr>
                  <w:tcW w:w="2693"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1 170 222</w:t>
                  </w:r>
                </w:p>
              </w:tc>
            </w:tr>
            <w:tr w:rsidR="00AA559A" w:rsidRPr="002668D4" w:rsidTr="00E165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2009</w:t>
                  </w:r>
                </w:p>
              </w:tc>
              <w:tc>
                <w:tcPr>
                  <w:tcW w:w="2246"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0,031</w:t>
                  </w:r>
                </w:p>
              </w:tc>
              <w:tc>
                <w:tcPr>
                  <w:tcW w:w="2693"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1 206 499</w:t>
                  </w:r>
                </w:p>
              </w:tc>
            </w:tr>
            <w:tr w:rsidR="00AA559A" w:rsidRPr="002668D4" w:rsidTr="00E165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2010</w:t>
                  </w:r>
                </w:p>
              </w:tc>
              <w:tc>
                <w:tcPr>
                  <w:tcW w:w="2246"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0,021</w:t>
                  </w:r>
                </w:p>
              </w:tc>
              <w:tc>
                <w:tcPr>
                  <w:tcW w:w="2693"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1 231 836</w:t>
                  </w:r>
                </w:p>
              </w:tc>
            </w:tr>
            <w:tr w:rsidR="00AA559A" w:rsidRPr="002668D4" w:rsidTr="00E165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2011</w:t>
                  </w:r>
                </w:p>
              </w:tc>
              <w:tc>
                <w:tcPr>
                  <w:tcW w:w="2246"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0,005</w:t>
                  </w:r>
                </w:p>
              </w:tc>
              <w:tc>
                <w:tcPr>
                  <w:tcW w:w="2693"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1 237 995</w:t>
                  </w:r>
                </w:p>
              </w:tc>
            </w:tr>
            <w:tr w:rsidR="00AA559A" w:rsidRPr="002668D4" w:rsidTr="00E165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2012</w:t>
                  </w:r>
                </w:p>
              </w:tc>
              <w:tc>
                <w:tcPr>
                  <w:tcW w:w="2246"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0,019</w:t>
                  </w:r>
                </w:p>
              </w:tc>
              <w:tc>
                <w:tcPr>
                  <w:tcW w:w="2693"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1 261 517</w:t>
                  </w:r>
                </w:p>
              </w:tc>
            </w:tr>
            <w:tr w:rsidR="00AA559A" w:rsidRPr="002668D4" w:rsidTr="00E165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2013</w:t>
                  </w:r>
                </w:p>
              </w:tc>
              <w:tc>
                <w:tcPr>
                  <w:tcW w:w="2246"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0,03</w:t>
                  </w:r>
                </w:p>
              </w:tc>
              <w:tc>
                <w:tcPr>
                  <w:tcW w:w="2693"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1 299 362</w:t>
                  </w:r>
                </w:p>
              </w:tc>
            </w:tr>
            <w:tr w:rsidR="00AA559A" w:rsidRPr="002668D4" w:rsidTr="00E165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2014</w:t>
                  </w:r>
                </w:p>
              </w:tc>
              <w:tc>
                <w:tcPr>
                  <w:tcW w:w="2246"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0,022</w:t>
                  </w:r>
                </w:p>
              </w:tc>
              <w:tc>
                <w:tcPr>
                  <w:tcW w:w="2693"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pPr>
                  <w:r w:rsidRPr="002668D4">
                    <w:t>1 327 948</w:t>
                  </w:r>
                </w:p>
              </w:tc>
            </w:tr>
            <w:tr w:rsidR="00AA559A" w:rsidRPr="002668D4" w:rsidTr="00E165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559A" w:rsidRPr="002668D4" w:rsidRDefault="00AA559A" w:rsidP="00AA559A">
                  <w:pPr>
                    <w:jc w:val="both"/>
                    <w:rPr>
                      <w:b/>
                      <w:bCs/>
                    </w:rPr>
                  </w:pPr>
                  <w:r w:rsidRPr="002668D4">
                    <w:rPr>
                      <w:b/>
                      <w:bCs/>
                    </w:rPr>
                    <w:t>2015</w:t>
                  </w:r>
                </w:p>
              </w:tc>
              <w:tc>
                <w:tcPr>
                  <w:tcW w:w="2246"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rPr>
                      <w:b/>
                      <w:bCs/>
                    </w:rPr>
                  </w:pPr>
                  <w:r w:rsidRPr="002668D4">
                    <w:rPr>
                      <w:b/>
                      <w:bCs/>
                    </w:rPr>
                    <w:t>0,009</w:t>
                  </w:r>
                </w:p>
              </w:tc>
              <w:tc>
                <w:tcPr>
                  <w:tcW w:w="2693" w:type="dxa"/>
                  <w:tcBorders>
                    <w:top w:val="nil"/>
                    <w:left w:val="nil"/>
                    <w:bottom w:val="single" w:sz="4" w:space="0" w:color="auto"/>
                    <w:right w:val="single" w:sz="4" w:space="0" w:color="auto"/>
                  </w:tcBorders>
                  <w:shd w:val="clear" w:color="auto" w:fill="auto"/>
                  <w:noWrap/>
                  <w:vAlign w:val="bottom"/>
                  <w:hideMark/>
                </w:tcPr>
                <w:p w:rsidR="00AA559A" w:rsidRPr="002668D4" w:rsidRDefault="00AA559A" w:rsidP="00AA559A">
                  <w:pPr>
                    <w:jc w:val="both"/>
                    <w:rPr>
                      <w:b/>
                      <w:bCs/>
                    </w:rPr>
                  </w:pPr>
                  <w:r w:rsidRPr="002668D4">
                    <w:rPr>
                      <w:b/>
                      <w:bCs/>
                    </w:rPr>
                    <w:t>1 339 900</w:t>
                  </w:r>
                </w:p>
              </w:tc>
            </w:tr>
          </w:tbl>
          <w:p w:rsidR="00FD33E2" w:rsidRPr="002668D4" w:rsidRDefault="00AA559A" w:rsidP="007A4634">
            <w:pPr>
              <w:jc w:val="both"/>
            </w:pPr>
            <w:r w:rsidRPr="002668D4">
              <w:t>2016.gadā un turpmākajiem gadiem nepieciešamā summa rēķināta prognozējot inflācijas rādītājus, kas skaitliskā izteiksmē vidēji palielinās par 40 00</w:t>
            </w:r>
            <w:r w:rsidR="007A4634" w:rsidRPr="002668D4">
              <w:t>0</w:t>
            </w:r>
            <w:r w:rsidRPr="002668D4">
              <w:t xml:space="preserve"> </w:t>
            </w:r>
            <w:proofErr w:type="spellStart"/>
            <w:r w:rsidRPr="002668D4">
              <w:rPr>
                <w:i/>
              </w:rPr>
              <w:t>euro</w:t>
            </w:r>
            <w:proofErr w:type="spellEnd"/>
            <w:r w:rsidRPr="002668D4">
              <w:t xml:space="preserve"> gadā. Precīza katra gada maksājuma summa tiek </w:t>
            </w:r>
            <w:r w:rsidR="007A4634" w:rsidRPr="002668D4">
              <w:t>aprēķināta</w:t>
            </w:r>
            <w:r w:rsidRPr="002668D4">
              <w:t xml:space="preserve"> katra kalendārā gada sākumā.</w:t>
            </w:r>
          </w:p>
        </w:tc>
      </w:tr>
      <w:tr w:rsidR="009B774A" w:rsidRPr="002668D4" w:rsidTr="009C68C6">
        <w:trPr>
          <w:jc w:val="center"/>
        </w:trPr>
        <w:tc>
          <w:tcPr>
            <w:tcW w:w="3589" w:type="dxa"/>
          </w:tcPr>
          <w:p w:rsidR="009B774A" w:rsidRPr="002668D4" w:rsidRDefault="009B774A" w:rsidP="001A0506">
            <w:r w:rsidRPr="002668D4">
              <w:t>6.1. detalizēts ieņēmumu aprēķins</w:t>
            </w:r>
          </w:p>
        </w:tc>
        <w:tc>
          <w:tcPr>
            <w:tcW w:w="6612" w:type="dxa"/>
            <w:gridSpan w:val="5"/>
            <w:vMerge/>
            <w:shd w:val="clear" w:color="auto" w:fill="auto"/>
          </w:tcPr>
          <w:p w:rsidR="009B774A" w:rsidRPr="002668D4" w:rsidRDefault="009B774A" w:rsidP="001A0506">
            <w:pPr>
              <w:rPr>
                <w:b/>
                <w:i/>
              </w:rPr>
            </w:pPr>
          </w:p>
        </w:tc>
      </w:tr>
      <w:tr w:rsidR="009B774A" w:rsidRPr="002668D4" w:rsidTr="009C68C6">
        <w:trPr>
          <w:jc w:val="center"/>
        </w:trPr>
        <w:tc>
          <w:tcPr>
            <w:tcW w:w="3589" w:type="dxa"/>
          </w:tcPr>
          <w:p w:rsidR="009B774A" w:rsidRPr="002668D4" w:rsidRDefault="009B774A" w:rsidP="001A0506">
            <w:r w:rsidRPr="002668D4">
              <w:t>6.2. detalizēts izdevumu aprēķins</w:t>
            </w:r>
          </w:p>
        </w:tc>
        <w:tc>
          <w:tcPr>
            <w:tcW w:w="6612" w:type="dxa"/>
            <w:gridSpan w:val="5"/>
            <w:vMerge/>
            <w:shd w:val="clear" w:color="auto" w:fill="auto"/>
          </w:tcPr>
          <w:p w:rsidR="009B774A" w:rsidRPr="002668D4" w:rsidRDefault="009B774A" w:rsidP="001A0506">
            <w:pPr>
              <w:rPr>
                <w:b/>
                <w:i/>
              </w:rPr>
            </w:pPr>
          </w:p>
        </w:tc>
      </w:tr>
      <w:tr w:rsidR="009B774A" w:rsidRPr="002668D4" w:rsidTr="009C68C6">
        <w:trPr>
          <w:trHeight w:val="399"/>
          <w:jc w:val="center"/>
        </w:trPr>
        <w:tc>
          <w:tcPr>
            <w:tcW w:w="3589" w:type="dxa"/>
          </w:tcPr>
          <w:p w:rsidR="009B774A" w:rsidRPr="002668D4" w:rsidRDefault="009B774A" w:rsidP="001A0506">
            <w:r w:rsidRPr="002668D4">
              <w:t>7. Cita informācija</w:t>
            </w:r>
          </w:p>
        </w:tc>
        <w:tc>
          <w:tcPr>
            <w:tcW w:w="6612" w:type="dxa"/>
            <w:gridSpan w:val="5"/>
            <w:shd w:val="clear" w:color="auto" w:fill="auto"/>
          </w:tcPr>
          <w:p w:rsidR="00876F0A" w:rsidRPr="002668D4" w:rsidRDefault="004F6780" w:rsidP="00AA559A">
            <w:pPr>
              <w:tabs>
                <w:tab w:val="left" w:pos="1901"/>
              </w:tabs>
              <w:jc w:val="both"/>
            </w:pPr>
            <w:r w:rsidRPr="002668D4">
              <w:t xml:space="preserve">Nepieciešamo finansējumu 1 339 900 </w:t>
            </w:r>
            <w:proofErr w:type="spellStart"/>
            <w:r w:rsidR="00D10D0B" w:rsidRPr="002668D4">
              <w:rPr>
                <w:i/>
              </w:rPr>
              <w:t>euro</w:t>
            </w:r>
            <w:proofErr w:type="spellEnd"/>
            <w:r w:rsidRPr="002668D4">
              <w:t xml:space="preserve"> apmērā, lai segtu Latvijas dalības maksu Eiropas Kosmosa aģentūras Eiropas sadarbības valsts statusā 2015.gadam, ministrija nodrošinās  pārdalot finansējumu no ministrijas budžeta apakšprogrammas 05.02.00 Zinātnes bāzes finansējums 1 339 900 </w:t>
            </w:r>
            <w:proofErr w:type="spellStart"/>
            <w:r w:rsidR="00D10D0B" w:rsidRPr="002668D4">
              <w:rPr>
                <w:i/>
              </w:rPr>
              <w:t>euro</w:t>
            </w:r>
            <w:proofErr w:type="spellEnd"/>
            <w:r w:rsidRPr="002668D4">
              <w:t xml:space="preserve"> apmērā uz ministrijas budžeta programmu </w:t>
            </w:r>
            <w:r w:rsidR="00367A01" w:rsidRPr="002668D4">
              <w:rPr>
                <w:bCs/>
                <w:color w:val="000000"/>
              </w:rPr>
              <w:t>16.00.00 “Eiropas Savienības lietas un starptautiskā sadarbība”</w:t>
            </w:r>
            <w:r w:rsidRPr="002668D4">
              <w:t xml:space="preserve">. Papildus finanšu resursi nav nepieciešami. </w:t>
            </w:r>
          </w:p>
          <w:p w:rsidR="0026482A" w:rsidRPr="002668D4" w:rsidRDefault="0026482A" w:rsidP="00127827">
            <w:pPr>
              <w:tabs>
                <w:tab w:val="left" w:pos="1901"/>
              </w:tabs>
              <w:jc w:val="both"/>
            </w:pPr>
            <w:r w:rsidRPr="002668D4">
              <w:t xml:space="preserve">Priekšlikumu par nepieciešamo finansējumu 1 400 000 </w:t>
            </w:r>
            <w:proofErr w:type="spellStart"/>
            <w:r w:rsidRPr="002668D4">
              <w:t>euro</w:t>
            </w:r>
            <w:proofErr w:type="spellEnd"/>
            <w:r w:rsidRPr="002668D4">
              <w:t xml:space="preserve"> apmērā, lai segtu Latvijas dalības maksu Eiropas Kosmosa aģentūras Eiropas sadarbības valsts statusā 2016.gadam, </w:t>
            </w:r>
            <w:r w:rsidRPr="002668D4">
              <w:lastRenderedPageBreak/>
              <w:t xml:space="preserve">Ekonomikas ministrija sadarbībā ar Izglītības un zinātnes ministriju Ministru kabinetā iesniegs līdz šā gada 1. maijam. </w:t>
            </w:r>
          </w:p>
          <w:p w:rsidR="0026482A" w:rsidRPr="002668D4" w:rsidRDefault="0026482A" w:rsidP="00127827">
            <w:pPr>
              <w:tabs>
                <w:tab w:val="left" w:pos="1901"/>
              </w:tabs>
              <w:jc w:val="both"/>
            </w:pPr>
          </w:p>
          <w:p w:rsidR="00367A01" w:rsidRPr="002668D4" w:rsidRDefault="00367A01" w:rsidP="00127827">
            <w:pPr>
              <w:tabs>
                <w:tab w:val="left" w:pos="1901"/>
              </w:tabs>
              <w:jc w:val="both"/>
            </w:pPr>
            <w:r w:rsidRPr="002668D4">
              <w:t xml:space="preserve">Lai segtu Latvijas dalības maksu Eiropas Kosmosa aģentūras Eiropas sadarbības valsts statusā 2017.-2019.gadiem, ministrija ir sagatavojusi rīkojuma projektu "Par atļauju ministrijai uzņemties ilgtermiņa saistības, lai nodrošinātu Latvijas dalību Eiropas Kosmosa aģentūras Eiropas sadarbības valsts statusā" paredzot </w:t>
            </w:r>
            <w:r w:rsidRPr="002668D4">
              <w:rPr>
                <w:color w:val="000000"/>
              </w:rPr>
              <w:t>palielināt ministrijas valsts pamatbudžeta bāzes izdevumus</w:t>
            </w:r>
            <w:r w:rsidRPr="002668D4">
              <w:rPr>
                <w:bCs/>
                <w:color w:val="000000"/>
              </w:rPr>
              <w:t xml:space="preserve"> 2017.gadam – </w:t>
            </w:r>
            <w:r w:rsidRPr="002668D4">
              <w:rPr>
                <w:bCs/>
                <w:iCs/>
                <w:color w:val="000000"/>
              </w:rPr>
              <w:t xml:space="preserve">1 440 000 </w:t>
            </w:r>
            <w:proofErr w:type="spellStart"/>
            <w:r w:rsidRPr="002668D4">
              <w:rPr>
                <w:bCs/>
                <w:i/>
                <w:iCs/>
                <w:color w:val="000000"/>
              </w:rPr>
              <w:t>euro</w:t>
            </w:r>
            <w:proofErr w:type="spellEnd"/>
            <w:r w:rsidRPr="002668D4">
              <w:rPr>
                <w:bCs/>
                <w:iCs/>
                <w:color w:val="000000"/>
              </w:rPr>
              <w:t xml:space="preserve"> apmērā</w:t>
            </w:r>
            <w:r w:rsidRPr="002668D4">
              <w:rPr>
                <w:bCs/>
                <w:color w:val="000000"/>
              </w:rPr>
              <w:t xml:space="preserve">, 2018.gadam – 1 480 000 </w:t>
            </w:r>
            <w:proofErr w:type="spellStart"/>
            <w:r w:rsidRPr="002668D4">
              <w:rPr>
                <w:bCs/>
                <w:i/>
                <w:iCs/>
                <w:color w:val="000000"/>
              </w:rPr>
              <w:t>euro</w:t>
            </w:r>
            <w:proofErr w:type="spellEnd"/>
            <w:r w:rsidRPr="002668D4">
              <w:rPr>
                <w:bCs/>
                <w:iCs/>
                <w:color w:val="000000"/>
              </w:rPr>
              <w:t xml:space="preserve"> apmērā</w:t>
            </w:r>
            <w:r w:rsidRPr="002668D4">
              <w:rPr>
                <w:bCs/>
                <w:color w:val="000000"/>
              </w:rPr>
              <w:t xml:space="preserve">, vienlaikus paredzot finansējumu 2019.gadam –  1 520 000 </w:t>
            </w:r>
            <w:proofErr w:type="spellStart"/>
            <w:r w:rsidRPr="002668D4">
              <w:rPr>
                <w:bCs/>
                <w:i/>
                <w:iCs/>
                <w:color w:val="000000"/>
              </w:rPr>
              <w:t>euro</w:t>
            </w:r>
            <w:proofErr w:type="spellEnd"/>
            <w:r w:rsidRPr="002668D4">
              <w:rPr>
                <w:bCs/>
                <w:iCs/>
                <w:color w:val="000000"/>
              </w:rPr>
              <w:t xml:space="preserve"> apmērā</w:t>
            </w:r>
            <w:r w:rsidRPr="002668D4">
              <w:rPr>
                <w:color w:val="000000"/>
              </w:rPr>
              <w:t xml:space="preserve">. </w:t>
            </w:r>
          </w:p>
          <w:p w:rsidR="009B774A" w:rsidRPr="002668D4" w:rsidRDefault="009B774A" w:rsidP="00127827">
            <w:pPr>
              <w:tabs>
                <w:tab w:val="left" w:pos="1901"/>
              </w:tabs>
              <w:jc w:val="both"/>
            </w:pPr>
          </w:p>
        </w:tc>
      </w:tr>
    </w:tbl>
    <w:p w:rsidR="009B774A" w:rsidRPr="002668D4" w:rsidRDefault="009B774A" w:rsidP="009B774A">
      <w:pPr>
        <w:pStyle w:val="naisf"/>
        <w:tabs>
          <w:tab w:val="left" w:pos="3819"/>
        </w:tabs>
        <w:spacing w:before="0" w:after="0"/>
        <w:ind w:firstLine="0"/>
      </w:pPr>
    </w:p>
    <w:p w:rsidR="001F23A6" w:rsidRPr="002668D4" w:rsidRDefault="001F23A6" w:rsidP="00464CD0">
      <w:pPr>
        <w:ind w:left="-567" w:right="-427"/>
        <w:jc w:val="both"/>
        <w:rPr>
          <w:i/>
        </w:rPr>
      </w:pPr>
      <w:r w:rsidRPr="002668D4">
        <w:rPr>
          <w:i/>
        </w:rPr>
        <w:t xml:space="preserve">Anotācijas </w:t>
      </w:r>
      <w:r w:rsidR="0002179F" w:rsidRPr="002668D4">
        <w:rPr>
          <w:i/>
        </w:rPr>
        <w:t xml:space="preserve">II, </w:t>
      </w:r>
      <w:r w:rsidR="006F5778" w:rsidRPr="002668D4">
        <w:rPr>
          <w:i/>
        </w:rPr>
        <w:t xml:space="preserve">IV, </w:t>
      </w:r>
      <w:r w:rsidR="0002179F" w:rsidRPr="002668D4">
        <w:rPr>
          <w:i/>
        </w:rPr>
        <w:t xml:space="preserve">V, VI un VII </w:t>
      </w:r>
      <w:r w:rsidRPr="002668D4">
        <w:rPr>
          <w:i/>
        </w:rPr>
        <w:t xml:space="preserve">sadaļa – </w:t>
      </w:r>
      <w:r w:rsidR="00464CD0" w:rsidRPr="002668D4">
        <w:rPr>
          <w:i/>
        </w:rPr>
        <w:t>Ministru kabineta r</w:t>
      </w:r>
      <w:r w:rsidRPr="002668D4">
        <w:rPr>
          <w:i/>
        </w:rPr>
        <w:t>īkojuma projekts šīs jomas neskar.</w:t>
      </w:r>
    </w:p>
    <w:p w:rsidR="00585B7B" w:rsidRPr="002668D4" w:rsidRDefault="00585B7B" w:rsidP="00D96FCD"/>
    <w:p w:rsidR="00C513BE" w:rsidRPr="002668D4" w:rsidRDefault="00C513BE" w:rsidP="00D96FCD"/>
    <w:p w:rsidR="00617D7A" w:rsidRPr="002668D4" w:rsidRDefault="00481F9B" w:rsidP="00C7220E">
      <w:pPr>
        <w:pStyle w:val="BodyText2"/>
        <w:spacing w:after="0" w:line="240" w:lineRule="auto"/>
        <w:ind w:firstLine="720"/>
        <w:jc w:val="both"/>
      </w:pPr>
      <w:r w:rsidRPr="002668D4">
        <w:t>I</w:t>
      </w:r>
      <w:r w:rsidR="008F245F" w:rsidRPr="002668D4">
        <w:t>zglītības un zinātnes ministr</w:t>
      </w:r>
      <w:r w:rsidR="00005A9D" w:rsidRPr="002668D4">
        <w:t>e</w:t>
      </w:r>
      <w:r w:rsidRPr="002668D4">
        <w:tab/>
      </w:r>
      <w:r w:rsidRPr="002668D4">
        <w:tab/>
      </w:r>
      <w:r w:rsidRPr="002668D4">
        <w:tab/>
      </w:r>
      <w:r w:rsidRPr="002668D4">
        <w:tab/>
      </w:r>
      <w:r w:rsidRPr="002668D4">
        <w:tab/>
      </w:r>
      <w:r w:rsidR="004E1E2E" w:rsidRPr="002668D4">
        <w:t>Mārīte Seile</w:t>
      </w:r>
    </w:p>
    <w:p w:rsidR="004560F5" w:rsidRPr="002668D4" w:rsidRDefault="004560F5" w:rsidP="00D96FCD"/>
    <w:p w:rsidR="000805C8" w:rsidRPr="002668D4" w:rsidRDefault="000805C8" w:rsidP="00D96FCD"/>
    <w:p w:rsidR="00B27926" w:rsidRPr="002668D4" w:rsidRDefault="00B27926" w:rsidP="00B27926">
      <w:pPr>
        <w:tabs>
          <w:tab w:val="left" w:pos="2895"/>
        </w:tabs>
        <w:ind w:right="-1" w:firstLine="851"/>
        <w:jc w:val="both"/>
        <w:rPr>
          <w:rFonts w:eastAsia="Times New Roman"/>
        </w:rPr>
      </w:pPr>
      <w:r w:rsidRPr="002668D4">
        <w:rPr>
          <w:rFonts w:eastAsia="Times New Roman"/>
        </w:rPr>
        <w:t xml:space="preserve">Vizē: </w:t>
      </w:r>
      <w:r w:rsidRPr="002668D4">
        <w:rPr>
          <w:rFonts w:eastAsia="Times New Roman"/>
        </w:rPr>
        <w:tab/>
      </w:r>
    </w:p>
    <w:p w:rsidR="00B27926" w:rsidRPr="002668D4" w:rsidRDefault="00B27926" w:rsidP="00B27926">
      <w:pPr>
        <w:ind w:left="720"/>
        <w:rPr>
          <w:rFonts w:eastAsia="Times New Roman"/>
        </w:rPr>
      </w:pPr>
      <w:r w:rsidRPr="002668D4">
        <w:rPr>
          <w:rFonts w:eastAsia="Times New Roman"/>
        </w:rPr>
        <w:t>Valsts sekretāra vietniece –</w:t>
      </w:r>
    </w:p>
    <w:p w:rsidR="00B27926" w:rsidRPr="002668D4" w:rsidRDefault="00B27926" w:rsidP="00B27926">
      <w:pPr>
        <w:ind w:left="720"/>
        <w:rPr>
          <w:rFonts w:eastAsia="Times New Roman"/>
        </w:rPr>
      </w:pPr>
      <w:r w:rsidRPr="002668D4">
        <w:rPr>
          <w:rFonts w:eastAsia="Times New Roman"/>
        </w:rPr>
        <w:t>Izglītības departamenta direktore,</w:t>
      </w:r>
    </w:p>
    <w:p w:rsidR="00B27926" w:rsidRPr="002668D4" w:rsidRDefault="00B27926" w:rsidP="00B27926">
      <w:pPr>
        <w:ind w:left="720"/>
        <w:rPr>
          <w:rFonts w:eastAsia="Times New Roman"/>
        </w:rPr>
      </w:pPr>
      <w:r w:rsidRPr="002668D4">
        <w:rPr>
          <w:rFonts w:eastAsia="Times New Roman"/>
        </w:rPr>
        <w:t>valsts sekretāra pienākumu izpildītāja</w:t>
      </w:r>
      <w:r w:rsidRPr="002668D4">
        <w:rPr>
          <w:rFonts w:eastAsia="Times New Roman"/>
        </w:rPr>
        <w:tab/>
      </w:r>
      <w:r w:rsidRPr="002668D4">
        <w:rPr>
          <w:rFonts w:eastAsia="Times New Roman"/>
        </w:rPr>
        <w:tab/>
      </w:r>
      <w:r w:rsidRPr="002668D4">
        <w:rPr>
          <w:rFonts w:eastAsia="Times New Roman"/>
        </w:rPr>
        <w:tab/>
      </w:r>
      <w:r w:rsidRPr="002668D4">
        <w:rPr>
          <w:rFonts w:eastAsia="Times New Roman"/>
        </w:rPr>
        <w:tab/>
      </w:r>
      <w:proofErr w:type="spellStart"/>
      <w:r w:rsidRPr="002668D4">
        <w:rPr>
          <w:rFonts w:eastAsia="Times New Roman"/>
        </w:rPr>
        <w:t>E.Papule</w:t>
      </w:r>
      <w:proofErr w:type="spellEnd"/>
    </w:p>
    <w:p w:rsidR="00B27926" w:rsidRPr="002668D4" w:rsidRDefault="00B27926" w:rsidP="00B27926">
      <w:pPr>
        <w:ind w:left="720"/>
        <w:rPr>
          <w:rFonts w:eastAsia="Times New Roman"/>
        </w:rPr>
      </w:pPr>
    </w:p>
    <w:p w:rsidR="00B27926" w:rsidRPr="002668D4" w:rsidRDefault="00AA559A" w:rsidP="00B27926">
      <w:pPr>
        <w:rPr>
          <w:rFonts w:eastAsia="Times New Roman"/>
          <w:sz w:val="22"/>
          <w:szCs w:val="22"/>
        </w:rPr>
      </w:pPr>
      <w:r w:rsidRPr="002668D4">
        <w:rPr>
          <w:rFonts w:eastAsia="Times New Roman"/>
          <w:sz w:val="22"/>
          <w:szCs w:val="22"/>
        </w:rPr>
        <w:t>1</w:t>
      </w:r>
      <w:r w:rsidR="002668D4" w:rsidRPr="002668D4">
        <w:rPr>
          <w:rFonts w:eastAsia="Times New Roman"/>
          <w:sz w:val="22"/>
          <w:szCs w:val="22"/>
        </w:rPr>
        <w:t>2</w:t>
      </w:r>
      <w:r w:rsidR="001C3D73" w:rsidRPr="002668D4">
        <w:rPr>
          <w:rFonts w:eastAsia="Times New Roman"/>
          <w:sz w:val="22"/>
          <w:szCs w:val="22"/>
        </w:rPr>
        <w:t>.</w:t>
      </w:r>
      <w:r w:rsidR="00BA158C" w:rsidRPr="002668D4">
        <w:rPr>
          <w:rFonts w:eastAsia="Times New Roman"/>
          <w:sz w:val="22"/>
          <w:szCs w:val="22"/>
        </w:rPr>
        <w:t>02</w:t>
      </w:r>
      <w:r w:rsidR="00B27926" w:rsidRPr="002668D4">
        <w:rPr>
          <w:rFonts w:eastAsia="Times New Roman"/>
          <w:sz w:val="22"/>
          <w:szCs w:val="22"/>
        </w:rPr>
        <w:t>.2015</w:t>
      </w:r>
      <w:r w:rsidR="00BA5488" w:rsidRPr="002668D4">
        <w:rPr>
          <w:rFonts w:eastAsia="Times New Roman"/>
          <w:sz w:val="22"/>
          <w:szCs w:val="22"/>
        </w:rPr>
        <w:t>. 12</w:t>
      </w:r>
      <w:r w:rsidR="00B27926" w:rsidRPr="002668D4">
        <w:rPr>
          <w:rFonts w:eastAsia="Times New Roman"/>
          <w:sz w:val="22"/>
          <w:szCs w:val="22"/>
        </w:rPr>
        <w:t>:08</w:t>
      </w:r>
    </w:p>
    <w:p w:rsidR="00B27926" w:rsidRPr="002668D4" w:rsidRDefault="00876F0A" w:rsidP="00B27926">
      <w:pPr>
        <w:rPr>
          <w:rFonts w:eastAsia="Times New Roman"/>
          <w:sz w:val="22"/>
          <w:szCs w:val="22"/>
        </w:rPr>
      </w:pPr>
      <w:r w:rsidRPr="002668D4">
        <w:rPr>
          <w:rFonts w:eastAsia="Times New Roman"/>
          <w:sz w:val="22"/>
          <w:szCs w:val="22"/>
        </w:rPr>
        <w:t>1</w:t>
      </w:r>
      <w:r w:rsidR="00F26A32" w:rsidRPr="002668D4">
        <w:rPr>
          <w:rFonts w:eastAsia="Times New Roman"/>
          <w:sz w:val="22"/>
          <w:szCs w:val="22"/>
        </w:rPr>
        <w:t>5</w:t>
      </w:r>
      <w:r w:rsidR="00AA559A" w:rsidRPr="002668D4">
        <w:rPr>
          <w:rFonts w:eastAsia="Times New Roman"/>
          <w:sz w:val="22"/>
          <w:szCs w:val="22"/>
        </w:rPr>
        <w:t>24</w:t>
      </w:r>
    </w:p>
    <w:p w:rsidR="00B27926" w:rsidRPr="002668D4" w:rsidRDefault="00B27926" w:rsidP="00B27926">
      <w:pPr>
        <w:rPr>
          <w:rFonts w:eastAsia="Times New Roman"/>
          <w:sz w:val="22"/>
          <w:szCs w:val="22"/>
        </w:rPr>
      </w:pPr>
      <w:r w:rsidRPr="002668D4">
        <w:rPr>
          <w:rFonts w:eastAsia="Times New Roman"/>
          <w:sz w:val="22"/>
          <w:szCs w:val="22"/>
        </w:rPr>
        <w:t>Izglītības un zinātnes ministrijas</w:t>
      </w:r>
    </w:p>
    <w:p w:rsidR="00B27926" w:rsidRPr="002668D4" w:rsidRDefault="00B27926" w:rsidP="00B27926">
      <w:pPr>
        <w:rPr>
          <w:rFonts w:eastAsia="Times New Roman"/>
          <w:sz w:val="22"/>
          <w:szCs w:val="22"/>
        </w:rPr>
      </w:pPr>
      <w:r w:rsidRPr="002668D4">
        <w:rPr>
          <w:rFonts w:eastAsia="Times New Roman"/>
          <w:sz w:val="22"/>
          <w:szCs w:val="22"/>
        </w:rPr>
        <w:t xml:space="preserve">Augstākās izglītības, zinātnes un </w:t>
      </w:r>
    </w:p>
    <w:p w:rsidR="00B27926" w:rsidRPr="002668D4" w:rsidRDefault="00B27926" w:rsidP="00B27926">
      <w:pPr>
        <w:rPr>
          <w:rFonts w:eastAsia="Times New Roman"/>
          <w:sz w:val="22"/>
          <w:szCs w:val="22"/>
        </w:rPr>
      </w:pPr>
      <w:r w:rsidRPr="002668D4">
        <w:rPr>
          <w:rFonts w:eastAsia="Times New Roman"/>
          <w:sz w:val="22"/>
          <w:szCs w:val="22"/>
        </w:rPr>
        <w:t>inovāciju departamenta vecākais referents</w:t>
      </w:r>
    </w:p>
    <w:p w:rsidR="00B27926" w:rsidRPr="002668D4" w:rsidRDefault="00B27926" w:rsidP="00B27926">
      <w:pPr>
        <w:rPr>
          <w:rFonts w:eastAsia="Times New Roman"/>
          <w:sz w:val="22"/>
          <w:szCs w:val="22"/>
        </w:rPr>
      </w:pPr>
      <w:r w:rsidRPr="002668D4">
        <w:rPr>
          <w:rFonts w:eastAsia="Times New Roman"/>
          <w:sz w:val="22"/>
          <w:szCs w:val="22"/>
        </w:rPr>
        <w:t xml:space="preserve">Kaspars Karolis </w:t>
      </w:r>
    </w:p>
    <w:p w:rsidR="00B27926" w:rsidRPr="002668D4" w:rsidRDefault="003E43FB" w:rsidP="00B27926">
      <w:pPr>
        <w:rPr>
          <w:rFonts w:eastAsia="Times New Roman"/>
          <w:sz w:val="22"/>
          <w:szCs w:val="22"/>
        </w:rPr>
      </w:pPr>
      <w:r w:rsidRPr="002668D4">
        <w:rPr>
          <w:rFonts w:eastAsia="Times New Roman"/>
          <w:sz w:val="22"/>
          <w:szCs w:val="22"/>
        </w:rPr>
        <w:t>6704799</w:t>
      </w:r>
      <w:r w:rsidR="00B27926" w:rsidRPr="002668D4">
        <w:rPr>
          <w:rFonts w:eastAsia="Times New Roman"/>
          <w:sz w:val="22"/>
          <w:szCs w:val="22"/>
        </w:rPr>
        <w:t>6, kaspars.karolis@izm.gov.lv</w:t>
      </w:r>
    </w:p>
    <w:p w:rsidR="00763103" w:rsidRPr="002668D4" w:rsidRDefault="00763103" w:rsidP="00B27926">
      <w:pPr>
        <w:ind w:firstLine="720"/>
        <w:jc w:val="both"/>
      </w:pPr>
      <w:bookmarkStart w:id="3" w:name="_GoBack"/>
      <w:bookmarkEnd w:id="3"/>
    </w:p>
    <w:sectPr w:rsidR="00763103" w:rsidRPr="002668D4" w:rsidSect="009C68C6">
      <w:headerReference w:type="default" r:id="rId8"/>
      <w:footerReference w:type="default" r:id="rId9"/>
      <w:footerReference w:type="first" r:id="rId10"/>
      <w:pgSz w:w="11906" w:h="16838" w:code="9"/>
      <w:pgMar w:top="851" w:right="1134" w:bottom="1134" w:left="1701" w:header="425"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D8" w:rsidRDefault="00C364D8" w:rsidP="00123E9B">
      <w:r>
        <w:separator/>
      </w:r>
    </w:p>
  </w:endnote>
  <w:endnote w:type="continuationSeparator" w:id="0">
    <w:p w:rsidR="00C364D8" w:rsidRDefault="00C364D8"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8468A3" w:rsidRDefault="008468A3" w:rsidP="008468A3">
    <w:pPr>
      <w:ind w:left="-567" w:right="-568"/>
      <w:jc w:val="both"/>
      <w:rPr>
        <w:sz w:val="22"/>
        <w:szCs w:val="22"/>
      </w:rPr>
    </w:pPr>
    <w:r>
      <w:rPr>
        <w:sz w:val="22"/>
        <w:szCs w:val="22"/>
      </w:rPr>
      <w:t>IZMAnot_</w:t>
    </w:r>
    <w:r w:rsidR="00CA7791">
      <w:rPr>
        <w:sz w:val="22"/>
        <w:szCs w:val="22"/>
      </w:rPr>
      <w:t>1</w:t>
    </w:r>
    <w:r w:rsidR="002668D4">
      <w:rPr>
        <w:sz w:val="22"/>
        <w:szCs w:val="22"/>
      </w:rPr>
      <w:t>2</w:t>
    </w:r>
    <w:r w:rsidR="00B27926">
      <w:rPr>
        <w:sz w:val="22"/>
        <w:szCs w:val="22"/>
      </w:rPr>
      <w:t>0215</w:t>
    </w:r>
    <w:r>
      <w:rPr>
        <w:sz w:val="22"/>
        <w:szCs w:val="22"/>
      </w:rPr>
      <w:t>_</w:t>
    </w:r>
    <w:r w:rsidR="00B27926">
      <w:rPr>
        <w:sz w:val="22"/>
        <w:szCs w:val="22"/>
      </w:rPr>
      <w:t>ESVP</w:t>
    </w:r>
    <w:r w:rsidRPr="004816F6">
      <w:rPr>
        <w:sz w:val="22"/>
        <w:szCs w:val="22"/>
      </w:rPr>
      <w:t xml:space="preserve">; Ministru kabineta rīkojuma projekta </w:t>
    </w:r>
    <w:r w:rsidR="00CA212A" w:rsidRPr="00CA212A">
      <w:rPr>
        <w:sz w:val="22"/>
        <w:szCs w:val="22"/>
      </w:rPr>
      <w:t xml:space="preserve">“Par apropriācijas pārdali” </w:t>
    </w:r>
    <w:r w:rsidRPr="004816F6">
      <w:rPr>
        <w:sz w:val="22"/>
        <w:szCs w:val="22"/>
      </w:rPr>
      <w:t xml:space="preserve">sākotnējās ietekmes </w:t>
    </w:r>
    <w:r>
      <w:rPr>
        <w:sz w:val="22"/>
        <w:szCs w:val="22"/>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91" w:rsidRPr="008468A3" w:rsidRDefault="00CA7791" w:rsidP="00CA7791">
    <w:pPr>
      <w:ind w:left="-567" w:right="-568"/>
      <w:jc w:val="both"/>
      <w:rPr>
        <w:sz w:val="22"/>
        <w:szCs w:val="22"/>
      </w:rPr>
    </w:pPr>
    <w:r>
      <w:rPr>
        <w:sz w:val="22"/>
        <w:szCs w:val="22"/>
      </w:rPr>
      <w:t>IZMAnot_1</w:t>
    </w:r>
    <w:r w:rsidR="002668D4">
      <w:rPr>
        <w:sz w:val="22"/>
        <w:szCs w:val="22"/>
      </w:rPr>
      <w:t>2</w:t>
    </w:r>
    <w:r>
      <w:rPr>
        <w:sz w:val="22"/>
        <w:szCs w:val="22"/>
      </w:rPr>
      <w:t>0215_ESVP</w:t>
    </w:r>
    <w:r w:rsidRPr="004816F6">
      <w:rPr>
        <w:sz w:val="22"/>
        <w:szCs w:val="22"/>
      </w:rPr>
      <w:t xml:space="preserve">; Ministru kabineta rīkojuma projekta </w:t>
    </w:r>
    <w:r w:rsidRPr="00CA212A">
      <w:rPr>
        <w:sz w:val="22"/>
        <w:szCs w:val="22"/>
      </w:rPr>
      <w:t xml:space="preserve">“Par apropriācijas pārdali” </w:t>
    </w:r>
    <w:r w:rsidRPr="004816F6">
      <w:rPr>
        <w:sz w:val="22"/>
        <w:szCs w:val="22"/>
      </w:rPr>
      <w:t xml:space="preserve">sākotnējās ietekmes </w:t>
    </w:r>
    <w:r>
      <w:rPr>
        <w:sz w:val="22"/>
        <w:szCs w:val="22"/>
      </w:rPr>
      <w:t>novērtējuma ziņojums (anotācija)</w:t>
    </w:r>
  </w:p>
  <w:p w:rsidR="005D564D" w:rsidRPr="00B27926" w:rsidRDefault="005D564D" w:rsidP="00B27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D8" w:rsidRDefault="00C364D8" w:rsidP="00123E9B">
      <w:r>
        <w:separator/>
      </w:r>
    </w:p>
  </w:footnote>
  <w:footnote w:type="continuationSeparator" w:id="0">
    <w:p w:rsidR="00C364D8" w:rsidRDefault="00C364D8" w:rsidP="00123E9B">
      <w:r>
        <w:continuationSeparator/>
      </w:r>
    </w:p>
  </w:footnote>
  <w:footnote w:id="1">
    <w:p w:rsidR="003B2313" w:rsidRPr="00DB3938" w:rsidRDefault="003B2313" w:rsidP="00DB3938">
      <w:pPr>
        <w:pStyle w:val="FootnoteText"/>
        <w:jc w:val="both"/>
      </w:pPr>
      <w:r>
        <w:rPr>
          <w:rStyle w:val="FootnoteReference"/>
        </w:rPr>
        <w:footnoteRef/>
      </w:r>
      <w:r>
        <w:t xml:space="preserve"> </w:t>
      </w:r>
      <w:r w:rsidR="00BB285A">
        <w:t>Minētā summa tiek aprēķināta izmantojot ESVP hartā norādīto 1 milj</w:t>
      </w:r>
      <w:r w:rsidR="00DB3938">
        <w:t>.</w:t>
      </w:r>
      <w:r w:rsidR="00BB285A">
        <w:t xml:space="preserve"> EUR 2001.gada ekonomiskajos apstākļos un piemērojot šādus EUROSTAT noteiktos inflācijas rādītājus pa gadiem - </w:t>
      </w:r>
      <w:r w:rsidR="00BB285A" w:rsidRPr="00DB3938">
        <w:rPr>
          <w:color w:val="000000"/>
        </w:rPr>
        <w:t>2001/2002 2.90%, 2002/2003 2.10%,</w:t>
      </w:r>
      <w:r w:rsidR="00DB3938">
        <w:rPr>
          <w:color w:val="000000"/>
        </w:rPr>
        <w:t xml:space="preserve"> </w:t>
      </w:r>
      <w:r w:rsidR="00BB285A" w:rsidRPr="00DB3938">
        <w:rPr>
          <w:color w:val="000000"/>
        </w:rPr>
        <w:t>2003/2004 2.30%,</w:t>
      </w:r>
      <w:r w:rsidR="00DB3938">
        <w:rPr>
          <w:color w:val="000000"/>
        </w:rPr>
        <w:t xml:space="preserve"> </w:t>
      </w:r>
      <w:r w:rsidR="00BB285A" w:rsidRPr="00DB3938">
        <w:rPr>
          <w:color w:val="000000"/>
        </w:rPr>
        <w:t>2004/2005 2.20%,</w:t>
      </w:r>
      <w:r w:rsidR="00DB3938">
        <w:rPr>
          <w:color w:val="000000"/>
        </w:rPr>
        <w:t xml:space="preserve"> </w:t>
      </w:r>
      <w:r w:rsidR="00BB285A" w:rsidRPr="00DB3938">
        <w:rPr>
          <w:color w:val="000000"/>
        </w:rPr>
        <w:t>2005/2006 2.20%,</w:t>
      </w:r>
      <w:r w:rsidR="00DB3938">
        <w:rPr>
          <w:color w:val="000000"/>
        </w:rPr>
        <w:t xml:space="preserve"> </w:t>
      </w:r>
      <w:r w:rsidR="00BB285A" w:rsidRPr="00DB3938">
        <w:rPr>
          <w:color w:val="000000"/>
        </w:rPr>
        <w:t xml:space="preserve"> </w:t>
      </w:r>
      <w:r w:rsidR="00DB3938">
        <w:rPr>
          <w:color w:val="000000"/>
        </w:rPr>
        <w:t xml:space="preserve">2006/2007 2.30%, </w:t>
      </w:r>
      <w:r w:rsidR="00DB3938" w:rsidRPr="00DB3938">
        <w:rPr>
          <w:color w:val="000000"/>
        </w:rPr>
        <w:t xml:space="preserve">2007/2008 </w:t>
      </w:r>
      <w:r w:rsidR="00DB3938">
        <w:rPr>
          <w:color w:val="000000"/>
        </w:rPr>
        <w:t xml:space="preserve">1.90%, 2008/2009 3.10%, </w:t>
      </w:r>
      <w:r w:rsidR="00BB285A" w:rsidRPr="00DB3938">
        <w:rPr>
          <w:color w:val="000000"/>
        </w:rPr>
        <w:t>2009/2010 2.10%</w:t>
      </w:r>
      <w:r w:rsidR="00DB3938">
        <w:rPr>
          <w:color w:val="000000"/>
        </w:rPr>
        <w:t xml:space="preserve">, </w:t>
      </w:r>
      <w:r w:rsidR="00BB285A" w:rsidRPr="00DB3938">
        <w:rPr>
          <w:color w:val="000000"/>
        </w:rPr>
        <w:t>2010/2011 0.50%</w:t>
      </w:r>
      <w:r w:rsidR="00DB3938">
        <w:rPr>
          <w:color w:val="000000"/>
        </w:rPr>
        <w:t xml:space="preserve">, </w:t>
      </w:r>
      <w:r w:rsidR="00BB285A" w:rsidRPr="00DB3938">
        <w:rPr>
          <w:color w:val="000000"/>
        </w:rPr>
        <w:t>2011/2012 1.90%</w:t>
      </w:r>
      <w:r w:rsidR="00DB3938">
        <w:rPr>
          <w:color w:val="000000"/>
        </w:rPr>
        <w:t xml:space="preserve">, </w:t>
      </w:r>
      <w:r w:rsidR="00BB285A" w:rsidRPr="00DB3938">
        <w:rPr>
          <w:color w:val="000000"/>
        </w:rPr>
        <w:t>2012/2013 3.00%</w:t>
      </w:r>
      <w:r w:rsidR="00DB3938">
        <w:rPr>
          <w:color w:val="000000"/>
        </w:rPr>
        <w:t xml:space="preserve">, 2013/2014 2.20%, </w:t>
      </w:r>
      <w:r w:rsidR="00BB285A" w:rsidRPr="00DB3938">
        <w:rPr>
          <w:color w:val="000000"/>
        </w:rPr>
        <w:t>201</w:t>
      </w:r>
      <w:r w:rsidR="00876F0A">
        <w:rPr>
          <w:color w:val="000000"/>
        </w:rPr>
        <w:t>4</w:t>
      </w:r>
      <w:r w:rsidR="00BB285A" w:rsidRPr="00DB3938">
        <w:rPr>
          <w:color w:val="000000"/>
        </w:rPr>
        <w:t>/201</w:t>
      </w:r>
      <w:r w:rsidR="00876F0A">
        <w:rPr>
          <w:color w:val="000000"/>
        </w:rPr>
        <w:t>5</w:t>
      </w:r>
      <w:r w:rsidR="00BB285A" w:rsidRPr="00DB3938">
        <w:rPr>
          <w:color w:val="000000"/>
        </w:rPr>
        <w:t xml:space="preserve"> 0.90%</w:t>
      </w:r>
      <w:r w:rsidR="00DB3938">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FE49DD">
    <w:pPr>
      <w:pStyle w:val="Header"/>
      <w:jc w:val="center"/>
    </w:pPr>
    <w:r>
      <w:fldChar w:fldCharType="begin"/>
    </w:r>
    <w:r w:rsidR="005D564D">
      <w:instrText xml:space="preserve"> PAGE   \* MERGEFORMAT </w:instrText>
    </w:r>
    <w:r>
      <w:fldChar w:fldCharType="separate"/>
    </w:r>
    <w:r w:rsidR="002668D4">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15BF7B42"/>
    <w:multiLevelType w:val="hybridMultilevel"/>
    <w:tmpl w:val="8BFE0912"/>
    <w:lvl w:ilvl="0" w:tplc="FD0ECA12">
      <w:start w:val="1"/>
      <w:numFmt w:val="decimal"/>
      <w:lvlText w:val="(%1)"/>
      <w:lvlJc w:val="left"/>
      <w:pPr>
        <w:ind w:left="507" w:hanging="375"/>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
    <w:nsid w:val="16447320"/>
    <w:multiLevelType w:val="hybridMultilevel"/>
    <w:tmpl w:val="F8461F56"/>
    <w:lvl w:ilvl="0" w:tplc="D868C390">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228920EE"/>
    <w:multiLevelType w:val="hybridMultilevel"/>
    <w:tmpl w:val="1618D7AE"/>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B3B4305"/>
    <w:multiLevelType w:val="hybridMultilevel"/>
    <w:tmpl w:val="081452AE"/>
    <w:lvl w:ilvl="0" w:tplc="B738845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6">
    <w:nsid w:val="2F94077B"/>
    <w:multiLevelType w:val="hybridMultilevel"/>
    <w:tmpl w:val="14CC1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0BA02A3"/>
    <w:multiLevelType w:val="hybridMultilevel"/>
    <w:tmpl w:val="C5641C0C"/>
    <w:lvl w:ilvl="0" w:tplc="96F82070">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nsid w:val="351E082D"/>
    <w:multiLevelType w:val="hybridMultilevel"/>
    <w:tmpl w:val="E7DEEB4A"/>
    <w:lvl w:ilvl="0" w:tplc="85EC3CD4">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9">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2">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3">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4">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6">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0"/>
  </w:num>
  <w:num w:numId="2">
    <w:abstractNumId w:val="14"/>
  </w:num>
  <w:num w:numId="3">
    <w:abstractNumId w:val="13"/>
  </w:num>
  <w:num w:numId="4">
    <w:abstractNumId w:val="16"/>
  </w:num>
  <w:num w:numId="5">
    <w:abstractNumId w:val="11"/>
  </w:num>
  <w:num w:numId="6">
    <w:abstractNumId w:val="12"/>
  </w:num>
  <w:num w:numId="7">
    <w:abstractNumId w:val="3"/>
  </w:num>
  <w:num w:numId="8">
    <w:abstractNumId w:val="0"/>
  </w:num>
  <w:num w:numId="9">
    <w:abstractNumId w:val="9"/>
  </w:num>
  <w:num w:numId="10">
    <w:abstractNumId w:val="17"/>
  </w:num>
  <w:num w:numId="11">
    <w:abstractNumId w:val="15"/>
  </w:num>
  <w:num w:numId="12">
    <w:abstractNumId w:val="4"/>
  </w:num>
  <w:num w:numId="13">
    <w:abstractNumId w:val="7"/>
  </w:num>
  <w:num w:numId="14">
    <w:abstractNumId w:val="2"/>
  </w:num>
  <w:num w:numId="15">
    <w:abstractNumId w:val="5"/>
  </w:num>
  <w:num w:numId="16">
    <w:abstractNumId w:val="1"/>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79F"/>
    <w:rsid w:val="000219F0"/>
    <w:rsid w:val="00027346"/>
    <w:rsid w:val="00033013"/>
    <w:rsid w:val="000347B3"/>
    <w:rsid w:val="00034AA4"/>
    <w:rsid w:val="0003639A"/>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209B"/>
    <w:rsid w:val="000541F8"/>
    <w:rsid w:val="00054553"/>
    <w:rsid w:val="00054FEE"/>
    <w:rsid w:val="00055608"/>
    <w:rsid w:val="00055F70"/>
    <w:rsid w:val="000577FD"/>
    <w:rsid w:val="0006125D"/>
    <w:rsid w:val="000622F7"/>
    <w:rsid w:val="00063019"/>
    <w:rsid w:val="0006651A"/>
    <w:rsid w:val="000673CA"/>
    <w:rsid w:val="00070F02"/>
    <w:rsid w:val="00071C49"/>
    <w:rsid w:val="00071E61"/>
    <w:rsid w:val="00072B98"/>
    <w:rsid w:val="00072F6C"/>
    <w:rsid w:val="000730C8"/>
    <w:rsid w:val="00073118"/>
    <w:rsid w:val="000732D1"/>
    <w:rsid w:val="00074405"/>
    <w:rsid w:val="00074B8C"/>
    <w:rsid w:val="00076F56"/>
    <w:rsid w:val="000777F6"/>
    <w:rsid w:val="000805C8"/>
    <w:rsid w:val="00080CC1"/>
    <w:rsid w:val="00081477"/>
    <w:rsid w:val="00081ACD"/>
    <w:rsid w:val="00081CEB"/>
    <w:rsid w:val="00083396"/>
    <w:rsid w:val="000849C2"/>
    <w:rsid w:val="00084C38"/>
    <w:rsid w:val="000857DA"/>
    <w:rsid w:val="0008599C"/>
    <w:rsid w:val="00090B02"/>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F1AC0"/>
    <w:rsid w:val="000F3894"/>
    <w:rsid w:val="000F6485"/>
    <w:rsid w:val="0010198A"/>
    <w:rsid w:val="00101C45"/>
    <w:rsid w:val="00103760"/>
    <w:rsid w:val="00103A3D"/>
    <w:rsid w:val="001106D1"/>
    <w:rsid w:val="00111709"/>
    <w:rsid w:val="00111B15"/>
    <w:rsid w:val="0011262B"/>
    <w:rsid w:val="00112C20"/>
    <w:rsid w:val="00114C20"/>
    <w:rsid w:val="00115EB8"/>
    <w:rsid w:val="00116669"/>
    <w:rsid w:val="00117C7E"/>
    <w:rsid w:val="0012123A"/>
    <w:rsid w:val="00121DF2"/>
    <w:rsid w:val="0012249E"/>
    <w:rsid w:val="00122521"/>
    <w:rsid w:val="00123E9B"/>
    <w:rsid w:val="0012448A"/>
    <w:rsid w:val="0012704D"/>
    <w:rsid w:val="00127827"/>
    <w:rsid w:val="0012791B"/>
    <w:rsid w:val="00131850"/>
    <w:rsid w:val="00131A15"/>
    <w:rsid w:val="00132473"/>
    <w:rsid w:val="00132C2C"/>
    <w:rsid w:val="00132D10"/>
    <w:rsid w:val="00134CEC"/>
    <w:rsid w:val="001350A6"/>
    <w:rsid w:val="00135577"/>
    <w:rsid w:val="00136D87"/>
    <w:rsid w:val="001376F8"/>
    <w:rsid w:val="00137FAC"/>
    <w:rsid w:val="001413A9"/>
    <w:rsid w:val="00143747"/>
    <w:rsid w:val="001477C7"/>
    <w:rsid w:val="00147CBF"/>
    <w:rsid w:val="00147D9A"/>
    <w:rsid w:val="00150D62"/>
    <w:rsid w:val="00152C87"/>
    <w:rsid w:val="00156760"/>
    <w:rsid w:val="00157EEE"/>
    <w:rsid w:val="00157F12"/>
    <w:rsid w:val="00161261"/>
    <w:rsid w:val="0016142A"/>
    <w:rsid w:val="00162670"/>
    <w:rsid w:val="00165215"/>
    <w:rsid w:val="001673FC"/>
    <w:rsid w:val="0017294D"/>
    <w:rsid w:val="00172A25"/>
    <w:rsid w:val="0017384A"/>
    <w:rsid w:val="00174AEB"/>
    <w:rsid w:val="00175071"/>
    <w:rsid w:val="00175426"/>
    <w:rsid w:val="00180E6B"/>
    <w:rsid w:val="00181D00"/>
    <w:rsid w:val="001824F8"/>
    <w:rsid w:val="001828B2"/>
    <w:rsid w:val="0018329D"/>
    <w:rsid w:val="001838EC"/>
    <w:rsid w:val="00184814"/>
    <w:rsid w:val="00186DF5"/>
    <w:rsid w:val="001904B3"/>
    <w:rsid w:val="00193178"/>
    <w:rsid w:val="00194724"/>
    <w:rsid w:val="00194827"/>
    <w:rsid w:val="00194A0F"/>
    <w:rsid w:val="001A0506"/>
    <w:rsid w:val="001A142F"/>
    <w:rsid w:val="001A290D"/>
    <w:rsid w:val="001A2EC1"/>
    <w:rsid w:val="001A31E1"/>
    <w:rsid w:val="001A3434"/>
    <w:rsid w:val="001A34F0"/>
    <w:rsid w:val="001A351A"/>
    <w:rsid w:val="001A3FE6"/>
    <w:rsid w:val="001A4D52"/>
    <w:rsid w:val="001A6E9C"/>
    <w:rsid w:val="001B1189"/>
    <w:rsid w:val="001B15B5"/>
    <w:rsid w:val="001B32BB"/>
    <w:rsid w:val="001B34BA"/>
    <w:rsid w:val="001B548E"/>
    <w:rsid w:val="001B657F"/>
    <w:rsid w:val="001C15CD"/>
    <w:rsid w:val="001C20B9"/>
    <w:rsid w:val="001C2FDE"/>
    <w:rsid w:val="001C3D73"/>
    <w:rsid w:val="001C403D"/>
    <w:rsid w:val="001C4BA3"/>
    <w:rsid w:val="001C56D3"/>
    <w:rsid w:val="001C5FC4"/>
    <w:rsid w:val="001C60B1"/>
    <w:rsid w:val="001C77E5"/>
    <w:rsid w:val="001D0913"/>
    <w:rsid w:val="001D17EA"/>
    <w:rsid w:val="001D1F6A"/>
    <w:rsid w:val="001D3147"/>
    <w:rsid w:val="001D4A15"/>
    <w:rsid w:val="001D7C74"/>
    <w:rsid w:val="001E27C6"/>
    <w:rsid w:val="001E6E40"/>
    <w:rsid w:val="001E72D6"/>
    <w:rsid w:val="001F04C7"/>
    <w:rsid w:val="001F083B"/>
    <w:rsid w:val="001F0A3C"/>
    <w:rsid w:val="001F23A6"/>
    <w:rsid w:val="001F2EBF"/>
    <w:rsid w:val="001F373F"/>
    <w:rsid w:val="001F60F4"/>
    <w:rsid w:val="001F7448"/>
    <w:rsid w:val="002005CA"/>
    <w:rsid w:val="0020083C"/>
    <w:rsid w:val="002031BF"/>
    <w:rsid w:val="002036DD"/>
    <w:rsid w:val="002040BB"/>
    <w:rsid w:val="002054CB"/>
    <w:rsid w:val="00211337"/>
    <w:rsid w:val="0021163A"/>
    <w:rsid w:val="0021202B"/>
    <w:rsid w:val="00213C24"/>
    <w:rsid w:val="0021426A"/>
    <w:rsid w:val="00214413"/>
    <w:rsid w:val="0021458D"/>
    <w:rsid w:val="00214AE5"/>
    <w:rsid w:val="002160A8"/>
    <w:rsid w:val="002162A3"/>
    <w:rsid w:val="00217F61"/>
    <w:rsid w:val="00223030"/>
    <w:rsid w:val="002239AB"/>
    <w:rsid w:val="00224F0F"/>
    <w:rsid w:val="00225615"/>
    <w:rsid w:val="0022719E"/>
    <w:rsid w:val="00231984"/>
    <w:rsid w:val="00232B87"/>
    <w:rsid w:val="002339F0"/>
    <w:rsid w:val="00237289"/>
    <w:rsid w:val="00237D13"/>
    <w:rsid w:val="00241061"/>
    <w:rsid w:val="00244807"/>
    <w:rsid w:val="00246B67"/>
    <w:rsid w:val="00246FEA"/>
    <w:rsid w:val="00247BE3"/>
    <w:rsid w:val="0025085A"/>
    <w:rsid w:val="00250A27"/>
    <w:rsid w:val="00250F03"/>
    <w:rsid w:val="002512F8"/>
    <w:rsid w:val="0025457B"/>
    <w:rsid w:val="0025458A"/>
    <w:rsid w:val="0025500E"/>
    <w:rsid w:val="0025509B"/>
    <w:rsid w:val="002553DA"/>
    <w:rsid w:val="00255BAD"/>
    <w:rsid w:val="00257B3B"/>
    <w:rsid w:val="002637C0"/>
    <w:rsid w:val="0026482A"/>
    <w:rsid w:val="00266356"/>
    <w:rsid w:val="002668D4"/>
    <w:rsid w:val="00270E39"/>
    <w:rsid w:val="00272248"/>
    <w:rsid w:val="00273D63"/>
    <w:rsid w:val="002744DD"/>
    <w:rsid w:val="00274E8A"/>
    <w:rsid w:val="002761F4"/>
    <w:rsid w:val="002819CC"/>
    <w:rsid w:val="00283DB6"/>
    <w:rsid w:val="0028791A"/>
    <w:rsid w:val="002903DB"/>
    <w:rsid w:val="00290853"/>
    <w:rsid w:val="00290940"/>
    <w:rsid w:val="0029164A"/>
    <w:rsid w:val="002918AC"/>
    <w:rsid w:val="00291A48"/>
    <w:rsid w:val="00291AF4"/>
    <w:rsid w:val="00293215"/>
    <w:rsid w:val="00294045"/>
    <w:rsid w:val="00295345"/>
    <w:rsid w:val="002975AC"/>
    <w:rsid w:val="002A1E5B"/>
    <w:rsid w:val="002A41DA"/>
    <w:rsid w:val="002A42FF"/>
    <w:rsid w:val="002A6F37"/>
    <w:rsid w:val="002B03B2"/>
    <w:rsid w:val="002B3051"/>
    <w:rsid w:val="002B47A2"/>
    <w:rsid w:val="002B4D56"/>
    <w:rsid w:val="002B5C0B"/>
    <w:rsid w:val="002B6351"/>
    <w:rsid w:val="002B6933"/>
    <w:rsid w:val="002B784B"/>
    <w:rsid w:val="002C0946"/>
    <w:rsid w:val="002C2590"/>
    <w:rsid w:val="002C2C3F"/>
    <w:rsid w:val="002C50CA"/>
    <w:rsid w:val="002C602F"/>
    <w:rsid w:val="002C7307"/>
    <w:rsid w:val="002C7C2B"/>
    <w:rsid w:val="002D4F98"/>
    <w:rsid w:val="002D50D6"/>
    <w:rsid w:val="002D5DA0"/>
    <w:rsid w:val="002D77A9"/>
    <w:rsid w:val="002E011D"/>
    <w:rsid w:val="002E090D"/>
    <w:rsid w:val="002E0B47"/>
    <w:rsid w:val="002E0BB9"/>
    <w:rsid w:val="002E40BB"/>
    <w:rsid w:val="002E5FB3"/>
    <w:rsid w:val="002E6A3D"/>
    <w:rsid w:val="002E742C"/>
    <w:rsid w:val="002F120E"/>
    <w:rsid w:val="002F25B0"/>
    <w:rsid w:val="002F3C73"/>
    <w:rsid w:val="002F4472"/>
    <w:rsid w:val="002F5953"/>
    <w:rsid w:val="002F5EAC"/>
    <w:rsid w:val="002F61A6"/>
    <w:rsid w:val="002F6262"/>
    <w:rsid w:val="002F6EEF"/>
    <w:rsid w:val="002F72C0"/>
    <w:rsid w:val="003014C2"/>
    <w:rsid w:val="003028DB"/>
    <w:rsid w:val="00304F79"/>
    <w:rsid w:val="00307A0E"/>
    <w:rsid w:val="00310877"/>
    <w:rsid w:val="00312022"/>
    <w:rsid w:val="0031385F"/>
    <w:rsid w:val="0031483B"/>
    <w:rsid w:val="00314876"/>
    <w:rsid w:val="00317B29"/>
    <w:rsid w:val="003202C1"/>
    <w:rsid w:val="00326649"/>
    <w:rsid w:val="003268E2"/>
    <w:rsid w:val="00326D04"/>
    <w:rsid w:val="00326FFD"/>
    <w:rsid w:val="00331798"/>
    <w:rsid w:val="00331B78"/>
    <w:rsid w:val="00332AD8"/>
    <w:rsid w:val="003331A1"/>
    <w:rsid w:val="00335F59"/>
    <w:rsid w:val="00341757"/>
    <w:rsid w:val="003418C3"/>
    <w:rsid w:val="003435FA"/>
    <w:rsid w:val="003445A2"/>
    <w:rsid w:val="003478B4"/>
    <w:rsid w:val="00350D8D"/>
    <w:rsid w:val="00351AA0"/>
    <w:rsid w:val="00351B7F"/>
    <w:rsid w:val="00352F47"/>
    <w:rsid w:val="0035463A"/>
    <w:rsid w:val="00357A2C"/>
    <w:rsid w:val="003608F0"/>
    <w:rsid w:val="003620CD"/>
    <w:rsid w:val="00363F09"/>
    <w:rsid w:val="00364A83"/>
    <w:rsid w:val="00367957"/>
    <w:rsid w:val="00367A01"/>
    <w:rsid w:val="003705EF"/>
    <w:rsid w:val="003719EC"/>
    <w:rsid w:val="0037398A"/>
    <w:rsid w:val="003741FB"/>
    <w:rsid w:val="00376CEF"/>
    <w:rsid w:val="003773F8"/>
    <w:rsid w:val="00377E19"/>
    <w:rsid w:val="00381A75"/>
    <w:rsid w:val="0038389A"/>
    <w:rsid w:val="00383F46"/>
    <w:rsid w:val="00386F10"/>
    <w:rsid w:val="003900A2"/>
    <w:rsid w:val="003905CA"/>
    <w:rsid w:val="003906FF"/>
    <w:rsid w:val="00393529"/>
    <w:rsid w:val="003950EC"/>
    <w:rsid w:val="00397AA4"/>
    <w:rsid w:val="003A0426"/>
    <w:rsid w:val="003A09DC"/>
    <w:rsid w:val="003A0BA4"/>
    <w:rsid w:val="003A193D"/>
    <w:rsid w:val="003A1A94"/>
    <w:rsid w:val="003A657F"/>
    <w:rsid w:val="003A6F5B"/>
    <w:rsid w:val="003B05AB"/>
    <w:rsid w:val="003B0922"/>
    <w:rsid w:val="003B0E4C"/>
    <w:rsid w:val="003B1A4F"/>
    <w:rsid w:val="003B2313"/>
    <w:rsid w:val="003B2B5A"/>
    <w:rsid w:val="003B4005"/>
    <w:rsid w:val="003B465C"/>
    <w:rsid w:val="003B5F90"/>
    <w:rsid w:val="003B6D50"/>
    <w:rsid w:val="003C072D"/>
    <w:rsid w:val="003C2496"/>
    <w:rsid w:val="003C488C"/>
    <w:rsid w:val="003C691E"/>
    <w:rsid w:val="003D01AF"/>
    <w:rsid w:val="003D4908"/>
    <w:rsid w:val="003D7335"/>
    <w:rsid w:val="003E40B5"/>
    <w:rsid w:val="003E43FB"/>
    <w:rsid w:val="003E4A67"/>
    <w:rsid w:val="003E4DD8"/>
    <w:rsid w:val="003E6E62"/>
    <w:rsid w:val="003F1F82"/>
    <w:rsid w:val="003F2A27"/>
    <w:rsid w:val="003F43C8"/>
    <w:rsid w:val="003F5CC4"/>
    <w:rsid w:val="003F67DE"/>
    <w:rsid w:val="003F75A6"/>
    <w:rsid w:val="003F786B"/>
    <w:rsid w:val="004020E4"/>
    <w:rsid w:val="00403794"/>
    <w:rsid w:val="0040414A"/>
    <w:rsid w:val="00404DD8"/>
    <w:rsid w:val="00406BFE"/>
    <w:rsid w:val="004076BF"/>
    <w:rsid w:val="00411191"/>
    <w:rsid w:val="00411CF0"/>
    <w:rsid w:val="00411F72"/>
    <w:rsid w:val="0041285E"/>
    <w:rsid w:val="00412E8E"/>
    <w:rsid w:val="00413B6F"/>
    <w:rsid w:val="00414052"/>
    <w:rsid w:val="00415D76"/>
    <w:rsid w:val="00415F7B"/>
    <w:rsid w:val="00416FC9"/>
    <w:rsid w:val="00417538"/>
    <w:rsid w:val="004177B4"/>
    <w:rsid w:val="0041793F"/>
    <w:rsid w:val="00417E98"/>
    <w:rsid w:val="00420504"/>
    <w:rsid w:val="00423736"/>
    <w:rsid w:val="00424E6F"/>
    <w:rsid w:val="0042540D"/>
    <w:rsid w:val="004310C7"/>
    <w:rsid w:val="004331E9"/>
    <w:rsid w:val="00441E70"/>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3FD8"/>
    <w:rsid w:val="00464CD0"/>
    <w:rsid w:val="00466E6C"/>
    <w:rsid w:val="00467FEB"/>
    <w:rsid w:val="00472637"/>
    <w:rsid w:val="0047300C"/>
    <w:rsid w:val="0047336E"/>
    <w:rsid w:val="00474099"/>
    <w:rsid w:val="004751CD"/>
    <w:rsid w:val="00475B54"/>
    <w:rsid w:val="004763AC"/>
    <w:rsid w:val="00476508"/>
    <w:rsid w:val="004776B2"/>
    <w:rsid w:val="004800CF"/>
    <w:rsid w:val="004804CE"/>
    <w:rsid w:val="00480A79"/>
    <w:rsid w:val="004816F6"/>
    <w:rsid w:val="00481F9B"/>
    <w:rsid w:val="004821A5"/>
    <w:rsid w:val="00482B4C"/>
    <w:rsid w:val="00482F3D"/>
    <w:rsid w:val="0048376B"/>
    <w:rsid w:val="0048632C"/>
    <w:rsid w:val="00486A8A"/>
    <w:rsid w:val="004925F7"/>
    <w:rsid w:val="004940B7"/>
    <w:rsid w:val="0049673D"/>
    <w:rsid w:val="00496E04"/>
    <w:rsid w:val="004A1976"/>
    <w:rsid w:val="004A1F56"/>
    <w:rsid w:val="004A2074"/>
    <w:rsid w:val="004A21C7"/>
    <w:rsid w:val="004A2665"/>
    <w:rsid w:val="004A38D9"/>
    <w:rsid w:val="004A56AF"/>
    <w:rsid w:val="004A5933"/>
    <w:rsid w:val="004A6A93"/>
    <w:rsid w:val="004A6E2E"/>
    <w:rsid w:val="004B0198"/>
    <w:rsid w:val="004B3DE6"/>
    <w:rsid w:val="004B4036"/>
    <w:rsid w:val="004B550F"/>
    <w:rsid w:val="004B617C"/>
    <w:rsid w:val="004B7C13"/>
    <w:rsid w:val="004C164B"/>
    <w:rsid w:val="004C3E95"/>
    <w:rsid w:val="004C673C"/>
    <w:rsid w:val="004C6E14"/>
    <w:rsid w:val="004C7662"/>
    <w:rsid w:val="004D202D"/>
    <w:rsid w:val="004D3922"/>
    <w:rsid w:val="004D40E3"/>
    <w:rsid w:val="004D5BFB"/>
    <w:rsid w:val="004D6A71"/>
    <w:rsid w:val="004E0F6A"/>
    <w:rsid w:val="004E12FF"/>
    <w:rsid w:val="004E1E2E"/>
    <w:rsid w:val="004E4B60"/>
    <w:rsid w:val="004E607D"/>
    <w:rsid w:val="004E7040"/>
    <w:rsid w:val="004F14C5"/>
    <w:rsid w:val="004F3806"/>
    <w:rsid w:val="004F3D0D"/>
    <w:rsid w:val="004F6780"/>
    <w:rsid w:val="004F788C"/>
    <w:rsid w:val="004F7E19"/>
    <w:rsid w:val="00503618"/>
    <w:rsid w:val="00504DBF"/>
    <w:rsid w:val="00506F79"/>
    <w:rsid w:val="005134ED"/>
    <w:rsid w:val="00514C25"/>
    <w:rsid w:val="0051556C"/>
    <w:rsid w:val="005161C9"/>
    <w:rsid w:val="00516733"/>
    <w:rsid w:val="00520DCB"/>
    <w:rsid w:val="0052372C"/>
    <w:rsid w:val="00524879"/>
    <w:rsid w:val="0052503E"/>
    <w:rsid w:val="00526BBC"/>
    <w:rsid w:val="005303DD"/>
    <w:rsid w:val="005306CD"/>
    <w:rsid w:val="00530EBE"/>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383D"/>
    <w:rsid w:val="005538DD"/>
    <w:rsid w:val="00554CE1"/>
    <w:rsid w:val="005562DC"/>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354C"/>
    <w:rsid w:val="00593973"/>
    <w:rsid w:val="00593EB2"/>
    <w:rsid w:val="00594DEF"/>
    <w:rsid w:val="005A02DC"/>
    <w:rsid w:val="005A03DE"/>
    <w:rsid w:val="005A077D"/>
    <w:rsid w:val="005A0EAC"/>
    <w:rsid w:val="005A19BE"/>
    <w:rsid w:val="005A2C74"/>
    <w:rsid w:val="005A3232"/>
    <w:rsid w:val="005A518B"/>
    <w:rsid w:val="005A627E"/>
    <w:rsid w:val="005A7083"/>
    <w:rsid w:val="005A7608"/>
    <w:rsid w:val="005A7644"/>
    <w:rsid w:val="005B1022"/>
    <w:rsid w:val="005B1E9C"/>
    <w:rsid w:val="005B31E6"/>
    <w:rsid w:val="005B4B22"/>
    <w:rsid w:val="005B5C5C"/>
    <w:rsid w:val="005C066E"/>
    <w:rsid w:val="005C1641"/>
    <w:rsid w:val="005C1BC7"/>
    <w:rsid w:val="005C278A"/>
    <w:rsid w:val="005C32C9"/>
    <w:rsid w:val="005C3A56"/>
    <w:rsid w:val="005C3A67"/>
    <w:rsid w:val="005C5513"/>
    <w:rsid w:val="005C5DB9"/>
    <w:rsid w:val="005C5E85"/>
    <w:rsid w:val="005C6705"/>
    <w:rsid w:val="005C6B8A"/>
    <w:rsid w:val="005C7471"/>
    <w:rsid w:val="005D05F2"/>
    <w:rsid w:val="005D2257"/>
    <w:rsid w:val="005D2C19"/>
    <w:rsid w:val="005D4A0C"/>
    <w:rsid w:val="005D564D"/>
    <w:rsid w:val="005D64B0"/>
    <w:rsid w:val="005D6B61"/>
    <w:rsid w:val="005D6B8A"/>
    <w:rsid w:val="005E1228"/>
    <w:rsid w:val="005E1F9D"/>
    <w:rsid w:val="005E30CF"/>
    <w:rsid w:val="005E40D9"/>
    <w:rsid w:val="005E4159"/>
    <w:rsid w:val="005E4DF4"/>
    <w:rsid w:val="005E671A"/>
    <w:rsid w:val="005F22A7"/>
    <w:rsid w:val="005F3AA1"/>
    <w:rsid w:val="005F6A42"/>
    <w:rsid w:val="00600E72"/>
    <w:rsid w:val="0060231D"/>
    <w:rsid w:val="00604944"/>
    <w:rsid w:val="00605A33"/>
    <w:rsid w:val="0060679E"/>
    <w:rsid w:val="00606918"/>
    <w:rsid w:val="006107D6"/>
    <w:rsid w:val="0061090E"/>
    <w:rsid w:val="0061482E"/>
    <w:rsid w:val="00615FD8"/>
    <w:rsid w:val="00616477"/>
    <w:rsid w:val="00617D7A"/>
    <w:rsid w:val="00620CAE"/>
    <w:rsid w:val="00620EFF"/>
    <w:rsid w:val="006213D4"/>
    <w:rsid w:val="0062334B"/>
    <w:rsid w:val="006234D3"/>
    <w:rsid w:val="00624591"/>
    <w:rsid w:val="00625948"/>
    <w:rsid w:val="00625AC4"/>
    <w:rsid w:val="00626634"/>
    <w:rsid w:val="006316C2"/>
    <w:rsid w:val="00631D5F"/>
    <w:rsid w:val="00632290"/>
    <w:rsid w:val="006324A3"/>
    <w:rsid w:val="00633098"/>
    <w:rsid w:val="006337E8"/>
    <w:rsid w:val="0063777A"/>
    <w:rsid w:val="00640C60"/>
    <w:rsid w:val="00642ABF"/>
    <w:rsid w:val="00643E6C"/>
    <w:rsid w:val="0064591A"/>
    <w:rsid w:val="00653952"/>
    <w:rsid w:val="00653B95"/>
    <w:rsid w:val="00654274"/>
    <w:rsid w:val="0065692E"/>
    <w:rsid w:val="00662C4D"/>
    <w:rsid w:val="0066443C"/>
    <w:rsid w:val="00664540"/>
    <w:rsid w:val="0066504D"/>
    <w:rsid w:val="00666844"/>
    <w:rsid w:val="00667079"/>
    <w:rsid w:val="00670B6E"/>
    <w:rsid w:val="00671666"/>
    <w:rsid w:val="00672427"/>
    <w:rsid w:val="00672483"/>
    <w:rsid w:val="00672827"/>
    <w:rsid w:val="00672CAB"/>
    <w:rsid w:val="00676453"/>
    <w:rsid w:val="00676573"/>
    <w:rsid w:val="006769A6"/>
    <w:rsid w:val="00676B01"/>
    <w:rsid w:val="00682170"/>
    <w:rsid w:val="00685380"/>
    <w:rsid w:val="00685E09"/>
    <w:rsid w:val="0068655F"/>
    <w:rsid w:val="00687B8B"/>
    <w:rsid w:val="00693071"/>
    <w:rsid w:val="00693E2C"/>
    <w:rsid w:val="00694526"/>
    <w:rsid w:val="00694574"/>
    <w:rsid w:val="00696599"/>
    <w:rsid w:val="00696EF6"/>
    <w:rsid w:val="00697E73"/>
    <w:rsid w:val="006A20B2"/>
    <w:rsid w:val="006A26FB"/>
    <w:rsid w:val="006A3F8B"/>
    <w:rsid w:val="006A5B29"/>
    <w:rsid w:val="006A6D16"/>
    <w:rsid w:val="006A792B"/>
    <w:rsid w:val="006A7A10"/>
    <w:rsid w:val="006A7BBB"/>
    <w:rsid w:val="006B0031"/>
    <w:rsid w:val="006B01F8"/>
    <w:rsid w:val="006B1546"/>
    <w:rsid w:val="006B2095"/>
    <w:rsid w:val="006B232C"/>
    <w:rsid w:val="006B25C7"/>
    <w:rsid w:val="006B5FDC"/>
    <w:rsid w:val="006B76EE"/>
    <w:rsid w:val="006C1D18"/>
    <w:rsid w:val="006C1FD3"/>
    <w:rsid w:val="006C5BC8"/>
    <w:rsid w:val="006D03B1"/>
    <w:rsid w:val="006D263E"/>
    <w:rsid w:val="006D531B"/>
    <w:rsid w:val="006D5A81"/>
    <w:rsid w:val="006D6BB4"/>
    <w:rsid w:val="006D759A"/>
    <w:rsid w:val="006D7BDE"/>
    <w:rsid w:val="006E0FB6"/>
    <w:rsid w:val="006E2009"/>
    <w:rsid w:val="006E4CBA"/>
    <w:rsid w:val="006E6160"/>
    <w:rsid w:val="006E768C"/>
    <w:rsid w:val="006E78C3"/>
    <w:rsid w:val="006F28DA"/>
    <w:rsid w:val="006F29FB"/>
    <w:rsid w:val="006F3DD2"/>
    <w:rsid w:val="006F5778"/>
    <w:rsid w:val="006F62D0"/>
    <w:rsid w:val="006F6EB9"/>
    <w:rsid w:val="00700411"/>
    <w:rsid w:val="007052C3"/>
    <w:rsid w:val="00705BB4"/>
    <w:rsid w:val="00706CAC"/>
    <w:rsid w:val="00707D91"/>
    <w:rsid w:val="00710206"/>
    <w:rsid w:val="007103A6"/>
    <w:rsid w:val="00712406"/>
    <w:rsid w:val="00713888"/>
    <w:rsid w:val="00714715"/>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45B25"/>
    <w:rsid w:val="0075045D"/>
    <w:rsid w:val="00754101"/>
    <w:rsid w:val="0075490B"/>
    <w:rsid w:val="007558B7"/>
    <w:rsid w:val="00755E78"/>
    <w:rsid w:val="00757A53"/>
    <w:rsid w:val="00760A85"/>
    <w:rsid w:val="00760EF9"/>
    <w:rsid w:val="00762F8F"/>
    <w:rsid w:val="00763103"/>
    <w:rsid w:val="00763461"/>
    <w:rsid w:val="0076557F"/>
    <w:rsid w:val="00765AA8"/>
    <w:rsid w:val="007667AC"/>
    <w:rsid w:val="00767815"/>
    <w:rsid w:val="00770316"/>
    <w:rsid w:val="0077133D"/>
    <w:rsid w:val="00773B13"/>
    <w:rsid w:val="00774453"/>
    <w:rsid w:val="00775647"/>
    <w:rsid w:val="00776830"/>
    <w:rsid w:val="00776B8D"/>
    <w:rsid w:val="00776EE1"/>
    <w:rsid w:val="00781BCE"/>
    <w:rsid w:val="00783B51"/>
    <w:rsid w:val="00785F44"/>
    <w:rsid w:val="00787630"/>
    <w:rsid w:val="00791E20"/>
    <w:rsid w:val="00791E64"/>
    <w:rsid w:val="0079257F"/>
    <w:rsid w:val="0079317A"/>
    <w:rsid w:val="00795000"/>
    <w:rsid w:val="007951D8"/>
    <w:rsid w:val="00795A9E"/>
    <w:rsid w:val="0079616C"/>
    <w:rsid w:val="00797264"/>
    <w:rsid w:val="007A0D97"/>
    <w:rsid w:val="007A1337"/>
    <w:rsid w:val="007A424E"/>
    <w:rsid w:val="007A4634"/>
    <w:rsid w:val="007A4A08"/>
    <w:rsid w:val="007A4B92"/>
    <w:rsid w:val="007A51FA"/>
    <w:rsid w:val="007A584F"/>
    <w:rsid w:val="007A68A0"/>
    <w:rsid w:val="007A70F7"/>
    <w:rsid w:val="007A7D3A"/>
    <w:rsid w:val="007A7E67"/>
    <w:rsid w:val="007B1544"/>
    <w:rsid w:val="007B1F8F"/>
    <w:rsid w:val="007B25D4"/>
    <w:rsid w:val="007B39BF"/>
    <w:rsid w:val="007B3D22"/>
    <w:rsid w:val="007B47C2"/>
    <w:rsid w:val="007C05FF"/>
    <w:rsid w:val="007C0F2C"/>
    <w:rsid w:val="007C221B"/>
    <w:rsid w:val="007C231C"/>
    <w:rsid w:val="007C34AD"/>
    <w:rsid w:val="007C4848"/>
    <w:rsid w:val="007C49C6"/>
    <w:rsid w:val="007C5877"/>
    <w:rsid w:val="007C590D"/>
    <w:rsid w:val="007C5E55"/>
    <w:rsid w:val="007C6451"/>
    <w:rsid w:val="007D3AAC"/>
    <w:rsid w:val="007E2464"/>
    <w:rsid w:val="007E36FC"/>
    <w:rsid w:val="007E6314"/>
    <w:rsid w:val="007E7F9D"/>
    <w:rsid w:val="007F0A35"/>
    <w:rsid w:val="007F1F1C"/>
    <w:rsid w:val="007F3911"/>
    <w:rsid w:val="007F4741"/>
    <w:rsid w:val="007F55D7"/>
    <w:rsid w:val="007F5AEE"/>
    <w:rsid w:val="007F6D6B"/>
    <w:rsid w:val="0080017B"/>
    <w:rsid w:val="00803311"/>
    <w:rsid w:val="00803457"/>
    <w:rsid w:val="008034B4"/>
    <w:rsid w:val="00803645"/>
    <w:rsid w:val="00804094"/>
    <w:rsid w:val="00804959"/>
    <w:rsid w:val="00804B8C"/>
    <w:rsid w:val="00811310"/>
    <w:rsid w:val="0081654C"/>
    <w:rsid w:val="00816572"/>
    <w:rsid w:val="0081704B"/>
    <w:rsid w:val="008212A7"/>
    <w:rsid w:val="008221C8"/>
    <w:rsid w:val="0082231A"/>
    <w:rsid w:val="008243FF"/>
    <w:rsid w:val="00830DCA"/>
    <w:rsid w:val="00831A72"/>
    <w:rsid w:val="00832B1D"/>
    <w:rsid w:val="00833325"/>
    <w:rsid w:val="00833D7A"/>
    <w:rsid w:val="00834B1C"/>
    <w:rsid w:val="0083519C"/>
    <w:rsid w:val="008367F4"/>
    <w:rsid w:val="008373D3"/>
    <w:rsid w:val="0084066D"/>
    <w:rsid w:val="00842544"/>
    <w:rsid w:val="008431E8"/>
    <w:rsid w:val="00843444"/>
    <w:rsid w:val="00843AB5"/>
    <w:rsid w:val="00844460"/>
    <w:rsid w:val="00844660"/>
    <w:rsid w:val="00846518"/>
    <w:rsid w:val="008468A3"/>
    <w:rsid w:val="00850449"/>
    <w:rsid w:val="00852127"/>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76518"/>
    <w:rsid w:val="00876F0A"/>
    <w:rsid w:val="00880012"/>
    <w:rsid w:val="00882419"/>
    <w:rsid w:val="0088273C"/>
    <w:rsid w:val="00883F1E"/>
    <w:rsid w:val="00884A65"/>
    <w:rsid w:val="00886FCE"/>
    <w:rsid w:val="00887353"/>
    <w:rsid w:val="0089266F"/>
    <w:rsid w:val="00892CEB"/>
    <w:rsid w:val="00892DC2"/>
    <w:rsid w:val="0089323C"/>
    <w:rsid w:val="00893CD2"/>
    <w:rsid w:val="008A17E9"/>
    <w:rsid w:val="008A60A4"/>
    <w:rsid w:val="008A6C8A"/>
    <w:rsid w:val="008B2279"/>
    <w:rsid w:val="008B27BF"/>
    <w:rsid w:val="008B50AE"/>
    <w:rsid w:val="008B53EA"/>
    <w:rsid w:val="008B55F4"/>
    <w:rsid w:val="008B5BBC"/>
    <w:rsid w:val="008C0244"/>
    <w:rsid w:val="008C06F7"/>
    <w:rsid w:val="008C28CD"/>
    <w:rsid w:val="008C41B8"/>
    <w:rsid w:val="008C5946"/>
    <w:rsid w:val="008C68D2"/>
    <w:rsid w:val="008C7033"/>
    <w:rsid w:val="008C716F"/>
    <w:rsid w:val="008D1A25"/>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403C"/>
    <w:rsid w:val="008E4101"/>
    <w:rsid w:val="008E4715"/>
    <w:rsid w:val="008F0F03"/>
    <w:rsid w:val="008F11A3"/>
    <w:rsid w:val="008F1895"/>
    <w:rsid w:val="008F240C"/>
    <w:rsid w:val="008F245F"/>
    <w:rsid w:val="008F5CF2"/>
    <w:rsid w:val="008F62DB"/>
    <w:rsid w:val="008F643F"/>
    <w:rsid w:val="00901B63"/>
    <w:rsid w:val="00902EBE"/>
    <w:rsid w:val="00903206"/>
    <w:rsid w:val="009063BF"/>
    <w:rsid w:val="00907E6F"/>
    <w:rsid w:val="00910FB5"/>
    <w:rsid w:val="0091172F"/>
    <w:rsid w:val="009122A7"/>
    <w:rsid w:val="00913388"/>
    <w:rsid w:val="009146B5"/>
    <w:rsid w:val="00916055"/>
    <w:rsid w:val="0091656C"/>
    <w:rsid w:val="009179FA"/>
    <w:rsid w:val="0092093A"/>
    <w:rsid w:val="00920AFE"/>
    <w:rsid w:val="009212E2"/>
    <w:rsid w:val="00921F54"/>
    <w:rsid w:val="00922913"/>
    <w:rsid w:val="00923486"/>
    <w:rsid w:val="0092388C"/>
    <w:rsid w:val="009254BE"/>
    <w:rsid w:val="00925B34"/>
    <w:rsid w:val="00930905"/>
    <w:rsid w:val="009321E2"/>
    <w:rsid w:val="009343C2"/>
    <w:rsid w:val="00935F6C"/>
    <w:rsid w:val="00941288"/>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4D71"/>
    <w:rsid w:val="009667F8"/>
    <w:rsid w:val="00966DE0"/>
    <w:rsid w:val="00967D62"/>
    <w:rsid w:val="00970D16"/>
    <w:rsid w:val="00975D40"/>
    <w:rsid w:val="00976CDB"/>
    <w:rsid w:val="00982F82"/>
    <w:rsid w:val="009848C9"/>
    <w:rsid w:val="009849CF"/>
    <w:rsid w:val="009855F0"/>
    <w:rsid w:val="00985B4B"/>
    <w:rsid w:val="00986F46"/>
    <w:rsid w:val="009879C2"/>
    <w:rsid w:val="00987CF4"/>
    <w:rsid w:val="00991790"/>
    <w:rsid w:val="0099370A"/>
    <w:rsid w:val="009950B3"/>
    <w:rsid w:val="00995D97"/>
    <w:rsid w:val="00996AEB"/>
    <w:rsid w:val="009B09FE"/>
    <w:rsid w:val="009B2854"/>
    <w:rsid w:val="009B2F21"/>
    <w:rsid w:val="009B49A0"/>
    <w:rsid w:val="009B517A"/>
    <w:rsid w:val="009B774A"/>
    <w:rsid w:val="009C0BE4"/>
    <w:rsid w:val="009C17F0"/>
    <w:rsid w:val="009C4A7C"/>
    <w:rsid w:val="009C5DAF"/>
    <w:rsid w:val="009C6731"/>
    <w:rsid w:val="009C680C"/>
    <w:rsid w:val="009C68C6"/>
    <w:rsid w:val="009C69D5"/>
    <w:rsid w:val="009C72DF"/>
    <w:rsid w:val="009D008F"/>
    <w:rsid w:val="009D0AD7"/>
    <w:rsid w:val="009D2B33"/>
    <w:rsid w:val="009D45E8"/>
    <w:rsid w:val="009D482E"/>
    <w:rsid w:val="009D54A8"/>
    <w:rsid w:val="009D593E"/>
    <w:rsid w:val="009D5CF1"/>
    <w:rsid w:val="009E0E18"/>
    <w:rsid w:val="009E39D6"/>
    <w:rsid w:val="009E4529"/>
    <w:rsid w:val="009E465E"/>
    <w:rsid w:val="009E5842"/>
    <w:rsid w:val="009F01B0"/>
    <w:rsid w:val="009F066C"/>
    <w:rsid w:val="009F0A4C"/>
    <w:rsid w:val="009F1E12"/>
    <w:rsid w:val="009F1F3A"/>
    <w:rsid w:val="009F3D84"/>
    <w:rsid w:val="009F41FE"/>
    <w:rsid w:val="009F5244"/>
    <w:rsid w:val="009F5B27"/>
    <w:rsid w:val="009F5CAD"/>
    <w:rsid w:val="009F641D"/>
    <w:rsid w:val="009F65C9"/>
    <w:rsid w:val="009F6AC7"/>
    <w:rsid w:val="00A07D34"/>
    <w:rsid w:val="00A10BB0"/>
    <w:rsid w:val="00A13034"/>
    <w:rsid w:val="00A1339D"/>
    <w:rsid w:val="00A13445"/>
    <w:rsid w:val="00A13CB9"/>
    <w:rsid w:val="00A15252"/>
    <w:rsid w:val="00A17D77"/>
    <w:rsid w:val="00A2036F"/>
    <w:rsid w:val="00A208FB"/>
    <w:rsid w:val="00A2178F"/>
    <w:rsid w:val="00A21DDA"/>
    <w:rsid w:val="00A22F12"/>
    <w:rsid w:val="00A23073"/>
    <w:rsid w:val="00A231FE"/>
    <w:rsid w:val="00A2356A"/>
    <w:rsid w:val="00A24920"/>
    <w:rsid w:val="00A24A9C"/>
    <w:rsid w:val="00A25A59"/>
    <w:rsid w:val="00A2650C"/>
    <w:rsid w:val="00A26E8E"/>
    <w:rsid w:val="00A310E9"/>
    <w:rsid w:val="00A3143D"/>
    <w:rsid w:val="00A354B5"/>
    <w:rsid w:val="00A36030"/>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30D"/>
    <w:rsid w:val="00A713CA"/>
    <w:rsid w:val="00A7205F"/>
    <w:rsid w:val="00A720FA"/>
    <w:rsid w:val="00A7341A"/>
    <w:rsid w:val="00A739AB"/>
    <w:rsid w:val="00A74356"/>
    <w:rsid w:val="00A75FB6"/>
    <w:rsid w:val="00A81A75"/>
    <w:rsid w:val="00A820BD"/>
    <w:rsid w:val="00A82EC4"/>
    <w:rsid w:val="00A8540A"/>
    <w:rsid w:val="00A8706A"/>
    <w:rsid w:val="00A877FE"/>
    <w:rsid w:val="00A90A9D"/>
    <w:rsid w:val="00A9391C"/>
    <w:rsid w:val="00A94CC5"/>
    <w:rsid w:val="00A960A0"/>
    <w:rsid w:val="00A965D6"/>
    <w:rsid w:val="00AA0527"/>
    <w:rsid w:val="00AA170E"/>
    <w:rsid w:val="00AA2CC8"/>
    <w:rsid w:val="00AA3C68"/>
    <w:rsid w:val="00AA4269"/>
    <w:rsid w:val="00AA4363"/>
    <w:rsid w:val="00AA559A"/>
    <w:rsid w:val="00AA5CA7"/>
    <w:rsid w:val="00AB1ED1"/>
    <w:rsid w:val="00AB1FD4"/>
    <w:rsid w:val="00AB319D"/>
    <w:rsid w:val="00AB3339"/>
    <w:rsid w:val="00AB3A31"/>
    <w:rsid w:val="00AB656C"/>
    <w:rsid w:val="00AB6AEB"/>
    <w:rsid w:val="00AB7722"/>
    <w:rsid w:val="00AC0A3E"/>
    <w:rsid w:val="00AC4230"/>
    <w:rsid w:val="00AC624B"/>
    <w:rsid w:val="00AD02C1"/>
    <w:rsid w:val="00AD1E01"/>
    <w:rsid w:val="00AD32CE"/>
    <w:rsid w:val="00AD4674"/>
    <w:rsid w:val="00AD4F07"/>
    <w:rsid w:val="00AD584F"/>
    <w:rsid w:val="00AE1F4F"/>
    <w:rsid w:val="00AE3049"/>
    <w:rsid w:val="00AE38F5"/>
    <w:rsid w:val="00AE4B54"/>
    <w:rsid w:val="00AE4C26"/>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16DD"/>
    <w:rsid w:val="00B127DA"/>
    <w:rsid w:val="00B1425E"/>
    <w:rsid w:val="00B15430"/>
    <w:rsid w:val="00B22FD6"/>
    <w:rsid w:val="00B244D4"/>
    <w:rsid w:val="00B25F1D"/>
    <w:rsid w:val="00B26712"/>
    <w:rsid w:val="00B2782A"/>
    <w:rsid w:val="00B27926"/>
    <w:rsid w:val="00B31594"/>
    <w:rsid w:val="00B324F4"/>
    <w:rsid w:val="00B32DD2"/>
    <w:rsid w:val="00B336D8"/>
    <w:rsid w:val="00B34BFA"/>
    <w:rsid w:val="00B356A4"/>
    <w:rsid w:val="00B411EC"/>
    <w:rsid w:val="00B41C0A"/>
    <w:rsid w:val="00B428A4"/>
    <w:rsid w:val="00B429CA"/>
    <w:rsid w:val="00B45EDD"/>
    <w:rsid w:val="00B45F3D"/>
    <w:rsid w:val="00B471E0"/>
    <w:rsid w:val="00B50F81"/>
    <w:rsid w:val="00B5360F"/>
    <w:rsid w:val="00B537A2"/>
    <w:rsid w:val="00B53979"/>
    <w:rsid w:val="00B54EA7"/>
    <w:rsid w:val="00B57455"/>
    <w:rsid w:val="00B61944"/>
    <w:rsid w:val="00B61F69"/>
    <w:rsid w:val="00B6216C"/>
    <w:rsid w:val="00B65B75"/>
    <w:rsid w:val="00B66262"/>
    <w:rsid w:val="00B70B33"/>
    <w:rsid w:val="00B74628"/>
    <w:rsid w:val="00B760A2"/>
    <w:rsid w:val="00B77651"/>
    <w:rsid w:val="00B80C47"/>
    <w:rsid w:val="00B81322"/>
    <w:rsid w:val="00B83EC9"/>
    <w:rsid w:val="00B857B3"/>
    <w:rsid w:val="00B862CD"/>
    <w:rsid w:val="00B86487"/>
    <w:rsid w:val="00B87192"/>
    <w:rsid w:val="00B92E1A"/>
    <w:rsid w:val="00B94951"/>
    <w:rsid w:val="00B95081"/>
    <w:rsid w:val="00B95D33"/>
    <w:rsid w:val="00B96B6E"/>
    <w:rsid w:val="00B96C4A"/>
    <w:rsid w:val="00B96CA3"/>
    <w:rsid w:val="00B97591"/>
    <w:rsid w:val="00BA006C"/>
    <w:rsid w:val="00BA158C"/>
    <w:rsid w:val="00BA20B0"/>
    <w:rsid w:val="00BA2905"/>
    <w:rsid w:val="00BA3159"/>
    <w:rsid w:val="00BA372F"/>
    <w:rsid w:val="00BA5488"/>
    <w:rsid w:val="00BA5CA2"/>
    <w:rsid w:val="00BA6305"/>
    <w:rsid w:val="00BA7940"/>
    <w:rsid w:val="00BB285A"/>
    <w:rsid w:val="00BB302C"/>
    <w:rsid w:val="00BC0B52"/>
    <w:rsid w:val="00BC0D9F"/>
    <w:rsid w:val="00BC10F5"/>
    <w:rsid w:val="00BC2EC0"/>
    <w:rsid w:val="00BC4D7B"/>
    <w:rsid w:val="00BC52AE"/>
    <w:rsid w:val="00BC605E"/>
    <w:rsid w:val="00BC6786"/>
    <w:rsid w:val="00BC7009"/>
    <w:rsid w:val="00BC7743"/>
    <w:rsid w:val="00BD0B17"/>
    <w:rsid w:val="00BD1AD6"/>
    <w:rsid w:val="00BD1DB2"/>
    <w:rsid w:val="00BD3E66"/>
    <w:rsid w:val="00BD41A8"/>
    <w:rsid w:val="00BD4CED"/>
    <w:rsid w:val="00BD58B8"/>
    <w:rsid w:val="00BD696A"/>
    <w:rsid w:val="00BD6CDF"/>
    <w:rsid w:val="00BE01B3"/>
    <w:rsid w:val="00BE072E"/>
    <w:rsid w:val="00BE13F2"/>
    <w:rsid w:val="00BE1B08"/>
    <w:rsid w:val="00BE2B40"/>
    <w:rsid w:val="00BE3D54"/>
    <w:rsid w:val="00BE70E1"/>
    <w:rsid w:val="00BF0939"/>
    <w:rsid w:val="00BF0C10"/>
    <w:rsid w:val="00BF1719"/>
    <w:rsid w:val="00BF29D7"/>
    <w:rsid w:val="00BF3998"/>
    <w:rsid w:val="00BF4049"/>
    <w:rsid w:val="00BF482E"/>
    <w:rsid w:val="00BF48DB"/>
    <w:rsid w:val="00BF4B8B"/>
    <w:rsid w:val="00BF5486"/>
    <w:rsid w:val="00BF6FE8"/>
    <w:rsid w:val="00BF7C57"/>
    <w:rsid w:val="00C01EB4"/>
    <w:rsid w:val="00C03731"/>
    <w:rsid w:val="00C03839"/>
    <w:rsid w:val="00C048B3"/>
    <w:rsid w:val="00C06955"/>
    <w:rsid w:val="00C11016"/>
    <w:rsid w:val="00C112B7"/>
    <w:rsid w:val="00C13B05"/>
    <w:rsid w:val="00C1447B"/>
    <w:rsid w:val="00C17CB6"/>
    <w:rsid w:val="00C221FB"/>
    <w:rsid w:val="00C23CCC"/>
    <w:rsid w:val="00C24859"/>
    <w:rsid w:val="00C25CDA"/>
    <w:rsid w:val="00C301CF"/>
    <w:rsid w:val="00C309F0"/>
    <w:rsid w:val="00C30CED"/>
    <w:rsid w:val="00C31183"/>
    <w:rsid w:val="00C31C0D"/>
    <w:rsid w:val="00C3238E"/>
    <w:rsid w:val="00C33847"/>
    <w:rsid w:val="00C340E9"/>
    <w:rsid w:val="00C34365"/>
    <w:rsid w:val="00C345C2"/>
    <w:rsid w:val="00C364D8"/>
    <w:rsid w:val="00C378BC"/>
    <w:rsid w:val="00C37DDF"/>
    <w:rsid w:val="00C40C5E"/>
    <w:rsid w:val="00C40D08"/>
    <w:rsid w:val="00C411E2"/>
    <w:rsid w:val="00C41BA9"/>
    <w:rsid w:val="00C41FEE"/>
    <w:rsid w:val="00C42121"/>
    <w:rsid w:val="00C451CB"/>
    <w:rsid w:val="00C45FB0"/>
    <w:rsid w:val="00C46F8F"/>
    <w:rsid w:val="00C513BE"/>
    <w:rsid w:val="00C5264C"/>
    <w:rsid w:val="00C53695"/>
    <w:rsid w:val="00C54FEB"/>
    <w:rsid w:val="00C55762"/>
    <w:rsid w:val="00C562FD"/>
    <w:rsid w:val="00C57261"/>
    <w:rsid w:val="00C57732"/>
    <w:rsid w:val="00C60214"/>
    <w:rsid w:val="00C602CC"/>
    <w:rsid w:val="00C62163"/>
    <w:rsid w:val="00C622F9"/>
    <w:rsid w:val="00C63403"/>
    <w:rsid w:val="00C6402C"/>
    <w:rsid w:val="00C64EA4"/>
    <w:rsid w:val="00C65610"/>
    <w:rsid w:val="00C7220E"/>
    <w:rsid w:val="00C758FD"/>
    <w:rsid w:val="00C762E2"/>
    <w:rsid w:val="00C776F9"/>
    <w:rsid w:val="00C77DF4"/>
    <w:rsid w:val="00C80DE4"/>
    <w:rsid w:val="00C8314D"/>
    <w:rsid w:val="00C832CB"/>
    <w:rsid w:val="00C84C2B"/>
    <w:rsid w:val="00C85CD7"/>
    <w:rsid w:val="00C85EE2"/>
    <w:rsid w:val="00C879A4"/>
    <w:rsid w:val="00C87AEC"/>
    <w:rsid w:val="00C92FD7"/>
    <w:rsid w:val="00C93F04"/>
    <w:rsid w:val="00C94CAC"/>
    <w:rsid w:val="00C9721C"/>
    <w:rsid w:val="00C979E0"/>
    <w:rsid w:val="00CA11EE"/>
    <w:rsid w:val="00CA212A"/>
    <w:rsid w:val="00CA2964"/>
    <w:rsid w:val="00CA2CEA"/>
    <w:rsid w:val="00CA41C9"/>
    <w:rsid w:val="00CA636D"/>
    <w:rsid w:val="00CA6985"/>
    <w:rsid w:val="00CA6C73"/>
    <w:rsid w:val="00CA7791"/>
    <w:rsid w:val="00CA7F67"/>
    <w:rsid w:val="00CB15EC"/>
    <w:rsid w:val="00CB2CD5"/>
    <w:rsid w:val="00CB483C"/>
    <w:rsid w:val="00CB5545"/>
    <w:rsid w:val="00CB5F57"/>
    <w:rsid w:val="00CB6605"/>
    <w:rsid w:val="00CB7A72"/>
    <w:rsid w:val="00CC0D14"/>
    <w:rsid w:val="00CC3E80"/>
    <w:rsid w:val="00CC49D6"/>
    <w:rsid w:val="00CC5FD9"/>
    <w:rsid w:val="00CC7F63"/>
    <w:rsid w:val="00CD39F8"/>
    <w:rsid w:val="00CD5672"/>
    <w:rsid w:val="00CD7C93"/>
    <w:rsid w:val="00CE0B01"/>
    <w:rsid w:val="00CE133F"/>
    <w:rsid w:val="00CE2B81"/>
    <w:rsid w:val="00CE5F5C"/>
    <w:rsid w:val="00CE7BB7"/>
    <w:rsid w:val="00CF04D1"/>
    <w:rsid w:val="00CF16AE"/>
    <w:rsid w:val="00CF4589"/>
    <w:rsid w:val="00CF465D"/>
    <w:rsid w:val="00CF60BA"/>
    <w:rsid w:val="00CF6E4E"/>
    <w:rsid w:val="00CF7601"/>
    <w:rsid w:val="00CF7C34"/>
    <w:rsid w:val="00D013B9"/>
    <w:rsid w:val="00D03946"/>
    <w:rsid w:val="00D03E58"/>
    <w:rsid w:val="00D048D2"/>
    <w:rsid w:val="00D0513F"/>
    <w:rsid w:val="00D06790"/>
    <w:rsid w:val="00D10407"/>
    <w:rsid w:val="00D10D0B"/>
    <w:rsid w:val="00D12DA3"/>
    <w:rsid w:val="00D142B6"/>
    <w:rsid w:val="00D152FB"/>
    <w:rsid w:val="00D20F65"/>
    <w:rsid w:val="00D215ED"/>
    <w:rsid w:val="00D24CBA"/>
    <w:rsid w:val="00D257EB"/>
    <w:rsid w:val="00D26C8A"/>
    <w:rsid w:val="00D30434"/>
    <w:rsid w:val="00D312C9"/>
    <w:rsid w:val="00D31A61"/>
    <w:rsid w:val="00D323CD"/>
    <w:rsid w:val="00D32A64"/>
    <w:rsid w:val="00D33C6F"/>
    <w:rsid w:val="00D3445B"/>
    <w:rsid w:val="00D3461A"/>
    <w:rsid w:val="00D34CD2"/>
    <w:rsid w:val="00D35AF6"/>
    <w:rsid w:val="00D361DC"/>
    <w:rsid w:val="00D364D3"/>
    <w:rsid w:val="00D40651"/>
    <w:rsid w:val="00D4125D"/>
    <w:rsid w:val="00D43C39"/>
    <w:rsid w:val="00D47B77"/>
    <w:rsid w:val="00D506B1"/>
    <w:rsid w:val="00D50C0B"/>
    <w:rsid w:val="00D51380"/>
    <w:rsid w:val="00D519F7"/>
    <w:rsid w:val="00D51DE2"/>
    <w:rsid w:val="00D551F2"/>
    <w:rsid w:val="00D61A7B"/>
    <w:rsid w:val="00D714BA"/>
    <w:rsid w:val="00D7505B"/>
    <w:rsid w:val="00D75260"/>
    <w:rsid w:val="00D75B70"/>
    <w:rsid w:val="00D804C5"/>
    <w:rsid w:val="00D820D1"/>
    <w:rsid w:val="00D82401"/>
    <w:rsid w:val="00D82AE2"/>
    <w:rsid w:val="00D84EAF"/>
    <w:rsid w:val="00D850A4"/>
    <w:rsid w:val="00D8532F"/>
    <w:rsid w:val="00D856AD"/>
    <w:rsid w:val="00D85715"/>
    <w:rsid w:val="00D867B8"/>
    <w:rsid w:val="00D90152"/>
    <w:rsid w:val="00D92306"/>
    <w:rsid w:val="00D934BA"/>
    <w:rsid w:val="00D93950"/>
    <w:rsid w:val="00D94EBF"/>
    <w:rsid w:val="00D96230"/>
    <w:rsid w:val="00D96853"/>
    <w:rsid w:val="00D96FCD"/>
    <w:rsid w:val="00D978F5"/>
    <w:rsid w:val="00D978FE"/>
    <w:rsid w:val="00DA20D6"/>
    <w:rsid w:val="00DA2B2B"/>
    <w:rsid w:val="00DA30DA"/>
    <w:rsid w:val="00DA77B4"/>
    <w:rsid w:val="00DA7BE4"/>
    <w:rsid w:val="00DB16B2"/>
    <w:rsid w:val="00DB2BB1"/>
    <w:rsid w:val="00DB3938"/>
    <w:rsid w:val="00DB6BB3"/>
    <w:rsid w:val="00DB7AA7"/>
    <w:rsid w:val="00DC03E0"/>
    <w:rsid w:val="00DC11F3"/>
    <w:rsid w:val="00DC145E"/>
    <w:rsid w:val="00DC1EE5"/>
    <w:rsid w:val="00DC332F"/>
    <w:rsid w:val="00DC4DFE"/>
    <w:rsid w:val="00DC5E40"/>
    <w:rsid w:val="00DC69F0"/>
    <w:rsid w:val="00DC7BFF"/>
    <w:rsid w:val="00DD07FE"/>
    <w:rsid w:val="00DD162F"/>
    <w:rsid w:val="00DD347D"/>
    <w:rsid w:val="00DD3F5F"/>
    <w:rsid w:val="00DD54C6"/>
    <w:rsid w:val="00DD75B2"/>
    <w:rsid w:val="00DE135C"/>
    <w:rsid w:val="00DE1B77"/>
    <w:rsid w:val="00DE26C4"/>
    <w:rsid w:val="00DE3025"/>
    <w:rsid w:val="00DE3B74"/>
    <w:rsid w:val="00DE463E"/>
    <w:rsid w:val="00DE5411"/>
    <w:rsid w:val="00DE56CB"/>
    <w:rsid w:val="00DE7C0F"/>
    <w:rsid w:val="00DF03FB"/>
    <w:rsid w:val="00DF44D5"/>
    <w:rsid w:val="00DF4AB3"/>
    <w:rsid w:val="00DF5003"/>
    <w:rsid w:val="00DF5249"/>
    <w:rsid w:val="00DF5932"/>
    <w:rsid w:val="00E01C08"/>
    <w:rsid w:val="00E0216E"/>
    <w:rsid w:val="00E03CCB"/>
    <w:rsid w:val="00E0777F"/>
    <w:rsid w:val="00E10EA9"/>
    <w:rsid w:val="00E110EE"/>
    <w:rsid w:val="00E1136E"/>
    <w:rsid w:val="00E1182B"/>
    <w:rsid w:val="00E167E0"/>
    <w:rsid w:val="00E16A35"/>
    <w:rsid w:val="00E16D38"/>
    <w:rsid w:val="00E216EA"/>
    <w:rsid w:val="00E21B4B"/>
    <w:rsid w:val="00E25793"/>
    <w:rsid w:val="00E27C4D"/>
    <w:rsid w:val="00E27F1F"/>
    <w:rsid w:val="00E30761"/>
    <w:rsid w:val="00E316B0"/>
    <w:rsid w:val="00E32FB6"/>
    <w:rsid w:val="00E33A6E"/>
    <w:rsid w:val="00E33CDF"/>
    <w:rsid w:val="00E34D42"/>
    <w:rsid w:val="00E35E8A"/>
    <w:rsid w:val="00E3681A"/>
    <w:rsid w:val="00E379F0"/>
    <w:rsid w:val="00E37D81"/>
    <w:rsid w:val="00E401A6"/>
    <w:rsid w:val="00E41673"/>
    <w:rsid w:val="00E43562"/>
    <w:rsid w:val="00E457D2"/>
    <w:rsid w:val="00E45F84"/>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3BC5"/>
    <w:rsid w:val="00E86C41"/>
    <w:rsid w:val="00E87358"/>
    <w:rsid w:val="00E87BDA"/>
    <w:rsid w:val="00E91DF4"/>
    <w:rsid w:val="00E938DF"/>
    <w:rsid w:val="00E949E7"/>
    <w:rsid w:val="00E96C77"/>
    <w:rsid w:val="00E973B3"/>
    <w:rsid w:val="00EA1844"/>
    <w:rsid w:val="00EA246E"/>
    <w:rsid w:val="00EA2658"/>
    <w:rsid w:val="00EA4AC5"/>
    <w:rsid w:val="00EA5091"/>
    <w:rsid w:val="00EA709C"/>
    <w:rsid w:val="00EB0611"/>
    <w:rsid w:val="00EB0F52"/>
    <w:rsid w:val="00EB16CB"/>
    <w:rsid w:val="00EB1899"/>
    <w:rsid w:val="00EB2E4A"/>
    <w:rsid w:val="00EB31FA"/>
    <w:rsid w:val="00EB3208"/>
    <w:rsid w:val="00EB7D72"/>
    <w:rsid w:val="00EC0598"/>
    <w:rsid w:val="00EC0869"/>
    <w:rsid w:val="00EC44B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1609"/>
    <w:rsid w:val="00F1205C"/>
    <w:rsid w:val="00F13091"/>
    <w:rsid w:val="00F20565"/>
    <w:rsid w:val="00F20699"/>
    <w:rsid w:val="00F20B34"/>
    <w:rsid w:val="00F215C8"/>
    <w:rsid w:val="00F21A92"/>
    <w:rsid w:val="00F22FDF"/>
    <w:rsid w:val="00F24AFB"/>
    <w:rsid w:val="00F25C7B"/>
    <w:rsid w:val="00F26A32"/>
    <w:rsid w:val="00F30399"/>
    <w:rsid w:val="00F326C8"/>
    <w:rsid w:val="00F328BF"/>
    <w:rsid w:val="00F350CF"/>
    <w:rsid w:val="00F350F6"/>
    <w:rsid w:val="00F42718"/>
    <w:rsid w:val="00F4276E"/>
    <w:rsid w:val="00F432AB"/>
    <w:rsid w:val="00F43A06"/>
    <w:rsid w:val="00F43ABF"/>
    <w:rsid w:val="00F44355"/>
    <w:rsid w:val="00F4465A"/>
    <w:rsid w:val="00F458C8"/>
    <w:rsid w:val="00F45C61"/>
    <w:rsid w:val="00F463E3"/>
    <w:rsid w:val="00F47AD8"/>
    <w:rsid w:val="00F52A24"/>
    <w:rsid w:val="00F535A5"/>
    <w:rsid w:val="00F5649E"/>
    <w:rsid w:val="00F57B67"/>
    <w:rsid w:val="00F6047E"/>
    <w:rsid w:val="00F615D1"/>
    <w:rsid w:val="00F62C42"/>
    <w:rsid w:val="00F63024"/>
    <w:rsid w:val="00F645B6"/>
    <w:rsid w:val="00F70A0E"/>
    <w:rsid w:val="00F70A6B"/>
    <w:rsid w:val="00F71637"/>
    <w:rsid w:val="00F71E34"/>
    <w:rsid w:val="00F72CE7"/>
    <w:rsid w:val="00F755C7"/>
    <w:rsid w:val="00F8036A"/>
    <w:rsid w:val="00F81A9F"/>
    <w:rsid w:val="00F83581"/>
    <w:rsid w:val="00F8549E"/>
    <w:rsid w:val="00F855FA"/>
    <w:rsid w:val="00F85AF0"/>
    <w:rsid w:val="00F85BE4"/>
    <w:rsid w:val="00F862B1"/>
    <w:rsid w:val="00F8643F"/>
    <w:rsid w:val="00F8736F"/>
    <w:rsid w:val="00F87FD6"/>
    <w:rsid w:val="00F951E3"/>
    <w:rsid w:val="00F974FF"/>
    <w:rsid w:val="00FA0234"/>
    <w:rsid w:val="00FA0692"/>
    <w:rsid w:val="00FA1797"/>
    <w:rsid w:val="00FA1C8C"/>
    <w:rsid w:val="00FA2563"/>
    <w:rsid w:val="00FA3C12"/>
    <w:rsid w:val="00FA3EA3"/>
    <w:rsid w:val="00FA5D27"/>
    <w:rsid w:val="00FA6CFA"/>
    <w:rsid w:val="00FB0A94"/>
    <w:rsid w:val="00FB1C5D"/>
    <w:rsid w:val="00FB4613"/>
    <w:rsid w:val="00FB4C81"/>
    <w:rsid w:val="00FB6841"/>
    <w:rsid w:val="00FC1724"/>
    <w:rsid w:val="00FC6855"/>
    <w:rsid w:val="00FC73D9"/>
    <w:rsid w:val="00FC7A5E"/>
    <w:rsid w:val="00FD1F87"/>
    <w:rsid w:val="00FD33E2"/>
    <w:rsid w:val="00FD35D0"/>
    <w:rsid w:val="00FD681B"/>
    <w:rsid w:val="00FD7331"/>
    <w:rsid w:val="00FE0E03"/>
    <w:rsid w:val="00FE2085"/>
    <w:rsid w:val="00FE3414"/>
    <w:rsid w:val="00FE3673"/>
    <w:rsid w:val="00FE49DD"/>
    <w:rsid w:val="00FF049C"/>
    <w:rsid w:val="00FF1471"/>
    <w:rsid w:val="00FF19DC"/>
    <w:rsid w:val="00FF2863"/>
    <w:rsid w:val="00FF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A7BC30A5-1CD8-4007-8EB5-E1E4EC2B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926"/>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3B2313"/>
    <w:rPr>
      <w:rFonts w:ascii="Segoe UI" w:hAnsi="Segoe UI" w:cs="Segoe UI"/>
      <w:sz w:val="18"/>
      <w:szCs w:val="18"/>
    </w:rPr>
  </w:style>
  <w:style w:type="character" w:customStyle="1" w:styleId="BalloonTextChar">
    <w:name w:val="Balloon Text Char"/>
    <w:basedOn w:val="DefaultParagraphFont"/>
    <w:link w:val="BalloonText"/>
    <w:semiHidden/>
    <w:rsid w:val="003B2313"/>
    <w:rPr>
      <w:rFonts w:ascii="Segoe UI" w:hAnsi="Segoe UI" w:cs="Segoe UI"/>
      <w:sz w:val="18"/>
      <w:szCs w:val="18"/>
    </w:rPr>
  </w:style>
  <w:style w:type="character" w:styleId="FootnoteReference">
    <w:name w:val="footnote reference"/>
    <w:basedOn w:val="DefaultParagraphFont"/>
    <w:semiHidden/>
    <w:unhideWhenUsed/>
    <w:rsid w:val="003B2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42024">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3204-BD01-42C2-B4E4-5EFF36D3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7712</Words>
  <Characters>4396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vt:lpstr>
    </vt:vector>
  </TitlesOfParts>
  <Company>Izglītības un zinātnes ministrija, Sporta departaments</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dc:title>
  <dc:subject>Sākotnējās ietekmes novērtējuma ziņojums (anotācija)</dc:subject>
  <dc:creator>Edgars Severs</dc:creator>
  <dc:description>Izglītības un zinātnes ministrijas valsts sekretāra vietnieks – Sporta departamenta direktors E.Severs_x000d_
67047935, edgars.severs@izm.gov.lv</dc:description>
  <cp:lastModifiedBy>Kaspars Karolis</cp:lastModifiedBy>
  <cp:revision>20</cp:revision>
  <cp:lastPrinted>2015-02-06T09:47:00Z</cp:lastPrinted>
  <dcterms:created xsi:type="dcterms:W3CDTF">2015-02-05T12:06:00Z</dcterms:created>
  <dcterms:modified xsi:type="dcterms:W3CDTF">2015-02-12T09:31:00Z</dcterms:modified>
</cp:coreProperties>
</file>