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BD" w:rsidRPr="00611589" w:rsidRDefault="008F32BD" w:rsidP="0017538A">
      <w:pPr>
        <w:spacing w:after="0" w:line="240" w:lineRule="auto"/>
        <w:jc w:val="center"/>
        <w:rPr>
          <w:rFonts w:ascii="Times New Roman" w:hAnsi="Times New Roman" w:cs="Times New Roman"/>
          <w:b/>
          <w:color w:val="000000" w:themeColor="text1"/>
          <w:sz w:val="36"/>
          <w:szCs w:val="36"/>
        </w:rPr>
      </w:pPr>
      <w:r w:rsidRPr="00611589">
        <w:rPr>
          <w:rFonts w:ascii="Times New Roman" w:hAnsi="Times New Roman" w:cs="Times New Roman"/>
          <w:b/>
          <w:noProof/>
          <w:color w:val="000000" w:themeColor="text1"/>
          <w:sz w:val="36"/>
          <w:szCs w:val="36"/>
          <w:lang w:eastAsia="lv-LV"/>
        </w:rPr>
        <w:drawing>
          <wp:inline distT="0" distB="0" distL="0" distR="0" wp14:anchorId="393A26A8" wp14:editId="06E9DA1E">
            <wp:extent cx="1319841" cy="15081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AB_LOGO_bw_3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1919" cy="1510545"/>
                    </a:xfrm>
                    <a:prstGeom prst="rect">
                      <a:avLst/>
                    </a:prstGeom>
                  </pic:spPr>
                </pic:pic>
              </a:graphicData>
            </a:graphic>
          </wp:inline>
        </w:drawing>
      </w:r>
    </w:p>
    <w:p w:rsidR="008F32BD" w:rsidRPr="00611589" w:rsidRDefault="008F32BD" w:rsidP="0017538A">
      <w:pPr>
        <w:spacing w:after="0" w:line="240" w:lineRule="auto"/>
        <w:jc w:val="center"/>
        <w:rPr>
          <w:rFonts w:ascii="Times New Roman" w:hAnsi="Times New Roman" w:cs="Times New Roman"/>
          <w:b/>
          <w:color w:val="000000" w:themeColor="text1"/>
          <w:sz w:val="36"/>
          <w:szCs w:val="36"/>
        </w:rPr>
      </w:pPr>
    </w:p>
    <w:p w:rsidR="008F32BD" w:rsidRPr="00611589" w:rsidRDefault="008F32BD" w:rsidP="0017538A">
      <w:pPr>
        <w:spacing w:after="0" w:line="240" w:lineRule="auto"/>
        <w:jc w:val="center"/>
        <w:rPr>
          <w:rFonts w:ascii="Times New Roman" w:hAnsi="Times New Roman" w:cs="Times New Roman"/>
          <w:b/>
          <w:sz w:val="36"/>
          <w:szCs w:val="36"/>
        </w:rPr>
      </w:pPr>
    </w:p>
    <w:p w:rsidR="008F32BD" w:rsidRPr="00611589" w:rsidRDefault="008F32BD" w:rsidP="0017538A">
      <w:pPr>
        <w:spacing w:after="0" w:line="240" w:lineRule="auto"/>
        <w:jc w:val="center"/>
        <w:rPr>
          <w:rFonts w:ascii="Times New Roman" w:hAnsi="Times New Roman" w:cs="Times New Roman"/>
          <w:b/>
          <w:sz w:val="36"/>
          <w:szCs w:val="36"/>
        </w:rPr>
      </w:pPr>
    </w:p>
    <w:p w:rsidR="008F32BD" w:rsidRPr="00611589" w:rsidRDefault="008F32BD" w:rsidP="0017538A">
      <w:pPr>
        <w:spacing w:after="0" w:line="240" w:lineRule="auto"/>
        <w:jc w:val="center"/>
        <w:rPr>
          <w:rFonts w:ascii="Times New Roman" w:hAnsi="Times New Roman" w:cs="Times New Roman"/>
          <w:b/>
          <w:sz w:val="36"/>
          <w:szCs w:val="36"/>
        </w:rPr>
      </w:pPr>
    </w:p>
    <w:p w:rsidR="008F32BD" w:rsidRPr="00611589" w:rsidRDefault="008F32BD" w:rsidP="0017538A">
      <w:pPr>
        <w:spacing w:after="0" w:line="240" w:lineRule="auto"/>
        <w:jc w:val="center"/>
        <w:rPr>
          <w:rFonts w:ascii="Times New Roman" w:hAnsi="Times New Roman" w:cs="Times New Roman"/>
          <w:b/>
          <w:sz w:val="36"/>
          <w:szCs w:val="36"/>
        </w:rPr>
      </w:pPr>
    </w:p>
    <w:p w:rsidR="008F32BD" w:rsidRPr="00611589" w:rsidRDefault="008F32BD" w:rsidP="0017538A">
      <w:pPr>
        <w:spacing w:after="0" w:line="240" w:lineRule="auto"/>
        <w:jc w:val="center"/>
        <w:rPr>
          <w:rFonts w:ascii="Times New Roman" w:hAnsi="Times New Roman" w:cs="Times New Roman"/>
          <w:b/>
          <w:sz w:val="36"/>
          <w:szCs w:val="36"/>
        </w:rPr>
      </w:pPr>
    </w:p>
    <w:p w:rsidR="008F32BD" w:rsidRPr="00611589" w:rsidRDefault="008F32BD" w:rsidP="0017538A">
      <w:pPr>
        <w:spacing w:after="0" w:line="240" w:lineRule="auto"/>
        <w:jc w:val="center"/>
        <w:rPr>
          <w:rFonts w:ascii="Times New Roman" w:hAnsi="Times New Roman" w:cs="Times New Roman"/>
          <w:b/>
          <w:sz w:val="36"/>
          <w:szCs w:val="36"/>
        </w:rPr>
      </w:pPr>
    </w:p>
    <w:p w:rsidR="008F32BD" w:rsidRPr="00611589" w:rsidRDefault="008F32BD" w:rsidP="008F32BD">
      <w:pPr>
        <w:spacing w:after="0" w:line="240" w:lineRule="auto"/>
        <w:jc w:val="center"/>
        <w:rPr>
          <w:rFonts w:ascii="Times New Roman" w:hAnsi="Times New Roman" w:cs="Times New Roman"/>
          <w:b/>
          <w:sz w:val="36"/>
          <w:szCs w:val="36"/>
        </w:rPr>
      </w:pPr>
    </w:p>
    <w:p w:rsidR="008F32BD" w:rsidRPr="00611589" w:rsidRDefault="008F32BD" w:rsidP="008F32BD">
      <w:pPr>
        <w:spacing w:after="0" w:line="240" w:lineRule="auto"/>
        <w:jc w:val="center"/>
        <w:rPr>
          <w:rFonts w:ascii="Times New Roman" w:hAnsi="Times New Roman" w:cs="Times New Roman"/>
          <w:b/>
          <w:sz w:val="36"/>
          <w:szCs w:val="36"/>
        </w:rPr>
      </w:pPr>
      <w:r w:rsidRPr="00611589">
        <w:rPr>
          <w:rFonts w:ascii="Times New Roman" w:hAnsi="Times New Roman" w:cs="Times New Roman"/>
          <w:b/>
          <w:sz w:val="36"/>
          <w:szCs w:val="36"/>
        </w:rPr>
        <w:t>Informatīvais ziņojums</w:t>
      </w:r>
    </w:p>
    <w:p w:rsidR="008F32BD" w:rsidRPr="00611589" w:rsidRDefault="008F32BD" w:rsidP="008F32BD">
      <w:pPr>
        <w:spacing w:after="0" w:line="240" w:lineRule="auto"/>
        <w:jc w:val="center"/>
        <w:rPr>
          <w:rFonts w:ascii="Times New Roman" w:hAnsi="Times New Roman" w:cs="Times New Roman"/>
          <w:b/>
          <w:sz w:val="36"/>
          <w:szCs w:val="36"/>
        </w:rPr>
      </w:pPr>
    </w:p>
    <w:p w:rsidR="008F32BD" w:rsidRPr="00611589" w:rsidRDefault="008F32BD" w:rsidP="008F32BD">
      <w:pPr>
        <w:pStyle w:val="Default"/>
        <w:jc w:val="center"/>
        <w:rPr>
          <w:color w:val="auto"/>
          <w:sz w:val="36"/>
          <w:szCs w:val="36"/>
        </w:rPr>
      </w:pPr>
    </w:p>
    <w:p w:rsidR="008F32BD" w:rsidRPr="00611589" w:rsidRDefault="008F32BD" w:rsidP="008F32BD">
      <w:pPr>
        <w:spacing w:after="0" w:line="240" w:lineRule="auto"/>
        <w:jc w:val="center"/>
        <w:rPr>
          <w:rFonts w:ascii="Times New Roman" w:hAnsi="Times New Roman" w:cs="Times New Roman"/>
          <w:b/>
          <w:sz w:val="36"/>
          <w:szCs w:val="36"/>
        </w:rPr>
      </w:pPr>
      <w:r w:rsidRPr="00611589">
        <w:rPr>
          <w:rFonts w:ascii="Times New Roman" w:hAnsi="Times New Roman" w:cs="Times New Roman"/>
          <w:b/>
          <w:sz w:val="36"/>
          <w:szCs w:val="36"/>
        </w:rPr>
        <w:t>«Par Korupcijas novēršanas un apkarošanas biroja</w:t>
      </w:r>
    </w:p>
    <w:p w:rsidR="008F32BD" w:rsidRPr="00611589" w:rsidRDefault="008F32BD" w:rsidP="008F32BD">
      <w:pPr>
        <w:spacing w:after="0" w:line="240" w:lineRule="auto"/>
        <w:jc w:val="center"/>
        <w:rPr>
          <w:rFonts w:ascii="Times New Roman" w:hAnsi="Times New Roman" w:cs="Times New Roman"/>
          <w:b/>
          <w:sz w:val="36"/>
          <w:szCs w:val="36"/>
        </w:rPr>
      </w:pPr>
    </w:p>
    <w:p w:rsidR="008F32BD" w:rsidRPr="00611589" w:rsidRDefault="00254D0E" w:rsidP="008F32BD">
      <w:pPr>
        <w:spacing w:after="0" w:line="240" w:lineRule="auto"/>
        <w:jc w:val="center"/>
        <w:rPr>
          <w:rFonts w:ascii="Times New Roman" w:hAnsi="Times New Roman" w:cs="Times New Roman"/>
          <w:b/>
          <w:sz w:val="32"/>
          <w:szCs w:val="32"/>
        </w:rPr>
      </w:pPr>
      <w:r w:rsidRPr="00611589">
        <w:rPr>
          <w:rFonts w:ascii="Times New Roman" w:hAnsi="Times New Roman" w:cs="Times New Roman"/>
          <w:b/>
          <w:sz w:val="36"/>
          <w:szCs w:val="36"/>
        </w:rPr>
        <w:t>darbību no 201</w:t>
      </w:r>
      <w:r w:rsidR="00652C89" w:rsidRPr="00611589">
        <w:rPr>
          <w:rFonts w:ascii="Times New Roman" w:hAnsi="Times New Roman" w:cs="Times New Roman"/>
          <w:b/>
          <w:sz w:val="36"/>
          <w:szCs w:val="36"/>
        </w:rPr>
        <w:t>4</w:t>
      </w:r>
      <w:r w:rsidRPr="00611589">
        <w:rPr>
          <w:rFonts w:ascii="Times New Roman" w:hAnsi="Times New Roman" w:cs="Times New Roman"/>
          <w:b/>
          <w:sz w:val="36"/>
          <w:szCs w:val="36"/>
        </w:rPr>
        <w:t>.gada 1.j</w:t>
      </w:r>
      <w:r w:rsidR="001C08BB" w:rsidRPr="00611589">
        <w:rPr>
          <w:rFonts w:ascii="Times New Roman" w:hAnsi="Times New Roman" w:cs="Times New Roman"/>
          <w:b/>
          <w:sz w:val="36"/>
          <w:szCs w:val="36"/>
        </w:rPr>
        <w:t>ūlija līdz 31.decembrim</w:t>
      </w:r>
      <w:r w:rsidR="008F32BD" w:rsidRPr="00611589">
        <w:rPr>
          <w:rFonts w:ascii="Times New Roman" w:hAnsi="Times New Roman" w:cs="Times New Roman"/>
          <w:b/>
          <w:sz w:val="36"/>
          <w:szCs w:val="36"/>
        </w:rPr>
        <w:t>»</w:t>
      </w:r>
    </w:p>
    <w:p w:rsidR="008F32BD" w:rsidRPr="00611589" w:rsidRDefault="008F32BD" w:rsidP="008F32BD">
      <w:pPr>
        <w:spacing w:after="0" w:line="240" w:lineRule="auto"/>
        <w:rPr>
          <w:rFonts w:ascii="Times New Roman" w:hAnsi="Times New Roman" w:cs="Times New Roman"/>
          <w:b/>
          <w:sz w:val="32"/>
          <w:szCs w:val="32"/>
        </w:rPr>
      </w:pPr>
      <w:r w:rsidRPr="00611589">
        <w:rPr>
          <w:rFonts w:ascii="Times New Roman" w:hAnsi="Times New Roman" w:cs="Times New Roman"/>
          <w:b/>
          <w:sz w:val="32"/>
          <w:szCs w:val="32"/>
        </w:rPr>
        <w:br w:type="page"/>
      </w:r>
    </w:p>
    <w:p w:rsidR="006A4302" w:rsidRPr="00611589" w:rsidRDefault="008F32BD" w:rsidP="006A4302">
      <w:pPr>
        <w:pStyle w:val="Default"/>
        <w:jc w:val="center"/>
        <w:rPr>
          <w:b/>
          <w:color w:val="auto"/>
          <w:sz w:val="32"/>
          <w:szCs w:val="32"/>
        </w:rPr>
      </w:pPr>
      <w:r w:rsidRPr="00611589">
        <w:rPr>
          <w:b/>
          <w:color w:val="auto"/>
          <w:sz w:val="32"/>
          <w:szCs w:val="32"/>
        </w:rPr>
        <w:lastRenderedPageBreak/>
        <w:t>Ievads</w:t>
      </w:r>
    </w:p>
    <w:p w:rsidR="0082587B" w:rsidRDefault="008F32BD" w:rsidP="006A4302">
      <w:pPr>
        <w:pStyle w:val="Default"/>
        <w:ind w:firstLine="720"/>
        <w:jc w:val="both"/>
        <w:rPr>
          <w:color w:val="auto"/>
          <w:sz w:val="28"/>
          <w:szCs w:val="28"/>
        </w:rPr>
      </w:pPr>
      <w:r w:rsidRPr="00611589">
        <w:rPr>
          <w:color w:val="auto"/>
          <w:sz w:val="28"/>
          <w:szCs w:val="28"/>
        </w:rPr>
        <w:t xml:space="preserve">Informatīvais ziņojums par Korupcijas novēršanas un apkarošanas biroja (turpmāk – Birojs) darbību </w:t>
      </w:r>
      <w:r w:rsidRPr="00611589">
        <w:rPr>
          <w:b/>
          <w:bCs/>
          <w:color w:val="auto"/>
          <w:sz w:val="28"/>
          <w:szCs w:val="28"/>
        </w:rPr>
        <w:t>no 201</w:t>
      </w:r>
      <w:r w:rsidR="00652C89" w:rsidRPr="00611589">
        <w:rPr>
          <w:b/>
          <w:bCs/>
          <w:color w:val="auto"/>
          <w:sz w:val="28"/>
          <w:szCs w:val="28"/>
        </w:rPr>
        <w:t>4</w:t>
      </w:r>
      <w:r w:rsidRPr="00611589">
        <w:rPr>
          <w:b/>
          <w:bCs/>
          <w:color w:val="auto"/>
          <w:sz w:val="28"/>
          <w:szCs w:val="28"/>
        </w:rPr>
        <w:t xml:space="preserve">.gada </w:t>
      </w:r>
      <w:r w:rsidR="00412BC7" w:rsidRPr="00611589">
        <w:rPr>
          <w:b/>
          <w:bCs/>
          <w:color w:val="auto"/>
          <w:sz w:val="28"/>
          <w:szCs w:val="28"/>
        </w:rPr>
        <w:t>1.</w:t>
      </w:r>
      <w:r w:rsidR="001C08BB" w:rsidRPr="00611589">
        <w:rPr>
          <w:b/>
          <w:bCs/>
          <w:color w:val="auto"/>
          <w:sz w:val="28"/>
          <w:szCs w:val="28"/>
        </w:rPr>
        <w:t>jūlija</w:t>
      </w:r>
      <w:r w:rsidRPr="00611589">
        <w:rPr>
          <w:b/>
          <w:bCs/>
          <w:color w:val="auto"/>
          <w:sz w:val="28"/>
          <w:szCs w:val="28"/>
        </w:rPr>
        <w:t xml:space="preserve">līdz </w:t>
      </w:r>
      <w:r w:rsidR="001C08BB" w:rsidRPr="00611589">
        <w:rPr>
          <w:b/>
          <w:bCs/>
          <w:color w:val="auto"/>
          <w:sz w:val="28"/>
          <w:szCs w:val="28"/>
        </w:rPr>
        <w:t>31</w:t>
      </w:r>
      <w:r w:rsidR="00254D0E" w:rsidRPr="00611589">
        <w:rPr>
          <w:b/>
          <w:bCs/>
          <w:color w:val="auto"/>
          <w:sz w:val="28"/>
          <w:szCs w:val="28"/>
        </w:rPr>
        <w:t>.</w:t>
      </w:r>
      <w:r w:rsidR="001C08BB" w:rsidRPr="00611589">
        <w:rPr>
          <w:b/>
          <w:bCs/>
          <w:color w:val="auto"/>
          <w:sz w:val="28"/>
          <w:szCs w:val="28"/>
        </w:rPr>
        <w:t>decembrim</w:t>
      </w:r>
      <w:r w:rsidR="003022CD" w:rsidRPr="00611589">
        <w:rPr>
          <w:b/>
          <w:bCs/>
          <w:color w:val="auto"/>
          <w:sz w:val="28"/>
          <w:szCs w:val="28"/>
        </w:rPr>
        <w:t xml:space="preserve"> </w:t>
      </w:r>
      <w:r w:rsidRPr="00611589">
        <w:rPr>
          <w:color w:val="auto"/>
          <w:sz w:val="28"/>
          <w:szCs w:val="28"/>
        </w:rPr>
        <w:t>sagatavots iesniegšanai</w:t>
      </w:r>
      <w:r w:rsidR="008B4A69" w:rsidRPr="00611589">
        <w:rPr>
          <w:color w:val="auto"/>
          <w:sz w:val="28"/>
          <w:szCs w:val="28"/>
        </w:rPr>
        <w:t xml:space="preserve"> </w:t>
      </w:r>
      <w:r w:rsidRPr="00611589">
        <w:rPr>
          <w:color w:val="auto"/>
          <w:sz w:val="28"/>
          <w:szCs w:val="28"/>
        </w:rPr>
        <w:t>Ministru kabinetā un Saeimā saskaņā ar Korupcijas novēršanas un apkarošanas biroja likuma 4.panta trešās daļas 14.punktu.</w:t>
      </w:r>
      <w:r w:rsidR="00F758F0" w:rsidRPr="00611589">
        <w:rPr>
          <w:color w:val="auto"/>
          <w:sz w:val="28"/>
          <w:szCs w:val="28"/>
        </w:rPr>
        <w:t xml:space="preserve"> </w:t>
      </w:r>
    </w:p>
    <w:p w:rsidR="0082587B" w:rsidRDefault="0082587B" w:rsidP="006A4302">
      <w:pPr>
        <w:pStyle w:val="Default"/>
        <w:ind w:firstLine="720"/>
        <w:jc w:val="both"/>
        <w:rPr>
          <w:color w:val="auto"/>
          <w:sz w:val="28"/>
          <w:szCs w:val="28"/>
        </w:rPr>
      </w:pPr>
      <w:r w:rsidRPr="00611589">
        <w:rPr>
          <w:sz w:val="28"/>
          <w:szCs w:val="28"/>
        </w:rPr>
        <w:t xml:space="preserve">Biroja lietvedībā pārskata periodā </w:t>
      </w:r>
      <w:r w:rsidRPr="00611589">
        <w:rPr>
          <w:b/>
          <w:sz w:val="28"/>
          <w:szCs w:val="28"/>
        </w:rPr>
        <w:t xml:space="preserve">saņemts </w:t>
      </w:r>
      <w:r w:rsidRPr="00611589">
        <w:rPr>
          <w:sz w:val="28"/>
          <w:szCs w:val="28"/>
        </w:rPr>
        <w:t xml:space="preserve">301 iesniegums no </w:t>
      </w:r>
      <w:r w:rsidRPr="00611589">
        <w:rPr>
          <w:b/>
          <w:sz w:val="28"/>
          <w:szCs w:val="28"/>
        </w:rPr>
        <w:t xml:space="preserve">fiziskām personām </w:t>
      </w:r>
      <w:r w:rsidRPr="00611589">
        <w:rPr>
          <w:sz w:val="28"/>
          <w:szCs w:val="28"/>
        </w:rPr>
        <w:t xml:space="preserve">(2014.gadā kopumā – </w:t>
      </w:r>
      <w:r w:rsidRPr="00611589">
        <w:rPr>
          <w:b/>
          <w:sz w:val="28"/>
          <w:szCs w:val="28"/>
        </w:rPr>
        <w:t>956 iesniegumi</w:t>
      </w:r>
      <w:r w:rsidRPr="00611589">
        <w:rPr>
          <w:sz w:val="28"/>
          <w:szCs w:val="28"/>
        </w:rPr>
        <w:t xml:space="preserve">), kā arī 111 iesniegumi </w:t>
      </w:r>
      <w:r w:rsidRPr="00611589">
        <w:rPr>
          <w:b/>
          <w:sz w:val="28"/>
          <w:szCs w:val="28"/>
        </w:rPr>
        <w:t>no juridiskām personām</w:t>
      </w:r>
      <w:r w:rsidRPr="00611589">
        <w:rPr>
          <w:sz w:val="28"/>
          <w:szCs w:val="28"/>
        </w:rPr>
        <w:t xml:space="preserve"> (2014.gadā kopumā – </w:t>
      </w:r>
      <w:r w:rsidRPr="00611589">
        <w:rPr>
          <w:b/>
          <w:sz w:val="28"/>
          <w:szCs w:val="28"/>
        </w:rPr>
        <w:t>208 iesniegumi</w:t>
      </w:r>
      <w:r w:rsidRPr="00611589">
        <w:rPr>
          <w:sz w:val="28"/>
          <w:szCs w:val="28"/>
        </w:rPr>
        <w:t>). Birojā saņemto iesniegumu un zvanu skaits, kā arī pieņemto apmeklētāju skaits atspoguļots 1.attēlā.</w:t>
      </w:r>
    </w:p>
    <w:p w:rsidR="008F32BD" w:rsidRPr="00611589" w:rsidRDefault="00F758F0" w:rsidP="0082587B">
      <w:pPr>
        <w:pStyle w:val="Default"/>
        <w:ind w:firstLine="567"/>
        <w:jc w:val="both"/>
        <w:rPr>
          <w:color w:val="auto"/>
          <w:sz w:val="28"/>
          <w:szCs w:val="28"/>
        </w:rPr>
      </w:pPr>
      <w:r w:rsidRPr="00611589">
        <w:rPr>
          <w:color w:val="auto"/>
          <w:sz w:val="28"/>
          <w:szCs w:val="28"/>
        </w:rPr>
        <w:t xml:space="preserve">2014.gada otrajā pusgadā Biroja Ziņojumu centrā ir pieņemti un uzklausīti 36 apmeklētāji, pa bezmaksas uzticības tālruni (80002070) informācija saņemta 1213 reizes, </w:t>
      </w:r>
      <w:r w:rsidR="00535EA4" w:rsidRPr="00611589">
        <w:rPr>
          <w:color w:val="auto"/>
          <w:sz w:val="28"/>
          <w:szCs w:val="28"/>
        </w:rPr>
        <w:t>bet</w:t>
      </w:r>
      <w:r w:rsidR="003022CD" w:rsidRPr="00611589">
        <w:rPr>
          <w:color w:val="auto"/>
          <w:sz w:val="28"/>
          <w:szCs w:val="28"/>
        </w:rPr>
        <w:t xml:space="preserve"> </w:t>
      </w:r>
      <w:r w:rsidRPr="00611589">
        <w:rPr>
          <w:b/>
          <w:color w:val="auto"/>
          <w:sz w:val="28"/>
          <w:szCs w:val="28"/>
        </w:rPr>
        <w:t>2014.gadā kopumā pieņemtas 106 personas</w:t>
      </w:r>
      <w:r w:rsidR="008B4A69" w:rsidRPr="00611589">
        <w:rPr>
          <w:b/>
          <w:color w:val="auto"/>
          <w:sz w:val="28"/>
          <w:szCs w:val="28"/>
        </w:rPr>
        <w:t xml:space="preserve"> </w:t>
      </w:r>
      <w:r w:rsidRPr="00611589">
        <w:rPr>
          <w:b/>
          <w:color w:val="auto"/>
          <w:sz w:val="28"/>
          <w:szCs w:val="28"/>
        </w:rPr>
        <w:t xml:space="preserve">un </w:t>
      </w:r>
      <w:r w:rsidR="00535EA4" w:rsidRPr="00611589">
        <w:rPr>
          <w:b/>
          <w:color w:val="auto"/>
          <w:sz w:val="28"/>
          <w:szCs w:val="28"/>
        </w:rPr>
        <w:t>saņemts 1941 </w:t>
      </w:r>
      <w:r w:rsidRPr="00611589">
        <w:rPr>
          <w:b/>
          <w:color w:val="auto"/>
          <w:sz w:val="28"/>
          <w:szCs w:val="28"/>
        </w:rPr>
        <w:t>zv</w:t>
      </w:r>
      <w:r w:rsidR="00535EA4" w:rsidRPr="00611589">
        <w:rPr>
          <w:b/>
          <w:color w:val="auto"/>
          <w:sz w:val="28"/>
          <w:szCs w:val="28"/>
        </w:rPr>
        <w:t>ans</w:t>
      </w:r>
      <w:r w:rsidRPr="00611589">
        <w:rPr>
          <w:b/>
          <w:color w:val="auto"/>
          <w:sz w:val="28"/>
          <w:szCs w:val="28"/>
        </w:rPr>
        <w:t xml:space="preserve"> uz uzticības tālruni</w:t>
      </w:r>
      <w:r w:rsidRPr="00611589">
        <w:rPr>
          <w:color w:val="auto"/>
          <w:sz w:val="28"/>
          <w:szCs w:val="28"/>
        </w:rPr>
        <w:t xml:space="preserve">, kas ir par </w:t>
      </w:r>
      <w:r w:rsidR="0082587B">
        <w:rPr>
          <w:color w:val="auto"/>
          <w:sz w:val="28"/>
          <w:szCs w:val="28"/>
        </w:rPr>
        <w:t>5%</w:t>
      </w:r>
      <w:r w:rsidRPr="00611589">
        <w:rPr>
          <w:color w:val="auto"/>
          <w:sz w:val="28"/>
          <w:szCs w:val="28"/>
        </w:rPr>
        <w:t xml:space="preserve"> vairāk nekā 2013.gadā.</w:t>
      </w:r>
      <w:r w:rsidR="00CB58D2">
        <w:rPr>
          <w:color w:val="auto"/>
          <w:sz w:val="28"/>
          <w:szCs w:val="28"/>
        </w:rPr>
        <w:t xml:space="preserve"> </w:t>
      </w:r>
      <w:r w:rsidR="00DA1DCA" w:rsidRPr="00611589">
        <w:rPr>
          <w:color w:val="auto"/>
          <w:sz w:val="28"/>
          <w:szCs w:val="28"/>
        </w:rPr>
        <w:t>Viens no iemesliem ar ko skaidrojama zvanu skaita palielināšanās uz  informatīvo tālruni ir saistīts</w:t>
      </w:r>
      <w:r w:rsidR="00275C29" w:rsidRPr="00611589">
        <w:rPr>
          <w:color w:val="auto"/>
          <w:sz w:val="28"/>
          <w:szCs w:val="28"/>
        </w:rPr>
        <w:t xml:space="preserve"> ar 2014.gadā notikušajām </w:t>
      </w:r>
      <w:r w:rsidR="00535EA4" w:rsidRPr="00611589">
        <w:rPr>
          <w:color w:val="auto"/>
          <w:sz w:val="28"/>
          <w:szCs w:val="28"/>
        </w:rPr>
        <w:t xml:space="preserve">Eiropas Parlamenta un Saeimas </w:t>
      </w:r>
      <w:r w:rsidR="00275C29" w:rsidRPr="00611589">
        <w:rPr>
          <w:color w:val="auto"/>
          <w:sz w:val="28"/>
          <w:szCs w:val="28"/>
        </w:rPr>
        <w:t>vēlēšanām</w:t>
      </w:r>
      <w:r w:rsidR="00DA1DCA" w:rsidRPr="00611589">
        <w:rPr>
          <w:color w:val="auto"/>
          <w:sz w:val="28"/>
          <w:szCs w:val="28"/>
        </w:rPr>
        <w:t>. Daļēji tas skaidrojams arī ar to, ka ir samazinājies apmeklētāju skaits</w:t>
      </w:r>
      <w:r w:rsidR="007F01CD" w:rsidRPr="00611589">
        <w:rPr>
          <w:color w:val="auto"/>
          <w:sz w:val="28"/>
          <w:szCs w:val="28"/>
        </w:rPr>
        <w:t>, jo cilvēki izvēlas sazināties telefoniski vai elektroniski.</w:t>
      </w:r>
    </w:p>
    <w:p w:rsidR="00113355" w:rsidRPr="00611589" w:rsidRDefault="00113355" w:rsidP="00275C29">
      <w:pPr>
        <w:pStyle w:val="NormalWeb"/>
        <w:spacing w:before="0" w:beforeAutospacing="0" w:after="0" w:afterAutospacing="0"/>
        <w:ind w:firstLine="720"/>
        <w:jc w:val="both"/>
        <w:rPr>
          <w:sz w:val="28"/>
          <w:szCs w:val="28"/>
          <w:lang w:val="lv-LV"/>
        </w:rPr>
      </w:pPr>
    </w:p>
    <w:p w:rsidR="00113355" w:rsidRPr="00611589" w:rsidRDefault="00113355" w:rsidP="00113355">
      <w:pPr>
        <w:pStyle w:val="NormalWeb"/>
        <w:spacing w:before="0" w:beforeAutospacing="0" w:after="0" w:afterAutospacing="0"/>
        <w:jc w:val="both"/>
        <w:rPr>
          <w:b/>
          <w:sz w:val="28"/>
          <w:szCs w:val="28"/>
          <w:lang w:val="lv-LV"/>
        </w:rPr>
      </w:pPr>
      <w:r w:rsidRPr="00611589">
        <w:rPr>
          <w:i/>
          <w:sz w:val="28"/>
          <w:szCs w:val="28"/>
          <w:lang w:val="lv-LV"/>
        </w:rPr>
        <w:t>1.attēls</w:t>
      </w:r>
      <w:r w:rsidRPr="00611589">
        <w:rPr>
          <w:sz w:val="28"/>
          <w:szCs w:val="28"/>
          <w:lang w:val="lv-LV"/>
        </w:rPr>
        <w:t xml:space="preserve">. </w:t>
      </w:r>
      <w:r w:rsidRPr="00611589">
        <w:rPr>
          <w:b/>
          <w:sz w:val="28"/>
          <w:szCs w:val="28"/>
          <w:lang w:val="lv-LV"/>
        </w:rPr>
        <w:t xml:space="preserve">Saņemtie iesniegumi un ziņojumi, </w:t>
      </w:r>
      <w:r w:rsidR="007F01CD" w:rsidRPr="00611589">
        <w:rPr>
          <w:b/>
          <w:sz w:val="28"/>
          <w:szCs w:val="28"/>
          <w:lang w:val="lv-LV"/>
        </w:rPr>
        <w:t xml:space="preserve">kā arī </w:t>
      </w:r>
      <w:r w:rsidRPr="00611589">
        <w:rPr>
          <w:b/>
          <w:sz w:val="28"/>
          <w:szCs w:val="28"/>
          <w:lang w:val="lv-LV"/>
        </w:rPr>
        <w:t xml:space="preserve">pieņemtie apmeklētāji </w:t>
      </w:r>
    </w:p>
    <w:p w:rsidR="00113355" w:rsidRPr="00611589" w:rsidRDefault="00113355" w:rsidP="00113355">
      <w:pPr>
        <w:pStyle w:val="NormalWeb"/>
        <w:spacing w:before="0" w:beforeAutospacing="0" w:after="0" w:afterAutospacing="0"/>
        <w:jc w:val="both"/>
        <w:rPr>
          <w:b/>
          <w:sz w:val="28"/>
          <w:szCs w:val="28"/>
          <w:lang w:val="lv-LV"/>
        </w:rPr>
      </w:pPr>
      <w:r w:rsidRPr="00611589">
        <w:rPr>
          <w:b/>
          <w:sz w:val="28"/>
          <w:szCs w:val="28"/>
          <w:lang w:val="lv-LV"/>
        </w:rPr>
        <w:t>(2009. – 2014.gads)</w:t>
      </w:r>
    </w:p>
    <w:p w:rsidR="008B4A69" w:rsidRPr="00611589" w:rsidRDefault="008B4A69" w:rsidP="00113355">
      <w:pPr>
        <w:pStyle w:val="NormalWeb"/>
        <w:spacing w:before="0" w:beforeAutospacing="0" w:after="0" w:afterAutospacing="0"/>
        <w:jc w:val="both"/>
        <w:rPr>
          <w:b/>
          <w:sz w:val="28"/>
          <w:szCs w:val="28"/>
          <w:lang w:val="lv-LV"/>
        </w:rPr>
      </w:pPr>
      <w:r w:rsidRPr="00611589">
        <w:rPr>
          <w:noProof/>
          <w:lang w:val="lv-LV" w:eastAsia="lv-LV"/>
        </w:rPr>
        <w:drawing>
          <wp:inline distT="0" distB="0" distL="0" distR="0" wp14:anchorId="546177A1" wp14:editId="3A374750">
            <wp:extent cx="5374256" cy="3985404"/>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422D" w:rsidRPr="00611589" w:rsidRDefault="007D1D25" w:rsidP="0021422D">
      <w:pPr>
        <w:pStyle w:val="NoSpacing"/>
        <w:ind w:firstLine="720"/>
        <w:jc w:val="both"/>
        <w:rPr>
          <w:rFonts w:ascii="Times New Roman" w:hAnsi="Times New Roman" w:cs="Times New Roman"/>
          <w:sz w:val="28"/>
          <w:szCs w:val="28"/>
        </w:rPr>
      </w:pPr>
      <w:bookmarkStart w:id="0" w:name="_Toc282617329"/>
      <w:r w:rsidRPr="00611589">
        <w:rPr>
          <w:rFonts w:ascii="Times New Roman" w:hAnsi="Times New Roman" w:cs="Times New Roman"/>
          <w:sz w:val="28"/>
          <w:szCs w:val="28"/>
        </w:rPr>
        <w:t xml:space="preserve">Uz 2014.gada 31.decembri Birojā strādāja </w:t>
      </w:r>
      <w:r w:rsidRPr="00611589">
        <w:rPr>
          <w:rFonts w:ascii="Times New Roman" w:hAnsi="Times New Roman" w:cs="Times New Roman"/>
          <w:b/>
          <w:sz w:val="28"/>
          <w:szCs w:val="28"/>
        </w:rPr>
        <w:t>134</w:t>
      </w:r>
      <w:r w:rsidRPr="00611589">
        <w:rPr>
          <w:rFonts w:ascii="Times New Roman" w:hAnsi="Times New Roman" w:cs="Times New Roman"/>
          <w:b/>
          <w:bCs/>
          <w:sz w:val="28"/>
          <w:szCs w:val="28"/>
        </w:rPr>
        <w:t xml:space="preserve"> darbinieki</w:t>
      </w:r>
      <w:r w:rsidRPr="00611589">
        <w:rPr>
          <w:rFonts w:ascii="Times New Roman" w:hAnsi="Times New Roman" w:cs="Times New Roman"/>
          <w:sz w:val="28"/>
          <w:szCs w:val="28"/>
        </w:rPr>
        <w:t xml:space="preserve">. 2014.gada otrajā pusgadā darbā pieņemti desmit darbinieki, </w:t>
      </w:r>
      <w:r w:rsidR="0086438F" w:rsidRPr="00611589">
        <w:rPr>
          <w:rFonts w:ascii="Times New Roman" w:hAnsi="Times New Roman" w:cs="Times New Roman"/>
          <w:sz w:val="28"/>
          <w:szCs w:val="28"/>
        </w:rPr>
        <w:t xml:space="preserve">savukārt </w:t>
      </w:r>
      <w:r w:rsidR="00EE5D40">
        <w:rPr>
          <w:rFonts w:ascii="Times New Roman" w:hAnsi="Times New Roman" w:cs="Times New Roman"/>
          <w:sz w:val="28"/>
          <w:szCs w:val="28"/>
        </w:rPr>
        <w:t>darba tiesiskās attiecības ir izbeigtas ar</w:t>
      </w:r>
      <w:r w:rsidRPr="00611589">
        <w:rPr>
          <w:rFonts w:ascii="Times New Roman" w:hAnsi="Times New Roman" w:cs="Times New Roman"/>
          <w:sz w:val="28"/>
          <w:szCs w:val="28"/>
        </w:rPr>
        <w:t xml:space="preserve"> 11 darbinieki</w:t>
      </w:r>
      <w:r w:rsidR="00EE5D40">
        <w:rPr>
          <w:rFonts w:ascii="Times New Roman" w:hAnsi="Times New Roman" w:cs="Times New Roman"/>
          <w:sz w:val="28"/>
          <w:szCs w:val="28"/>
        </w:rPr>
        <w:t>em</w:t>
      </w:r>
      <w:r w:rsidRPr="00611589">
        <w:rPr>
          <w:rFonts w:ascii="Times New Roman" w:hAnsi="Times New Roman" w:cs="Times New Roman"/>
          <w:sz w:val="28"/>
          <w:szCs w:val="28"/>
        </w:rPr>
        <w:t>.</w:t>
      </w:r>
      <w:r w:rsidR="0021422D" w:rsidRPr="00611589">
        <w:rPr>
          <w:rFonts w:ascii="Times New Roman" w:hAnsi="Times New Roman" w:cs="Times New Roman"/>
          <w:sz w:val="28"/>
          <w:szCs w:val="28"/>
        </w:rPr>
        <w:t xml:space="preserve"> 2014.gadā Birojam piešķirtais valsts budžeta finansējums bija </w:t>
      </w:r>
      <w:r w:rsidR="0021422D" w:rsidRPr="00611589">
        <w:rPr>
          <w:rFonts w:ascii="Times New Roman" w:eastAsia="Times New Roman" w:hAnsi="Times New Roman" w:cs="Times New Roman"/>
          <w:b/>
          <w:sz w:val="28"/>
          <w:szCs w:val="28"/>
          <w:lang w:eastAsia="lv-LV"/>
        </w:rPr>
        <w:t>EUR 4 721 874</w:t>
      </w:r>
      <w:r w:rsidR="007F01CD" w:rsidRPr="00611589">
        <w:rPr>
          <w:rFonts w:ascii="Times New Roman" w:eastAsia="Times New Roman" w:hAnsi="Times New Roman" w:cs="Times New Roman"/>
          <w:sz w:val="28"/>
          <w:szCs w:val="28"/>
          <w:lang w:eastAsia="lv-LV"/>
        </w:rPr>
        <w:t xml:space="preserve">, </w:t>
      </w:r>
      <w:r w:rsidR="006A4302" w:rsidRPr="00611589">
        <w:rPr>
          <w:rFonts w:ascii="Times New Roman" w:eastAsia="Times New Roman" w:hAnsi="Times New Roman" w:cs="Times New Roman"/>
          <w:sz w:val="28"/>
          <w:szCs w:val="28"/>
          <w:lang w:eastAsia="lv-LV"/>
        </w:rPr>
        <w:t xml:space="preserve">papildus tam </w:t>
      </w:r>
      <w:r w:rsidR="0021422D" w:rsidRPr="00611589">
        <w:rPr>
          <w:rFonts w:ascii="Times New Roman" w:eastAsia="Times New Roman" w:hAnsi="Times New Roman" w:cs="Times New Roman"/>
          <w:sz w:val="28"/>
          <w:szCs w:val="28"/>
          <w:lang w:eastAsia="lv-LV"/>
        </w:rPr>
        <w:t xml:space="preserve">Birojs piesaistīja arī </w:t>
      </w:r>
      <w:r w:rsidR="0021422D" w:rsidRPr="00611589">
        <w:rPr>
          <w:rFonts w:ascii="Times New Roman" w:eastAsia="Times New Roman" w:hAnsi="Times New Roman" w:cs="Times New Roman"/>
          <w:sz w:val="28"/>
          <w:szCs w:val="28"/>
          <w:lang w:eastAsia="lv-LV"/>
        </w:rPr>
        <w:lastRenderedPageBreak/>
        <w:t xml:space="preserve">Eiropas Krāpšanas apkarošanas biroja (OLAF) finansējumu </w:t>
      </w:r>
      <w:r w:rsidR="0021422D" w:rsidRPr="00611589">
        <w:rPr>
          <w:rFonts w:ascii="Times New Roman" w:eastAsia="Times New Roman" w:hAnsi="Times New Roman" w:cs="Times New Roman"/>
          <w:b/>
          <w:sz w:val="28"/>
          <w:szCs w:val="28"/>
          <w:lang w:eastAsia="lv-LV"/>
        </w:rPr>
        <w:t>EUR 194 039</w:t>
      </w:r>
      <w:r w:rsidR="0082587B">
        <w:rPr>
          <w:rFonts w:ascii="Times New Roman" w:eastAsia="Times New Roman" w:hAnsi="Times New Roman" w:cs="Times New Roman"/>
          <w:sz w:val="28"/>
          <w:szCs w:val="28"/>
          <w:lang w:eastAsia="lv-LV"/>
        </w:rPr>
        <w:t xml:space="preserve"> apmērā.</w:t>
      </w:r>
      <w:r w:rsidR="0021422D" w:rsidRPr="00611589">
        <w:rPr>
          <w:rFonts w:ascii="Times New Roman" w:eastAsia="Times New Roman" w:hAnsi="Times New Roman" w:cs="Times New Roman"/>
          <w:sz w:val="28"/>
          <w:szCs w:val="28"/>
          <w:lang w:eastAsia="lv-LV"/>
        </w:rPr>
        <w:t xml:space="preserve"> 2014.gada izdevumi kopā sastādīja 4 875 213 EUR. </w:t>
      </w:r>
    </w:p>
    <w:p w:rsidR="00047562" w:rsidRPr="00611589" w:rsidRDefault="00047562" w:rsidP="00A0559F">
      <w:pPr>
        <w:pStyle w:val="NoSpacing"/>
        <w:ind w:firstLine="720"/>
        <w:jc w:val="both"/>
        <w:rPr>
          <w:rFonts w:ascii="Times New Roman" w:eastAsia="Times New Roman" w:hAnsi="Times New Roman" w:cs="Times New Roman"/>
          <w:color w:val="000000" w:themeColor="text1"/>
          <w:sz w:val="28"/>
          <w:szCs w:val="28"/>
          <w:lang w:eastAsia="lv-LV"/>
        </w:rPr>
      </w:pPr>
    </w:p>
    <w:p w:rsidR="008F32BD" w:rsidRPr="00611589" w:rsidRDefault="008F32BD" w:rsidP="00113355">
      <w:pPr>
        <w:pStyle w:val="NoSpacing"/>
        <w:numPr>
          <w:ilvl w:val="0"/>
          <w:numId w:val="21"/>
        </w:numPr>
        <w:jc w:val="center"/>
        <w:rPr>
          <w:rFonts w:ascii="Times New Roman" w:hAnsi="Times New Roman" w:cs="Times New Roman"/>
          <w:b/>
          <w:sz w:val="32"/>
          <w:szCs w:val="32"/>
        </w:rPr>
      </w:pPr>
      <w:r w:rsidRPr="00611589">
        <w:rPr>
          <w:rFonts w:ascii="Times New Roman" w:hAnsi="Times New Roman" w:cs="Times New Roman"/>
          <w:b/>
          <w:sz w:val="32"/>
          <w:szCs w:val="32"/>
        </w:rPr>
        <w:t>Korupcijas novēršan</w:t>
      </w:r>
      <w:bookmarkEnd w:id="0"/>
      <w:r w:rsidRPr="00611589">
        <w:rPr>
          <w:rFonts w:ascii="Times New Roman" w:hAnsi="Times New Roman" w:cs="Times New Roman"/>
          <w:b/>
          <w:sz w:val="32"/>
          <w:szCs w:val="32"/>
        </w:rPr>
        <w:t>a</w:t>
      </w:r>
    </w:p>
    <w:p w:rsidR="00CF0F74" w:rsidRPr="00611589" w:rsidRDefault="00CF0F74" w:rsidP="00CF0F74">
      <w:pPr>
        <w:autoSpaceDE w:val="0"/>
        <w:autoSpaceDN w:val="0"/>
        <w:adjustRightInd w:val="0"/>
        <w:spacing w:after="0" w:line="240" w:lineRule="auto"/>
        <w:jc w:val="center"/>
        <w:rPr>
          <w:rFonts w:ascii="Times New Roman" w:hAnsi="Times New Roman" w:cs="Times New Roman"/>
          <w:b/>
          <w:sz w:val="28"/>
          <w:szCs w:val="28"/>
        </w:rPr>
      </w:pPr>
      <w:bookmarkStart w:id="1" w:name="_Toc282617327"/>
      <w:r w:rsidRPr="00611589">
        <w:rPr>
          <w:rFonts w:ascii="Times New Roman" w:hAnsi="Times New Roman" w:cs="Times New Roman"/>
          <w:b/>
          <w:sz w:val="28"/>
          <w:szCs w:val="28"/>
        </w:rPr>
        <w:t xml:space="preserve">1.1. </w:t>
      </w:r>
      <w:r w:rsidR="008F32BD" w:rsidRPr="00611589">
        <w:rPr>
          <w:rFonts w:ascii="Times New Roman" w:hAnsi="Times New Roman" w:cs="Times New Roman"/>
          <w:b/>
          <w:sz w:val="28"/>
          <w:szCs w:val="28"/>
        </w:rPr>
        <w:t>Pretkorupcijas politikas koordinēšana</w:t>
      </w:r>
      <w:bookmarkEnd w:id="1"/>
      <w:r w:rsidR="008F32BD" w:rsidRPr="00611589">
        <w:rPr>
          <w:rFonts w:ascii="Times New Roman" w:hAnsi="Times New Roman" w:cs="Times New Roman"/>
          <w:b/>
          <w:sz w:val="28"/>
          <w:szCs w:val="28"/>
        </w:rPr>
        <w:t xml:space="preserve"> un</w:t>
      </w:r>
    </w:p>
    <w:p w:rsidR="008F32BD" w:rsidRPr="00611589" w:rsidRDefault="008F32BD" w:rsidP="00CF0F74">
      <w:pPr>
        <w:autoSpaceDE w:val="0"/>
        <w:autoSpaceDN w:val="0"/>
        <w:adjustRightInd w:val="0"/>
        <w:spacing w:after="0" w:line="240" w:lineRule="auto"/>
        <w:jc w:val="center"/>
        <w:rPr>
          <w:rFonts w:ascii="Times New Roman" w:hAnsi="Times New Roman" w:cs="Times New Roman"/>
          <w:b/>
          <w:sz w:val="28"/>
          <w:szCs w:val="28"/>
        </w:rPr>
      </w:pPr>
      <w:r w:rsidRPr="00611589">
        <w:rPr>
          <w:rFonts w:ascii="Times New Roman" w:hAnsi="Times New Roman" w:cs="Times New Roman"/>
          <w:b/>
          <w:sz w:val="28"/>
          <w:szCs w:val="28"/>
        </w:rPr>
        <w:t>normatīvo aktu projektu izstrāde</w:t>
      </w:r>
    </w:p>
    <w:p w:rsidR="003520F9" w:rsidRPr="00611589" w:rsidRDefault="000C619E" w:rsidP="000C619E">
      <w:pPr>
        <w:spacing w:after="0" w:line="240" w:lineRule="auto"/>
        <w:ind w:firstLine="720"/>
        <w:jc w:val="both"/>
        <w:rPr>
          <w:rFonts w:ascii="Times New Roman" w:hAnsi="Times New Roman" w:cs="Times New Roman"/>
          <w:sz w:val="28"/>
          <w:szCs w:val="28"/>
        </w:rPr>
      </w:pPr>
      <w:r w:rsidRPr="00611589">
        <w:rPr>
          <w:rFonts w:ascii="Times New Roman" w:hAnsi="Times New Roman" w:cs="Times New Roman"/>
          <w:sz w:val="28"/>
          <w:szCs w:val="28"/>
        </w:rPr>
        <w:t xml:space="preserve">2014.gada otrajā pusgadā Birojs turpināja uzsākto darbu pie jauna plānošanas dokumenta </w:t>
      </w:r>
      <w:r w:rsidR="00EC4A85" w:rsidRPr="00611589">
        <w:rPr>
          <w:rFonts w:ascii="Times New Roman" w:hAnsi="Times New Roman" w:cs="Times New Roman"/>
          <w:sz w:val="28"/>
          <w:szCs w:val="28"/>
        </w:rPr>
        <w:t>„</w:t>
      </w:r>
      <w:r w:rsidR="004143A8" w:rsidRPr="00611589">
        <w:rPr>
          <w:rFonts w:ascii="Times New Roman" w:hAnsi="Times New Roman" w:cs="Times New Roman"/>
          <w:sz w:val="28"/>
          <w:szCs w:val="28"/>
        </w:rPr>
        <w:t xml:space="preserve">Korupcijas novēršanas un apkarošanas </w:t>
      </w:r>
      <w:r w:rsidRPr="00611589">
        <w:rPr>
          <w:rFonts w:ascii="Times New Roman" w:hAnsi="Times New Roman" w:cs="Times New Roman"/>
          <w:sz w:val="28"/>
          <w:szCs w:val="28"/>
        </w:rPr>
        <w:t xml:space="preserve">programma 2014. – </w:t>
      </w:r>
      <w:r w:rsidR="00772E12" w:rsidRPr="00611589">
        <w:rPr>
          <w:rFonts w:ascii="Times New Roman" w:hAnsi="Times New Roman" w:cs="Times New Roman"/>
          <w:sz w:val="28"/>
          <w:szCs w:val="28"/>
        </w:rPr>
        <w:t>2020.gadam</w:t>
      </w:r>
      <w:r w:rsidR="00EC4A85" w:rsidRPr="00611589">
        <w:rPr>
          <w:rFonts w:ascii="Times New Roman" w:hAnsi="Times New Roman" w:cs="Times New Roman"/>
          <w:sz w:val="28"/>
          <w:szCs w:val="28"/>
        </w:rPr>
        <w:t xml:space="preserve">” </w:t>
      </w:r>
      <w:r w:rsidR="00894211" w:rsidRPr="00611589">
        <w:rPr>
          <w:rFonts w:ascii="Times New Roman" w:hAnsi="Times New Roman" w:cs="Times New Roman"/>
          <w:sz w:val="28"/>
          <w:szCs w:val="28"/>
        </w:rPr>
        <w:t>izstrādes</w:t>
      </w:r>
      <w:r w:rsidR="003520F9" w:rsidRPr="00611589">
        <w:rPr>
          <w:rFonts w:ascii="Times New Roman" w:hAnsi="Times New Roman" w:cs="Times New Roman"/>
          <w:sz w:val="28"/>
          <w:szCs w:val="28"/>
        </w:rPr>
        <w:t xml:space="preserve"> nākamajam plānošanas periodam.</w:t>
      </w:r>
    </w:p>
    <w:p w:rsidR="0086438F" w:rsidRPr="00611589" w:rsidRDefault="00F4438D" w:rsidP="0086438F">
      <w:pPr>
        <w:autoSpaceDE w:val="0"/>
        <w:autoSpaceDN w:val="0"/>
        <w:adjustRightInd w:val="0"/>
        <w:spacing w:after="0" w:line="240" w:lineRule="auto"/>
        <w:ind w:firstLine="720"/>
        <w:jc w:val="both"/>
        <w:rPr>
          <w:rFonts w:ascii="Times New Roman" w:hAnsi="Times New Roman" w:cs="Times New Roman"/>
          <w:sz w:val="28"/>
          <w:szCs w:val="28"/>
        </w:rPr>
      </w:pPr>
      <w:r w:rsidRPr="00611589">
        <w:rPr>
          <w:rFonts w:ascii="Times New Roman" w:hAnsi="Times New Roman" w:cs="Times New Roman"/>
          <w:sz w:val="28"/>
          <w:szCs w:val="28"/>
        </w:rPr>
        <w:t xml:space="preserve">Pārskata periodā Birojs izstrādāja un apstiprināšanai Ministru kabinetā iesniedza </w:t>
      </w:r>
      <w:r w:rsidR="0086438F" w:rsidRPr="00611589">
        <w:rPr>
          <w:rFonts w:ascii="Times New Roman" w:hAnsi="Times New Roman" w:cs="Times New Roman"/>
          <w:sz w:val="28"/>
          <w:szCs w:val="28"/>
        </w:rPr>
        <w:t>n</w:t>
      </w:r>
      <w:r w:rsidR="0086438F" w:rsidRPr="00611589">
        <w:rPr>
          <w:rFonts w:ascii="Times New Roman" w:hAnsi="Times New Roman" w:cs="Times New Roman"/>
          <w:bCs/>
          <w:sz w:val="28"/>
          <w:szCs w:val="28"/>
        </w:rPr>
        <w:t xml:space="preserve">oteikumu projektu </w:t>
      </w:r>
      <w:r w:rsidRPr="00611589">
        <w:rPr>
          <w:rFonts w:ascii="Times New Roman" w:hAnsi="Times New Roman" w:cs="Times New Roman"/>
          <w:bCs/>
          <w:sz w:val="28"/>
          <w:szCs w:val="28"/>
        </w:rPr>
        <w:t>„Grozījumi Ministru kabineta 2013.gada 21.maija noteikumos Nr.255 „Kārtība, kādā reģistrējamas, novērtējamas, izmantojamas un izpērkamas diplomātiskās dāvanas un dāvanas, kas pieņemtas, pildot valsts amatpersonas pienākumus, un kas ir valsts vai pašvaldības institūcijas īpašums””</w:t>
      </w:r>
      <w:r w:rsidR="0086438F" w:rsidRPr="00611589">
        <w:rPr>
          <w:rFonts w:ascii="Times New Roman" w:hAnsi="Times New Roman" w:cs="Times New Roman"/>
          <w:bCs/>
          <w:sz w:val="28"/>
          <w:szCs w:val="28"/>
        </w:rPr>
        <w:t xml:space="preserve">. </w:t>
      </w:r>
    </w:p>
    <w:p w:rsidR="0086438F" w:rsidRPr="00611589" w:rsidRDefault="00F4438D" w:rsidP="00CB58D2">
      <w:pPr>
        <w:autoSpaceDE w:val="0"/>
        <w:autoSpaceDN w:val="0"/>
        <w:adjustRightInd w:val="0"/>
        <w:spacing w:after="0" w:line="240" w:lineRule="auto"/>
        <w:ind w:firstLine="720"/>
        <w:jc w:val="both"/>
        <w:rPr>
          <w:rFonts w:ascii="Times New Roman" w:hAnsi="Times New Roman" w:cs="Times New Roman"/>
          <w:sz w:val="28"/>
          <w:szCs w:val="28"/>
        </w:rPr>
      </w:pPr>
      <w:r w:rsidRPr="00611589">
        <w:rPr>
          <w:rFonts w:ascii="Times New Roman" w:hAnsi="Times New Roman" w:cs="Times New Roman"/>
          <w:sz w:val="28"/>
          <w:szCs w:val="28"/>
        </w:rPr>
        <w:t>Pārskata periodā Biroja pārstāvji aktīvi piedalījās Saeimas Valsts pārvaldes un pašvaldības komisijas un tās darba grupu darbā pie grozījumu izstrādes likumā „Par interešu konflikta novērš</w:t>
      </w:r>
      <w:r w:rsidR="00D14BFB" w:rsidRPr="00611589">
        <w:rPr>
          <w:rFonts w:ascii="Times New Roman" w:hAnsi="Times New Roman" w:cs="Times New Roman"/>
          <w:sz w:val="28"/>
          <w:szCs w:val="28"/>
        </w:rPr>
        <w:t>anu valsts amatpersonu darbībā”.</w:t>
      </w:r>
      <w:r w:rsidR="00CD742E" w:rsidRPr="00611589">
        <w:rPr>
          <w:rFonts w:ascii="Times New Roman" w:hAnsi="Times New Roman" w:cs="Times New Roman"/>
          <w:sz w:val="28"/>
          <w:szCs w:val="28"/>
        </w:rPr>
        <w:t xml:space="preserve"> </w:t>
      </w:r>
      <w:r w:rsidR="00CB58D2">
        <w:rPr>
          <w:rFonts w:ascii="Times New Roman" w:hAnsi="Times New Roman" w:cs="Times New Roman"/>
          <w:sz w:val="28"/>
          <w:szCs w:val="28"/>
        </w:rPr>
        <w:t xml:space="preserve">Birojs tika pārstāvēts arī </w:t>
      </w:r>
      <w:r w:rsidR="00D14BFB" w:rsidRPr="00611589">
        <w:rPr>
          <w:rFonts w:ascii="Times New Roman" w:hAnsi="Times New Roman" w:cs="Times New Roman"/>
          <w:sz w:val="28"/>
          <w:szCs w:val="28"/>
        </w:rPr>
        <w:t>Tieslietu ministrij</w:t>
      </w:r>
      <w:r w:rsidR="00CB58D2">
        <w:rPr>
          <w:rFonts w:ascii="Times New Roman" w:hAnsi="Times New Roman" w:cs="Times New Roman"/>
          <w:sz w:val="28"/>
          <w:szCs w:val="28"/>
        </w:rPr>
        <w:t>as vadītajās darba grupās</w:t>
      </w:r>
      <w:r w:rsidR="0086438F" w:rsidRPr="00611589">
        <w:rPr>
          <w:rFonts w:ascii="Times New Roman" w:hAnsi="Times New Roman" w:cs="Times New Roman"/>
          <w:sz w:val="28"/>
          <w:szCs w:val="28"/>
        </w:rPr>
        <w:t>:</w:t>
      </w:r>
    </w:p>
    <w:p w:rsidR="0086438F" w:rsidRPr="00611589" w:rsidRDefault="0086438F" w:rsidP="004B1216">
      <w:pPr>
        <w:pStyle w:val="ListParagraph"/>
        <w:numPr>
          <w:ilvl w:val="0"/>
          <w:numId w:val="22"/>
        </w:numPr>
        <w:autoSpaceDE w:val="0"/>
        <w:autoSpaceDN w:val="0"/>
        <w:adjustRightInd w:val="0"/>
        <w:spacing w:after="0" w:line="240" w:lineRule="auto"/>
        <w:jc w:val="both"/>
        <w:rPr>
          <w:rFonts w:ascii="Times New Roman" w:hAnsi="Times New Roman" w:cs="Times New Roman"/>
          <w:sz w:val="28"/>
          <w:szCs w:val="28"/>
        </w:rPr>
      </w:pPr>
      <w:r w:rsidRPr="00611589">
        <w:rPr>
          <w:rFonts w:ascii="Times New Roman" w:hAnsi="Times New Roman" w:cs="Times New Roman"/>
          <w:sz w:val="28"/>
          <w:szCs w:val="28"/>
        </w:rPr>
        <w:t>likuma „Par Krimināllikuma spēkā stāšanās un piemērošanas kārtību” un Krimināllikuma darba grupā;</w:t>
      </w:r>
    </w:p>
    <w:p w:rsidR="0086438F" w:rsidRPr="00611589" w:rsidRDefault="0086438F" w:rsidP="004B1216">
      <w:pPr>
        <w:pStyle w:val="ListParagraph"/>
        <w:numPr>
          <w:ilvl w:val="0"/>
          <w:numId w:val="22"/>
        </w:numPr>
        <w:autoSpaceDE w:val="0"/>
        <w:autoSpaceDN w:val="0"/>
        <w:adjustRightInd w:val="0"/>
        <w:spacing w:after="0" w:line="240" w:lineRule="auto"/>
        <w:jc w:val="both"/>
        <w:rPr>
          <w:rFonts w:ascii="Times New Roman" w:hAnsi="Times New Roman" w:cs="Times New Roman"/>
          <w:sz w:val="28"/>
          <w:szCs w:val="28"/>
        </w:rPr>
      </w:pPr>
      <w:r w:rsidRPr="00611589">
        <w:rPr>
          <w:rFonts w:ascii="Times New Roman" w:hAnsi="Times New Roman" w:cs="Times New Roman"/>
          <w:sz w:val="28"/>
          <w:szCs w:val="28"/>
        </w:rPr>
        <w:t>darba grupā saistībā ar likumprojektu „Grozījumi Operatīvās darbības likumā”;</w:t>
      </w:r>
    </w:p>
    <w:p w:rsidR="0086438F" w:rsidRPr="00611589" w:rsidRDefault="0086438F" w:rsidP="004B1216">
      <w:pPr>
        <w:pStyle w:val="ListParagraph"/>
        <w:numPr>
          <w:ilvl w:val="0"/>
          <w:numId w:val="22"/>
        </w:numPr>
        <w:spacing w:line="240" w:lineRule="auto"/>
        <w:rPr>
          <w:rFonts w:ascii="Times New Roman" w:hAnsi="Times New Roman" w:cs="Times New Roman"/>
          <w:sz w:val="28"/>
          <w:szCs w:val="28"/>
        </w:rPr>
      </w:pPr>
      <w:r w:rsidRPr="00611589">
        <w:rPr>
          <w:rFonts w:ascii="Times New Roman" w:hAnsi="Times New Roman" w:cs="Times New Roman"/>
          <w:sz w:val="28"/>
          <w:szCs w:val="28"/>
        </w:rPr>
        <w:t>darba grupā ar 16.12.2014. Tieslietu ministra rīkojumu Nr.1-1/477 „Par darba grupas izveidošanu, lai nodrošinātu Direktīvas 2014/41/ES ievieš</w:t>
      </w:r>
      <w:r w:rsidR="0023653B" w:rsidRPr="00611589">
        <w:rPr>
          <w:rFonts w:ascii="Times New Roman" w:hAnsi="Times New Roman" w:cs="Times New Roman"/>
          <w:sz w:val="28"/>
          <w:szCs w:val="28"/>
        </w:rPr>
        <w:t>anu nacionālajos tiesību aktos”;</w:t>
      </w:r>
    </w:p>
    <w:p w:rsidR="0086438F" w:rsidRPr="00611589" w:rsidRDefault="004B1216" w:rsidP="004B1216">
      <w:pPr>
        <w:pStyle w:val="ListParagraph"/>
        <w:numPr>
          <w:ilvl w:val="0"/>
          <w:numId w:val="22"/>
        </w:numPr>
        <w:autoSpaceDE w:val="0"/>
        <w:autoSpaceDN w:val="0"/>
        <w:adjustRightInd w:val="0"/>
        <w:spacing w:after="0" w:line="240" w:lineRule="auto"/>
        <w:jc w:val="both"/>
        <w:rPr>
          <w:rFonts w:ascii="Times New Roman" w:hAnsi="Times New Roman" w:cs="Times New Roman"/>
          <w:sz w:val="28"/>
          <w:szCs w:val="28"/>
        </w:rPr>
      </w:pPr>
      <w:r w:rsidRPr="00611589">
        <w:rPr>
          <w:rFonts w:ascii="Times New Roman" w:hAnsi="Times New Roman" w:cs="Times New Roman"/>
          <w:sz w:val="28"/>
          <w:szCs w:val="28"/>
        </w:rPr>
        <w:t>darba grupā</w:t>
      </w:r>
      <w:r w:rsidR="0086438F" w:rsidRPr="00611589">
        <w:rPr>
          <w:rFonts w:ascii="Times New Roman" w:hAnsi="Times New Roman" w:cs="Times New Roman"/>
          <w:sz w:val="28"/>
          <w:szCs w:val="28"/>
        </w:rPr>
        <w:t xml:space="preserve"> saistībā ar Latvijas darba devēju konfederācijas un biedrības „Būvniecības Attīstības Stratēģiskā Partnerība” vēstuli, kurā norādīts uz viņuprāt nepieciešamiem grozījumiem Krimināllikumā un Kriminālprocesa likumā attiecībā uz juridiskām personām piemērojamiem piespiedu ietekmēšanas līdzekļiem;</w:t>
      </w:r>
    </w:p>
    <w:p w:rsidR="0086438F" w:rsidRPr="00611589" w:rsidRDefault="0086438F" w:rsidP="004B1216">
      <w:pPr>
        <w:pStyle w:val="ListParagraph"/>
        <w:numPr>
          <w:ilvl w:val="0"/>
          <w:numId w:val="22"/>
        </w:numPr>
        <w:autoSpaceDE w:val="0"/>
        <w:autoSpaceDN w:val="0"/>
        <w:adjustRightInd w:val="0"/>
        <w:spacing w:after="0" w:line="240" w:lineRule="auto"/>
        <w:jc w:val="both"/>
        <w:rPr>
          <w:rFonts w:ascii="Times New Roman" w:hAnsi="Times New Roman" w:cs="Times New Roman"/>
          <w:sz w:val="28"/>
          <w:szCs w:val="28"/>
        </w:rPr>
      </w:pPr>
      <w:r w:rsidRPr="00611589">
        <w:rPr>
          <w:rFonts w:ascii="Times New Roman" w:hAnsi="Times New Roman" w:cs="Times New Roman"/>
          <w:sz w:val="28"/>
          <w:szCs w:val="28"/>
        </w:rPr>
        <w:t xml:space="preserve">Kriminālprocesa likuma darba grupā. </w:t>
      </w:r>
    </w:p>
    <w:p w:rsidR="004B1216" w:rsidRDefault="004B1216" w:rsidP="00B97C12">
      <w:pPr>
        <w:autoSpaceDE w:val="0"/>
        <w:autoSpaceDN w:val="0"/>
        <w:adjustRightInd w:val="0"/>
        <w:spacing w:after="0" w:line="240" w:lineRule="auto"/>
        <w:ind w:firstLine="360"/>
        <w:jc w:val="both"/>
        <w:rPr>
          <w:rFonts w:ascii="Times New Roman" w:hAnsi="Times New Roman" w:cs="Times New Roman"/>
          <w:sz w:val="28"/>
          <w:szCs w:val="28"/>
        </w:rPr>
      </w:pPr>
      <w:r w:rsidRPr="00611589">
        <w:rPr>
          <w:rFonts w:ascii="Times New Roman" w:hAnsi="Times New Roman" w:cs="Times New Roman"/>
          <w:sz w:val="28"/>
          <w:szCs w:val="28"/>
        </w:rPr>
        <w:t>Pārstāvība tika nodrošināta arī vairāku citu institūciju vadī</w:t>
      </w:r>
      <w:r w:rsidR="00DC25E1" w:rsidRPr="00611589">
        <w:rPr>
          <w:rFonts w:ascii="Times New Roman" w:hAnsi="Times New Roman" w:cs="Times New Roman"/>
          <w:sz w:val="28"/>
          <w:szCs w:val="28"/>
        </w:rPr>
        <w:t xml:space="preserve">tajās darba grupās, tai skaitā, </w:t>
      </w:r>
      <w:r w:rsidRPr="00611589">
        <w:rPr>
          <w:rFonts w:ascii="Times New Roman" w:hAnsi="Times New Roman" w:cs="Times New Roman"/>
          <w:sz w:val="28"/>
          <w:szCs w:val="28"/>
        </w:rPr>
        <w:t>Valsts kancelejā par normatīvo aktu izstrādi attiecībā uz trauksmes cēl</w:t>
      </w:r>
      <w:r w:rsidR="002B0B4D" w:rsidRPr="00611589">
        <w:rPr>
          <w:rFonts w:ascii="Times New Roman" w:hAnsi="Times New Roman" w:cs="Times New Roman"/>
          <w:sz w:val="28"/>
          <w:szCs w:val="28"/>
        </w:rPr>
        <w:t>ē</w:t>
      </w:r>
      <w:r w:rsidRPr="00611589">
        <w:rPr>
          <w:rFonts w:ascii="Times New Roman" w:hAnsi="Times New Roman" w:cs="Times New Roman"/>
          <w:sz w:val="28"/>
          <w:szCs w:val="28"/>
        </w:rPr>
        <w:t>ju aizsardzību</w:t>
      </w:r>
      <w:r w:rsidR="00DC25E1" w:rsidRPr="00611589">
        <w:rPr>
          <w:rFonts w:ascii="Times New Roman" w:hAnsi="Times New Roman" w:cs="Times New Roman"/>
          <w:sz w:val="28"/>
          <w:szCs w:val="28"/>
        </w:rPr>
        <w:t xml:space="preserve"> un </w:t>
      </w:r>
      <w:r w:rsidRPr="00611589">
        <w:rPr>
          <w:rFonts w:ascii="Times New Roman" w:hAnsi="Times New Roman" w:cs="Times New Roman"/>
          <w:sz w:val="28"/>
          <w:szCs w:val="28"/>
        </w:rPr>
        <w:t>Korupcijas novēršanas un apkarošanas biroja likuma grozījumu</w:t>
      </w:r>
      <w:r w:rsidR="00DC25E1" w:rsidRPr="00611589">
        <w:rPr>
          <w:rFonts w:ascii="Times New Roman" w:hAnsi="Times New Roman" w:cs="Times New Roman"/>
          <w:sz w:val="28"/>
          <w:szCs w:val="28"/>
        </w:rPr>
        <w:t xml:space="preserve"> izstrādi, kā arī </w:t>
      </w:r>
      <w:r w:rsidR="0082587B">
        <w:rPr>
          <w:rFonts w:ascii="Times New Roman" w:hAnsi="Times New Roman" w:cs="Times New Roman"/>
          <w:sz w:val="28"/>
          <w:szCs w:val="28"/>
        </w:rPr>
        <w:t xml:space="preserve">normatīvo aktu grozījumu izstrādē </w:t>
      </w:r>
      <w:r w:rsidR="00DC25E1" w:rsidRPr="00611589">
        <w:rPr>
          <w:rFonts w:ascii="Times New Roman" w:hAnsi="Times New Roman" w:cs="Times New Roman"/>
          <w:sz w:val="28"/>
          <w:szCs w:val="28"/>
        </w:rPr>
        <w:t>dažādās Saeimas komisij</w:t>
      </w:r>
      <w:r w:rsidR="00B97C12" w:rsidRPr="00611589">
        <w:rPr>
          <w:rFonts w:ascii="Times New Roman" w:hAnsi="Times New Roman" w:cs="Times New Roman"/>
          <w:sz w:val="28"/>
          <w:szCs w:val="28"/>
        </w:rPr>
        <w:t xml:space="preserve">ās </w:t>
      </w:r>
      <w:r w:rsidR="00DC25E1" w:rsidRPr="00611589">
        <w:rPr>
          <w:rFonts w:ascii="Times New Roman" w:hAnsi="Times New Roman" w:cs="Times New Roman"/>
          <w:sz w:val="28"/>
          <w:szCs w:val="28"/>
        </w:rPr>
        <w:t>par Valsts dienesta likuma, Publisko iepirkumu likuma, Sabiedrisko pakalpojumu sniedzēju iepirkumu likuma un Administratīvo pārkāpumu procesa likuma izstrādi, kā arī attiecībā uz normat</w:t>
      </w:r>
      <w:r w:rsidR="00B97C12" w:rsidRPr="00611589">
        <w:rPr>
          <w:rFonts w:ascii="Times New Roman" w:hAnsi="Times New Roman" w:cs="Times New Roman"/>
          <w:sz w:val="28"/>
          <w:szCs w:val="28"/>
        </w:rPr>
        <w:t>īvo aktu projektu kopuma izstrādi</w:t>
      </w:r>
      <w:r w:rsidR="00DC25E1" w:rsidRPr="00611589">
        <w:rPr>
          <w:rFonts w:ascii="Times New Roman" w:hAnsi="Times New Roman" w:cs="Times New Roman"/>
          <w:sz w:val="28"/>
          <w:szCs w:val="28"/>
        </w:rPr>
        <w:t>, kas izriet no kapitālsab</w:t>
      </w:r>
      <w:r w:rsidR="00B97C12" w:rsidRPr="00611589">
        <w:rPr>
          <w:rFonts w:ascii="Times New Roman" w:hAnsi="Times New Roman" w:cs="Times New Roman"/>
          <w:sz w:val="28"/>
          <w:szCs w:val="28"/>
        </w:rPr>
        <w:t xml:space="preserve">iedrību pārvaldības koncepcijas un </w:t>
      </w:r>
      <w:r w:rsidR="00DC25E1" w:rsidRPr="00611589">
        <w:rPr>
          <w:rFonts w:ascii="Times New Roman" w:hAnsi="Times New Roman" w:cs="Times New Roman"/>
          <w:sz w:val="28"/>
          <w:szCs w:val="28"/>
        </w:rPr>
        <w:t xml:space="preserve">kas </w:t>
      </w:r>
      <w:r w:rsidR="00B97C12" w:rsidRPr="00611589">
        <w:rPr>
          <w:rFonts w:ascii="Times New Roman" w:hAnsi="Times New Roman" w:cs="Times New Roman"/>
          <w:sz w:val="28"/>
          <w:szCs w:val="28"/>
        </w:rPr>
        <w:t>saistīts</w:t>
      </w:r>
      <w:r w:rsidR="00DC25E1" w:rsidRPr="00611589">
        <w:rPr>
          <w:rFonts w:ascii="Times New Roman" w:hAnsi="Times New Roman" w:cs="Times New Roman"/>
          <w:sz w:val="28"/>
          <w:szCs w:val="28"/>
        </w:rPr>
        <w:t xml:space="preserve"> ar pašvaldības dzīvokļu piešķiršanas kārtību</w:t>
      </w:r>
      <w:r w:rsidR="00B97C12" w:rsidRPr="00611589">
        <w:rPr>
          <w:rFonts w:ascii="Times New Roman" w:hAnsi="Times New Roman" w:cs="Times New Roman"/>
          <w:sz w:val="28"/>
          <w:szCs w:val="28"/>
        </w:rPr>
        <w:t xml:space="preserve">. </w:t>
      </w:r>
    </w:p>
    <w:p w:rsidR="0082587B" w:rsidRPr="00611589" w:rsidRDefault="0082587B" w:rsidP="00B97C12">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Pārskata periodā Biroja amatpersonas piedalījās likuma „Par interešu konflikta novēršanu valsts amatpersonu darbībā”</w:t>
      </w:r>
      <w:r w:rsidR="003C046E">
        <w:rPr>
          <w:rFonts w:ascii="Times New Roman" w:hAnsi="Times New Roman" w:cs="Times New Roman"/>
          <w:sz w:val="28"/>
          <w:szCs w:val="28"/>
        </w:rPr>
        <w:t xml:space="preserve"> (IKNL)</w:t>
      </w:r>
      <w:r>
        <w:rPr>
          <w:rFonts w:ascii="Times New Roman" w:hAnsi="Times New Roman" w:cs="Times New Roman"/>
          <w:sz w:val="28"/>
          <w:szCs w:val="28"/>
        </w:rPr>
        <w:t xml:space="preserve"> grozījumu izstrād</w:t>
      </w:r>
      <w:r w:rsidR="003C046E">
        <w:rPr>
          <w:rFonts w:ascii="Times New Roman" w:hAnsi="Times New Roman" w:cs="Times New Roman"/>
          <w:sz w:val="28"/>
          <w:szCs w:val="28"/>
        </w:rPr>
        <w:t xml:space="preserve">ē, novēršot IKNL 10.panta 1 daļā ietvertā ierobežojuma ministriem un Saeimas </w:t>
      </w:r>
      <w:r w:rsidR="003C046E">
        <w:rPr>
          <w:rFonts w:ascii="Times New Roman" w:hAnsi="Times New Roman" w:cs="Times New Roman"/>
          <w:sz w:val="28"/>
          <w:szCs w:val="28"/>
        </w:rPr>
        <w:lastRenderedPageBreak/>
        <w:t xml:space="preserve">deputātiem veikt komercdarbību neatbilstību Satversmei. Pārskata periodā pieņemtie grozījumi nodrošināja </w:t>
      </w:r>
      <w:r w:rsidR="003C046E" w:rsidRPr="003C046E">
        <w:rPr>
          <w:rFonts w:ascii="Times New Roman" w:hAnsi="Times New Roman" w:cs="Times New Roman"/>
          <w:sz w:val="28"/>
          <w:szCs w:val="28"/>
        </w:rPr>
        <w:t>Eiropas Padomes Starpvalstu pretkorupcijas grupas (GRECO)</w:t>
      </w:r>
      <w:r w:rsidR="003C046E">
        <w:rPr>
          <w:rFonts w:ascii="Times New Roman" w:hAnsi="Times New Roman" w:cs="Times New Roman"/>
          <w:sz w:val="28"/>
          <w:szCs w:val="28"/>
        </w:rPr>
        <w:t xml:space="preserve"> rekomendācijas izpildi. </w:t>
      </w:r>
    </w:p>
    <w:p w:rsidR="00ED379E" w:rsidRPr="00611589" w:rsidRDefault="00ED379E" w:rsidP="00ED379E">
      <w:pPr>
        <w:autoSpaceDE w:val="0"/>
        <w:autoSpaceDN w:val="0"/>
        <w:adjustRightInd w:val="0"/>
        <w:spacing w:after="0" w:line="240" w:lineRule="auto"/>
        <w:ind w:firstLine="360"/>
        <w:jc w:val="both"/>
        <w:rPr>
          <w:rFonts w:ascii="Times New Roman" w:hAnsi="Times New Roman" w:cs="Times New Roman"/>
          <w:sz w:val="28"/>
          <w:szCs w:val="28"/>
        </w:rPr>
      </w:pPr>
      <w:r w:rsidRPr="00611589">
        <w:rPr>
          <w:rFonts w:ascii="Times New Roman" w:hAnsi="Times New Roman" w:cs="Times New Roman"/>
          <w:sz w:val="28"/>
          <w:szCs w:val="28"/>
        </w:rPr>
        <w:t>Vienlaikus 2014.gadā Birojs ir izstrādājis vairākus nozīmīgus iekšējos tiesību aktus: Dokumentu pārvaldības un aprites noteikumi</w:t>
      </w:r>
      <w:r w:rsidR="003C046E">
        <w:rPr>
          <w:rFonts w:ascii="Times New Roman" w:hAnsi="Times New Roman" w:cs="Times New Roman"/>
          <w:sz w:val="28"/>
          <w:szCs w:val="28"/>
        </w:rPr>
        <w:t>,</w:t>
      </w:r>
      <w:r w:rsidRPr="00611589">
        <w:rPr>
          <w:rFonts w:ascii="Times New Roman" w:hAnsi="Times New Roman" w:cs="Times New Roman"/>
          <w:sz w:val="28"/>
          <w:szCs w:val="28"/>
        </w:rPr>
        <w:t xml:space="preserve"> Biroja darba kārtības noteikumi</w:t>
      </w:r>
      <w:r w:rsidR="003C046E">
        <w:rPr>
          <w:rFonts w:ascii="Times New Roman" w:hAnsi="Times New Roman" w:cs="Times New Roman"/>
          <w:sz w:val="28"/>
          <w:szCs w:val="28"/>
        </w:rPr>
        <w:t>,</w:t>
      </w:r>
      <w:r w:rsidRPr="00611589">
        <w:rPr>
          <w:rFonts w:ascii="Times New Roman" w:hAnsi="Times New Roman" w:cs="Times New Roman"/>
          <w:sz w:val="28"/>
          <w:szCs w:val="28"/>
        </w:rPr>
        <w:t xml:space="preserve"> Disciplinārlietas ierosināšanas, izskatīšanas un disci</w:t>
      </w:r>
      <w:r w:rsidR="003C046E">
        <w:rPr>
          <w:rFonts w:ascii="Times New Roman" w:hAnsi="Times New Roman" w:cs="Times New Roman"/>
          <w:sz w:val="28"/>
          <w:szCs w:val="28"/>
        </w:rPr>
        <w:t>plinārsoda piemērošanas kārtība,</w:t>
      </w:r>
      <w:r w:rsidRPr="00611589">
        <w:rPr>
          <w:rFonts w:ascii="Times New Roman" w:hAnsi="Times New Roman" w:cs="Times New Roman"/>
          <w:sz w:val="28"/>
          <w:szCs w:val="28"/>
        </w:rPr>
        <w:t xml:space="preserve"> </w:t>
      </w:r>
      <w:r w:rsidR="00CD742E" w:rsidRPr="00611589">
        <w:rPr>
          <w:rFonts w:ascii="Times New Roman" w:hAnsi="Times New Roman" w:cs="Times New Roman"/>
          <w:sz w:val="28"/>
          <w:szCs w:val="28"/>
        </w:rPr>
        <w:t>Sabiedriski</w:t>
      </w:r>
      <w:r w:rsidR="00CB58D2">
        <w:rPr>
          <w:rFonts w:ascii="Times New Roman" w:hAnsi="Times New Roman" w:cs="Times New Roman"/>
          <w:sz w:val="28"/>
          <w:szCs w:val="28"/>
        </w:rPr>
        <w:t xml:space="preserve"> konsultatīvā</w:t>
      </w:r>
      <w:r w:rsidR="003C046E">
        <w:rPr>
          <w:rFonts w:ascii="Times New Roman" w:hAnsi="Times New Roman" w:cs="Times New Roman"/>
          <w:sz w:val="28"/>
          <w:szCs w:val="28"/>
        </w:rPr>
        <w:t>s padomes nolikums, Ētikas komisijas nolikums,</w:t>
      </w:r>
      <w:r w:rsidR="00CD742E" w:rsidRPr="00611589">
        <w:rPr>
          <w:rFonts w:ascii="Times New Roman" w:hAnsi="Times New Roman" w:cs="Times New Roman"/>
          <w:sz w:val="28"/>
          <w:szCs w:val="28"/>
        </w:rPr>
        <w:t xml:space="preserve"> </w:t>
      </w:r>
      <w:r w:rsidRPr="00611589">
        <w:rPr>
          <w:rFonts w:ascii="Times New Roman" w:hAnsi="Times New Roman" w:cs="Times New Roman"/>
          <w:sz w:val="28"/>
          <w:szCs w:val="28"/>
        </w:rPr>
        <w:t>Piemaksu, prēmijas un naudas balvas piešķiršanas kārtība.</w:t>
      </w:r>
    </w:p>
    <w:p w:rsidR="00ED379E" w:rsidRPr="00611589" w:rsidRDefault="00ED379E" w:rsidP="004B1216">
      <w:pPr>
        <w:autoSpaceDE w:val="0"/>
        <w:autoSpaceDN w:val="0"/>
        <w:adjustRightInd w:val="0"/>
        <w:spacing w:after="0" w:line="240" w:lineRule="auto"/>
        <w:ind w:firstLine="360"/>
        <w:jc w:val="both"/>
        <w:rPr>
          <w:rFonts w:ascii="Times New Roman" w:hAnsi="Times New Roman" w:cs="Times New Roman"/>
          <w:sz w:val="28"/>
          <w:szCs w:val="28"/>
        </w:rPr>
      </w:pPr>
    </w:p>
    <w:p w:rsidR="00F4438D" w:rsidRPr="00611589" w:rsidRDefault="00F4438D" w:rsidP="00113355">
      <w:pPr>
        <w:pStyle w:val="ListParagraph"/>
        <w:numPr>
          <w:ilvl w:val="1"/>
          <w:numId w:val="21"/>
        </w:numPr>
        <w:autoSpaceDE w:val="0"/>
        <w:autoSpaceDN w:val="0"/>
        <w:adjustRightInd w:val="0"/>
        <w:spacing w:after="0" w:line="240" w:lineRule="auto"/>
        <w:jc w:val="center"/>
        <w:rPr>
          <w:rFonts w:ascii="Times New Roman" w:hAnsi="Times New Roman" w:cs="Times New Roman"/>
          <w:b/>
          <w:bCs/>
          <w:sz w:val="28"/>
          <w:szCs w:val="28"/>
        </w:rPr>
      </w:pPr>
      <w:r w:rsidRPr="00611589">
        <w:rPr>
          <w:rFonts w:ascii="Times New Roman" w:hAnsi="Times New Roman" w:cs="Times New Roman"/>
          <w:b/>
          <w:bCs/>
          <w:sz w:val="28"/>
          <w:szCs w:val="28"/>
        </w:rPr>
        <w:t>Korupcijas risku analīze un ziņojumu sagatavošana</w:t>
      </w:r>
    </w:p>
    <w:p w:rsidR="00F4438D" w:rsidRPr="00611589" w:rsidRDefault="00F4438D" w:rsidP="00F4438D">
      <w:pPr>
        <w:autoSpaceDE w:val="0"/>
        <w:autoSpaceDN w:val="0"/>
        <w:adjustRightInd w:val="0"/>
        <w:spacing w:after="0" w:line="240" w:lineRule="auto"/>
        <w:ind w:firstLine="567"/>
        <w:jc w:val="both"/>
        <w:rPr>
          <w:rFonts w:ascii="Times New Roman" w:hAnsi="Times New Roman" w:cs="Times New Roman"/>
          <w:sz w:val="28"/>
          <w:szCs w:val="28"/>
        </w:rPr>
      </w:pPr>
      <w:r w:rsidRPr="00611589">
        <w:rPr>
          <w:rFonts w:ascii="Times New Roman" w:hAnsi="Times New Roman" w:cs="Times New Roman"/>
          <w:sz w:val="28"/>
          <w:szCs w:val="28"/>
        </w:rPr>
        <w:t>Pārskata periodā Birojs sagatavoja 62 atzinumus</w:t>
      </w:r>
      <w:r w:rsidR="00CD742E" w:rsidRPr="00611589">
        <w:rPr>
          <w:rFonts w:ascii="Times New Roman" w:hAnsi="Times New Roman" w:cs="Times New Roman"/>
          <w:sz w:val="28"/>
          <w:szCs w:val="28"/>
        </w:rPr>
        <w:t xml:space="preserve"> (2014.gadā – 124 atzinumus</w:t>
      </w:r>
      <w:r w:rsidR="006C1384">
        <w:rPr>
          <w:rFonts w:ascii="Times New Roman" w:hAnsi="Times New Roman" w:cs="Times New Roman"/>
          <w:sz w:val="28"/>
          <w:szCs w:val="28"/>
        </w:rPr>
        <w:t>, kas ir par četriem vairāk nekā 2013.gadā</w:t>
      </w:r>
      <w:r w:rsidR="00CD742E" w:rsidRPr="00611589">
        <w:rPr>
          <w:rFonts w:ascii="Times New Roman" w:hAnsi="Times New Roman" w:cs="Times New Roman"/>
          <w:sz w:val="28"/>
          <w:szCs w:val="28"/>
        </w:rPr>
        <w:t>) par</w:t>
      </w:r>
      <w:r w:rsidRPr="00611589">
        <w:rPr>
          <w:rFonts w:ascii="Times New Roman" w:hAnsi="Times New Roman" w:cs="Times New Roman"/>
          <w:sz w:val="28"/>
          <w:szCs w:val="28"/>
        </w:rPr>
        <w:t xml:space="preserve"> </w:t>
      </w:r>
      <w:r w:rsidR="00CD742E" w:rsidRPr="00611589">
        <w:rPr>
          <w:rFonts w:ascii="Times New Roman" w:hAnsi="Times New Roman" w:cs="Times New Roman"/>
          <w:sz w:val="28"/>
          <w:szCs w:val="28"/>
        </w:rPr>
        <w:t>Valsts sekretāru sanāksmē izsludinātajiem</w:t>
      </w:r>
      <w:r w:rsidRPr="00611589">
        <w:rPr>
          <w:rFonts w:ascii="Times New Roman" w:hAnsi="Times New Roman" w:cs="Times New Roman"/>
          <w:sz w:val="28"/>
          <w:szCs w:val="28"/>
        </w:rPr>
        <w:t xml:space="preserve"> citu institūciju izstrādā</w:t>
      </w:r>
      <w:r w:rsidR="006C1384">
        <w:rPr>
          <w:rFonts w:ascii="Times New Roman" w:hAnsi="Times New Roman" w:cs="Times New Roman"/>
          <w:sz w:val="28"/>
          <w:szCs w:val="28"/>
        </w:rPr>
        <w:t>tājiem tiesību aktu projektiem</w:t>
      </w:r>
      <w:r w:rsidR="003C046E">
        <w:rPr>
          <w:rFonts w:ascii="Times New Roman" w:hAnsi="Times New Roman" w:cs="Times New Roman"/>
          <w:sz w:val="28"/>
          <w:szCs w:val="28"/>
        </w:rPr>
        <w:t xml:space="preserve"> nolūkā izskaust tajos korupciju un interešu konfliktu veicinošas normas</w:t>
      </w:r>
      <w:r w:rsidR="006C1384">
        <w:rPr>
          <w:rFonts w:ascii="Times New Roman" w:hAnsi="Times New Roman" w:cs="Times New Roman"/>
          <w:sz w:val="28"/>
          <w:szCs w:val="28"/>
        </w:rPr>
        <w:t xml:space="preserve">, </w:t>
      </w:r>
      <w:r w:rsidR="00FE4036" w:rsidRPr="00611589">
        <w:rPr>
          <w:rFonts w:ascii="Times New Roman" w:hAnsi="Times New Roman" w:cs="Times New Roman"/>
          <w:sz w:val="28"/>
          <w:szCs w:val="28"/>
        </w:rPr>
        <w:t xml:space="preserve">izsakot </w:t>
      </w:r>
      <w:r w:rsidR="00BB2836" w:rsidRPr="00611589">
        <w:rPr>
          <w:rFonts w:ascii="Times New Roman" w:hAnsi="Times New Roman" w:cs="Times New Roman"/>
          <w:sz w:val="28"/>
          <w:szCs w:val="28"/>
        </w:rPr>
        <w:t>119 iebildumus un 79</w:t>
      </w:r>
      <w:r w:rsidR="007F01CD" w:rsidRPr="00611589">
        <w:rPr>
          <w:rFonts w:ascii="Times New Roman" w:hAnsi="Times New Roman" w:cs="Times New Roman"/>
          <w:sz w:val="28"/>
          <w:szCs w:val="28"/>
        </w:rPr>
        <w:t> </w:t>
      </w:r>
      <w:r w:rsidR="00BB2836" w:rsidRPr="00611589">
        <w:rPr>
          <w:rFonts w:ascii="Times New Roman" w:hAnsi="Times New Roman" w:cs="Times New Roman"/>
          <w:sz w:val="28"/>
          <w:szCs w:val="28"/>
        </w:rPr>
        <w:t>priekšlikumus.</w:t>
      </w:r>
      <w:r w:rsidR="00CD742E" w:rsidRPr="00611589">
        <w:rPr>
          <w:rFonts w:ascii="Times New Roman" w:hAnsi="Times New Roman" w:cs="Times New Roman"/>
          <w:sz w:val="28"/>
          <w:szCs w:val="28"/>
        </w:rPr>
        <w:t xml:space="preserve"> Pārskata periodā</w:t>
      </w:r>
      <w:r w:rsidR="00BB2836" w:rsidRPr="00611589">
        <w:rPr>
          <w:rFonts w:ascii="Times New Roman" w:hAnsi="Times New Roman" w:cs="Times New Roman"/>
          <w:sz w:val="28"/>
          <w:szCs w:val="28"/>
        </w:rPr>
        <w:t xml:space="preserve"> Birojs</w:t>
      </w:r>
      <w:r w:rsidR="0086438F" w:rsidRPr="00611589">
        <w:rPr>
          <w:rFonts w:ascii="Times New Roman" w:hAnsi="Times New Roman" w:cs="Times New Roman"/>
          <w:sz w:val="28"/>
          <w:szCs w:val="28"/>
        </w:rPr>
        <w:t xml:space="preserve"> papildus</w:t>
      </w:r>
      <w:r w:rsidR="00BB2836" w:rsidRPr="00611589">
        <w:rPr>
          <w:rFonts w:ascii="Times New Roman" w:hAnsi="Times New Roman" w:cs="Times New Roman"/>
          <w:sz w:val="28"/>
          <w:szCs w:val="28"/>
        </w:rPr>
        <w:t xml:space="preserve"> ir sagatavojis arī </w:t>
      </w:r>
      <w:r w:rsidR="00FE4036" w:rsidRPr="00611589">
        <w:rPr>
          <w:rFonts w:ascii="Times New Roman" w:hAnsi="Times New Roman" w:cs="Times New Roman"/>
          <w:sz w:val="28"/>
          <w:szCs w:val="28"/>
        </w:rPr>
        <w:t xml:space="preserve">14 atzinumus par Eiropas Savienības tiesību aktu un plānošanas dokumentu projektiem. </w:t>
      </w:r>
      <w:r w:rsidR="00CD742E" w:rsidRPr="00611589">
        <w:rPr>
          <w:rFonts w:ascii="Times New Roman" w:hAnsi="Times New Roman" w:cs="Times New Roman"/>
          <w:sz w:val="28"/>
          <w:szCs w:val="28"/>
        </w:rPr>
        <w:t xml:space="preserve">Kopā </w:t>
      </w:r>
      <w:r w:rsidR="00CD742E" w:rsidRPr="00611589">
        <w:rPr>
          <w:rFonts w:ascii="Times New Roman" w:hAnsi="Times New Roman" w:cs="Times New Roman"/>
          <w:b/>
          <w:sz w:val="28"/>
          <w:szCs w:val="28"/>
        </w:rPr>
        <w:t>2014.gadā sniegti 150 atzinumi</w:t>
      </w:r>
      <w:r w:rsidR="00CD742E" w:rsidRPr="00611589">
        <w:rPr>
          <w:rFonts w:ascii="Times New Roman" w:hAnsi="Times New Roman" w:cs="Times New Roman"/>
          <w:sz w:val="28"/>
          <w:szCs w:val="28"/>
        </w:rPr>
        <w:t xml:space="preserve">. </w:t>
      </w:r>
    </w:p>
    <w:p w:rsidR="00F4438D" w:rsidRPr="00611589" w:rsidRDefault="00F4438D" w:rsidP="00FE4036">
      <w:pPr>
        <w:autoSpaceDE w:val="0"/>
        <w:autoSpaceDN w:val="0"/>
        <w:adjustRightInd w:val="0"/>
        <w:spacing w:after="0" w:line="240" w:lineRule="auto"/>
        <w:ind w:firstLine="567"/>
        <w:jc w:val="both"/>
        <w:rPr>
          <w:rFonts w:ascii="Times New Roman" w:hAnsi="Times New Roman" w:cs="Times New Roman"/>
        </w:rPr>
      </w:pPr>
      <w:r w:rsidRPr="00611589">
        <w:rPr>
          <w:rFonts w:ascii="Times New Roman" w:hAnsi="Times New Roman" w:cs="Times New Roman"/>
          <w:sz w:val="28"/>
          <w:szCs w:val="28"/>
        </w:rPr>
        <w:t xml:space="preserve">Pildot likumā noteiktās funkcijas – analizēt valsts iestāžu praksi korupcijas novēršanā un atklātos korupcijas gadījumus, sniegt institūcijām priekšlikumus konstatēto trūkumu novēršanai, Birojs pārskata periodā </w:t>
      </w:r>
      <w:r w:rsidR="00FE4036" w:rsidRPr="00611589">
        <w:rPr>
          <w:rFonts w:ascii="Times New Roman" w:hAnsi="Times New Roman" w:cs="Times New Roman"/>
          <w:sz w:val="28"/>
          <w:szCs w:val="28"/>
        </w:rPr>
        <w:t xml:space="preserve">ir turpinājis darbu pie </w:t>
      </w:r>
      <w:r w:rsidRPr="00611589">
        <w:rPr>
          <w:rFonts w:ascii="Times New Roman" w:hAnsi="Times New Roman" w:cs="Times New Roman"/>
          <w:sz w:val="28"/>
          <w:szCs w:val="28"/>
        </w:rPr>
        <w:t>p</w:t>
      </w:r>
      <w:r w:rsidR="009606DA" w:rsidRPr="00611589">
        <w:rPr>
          <w:rFonts w:ascii="Times New Roman" w:hAnsi="Times New Roman" w:cs="Times New Roman"/>
          <w:sz w:val="28"/>
          <w:szCs w:val="28"/>
        </w:rPr>
        <w:t xml:space="preserve">ārskata sagatavošanas saistībā </w:t>
      </w:r>
      <w:r w:rsidRPr="00611589">
        <w:rPr>
          <w:rFonts w:ascii="Times New Roman" w:hAnsi="Times New Roman" w:cs="Times New Roman"/>
          <w:sz w:val="28"/>
          <w:szCs w:val="28"/>
        </w:rPr>
        <w:t>ar korupcijas riskiem tiesu sistēmā un priekšlikumu izstrādāšanas pretkorupcijas pasākumiem tiesās.</w:t>
      </w:r>
    </w:p>
    <w:p w:rsidR="00F01782" w:rsidRPr="00611589" w:rsidRDefault="00F01782" w:rsidP="000825F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8F32BD" w:rsidRPr="00611589" w:rsidRDefault="001208B0" w:rsidP="00113355">
      <w:pPr>
        <w:pStyle w:val="ListParagraph"/>
        <w:numPr>
          <w:ilvl w:val="1"/>
          <w:numId w:val="21"/>
        </w:numPr>
        <w:autoSpaceDE w:val="0"/>
        <w:autoSpaceDN w:val="0"/>
        <w:adjustRightInd w:val="0"/>
        <w:spacing w:after="0" w:line="240" w:lineRule="auto"/>
        <w:jc w:val="center"/>
        <w:rPr>
          <w:rFonts w:ascii="Times New Roman" w:hAnsi="Times New Roman" w:cs="Times New Roman"/>
          <w:b/>
          <w:sz w:val="28"/>
          <w:szCs w:val="28"/>
        </w:rPr>
      </w:pPr>
      <w:bookmarkStart w:id="2" w:name="_Toc282617331"/>
      <w:r w:rsidRPr="00611589">
        <w:rPr>
          <w:rFonts w:ascii="Times New Roman" w:hAnsi="Times New Roman" w:cs="Times New Roman"/>
          <w:b/>
          <w:sz w:val="28"/>
          <w:szCs w:val="28"/>
        </w:rPr>
        <w:t>I</w:t>
      </w:r>
      <w:r w:rsidR="008F32BD" w:rsidRPr="00611589">
        <w:rPr>
          <w:rFonts w:ascii="Times New Roman" w:hAnsi="Times New Roman" w:cs="Times New Roman"/>
          <w:b/>
          <w:sz w:val="28"/>
          <w:szCs w:val="28"/>
        </w:rPr>
        <w:t>zglītošana</w:t>
      </w:r>
      <w:bookmarkEnd w:id="2"/>
      <w:r w:rsidRPr="00611589">
        <w:rPr>
          <w:rFonts w:ascii="Times New Roman" w:hAnsi="Times New Roman" w:cs="Times New Roman"/>
          <w:b/>
          <w:sz w:val="28"/>
          <w:szCs w:val="28"/>
        </w:rPr>
        <w:t xml:space="preserve"> un sabiedrības informēšana </w:t>
      </w:r>
    </w:p>
    <w:p w:rsidR="00981728" w:rsidRPr="00611589" w:rsidRDefault="00F85D08" w:rsidP="00981728">
      <w:pPr>
        <w:pStyle w:val="NoSpacing"/>
        <w:ind w:firstLine="567"/>
        <w:jc w:val="both"/>
        <w:rPr>
          <w:rFonts w:ascii="Times New Roman" w:hAnsi="Times New Roman" w:cs="Times New Roman"/>
          <w:sz w:val="28"/>
          <w:szCs w:val="28"/>
        </w:rPr>
      </w:pPr>
      <w:r w:rsidRPr="00611589">
        <w:rPr>
          <w:rFonts w:ascii="Times New Roman" w:hAnsi="Times New Roman" w:cs="Times New Roman"/>
          <w:sz w:val="28"/>
          <w:szCs w:val="28"/>
        </w:rPr>
        <w:t>Pārskata periodā</w:t>
      </w:r>
      <w:r w:rsidR="00CD742E" w:rsidRPr="00611589">
        <w:rPr>
          <w:rFonts w:ascii="Times New Roman" w:hAnsi="Times New Roman" w:cs="Times New Roman"/>
          <w:sz w:val="28"/>
          <w:szCs w:val="28"/>
        </w:rPr>
        <w:t xml:space="preserve"> </w:t>
      </w:r>
      <w:r w:rsidR="001659BC" w:rsidRPr="00611589">
        <w:rPr>
          <w:rFonts w:ascii="Times New Roman" w:hAnsi="Times New Roman" w:cs="Times New Roman"/>
          <w:sz w:val="28"/>
          <w:szCs w:val="28"/>
        </w:rPr>
        <w:t xml:space="preserve">Biroja pārstāvji vadīja </w:t>
      </w:r>
      <w:r w:rsidR="00652C89" w:rsidRPr="00611589">
        <w:rPr>
          <w:rFonts w:ascii="Times New Roman" w:hAnsi="Times New Roman" w:cs="Times New Roman"/>
          <w:sz w:val="28"/>
          <w:szCs w:val="28"/>
        </w:rPr>
        <w:t xml:space="preserve">53 </w:t>
      </w:r>
      <w:r w:rsidR="009606DA" w:rsidRPr="00611589">
        <w:rPr>
          <w:rFonts w:ascii="Times New Roman" w:hAnsi="Times New Roman" w:cs="Times New Roman"/>
          <w:sz w:val="28"/>
          <w:szCs w:val="28"/>
        </w:rPr>
        <w:t>izglītošanas pasākumus</w:t>
      </w:r>
      <w:r w:rsidR="00652C89" w:rsidRPr="00611589">
        <w:rPr>
          <w:rFonts w:ascii="Times New Roman" w:hAnsi="Times New Roman" w:cs="Times New Roman"/>
          <w:sz w:val="28"/>
          <w:szCs w:val="28"/>
        </w:rPr>
        <w:t xml:space="preserve">, </w:t>
      </w:r>
      <w:r w:rsidR="009606DA" w:rsidRPr="00611589">
        <w:rPr>
          <w:rFonts w:ascii="Times New Roman" w:hAnsi="Times New Roman" w:cs="Times New Roman"/>
          <w:sz w:val="28"/>
          <w:szCs w:val="28"/>
        </w:rPr>
        <w:t xml:space="preserve">bet </w:t>
      </w:r>
      <w:r w:rsidR="00652C89" w:rsidRPr="00611589">
        <w:rPr>
          <w:rFonts w:ascii="Times New Roman" w:hAnsi="Times New Roman" w:cs="Times New Roman"/>
          <w:b/>
          <w:sz w:val="28"/>
          <w:szCs w:val="28"/>
        </w:rPr>
        <w:t xml:space="preserve">2014.gadā kopumā </w:t>
      </w:r>
      <w:r w:rsidR="00853512" w:rsidRPr="00611589">
        <w:rPr>
          <w:rFonts w:ascii="Times New Roman" w:hAnsi="Times New Roman" w:cs="Times New Roman"/>
          <w:b/>
          <w:sz w:val="28"/>
          <w:szCs w:val="28"/>
        </w:rPr>
        <w:t xml:space="preserve">–115 </w:t>
      </w:r>
      <w:r w:rsidR="00B220A9" w:rsidRPr="00611589">
        <w:rPr>
          <w:rFonts w:ascii="Times New Roman" w:hAnsi="Times New Roman" w:cs="Times New Roman"/>
          <w:b/>
          <w:sz w:val="28"/>
          <w:szCs w:val="28"/>
        </w:rPr>
        <w:t xml:space="preserve">izglītošanas </w:t>
      </w:r>
      <w:r w:rsidR="00853512" w:rsidRPr="00611589">
        <w:rPr>
          <w:rFonts w:ascii="Times New Roman" w:hAnsi="Times New Roman" w:cs="Times New Roman"/>
          <w:b/>
          <w:sz w:val="28"/>
          <w:szCs w:val="28"/>
        </w:rPr>
        <w:t>pasākumus</w:t>
      </w:r>
      <w:r w:rsidR="009606DA" w:rsidRPr="00611589">
        <w:rPr>
          <w:rFonts w:ascii="Times New Roman" w:hAnsi="Times New Roman" w:cs="Times New Roman"/>
          <w:sz w:val="28"/>
          <w:szCs w:val="28"/>
        </w:rPr>
        <w:t>,</w:t>
      </w:r>
      <w:r w:rsidR="001220D3" w:rsidRPr="00611589">
        <w:rPr>
          <w:rFonts w:ascii="Times New Roman" w:hAnsi="Times New Roman" w:cs="Times New Roman"/>
          <w:sz w:val="28"/>
          <w:szCs w:val="28"/>
        </w:rPr>
        <w:t xml:space="preserve"> kas ir par 24 </w:t>
      </w:r>
      <w:r w:rsidR="003C046E">
        <w:rPr>
          <w:rFonts w:ascii="Times New Roman" w:hAnsi="Times New Roman" w:cs="Times New Roman"/>
          <w:sz w:val="28"/>
          <w:szCs w:val="28"/>
        </w:rPr>
        <w:t>pasākumiem</w:t>
      </w:r>
      <w:r w:rsidR="001220D3" w:rsidRPr="00611589">
        <w:rPr>
          <w:rFonts w:ascii="Times New Roman" w:hAnsi="Times New Roman" w:cs="Times New Roman"/>
          <w:sz w:val="28"/>
          <w:szCs w:val="28"/>
        </w:rPr>
        <w:t xml:space="preserve"> vairāk nekā iepriekšējā gadā</w:t>
      </w:r>
      <w:r w:rsidR="009606DA" w:rsidRPr="00611589">
        <w:rPr>
          <w:rFonts w:ascii="Times New Roman" w:hAnsi="Times New Roman" w:cs="Times New Roman"/>
          <w:sz w:val="28"/>
          <w:szCs w:val="28"/>
        </w:rPr>
        <w:t>. 2014.gada otrajā pusgadā Biroja organizētās</w:t>
      </w:r>
      <w:r w:rsidR="00853512" w:rsidRPr="00611589">
        <w:rPr>
          <w:rFonts w:ascii="Times New Roman" w:hAnsi="Times New Roman" w:cs="Times New Roman"/>
          <w:sz w:val="28"/>
          <w:szCs w:val="28"/>
        </w:rPr>
        <w:t xml:space="preserve"> izglītošanas </w:t>
      </w:r>
      <w:r w:rsidR="009606DA" w:rsidRPr="00611589">
        <w:rPr>
          <w:rFonts w:ascii="Times New Roman" w:hAnsi="Times New Roman" w:cs="Times New Roman"/>
          <w:sz w:val="28"/>
          <w:szCs w:val="28"/>
        </w:rPr>
        <w:t>nodarbības</w:t>
      </w:r>
      <w:r w:rsidR="00853512" w:rsidRPr="00611589">
        <w:rPr>
          <w:rFonts w:ascii="Times New Roman" w:hAnsi="Times New Roman" w:cs="Times New Roman"/>
          <w:sz w:val="28"/>
          <w:szCs w:val="28"/>
        </w:rPr>
        <w:t xml:space="preserve"> par pretkorupcijas, interešu konflikta novēršanas, publiskās pārvaldes ētikas jautājumiem un politiskās aģitācijas ierobežojumiem apmeklēja </w:t>
      </w:r>
      <w:r w:rsidR="00652C89" w:rsidRPr="00611589">
        <w:rPr>
          <w:rFonts w:ascii="Times New Roman" w:hAnsi="Times New Roman" w:cs="Times New Roman"/>
          <w:sz w:val="28"/>
          <w:szCs w:val="28"/>
        </w:rPr>
        <w:t xml:space="preserve">1730 </w:t>
      </w:r>
      <w:r w:rsidR="00853512" w:rsidRPr="00611589">
        <w:rPr>
          <w:rFonts w:ascii="Times New Roman" w:hAnsi="Times New Roman" w:cs="Times New Roman"/>
          <w:sz w:val="28"/>
          <w:szCs w:val="28"/>
        </w:rPr>
        <w:t>personas</w:t>
      </w:r>
      <w:r w:rsidR="00652C89" w:rsidRPr="00611589">
        <w:rPr>
          <w:rFonts w:ascii="Times New Roman" w:hAnsi="Times New Roman" w:cs="Times New Roman"/>
          <w:sz w:val="28"/>
          <w:szCs w:val="28"/>
        </w:rPr>
        <w:t xml:space="preserve">. </w:t>
      </w:r>
      <w:r w:rsidR="00853512" w:rsidRPr="00611589">
        <w:rPr>
          <w:rFonts w:ascii="Times New Roman" w:hAnsi="Times New Roman" w:cs="Times New Roman"/>
          <w:sz w:val="28"/>
          <w:szCs w:val="28"/>
        </w:rPr>
        <w:t xml:space="preserve">Kopumā 2014.gadā </w:t>
      </w:r>
      <w:r w:rsidR="003C046E">
        <w:rPr>
          <w:rFonts w:ascii="Times New Roman" w:hAnsi="Times New Roman" w:cs="Times New Roman"/>
          <w:sz w:val="28"/>
          <w:szCs w:val="28"/>
        </w:rPr>
        <w:t>izglītošanas pasākumos piedalījās</w:t>
      </w:r>
      <w:r w:rsidR="00853512" w:rsidRPr="00611589">
        <w:rPr>
          <w:rFonts w:ascii="Times New Roman" w:hAnsi="Times New Roman" w:cs="Times New Roman"/>
          <w:sz w:val="28"/>
          <w:szCs w:val="28"/>
        </w:rPr>
        <w:t xml:space="preserve"> </w:t>
      </w:r>
      <w:r w:rsidR="003C046E">
        <w:rPr>
          <w:rFonts w:ascii="Times New Roman" w:hAnsi="Times New Roman" w:cs="Times New Roman"/>
          <w:b/>
          <w:sz w:val="28"/>
          <w:szCs w:val="28"/>
        </w:rPr>
        <w:t>3806 personas</w:t>
      </w:r>
      <w:r w:rsidR="00853512" w:rsidRPr="00611589">
        <w:rPr>
          <w:rFonts w:ascii="Times New Roman" w:hAnsi="Times New Roman" w:cs="Times New Roman"/>
          <w:sz w:val="28"/>
          <w:szCs w:val="28"/>
        </w:rPr>
        <w:t xml:space="preserve">, kas ir par </w:t>
      </w:r>
      <w:r w:rsidR="001220D3" w:rsidRPr="00611589">
        <w:rPr>
          <w:rFonts w:ascii="Times New Roman" w:hAnsi="Times New Roman" w:cs="Times New Roman"/>
          <w:sz w:val="28"/>
          <w:szCs w:val="28"/>
        </w:rPr>
        <w:t xml:space="preserve">668 </w:t>
      </w:r>
      <w:r w:rsidR="009606DA" w:rsidRPr="00611589">
        <w:rPr>
          <w:rFonts w:ascii="Times New Roman" w:hAnsi="Times New Roman" w:cs="Times New Roman"/>
          <w:sz w:val="28"/>
          <w:szCs w:val="28"/>
        </w:rPr>
        <w:t>personām vairāk nekā 2013.gadā.</w:t>
      </w:r>
      <w:r w:rsidR="001220D3" w:rsidRPr="00611589">
        <w:rPr>
          <w:rFonts w:ascii="Times New Roman" w:hAnsi="Times New Roman" w:cs="Times New Roman"/>
          <w:sz w:val="28"/>
          <w:szCs w:val="28"/>
        </w:rPr>
        <w:t xml:space="preserve"> </w:t>
      </w:r>
      <w:r w:rsidR="003C046E">
        <w:rPr>
          <w:rFonts w:ascii="Times New Roman" w:hAnsi="Times New Roman" w:cs="Times New Roman"/>
          <w:sz w:val="28"/>
          <w:szCs w:val="28"/>
        </w:rPr>
        <w:t>Šajos pasākumos piedalījās</w:t>
      </w:r>
      <w:r w:rsidR="00652C89" w:rsidRPr="00611589">
        <w:rPr>
          <w:rFonts w:ascii="Times New Roman" w:hAnsi="Times New Roman" w:cs="Times New Roman"/>
          <w:sz w:val="28"/>
          <w:szCs w:val="28"/>
        </w:rPr>
        <w:t xml:space="preserve"> valsts amatpersonas un valsts un pašvaldību iestāžu darbinieki, jaunieši, pedagogi, politisko partiju pārstāvji, zvērināti revidenti un auditori.</w:t>
      </w:r>
      <w:r w:rsidR="00CD742E" w:rsidRPr="00611589">
        <w:rPr>
          <w:rFonts w:ascii="Times New Roman" w:hAnsi="Times New Roman" w:cs="Times New Roman"/>
          <w:sz w:val="28"/>
          <w:szCs w:val="28"/>
        </w:rPr>
        <w:t xml:space="preserve"> </w:t>
      </w:r>
      <w:r w:rsidR="00131EB4" w:rsidRPr="00611589">
        <w:rPr>
          <w:rFonts w:ascii="Times New Roman" w:hAnsi="Times New Roman" w:cs="Times New Roman"/>
          <w:sz w:val="28"/>
          <w:szCs w:val="28"/>
        </w:rPr>
        <w:t xml:space="preserve">Īstenoto izglītošanas pasākumu un </w:t>
      </w:r>
      <w:r w:rsidR="002952ED" w:rsidRPr="00611589">
        <w:rPr>
          <w:rFonts w:ascii="Times New Roman" w:hAnsi="Times New Roman" w:cs="Times New Roman"/>
          <w:sz w:val="28"/>
          <w:szCs w:val="28"/>
        </w:rPr>
        <w:t xml:space="preserve">to </w:t>
      </w:r>
      <w:r w:rsidR="00131EB4" w:rsidRPr="00611589">
        <w:rPr>
          <w:rFonts w:ascii="Times New Roman" w:hAnsi="Times New Roman" w:cs="Times New Roman"/>
          <w:sz w:val="28"/>
          <w:szCs w:val="28"/>
        </w:rPr>
        <w:t>dalībnieku skait</w:t>
      </w:r>
      <w:r w:rsidR="001C5C79" w:rsidRPr="00611589">
        <w:rPr>
          <w:rFonts w:ascii="Times New Roman" w:hAnsi="Times New Roman" w:cs="Times New Roman"/>
          <w:sz w:val="28"/>
          <w:szCs w:val="28"/>
        </w:rPr>
        <w:t xml:space="preserve">s </w:t>
      </w:r>
      <w:r w:rsidR="00131EB4" w:rsidRPr="00611589">
        <w:rPr>
          <w:rFonts w:ascii="Times New Roman" w:hAnsi="Times New Roman" w:cs="Times New Roman"/>
          <w:sz w:val="28"/>
          <w:szCs w:val="28"/>
        </w:rPr>
        <w:t>atspoguļots</w:t>
      </w:r>
      <w:r w:rsidR="006C1384">
        <w:rPr>
          <w:rFonts w:ascii="Times New Roman" w:hAnsi="Times New Roman" w:cs="Times New Roman"/>
          <w:sz w:val="28"/>
          <w:szCs w:val="28"/>
        </w:rPr>
        <w:t xml:space="preserve"> </w:t>
      </w:r>
      <w:r w:rsidR="00131EB4" w:rsidRPr="00611589">
        <w:rPr>
          <w:rFonts w:ascii="Times New Roman" w:hAnsi="Times New Roman" w:cs="Times New Roman"/>
          <w:sz w:val="28"/>
          <w:szCs w:val="28"/>
        </w:rPr>
        <w:t>2.attēlā.</w:t>
      </w:r>
    </w:p>
    <w:p w:rsidR="0023653B" w:rsidRPr="00611589" w:rsidRDefault="0023653B" w:rsidP="0023653B">
      <w:pPr>
        <w:spacing w:after="0" w:line="240" w:lineRule="auto"/>
        <w:ind w:firstLine="567"/>
        <w:jc w:val="both"/>
        <w:rPr>
          <w:rFonts w:ascii="Times New Roman" w:hAnsi="Times New Roman"/>
          <w:sz w:val="28"/>
          <w:szCs w:val="28"/>
        </w:rPr>
      </w:pPr>
      <w:r w:rsidRPr="00611589">
        <w:rPr>
          <w:rFonts w:ascii="Times New Roman" w:hAnsi="Times New Roman"/>
          <w:sz w:val="28"/>
          <w:szCs w:val="28"/>
        </w:rPr>
        <w:t xml:space="preserve">Pārskata periodā Birojs turpināja 2014.gada pirmajā ceturksnī uzsākto privātā sektora uzņēmumu pārstāvju izglītošanu par korupcijas sekām un tās novēršanu, nodrošinot Ekonomiskās sadarbības un attīstības organizācijas (OECD) materiāla par iekšējo kontroli tulkošanu uz latviešu valodu un materiāla rediģēšanu. </w:t>
      </w:r>
      <w:r w:rsidR="003C046E">
        <w:rPr>
          <w:rFonts w:ascii="Times New Roman" w:hAnsi="Times New Roman"/>
          <w:sz w:val="28"/>
          <w:szCs w:val="28"/>
        </w:rPr>
        <w:t>Tika</w:t>
      </w:r>
      <w:r w:rsidRPr="00611589">
        <w:rPr>
          <w:rFonts w:ascii="Times New Roman" w:hAnsi="Times New Roman"/>
          <w:sz w:val="28"/>
          <w:szCs w:val="28"/>
        </w:rPr>
        <w:t xml:space="preserve"> sagatavots </w:t>
      </w:r>
      <w:r w:rsidRPr="00611589">
        <w:rPr>
          <w:rFonts w:ascii="Times New Roman" w:hAnsi="Times New Roman"/>
          <w:b/>
          <w:sz w:val="28"/>
          <w:szCs w:val="28"/>
        </w:rPr>
        <w:t>uzņēmējus izglītojošs buklets</w:t>
      </w:r>
      <w:r w:rsidRPr="00611589">
        <w:rPr>
          <w:rFonts w:ascii="Times New Roman" w:hAnsi="Times New Roman"/>
          <w:sz w:val="28"/>
          <w:szCs w:val="28"/>
        </w:rPr>
        <w:t xml:space="preserve">, kas sadarbībā ar Latvijas Investīciju un attīstības aģentūru, Latvijas Darba devēju konfederāciju un Ārlietu ministriju tiek izplatīts gan drukātā veidā, gan pieejams elektroniski Biroja </w:t>
      </w:r>
      <w:hyperlink r:id="rId11" w:history="1">
        <w:proofErr w:type="spellStart"/>
        <w:r w:rsidRPr="00611589">
          <w:rPr>
            <w:rFonts w:ascii="Times New Roman" w:hAnsi="Times New Roman"/>
            <w:sz w:val="28"/>
            <w:szCs w:val="28"/>
            <w:u w:val="single"/>
          </w:rPr>
          <w:t>mājaslapā</w:t>
        </w:r>
        <w:proofErr w:type="spellEnd"/>
      </w:hyperlink>
      <w:r w:rsidRPr="00611589">
        <w:rPr>
          <w:rFonts w:ascii="Times New Roman" w:hAnsi="Times New Roman"/>
          <w:sz w:val="28"/>
          <w:szCs w:val="28"/>
        </w:rPr>
        <w:t xml:space="preserve"> un citviet.</w:t>
      </w:r>
    </w:p>
    <w:p w:rsidR="0023653B" w:rsidRPr="00611589" w:rsidRDefault="006C1384" w:rsidP="0023653B">
      <w:pPr>
        <w:spacing w:after="0" w:line="240" w:lineRule="auto"/>
        <w:ind w:firstLine="567"/>
        <w:jc w:val="both"/>
        <w:rPr>
          <w:rFonts w:ascii="Times New Roman" w:hAnsi="Times New Roman"/>
          <w:sz w:val="28"/>
          <w:szCs w:val="28"/>
        </w:rPr>
      </w:pPr>
      <w:r>
        <w:rPr>
          <w:rFonts w:ascii="Times New Roman" w:hAnsi="Times New Roman"/>
          <w:sz w:val="28"/>
          <w:szCs w:val="28"/>
        </w:rPr>
        <w:t>2014.gada decembrī</w:t>
      </w:r>
      <w:r w:rsidR="0023653B" w:rsidRPr="00611589">
        <w:rPr>
          <w:rFonts w:ascii="Times New Roman" w:hAnsi="Times New Roman"/>
          <w:sz w:val="28"/>
          <w:szCs w:val="28"/>
        </w:rPr>
        <w:t xml:space="preserve"> valsts amatpersonu izglītošanai sagatavots viens informatīvais</w:t>
      </w:r>
      <w:r w:rsidR="00CD742E" w:rsidRPr="00611589">
        <w:rPr>
          <w:rFonts w:ascii="Times New Roman" w:hAnsi="Times New Roman"/>
          <w:sz w:val="28"/>
          <w:szCs w:val="28"/>
        </w:rPr>
        <w:t xml:space="preserve"> </w:t>
      </w:r>
      <w:hyperlink r:id="rId12" w:history="1">
        <w:r w:rsidR="0023653B" w:rsidRPr="00611589">
          <w:rPr>
            <w:rFonts w:ascii="Times New Roman" w:hAnsi="Times New Roman"/>
            <w:sz w:val="28"/>
            <w:szCs w:val="28"/>
            <w:u w:val="single"/>
          </w:rPr>
          <w:t>izdevums</w:t>
        </w:r>
      </w:hyperlink>
      <w:r w:rsidR="0023653B" w:rsidRPr="00611589">
        <w:rPr>
          <w:rFonts w:ascii="Times New Roman" w:hAnsi="Times New Roman"/>
          <w:sz w:val="28"/>
          <w:szCs w:val="28"/>
        </w:rPr>
        <w:t xml:space="preserve"> valsts amatpersonām par aktualitātēm korupcijas </w:t>
      </w:r>
      <w:r w:rsidR="0023653B" w:rsidRPr="00611589">
        <w:rPr>
          <w:rFonts w:ascii="Times New Roman" w:hAnsi="Times New Roman"/>
          <w:sz w:val="28"/>
          <w:szCs w:val="28"/>
        </w:rPr>
        <w:lastRenderedPageBreak/>
        <w:t xml:space="preserve">novēršanā un apkarošanā. Kopā 2014.gadā Birojs sagatavojis trīs šādus informatīvos izdevumus. </w:t>
      </w:r>
    </w:p>
    <w:p w:rsidR="0023653B" w:rsidRPr="00611589" w:rsidRDefault="0023653B" w:rsidP="0023653B">
      <w:pPr>
        <w:pStyle w:val="NoSpacing"/>
        <w:ind w:firstLine="567"/>
        <w:jc w:val="both"/>
        <w:rPr>
          <w:rFonts w:ascii="Times New Roman" w:hAnsi="Times New Roman" w:cs="Times New Roman"/>
          <w:sz w:val="28"/>
          <w:szCs w:val="28"/>
        </w:rPr>
      </w:pPr>
      <w:r w:rsidRPr="00611589">
        <w:rPr>
          <w:rFonts w:ascii="Times New Roman" w:hAnsi="Times New Roman" w:cs="Times New Roman"/>
          <w:sz w:val="28"/>
          <w:szCs w:val="28"/>
        </w:rPr>
        <w:t xml:space="preserve">2014.gadā Birojs uzsāka valsts </w:t>
      </w:r>
      <w:r w:rsidRPr="00611589">
        <w:rPr>
          <w:rFonts w:ascii="Times New Roman" w:hAnsi="Times New Roman" w:cs="Times New Roman"/>
          <w:b/>
          <w:sz w:val="28"/>
          <w:szCs w:val="28"/>
        </w:rPr>
        <w:t>amatpersonu</w:t>
      </w:r>
      <w:r w:rsidRPr="00611589">
        <w:rPr>
          <w:rFonts w:ascii="Times New Roman" w:hAnsi="Times New Roman" w:cs="Times New Roman"/>
          <w:sz w:val="28"/>
          <w:szCs w:val="28"/>
        </w:rPr>
        <w:t xml:space="preserve"> un publisko institūciju darbinieku </w:t>
      </w:r>
      <w:r w:rsidRPr="00611589">
        <w:rPr>
          <w:rFonts w:ascii="Times New Roman" w:hAnsi="Times New Roman" w:cs="Times New Roman"/>
          <w:b/>
          <w:sz w:val="28"/>
          <w:szCs w:val="28"/>
        </w:rPr>
        <w:t>zināšanu testēšanu</w:t>
      </w:r>
      <w:r w:rsidRPr="00611589">
        <w:rPr>
          <w:rFonts w:ascii="Times New Roman" w:hAnsi="Times New Roman" w:cs="Times New Roman"/>
          <w:sz w:val="28"/>
          <w:szCs w:val="28"/>
        </w:rPr>
        <w:t xml:space="preserve"> par korupcijas un interešu konflikta novēršanas jautājumiem. L</w:t>
      </w:r>
      <w:r w:rsidRPr="00611589">
        <w:rPr>
          <w:rFonts w:ascii="Times New Roman" w:hAnsi="Times New Roman" w:cs="Times New Roman"/>
          <w:bCs/>
          <w:sz w:val="28"/>
          <w:szCs w:val="28"/>
        </w:rPr>
        <w:t>ai gan kopumā valsts amatpersonu un publisko institūciju darbinieku zināšanas vērtējamas kā labas, tomēr labākus rezultātus ir uzrādījušas tieši valsts sektora amatpersonas. Veiktajā amatpersonu zināšanu pārbaudē valsts sektorā strādājošie pareizās atbildes snieguši vidēji uz 81,7% jautājumu, bet pašvaldību sektorā – 76,3% jautājumu. Satraucošs ir rādītājs, ka atbildīgos pašvaldību amatos strādājošajām valsts amatpersonām – pašvaldību iestāžu vadītājiem un viņu vietniekiem, izpilddirektoriem un pagasta pārvalžu vadītājiem – testa rezultāti ir zem vidējā rādītāja – vadītāji atbildējuši pareizi vidēji uz 74% jautājumu, kas ir par pieciem procentpunktiem mazāk. Tas norāda uz nepietiekamas uzmanības pievēršanu korupcijas novēršanas pasākumiem tieši pašvaldībās un to institūcijās, kā arī vēlreiz apstiprina, ka vienai no Biroja izglītošanas pasākumu prioritārajām mērķauditorijām ir jābūt tieši pašvaldību amatpersonām un īpaši to iestāžu vadītājiem un viņu vietniekiem.</w:t>
      </w:r>
    </w:p>
    <w:p w:rsidR="00113355" w:rsidRPr="00611589" w:rsidRDefault="00113355" w:rsidP="00981728">
      <w:pPr>
        <w:pStyle w:val="NoSpacing"/>
        <w:ind w:firstLine="567"/>
        <w:jc w:val="both"/>
        <w:rPr>
          <w:rFonts w:ascii="Times New Roman" w:hAnsi="Times New Roman" w:cs="Times New Roman"/>
          <w:sz w:val="28"/>
          <w:szCs w:val="28"/>
        </w:rPr>
      </w:pPr>
    </w:p>
    <w:p w:rsidR="00113355" w:rsidRPr="00611589" w:rsidRDefault="00113355" w:rsidP="00113355">
      <w:pPr>
        <w:spacing w:after="0" w:line="240" w:lineRule="auto"/>
        <w:ind w:firstLine="567"/>
        <w:rPr>
          <w:rFonts w:ascii="Times New Roman" w:hAnsi="Times New Roman" w:cs="Times New Roman"/>
          <w:b/>
          <w:sz w:val="28"/>
          <w:szCs w:val="28"/>
        </w:rPr>
      </w:pPr>
      <w:r w:rsidRPr="00611589">
        <w:rPr>
          <w:rFonts w:ascii="Times New Roman" w:hAnsi="Times New Roman" w:cs="Times New Roman"/>
          <w:i/>
          <w:sz w:val="28"/>
          <w:szCs w:val="28"/>
        </w:rPr>
        <w:t>2.attēls</w:t>
      </w:r>
      <w:r w:rsidRPr="00611589">
        <w:rPr>
          <w:rFonts w:ascii="Times New Roman" w:hAnsi="Times New Roman" w:cs="Times New Roman"/>
          <w:sz w:val="28"/>
          <w:szCs w:val="28"/>
        </w:rPr>
        <w:t xml:space="preserve">. </w:t>
      </w:r>
      <w:r w:rsidRPr="00611589">
        <w:rPr>
          <w:rFonts w:ascii="Times New Roman" w:hAnsi="Times New Roman" w:cs="Times New Roman"/>
          <w:b/>
          <w:sz w:val="28"/>
          <w:szCs w:val="28"/>
        </w:rPr>
        <w:t xml:space="preserve">Izglītošanas pasākumi un dalībnieku skaits (2006 – 2014) </w:t>
      </w:r>
    </w:p>
    <w:p w:rsidR="00B220A9" w:rsidRPr="00611589" w:rsidRDefault="00B220A9" w:rsidP="002820B1">
      <w:pPr>
        <w:pStyle w:val="NoSpacing"/>
        <w:rPr>
          <w:rFonts w:ascii="Times New Roman" w:hAnsi="Times New Roman" w:cs="Times New Roman"/>
          <w:b/>
          <w:color w:val="1F497D" w:themeColor="text2"/>
          <w:sz w:val="28"/>
          <w:szCs w:val="28"/>
        </w:rPr>
      </w:pPr>
      <w:r w:rsidRPr="00611589">
        <w:rPr>
          <w:noProof/>
          <w:lang w:eastAsia="lv-LV"/>
        </w:rPr>
        <w:drawing>
          <wp:inline distT="0" distB="0" distL="0" distR="0" wp14:anchorId="75B78A25" wp14:editId="1D3BB597">
            <wp:extent cx="5658928" cy="407166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08B0" w:rsidRPr="00611589" w:rsidRDefault="001208B0" w:rsidP="00981728">
      <w:pPr>
        <w:pStyle w:val="NoSpacing"/>
        <w:ind w:firstLine="567"/>
        <w:jc w:val="both"/>
        <w:rPr>
          <w:rFonts w:ascii="Times New Roman" w:hAnsi="Times New Roman" w:cs="Times New Roman"/>
          <w:sz w:val="28"/>
          <w:szCs w:val="28"/>
        </w:rPr>
      </w:pPr>
      <w:r w:rsidRPr="00611589">
        <w:rPr>
          <w:rFonts w:ascii="Times New Roman" w:hAnsi="Times New Roman" w:cs="Times New Roman"/>
          <w:sz w:val="28"/>
          <w:szCs w:val="28"/>
        </w:rPr>
        <w:t>Pārskata periodā Birojs turpinājis īstenot programmu „</w:t>
      </w:r>
      <w:proofErr w:type="spellStart"/>
      <w:r w:rsidRPr="00611589">
        <w:rPr>
          <w:rFonts w:ascii="Times New Roman" w:hAnsi="Times New Roman" w:cs="Times New Roman"/>
          <w:b/>
          <w:sz w:val="28"/>
          <w:szCs w:val="28"/>
        </w:rPr>
        <w:t>Tālākizglītotāju</w:t>
      </w:r>
      <w:proofErr w:type="spellEnd"/>
      <w:r w:rsidRPr="00611589">
        <w:rPr>
          <w:rFonts w:ascii="Times New Roman" w:hAnsi="Times New Roman" w:cs="Times New Roman"/>
          <w:b/>
          <w:sz w:val="28"/>
          <w:szCs w:val="28"/>
        </w:rPr>
        <w:t xml:space="preserve"> apmācība</w:t>
      </w:r>
      <w:r w:rsidRPr="00611589">
        <w:rPr>
          <w:rFonts w:ascii="Times New Roman" w:hAnsi="Times New Roman" w:cs="Times New Roman"/>
          <w:sz w:val="28"/>
          <w:szCs w:val="28"/>
        </w:rPr>
        <w:t xml:space="preserve"> par pretkorupcijas jautājumiem publiskās institūcijās”, lai celtu amatpersonu zināšanu līmeni, apmācot amatpersonas, kuras savās institūcijās īstenos darbinieku </w:t>
      </w:r>
      <w:proofErr w:type="spellStart"/>
      <w:r w:rsidRPr="00611589">
        <w:rPr>
          <w:rFonts w:ascii="Times New Roman" w:hAnsi="Times New Roman" w:cs="Times New Roman"/>
          <w:sz w:val="28"/>
          <w:szCs w:val="28"/>
        </w:rPr>
        <w:t>tālākapmācību</w:t>
      </w:r>
      <w:proofErr w:type="spellEnd"/>
      <w:r w:rsidRPr="00611589">
        <w:rPr>
          <w:rFonts w:ascii="Times New Roman" w:hAnsi="Times New Roman" w:cs="Times New Roman"/>
          <w:sz w:val="28"/>
          <w:szCs w:val="28"/>
        </w:rPr>
        <w:t>. Šobrīd progr</w:t>
      </w:r>
      <w:r w:rsidR="004A1747" w:rsidRPr="00611589">
        <w:rPr>
          <w:rFonts w:ascii="Times New Roman" w:hAnsi="Times New Roman" w:cs="Times New Roman"/>
          <w:sz w:val="28"/>
          <w:szCs w:val="28"/>
        </w:rPr>
        <w:t>ammu apguvuši 13 institūciju 60 </w:t>
      </w:r>
      <w:r w:rsidRPr="00611589">
        <w:rPr>
          <w:rFonts w:ascii="Times New Roman" w:hAnsi="Times New Roman" w:cs="Times New Roman"/>
          <w:sz w:val="28"/>
          <w:szCs w:val="28"/>
        </w:rPr>
        <w:t xml:space="preserve">pārstāvji, kuri sagatavoti nodarbību vadīšanai savās institūcijās. Izstrādāta jauna </w:t>
      </w:r>
      <w:r w:rsidRPr="00611589">
        <w:rPr>
          <w:rFonts w:ascii="Times New Roman" w:hAnsi="Times New Roman" w:cs="Times New Roman"/>
          <w:b/>
          <w:sz w:val="28"/>
          <w:szCs w:val="28"/>
        </w:rPr>
        <w:t>e-apmācību vides</w:t>
      </w:r>
      <w:r w:rsidRPr="00611589">
        <w:rPr>
          <w:rFonts w:ascii="Times New Roman" w:hAnsi="Times New Roman" w:cs="Times New Roman"/>
          <w:sz w:val="28"/>
          <w:szCs w:val="28"/>
        </w:rPr>
        <w:t xml:space="preserve"> vizuālā identitāte. Plānots, ka 2015.gadā e-apmācību </w:t>
      </w:r>
      <w:r w:rsidRPr="00611589">
        <w:rPr>
          <w:rFonts w:ascii="Times New Roman" w:hAnsi="Times New Roman" w:cs="Times New Roman"/>
          <w:sz w:val="28"/>
          <w:szCs w:val="28"/>
        </w:rPr>
        <w:lastRenderedPageBreak/>
        <w:t>vide tiks papildināta ar zināšanu testiem valsts amatpersonām, videomateriāliem un citiem mācību līdzekļiem.</w:t>
      </w:r>
    </w:p>
    <w:p w:rsidR="00F24D81" w:rsidRPr="00611589" w:rsidRDefault="00F24D81" w:rsidP="00F24D81">
      <w:pPr>
        <w:pStyle w:val="NoSpacing"/>
        <w:tabs>
          <w:tab w:val="left" w:pos="2025"/>
        </w:tabs>
        <w:ind w:firstLine="720"/>
        <w:jc w:val="both"/>
        <w:rPr>
          <w:rFonts w:ascii="Times New Roman" w:hAnsi="Times New Roman" w:cs="Times New Roman"/>
          <w:sz w:val="28"/>
          <w:szCs w:val="28"/>
        </w:rPr>
      </w:pPr>
      <w:r w:rsidRPr="00611589">
        <w:rPr>
          <w:rFonts w:ascii="Times New Roman" w:hAnsi="Times New Roman" w:cs="Times New Roman"/>
          <w:sz w:val="28"/>
          <w:szCs w:val="28"/>
        </w:rPr>
        <w:t>2014.gada 29. oktobrī Birojs sadarbībā ar Valmieras pilsētas pašvaldību rīkoja informatīvo dienu, kuras laikā Birojs informēja par savu darbu, kā arī iedzīvotājiem bija iespēja gūt informāciju par korupcijas negatīvajām sekām un</w:t>
      </w:r>
      <w:r w:rsidR="00734F61" w:rsidRPr="00611589">
        <w:rPr>
          <w:rFonts w:ascii="Times New Roman" w:hAnsi="Times New Roman" w:cs="Times New Roman"/>
          <w:sz w:val="28"/>
          <w:szCs w:val="28"/>
        </w:rPr>
        <w:t xml:space="preserve"> iespējām ziņot par pārkāpumiem</w:t>
      </w:r>
      <w:r w:rsidRPr="00611589">
        <w:rPr>
          <w:rFonts w:ascii="Times New Roman" w:hAnsi="Times New Roman" w:cs="Times New Roman"/>
          <w:sz w:val="28"/>
          <w:szCs w:val="28"/>
        </w:rPr>
        <w:t xml:space="preserve">. Kopumā 2014.gadā Birojs organizēja </w:t>
      </w:r>
      <w:r w:rsidRPr="00611589">
        <w:rPr>
          <w:rFonts w:ascii="Times New Roman" w:hAnsi="Times New Roman" w:cs="Times New Roman"/>
          <w:b/>
          <w:sz w:val="28"/>
          <w:szCs w:val="28"/>
        </w:rPr>
        <w:t>divas informatīvās dienas</w:t>
      </w:r>
      <w:r w:rsidRPr="00611589">
        <w:rPr>
          <w:rFonts w:ascii="Times New Roman" w:hAnsi="Times New Roman" w:cs="Times New Roman"/>
          <w:sz w:val="28"/>
          <w:szCs w:val="28"/>
        </w:rPr>
        <w:t xml:space="preserve">– Kuldīgā un Valmierā. </w:t>
      </w:r>
    </w:p>
    <w:p w:rsidR="00AD6421" w:rsidRPr="00611589" w:rsidRDefault="00AD6421" w:rsidP="00AD6421">
      <w:pPr>
        <w:pStyle w:val="NoSpacing"/>
        <w:tabs>
          <w:tab w:val="left" w:pos="2025"/>
        </w:tabs>
        <w:ind w:firstLine="720"/>
        <w:jc w:val="both"/>
        <w:rPr>
          <w:rFonts w:ascii="Times New Roman" w:hAnsi="Times New Roman" w:cs="Times New Roman"/>
          <w:sz w:val="28"/>
          <w:szCs w:val="28"/>
        </w:rPr>
      </w:pPr>
      <w:r w:rsidRPr="00611589">
        <w:rPr>
          <w:rFonts w:ascii="Times New Roman" w:hAnsi="Times New Roman" w:cs="Times New Roman"/>
          <w:sz w:val="28"/>
          <w:szCs w:val="28"/>
        </w:rPr>
        <w:t xml:space="preserve">Pārskata periodā Birojs rīkoja pretkorupcijas </w:t>
      </w:r>
      <w:r w:rsidRPr="00611589">
        <w:rPr>
          <w:rFonts w:ascii="Times New Roman" w:hAnsi="Times New Roman" w:cs="Times New Roman"/>
          <w:b/>
          <w:sz w:val="28"/>
          <w:szCs w:val="28"/>
        </w:rPr>
        <w:t>sociālo kampaņu</w:t>
      </w:r>
      <w:hyperlink r:id="rId14" w:tgtFrame="_blank" w:history="1">
        <w:r w:rsidRPr="00611589">
          <w:rPr>
            <w:rStyle w:val="Hyperlink"/>
            <w:rFonts w:ascii="Times New Roman" w:hAnsi="Times New Roman" w:cs="Times New Roman"/>
            <w:bCs/>
            <w:color w:val="auto"/>
            <w:sz w:val="28"/>
            <w:szCs w:val="28"/>
          </w:rPr>
          <w:t xml:space="preserve"> „Korupcija – slidens ceļš!”</w:t>
        </w:r>
      </w:hyperlink>
      <w:r w:rsidRPr="00611589">
        <w:rPr>
          <w:rFonts w:ascii="Times New Roman" w:hAnsi="Times New Roman" w:cs="Times New Roman"/>
          <w:sz w:val="28"/>
          <w:szCs w:val="28"/>
        </w:rPr>
        <w:t xml:space="preserve">, uzrunājot sabiedrību par </w:t>
      </w:r>
      <w:proofErr w:type="spellStart"/>
      <w:r w:rsidRPr="00611589">
        <w:rPr>
          <w:rFonts w:ascii="Times New Roman" w:hAnsi="Times New Roman" w:cs="Times New Roman"/>
          <w:sz w:val="28"/>
          <w:szCs w:val="28"/>
        </w:rPr>
        <w:t>koruptīvas</w:t>
      </w:r>
      <w:proofErr w:type="spellEnd"/>
      <w:r w:rsidRPr="00611589">
        <w:rPr>
          <w:rFonts w:ascii="Times New Roman" w:hAnsi="Times New Roman" w:cs="Times New Roman"/>
          <w:sz w:val="28"/>
          <w:szCs w:val="28"/>
        </w:rPr>
        <w:t xml:space="preserve"> rīcības negatīvajām sekām.  Sociālās kampaņas ietvaros bija dzirdama pretkorupcijas radio reklāma gan latviešu, gan krievu valodā, kā arī izvietota vides reklāma uz sabiedriskā transporta Rīgā un Daugavpilī. Kampaņas atklāšana notika Rīgas Centrālcietumā ar semināru valsts institūciju darbiniekiem „Korupcijas sekas: soda neizbēgamība un brīvības vērtība”, kuras mērķis bija veicināt diskusiju par pretkorupcijas pasākumu lomu noziegumu novēršanā. </w:t>
      </w:r>
    </w:p>
    <w:p w:rsidR="00127513" w:rsidRPr="00611589" w:rsidRDefault="00127513" w:rsidP="00127513">
      <w:pPr>
        <w:pStyle w:val="NoSpacing"/>
        <w:ind w:firstLine="567"/>
        <w:jc w:val="both"/>
        <w:rPr>
          <w:rFonts w:ascii="Times New Roman" w:hAnsi="Times New Roman" w:cs="Times New Roman"/>
          <w:sz w:val="28"/>
          <w:szCs w:val="28"/>
        </w:rPr>
      </w:pPr>
      <w:r w:rsidRPr="00611589">
        <w:rPr>
          <w:rFonts w:ascii="Times New Roman" w:hAnsi="Times New Roman" w:cs="Times New Roman"/>
          <w:sz w:val="28"/>
          <w:szCs w:val="28"/>
        </w:rPr>
        <w:t xml:space="preserve">2014.gada otrajā pusgadā Birojs rīkoja starptautiskajai pretkorupcijas dienai 9.decembrim veltītu </w:t>
      </w:r>
      <w:r w:rsidRPr="00611589">
        <w:rPr>
          <w:rFonts w:ascii="Times New Roman" w:hAnsi="Times New Roman" w:cs="Times New Roman"/>
          <w:b/>
          <w:sz w:val="28"/>
          <w:szCs w:val="28"/>
        </w:rPr>
        <w:t>skolēnu un jauniešu fotokonkursu</w:t>
      </w:r>
      <w:r w:rsidRPr="00611589">
        <w:rPr>
          <w:rFonts w:ascii="Times New Roman" w:hAnsi="Times New Roman" w:cs="Times New Roman"/>
          <w:sz w:val="28"/>
          <w:szCs w:val="28"/>
        </w:rPr>
        <w:t xml:space="preserve"> „Mēs pret korupciju!” un tā laureātu apbalvošanas ceremoniju Rīgas Stila un modes profesionālajā vidusskolā, pieaicinot pārstāvjus no Saeimas Korupcijas novēršanas apakškomisijas, „</w:t>
      </w:r>
      <w:r w:rsidRPr="00611589">
        <w:rPr>
          <w:rFonts w:ascii="Times New Roman" w:hAnsi="Times New Roman" w:cs="Times New Roman"/>
          <w:iCs/>
          <w:sz w:val="28"/>
          <w:szCs w:val="28"/>
        </w:rPr>
        <w:t>Sabiedrība par atklātību</w:t>
      </w:r>
      <w:r w:rsidRPr="00611589">
        <w:rPr>
          <w:rFonts w:ascii="Times New Roman" w:hAnsi="Times New Roman" w:cs="Times New Roman"/>
          <w:sz w:val="28"/>
          <w:szCs w:val="28"/>
        </w:rPr>
        <w:t xml:space="preserve"> – </w:t>
      </w:r>
      <w:r w:rsidRPr="00611589">
        <w:rPr>
          <w:rFonts w:ascii="Times New Roman" w:hAnsi="Times New Roman" w:cs="Times New Roman"/>
          <w:iCs/>
          <w:sz w:val="28"/>
          <w:szCs w:val="28"/>
        </w:rPr>
        <w:t>Delna</w:t>
      </w:r>
      <w:r w:rsidRPr="00611589">
        <w:rPr>
          <w:rFonts w:ascii="Times New Roman" w:hAnsi="Times New Roman" w:cs="Times New Roman"/>
          <w:sz w:val="28"/>
          <w:szCs w:val="28"/>
        </w:rPr>
        <w:t>”, Rīgas Starptautiskās ekonomikas un biznesa administrācijas augstskolas, kā arī darba vērtēšanā iesaistot profesionālus fotogrāfus. Konkursā tika saņemts 51 darbs, kurus var aplūkot sociālā tīkla „</w:t>
      </w:r>
      <w:proofErr w:type="spellStart"/>
      <w:r w:rsidRPr="00611589">
        <w:rPr>
          <w:rFonts w:ascii="Times New Roman" w:hAnsi="Times New Roman" w:cs="Times New Roman"/>
          <w:sz w:val="28"/>
          <w:szCs w:val="28"/>
        </w:rPr>
        <w:t>Facebook</w:t>
      </w:r>
      <w:proofErr w:type="spellEnd"/>
      <w:r w:rsidRPr="00611589">
        <w:rPr>
          <w:rFonts w:ascii="Times New Roman" w:hAnsi="Times New Roman" w:cs="Times New Roman"/>
          <w:sz w:val="28"/>
          <w:szCs w:val="28"/>
        </w:rPr>
        <w:t xml:space="preserve">” lapā </w:t>
      </w:r>
      <w:hyperlink r:id="rId15" w:tgtFrame="_blank" w:history="1">
        <w:r w:rsidRPr="00611589">
          <w:rPr>
            <w:rStyle w:val="Hyperlink"/>
            <w:rFonts w:ascii="Times New Roman" w:hAnsi="Times New Roman" w:cs="Times New Roman"/>
            <w:color w:val="auto"/>
            <w:sz w:val="28"/>
            <w:szCs w:val="28"/>
          </w:rPr>
          <w:t>„Mēs pret korupciju”</w:t>
        </w:r>
      </w:hyperlink>
      <w:r w:rsidRPr="00611589">
        <w:rPr>
          <w:rFonts w:ascii="Times New Roman" w:hAnsi="Times New Roman" w:cs="Times New Roman"/>
          <w:sz w:val="28"/>
          <w:szCs w:val="28"/>
        </w:rPr>
        <w:t xml:space="preserve">. </w:t>
      </w:r>
    </w:p>
    <w:p w:rsidR="00556588" w:rsidRPr="00611589" w:rsidRDefault="00F14F45" w:rsidP="00D77B06">
      <w:pPr>
        <w:pStyle w:val="NoSpacing"/>
        <w:tabs>
          <w:tab w:val="left" w:pos="2025"/>
        </w:tabs>
        <w:ind w:firstLine="720"/>
        <w:jc w:val="both"/>
        <w:rPr>
          <w:rFonts w:ascii="Times New Roman" w:hAnsi="Times New Roman" w:cs="Times New Roman"/>
          <w:sz w:val="28"/>
          <w:szCs w:val="28"/>
        </w:rPr>
      </w:pPr>
      <w:r w:rsidRPr="00611589">
        <w:rPr>
          <w:rFonts w:ascii="Times New Roman" w:hAnsi="Times New Roman" w:cs="Times New Roman"/>
          <w:sz w:val="28"/>
          <w:szCs w:val="28"/>
        </w:rPr>
        <w:t xml:space="preserve">2014.gada otrajā pusgadā </w:t>
      </w:r>
      <w:r w:rsidR="00556588" w:rsidRPr="00611589">
        <w:rPr>
          <w:rFonts w:ascii="Times New Roman" w:hAnsi="Times New Roman" w:cs="Times New Roman"/>
          <w:sz w:val="28"/>
          <w:szCs w:val="28"/>
        </w:rPr>
        <w:t xml:space="preserve">tika rīkotas divas </w:t>
      </w:r>
      <w:r w:rsidR="00FD11C9" w:rsidRPr="00611589">
        <w:rPr>
          <w:rFonts w:ascii="Times New Roman" w:hAnsi="Times New Roman" w:cs="Times New Roman"/>
          <w:sz w:val="28"/>
          <w:szCs w:val="28"/>
        </w:rPr>
        <w:t xml:space="preserve">(2014.gadā kopā – trīs) </w:t>
      </w:r>
      <w:r w:rsidR="00556588" w:rsidRPr="00611589">
        <w:rPr>
          <w:rFonts w:ascii="Times New Roman" w:hAnsi="Times New Roman" w:cs="Times New Roman"/>
          <w:b/>
          <w:sz w:val="28"/>
          <w:szCs w:val="28"/>
        </w:rPr>
        <w:t>Biroja Sabiedriskās konsultatīvās padomes</w:t>
      </w:r>
      <w:r w:rsidR="00556588" w:rsidRPr="00611589">
        <w:rPr>
          <w:rFonts w:ascii="Times New Roman" w:hAnsi="Times New Roman" w:cs="Times New Roman"/>
          <w:sz w:val="28"/>
          <w:szCs w:val="28"/>
        </w:rPr>
        <w:t xml:space="preserve"> (SKP) sēdes, kurās Biroja amatpersonas kopā ar nevalstisko organizāciju pārstāvjiem apsprieda SKP nolikuma projektu, diskutēja </w:t>
      </w:r>
      <w:r w:rsidR="00F24D81" w:rsidRPr="00611589">
        <w:rPr>
          <w:rFonts w:ascii="Times New Roman" w:hAnsi="Times New Roman" w:cs="Times New Roman"/>
          <w:sz w:val="28"/>
          <w:szCs w:val="28"/>
        </w:rPr>
        <w:t xml:space="preserve">izskanējušo informāciju par iespējamo Biroja reorganizāciju </w:t>
      </w:r>
      <w:r w:rsidR="00556588" w:rsidRPr="00611589">
        <w:rPr>
          <w:rFonts w:ascii="Times New Roman" w:hAnsi="Times New Roman" w:cs="Times New Roman"/>
          <w:sz w:val="28"/>
          <w:szCs w:val="28"/>
        </w:rPr>
        <w:t xml:space="preserve">un statusu, kā arī Biroja priekšnieks informēja klātesošos par paveikto 2014. gada pirmajā pusgadā. </w:t>
      </w:r>
      <w:r w:rsidR="00D77B06" w:rsidRPr="00611589">
        <w:rPr>
          <w:rFonts w:ascii="Times New Roman" w:hAnsi="Times New Roman" w:cs="Times New Roman"/>
          <w:sz w:val="28"/>
          <w:szCs w:val="28"/>
        </w:rPr>
        <w:t xml:space="preserve">SKP konceptuāli atbalstīja Biroja statusa saglabāšanu un neatkarības stiprināšanu un uzskatīja par tālāk virzāmu Valsts kancelejas direktores vadītās darba grupas izstrādātos priekšlikumus grozījumiem Korupcijas  novēršanas un apkarošanas biroja likumā, izņemot jautājumu par Biroja priekšnieka vietnieku vērtēšanu saistīto komisiju izveidi. SKP par pieņemto lēmumu informēja Ministru prezidenti, </w:t>
      </w:r>
      <w:r w:rsidR="00FD11C9" w:rsidRPr="00611589">
        <w:rPr>
          <w:rFonts w:ascii="Times New Roman" w:hAnsi="Times New Roman" w:cs="Times New Roman"/>
          <w:color w:val="000000"/>
          <w:sz w:val="28"/>
          <w:szCs w:val="28"/>
        </w:rPr>
        <w:t>nosūtot vēstuli, kurā pauda atbalstu izstrādātajiem likuma grozījumiem un to tālākai virzīšanai</w:t>
      </w:r>
      <w:r w:rsidR="00D77B06" w:rsidRPr="00611589">
        <w:rPr>
          <w:rFonts w:ascii="Times New Roman" w:hAnsi="Times New Roman" w:cs="Times New Roman"/>
          <w:sz w:val="28"/>
          <w:szCs w:val="28"/>
        </w:rPr>
        <w:t xml:space="preserve">. </w:t>
      </w:r>
    </w:p>
    <w:p w:rsidR="00361F7B" w:rsidRPr="00611589" w:rsidRDefault="00DE31D9" w:rsidP="00172B64">
      <w:pPr>
        <w:pStyle w:val="NoSpacing"/>
        <w:ind w:firstLine="720"/>
        <w:jc w:val="both"/>
        <w:rPr>
          <w:rFonts w:ascii="Times New Roman" w:hAnsi="Times New Roman" w:cs="Times New Roman"/>
          <w:sz w:val="28"/>
          <w:szCs w:val="28"/>
        </w:rPr>
      </w:pPr>
      <w:r w:rsidRPr="00611589">
        <w:rPr>
          <w:rFonts w:ascii="Times New Roman" w:hAnsi="Times New Roman" w:cs="Times New Roman"/>
          <w:sz w:val="28"/>
          <w:szCs w:val="28"/>
        </w:rPr>
        <w:t>S</w:t>
      </w:r>
      <w:r w:rsidR="00C978D8" w:rsidRPr="00611589">
        <w:rPr>
          <w:rFonts w:ascii="Times New Roman" w:hAnsi="Times New Roman" w:cs="Times New Roman"/>
          <w:sz w:val="28"/>
          <w:szCs w:val="28"/>
        </w:rPr>
        <w:t xml:space="preserve">askaņā ar likuma „Par interešu konflikta novēršanu valsts amatpersonu darbībā” 31.pantā noteikto </w:t>
      </w:r>
      <w:r w:rsidRPr="00611589">
        <w:rPr>
          <w:rFonts w:ascii="Times New Roman" w:hAnsi="Times New Roman" w:cs="Times New Roman"/>
          <w:sz w:val="28"/>
          <w:szCs w:val="28"/>
        </w:rPr>
        <w:t xml:space="preserve">Birojs savā </w:t>
      </w:r>
      <w:hyperlink r:id="rId16" w:history="1">
        <w:proofErr w:type="spellStart"/>
        <w:r w:rsidRPr="00611589">
          <w:rPr>
            <w:rStyle w:val="Hyperlink"/>
            <w:rFonts w:ascii="Times New Roman" w:hAnsi="Times New Roman" w:cs="Times New Roman"/>
            <w:color w:val="auto"/>
            <w:sz w:val="28"/>
            <w:szCs w:val="28"/>
          </w:rPr>
          <w:t>mājaslapā</w:t>
        </w:r>
        <w:proofErr w:type="spellEnd"/>
      </w:hyperlink>
      <w:r w:rsidRPr="00611589">
        <w:rPr>
          <w:rFonts w:ascii="Times New Roman" w:hAnsi="Times New Roman" w:cs="Times New Roman"/>
          <w:sz w:val="28"/>
          <w:szCs w:val="28"/>
        </w:rPr>
        <w:t xml:space="preserve"> publicē informāciju par valsts amatpersonu darbībā konstatētajiem pārkāpumiem korupcijas novēršanas jomā</w:t>
      </w:r>
      <w:r w:rsidR="00CC4B28" w:rsidRPr="00611589">
        <w:rPr>
          <w:rFonts w:ascii="Times New Roman" w:hAnsi="Times New Roman" w:cs="Times New Roman"/>
          <w:sz w:val="28"/>
          <w:szCs w:val="28"/>
        </w:rPr>
        <w:t xml:space="preserve"> – p</w:t>
      </w:r>
      <w:r w:rsidRPr="00611589">
        <w:rPr>
          <w:rFonts w:ascii="Times New Roman" w:hAnsi="Times New Roman" w:cs="Times New Roman"/>
          <w:sz w:val="28"/>
          <w:szCs w:val="28"/>
        </w:rPr>
        <w:t xml:space="preserve">ārskata </w:t>
      </w:r>
      <w:r w:rsidR="00A4710F" w:rsidRPr="00611589">
        <w:rPr>
          <w:rFonts w:ascii="Times New Roman" w:hAnsi="Times New Roman" w:cs="Times New Roman"/>
          <w:sz w:val="28"/>
          <w:szCs w:val="28"/>
        </w:rPr>
        <w:t xml:space="preserve">periodā </w:t>
      </w:r>
      <w:r w:rsidR="00C978D8" w:rsidRPr="00611589">
        <w:rPr>
          <w:rFonts w:ascii="Times New Roman" w:hAnsi="Times New Roman" w:cs="Times New Roman"/>
          <w:sz w:val="28"/>
          <w:szCs w:val="28"/>
        </w:rPr>
        <w:t>Biroj</w:t>
      </w:r>
      <w:r w:rsidR="00A4710F" w:rsidRPr="00611589">
        <w:rPr>
          <w:rFonts w:ascii="Times New Roman" w:hAnsi="Times New Roman" w:cs="Times New Roman"/>
          <w:sz w:val="28"/>
          <w:szCs w:val="28"/>
        </w:rPr>
        <w:t>s</w:t>
      </w:r>
      <w:r w:rsidR="00CD742E" w:rsidRPr="00611589">
        <w:rPr>
          <w:rFonts w:ascii="Times New Roman" w:hAnsi="Times New Roman" w:cs="Times New Roman"/>
          <w:sz w:val="28"/>
          <w:szCs w:val="28"/>
        </w:rPr>
        <w:t xml:space="preserve"> </w:t>
      </w:r>
      <w:r w:rsidR="00A4710F" w:rsidRPr="00611589">
        <w:rPr>
          <w:rFonts w:ascii="Times New Roman" w:hAnsi="Times New Roman" w:cs="Times New Roman"/>
          <w:sz w:val="28"/>
          <w:szCs w:val="28"/>
        </w:rPr>
        <w:t>p</w:t>
      </w:r>
      <w:r w:rsidR="00C978D8" w:rsidRPr="00611589">
        <w:rPr>
          <w:rFonts w:ascii="Times New Roman" w:hAnsi="Times New Roman" w:cs="Times New Roman"/>
          <w:sz w:val="28"/>
          <w:szCs w:val="28"/>
        </w:rPr>
        <w:t>ublicē</w:t>
      </w:r>
      <w:r w:rsidR="00A4710F" w:rsidRPr="00611589">
        <w:rPr>
          <w:rFonts w:ascii="Times New Roman" w:hAnsi="Times New Roman" w:cs="Times New Roman"/>
          <w:sz w:val="28"/>
          <w:szCs w:val="28"/>
        </w:rPr>
        <w:t xml:space="preserve">ja </w:t>
      </w:r>
      <w:r w:rsidR="00361F7B" w:rsidRPr="00611589">
        <w:rPr>
          <w:rFonts w:ascii="Times New Roman" w:hAnsi="Times New Roman" w:cs="Times New Roman"/>
          <w:sz w:val="28"/>
          <w:szCs w:val="28"/>
        </w:rPr>
        <w:t xml:space="preserve">81 paziņojumu, bet 2014.gadā kopā – </w:t>
      </w:r>
      <w:r w:rsidR="002F71C9" w:rsidRPr="00611589">
        <w:rPr>
          <w:rFonts w:ascii="Times New Roman" w:hAnsi="Times New Roman" w:cs="Times New Roman"/>
          <w:b/>
          <w:sz w:val="28"/>
          <w:szCs w:val="28"/>
        </w:rPr>
        <w:t>223 </w:t>
      </w:r>
      <w:r w:rsidR="00907372" w:rsidRPr="00611589">
        <w:rPr>
          <w:rFonts w:ascii="Times New Roman" w:hAnsi="Times New Roman" w:cs="Times New Roman"/>
          <w:b/>
          <w:sz w:val="28"/>
          <w:szCs w:val="28"/>
        </w:rPr>
        <w:t>paziņojumus</w:t>
      </w:r>
      <w:r w:rsidR="003C046E">
        <w:rPr>
          <w:rFonts w:ascii="Times New Roman" w:hAnsi="Times New Roman" w:cs="Times New Roman"/>
          <w:sz w:val="28"/>
          <w:szCs w:val="28"/>
        </w:rPr>
        <w:t xml:space="preserve"> par administratīvi sodītajām valsts amatpersonām. </w:t>
      </w:r>
      <w:r w:rsidR="00361F7B" w:rsidRPr="00611589">
        <w:rPr>
          <w:rFonts w:ascii="Times New Roman" w:hAnsi="Times New Roman" w:cs="Times New Roman"/>
          <w:sz w:val="28"/>
          <w:szCs w:val="28"/>
        </w:rPr>
        <w:t xml:space="preserve"> </w:t>
      </w:r>
    </w:p>
    <w:p w:rsidR="00127513" w:rsidRPr="00611589" w:rsidRDefault="00127513" w:rsidP="00127513">
      <w:pPr>
        <w:pStyle w:val="NoSpacing"/>
        <w:ind w:firstLine="720"/>
        <w:jc w:val="both"/>
        <w:rPr>
          <w:rFonts w:ascii="Times New Roman" w:hAnsi="Times New Roman" w:cs="Times New Roman"/>
          <w:sz w:val="28"/>
          <w:szCs w:val="28"/>
        </w:rPr>
      </w:pPr>
      <w:r w:rsidRPr="00611589">
        <w:rPr>
          <w:rFonts w:ascii="Times New Roman" w:hAnsi="Times New Roman" w:cs="Times New Roman"/>
          <w:sz w:val="28"/>
          <w:szCs w:val="28"/>
        </w:rPr>
        <w:t>2014.gadā Biroj</w:t>
      </w:r>
      <w:r w:rsidR="00734F61" w:rsidRPr="00611589">
        <w:rPr>
          <w:rFonts w:ascii="Times New Roman" w:hAnsi="Times New Roman" w:cs="Times New Roman"/>
          <w:sz w:val="28"/>
          <w:szCs w:val="28"/>
        </w:rPr>
        <w:t>a amatpersonas</w:t>
      </w:r>
      <w:r w:rsidRPr="00611589">
        <w:rPr>
          <w:rFonts w:ascii="Times New Roman" w:hAnsi="Times New Roman" w:cs="Times New Roman"/>
          <w:sz w:val="28"/>
          <w:szCs w:val="28"/>
        </w:rPr>
        <w:t xml:space="preserve"> ga</w:t>
      </w:r>
      <w:r w:rsidR="00734F61" w:rsidRPr="00611589">
        <w:rPr>
          <w:rFonts w:ascii="Times New Roman" w:hAnsi="Times New Roman" w:cs="Times New Roman"/>
          <w:sz w:val="28"/>
          <w:szCs w:val="28"/>
        </w:rPr>
        <w:t xml:space="preserve">n rakstveidā, gan pa tālruni ir sniegušas </w:t>
      </w:r>
      <w:r w:rsidRPr="00611589">
        <w:rPr>
          <w:rFonts w:ascii="Times New Roman" w:hAnsi="Times New Roman" w:cs="Times New Roman"/>
          <w:sz w:val="28"/>
          <w:szCs w:val="28"/>
        </w:rPr>
        <w:t>vairāk nek</w:t>
      </w:r>
      <w:r w:rsidR="002F71C9" w:rsidRPr="00611589">
        <w:rPr>
          <w:rFonts w:ascii="Times New Roman" w:hAnsi="Times New Roman" w:cs="Times New Roman"/>
          <w:sz w:val="28"/>
          <w:szCs w:val="28"/>
        </w:rPr>
        <w:t xml:space="preserve">ā </w:t>
      </w:r>
      <w:r w:rsidR="002F71C9" w:rsidRPr="00611589">
        <w:rPr>
          <w:rFonts w:ascii="Times New Roman" w:hAnsi="Times New Roman" w:cs="Times New Roman"/>
          <w:b/>
          <w:sz w:val="28"/>
          <w:szCs w:val="28"/>
        </w:rPr>
        <w:t>600 skaidrojumus un konsultācijas</w:t>
      </w:r>
      <w:r w:rsidR="00CD742E" w:rsidRPr="00611589">
        <w:rPr>
          <w:rFonts w:ascii="Times New Roman" w:hAnsi="Times New Roman" w:cs="Times New Roman"/>
          <w:b/>
          <w:sz w:val="28"/>
          <w:szCs w:val="28"/>
        </w:rPr>
        <w:t xml:space="preserve"> </w:t>
      </w:r>
      <w:r w:rsidRPr="00611589">
        <w:rPr>
          <w:rFonts w:ascii="Times New Roman" w:hAnsi="Times New Roman" w:cs="Times New Roman"/>
          <w:sz w:val="28"/>
          <w:szCs w:val="28"/>
        </w:rPr>
        <w:t>par amata savienošanas ierobežojumiem amatpersonām, interešu konflikta situācijām, ētiku valsts amatpersonām, korupcijas riskiem, pretkorupcijas pasākumiem</w:t>
      </w:r>
      <w:r w:rsidR="002F71C9" w:rsidRPr="00611589">
        <w:rPr>
          <w:rFonts w:ascii="Times New Roman" w:hAnsi="Times New Roman" w:cs="Times New Roman"/>
          <w:sz w:val="28"/>
          <w:szCs w:val="28"/>
        </w:rPr>
        <w:t>, kā arī par politisko partiju finansēšanu un priekšvēlēšanu aģitāciju</w:t>
      </w:r>
      <w:r w:rsidRPr="00611589">
        <w:rPr>
          <w:rFonts w:ascii="Times New Roman" w:hAnsi="Times New Roman" w:cs="Times New Roman"/>
          <w:sz w:val="28"/>
          <w:szCs w:val="28"/>
        </w:rPr>
        <w:t>.</w:t>
      </w:r>
    </w:p>
    <w:p w:rsidR="00127513" w:rsidRPr="00611589" w:rsidRDefault="00127513" w:rsidP="00172B64">
      <w:pPr>
        <w:pStyle w:val="NoSpacing"/>
        <w:ind w:firstLine="720"/>
        <w:jc w:val="both"/>
        <w:rPr>
          <w:rFonts w:ascii="Times New Roman" w:hAnsi="Times New Roman" w:cs="Times New Roman"/>
          <w:sz w:val="28"/>
          <w:szCs w:val="28"/>
        </w:rPr>
      </w:pPr>
      <w:r w:rsidRPr="00611589">
        <w:rPr>
          <w:rFonts w:ascii="Times New Roman" w:hAnsi="Times New Roman" w:cs="Times New Roman"/>
          <w:sz w:val="28"/>
          <w:szCs w:val="28"/>
        </w:rPr>
        <w:lastRenderedPageBreak/>
        <w:t xml:space="preserve">Informējot sabiedrību par korupcijas attīstības tendencēm un atklātajiem korupcijas gadījumiem, kā arī par veiktajiem pasākumiem korupcijas novēršanai un apkarošanai, 2014.gadā Birojs izplatīja </w:t>
      </w:r>
      <w:r w:rsidRPr="00611589">
        <w:rPr>
          <w:rFonts w:ascii="Times New Roman" w:hAnsi="Times New Roman" w:cs="Times New Roman"/>
          <w:b/>
          <w:sz w:val="28"/>
          <w:szCs w:val="28"/>
        </w:rPr>
        <w:t>107 paziņojumus plašsaziņas līdzekļiem</w:t>
      </w:r>
      <w:r w:rsidRPr="00611589">
        <w:rPr>
          <w:rFonts w:ascii="Times New Roman" w:hAnsi="Times New Roman" w:cs="Times New Roman"/>
          <w:sz w:val="28"/>
          <w:szCs w:val="28"/>
        </w:rPr>
        <w:t xml:space="preserve"> un vairāk nekā 550 reizes sniedza atbildes uz mediju pārstāvju jautājumiem.</w:t>
      </w:r>
    </w:p>
    <w:p w:rsidR="008F32BD" w:rsidRPr="00611589" w:rsidRDefault="008F32BD" w:rsidP="00113355">
      <w:pPr>
        <w:pStyle w:val="ListParagraph"/>
        <w:numPr>
          <w:ilvl w:val="1"/>
          <w:numId w:val="21"/>
        </w:numPr>
        <w:autoSpaceDE w:val="0"/>
        <w:autoSpaceDN w:val="0"/>
        <w:adjustRightInd w:val="0"/>
        <w:spacing w:after="0" w:line="240" w:lineRule="auto"/>
        <w:jc w:val="center"/>
        <w:rPr>
          <w:rFonts w:ascii="Times New Roman" w:hAnsi="Times New Roman" w:cs="Times New Roman"/>
          <w:b/>
          <w:sz w:val="28"/>
          <w:szCs w:val="28"/>
        </w:rPr>
      </w:pPr>
      <w:r w:rsidRPr="00611589">
        <w:rPr>
          <w:rFonts w:ascii="Times New Roman" w:hAnsi="Times New Roman" w:cs="Times New Roman"/>
          <w:b/>
          <w:sz w:val="28"/>
          <w:szCs w:val="28"/>
        </w:rPr>
        <w:t>Starptautiskā sadarbība</w:t>
      </w:r>
    </w:p>
    <w:p w:rsidR="008373C7" w:rsidRPr="00611589" w:rsidRDefault="008373C7" w:rsidP="008373C7">
      <w:pPr>
        <w:pStyle w:val="Default"/>
        <w:ind w:firstLine="567"/>
        <w:jc w:val="both"/>
        <w:rPr>
          <w:color w:val="auto"/>
          <w:sz w:val="28"/>
          <w:szCs w:val="28"/>
        </w:rPr>
      </w:pPr>
      <w:r w:rsidRPr="00611589">
        <w:rPr>
          <w:color w:val="auto"/>
          <w:sz w:val="28"/>
          <w:szCs w:val="28"/>
        </w:rPr>
        <w:t>Birojs 2014.gada otrajā pusgadā turpināja strādāt pie Ekonomiskās sadarbības un attīstības organizācijas (</w:t>
      </w:r>
      <w:r w:rsidRPr="00611589">
        <w:rPr>
          <w:b/>
          <w:color w:val="auto"/>
          <w:sz w:val="28"/>
          <w:szCs w:val="28"/>
        </w:rPr>
        <w:t>OECD</w:t>
      </w:r>
      <w:r w:rsidRPr="00611589">
        <w:rPr>
          <w:color w:val="auto"/>
          <w:sz w:val="28"/>
          <w:szCs w:val="28"/>
        </w:rPr>
        <w:t xml:space="preserve">) 1997.gada 21.novembra konvencijai „Par ārvalstu amatpersonu kukuļošanas apkarošanu starptautiskajos biznesa darījumos” (turpmāk - Pretkorupcijas konvencija) pirmās fāzes ietvaros izteikto </w:t>
      </w:r>
      <w:r w:rsidRPr="00611589">
        <w:rPr>
          <w:b/>
          <w:color w:val="auto"/>
          <w:sz w:val="28"/>
          <w:szCs w:val="28"/>
        </w:rPr>
        <w:t>rekomendāciju ieviešanas</w:t>
      </w:r>
      <w:r w:rsidRPr="00611589">
        <w:rPr>
          <w:color w:val="auto"/>
          <w:sz w:val="28"/>
          <w:szCs w:val="28"/>
        </w:rPr>
        <w:t xml:space="preserve">. Pārskata periodā Biroja pārstāvji piedalījās divās OECD Kukuļošanas apkarošanas starptautiskajos biznesa darījumos darba grupas plenārsēdēs Francijā. 2014.gada novembrī Biroja priekšnieks Latvijas delegācijas sastāvā piedalījās Publiskās pārvaldība komitejas sanāksmē, kurā tika skatīts Latvijas novērtējuma ziņojums par atbilstību Pretkorupcijas konvencijas nosacījumiem. </w:t>
      </w:r>
    </w:p>
    <w:p w:rsidR="008373C7" w:rsidRPr="00611589" w:rsidRDefault="008373C7" w:rsidP="008373C7">
      <w:pPr>
        <w:pStyle w:val="NormalWeb"/>
        <w:spacing w:before="0" w:beforeAutospacing="0" w:after="0" w:afterAutospacing="0"/>
        <w:ind w:firstLine="567"/>
        <w:jc w:val="both"/>
        <w:rPr>
          <w:sz w:val="28"/>
          <w:szCs w:val="28"/>
          <w:lang w:val="lv-LV"/>
        </w:rPr>
      </w:pPr>
      <w:r w:rsidRPr="00611589">
        <w:rPr>
          <w:sz w:val="28"/>
          <w:szCs w:val="28"/>
          <w:lang w:val="lv-LV"/>
        </w:rPr>
        <w:t xml:space="preserve">2014.gada septembrī Birojs parakstīja partnerības deklarāciju ar Igaunijas </w:t>
      </w:r>
      <w:r w:rsidR="002C2106" w:rsidRPr="00611589">
        <w:rPr>
          <w:sz w:val="28"/>
          <w:szCs w:val="28"/>
          <w:lang w:val="lv-LV"/>
        </w:rPr>
        <w:t>T</w:t>
      </w:r>
      <w:r w:rsidRPr="00611589">
        <w:rPr>
          <w:sz w:val="28"/>
          <w:szCs w:val="28"/>
          <w:lang w:val="lv-LV"/>
        </w:rPr>
        <w:t xml:space="preserve">ieslietu ministriju par projekta „Korupcijas mazināšana: koncentrējoties uz korupcijas apkarošanu privātajā sektorā” ieviešanu sadarbībā ar Dānijas, Igaunijas un Spānijas </w:t>
      </w:r>
      <w:proofErr w:type="spellStart"/>
      <w:r w:rsidRPr="00611589">
        <w:rPr>
          <w:sz w:val="28"/>
          <w:szCs w:val="28"/>
          <w:lang w:val="lv-LV"/>
        </w:rPr>
        <w:t>partnerdienestiem</w:t>
      </w:r>
      <w:proofErr w:type="spellEnd"/>
      <w:r w:rsidRPr="00611589">
        <w:rPr>
          <w:sz w:val="28"/>
          <w:szCs w:val="28"/>
          <w:lang w:val="lv-LV"/>
        </w:rPr>
        <w:t xml:space="preserve">. Projekta ietvaros plānota informatīvu materiālu sagatavošana uzņēmēju informēšanai par atbildību par </w:t>
      </w:r>
      <w:proofErr w:type="spellStart"/>
      <w:r w:rsidRPr="00611589">
        <w:rPr>
          <w:sz w:val="28"/>
          <w:szCs w:val="28"/>
          <w:lang w:val="lv-LV"/>
        </w:rPr>
        <w:t>koruptīviem</w:t>
      </w:r>
      <w:proofErr w:type="spellEnd"/>
      <w:r w:rsidRPr="00611589">
        <w:rPr>
          <w:sz w:val="28"/>
          <w:szCs w:val="28"/>
          <w:lang w:val="lv-LV"/>
        </w:rPr>
        <w:t xml:space="preserve"> noziedzīgiem nodarījumiem un rīcību to novēršanai. Birojs ir arī sagatavojis un iesniedzis projekta pieteikumu </w:t>
      </w:r>
      <w:r w:rsidR="0021422D" w:rsidRPr="00611589">
        <w:rPr>
          <w:sz w:val="28"/>
          <w:szCs w:val="28"/>
          <w:lang w:val="lv-LV"/>
        </w:rPr>
        <w:t xml:space="preserve"> OLAF </w:t>
      </w:r>
      <w:r w:rsidRPr="00611589">
        <w:rPr>
          <w:sz w:val="28"/>
          <w:szCs w:val="28"/>
          <w:lang w:val="lv-LV"/>
        </w:rPr>
        <w:t>„</w:t>
      </w:r>
      <w:proofErr w:type="spellStart"/>
      <w:r w:rsidRPr="00611589">
        <w:rPr>
          <w:sz w:val="28"/>
          <w:szCs w:val="28"/>
          <w:lang w:val="lv-LV"/>
        </w:rPr>
        <w:t>Hercule</w:t>
      </w:r>
      <w:proofErr w:type="spellEnd"/>
      <w:r w:rsidRPr="00611589">
        <w:rPr>
          <w:sz w:val="28"/>
          <w:szCs w:val="28"/>
          <w:lang w:val="lv-LV"/>
        </w:rPr>
        <w:t xml:space="preserve"> III programmas 2014 – 2020” ietvaros operatīvās kapacitātes celšanai. </w:t>
      </w:r>
    </w:p>
    <w:p w:rsidR="008373C7" w:rsidRPr="00611589" w:rsidRDefault="008373C7" w:rsidP="008373C7">
      <w:pPr>
        <w:pStyle w:val="Default"/>
        <w:ind w:firstLine="567"/>
        <w:jc w:val="both"/>
        <w:rPr>
          <w:color w:val="auto"/>
          <w:sz w:val="28"/>
          <w:szCs w:val="28"/>
        </w:rPr>
      </w:pPr>
      <w:r w:rsidRPr="00611589">
        <w:rPr>
          <w:color w:val="auto"/>
          <w:sz w:val="28"/>
          <w:szCs w:val="28"/>
        </w:rPr>
        <w:t xml:space="preserve">Pārskata periodā tika sagatavots un iesniegts izsludināšanai Valsts sekretāru sanāksmē </w:t>
      </w:r>
      <w:r w:rsidRPr="00611589">
        <w:rPr>
          <w:b/>
          <w:color w:val="auto"/>
          <w:sz w:val="28"/>
          <w:szCs w:val="28"/>
        </w:rPr>
        <w:t>informatīvais ziņojums</w:t>
      </w:r>
      <w:r w:rsidRPr="00611589">
        <w:rPr>
          <w:color w:val="auto"/>
          <w:sz w:val="28"/>
          <w:szCs w:val="28"/>
        </w:rPr>
        <w:t xml:space="preserve"> „Par Apvienoto Nāciju Organizācijas </w:t>
      </w:r>
      <w:r w:rsidR="002F71C9" w:rsidRPr="00611589">
        <w:rPr>
          <w:color w:val="auto"/>
          <w:sz w:val="28"/>
          <w:szCs w:val="28"/>
        </w:rPr>
        <w:t xml:space="preserve">(ANO) </w:t>
      </w:r>
      <w:r w:rsidRPr="00611589">
        <w:rPr>
          <w:color w:val="auto"/>
          <w:sz w:val="28"/>
          <w:szCs w:val="28"/>
        </w:rPr>
        <w:t>Pretkorupcijas konvencijas rekomendācijām un to izpildes nodrošināšanu”,  norādot tajā uz būtiskajiem uzdevumiem, kas Latvijai jāizpilda, lai nodrošinātu ANO rekomendāciju ieviešanu.</w:t>
      </w:r>
    </w:p>
    <w:p w:rsidR="008373C7" w:rsidRPr="00611589" w:rsidRDefault="008373C7" w:rsidP="008373C7">
      <w:pPr>
        <w:spacing w:after="0" w:line="240" w:lineRule="auto"/>
        <w:ind w:firstLine="567"/>
        <w:jc w:val="both"/>
        <w:rPr>
          <w:rFonts w:ascii="Times New Roman" w:hAnsi="Times New Roman" w:cs="Times New Roman"/>
          <w:sz w:val="28"/>
          <w:szCs w:val="28"/>
        </w:rPr>
      </w:pPr>
      <w:r w:rsidRPr="00611589">
        <w:rPr>
          <w:rFonts w:ascii="Times New Roman" w:hAnsi="Times New Roman" w:cs="Times New Roman"/>
          <w:sz w:val="28"/>
          <w:szCs w:val="28"/>
        </w:rPr>
        <w:t xml:space="preserve">2014.gada otrajā pusgadā tika sagatavots un iesniegts Eiropas Padomes Starpvalstu pretkorupcijas grupas (GRECO) </w:t>
      </w:r>
      <w:r w:rsidRPr="00611589">
        <w:rPr>
          <w:rFonts w:ascii="Times New Roman" w:hAnsi="Times New Roman" w:cs="Times New Roman"/>
          <w:b/>
          <w:sz w:val="28"/>
          <w:szCs w:val="28"/>
        </w:rPr>
        <w:t>atbilstības ziņojums</w:t>
      </w:r>
      <w:r w:rsidRPr="00611589">
        <w:rPr>
          <w:rFonts w:ascii="Times New Roman" w:hAnsi="Times New Roman" w:cs="Times New Roman"/>
          <w:sz w:val="28"/>
          <w:szCs w:val="28"/>
        </w:rPr>
        <w:t xml:space="preserve"> par IV novērtēšanas kārtā izteiktajām rekomendācijām Latvijai saistībā ar korupcijas novēršanu parlamentā, tiesu varā un prokuratūrā. Biroja pārstāvji ir nodrošinājuši pārstāvniecību divās GRECO plenārsēdēs Francijā un piedalījās </w:t>
      </w:r>
      <w:proofErr w:type="spellStart"/>
      <w:r w:rsidRPr="00611589">
        <w:rPr>
          <w:rFonts w:ascii="Times New Roman" w:hAnsi="Times New Roman" w:cs="Times New Roman"/>
          <w:sz w:val="28"/>
          <w:szCs w:val="28"/>
        </w:rPr>
        <w:t>Serbijas</w:t>
      </w:r>
      <w:proofErr w:type="spellEnd"/>
      <w:r w:rsidRPr="00611589">
        <w:rPr>
          <w:rFonts w:ascii="Times New Roman" w:hAnsi="Times New Roman" w:cs="Times New Roman"/>
          <w:sz w:val="28"/>
          <w:szCs w:val="28"/>
        </w:rPr>
        <w:t xml:space="preserve"> izvērtējumā par korupcijas novēršanas principu parlamentā, tiesu sistēmā un prokuratūrā ieviešanu GRECO IV kārtas ietvaros.</w:t>
      </w:r>
    </w:p>
    <w:p w:rsidR="006E36A4" w:rsidRPr="00611589" w:rsidRDefault="006E36A4" w:rsidP="006E36A4">
      <w:pPr>
        <w:spacing w:after="0" w:line="240" w:lineRule="auto"/>
        <w:ind w:firstLine="720"/>
        <w:jc w:val="both"/>
        <w:rPr>
          <w:rFonts w:ascii="Times New Roman" w:hAnsi="Times New Roman" w:cs="Times New Roman"/>
          <w:sz w:val="28"/>
          <w:szCs w:val="28"/>
        </w:rPr>
      </w:pPr>
      <w:r w:rsidRPr="00611589">
        <w:rPr>
          <w:rFonts w:ascii="Times New Roman" w:hAnsi="Times New Roman" w:cs="Times New Roman"/>
          <w:sz w:val="28"/>
          <w:szCs w:val="28"/>
        </w:rPr>
        <w:t xml:space="preserve">2014. gada 10.novembrī Birojs rīkoja </w:t>
      </w:r>
      <w:r w:rsidRPr="00611589">
        <w:rPr>
          <w:rFonts w:ascii="Times New Roman" w:hAnsi="Times New Roman" w:cs="Times New Roman"/>
          <w:b/>
          <w:sz w:val="28"/>
          <w:szCs w:val="28"/>
        </w:rPr>
        <w:t>ārvalstu padomnieku grupas</w:t>
      </w:r>
      <w:r w:rsidRPr="00611589">
        <w:rPr>
          <w:rFonts w:ascii="Times New Roman" w:hAnsi="Times New Roman" w:cs="Times New Roman"/>
          <w:sz w:val="28"/>
          <w:szCs w:val="28"/>
        </w:rPr>
        <w:t xml:space="preserve"> (</w:t>
      </w:r>
      <w:proofErr w:type="spellStart"/>
      <w:r w:rsidRPr="00611589">
        <w:rPr>
          <w:rFonts w:ascii="Times New Roman" w:hAnsi="Times New Roman" w:cs="Times New Roman"/>
          <w:i/>
          <w:sz w:val="28"/>
          <w:szCs w:val="28"/>
        </w:rPr>
        <w:t>Foreign</w:t>
      </w:r>
      <w:proofErr w:type="spellEnd"/>
      <w:r w:rsidR="00CD742E" w:rsidRPr="00611589">
        <w:rPr>
          <w:rFonts w:ascii="Times New Roman" w:hAnsi="Times New Roman" w:cs="Times New Roman"/>
          <w:i/>
          <w:sz w:val="28"/>
          <w:szCs w:val="28"/>
        </w:rPr>
        <w:t xml:space="preserve"> </w:t>
      </w:r>
      <w:proofErr w:type="spellStart"/>
      <w:r w:rsidRPr="00611589">
        <w:rPr>
          <w:rFonts w:ascii="Times New Roman" w:hAnsi="Times New Roman" w:cs="Times New Roman"/>
          <w:i/>
          <w:sz w:val="28"/>
          <w:szCs w:val="28"/>
        </w:rPr>
        <w:t>Advisory</w:t>
      </w:r>
      <w:proofErr w:type="spellEnd"/>
      <w:r w:rsidR="00CD742E" w:rsidRPr="00611589">
        <w:rPr>
          <w:rFonts w:ascii="Times New Roman" w:hAnsi="Times New Roman" w:cs="Times New Roman"/>
          <w:i/>
          <w:sz w:val="28"/>
          <w:szCs w:val="28"/>
        </w:rPr>
        <w:t xml:space="preserve"> </w:t>
      </w:r>
      <w:proofErr w:type="spellStart"/>
      <w:r w:rsidRPr="00611589">
        <w:rPr>
          <w:rFonts w:ascii="Times New Roman" w:hAnsi="Times New Roman" w:cs="Times New Roman"/>
          <w:i/>
          <w:sz w:val="28"/>
          <w:szCs w:val="28"/>
        </w:rPr>
        <w:t>Panel</w:t>
      </w:r>
      <w:proofErr w:type="spellEnd"/>
      <w:r w:rsidRPr="00611589">
        <w:rPr>
          <w:rFonts w:ascii="Times New Roman" w:hAnsi="Times New Roman" w:cs="Times New Roman"/>
          <w:sz w:val="28"/>
          <w:szCs w:val="28"/>
        </w:rPr>
        <w:t xml:space="preserve">) </w:t>
      </w:r>
      <w:hyperlink r:id="rId17" w:history="1">
        <w:r w:rsidRPr="00611589">
          <w:rPr>
            <w:rStyle w:val="Hyperlink"/>
            <w:rFonts w:ascii="Times New Roman" w:hAnsi="Times New Roman" w:cs="Times New Roman"/>
            <w:b/>
            <w:color w:val="auto"/>
            <w:sz w:val="28"/>
            <w:szCs w:val="28"/>
          </w:rPr>
          <w:t>sanāksmi</w:t>
        </w:r>
      </w:hyperlink>
      <w:r w:rsidRPr="00611589">
        <w:rPr>
          <w:rFonts w:ascii="Times New Roman" w:hAnsi="Times New Roman" w:cs="Times New Roman"/>
          <w:sz w:val="28"/>
          <w:szCs w:val="28"/>
        </w:rPr>
        <w:t>, kurā ārvalstu vēstniecību un starptautisko organizāciju pārstāvji tika iepazīstināti ar Biroja</w:t>
      </w:r>
      <w:r w:rsidR="00CD742E" w:rsidRPr="00611589">
        <w:rPr>
          <w:rFonts w:ascii="Times New Roman" w:hAnsi="Times New Roman" w:cs="Times New Roman"/>
          <w:sz w:val="28"/>
          <w:szCs w:val="28"/>
        </w:rPr>
        <w:t xml:space="preserve"> </w:t>
      </w:r>
      <w:r w:rsidRPr="00611589">
        <w:rPr>
          <w:rFonts w:ascii="Times New Roman" w:hAnsi="Times New Roman" w:cs="Times New Roman"/>
          <w:sz w:val="28"/>
          <w:szCs w:val="28"/>
        </w:rPr>
        <w:t xml:space="preserve"> darbības rezultātiem</w:t>
      </w:r>
      <w:r w:rsidR="00CD742E" w:rsidRPr="00611589">
        <w:rPr>
          <w:rFonts w:ascii="Times New Roman" w:hAnsi="Times New Roman" w:cs="Times New Roman"/>
          <w:sz w:val="28"/>
          <w:szCs w:val="28"/>
        </w:rPr>
        <w:t xml:space="preserve"> un diviem darba grupu sagatavotiem atzinumiem par </w:t>
      </w:r>
      <w:r w:rsidR="003C046E">
        <w:rPr>
          <w:rFonts w:ascii="Times New Roman" w:hAnsi="Times New Roman" w:cs="Times New Roman"/>
          <w:sz w:val="28"/>
          <w:szCs w:val="28"/>
        </w:rPr>
        <w:t xml:space="preserve">iespējamām izmaiņām </w:t>
      </w:r>
      <w:r w:rsidR="00CD742E" w:rsidRPr="00611589">
        <w:rPr>
          <w:rFonts w:ascii="Times New Roman" w:hAnsi="Times New Roman" w:cs="Times New Roman"/>
          <w:sz w:val="28"/>
          <w:szCs w:val="28"/>
        </w:rPr>
        <w:t>Biroja status</w:t>
      </w:r>
      <w:r w:rsidR="003C046E">
        <w:rPr>
          <w:rFonts w:ascii="Times New Roman" w:hAnsi="Times New Roman" w:cs="Times New Roman"/>
          <w:sz w:val="28"/>
          <w:szCs w:val="28"/>
        </w:rPr>
        <w:t>ā</w:t>
      </w:r>
      <w:r w:rsidRPr="00611589">
        <w:rPr>
          <w:rFonts w:ascii="Times New Roman" w:hAnsi="Times New Roman" w:cs="Times New Roman"/>
          <w:sz w:val="28"/>
          <w:szCs w:val="28"/>
        </w:rPr>
        <w:t>. Sanāksmē piedalījās ASV, Baltkrievijas, Beļģijas, Čehijas, Dānijas, Grieķijas, Izraēlas, Īrijas, Kanādas, Lielbritānijas, Lietuvas, Moldovas, Nīderlandes, Somijas, Spānijas, Ungārijas un Zviedrijas</w:t>
      </w:r>
      <w:r w:rsidR="00BF1952" w:rsidRPr="00611589">
        <w:rPr>
          <w:rFonts w:ascii="Times New Roman" w:hAnsi="Times New Roman" w:cs="Times New Roman"/>
          <w:sz w:val="28"/>
          <w:szCs w:val="28"/>
        </w:rPr>
        <w:t xml:space="preserve"> </w:t>
      </w:r>
      <w:r w:rsidR="000F1000" w:rsidRPr="00611589">
        <w:rPr>
          <w:rFonts w:ascii="Times New Roman" w:hAnsi="Times New Roman" w:cs="Times New Roman"/>
          <w:sz w:val="28"/>
          <w:szCs w:val="28"/>
        </w:rPr>
        <w:t>vēstniecību</w:t>
      </w:r>
      <w:r w:rsidRPr="00611589">
        <w:rPr>
          <w:rFonts w:ascii="Times New Roman" w:hAnsi="Times New Roman" w:cs="Times New Roman"/>
          <w:sz w:val="28"/>
          <w:szCs w:val="28"/>
        </w:rPr>
        <w:t xml:space="preserve"> pārstāvji.</w:t>
      </w:r>
    </w:p>
    <w:p w:rsidR="008373C7" w:rsidRDefault="008373C7" w:rsidP="008373C7">
      <w:pPr>
        <w:spacing w:after="0" w:line="240" w:lineRule="auto"/>
        <w:ind w:firstLine="567"/>
        <w:jc w:val="both"/>
        <w:rPr>
          <w:rFonts w:ascii="Times New Roman" w:hAnsi="Times New Roman" w:cs="Times New Roman"/>
          <w:sz w:val="28"/>
          <w:szCs w:val="28"/>
        </w:rPr>
      </w:pPr>
      <w:r w:rsidRPr="00611589">
        <w:rPr>
          <w:rFonts w:ascii="Times New Roman" w:hAnsi="Times New Roman" w:cs="Times New Roman"/>
          <w:sz w:val="28"/>
          <w:szCs w:val="28"/>
        </w:rPr>
        <w:t xml:space="preserve">Birojs turpināja iepazīstināt </w:t>
      </w:r>
      <w:r w:rsidRPr="00611589">
        <w:rPr>
          <w:rFonts w:ascii="Times New Roman" w:hAnsi="Times New Roman" w:cs="Times New Roman"/>
          <w:b/>
          <w:sz w:val="28"/>
          <w:szCs w:val="28"/>
        </w:rPr>
        <w:t>citu valstu pārstāvjus</w:t>
      </w:r>
      <w:r w:rsidRPr="00611589">
        <w:rPr>
          <w:rFonts w:ascii="Times New Roman" w:hAnsi="Times New Roman" w:cs="Times New Roman"/>
          <w:sz w:val="28"/>
          <w:szCs w:val="28"/>
        </w:rPr>
        <w:t xml:space="preserve"> ar uzkrāto pieredzi – pārskata periodā Birojā viesojās </w:t>
      </w:r>
      <w:r w:rsidR="000F1000" w:rsidRPr="00611589">
        <w:rPr>
          <w:rFonts w:ascii="Times New Roman" w:hAnsi="Times New Roman" w:cs="Times New Roman"/>
          <w:sz w:val="28"/>
          <w:szCs w:val="28"/>
        </w:rPr>
        <w:t>Armēnijas</w:t>
      </w:r>
      <w:r w:rsidRPr="00611589">
        <w:rPr>
          <w:rFonts w:ascii="Times New Roman" w:hAnsi="Times New Roman" w:cs="Times New Roman"/>
          <w:sz w:val="28"/>
          <w:szCs w:val="28"/>
        </w:rPr>
        <w:t>, Horvā</w:t>
      </w:r>
      <w:r w:rsidR="000F1000" w:rsidRPr="00611589">
        <w:rPr>
          <w:rFonts w:ascii="Times New Roman" w:hAnsi="Times New Roman" w:cs="Times New Roman"/>
          <w:sz w:val="28"/>
          <w:szCs w:val="28"/>
        </w:rPr>
        <w:t xml:space="preserve">tijas, Melnkalnes, </w:t>
      </w:r>
      <w:r w:rsidR="000F1000" w:rsidRPr="00611589">
        <w:rPr>
          <w:rFonts w:ascii="Times New Roman" w:hAnsi="Times New Roman" w:cs="Times New Roman"/>
          <w:sz w:val="28"/>
          <w:szCs w:val="28"/>
        </w:rPr>
        <w:lastRenderedPageBreak/>
        <w:t>Turkmenistānas un Ukrainas</w:t>
      </w:r>
      <w:r w:rsidR="00BF1952" w:rsidRPr="00611589">
        <w:rPr>
          <w:rFonts w:ascii="Times New Roman" w:hAnsi="Times New Roman" w:cs="Times New Roman"/>
          <w:sz w:val="28"/>
          <w:szCs w:val="28"/>
        </w:rPr>
        <w:t xml:space="preserve"> </w:t>
      </w:r>
      <w:r w:rsidRPr="00611589">
        <w:rPr>
          <w:rFonts w:ascii="Times New Roman" w:hAnsi="Times New Roman" w:cs="Times New Roman"/>
          <w:sz w:val="28"/>
          <w:szCs w:val="28"/>
        </w:rPr>
        <w:t>pārstāvji, lai iepazītos ar Latvijas pieredzi korupcijas novēršanā un apkarošanā, kā arī politisko partiju finansēšanas un priekšvēlēšanu aģitācijas uzraudzībā.</w:t>
      </w:r>
    </w:p>
    <w:p w:rsidR="0092658C" w:rsidRDefault="0092658C" w:rsidP="008373C7">
      <w:pPr>
        <w:spacing w:after="0" w:line="240" w:lineRule="auto"/>
        <w:ind w:firstLine="567"/>
        <w:jc w:val="both"/>
        <w:rPr>
          <w:rFonts w:ascii="Times New Roman" w:hAnsi="Times New Roman" w:cs="Times New Roman"/>
          <w:sz w:val="28"/>
          <w:szCs w:val="28"/>
        </w:rPr>
      </w:pPr>
      <w:r w:rsidRPr="0092658C">
        <w:rPr>
          <w:rFonts w:ascii="Times New Roman" w:hAnsi="Times New Roman" w:cs="Times New Roman"/>
          <w:sz w:val="28"/>
          <w:szCs w:val="28"/>
        </w:rPr>
        <w:t>201</w:t>
      </w:r>
      <w:r w:rsidR="00285CD4">
        <w:rPr>
          <w:rFonts w:ascii="Times New Roman" w:hAnsi="Times New Roman" w:cs="Times New Roman"/>
          <w:sz w:val="28"/>
          <w:szCs w:val="28"/>
        </w:rPr>
        <w:t>4.gada decembrī Biroja priekšnieks</w:t>
      </w:r>
      <w:r w:rsidRPr="0092658C">
        <w:rPr>
          <w:rFonts w:ascii="Times New Roman" w:hAnsi="Times New Roman" w:cs="Times New Roman"/>
          <w:sz w:val="28"/>
          <w:szCs w:val="28"/>
        </w:rPr>
        <w:t xml:space="preserve"> piedalījās Pasaules Bankas rīkotajā pretkorupcijas iestāžu sanāksmē </w:t>
      </w:r>
      <w:r>
        <w:rPr>
          <w:rFonts w:ascii="Times New Roman" w:hAnsi="Times New Roman" w:cs="Times New Roman"/>
          <w:sz w:val="28"/>
          <w:szCs w:val="28"/>
        </w:rPr>
        <w:t>ASV,</w:t>
      </w:r>
      <w:r w:rsidRPr="0092658C">
        <w:rPr>
          <w:rFonts w:ascii="Times New Roman" w:hAnsi="Times New Roman" w:cs="Times New Roman"/>
          <w:sz w:val="28"/>
          <w:szCs w:val="28"/>
        </w:rPr>
        <w:t xml:space="preserve"> kurā prezentēja Latvijas pieredzi korupcijas novēršanas un apkarošanas politikas īstenošanā. Sanāksmē </w:t>
      </w:r>
      <w:r w:rsidR="00285CD4">
        <w:rPr>
          <w:rFonts w:ascii="Times New Roman" w:hAnsi="Times New Roman" w:cs="Times New Roman"/>
          <w:sz w:val="28"/>
          <w:szCs w:val="28"/>
        </w:rPr>
        <w:t>piedalījās</w:t>
      </w:r>
      <w:r w:rsidRPr="0092658C">
        <w:rPr>
          <w:rFonts w:ascii="Times New Roman" w:hAnsi="Times New Roman" w:cs="Times New Roman"/>
          <w:sz w:val="28"/>
          <w:szCs w:val="28"/>
        </w:rPr>
        <w:t xml:space="preserve"> </w:t>
      </w:r>
      <w:r w:rsidR="00285CD4">
        <w:rPr>
          <w:rFonts w:ascii="Times New Roman" w:hAnsi="Times New Roman" w:cs="Times New Roman"/>
          <w:sz w:val="28"/>
          <w:szCs w:val="28"/>
        </w:rPr>
        <w:t>pārstāvji no vairāk nekā 130 valstīm</w:t>
      </w:r>
      <w:r w:rsidRPr="0092658C">
        <w:rPr>
          <w:rFonts w:ascii="Times New Roman" w:hAnsi="Times New Roman" w:cs="Times New Roman"/>
          <w:sz w:val="28"/>
          <w:szCs w:val="28"/>
        </w:rPr>
        <w:t>.</w:t>
      </w:r>
    </w:p>
    <w:p w:rsidR="006C1384" w:rsidRPr="00611589" w:rsidRDefault="006C1384" w:rsidP="008373C7">
      <w:pPr>
        <w:spacing w:after="0" w:line="240" w:lineRule="auto"/>
        <w:ind w:firstLine="567"/>
        <w:jc w:val="both"/>
        <w:rPr>
          <w:rFonts w:ascii="Times New Roman" w:hAnsi="Times New Roman" w:cs="Times New Roman"/>
        </w:rPr>
      </w:pPr>
    </w:p>
    <w:p w:rsidR="008F32BD" w:rsidRPr="00611589" w:rsidRDefault="008F32BD" w:rsidP="00113355">
      <w:pPr>
        <w:pStyle w:val="ListParagraph"/>
        <w:numPr>
          <w:ilvl w:val="1"/>
          <w:numId w:val="21"/>
        </w:numPr>
        <w:autoSpaceDE w:val="0"/>
        <w:autoSpaceDN w:val="0"/>
        <w:adjustRightInd w:val="0"/>
        <w:spacing w:after="0" w:line="240" w:lineRule="auto"/>
        <w:jc w:val="center"/>
        <w:rPr>
          <w:rFonts w:ascii="Times New Roman" w:hAnsi="Times New Roman" w:cs="Times New Roman"/>
          <w:b/>
          <w:sz w:val="28"/>
          <w:szCs w:val="28"/>
        </w:rPr>
      </w:pPr>
      <w:r w:rsidRPr="00611589">
        <w:rPr>
          <w:rFonts w:ascii="Times New Roman" w:hAnsi="Times New Roman" w:cs="Times New Roman"/>
          <w:b/>
          <w:sz w:val="28"/>
          <w:szCs w:val="28"/>
        </w:rPr>
        <w:t>Valsts amatpersonu darbības kontrole</w:t>
      </w:r>
    </w:p>
    <w:p w:rsidR="007F4BB0" w:rsidRPr="00611589" w:rsidRDefault="003D70F1" w:rsidP="006E36A4">
      <w:pPr>
        <w:spacing w:after="0" w:line="240" w:lineRule="auto"/>
        <w:ind w:firstLine="567"/>
        <w:jc w:val="both"/>
        <w:rPr>
          <w:rFonts w:ascii="Times New Roman" w:hAnsi="Times New Roman" w:cs="Times New Roman"/>
          <w:sz w:val="28"/>
          <w:szCs w:val="28"/>
        </w:rPr>
      </w:pPr>
      <w:r w:rsidRPr="00611589">
        <w:rPr>
          <w:rFonts w:ascii="Times New Roman" w:eastAsia="Times New Roman" w:hAnsi="Times New Roman" w:cs="Times New Roman"/>
          <w:sz w:val="28"/>
          <w:szCs w:val="28"/>
          <w:lang w:eastAsia="lv-LV"/>
        </w:rPr>
        <w:t>Lai nodrošinātu valsts amatpersonu darbību sabiedrības interesēs, novēršot jebkuras amatpersonas, tās radinieku vai darījumu partneru personiskās vai mantiskās ieinteresētības ietekmi uz valsts amatpersonas lēmumiem un rīcību, Birojs kontrolē interešu konflikta novēršanu valsts amatpersonu darbībā, kā arī normatīvajos aktos noteikto aizliegumu un papildu ierobežojumu ievērošanu.</w:t>
      </w:r>
      <w:r w:rsidR="00BF1952" w:rsidRPr="00611589">
        <w:rPr>
          <w:rFonts w:ascii="Times New Roman" w:eastAsia="Times New Roman" w:hAnsi="Times New Roman" w:cs="Times New Roman"/>
          <w:sz w:val="28"/>
          <w:szCs w:val="28"/>
          <w:lang w:eastAsia="lv-LV"/>
        </w:rPr>
        <w:t xml:space="preserve"> </w:t>
      </w:r>
      <w:r w:rsidRPr="00611589">
        <w:rPr>
          <w:rFonts w:ascii="Times New Roman" w:eastAsia="Times New Roman" w:hAnsi="Times New Roman" w:cs="Times New Roman"/>
          <w:sz w:val="28"/>
          <w:szCs w:val="28"/>
          <w:lang w:eastAsia="lv-LV"/>
        </w:rPr>
        <w:t>Saistībā ar likumā „Par interešu konflikta novēršanu valsts amatpersonu darbībā” not</w:t>
      </w:r>
      <w:r w:rsidR="006E36A4" w:rsidRPr="00611589">
        <w:rPr>
          <w:rFonts w:ascii="Times New Roman" w:eastAsia="Times New Roman" w:hAnsi="Times New Roman" w:cs="Times New Roman"/>
          <w:sz w:val="28"/>
          <w:szCs w:val="28"/>
          <w:lang w:eastAsia="lv-LV"/>
        </w:rPr>
        <w:t>eikto ierobežojumu neievērošanu, k</w:t>
      </w:r>
      <w:r w:rsidR="00930E31" w:rsidRPr="00611589">
        <w:rPr>
          <w:rFonts w:ascii="Times New Roman" w:hAnsi="Times New Roman" w:cs="Times New Roman"/>
          <w:sz w:val="28"/>
          <w:szCs w:val="28"/>
        </w:rPr>
        <w:t xml:space="preserve">onstatējot administratīvā pārkāpuma pazīmes, 2014.gada otrajā pusē lietvedība administratīvā pārkāpuma lietās ir uzsākta </w:t>
      </w:r>
      <w:r w:rsidR="004D6438" w:rsidRPr="00611589">
        <w:rPr>
          <w:rFonts w:ascii="Times New Roman" w:eastAsia="Times New Roman" w:hAnsi="Times New Roman" w:cs="Times New Roman"/>
          <w:sz w:val="28"/>
          <w:szCs w:val="28"/>
          <w:lang w:eastAsia="lv-LV"/>
        </w:rPr>
        <w:t>141 </w:t>
      </w:r>
      <w:r w:rsidR="006E36A4" w:rsidRPr="00611589">
        <w:rPr>
          <w:rFonts w:ascii="Times New Roman" w:eastAsia="Times New Roman" w:hAnsi="Times New Roman" w:cs="Times New Roman"/>
          <w:sz w:val="28"/>
          <w:szCs w:val="28"/>
          <w:lang w:eastAsia="lv-LV"/>
        </w:rPr>
        <w:t>gadījumā</w:t>
      </w:r>
      <w:r w:rsidR="00BF1952" w:rsidRPr="00611589">
        <w:rPr>
          <w:rFonts w:ascii="Times New Roman" w:eastAsia="Times New Roman" w:hAnsi="Times New Roman" w:cs="Times New Roman"/>
          <w:sz w:val="28"/>
          <w:szCs w:val="28"/>
          <w:lang w:eastAsia="lv-LV"/>
        </w:rPr>
        <w:t xml:space="preserve"> </w:t>
      </w:r>
      <w:r w:rsidR="00C860C5" w:rsidRPr="00611589">
        <w:rPr>
          <w:rFonts w:ascii="Times New Roman" w:hAnsi="Times New Roman" w:cs="Times New Roman"/>
          <w:sz w:val="28"/>
          <w:szCs w:val="28"/>
        </w:rPr>
        <w:t>(kopā 2014.gadā – 218 gadījumos)</w:t>
      </w:r>
      <w:r w:rsidR="006E36A4" w:rsidRPr="00611589">
        <w:rPr>
          <w:rFonts w:ascii="Times New Roman" w:hAnsi="Times New Roman" w:cs="Times New Roman"/>
          <w:sz w:val="28"/>
          <w:szCs w:val="28"/>
        </w:rPr>
        <w:t>, s</w:t>
      </w:r>
      <w:r w:rsidR="00930E31" w:rsidRPr="00611589">
        <w:rPr>
          <w:rFonts w:ascii="Times New Roman" w:hAnsi="Times New Roman" w:cs="Times New Roman"/>
          <w:sz w:val="28"/>
          <w:szCs w:val="28"/>
        </w:rPr>
        <w:t>avukārt</w:t>
      </w:r>
      <w:r w:rsidR="006E36A4" w:rsidRPr="00611589">
        <w:rPr>
          <w:rFonts w:ascii="Times New Roman" w:hAnsi="Times New Roman" w:cs="Times New Roman"/>
          <w:sz w:val="28"/>
          <w:szCs w:val="28"/>
        </w:rPr>
        <w:t xml:space="preserve"> lēmums atteikt lietvedības uzsākšanu pieņemts</w:t>
      </w:r>
      <w:r w:rsidR="006C1384">
        <w:rPr>
          <w:rFonts w:ascii="Times New Roman" w:hAnsi="Times New Roman" w:cs="Times New Roman"/>
          <w:sz w:val="28"/>
          <w:szCs w:val="28"/>
        </w:rPr>
        <w:t xml:space="preserve"> </w:t>
      </w:r>
      <w:r w:rsidR="00C860C5" w:rsidRPr="00611589">
        <w:rPr>
          <w:rFonts w:ascii="Times New Roman" w:hAnsi="Times New Roman" w:cs="Times New Roman"/>
          <w:sz w:val="28"/>
          <w:szCs w:val="28"/>
        </w:rPr>
        <w:t>101 gadījumā (kopā 2014.gadā – 168 gadījumos)</w:t>
      </w:r>
      <w:r w:rsidR="004D6438" w:rsidRPr="00611589">
        <w:rPr>
          <w:rFonts w:ascii="Times New Roman" w:hAnsi="Times New Roman" w:cs="Times New Roman"/>
          <w:sz w:val="28"/>
          <w:szCs w:val="28"/>
        </w:rPr>
        <w:t>.</w:t>
      </w:r>
    </w:p>
    <w:p w:rsidR="006E36A4" w:rsidRPr="00611589" w:rsidRDefault="001205CE" w:rsidP="006E36A4">
      <w:pPr>
        <w:spacing w:after="0" w:line="240" w:lineRule="auto"/>
        <w:ind w:firstLine="567"/>
        <w:jc w:val="both"/>
        <w:rPr>
          <w:rFonts w:ascii="Times New Roman" w:hAnsi="Times New Roman" w:cs="Times New Roman"/>
          <w:sz w:val="28"/>
          <w:szCs w:val="28"/>
        </w:rPr>
      </w:pPr>
      <w:r w:rsidRPr="00611589">
        <w:rPr>
          <w:rFonts w:ascii="Times New Roman" w:hAnsi="Times New Roman" w:cs="Times New Roman"/>
          <w:sz w:val="28"/>
          <w:szCs w:val="28"/>
        </w:rPr>
        <w:t xml:space="preserve">Pārskata periodā pieņemti 100 lēmumi administratīvā pārkāpuma lietā un ar naudas sodu sodītas 39 valsts amatpersonas par kopējo summu EUR 4360 apmērā, savukārt 55 </w:t>
      </w:r>
      <w:r w:rsidR="00930E31" w:rsidRPr="00611589">
        <w:rPr>
          <w:rFonts w:ascii="Times New Roman" w:hAnsi="Times New Roman" w:cs="Times New Roman"/>
          <w:sz w:val="28"/>
          <w:szCs w:val="28"/>
        </w:rPr>
        <w:t>gadījumos</w:t>
      </w:r>
      <w:r w:rsidR="00BF1952" w:rsidRPr="00611589">
        <w:rPr>
          <w:rFonts w:ascii="Times New Roman" w:hAnsi="Times New Roman" w:cs="Times New Roman"/>
          <w:sz w:val="28"/>
          <w:szCs w:val="28"/>
        </w:rPr>
        <w:t xml:space="preserve"> </w:t>
      </w:r>
      <w:r w:rsidR="00930E31" w:rsidRPr="00611589">
        <w:rPr>
          <w:rFonts w:ascii="Times New Roman" w:hAnsi="Times New Roman" w:cs="Times New Roman"/>
          <w:sz w:val="28"/>
          <w:szCs w:val="28"/>
        </w:rPr>
        <w:t xml:space="preserve">ziņas par administratīvo pārkāpumu bija pietiekamas, lai Birojs konstatētu, ka izdarītais pārkāpums ir maznozīmīgs – Birojs pieņēmis lēmumu neuzsākt administratīvā pārkāpuma lietvedību, </w:t>
      </w:r>
      <w:r w:rsidR="002825E2" w:rsidRPr="00611589">
        <w:rPr>
          <w:rFonts w:ascii="Times New Roman" w:hAnsi="Times New Roman" w:cs="Times New Roman"/>
          <w:sz w:val="28"/>
          <w:szCs w:val="28"/>
        </w:rPr>
        <w:t>izsakot</w:t>
      </w:r>
      <w:r w:rsidR="00930E31" w:rsidRPr="00611589">
        <w:rPr>
          <w:rFonts w:ascii="Times New Roman" w:hAnsi="Times New Roman" w:cs="Times New Roman"/>
          <w:sz w:val="28"/>
          <w:szCs w:val="28"/>
        </w:rPr>
        <w:t xml:space="preserve"> mutvārdu aizrādījumu</w:t>
      </w:r>
      <w:r w:rsidRPr="00611589">
        <w:rPr>
          <w:rFonts w:ascii="Times New Roman" w:hAnsi="Times New Roman" w:cs="Times New Roman"/>
          <w:sz w:val="28"/>
          <w:szCs w:val="28"/>
        </w:rPr>
        <w:t xml:space="preserve">. </w:t>
      </w:r>
      <w:r w:rsidR="000963D1" w:rsidRPr="00611589">
        <w:rPr>
          <w:rFonts w:ascii="Times New Roman" w:hAnsi="Times New Roman" w:cs="Times New Roman"/>
          <w:sz w:val="28"/>
          <w:szCs w:val="28"/>
        </w:rPr>
        <w:t xml:space="preserve">Kopā 2014.gadā </w:t>
      </w:r>
      <w:r w:rsidR="003C0DA6" w:rsidRPr="00611589">
        <w:rPr>
          <w:rFonts w:ascii="Times New Roman" w:hAnsi="Times New Roman" w:cs="Times New Roman"/>
          <w:sz w:val="28"/>
          <w:szCs w:val="28"/>
        </w:rPr>
        <w:t xml:space="preserve">pieņemti </w:t>
      </w:r>
      <w:r w:rsidR="003C0DA6" w:rsidRPr="00611589">
        <w:rPr>
          <w:rFonts w:ascii="Times New Roman" w:hAnsi="Times New Roman" w:cs="Times New Roman"/>
          <w:b/>
          <w:sz w:val="28"/>
          <w:szCs w:val="28"/>
        </w:rPr>
        <w:t>200 lēmumi</w:t>
      </w:r>
      <w:r w:rsidR="003D6E55" w:rsidRPr="00611589">
        <w:rPr>
          <w:rFonts w:ascii="Times New Roman" w:hAnsi="Times New Roman" w:cs="Times New Roman"/>
          <w:b/>
          <w:sz w:val="28"/>
          <w:szCs w:val="28"/>
        </w:rPr>
        <w:t xml:space="preserve"> administratīvā pārkāpuma lietā </w:t>
      </w:r>
      <w:r w:rsidR="003D6E55" w:rsidRPr="00611589">
        <w:rPr>
          <w:rFonts w:ascii="Times New Roman" w:hAnsi="Times New Roman" w:cs="Times New Roman"/>
          <w:sz w:val="28"/>
          <w:szCs w:val="28"/>
        </w:rPr>
        <w:t>(par 83 lēmumiem vairāk nekā 2013.gadā),</w:t>
      </w:r>
      <w:r w:rsidR="001A3122">
        <w:rPr>
          <w:rFonts w:ascii="Times New Roman" w:hAnsi="Times New Roman" w:cs="Times New Roman"/>
          <w:sz w:val="28"/>
          <w:szCs w:val="28"/>
        </w:rPr>
        <w:t xml:space="preserve"> </w:t>
      </w:r>
      <w:r w:rsidR="00DD2C19" w:rsidRPr="00611589">
        <w:rPr>
          <w:rFonts w:ascii="Times New Roman" w:hAnsi="Times New Roman" w:cs="Times New Roman"/>
          <w:sz w:val="28"/>
          <w:szCs w:val="28"/>
        </w:rPr>
        <w:t xml:space="preserve">no tiem 100 amatpersonas sodītas ar </w:t>
      </w:r>
      <w:r w:rsidR="00DD2C19" w:rsidRPr="00611589">
        <w:rPr>
          <w:rFonts w:ascii="Times New Roman" w:hAnsi="Times New Roman" w:cs="Times New Roman"/>
          <w:b/>
          <w:sz w:val="28"/>
          <w:szCs w:val="28"/>
        </w:rPr>
        <w:t>naudas sodu</w:t>
      </w:r>
      <w:r w:rsidR="00DD2C19" w:rsidRPr="00611589">
        <w:rPr>
          <w:rFonts w:ascii="Times New Roman" w:hAnsi="Times New Roman" w:cs="Times New Roman"/>
          <w:sz w:val="28"/>
          <w:szCs w:val="28"/>
        </w:rPr>
        <w:t xml:space="preserve"> par kopējo summu </w:t>
      </w:r>
      <w:r w:rsidR="003C0DA6" w:rsidRPr="00611589">
        <w:rPr>
          <w:rFonts w:ascii="Times New Roman" w:hAnsi="Times New Roman" w:cs="Times New Roman"/>
          <w:b/>
          <w:sz w:val="28"/>
          <w:szCs w:val="28"/>
        </w:rPr>
        <w:t>EUR 10115</w:t>
      </w:r>
      <w:r w:rsidR="003C0DA6" w:rsidRPr="00611589">
        <w:rPr>
          <w:rFonts w:ascii="Times New Roman" w:hAnsi="Times New Roman" w:cs="Times New Roman"/>
          <w:sz w:val="28"/>
          <w:szCs w:val="28"/>
        </w:rPr>
        <w:t xml:space="preserve">, savukārt, </w:t>
      </w:r>
      <w:r w:rsidR="003C0DA6" w:rsidRPr="00611589">
        <w:rPr>
          <w:rFonts w:ascii="Times New Roman" w:hAnsi="Times New Roman" w:cs="Times New Roman"/>
          <w:b/>
          <w:sz w:val="28"/>
          <w:szCs w:val="28"/>
        </w:rPr>
        <w:t>85</w:t>
      </w:r>
      <w:r w:rsidR="001A3122">
        <w:rPr>
          <w:rFonts w:ascii="Times New Roman" w:hAnsi="Times New Roman" w:cs="Times New Roman"/>
          <w:b/>
          <w:sz w:val="28"/>
          <w:szCs w:val="28"/>
        </w:rPr>
        <w:t xml:space="preserve"> </w:t>
      </w:r>
      <w:r w:rsidR="00930E31" w:rsidRPr="00611589">
        <w:rPr>
          <w:rFonts w:ascii="Times New Roman" w:hAnsi="Times New Roman" w:cs="Times New Roman"/>
          <w:sz w:val="28"/>
          <w:szCs w:val="28"/>
        </w:rPr>
        <w:t>gadījumos</w:t>
      </w:r>
      <w:r w:rsidR="003C0DA6" w:rsidRPr="00611589">
        <w:rPr>
          <w:rFonts w:ascii="Times New Roman" w:hAnsi="Times New Roman" w:cs="Times New Roman"/>
          <w:sz w:val="28"/>
          <w:szCs w:val="28"/>
        </w:rPr>
        <w:t xml:space="preserve"> izteikts </w:t>
      </w:r>
      <w:r w:rsidR="003C0DA6" w:rsidRPr="00611589">
        <w:rPr>
          <w:rFonts w:ascii="Times New Roman" w:hAnsi="Times New Roman" w:cs="Times New Roman"/>
          <w:b/>
          <w:sz w:val="28"/>
          <w:szCs w:val="28"/>
        </w:rPr>
        <w:t>mutvārdu aizrādījums</w:t>
      </w:r>
      <w:r w:rsidR="00DD2C19" w:rsidRPr="00611589">
        <w:rPr>
          <w:rFonts w:ascii="Times New Roman" w:hAnsi="Times New Roman" w:cs="Times New Roman"/>
          <w:sz w:val="28"/>
          <w:szCs w:val="28"/>
        </w:rPr>
        <w:t>, bet 15 gadījumos pieņemti lēmumi lietved</w:t>
      </w:r>
      <w:r w:rsidR="008537EC" w:rsidRPr="00611589">
        <w:rPr>
          <w:rFonts w:ascii="Times New Roman" w:hAnsi="Times New Roman" w:cs="Times New Roman"/>
          <w:sz w:val="28"/>
          <w:szCs w:val="28"/>
        </w:rPr>
        <w:t xml:space="preserve">ību izbeigt. No 2014.gadā pieņemtajiem Biroja lēmumiem tiesā ir atcelti divi, bet </w:t>
      </w:r>
      <w:r w:rsidR="000F1000" w:rsidRPr="00611589">
        <w:rPr>
          <w:rFonts w:ascii="Times New Roman" w:hAnsi="Times New Roman" w:cs="Times New Roman"/>
          <w:sz w:val="28"/>
          <w:szCs w:val="28"/>
        </w:rPr>
        <w:t>pieci</w:t>
      </w:r>
      <w:r w:rsidR="008537EC" w:rsidRPr="00611589">
        <w:rPr>
          <w:rFonts w:ascii="Times New Roman" w:hAnsi="Times New Roman" w:cs="Times New Roman"/>
          <w:sz w:val="28"/>
          <w:szCs w:val="28"/>
        </w:rPr>
        <w:t xml:space="preserve"> atrodas pārsūdzības procesā. </w:t>
      </w:r>
      <w:r w:rsidR="007F4BB0" w:rsidRPr="00611589">
        <w:rPr>
          <w:rFonts w:ascii="Times New Roman" w:hAnsi="Times New Roman" w:cs="Times New Roman"/>
          <w:sz w:val="28"/>
          <w:szCs w:val="28"/>
        </w:rPr>
        <w:t>Pieņemtie lēmumi un uzliktie naudas sodi</w:t>
      </w:r>
      <w:r w:rsidR="00BF1952" w:rsidRPr="00611589">
        <w:rPr>
          <w:rFonts w:ascii="Times New Roman" w:hAnsi="Times New Roman" w:cs="Times New Roman"/>
          <w:sz w:val="28"/>
          <w:szCs w:val="28"/>
        </w:rPr>
        <w:t xml:space="preserve"> </w:t>
      </w:r>
      <w:r w:rsidR="000F1000" w:rsidRPr="00611589">
        <w:rPr>
          <w:rFonts w:ascii="Times New Roman" w:hAnsi="Times New Roman" w:cs="Times New Roman"/>
          <w:sz w:val="28"/>
          <w:szCs w:val="28"/>
        </w:rPr>
        <w:t>ir atspoguļoti</w:t>
      </w:r>
      <w:r w:rsidR="001A3122">
        <w:rPr>
          <w:rFonts w:ascii="Times New Roman" w:hAnsi="Times New Roman" w:cs="Times New Roman"/>
          <w:sz w:val="28"/>
          <w:szCs w:val="28"/>
        </w:rPr>
        <w:t xml:space="preserve"> </w:t>
      </w:r>
      <w:r w:rsidR="006E36A4" w:rsidRPr="00611589">
        <w:rPr>
          <w:rFonts w:ascii="Times New Roman" w:hAnsi="Times New Roman" w:cs="Times New Roman"/>
          <w:sz w:val="28"/>
          <w:szCs w:val="28"/>
        </w:rPr>
        <w:t>3</w:t>
      </w:r>
      <w:r w:rsidR="008537EC" w:rsidRPr="00611589">
        <w:rPr>
          <w:rFonts w:ascii="Times New Roman" w:hAnsi="Times New Roman" w:cs="Times New Roman"/>
          <w:sz w:val="28"/>
          <w:szCs w:val="28"/>
        </w:rPr>
        <w:t>.attēlā.</w:t>
      </w:r>
      <w:r w:rsidR="006C1384">
        <w:rPr>
          <w:rFonts w:ascii="Times New Roman" w:hAnsi="Times New Roman" w:cs="Times New Roman"/>
          <w:sz w:val="28"/>
          <w:szCs w:val="28"/>
        </w:rPr>
        <w:t xml:space="preserve"> </w:t>
      </w:r>
      <w:r w:rsidR="006E36A4" w:rsidRPr="00611589">
        <w:rPr>
          <w:rFonts w:ascii="Times New Roman" w:hAnsi="Times New Roman" w:cs="Times New Roman"/>
          <w:sz w:val="28"/>
          <w:szCs w:val="28"/>
        </w:rPr>
        <w:t xml:space="preserve">2014.gadā </w:t>
      </w:r>
      <w:r w:rsidR="006E36A4" w:rsidRPr="00611589">
        <w:rPr>
          <w:rFonts w:ascii="Times New Roman" w:hAnsi="Times New Roman" w:cs="Times New Roman"/>
          <w:b/>
          <w:sz w:val="28"/>
          <w:szCs w:val="28"/>
        </w:rPr>
        <w:t>sešām</w:t>
      </w:r>
      <w:r w:rsidR="006E36A4" w:rsidRPr="00611589">
        <w:rPr>
          <w:rFonts w:ascii="Times New Roman" w:hAnsi="Times New Roman" w:cs="Times New Roman"/>
          <w:sz w:val="28"/>
          <w:szCs w:val="28"/>
        </w:rPr>
        <w:t xml:space="preserve"> personām lūgts </w:t>
      </w:r>
      <w:r w:rsidR="006E36A4" w:rsidRPr="00611589">
        <w:rPr>
          <w:rFonts w:ascii="Times New Roman" w:hAnsi="Times New Roman" w:cs="Times New Roman"/>
          <w:b/>
          <w:sz w:val="28"/>
          <w:szCs w:val="28"/>
        </w:rPr>
        <w:t>atlīdzināt valstij nodarītos zaudējumus</w:t>
      </w:r>
      <w:r w:rsidR="006E36A4" w:rsidRPr="00611589">
        <w:rPr>
          <w:rFonts w:ascii="Times New Roman" w:hAnsi="Times New Roman" w:cs="Times New Roman"/>
          <w:sz w:val="28"/>
          <w:szCs w:val="28"/>
        </w:rPr>
        <w:t xml:space="preserve"> par kopējo summu </w:t>
      </w:r>
      <w:r w:rsidR="006E36A4" w:rsidRPr="00611589">
        <w:rPr>
          <w:rFonts w:ascii="Times New Roman" w:hAnsi="Times New Roman" w:cs="Times New Roman"/>
          <w:b/>
          <w:sz w:val="28"/>
          <w:szCs w:val="28"/>
        </w:rPr>
        <w:t>EUR 3892</w:t>
      </w:r>
      <w:r w:rsidR="006E36A4" w:rsidRPr="00611589">
        <w:rPr>
          <w:rFonts w:ascii="Times New Roman" w:hAnsi="Times New Roman" w:cs="Times New Roman"/>
          <w:sz w:val="28"/>
          <w:szCs w:val="28"/>
        </w:rPr>
        <w:t xml:space="preserve">. </w:t>
      </w:r>
    </w:p>
    <w:p w:rsidR="00B97C12" w:rsidRPr="00611589" w:rsidRDefault="00B97C12" w:rsidP="00B97C12">
      <w:pPr>
        <w:spacing w:after="0" w:line="240" w:lineRule="auto"/>
        <w:ind w:firstLine="567"/>
        <w:jc w:val="both"/>
        <w:rPr>
          <w:rFonts w:ascii="Times New Roman" w:hAnsi="Times New Roman" w:cs="Times New Roman"/>
          <w:sz w:val="28"/>
          <w:szCs w:val="28"/>
        </w:rPr>
      </w:pPr>
      <w:r w:rsidRPr="00611589">
        <w:rPr>
          <w:rFonts w:ascii="Times New Roman" w:hAnsi="Times New Roman" w:cs="Times New Roman"/>
          <w:sz w:val="28"/>
          <w:szCs w:val="28"/>
        </w:rPr>
        <w:t xml:space="preserve">Veicot likumā noteiktās funkcijas valsts amatpersonu darbības kontroles jomā, 2014.gada otrajā pusgadā Birojs pabeidza 238 pārbaudes, bet 2014.gadā kopumā – 428 </w:t>
      </w:r>
      <w:proofErr w:type="spellStart"/>
      <w:r w:rsidRPr="00611589">
        <w:rPr>
          <w:rFonts w:ascii="Times New Roman" w:hAnsi="Times New Roman" w:cs="Times New Roman"/>
          <w:sz w:val="28"/>
          <w:szCs w:val="28"/>
        </w:rPr>
        <w:t>resoriskās</w:t>
      </w:r>
      <w:proofErr w:type="spellEnd"/>
      <w:r w:rsidRPr="00611589">
        <w:rPr>
          <w:rFonts w:ascii="Times New Roman" w:hAnsi="Times New Roman" w:cs="Times New Roman"/>
          <w:sz w:val="28"/>
          <w:szCs w:val="28"/>
        </w:rPr>
        <w:t xml:space="preserve">, kas ir par  25 pārbaudēm mazāk nekā 2013.gadā. </w:t>
      </w:r>
      <w:r w:rsidR="003C046E">
        <w:rPr>
          <w:rFonts w:ascii="Times New Roman" w:hAnsi="Times New Roman" w:cs="Times New Roman"/>
          <w:sz w:val="28"/>
          <w:szCs w:val="28"/>
        </w:rPr>
        <w:t xml:space="preserve">Samazinājums izskaidrojams ar </w:t>
      </w:r>
      <w:r w:rsidR="00802EE1">
        <w:rPr>
          <w:rFonts w:ascii="Times New Roman" w:hAnsi="Times New Roman" w:cs="Times New Roman"/>
          <w:sz w:val="28"/>
          <w:szCs w:val="28"/>
        </w:rPr>
        <w:t xml:space="preserve">ievērojamo administratīvo pārkāpumu lietu pieaugumu. </w:t>
      </w:r>
      <w:r w:rsidRPr="00611589">
        <w:rPr>
          <w:rFonts w:ascii="Times New Roman" w:hAnsi="Times New Roman" w:cs="Times New Roman"/>
          <w:sz w:val="28"/>
          <w:szCs w:val="28"/>
        </w:rPr>
        <w:t xml:space="preserve">Vidējais </w:t>
      </w:r>
      <w:proofErr w:type="spellStart"/>
      <w:r w:rsidRPr="00611589">
        <w:rPr>
          <w:rFonts w:ascii="Times New Roman" w:hAnsi="Times New Roman" w:cs="Times New Roman"/>
          <w:sz w:val="28"/>
          <w:szCs w:val="28"/>
        </w:rPr>
        <w:t>resorisko</w:t>
      </w:r>
      <w:proofErr w:type="spellEnd"/>
      <w:r w:rsidRPr="00611589">
        <w:rPr>
          <w:rFonts w:ascii="Times New Roman" w:hAnsi="Times New Roman" w:cs="Times New Roman"/>
          <w:sz w:val="28"/>
          <w:szCs w:val="28"/>
        </w:rPr>
        <w:t xml:space="preserve"> pārbaužu izskatīšanas ilgums līdz lēmuma pieņemšanai ir 127 dienas.</w:t>
      </w:r>
    </w:p>
    <w:p w:rsidR="00113355" w:rsidRPr="00611589" w:rsidRDefault="00B97C12" w:rsidP="00B97C12">
      <w:pPr>
        <w:spacing w:after="0" w:line="240" w:lineRule="auto"/>
        <w:ind w:firstLine="567"/>
        <w:jc w:val="both"/>
        <w:rPr>
          <w:rFonts w:ascii="Times New Roman" w:hAnsi="Times New Roman" w:cs="Times New Roman"/>
          <w:sz w:val="28"/>
          <w:szCs w:val="28"/>
        </w:rPr>
      </w:pPr>
      <w:r w:rsidRPr="00611589">
        <w:rPr>
          <w:rFonts w:ascii="Times New Roman" w:hAnsi="Times New Roman" w:cs="Times New Roman"/>
          <w:sz w:val="28"/>
          <w:szCs w:val="28"/>
        </w:rPr>
        <w:t>Pārskata periodā veikto pārbaužu ietvaros atbilstoši savai kompetencei Birojs izvērtējis 584 amatpersonu darbību, pārbaudot 803 amatpersonu deklarācijas, bet 2014.gadā kopumā – 1005 amatpersonu darbības, pārbaudot 1344 deklarācijas, saistībā ar likumā „Par interešu konflikta novēršanu valsts amatpersonu darbībā” noteikto ierobežojumu un aizliegumu ievērošanu.</w:t>
      </w:r>
    </w:p>
    <w:p w:rsidR="00B97C12" w:rsidRPr="00611589" w:rsidRDefault="00B97C12" w:rsidP="00B97C12">
      <w:pPr>
        <w:pStyle w:val="NoSpacing"/>
        <w:ind w:firstLine="720"/>
        <w:jc w:val="both"/>
        <w:rPr>
          <w:rFonts w:ascii="Times New Roman" w:hAnsi="Times New Roman" w:cs="Times New Roman"/>
          <w:sz w:val="28"/>
          <w:szCs w:val="28"/>
        </w:rPr>
      </w:pPr>
      <w:r w:rsidRPr="00611589">
        <w:rPr>
          <w:rFonts w:ascii="Times New Roman" w:hAnsi="Times New Roman" w:cs="Times New Roman"/>
          <w:sz w:val="28"/>
          <w:szCs w:val="28"/>
        </w:rPr>
        <w:lastRenderedPageBreak/>
        <w:t xml:space="preserve">2014.gadā Biroja priekšnieks izskatīja </w:t>
      </w:r>
      <w:r w:rsidRPr="00611589">
        <w:rPr>
          <w:rFonts w:ascii="Times New Roman" w:hAnsi="Times New Roman" w:cs="Times New Roman"/>
          <w:b/>
          <w:sz w:val="28"/>
          <w:szCs w:val="28"/>
        </w:rPr>
        <w:t>25 sūdzības</w:t>
      </w:r>
      <w:r w:rsidRPr="00611589">
        <w:rPr>
          <w:rFonts w:ascii="Times New Roman" w:hAnsi="Times New Roman" w:cs="Times New Roman"/>
          <w:sz w:val="28"/>
          <w:szCs w:val="28"/>
        </w:rPr>
        <w:t xml:space="preserve"> par Biroja amatpersonu pieņemtajiem lēmumiem administratīvā pārkāpuma lietās, no kurām </w:t>
      </w:r>
      <w:r w:rsidR="000313F2">
        <w:rPr>
          <w:rFonts w:ascii="Times New Roman" w:hAnsi="Times New Roman" w:cs="Times New Roman"/>
          <w:sz w:val="28"/>
          <w:szCs w:val="28"/>
        </w:rPr>
        <w:t>11 gadījumos</w:t>
      </w:r>
      <w:r w:rsidR="001A3122">
        <w:rPr>
          <w:rFonts w:ascii="Times New Roman" w:hAnsi="Times New Roman" w:cs="Times New Roman"/>
          <w:sz w:val="28"/>
          <w:szCs w:val="28"/>
        </w:rPr>
        <w:t xml:space="preserve"> lēmums atstāts negrozīts, savukārt –</w:t>
      </w:r>
      <w:r w:rsidRPr="00611589">
        <w:rPr>
          <w:rFonts w:ascii="Times New Roman" w:hAnsi="Times New Roman" w:cs="Times New Roman"/>
          <w:sz w:val="28"/>
          <w:szCs w:val="28"/>
        </w:rPr>
        <w:t xml:space="preserve"> septiņos gadījumos lēmums atcelts un pieņemts jauns lēmums par sodīšanu; divos gadījumos lēmums atcelts, pārkāpumu atzīstot par maznozīmīgu un lietvedību izbeidzot; divos gadījumos lēmums atcelts daļā un samazināts naudas soda apmērs; vienā gadījumā lēmums atstāts spēkā, bet samazināts naudas sods; vienā gadījumā izbeigta lietvedība daļā un samazināts naudas sods; vienā gadījumā izskatīt sūdzību atteikts, jo bija nokavēts lēmuma pārsūdzēšanas termiņš.</w:t>
      </w:r>
    </w:p>
    <w:p w:rsidR="00B97C12" w:rsidRPr="00611589" w:rsidRDefault="00B97C12" w:rsidP="00B97C12">
      <w:pPr>
        <w:spacing w:after="0" w:line="240" w:lineRule="auto"/>
        <w:ind w:firstLine="567"/>
        <w:jc w:val="both"/>
        <w:rPr>
          <w:rFonts w:ascii="Times New Roman" w:hAnsi="Times New Roman" w:cs="Times New Roman"/>
          <w:sz w:val="28"/>
          <w:szCs w:val="28"/>
        </w:rPr>
      </w:pPr>
    </w:p>
    <w:p w:rsidR="00B141D2" w:rsidRPr="00611589" w:rsidRDefault="00113355" w:rsidP="00113355">
      <w:pPr>
        <w:spacing w:after="0" w:line="240" w:lineRule="auto"/>
        <w:jc w:val="both"/>
        <w:rPr>
          <w:rFonts w:ascii="Times New Roman" w:hAnsi="Times New Roman" w:cs="Times New Roman"/>
          <w:b/>
          <w:sz w:val="28"/>
          <w:szCs w:val="28"/>
        </w:rPr>
      </w:pPr>
      <w:r w:rsidRPr="00611589">
        <w:rPr>
          <w:rFonts w:ascii="Times New Roman" w:hAnsi="Times New Roman" w:cs="Times New Roman"/>
          <w:i/>
          <w:sz w:val="28"/>
          <w:szCs w:val="28"/>
        </w:rPr>
        <w:t>3.attēls.</w:t>
      </w:r>
      <w:r w:rsidRPr="00611589">
        <w:rPr>
          <w:rFonts w:ascii="Times New Roman" w:hAnsi="Times New Roman" w:cs="Times New Roman"/>
          <w:b/>
          <w:sz w:val="28"/>
          <w:szCs w:val="28"/>
        </w:rPr>
        <w:t xml:space="preserve"> Pieņemtie lēmumi un uzliktie naudas sodi (2003.gads – 2014.gads)</w:t>
      </w:r>
    </w:p>
    <w:p w:rsidR="00B141D2" w:rsidRPr="00611589" w:rsidRDefault="00B141D2" w:rsidP="004B1216">
      <w:pPr>
        <w:spacing w:after="0" w:line="240" w:lineRule="auto"/>
        <w:rPr>
          <w:rFonts w:ascii="Times New Roman" w:hAnsi="Times New Roman" w:cs="Times New Roman"/>
          <w:b/>
          <w:sz w:val="28"/>
          <w:szCs w:val="28"/>
        </w:rPr>
      </w:pPr>
      <w:r w:rsidRPr="00611589">
        <w:rPr>
          <w:noProof/>
          <w:lang w:eastAsia="lv-LV"/>
        </w:rPr>
        <w:drawing>
          <wp:inline distT="0" distB="0" distL="0" distR="0" wp14:anchorId="507F2444" wp14:editId="389F18B3">
            <wp:extent cx="5891841" cy="4278702"/>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4005F" w:rsidRPr="00611589" w:rsidRDefault="008A1B77" w:rsidP="008A1B77">
      <w:pPr>
        <w:pStyle w:val="NoSpacing"/>
        <w:ind w:firstLine="720"/>
        <w:jc w:val="both"/>
        <w:rPr>
          <w:rFonts w:ascii="Times New Roman" w:hAnsi="Times New Roman" w:cs="Times New Roman"/>
          <w:sz w:val="28"/>
          <w:szCs w:val="28"/>
        </w:rPr>
      </w:pPr>
      <w:r w:rsidRPr="00611589">
        <w:rPr>
          <w:rFonts w:ascii="Times New Roman" w:hAnsi="Times New Roman" w:cs="Times New Roman"/>
          <w:sz w:val="28"/>
          <w:szCs w:val="28"/>
        </w:rPr>
        <w:t xml:space="preserve">Pamatojoties uz Biroja pieņemtajiem lēmumiem, pārskata periodā </w:t>
      </w:r>
      <w:r w:rsidR="0074005F" w:rsidRPr="00611589">
        <w:rPr>
          <w:rFonts w:ascii="Times New Roman" w:hAnsi="Times New Roman" w:cs="Times New Roman"/>
          <w:sz w:val="28"/>
          <w:szCs w:val="28"/>
        </w:rPr>
        <w:t>amatpersonas valsts budžetā ir pārskaitījušas</w:t>
      </w:r>
      <w:r w:rsidR="00BF1952" w:rsidRPr="00611589">
        <w:rPr>
          <w:rFonts w:ascii="Times New Roman" w:hAnsi="Times New Roman" w:cs="Times New Roman"/>
          <w:sz w:val="28"/>
          <w:szCs w:val="28"/>
        </w:rPr>
        <w:t xml:space="preserve"> </w:t>
      </w:r>
      <w:r w:rsidR="0074005F" w:rsidRPr="00611589">
        <w:rPr>
          <w:rFonts w:ascii="Times New Roman" w:hAnsi="Times New Roman" w:cs="Times New Roman"/>
          <w:sz w:val="28"/>
          <w:szCs w:val="28"/>
        </w:rPr>
        <w:t xml:space="preserve">EUR 2390, bet kopā 2014.gadā </w:t>
      </w:r>
      <w:r w:rsidR="0074005F" w:rsidRPr="00611589">
        <w:rPr>
          <w:rFonts w:ascii="Times New Roman" w:hAnsi="Times New Roman" w:cs="Times New Roman"/>
          <w:b/>
          <w:sz w:val="28"/>
          <w:szCs w:val="28"/>
        </w:rPr>
        <w:t>samaksāto administratīvo naudas sodu kopējā summa ir EUR 9188</w:t>
      </w:r>
      <w:r w:rsidR="0074005F" w:rsidRPr="00611589">
        <w:rPr>
          <w:rFonts w:ascii="Times New Roman" w:hAnsi="Times New Roman" w:cs="Times New Roman"/>
          <w:sz w:val="28"/>
          <w:szCs w:val="28"/>
        </w:rPr>
        <w:t xml:space="preserve">.  </w:t>
      </w:r>
    </w:p>
    <w:p w:rsidR="00BB74F8" w:rsidRPr="00611589" w:rsidRDefault="008537EC" w:rsidP="00DA1DCA">
      <w:pPr>
        <w:pStyle w:val="NoSpacing"/>
        <w:ind w:firstLine="720"/>
        <w:jc w:val="both"/>
        <w:rPr>
          <w:rFonts w:ascii="Times New Roman" w:hAnsi="Times New Roman" w:cs="Times New Roman"/>
          <w:sz w:val="28"/>
          <w:szCs w:val="28"/>
        </w:rPr>
      </w:pPr>
      <w:r w:rsidRPr="00611589">
        <w:rPr>
          <w:rFonts w:ascii="Times New Roman" w:hAnsi="Times New Roman" w:cs="Times New Roman"/>
          <w:sz w:val="28"/>
          <w:szCs w:val="28"/>
        </w:rPr>
        <w:t>Izpildot likumā „Par interešu konflikta novēršanu valsts amatper</w:t>
      </w:r>
      <w:r w:rsidR="00DA1DCA" w:rsidRPr="00611589">
        <w:rPr>
          <w:rFonts w:ascii="Times New Roman" w:hAnsi="Times New Roman" w:cs="Times New Roman"/>
          <w:sz w:val="28"/>
          <w:szCs w:val="28"/>
        </w:rPr>
        <w:t xml:space="preserve">sonu darbībā” 31.pantā noteikto pienākumu informēt sabiedrību par amatpersonām attiecībā uz kurām ir pieņemti lēmumi administratīvā pārkāpuma lietās, Birojs 2014.gadā ir publicējis </w:t>
      </w:r>
      <w:r w:rsidRPr="00611589">
        <w:rPr>
          <w:rFonts w:ascii="Times New Roman" w:hAnsi="Times New Roman" w:cs="Times New Roman"/>
          <w:sz w:val="28"/>
          <w:szCs w:val="28"/>
        </w:rPr>
        <w:t>informāciju par</w:t>
      </w:r>
      <w:r w:rsidR="003A2F77" w:rsidRPr="00611589">
        <w:rPr>
          <w:rFonts w:ascii="Times New Roman" w:hAnsi="Times New Roman" w:cs="Times New Roman"/>
          <w:sz w:val="28"/>
          <w:szCs w:val="28"/>
        </w:rPr>
        <w:t xml:space="preserve"> 148 amatpersonām, </w:t>
      </w:r>
      <w:r w:rsidR="0023653B" w:rsidRPr="00611589">
        <w:rPr>
          <w:rFonts w:ascii="Times New Roman" w:hAnsi="Times New Roman" w:cs="Times New Roman"/>
          <w:sz w:val="28"/>
          <w:szCs w:val="28"/>
        </w:rPr>
        <w:t>kurām ir piemērots</w:t>
      </w:r>
      <w:r w:rsidR="003A2F77" w:rsidRPr="00611589">
        <w:rPr>
          <w:rFonts w:ascii="Times New Roman" w:hAnsi="Times New Roman" w:cs="Times New Roman"/>
          <w:sz w:val="28"/>
          <w:szCs w:val="28"/>
        </w:rPr>
        <w:t xml:space="preserve"> naudas sod</w:t>
      </w:r>
      <w:r w:rsidR="0023653B" w:rsidRPr="00611589">
        <w:rPr>
          <w:rFonts w:ascii="Times New Roman" w:hAnsi="Times New Roman" w:cs="Times New Roman"/>
          <w:sz w:val="28"/>
          <w:szCs w:val="28"/>
        </w:rPr>
        <w:t>s</w:t>
      </w:r>
      <w:r w:rsidR="003A2F77" w:rsidRPr="00611589">
        <w:rPr>
          <w:rFonts w:ascii="Times New Roman" w:hAnsi="Times New Roman" w:cs="Times New Roman"/>
          <w:sz w:val="28"/>
          <w:szCs w:val="28"/>
        </w:rPr>
        <w:t xml:space="preserve"> vai </w:t>
      </w:r>
      <w:r w:rsidR="0023653B" w:rsidRPr="00611589">
        <w:rPr>
          <w:rFonts w:ascii="Times New Roman" w:hAnsi="Times New Roman" w:cs="Times New Roman"/>
          <w:sz w:val="28"/>
          <w:szCs w:val="28"/>
        </w:rPr>
        <w:t>izteikts</w:t>
      </w:r>
      <w:r w:rsidR="00BF1952" w:rsidRPr="00611589">
        <w:rPr>
          <w:rFonts w:ascii="Times New Roman" w:hAnsi="Times New Roman" w:cs="Times New Roman"/>
          <w:sz w:val="28"/>
          <w:szCs w:val="28"/>
        </w:rPr>
        <w:t xml:space="preserve"> </w:t>
      </w:r>
      <w:r w:rsidR="003A2F77" w:rsidRPr="00611589">
        <w:rPr>
          <w:rFonts w:ascii="Times New Roman" w:hAnsi="Times New Roman" w:cs="Times New Roman"/>
          <w:sz w:val="28"/>
          <w:szCs w:val="28"/>
        </w:rPr>
        <w:t>mutvārdu aizrādījum</w:t>
      </w:r>
      <w:r w:rsidR="0023653B" w:rsidRPr="00611589">
        <w:rPr>
          <w:rFonts w:ascii="Times New Roman" w:hAnsi="Times New Roman" w:cs="Times New Roman"/>
          <w:sz w:val="28"/>
          <w:szCs w:val="28"/>
        </w:rPr>
        <w:t>s</w:t>
      </w:r>
      <w:r w:rsidR="00F74D7B" w:rsidRPr="00611589">
        <w:rPr>
          <w:rFonts w:ascii="Times New Roman" w:hAnsi="Times New Roman" w:cs="Times New Roman"/>
          <w:sz w:val="28"/>
          <w:szCs w:val="28"/>
        </w:rPr>
        <w:t>.</w:t>
      </w:r>
      <w:r w:rsidR="006C1384">
        <w:rPr>
          <w:rFonts w:ascii="Times New Roman" w:hAnsi="Times New Roman" w:cs="Times New Roman"/>
          <w:sz w:val="28"/>
          <w:szCs w:val="28"/>
        </w:rPr>
        <w:t xml:space="preserve"> </w:t>
      </w:r>
      <w:r w:rsidR="00F74D7B" w:rsidRPr="00611589">
        <w:rPr>
          <w:rFonts w:ascii="Times New Roman" w:hAnsi="Times New Roman" w:cs="Times New Roman"/>
          <w:sz w:val="28"/>
          <w:szCs w:val="28"/>
        </w:rPr>
        <w:t>Lielākā daļa no šīm amatpersonām ieņem amatus pašvaldību iestādēs (55</w:t>
      </w:r>
      <w:r w:rsidR="009579A0" w:rsidRPr="00611589">
        <w:rPr>
          <w:rFonts w:ascii="Times New Roman" w:hAnsi="Times New Roman" w:cs="Times New Roman"/>
          <w:sz w:val="28"/>
          <w:szCs w:val="28"/>
        </w:rPr>
        <w:t>,6</w:t>
      </w:r>
      <w:r w:rsidR="00F74D7B" w:rsidRPr="00611589">
        <w:rPr>
          <w:rFonts w:ascii="Times New Roman" w:hAnsi="Times New Roman" w:cs="Times New Roman"/>
          <w:sz w:val="28"/>
          <w:szCs w:val="28"/>
        </w:rPr>
        <w:t xml:space="preserve">%), no kuriem vairāk nekā puse </w:t>
      </w:r>
      <w:r w:rsidR="00F83B2C" w:rsidRPr="00611589">
        <w:rPr>
          <w:rFonts w:ascii="Times New Roman" w:hAnsi="Times New Roman" w:cs="Times New Roman"/>
          <w:sz w:val="28"/>
          <w:szCs w:val="28"/>
        </w:rPr>
        <w:t>nav ievērojušas amata savienošanas ierobežojumus, tai skaitā gūstot neatļautus ienākumus (64%).</w:t>
      </w:r>
      <w:r w:rsidR="00F46FA2" w:rsidRPr="00611589">
        <w:rPr>
          <w:rFonts w:ascii="Times New Roman" w:hAnsi="Times New Roman" w:cs="Times New Roman"/>
          <w:sz w:val="28"/>
          <w:szCs w:val="28"/>
        </w:rPr>
        <w:t>No visiem gadījumiem, kad amatpersona nav ievērojusi amata savienošanas ierobežojumus, liela daļa (62%) bijušas vad</w:t>
      </w:r>
      <w:r w:rsidR="00CA488A" w:rsidRPr="00611589">
        <w:rPr>
          <w:rFonts w:ascii="Times New Roman" w:hAnsi="Times New Roman" w:cs="Times New Roman"/>
          <w:sz w:val="28"/>
          <w:szCs w:val="28"/>
        </w:rPr>
        <w:t xml:space="preserve">ošas amatpersonas – iestāžu vadītāji, vadītāju vietnieki, izpilddirektori un viņu </w:t>
      </w:r>
      <w:r w:rsidR="00CA488A" w:rsidRPr="00611589">
        <w:rPr>
          <w:rFonts w:ascii="Times New Roman" w:hAnsi="Times New Roman" w:cs="Times New Roman"/>
          <w:sz w:val="28"/>
          <w:szCs w:val="28"/>
        </w:rPr>
        <w:lastRenderedPageBreak/>
        <w:t>vietnieki, valdes locekļi kap</w:t>
      </w:r>
      <w:r w:rsidR="00416DB6" w:rsidRPr="00611589">
        <w:rPr>
          <w:rFonts w:ascii="Times New Roman" w:hAnsi="Times New Roman" w:cs="Times New Roman"/>
          <w:sz w:val="28"/>
          <w:szCs w:val="28"/>
        </w:rPr>
        <w:t xml:space="preserve">itālsabiedrībās, kā arī divu </w:t>
      </w:r>
      <w:r w:rsidR="00CA488A" w:rsidRPr="00611589">
        <w:rPr>
          <w:rFonts w:ascii="Times New Roman" w:hAnsi="Times New Roman" w:cs="Times New Roman"/>
          <w:sz w:val="28"/>
          <w:szCs w:val="28"/>
        </w:rPr>
        <w:t xml:space="preserve">novadu domes priekšsēdētāji. </w:t>
      </w:r>
      <w:r w:rsidR="009579A0" w:rsidRPr="00611589">
        <w:rPr>
          <w:rFonts w:ascii="Times New Roman" w:hAnsi="Times New Roman" w:cs="Times New Roman"/>
          <w:sz w:val="28"/>
          <w:szCs w:val="28"/>
        </w:rPr>
        <w:t>Citi</w:t>
      </w:r>
      <w:r w:rsidR="00AD4047" w:rsidRPr="00611589">
        <w:rPr>
          <w:rFonts w:ascii="Times New Roman" w:hAnsi="Times New Roman" w:cs="Times New Roman"/>
          <w:sz w:val="28"/>
          <w:szCs w:val="28"/>
        </w:rPr>
        <w:t xml:space="preserve"> gadījumi</w:t>
      </w:r>
      <w:r w:rsidR="00416DB6" w:rsidRPr="00611589">
        <w:rPr>
          <w:rFonts w:ascii="Times New Roman" w:hAnsi="Times New Roman" w:cs="Times New Roman"/>
          <w:sz w:val="28"/>
          <w:szCs w:val="28"/>
        </w:rPr>
        <w:t xml:space="preserve"> (22</w:t>
      </w:r>
      <w:r w:rsidR="009579A0" w:rsidRPr="00611589">
        <w:rPr>
          <w:rFonts w:ascii="Times New Roman" w:hAnsi="Times New Roman" w:cs="Times New Roman"/>
          <w:sz w:val="28"/>
          <w:szCs w:val="28"/>
        </w:rPr>
        <w:t>,2</w:t>
      </w:r>
      <w:r w:rsidR="00416DB6" w:rsidRPr="00611589">
        <w:rPr>
          <w:rFonts w:ascii="Times New Roman" w:hAnsi="Times New Roman" w:cs="Times New Roman"/>
          <w:sz w:val="28"/>
          <w:szCs w:val="28"/>
        </w:rPr>
        <w:t xml:space="preserve">%) saistīti ar </w:t>
      </w:r>
      <w:r w:rsidR="00AD4047" w:rsidRPr="00611589">
        <w:rPr>
          <w:rFonts w:ascii="Times New Roman" w:hAnsi="Times New Roman" w:cs="Times New Roman"/>
          <w:sz w:val="28"/>
          <w:szCs w:val="28"/>
        </w:rPr>
        <w:t xml:space="preserve">noteikto ierobežojumu rīkoties ar </w:t>
      </w:r>
      <w:r w:rsidR="00416DB6" w:rsidRPr="00611589">
        <w:rPr>
          <w:rFonts w:ascii="Times New Roman" w:hAnsi="Times New Roman" w:cs="Times New Roman"/>
          <w:sz w:val="28"/>
          <w:szCs w:val="28"/>
        </w:rPr>
        <w:t>pašvaldības finanšu līdzekļiem</w:t>
      </w:r>
      <w:r w:rsidR="000A782B" w:rsidRPr="00611589">
        <w:rPr>
          <w:rFonts w:ascii="Times New Roman" w:hAnsi="Times New Roman" w:cs="Times New Roman"/>
          <w:sz w:val="28"/>
          <w:szCs w:val="28"/>
        </w:rPr>
        <w:t xml:space="preserve">. </w:t>
      </w:r>
      <w:r w:rsidR="009579A0" w:rsidRPr="00611589">
        <w:rPr>
          <w:rFonts w:ascii="Times New Roman" w:hAnsi="Times New Roman" w:cs="Times New Roman"/>
          <w:sz w:val="28"/>
          <w:szCs w:val="28"/>
        </w:rPr>
        <w:t xml:space="preserve">Atsevišķos gadījumos (13,5%) konstatēts, ka </w:t>
      </w:r>
      <w:r w:rsidR="00416DB6" w:rsidRPr="00611589">
        <w:rPr>
          <w:rFonts w:ascii="Times New Roman" w:hAnsi="Times New Roman" w:cs="Times New Roman"/>
          <w:sz w:val="28"/>
          <w:szCs w:val="28"/>
        </w:rPr>
        <w:t xml:space="preserve">pašvaldību amatpersonas (pašvaldības deputāti, novadu domes priekšsēdētāji, divi skolu direktori) </w:t>
      </w:r>
      <w:r w:rsidR="009579A0" w:rsidRPr="00611589">
        <w:rPr>
          <w:rFonts w:ascii="Times New Roman" w:hAnsi="Times New Roman" w:cs="Times New Roman"/>
          <w:sz w:val="28"/>
          <w:szCs w:val="28"/>
        </w:rPr>
        <w:t xml:space="preserve">savas funkcijas </w:t>
      </w:r>
      <w:r w:rsidR="00416DB6" w:rsidRPr="00611589">
        <w:rPr>
          <w:rFonts w:ascii="Times New Roman" w:hAnsi="Times New Roman" w:cs="Times New Roman"/>
          <w:sz w:val="28"/>
          <w:szCs w:val="28"/>
        </w:rPr>
        <w:t>veikušas interešu konflikta situācijā</w:t>
      </w:r>
      <w:r w:rsidR="009579A0" w:rsidRPr="00611589">
        <w:rPr>
          <w:rFonts w:ascii="Times New Roman" w:hAnsi="Times New Roman" w:cs="Times New Roman"/>
          <w:sz w:val="28"/>
          <w:szCs w:val="28"/>
        </w:rPr>
        <w:t xml:space="preserve">, bet </w:t>
      </w:r>
      <w:r w:rsidR="00904031" w:rsidRPr="00611589">
        <w:rPr>
          <w:rFonts w:ascii="Times New Roman" w:hAnsi="Times New Roman" w:cs="Times New Roman"/>
          <w:sz w:val="28"/>
          <w:szCs w:val="28"/>
        </w:rPr>
        <w:t>citi gadījumi</w:t>
      </w:r>
      <w:r w:rsidR="009579A0" w:rsidRPr="00611589">
        <w:rPr>
          <w:rFonts w:ascii="Times New Roman" w:hAnsi="Times New Roman" w:cs="Times New Roman"/>
          <w:sz w:val="28"/>
          <w:szCs w:val="28"/>
        </w:rPr>
        <w:t xml:space="preserve"> (</w:t>
      </w:r>
      <w:r w:rsidR="00904031" w:rsidRPr="00611589">
        <w:rPr>
          <w:rFonts w:ascii="Times New Roman" w:hAnsi="Times New Roman" w:cs="Times New Roman"/>
          <w:sz w:val="28"/>
          <w:szCs w:val="28"/>
        </w:rPr>
        <w:t>7,5%) attiecas uz</w:t>
      </w:r>
      <w:r w:rsidR="00802EE1">
        <w:rPr>
          <w:rFonts w:ascii="Times New Roman" w:hAnsi="Times New Roman" w:cs="Times New Roman"/>
          <w:sz w:val="28"/>
          <w:szCs w:val="28"/>
        </w:rPr>
        <w:t xml:space="preserve"> </w:t>
      </w:r>
      <w:r w:rsidR="000F1000" w:rsidRPr="00611589">
        <w:rPr>
          <w:rFonts w:ascii="Times New Roman" w:hAnsi="Times New Roman" w:cs="Times New Roman"/>
          <w:sz w:val="28"/>
          <w:szCs w:val="28"/>
        </w:rPr>
        <w:t>v</w:t>
      </w:r>
      <w:r w:rsidR="00BB74F8" w:rsidRPr="00611589">
        <w:rPr>
          <w:rFonts w:ascii="Times New Roman" w:hAnsi="Times New Roman" w:cs="Times New Roman"/>
          <w:sz w:val="28"/>
          <w:szCs w:val="28"/>
        </w:rPr>
        <w:t>adošām pašvaldību am</w:t>
      </w:r>
      <w:r w:rsidR="00362B7B" w:rsidRPr="00611589">
        <w:rPr>
          <w:rFonts w:ascii="Times New Roman" w:hAnsi="Times New Roman" w:cs="Times New Roman"/>
          <w:sz w:val="28"/>
          <w:szCs w:val="28"/>
        </w:rPr>
        <w:t>atpersonām, kuras nav ievērojuša</w:t>
      </w:r>
      <w:r w:rsidR="00BB74F8" w:rsidRPr="00611589">
        <w:rPr>
          <w:rFonts w:ascii="Times New Roman" w:hAnsi="Times New Roman" w:cs="Times New Roman"/>
          <w:sz w:val="28"/>
          <w:szCs w:val="28"/>
        </w:rPr>
        <w:t>s k</w:t>
      </w:r>
      <w:r w:rsidR="006C16BE" w:rsidRPr="00611589">
        <w:rPr>
          <w:rFonts w:ascii="Times New Roman" w:hAnsi="Times New Roman" w:cs="Times New Roman"/>
          <w:sz w:val="28"/>
          <w:szCs w:val="28"/>
        </w:rPr>
        <w:t>omercdar</w:t>
      </w:r>
      <w:r w:rsidR="00BB74F8" w:rsidRPr="00611589">
        <w:rPr>
          <w:rFonts w:ascii="Times New Roman" w:hAnsi="Times New Roman" w:cs="Times New Roman"/>
          <w:sz w:val="28"/>
          <w:szCs w:val="28"/>
        </w:rPr>
        <w:t>bības ierobežojumus</w:t>
      </w:r>
      <w:r w:rsidR="00904031" w:rsidRPr="00611589">
        <w:rPr>
          <w:rFonts w:ascii="Times New Roman" w:hAnsi="Times New Roman" w:cs="Times New Roman"/>
          <w:sz w:val="28"/>
          <w:szCs w:val="28"/>
        </w:rPr>
        <w:t xml:space="preserve">, jo ir pierādīta to saistība ar </w:t>
      </w:r>
      <w:r w:rsidR="00BB74F8" w:rsidRPr="00611589">
        <w:rPr>
          <w:rFonts w:ascii="Times New Roman" w:hAnsi="Times New Roman" w:cs="Times New Roman"/>
          <w:sz w:val="28"/>
          <w:szCs w:val="28"/>
        </w:rPr>
        <w:t>tādām komercsabiedrībām, kas saņēmuš</w:t>
      </w:r>
      <w:r w:rsidR="00904031" w:rsidRPr="00611589">
        <w:rPr>
          <w:rFonts w:ascii="Times New Roman" w:hAnsi="Times New Roman" w:cs="Times New Roman"/>
          <w:sz w:val="28"/>
          <w:szCs w:val="28"/>
        </w:rPr>
        <w:t>a</w:t>
      </w:r>
      <w:r w:rsidR="00BB74F8" w:rsidRPr="00611589">
        <w:rPr>
          <w:rFonts w:ascii="Times New Roman" w:hAnsi="Times New Roman" w:cs="Times New Roman"/>
          <w:sz w:val="28"/>
          <w:szCs w:val="28"/>
        </w:rPr>
        <w:t xml:space="preserve">s </w:t>
      </w:r>
      <w:r w:rsidR="00362B7B" w:rsidRPr="00611589">
        <w:rPr>
          <w:rFonts w:ascii="Times New Roman" w:hAnsi="Times New Roman" w:cs="Times New Roman"/>
          <w:sz w:val="28"/>
          <w:szCs w:val="28"/>
        </w:rPr>
        <w:t xml:space="preserve">attiecīgo </w:t>
      </w:r>
      <w:r w:rsidR="00BB74F8" w:rsidRPr="00611589">
        <w:rPr>
          <w:rFonts w:ascii="Times New Roman" w:hAnsi="Times New Roman" w:cs="Times New Roman"/>
          <w:sz w:val="28"/>
          <w:szCs w:val="28"/>
        </w:rPr>
        <w:t xml:space="preserve">pašvaldības pasūtījumu bez atklāta konkursa. </w:t>
      </w:r>
    </w:p>
    <w:p w:rsidR="009D69E9" w:rsidRPr="00611589" w:rsidRDefault="00A620D5" w:rsidP="00904031">
      <w:pPr>
        <w:pStyle w:val="NoSpacing"/>
        <w:ind w:firstLine="720"/>
        <w:jc w:val="both"/>
        <w:rPr>
          <w:rFonts w:ascii="Times New Roman" w:hAnsi="Times New Roman" w:cs="Times New Roman"/>
          <w:sz w:val="28"/>
          <w:szCs w:val="28"/>
        </w:rPr>
      </w:pPr>
      <w:r w:rsidRPr="00611589">
        <w:rPr>
          <w:rFonts w:ascii="Times New Roman" w:hAnsi="Times New Roman" w:cs="Times New Roman"/>
          <w:sz w:val="28"/>
          <w:szCs w:val="28"/>
        </w:rPr>
        <w:t>Arī valsts iestādēs lielāk</w:t>
      </w:r>
      <w:r w:rsidR="00904031" w:rsidRPr="00611589">
        <w:rPr>
          <w:rFonts w:ascii="Times New Roman" w:hAnsi="Times New Roman" w:cs="Times New Roman"/>
          <w:sz w:val="28"/>
          <w:szCs w:val="28"/>
        </w:rPr>
        <w:t>ā</w:t>
      </w:r>
      <w:r w:rsidRPr="00611589">
        <w:rPr>
          <w:rFonts w:ascii="Times New Roman" w:hAnsi="Times New Roman" w:cs="Times New Roman"/>
          <w:sz w:val="28"/>
          <w:szCs w:val="28"/>
        </w:rPr>
        <w:t xml:space="preserve"> daļa amatpersonu (8</w:t>
      </w:r>
      <w:r w:rsidR="00904031" w:rsidRPr="00611589">
        <w:rPr>
          <w:rFonts w:ascii="Times New Roman" w:hAnsi="Times New Roman" w:cs="Times New Roman"/>
          <w:sz w:val="28"/>
          <w:szCs w:val="28"/>
        </w:rPr>
        <w:t>3,6</w:t>
      </w:r>
      <w:r w:rsidRPr="00611589">
        <w:rPr>
          <w:rFonts w:ascii="Times New Roman" w:hAnsi="Times New Roman" w:cs="Times New Roman"/>
          <w:sz w:val="28"/>
          <w:szCs w:val="28"/>
        </w:rPr>
        <w:t xml:space="preserve">%) nav ievērojušas amata savienošanas ierobežojumus, tai skaitā gūstot neatļautus ienākumus </w:t>
      </w:r>
      <w:r w:rsidR="008E13F3" w:rsidRPr="00611589">
        <w:rPr>
          <w:rFonts w:ascii="Times New Roman" w:hAnsi="Times New Roman" w:cs="Times New Roman"/>
          <w:sz w:val="28"/>
          <w:szCs w:val="28"/>
        </w:rPr>
        <w:t>(71%).</w:t>
      </w:r>
      <w:r w:rsidR="00BB0A74" w:rsidRPr="00611589">
        <w:rPr>
          <w:rFonts w:ascii="Times New Roman" w:hAnsi="Times New Roman" w:cs="Times New Roman"/>
          <w:sz w:val="28"/>
          <w:szCs w:val="28"/>
        </w:rPr>
        <w:t xml:space="preserve"> </w:t>
      </w:r>
      <w:r w:rsidR="009D69E9" w:rsidRPr="00611589">
        <w:rPr>
          <w:rFonts w:ascii="Times New Roman" w:hAnsi="Times New Roman" w:cs="Times New Roman"/>
          <w:sz w:val="28"/>
          <w:szCs w:val="28"/>
        </w:rPr>
        <w:t xml:space="preserve">Pārējos gadījumos </w:t>
      </w:r>
      <w:r w:rsidR="00904031" w:rsidRPr="00611589">
        <w:rPr>
          <w:rFonts w:ascii="Times New Roman" w:hAnsi="Times New Roman" w:cs="Times New Roman"/>
          <w:sz w:val="28"/>
          <w:szCs w:val="28"/>
        </w:rPr>
        <w:t xml:space="preserve">(7,4%) </w:t>
      </w:r>
      <w:r w:rsidR="009D69E9" w:rsidRPr="00611589">
        <w:rPr>
          <w:rFonts w:ascii="Times New Roman" w:hAnsi="Times New Roman" w:cs="Times New Roman"/>
          <w:sz w:val="28"/>
          <w:szCs w:val="28"/>
        </w:rPr>
        <w:t>pārkāpumi saistīti ar valsts amatpersonu funkciju veikšanu interešu konflikta situācijā, kad pieņemts lēmums valsts amatpersonas vai tās radinieku mantiskā</w:t>
      </w:r>
      <w:r w:rsidR="00904031" w:rsidRPr="00611589">
        <w:rPr>
          <w:rFonts w:ascii="Times New Roman" w:hAnsi="Times New Roman" w:cs="Times New Roman"/>
          <w:sz w:val="28"/>
          <w:szCs w:val="28"/>
        </w:rPr>
        <w:t>s vai personiskās interesēs</w:t>
      </w:r>
      <w:r w:rsidR="009D69E9" w:rsidRPr="00611589">
        <w:rPr>
          <w:rFonts w:ascii="Times New Roman" w:hAnsi="Times New Roman" w:cs="Times New Roman"/>
          <w:sz w:val="28"/>
          <w:szCs w:val="28"/>
        </w:rPr>
        <w:t>, un ar komercdarbības aizlieguma pārkāpšanu</w:t>
      </w:r>
      <w:r w:rsidR="00904031" w:rsidRPr="00611589">
        <w:rPr>
          <w:rFonts w:ascii="Times New Roman" w:hAnsi="Times New Roman" w:cs="Times New Roman"/>
          <w:sz w:val="28"/>
          <w:szCs w:val="28"/>
        </w:rPr>
        <w:t xml:space="preserve"> (6%)</w:t>
      </w:r>
      <w:r w:rsidR="009D69E9" w:rsidRPr="00611589">
        <w:rPr>
          <w:rFonts w:ascii="Times New Roman" w:hAnsi="Times New Roman" w:cs="Times New Roman"/>
          <w:sz w:val="28"/>
          <w:szCs w:val="28"/>
        </w:rPr>
        <w:t xml:space="preserve">, jo pēdējo divu gadu laikā amatpersona, pildot pienākumus, ir pieņēmusi lēmumu attiecībā uz konkrēto komercsabiedrību, kā arī vienā gadījumā sodīts Saeimas deputāts par to, ka viņa radinieki bijuši tādas komercsabiedrības dalībnieki, kas saņēmuši pasūtījumus </w:t>
      </w:r>
      <w:r w:rsidR="00362B7B" w:rsidRPr="00611589">
        <w:rPr>
          <w:rFonts w:ascii="Times New Roman" w:hAnsi="Times New Roman" w:cs="Times New Roman"/>
          <w:sz w:val="28"/>
          <w:szCs w:val="28"/>
        </w:rPr>
        <w:t xml:space="preserve">no konkrētās </w:t>
      </w:r>
      <w:r w:rsidR="009D69E9" w:rsidRPr="00611589">
        <w:rPr>
          <w:rFonts w:ascii="Times New Roman" w:hAnsi="Times New Roman" w:cs="Times New Roman"/>
          <w:sz w:val="28"/>
          <w:szCs w:val="28"/>
        </w:rPr>
        <w:t xml:space="preserve">valsts iestādes </w:t>
      </w:r>
      <w:r w:rsidR="00904031" w:rsidRPr="00611589">
        <w:rPr>
          <w:rFonts w:ascii="Times New Roman" w:hAnsi="Times New Roman" w:cs="Times New Roman"/>
          <w:sz w:val="28"/>
          <w:szCs w:val="28"/>
        </w:rPr>
        <w:t>bez atklāta konkursa</w:t>
      </w:r>
      <w:r w:rsidR="009D69E9" w:rsidRPr="00611589">
        <w:rPr>
          <w:rFonts w:ascii="Times New Roman" w:hAnsi="Times New Roman" w:cs="Times New Roman"/>
          <w:sz w:val="28"/>
          <w:szCs w:val="28"/>
        </w:rPr>
        <w:t>.</w:t>
      </w:r>
    </w:p>
    <w:p w:rsidR="0025528A" w:rsidRPr="00611589" w:rsidRDefault="0025528A" w:rsidP="00904031">
      <w:pPr>
        <w:pStyle w:val="NoSpacing"/>
        <w:ind w:firstLine="720"/>
        <w:jc w:val="both"/>
        <w:rPr>
          <w:rFonts w:ascii="Times New Roman" w:hAnsi="Times New Roman" w:cs="Times New Roman"/>
          <w:sz w:val="28"/>
          <w:szCs w:val="28"/>
        </w:rPr>
      </w:pPr>
    </w:p>
    <w:p w:rsidR="0025528A" w:rsidRPr="00611589" w:rsidRDefault="0025528A" w:rsidP="008A5574">
      <w:pPr>
        <w:pStyle w:val="NoSpacing"/>
        <w:ind w:firstLine="567"/>
        <w:jc w:val="both"/>
        <w:rPr>
          <w:rFonts w:ascii="Times New Roman" w:hAnsi="Times New Roman" w:cs="Times New Roman"/>
          <w:b/>
          <w:sz w:val="28"/>
          <w:szCs w:val="28"/>
        </w:rPr>
      </w:pPr>
      <w:r w:rsidRPr="00611589">
        <w:rPr>
          <w:rFonts w:ascii="Times New Roman" w:hAnsi="Times New Roman" w:cs="Times New Roman"/>
          <w:i/>
          <w:sz w:val="28"/>
          <w:szCs w:val="28"/>
        </w:rPr>
        <w:t>4. attēls.</w:t>
      </w:r>
      <w:r w:rsidRPr="00611589">
        <w:rPr>
          <w:rFonts w:ascii="Times New Roman" w:hAnsi="Times New Roman" w:cs="Times New Roman"/>
          <w:b/>
          <w:sz w:val="28"/>
          <w:szCs w:val="28"/>
        </w:rPr>
        <w:t xml:space="preserve"> Valsts un pašvaldību amatpersonu pārkāptie ierobežojumi</w:t>
      </w:r>
      <w:r w:rsidR="008A5574" w:rsidRPr="00611589">
        <w:rPr>
          <w:rFonts w:ascii="Times New Roman" w:hAnsi="Times New Roman" w:cs="Times New Roman"/>
          <w:b/>
          <w:sz w:val="28"/>
          <w:szCs w:val="28"/>
        </w:rPr>
        <w:t xml:space="preserve"> 2014.gadā</w:t>
      </w:r>
    </w:p>
    <w:p w:rsidR="00113355" w:rsidRPr="00611589" w:rsidRDefault="00B141D2" w:rsidP="00B141D2">
      <w:pPr>
        <w:pStyle w:val="NoSpacing"/>
        <w:jc w:val="center"/>
        <w:rPr>
          <w:rFonts w:ascii="Times New Roman" w:hAnsi="Times New Roman" w:cs="Times New Roman"/>
          <w:b/>
          <w:i/>
          <w:sz w:val="28"/>
          <w:szCs w:val="28"/>
        </w:rPr>
      </w:pPr>
      <w:r w:rsidRPr="00611589">
        <w:rPr>
          <w:noProof/>
          <w:lang w:eastAsia="lv-LV"/>
        </w:rPr>
        <w:drawing>
          <wp:inline distT="0" distB="0" distL="0" distR="0" wp14:anchorId="2EDF2735" wp14:editId="41EFF2B9">
            <wp:extent cx="5089584" cy="3623094"/>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F7FB1" w:rsidRDefault="00BE18F6" w:rsidP="00362B7B">
      <w:pPr>
        <w:pStyle w:val="NoSpacing"/>
        <w:ind w:firstLine="720"/>
        <w:jc w:val="both"/>
        <w:rPr>
          <w:rFonts w:ascii="Times New Roman" w:hAnsi="Times New Roman" w:cs="Times New Roman"/>
          <w:sz w:val="28"/>
          <w:szCs w:val="28"/>
        </w:rPr>
      </w:pPr>
      <w:r w:rsidRPr="00611589">
        <w:rPr>
          <w:rFonts w:ascii="Times New Roman" w:hAnsi="Times New Roman" w:cs="Times New Roman"/>
          <w:sz w:val="28"/>
          <w:szCs w:val="28"/>
        </w:rPr>
        <w:t>P</w:t>
      </w:r>
      <w:r w:rsidR="00BB74F8" w:rsidRPr="00611589">
        <w:rPr>
          <w:rFonts w:ascii="Times New Roman" w:hAnsi="Times New Roman" w:cs="Times New Roman"/>
          <w:sz w:val="28"/>
          <w:szCs w:val="28"/>
        </w:rPr>
        <w:t>ārbaužu ietvaros konstatējot paz</w:t>
      </w:r>
      <w:r w:rsidRPr="00611589">
        <w:rPr>
          <w:rFonts w:ascii="Times New Roman" w:hAnsi="Times New Roman" w:cs="Times New Roman"/>
          <w:sz w:val="28"/>
          <w:szCs w:val="28"/>
        </w:rPr>
        <w:t xml:space="preserve">īmes, kas liecina par iespējamu </w:t>
      </w:r>
      <w:r w:rsidR="00CF65DA" w:rsidRPr="00611589">
        <w:rPr>
          <w:rFonts w:ascii="Times New Roman" w:hAnsi="Times New Roman" w:cs="Times New Roman"/>
          <w:sz w:val="28"/>
          <w:szCs w:val="28"/>
        </w:rPr>
        <w:t xml:space="preserve">valsts amatpersonas deklarācijas aizpildīšanas kārtības neievērošanu, </w:t>
      </w:r>
      <w:r w:rsidRPr="00611589">
        <w:rPr>
          <w:rFonts w:ascii="Times New Roman" w:hAnsi="Times New Roman" w:cs="Times New Roman"/>
          <w:sz w:val="28"/>
          <w:szCs w:val="28"/>
        </w:rPr>
        <w:t xml:space="preserve">pārskata periodā </w:t>
      </w:r>
      <w:r w:rsidR="00CF65DA" w:rsidRPr="00611589">
        <w:rPr>
          <w:rFonts w:ascii="Times New Roman" w:hAnsi="Times New Roman" w:cs="Times New Roman"/>
          <w:sz w:val="28"/>
          <w:szCs w:val="28"/>
        </w:rPr>
        <w:t>attiecīb</w:t>
      </w:r>
      <w:r w:rsidR="009F7FB1" w:rsidRPr="00611589">
        <w:rPr>
          <w:rFonts w:ascii="Times New Roman" w:hAnsi="Times New Roman" w:cs="Times New Roman"/>
          <w:sz w:val="28"/>
          <w:szCs w:val="28"/>
        </w:rPr>
        <w:t>ā uz</w:t>
      </w:r>
      <w:r w:rsidRPr="00611589">
        <w:rPr>
          <w:rFonts w:ascii="Times New Roman" w:hAnsi="Times New Roman" w:cs="Times New Roman"/>
          <w:sz w:val="28"/>
          <w:szCs w:val="28"/>
        </w:rPr>
        <w:t xml:space="preserve"> deviņām personām (2014.gadā kopā – 13 personām) </w:t>
      </w:r>
      <w:r w:rsidR="00113355" w:rsidRPr="00611589">
        <w:rPr>
          <w:rFonts w:ascii="Times New Roman" w:hAnsi="Times New Roman" w:cs="Times New Roman"/>
          <w:b/>
          <w:sz w:val="28"/>
          <w:szCs w:val="28"/>
        </w:rPr>
        <w:t>informācija nosūtīta Valsts ieņēmumu dienestu</w:t>
      </w:r>
      <w:r w:rsidR="00113355" w:rsidRPr="00611589">
        <w:rPr>
          <w:rFonts w:ascii="Times New Roman" w:hAnsi="Times New Roman" w:cs="Times New Roman"/>
          <w:sz w:val="28"/>
          <w:szCs w:val="28"/>
        </w:rPr>
        <w:t xml:space="preserve"> (VID)</w:t>
      </w:r>
      <w:r w:rsidR="00CF65DA" w:rsidRPr="00611589">
        <w:rPr>
          <w:rFonts w:ascii="Times New Roman" w:hAnsi="Times New Roman" w:cs="Times New Roman"/>
          <w:sz w:val="28"/>
          <w:szCs w:val="28"/>
        </w:rPr>
        <w:t xml:space="preserve">. Pārskata periodā pēc Biroja lūguma </w:t>
      </w:r>
      <w:r w:rsidR="009F7FB1" w:rsidRPr="00611589">
        <w:rPr>
          <w:rFonts w:ascii="Times New Roman" w:hAnsi="Times New Roman" w:cs="Times New Roman"/>
          <w:sz w:val="28"/>
          <w:szCs w:val="28"/>
        </w:rPr>
        <w:t xml:space="preserve">par </w:t>
      </w:r>
      <w:r w:rsidR="00056AF6" w:rsidRPr="00611589">
        <w:rPr>
          <w:rFonts w:ascii="Times New Roman" w:hAnsi="Times New Roman" w:cs="Times New Roman"/>
          <w:sz w:val="28"/>
          <w:szCs w:val="28"/>
        </w:rPr>
        <w:t xml:space="preserve">vienu personu </w:t>
      </w:r>
      <w:r w:rsidR="009F7FB1" w:rsidRPr="00611589">
        <w:rPr>
          <w:rFonts w:ascii="Times New Roman" w:hAnsi="Times New Roman" w:cs="Times New Roman"/>
          <w:sz w:val="28"/>
          <w:szCs w:val="28"/>
        </w:rPr>
        <w:t>ir uzsākt</w:t>
      </w:r>
      <w:r w:rsidR="00056AF6" w:rsidRPr="00611589">
        <w:rPr>
          <w:rFonts w:ascii="Times New Roman" w:hAnsi="Times New Roman" w:cs="Times New Roman"/>
          <w:sz w:val="28"/>
          <w:szCs w:val="28"/>
        </w:rPr>
        <w:t>s</w:t>
      </w:r>
      <w:r w:rsidR="009F7FB1" w:rsidRPr="00611589">
        <w:rPr>
          <w:rFonts w:ascii="Times New Roman" w:hAnsi="Times New Roman" w:cs="Times New Roman"/>
          <w:sz w:val="28"/>
          <w:szCs w:val="28"/>
        </w:rPr>
        <w:t xml:space="preserve"> iedzīvotāju ienākumu nodokļa audit</w:t>
      </w:r>
      <w:r w:rsidR="00056AF6" w:rsidRPr="00611589">
        <w:rPr>
          <w:rFonts w:ascii="Times New Roman" w:hAnsi="Times New Roman" w:cs="Times New Roman"/>
          <w:sz w:val="28"/>
          <w:szCs w:val="28"/>
        </w:rPr>
        <w:t>s</w:t>
      </w:r>
      <w:r w:rsidR="009F7FB1" w:rsidRPr="00611589">
        <w:rPr>
          <w:rFonts w:ascii="Times New Roman" w:hAnsi="Times New Roman" w:cs="Times New Roman"/>
          <w:sz w:val="28"/>
          <w:szCs w:val="28"/>
        </w:rPr>
        <w:t xml:space="preserve">. Tāpat </w:t>
      </w:r>
      <w:r w:rsidR="00362B7B" w:rsidRPr="00611589">
        <w:rPr>
          <w:rFonts w:ascii="Times New Roman" w:hAnsi="Times New Roman" w:cs="Times New Roman"/>
          <w:sz w:val="28"/>
          <w:szCs w:val="28"/>
        </w:rPr>
        <w:lastRenderedPageBreak/>
        <w:t>2014.gada otrajā pusē uz</w:t>
      </w:r>
      <w:r w:rsidR="009F7FB1" w:rsidRPr="00611589">
        <w:rPr>
          <w:rFonts w:ascii="Times New Roman" w:hAnsi="Times New Roman" w:cs="Times New Roman"/>
          <w:sz w:val="28"/>
          <w:szCs w:val="28"/>
        </w:rPr>
        <w:t xml:space="preserve"> VID nosūtīt</w:t>
      </w:r>
      <w:r w:rsidR="00C4779E" w:rsidRPr="00611589">
        <w:rPr>
          <w:rFonts w:ascii="Times New Roman" w:hAnsi="Times New Roman" w:cs="Times New Roman"/>
          <w:sz w:val="28"/>
          <w:szCs w:val="28"/>
        </w:rPr>
        <w:t xml:space="preserve">s viens lūgums </w:t>
      </w:r>
      <w:r w:rsidRPr="00611589">
        <w:rPr>
          <w:rFonts w:ascii="Times New Roman" w:hAnsi="Times New Roman" w:cs="Times New Roman"/>
          <w:sz w:val="28"/>
          <w:szCs w:val="28"/>
        </w:rPr>
        <w:t xml:space="preserve">(2014.gadā kopā – seši lūgumi) </w:t>
      </w:r>
      <w:r w:rsidR="009F7FB1" w:rsidRPr="00611589">
        <w:rPr>
          <w:rFonts w:ascii="Times New Roman" w:hAnsi="Times New Roman" w:cs="Times New Roman"/>
          <w:sz w:val="28"/>
          <w:szCs w:val="28"/>
        </w:rPr>
        <w:t>veikt pārbaudi par institūcijā strādājošo neiekļaušanu valsts amatperson</w:t>
      </w:r>
      <w:r w:rsidR="00362B7B" w:rsidRPr="00611589">
        <w:rPr>
          <w:rFonts w:ascii="Times New Roman" w:hAnsi="Times New Roman" w:cs="Times New Roman"/>
          <w:sz w:val="28"/>
          <w:szCs w:val="28"/>
        </w:rPr>
        <w:t>u sarakstos. P</w:t>
      </w:r>
      <w:r w:rsidR="008F32BD" w:rsidRPr="00611589">
        <w:rPr>
          <w:rFonts w:ascii="Times New Roman" w:hAnsi="Times New Roman" w:cs="Times New Roman"/>
          <w:sz w:val="28"/>
          <w:szCs w:val="28"/>
        </w:rPr>
        <w:t xml:space="preserve">amatojoties uz iepriekš Biroja </w:t>
      </w:r>
      <w:r w:rsidR="009F7FB1" w:rsidRPr="00611589">
        <w:rPr>
          <w:rFonts w:ascii="Times New Roman" w:hAnsi="Times New Roman" w:cs="Times New Roman"/>
          <w:sz w:val="28"/>
          <w:szCs w:val="28"/>
        </w:rPr>
        <w:t xml:space="preserve">sniegto informāciju, </w:t>
      </w:r>
      <w:r w:rsidR="00362B7B" w:rsidRPr="00611589">
        <w:rPr>
          <w:rFonts w:ascii="Times New Roman" w:hAnsi="Times New Roman" w:cs="Times New Roman"/>
          <w:sz w:val="28"/>
          <w:szCs w:val="28"/>
        </w:rPr>
        <w:t xml:space="preserve">2014.gadā kopumā 75 personas </w:t>
      </w:r>
      <w:r w:rsidR="009F7FB1" w:rsidRPr="00611589">
        <w:rPr>
          <w:rFonts w:ascii="Times New Roman" w:hAnsi="Times New Roman" w:cs="Times New Roman"/>
          <w:sz w:val="28"/>
          <w:szCs w:val="28"/>
        </w:rPr>
        <w:t xml:space="preserve">ir iekļautas valsts </w:t>
      </w:r>
      <w:r w:rsidR="0054008F" w:rsidRPr="00611589">
        <w:rPr>
          <w:rFonts w:ascii="Times New Roman" w:hAnsi="Times New Roman" w:cs="Times New Roman"/>
          <w:sz w:val="28"/>
          <w:szCs w:val="28"/>
        </w:rPr>
        <w:t>amatpersonu</w:t>
      </w:r>
      <w:r w:rsidR="009F7FB1" w:rsidRPr="00611589">
        <w:rPr>
          <w:rFonts w:ascii="Times New Roman" w:hAnsi="Times New Roman" w:cs="Times New Roman"/>
          <w:sz w:val="28"/>
          <w:szCs w:val="28"/>
        </w:rPr>
        <w:t xml:space="preserve"> sarakstos</w:t>
      </w:r>
      <w:r w:rsidR="00362B7B" w:rsidRPr="00611589">
        <w:rPr>
          <w:rFonts w:ascii="Times New Roman" w:hAnsi="Times New Roman" w:cs="Times New Roman"/>
          <w:sz w:val="28"/>
          <w:szCs w:val="28"/>
        </w:rPr>
        <w:t>.</w:t>
      </w:r>
    </w:p>
    <w:p w:rsidR="00CB58D2" w:rsidRDefault="00CB58D2" w:rsidP="00362B7B">
      <w:pPr>
        <w:pStyle w:val="NoSpacing"/>
        <w:ind w:firstLine="720"/>
        <w:jc w:val="both"/>
        <w:rPr>
          <w:rFonts w:ascii="Times New Roman" w:hAnsi="Times New Roman" w:cs="Times New Roman"/>
          <w:sz w:val="28"/>
          <w:szCs w:val="28"/>
        </w:rPr>
      </w:pPr>
    </w:p>
    <w:p w:rsidR="008F32BD" w:rsidRPr="00611589" w:rsidRDefault="008F32BD" w:rsidP="004B1216">
      <w:pPr>
        <w:pStyle w:val="Default"/>
        <w:numPr>
          <w:ilvl w:val="0"/>
          <w:numId w:val="21"/>
        </w:numPr>
        <w:jc w:val="center"/>
        <w:rPr>
          <w:b/>
          <w:color w:val="auto"/>
          <w:sz w:val="32"/>
          <w:szCs w:val="32"/>
        </w:rPr>
      </w:pPr>
      <w:bookmarkStart w:id="3" w:name="_Toc282617333"/>
      <w:r w:rsidRPr="00611589">
        <w:rPr>
          <w:b/>
          <w:color w:val="auto"/>
          <w:sz w:val="32"/>
          <w:szCs w:val="32"/>
        </w:rPr>
        <w:t>Korupcijas apkarošan</w:t>
      </w:r>
      <w:bookmarkEnd w:id="3"/>
      <w:r w:rsidRPr="00611589">
        <w:rPr>
          <w:b/>
          <w:color w:val="auto"/>
          <w:sz w:val="32"/>
          <w:szCs w:val="32"/>
        </w:rPr>
        <w:t>a</w:t>
      </w:r>
    </w:p>
    <w:p w:rsidR="00EE2806" w:rsidRPr="00611589" w:rsidRDefault="00EE2806" w:rsidP="00EE2806">
      <w:pPr>
        <w:pStyle w:val="Default"/>
        <w:ind w:firstLine="567"/>
        <w:jc w:val="both"/>
        <w:rPr>
          <w:color w:val="auto"/>
          <w:sz w:val="28"/>
          <w:szCs w:val="28"/>
        </w:rPr>
      </w:pPr>
      <w:r w:rsidRPr="00611589">
        <w:rPr>
          <w:color w:val="auto"/>
          <w:sz w:val="28"/>
          <w:szCs w:val="28"/>
        </w:rPr>
        <w:t xml:space="preserve">2014.gadā </w:t>
      </w:r>
      <w:r w:rsidRPr="00611589">
        <w:rPr>
          <w:b/>
          <w:color w:val="auto"/>
          <w:sz w:val="28"/>
          <w:szCs w:val="28"/>
        </w:rPr>
        <w:t>izmeklēšana ir pabeigta 39 kriminālprocesos</w:t>
      </w:r>
      <w:r w:rsidRPr="00611589">
        <w:rPr>
          <w:color w:val="auto"/>
          <w:sz w:val="28"/>
          <w:szCs w:val="28"/>
        </w:rPr>
        <w:t xml:space="preserve">, </w:t>
      </w:r>
      <w:r w:rsidR="004E0AC5" w:rsidRPr="00611589">
        <w:rPr>
          <w:color w:val="auto"/>
          <w:sz w:val="28"/>
          <w:szCs w:val="28"/>
        </w:rPr>
        <w:t>no kuriem</w:t>
      </w:r>
      <w:r w:rsidR="003359D7" w:rsidRPr="00611589">
        <w:rPr>
          <w:color w:val="auto"/>
          <w:sz w:val="28"/>
          <w:szCs w:val="28"/>
        </w:rPr>
        <w:t xml:space="preserve"> </w:t>
      </w:r>
      <w:r w:rsidRPr="00611589">
        <w:rPr>
          <w:color w:val="auto"/>
          <w:sz w:val="28"/>
          <w:szCs w:val="28"/>
        </w:rPr>
        <w:t xml:space="preserve">prokuratūras iestādēm kriminālvajāšanas uzsākšanai nosūtīti </w:t>
      </w:r>
      <w:r w:rsidRPr="00611589">
        <w:rPr>
          <w:b/>
          <w:color w:val="auto"/>
          <w:sz w:val="28"/>
          <w:szCs w:val="28"/>
        </w:rPr>
        <w:t>27 kriminālprocesi</w:t>
      </w:r>
      <w:r w:rsidRPr="00611589">
        <w:rPr>
          <w:color w:val="auto"/>
          <w:sz w:val="28"/>
          <w:szCs w:val="28"/>
        </w:rPr>
        <w:t xml:space="preserve"> (par 11 vairāk nekā 2013.gadā) </w:t>
      </w:r>
      <w:r w:rsidRPr="00611589">
        <w:rPr>
          <w:b/>
          <w:color w:val="auto"/>
          <w:sz w:val="28"/>
          <w:szCs w:val="28"/>
        </w:rPr>
        <w:t>pret 72 aizdomās turētām personām</w:t>
      </w:r>
      <w:r w:rsidR="00EB7CA8" w:rsidRPr="00611589">
        <w:rPr>
          <w:b/>
          <w:color w:val="auto"/>
          <w:sz w:val="28"/>
          <w:szCs w:val="28"/>
        </w:rPr>
        <w:t xml:space="preserve"> </w:t>
      </w:r>
      <w:r w:rsidR="00EB7CA8" w:rsidRPr="00611589">
        <w:rPr>
          <w:color w:val="auto"/>
          <w:sz w:val="28"/>
          <w:szCs w:val="28"/>
        </w:rPr>
        <w:t xml:space="preserve">(par </w:t>
      </w:r>
      <w:r w:rsidR="007B0689">
        <w:rPr>
          <w:color w:val="auto"/>
          <w:sz w:val="28"/>
          <w:szCs w:val="28"/>
        </w:rPr>
        <w:t>53%</w:t>
      </w:r>
      <w:r w:rsidR="00EB7CA8" w:rsidRPr="00611589">
        <w:rPr>
          <w:color w:val="auto"/>
          <w:sz w:val="28"/>
          <w:szCs w:val="28"/>
        </w:rPr>
        <w:t xml:space="preserve"> vairāk nekā 2013.gadā)</w:t>
      </w:r>
      <w:r w:rsidRPr="00611589">
        <w:rPr>
          <w:color w:val="auto"/>
          <w:sz w:val="28"/>
          <w:szCs w:val="28"/>
        </w:rPr>
        <w:t xml:space="preserve">, no </w:t>
      </w:r>
      <w:r w:rsidR="003359D7" w:rsidRPr="00611589">
        <w:rPr>
          <w:color w:val="auto"/>
          <w:sz w:val="28"/>
          <w:szCs w:val="28"/>
        </w:rPr>
        <w:t>tiem 2014.gada otrajā pusē – 16 </w:t>
      </w:r>
      <w:r w:rsidRPr="00611589">
        <w:rPr>
          <w:color w:val="auto"/>
          <w:sz w:val="28"/>
          <w:szCs w:val="28"/>
        </w:rPr>
        <w:t xml:space="preserve">kriminālprocesi pret 40 personām. </w:t>
      </w:r>
    </w:p>
    <w:p w:rsidR="003022CD" w:rsidRPr="00611589" w:rsidRDefault="008F2280" w:rsidP="003022CD">
      <w:pPr>
        <w:pStyle w:val="Default"/>
        <w:ind w:firstLine="567"/>
        <w:jc w:val="both"/>
        <w:rPr>
          <w:color w:val="auto"/>
          <w:sz w:val="28"/>
          <w:szCs w:val="28"/>
        </w:rPr>
      </w:pPr>
      <w:r w:rsidRPr="00611589">
        <w:rPr>
          <w:color w:val="auto"/>
          <w:sz w:val="28"/>
          <w:szCs w:val="28"/>
        </w:rPr>
        <w:t xml:space="preserve">2014.gada otrajā pusē </w:t>
      </w:r>
      <w:r w:rsidR="00385E8D" w:rsidRPr="00611589">
        <w:rPr>
          <w:color w:val="auto"/>
          <w:sz w:val="28"/>
          <w:szCs w:val="28"/>
        </w:rPr>
        <w:t xml:space="preserve">Birojs </w:t>
      </w:r>
      <w:r w:rsidR="00385E8D" w:rsidRPr="00611589">
        <w:rPr>
          <w:b/>
          <w:color w:val="auto"/>
          <w:sz w:val="28"/>
          <w:szCs w:val="28"/>
        </w:rPr>
        <w:t>izbeidza</w:t>
      </w:r>
      <w:r w:rsidRPr="00611589">
        <w:rPr>
          <w:b/>
          <w:color w:val="auto"/>
          <w:sz w:val="28"/>
          <w:szCs w:val="28"/>
        </w:rPr>
        <w:t xml:space="preserve"> </w:t>
      </w:r>
      <w:r w:rsidR="00385E8D" w:rsidRPr="00611589">
        <w:rPr>
          <w:color w:val="auto"/>
          <w:sz w:val="28"/>
          <w:szCs w:val="28"/>
        </w:rPr>
        <w:t>astoņus</w:t>
      </w:r>
      <w:r w:rsidR="003359D7" w:rsidRPr="00611589">
        <w:rPr>
          <w:color w:val="auto"/>
          <w:sz w:val="28"/>
          <w:szCs w:val="28"/>
        </w:rPr>
        <w:t xml:space="preserve"> kriminālprocesus</w:t>
      </w:r>
      <w:r w:rsidRPr="00611589">
        <w:rPr>
          <w:color w:val="auto"/>
          <w:sz w:val="28"/>
          <w:szCs w:val="28"/>
        </w:rPr>
        <w:t xml:space="preserve"> (kopā 2014.gadā – </w:t>
      </w:r>
      <w:r w:rsidR="003359D7" w:rsidRPr="00611589">
        <w:rPr>
          <w:b/>
          <w:color w:val="auto"/>
          <w:sz w:val="28"/>
          <w:szCs w:val="28"/>
        </w:rPr>
        <w:t>12 kriminālprocesus</w:t>
      </w:r>
      <w:r w:rsidRPr="00611589">
        <w:rPr>
          <w:b/>
          <w:color w:val="auto"/>
          <w:sz w:val="28"/>
          <w:szCs w:val="28"/>
        </w:rPr>
        <w:t xml:space="preserve">, </w:t>
      </w:r>
      <w:r w:rsidRPr="00611589">
        <w:rPr>
          <w:color w:val="auto"/>
          <w:sz w:val="28"/>
          <w:szCs w:val="28"/>
        </w:rPr>
        <w:t xml:space="preserve">kas ir tik pat daudz, cik 2013.gadā). </w:t>
      </w:r>
      <w:r w:rsidR="003359D7" w:rsidRPr="00611589">
        <w:rPr>
          <w:color w:val="auto"/>
          <w:sz w:val="28"/>
          <w:szCs w:val="28"/>
        </w:rPr>
        <w:t xml:space="preserve">Izmeklējot </w:t>
      </w:r>
      <w:proofErr w:type="spellStart"/>
      <w:r w:rsidR="003359D7" w:rsidRPr="00611589">
        <w:rPr>
          <w:color w:val="auto"/>
          <w:sz w:val="28"/>
          <w:szCs w:val="28"/>
        </w:rPr>
        <w:t>koruptīvus</w:t>
      </w:r>
      <w:proofErr w:type="spellEnd"/>
      <w:r w:rsidR="003359D7" w:rsidRPr="00611589">
        <w:rPr>
          <w:color w:val="auto"/>
          <w:sz w:val="28"/>
          <w:szCs w:val="28"/>
        </w:rPr>
        <w:t xml:space="preserve"> noziedzīgus nodarījumus, pārskata periodā Birojā tika uzsākti</w:t>
      </w:r>
      <w:r w:rsidR="003359D7" w:rsidRPr="00611589">
        <w:rPr>
          <w:b/>
          <w:color w:val="auto"/>
          <w:sz w:val="28"/>
          <w:szCs w:val="28"/>
        </w:rPr>
        <w:t xml:space="preserve"> </w:t>
      </w:r>
      <w:r w:rsidR="003359D7" w:rsidRPr="00611589">
        <w:rPr>
          <w:color w:val="auto"/>
          <w:sz w:val="28"/>
          <w:szCs w:val="28"/>
        </w:rPr>
        <w:t xml:space="preserve">septiņi kriminālprocesi, no kuriem pēc iegūtās operatīvās informācijas – pieci kriminālprocesi. </w:t>
      </w:r>
      <w:r w:rsidR="003022CD" w:rsidRPr="00611589">
        <w:rPr>
          <w:color w:val="auto"/>
          <w:sz w:val="28"/>
          <w:szCs w:val="28"/>
        </w:rPr>
        <w:t xml:space="preserve">2014.gadā kopumā tika </w:t>
      </w:r>
      <w:r w:rsidR="003022CD" w:rsidRPr="00611589">
        <w:rPr>
          <w:b/>
          <w:color w:val="auto"/>
          <w:sz w:val="28"/>
          <w:szCs w:val="28"/>
        </w:rPr>
        <w:t>uzsākti</w:t>
      </w:r>
      <w:r w:rsidR="003022CD" w:rsidRPr="00611589">
        <w:rPr>
          <w:color w:val="auto"/>
          <w:sz w:val="28"/>
          <w:szCs w:val="28"/>
        </w:rPr>
        <w:t xml:space="preserve"> </w:t>
      </w:r>
      <w:r w:rsidR="003022CD" w:rsidRPr="00611589">
        <w:rPr>
          <w:b/>
          <w:color w:val="auto"/>
          <w:sz w:val="28"/>
          <w:szCs w:val="28"/>
        </w:rPr>
        <w:t>25 kriminālprocesi</w:t>
      </w:r>
      <w:r w:rsidR="003359D7" w:rsidRPr="00611589">
        <w:rPr>
          <w:color w:val="auto"/>
          <w:sz w:val="28"/>
          <w:szCs w:val="28"/>
        </w:rPr>
        <w:t xml:space="preserve"> (par astoņiem mazāk nekā 2013.gadā), no kuriem pēc iegūtās operatīvās informācijas – 14 kriminālprocesi</w:t>
      </w:r>
      <w:r w:rsidR="003022CD" w:rsidRPr="00611589">
        <w:rPr>
          <w:color w:val="auto"/>
          <w:sz w:val="28"/>
          <w:szCs w:val="28"/>
        </w:rPr>
        <w:t xml:space="preserve"> (2013.gadā pēc iegūtās operatīvās informācijas </w:t>
      </w:r>
      <w:r w:rsidR="006C1384">
        <w:rPr>
          <w:color w:val="auto"/>
          <w:sz w:val="28"/>
          <w:szCs w:val="28"/>
        </w:rPr>
        <w:t>uzsākti</w:t>
      </w:r>
      <w:r w:rsidR="003022CD" w:rsidRPr="00611589">
        <w:rPr>
          <w:color w:val="auto"/>
          <w:sz w:val="28"/>
          <w:szCs w:val="28"/>
        </w:rPr>
        <w:t xml:space="preserve"> 20 kriminālprocesi)</w:t>
      </w:r>
      <w:r w:rsidR="003359D7" w:rsidRPr="00611589">
        <w:rPr>
          <w:color w:val="auto"/>
          <w:sz w:val="28"/>
          <w:szCs w:val="28"/>
        </w:rPr>
        <w:t xml:space="preserve">. </w:t>
      </w:r>
      <w:r w:rsidR="003022CD" w:rsidRPr="00611589">
        <w:rPr>
          <w:color w:val="auto"/>
          <w:sz w:val="28"/>
          <w:szCs w:val="28"/>
        </w:rPr>
        <w:t xml:space="preserve">Kriminālvajāšanas uzsākšanai nosūtīto kriminālprocesu un Birojā uzsākto kriminālprocesu skaits atspoguļots 5.attēlā. </w:t>
      </w:r>
    </w:p>
    <w:p w:rsidR="003359D7" w:rsidRPr="00611589" w:rsidRDefault="003359D7" w:rsidP="003022CD">
      <w:pPr>
        <w:pStyle w:val="Default"/>
        <w:ind w:firstLine="567"/>
        <w:jc w:val="both"/>
        <w:rPr>
          <w:color w:val="auto"/>
          <w:sz w:val="28"/>
          <w:szCs w:val="28"/>
        </w:rPr>
      </w:pPr>
      <w:r w:rsidRPr="00611589">
        <w:rPr>
          <w:color w:val="auto"/>
          <w:sz w:val="28"/>
          <w:szCs w:val="28"/>
        </w:rPr>
        <w:t xml:space="preserve">Uz 2014.gada 31.decembri Birojā atradās </w:t>
      </w:r>
      <w:r w:rsidRPr="00611589">
        <w:rPr>
          <w:b/>
          <w:color w:val="auto"/>
          <w:sz w:val="28"/>
          <w:szCs w:val="28"/>
        </w:rPr>
        <w:t>33 krimināllietas</w:t>
      </w:r>
      <w:r w:rsidRPr="00611589">
        <w:rPr>
          <w:color w:val="auto"/>
          <w:sz w:val="28"/>
          <w:szCs w:val="28"/>
        </w:rPr>
        <w:t>.</w:t>
      </w:r>
    </w:p>
    <w:p w:rsidR="00647059" w:rsidRPr="00611589" w:rsidRDefault="00647059" w:rsidP="00D43C7E">
      <w:pPr>
        <w:pStyle w:val="Default"/>
        <w:jc w:val="both"/>
        <w:rPr>
          <w:color w:val="auto"/>
          <w:sz w:val="28"/>
          <w:szCs w:val="28"/>
        </w:rPr>
      </w:pPr>
    </w:p>
    <w:p w:rsidR="0025528A" w:rsidRPr="00611589" w:rsidRDefault="0025528A" w:rsidP="0025528A">
      <w:pPr>
        <w:spacing w:after="0" w:line="240" w:lineRule="auto"/>
        <w:rPr>
          <w:rFonts w:ascii="Times New Roman" w:hAnsi="Times New Roman" w:cs="Times New Roman"/>
          <w:noProof/>
          <w:sz w:val="28"/>
          <w:szCs w:val="28"/>
          <w:lang w:eastAsia="lv-LV"/>
        </w:rPr>
      </w:pPr>
      <w:r w:rsidRPr="00611589">
        <w:rPr>
          <w:rFonts w:ascii="Times New Roman" w:hAnsi="Times New Roman" w:cs="Times New Roman"/>
          <w:i/>
          <w:noProof/>
          <w:sz w:val="28"/>
          <w:szCs w:val="28"/>
          <w:lang w:eastAsia="lv-LV"/>
        </w:rPr>
        <w:t>5.attēls</w:t>
      </w:r>
      <w:r w:rsidRPr="00611589">
        <w:rPr>
          <w:rFonts w:ascii="Times New Roman" w:hAnsi="Times New Roman" w:cs="Times New Roman"/>
          <w:noProof/>
          <w:sz w:val="28"/>
          <w:szCs w:val="28"/>
          <w:lang w:eastAsia="lv-LV"/>
        </w:rPr>
        <w:t xml:space="preserve">. </w:t>
      </w:r>
      <w:r w:rsidRPr="00611589">
        <w:rPr>
          <w:rFonts w:ascii="Times New Roman" w:hAnsi="Times New Roman" w:cs="Times New Roman"/>
          <w:b/>
          <w:noProof/>
          <w:sz w:val="28"/>
          <w:szCs w:val="28"/>
          <w:lang w:eastAsia="lv-LV"/>
        </w:rPr>
        <w:t>Kriminālvajāšanai nosūtīto lietu skaits un personu skaits, kā arī uzsāktie kriminālprocesi (2009.– 201</w:t>
      </w:r>
      <w:r w:rsidR="00B141D2" w:rsidRPr="00611589">
        <w:rPr>
          <w:rFonts w:ascii="Times New Roman" w:hAnsi="Times New Roman" w:cs="Times New Roman"/>
          <w:b/>
          <w:noProof/>
          <w:sz w:val="28"/>
          <w:szCs w:val="28"/>
          <w:lang w:eastAsia="lv-LV"/>
        </w:rPr>
        <w:t>4</w:t>
      </w:r>
      <w:r w:rsidRPr="00611589">
        <w:rPr>
          <w:rFonts w:ascii="Times New Roman" w:hAnsi="Times New Roman" w:cs="Times New Roman"/>
          <w:b/>
          <w:noProof/>
          <w:sz w:val="28"/>
          <w:szCs w:val="28"/>
          <w:lang w:eastAsia="lv-LV"/>
        </w:rPr>
        <w:t>.gads)</w:t>
      </w:r>
    </w:p>
    <w:p w:rsidR="0025528A" w:rsidRPr="00611589" w:rsidRDefault="0025528A" w:rsidP="00886BF1">
      <w:pPr>
        <w:pStyle w:val="Default"/>
        <w:ind w:firstLine="567"/>
        <w:jc w:val="both"/>
        <w:rPr>
          <w:color w:val="auto"/>
          <w:sz w:val="28"/>
          <w:szCs w:val="28"/>
        </w:rPr>
      </w:pPr>
      <w:r w:rsidRPr="00611589">
        <w:rPr>
          <w:noProof/>
          <w:lang w:eastAsia="lv-LV"/>
        </w:rPr>
        <w:drawing>
          <wp:inline distT="0" distB="0" distL="0" distR="0" wp14:anchorId="2D3F6E36" wp14:editId="7573E0A3">
            <wp:extent cx="5357004" cy="3252159"/>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D0E43" w:rsidRPr="00611589" w:rsidRDefault="003543C7" w:rsidP="00CD0E43">
      <w:pPr>
        <w:spacing w:after="0" w:line="240" w:lineRule="auto"/>
        <w:ind w:firstLine="567"/>
        <w:jc w:val="both"/>
        <w:outlineLvl w:val="2"/>
        <w:rPr>
          <w:rFonts w:ascii="Times New Roman" w:eastAsia="Times New Roman" w:hAnsi="Times New Roman" w:cs="Times New Roman"/>
          <w:sz w:val="28"/>
          <w:szCs w:val="28"/>
          <w:lang w:eastAsia="lv-LV"/>
        </w:rPr>
      </w:pPr>
      <w:r w:rsidRPr="00611589">
        <w:rPr>
          <w:rFonts w:ascii="Times New Roman" w:hAnsi="Times New Roman" w:cs="Times New Roman"/>
          <w:sz w:val="28"/>
          <w:szCs w:val="28"/>
        </w:rPr>
        <w:t xml:space="preserve">2014.gada otrajā pusgadā viena no </w:t>
      </w:r>
      <w:r w:rsidRPr="00611589">
        <w:rPr>
          <w:rFonts w:ascii="Times New Roman" w:hAnsi="Times New Roman" w:cs="Times New Roman"/>
          <w:b/>
          <w:sz w:val="28"/>
          <w:szCs w:val="28"/>
        </w:rPr>
        <w:t>nozīmīgākajām krimināllietām</w:t>
      </w:r>
      <w:r w:rsidRPr="00611589">
        <w:rPr>
          <w:rFonts w:ascii="Times New Roman" w:hAnsi="Times New Roman" w:cs="Times New Roman"/>
          <w:sz w:val="28"/>
          <w:szCs w:val="28"/>
        </w:rPr>
        <w:t xml:space="preserve">, kurā Ģenerālprokuratūrai lūgts uzsākt kriminālvajāšanu ir pret valsts amatpersonu par liecinieka piespiešanu ar uzpirkšanu un vardarbības piedraudējumu dot nepatiesu liecību tiesā, atsakoties no iepriekš sniegtajām liecībām. Izmeklēšanas </w:t>
      </w:r>
      <w:r w:rsidRPr="00611589">
        <w:rPr>
          <w:rFonts w:ascii="Times New Roman" w:hAnsi="Times New Roman" w:cs="Times New Roman"/>
          <w:sz w:val="28"/>
          <w:szCs w:val="28"/>
        </w:rPr>
        <w:lastRenderedPageBreak/>
        <w:t xml:space="preserve">gaitā iegūto pierādījumu kopums dod pamatu uzskatīt, ka </w:t>
      </w:r>
      <w:r w:rsidRPr="00611589">
        <w:rPr>
          <w:rFonts w:ascii="Times New Roman" w:eastAsia="Times New Roman" w:hAnsi="Times New Roman" w:cs="Times New Roman"/>
          <w:sz w:val="28"/>
          <w:szCs w:val="28"/>
          <w:lang w:eastAsia="lv-LV"/>
        </w:rPr>
        <w:t xml:space="preserve"> amatpersona organizējusi, uzkūdījusi un atbalstījusi noziedzīga nodarījuma izdarīšanu ar vairāku privātpersonu iesaistīšanu nolūkā panākt, lai vardarbības draudu iespaidā un par prettiesisku atlīdzību EUR 3 000 000 apmērā liecinieks atteiktos no iepriekš sniegtajām liecībām un sniegtu valsts amatpersonas uzticamības personu iepriekš sagatavotās nepatiesās liecības.</w:t>
      </w:r>
    </w:p>
    <w:p w:rsidR="00623F57" w:rsidRPr="00611589" w:rsidRDefault="003543C7" w:rsidP="006812D3">
      <w:pPr>
        <w:spacing w:after="0" w:line="240" w:lineRule="auto"/>
        <w:ind w:firstLine="567"/>
        <w:jc w:val="both"/>
        <w:outlineLvl w:val="2"/>
        <w:rPr>
          <w:rFonts w:ascii="Times New Roman" w:eastAsia="Times New Roman" w:hAnsi="Times New Roman" w:cs="Times New Roman"/>
          <w:sz w:val="28"/>
          <w:szCs w:val="28"/>
          <w:lang w:eastAsia="lv-LV"/>
        </w:rPr>
      </w:pPr>
      <w:r w:rsidRPr="00611589">
        <w:rPr>
          <w:rFonts w:ascii="Times New Roman" w:eastAsia="Times New Roman" w:hAnsi="Times New Roman" w:cs="Times New Roman"/>
          <w:sz w:val="28"/>
          <w:szCs w:val="28"/>
          <w:lang w:eastAsia="lv-LV"/>
        </w:rPr>
        <w:t xml:space="preserve">Pārskata periodā Ģenerālprokuratūrai ir nosūtīti arī </w:t>
      </w:r>
      <w:r w:rsidR="00CD0E43" w:rsidRPr="00611589">
        <w:rPr>
          <w:rFonts w:ascii="Times New Roman" w:eastAsia="Times New Roman" w:hAnsi="Times New Roman" w:cs="Times New Roman"/>
          <w:sz w:val="28"/>
          <w:szCs w:val="28"/>
          <w:lang w:eastAsia="lv-LV"/>
        </w:rPr>
        <w:t xml:space="preserve">apjomīga </w:t>
      </w:r>
      <w:r w:rsidRPr="00611589">
        <w:rPr>
          <w:rFonts w:ascii="Times New Roman" w:eastAsia="Times New Roman" w:hAnsi="Times New Roman" w:cs="Times New Roman"/>
          <w:sz w:val="28"/>
          <w:szCs w:val="28"/>
          <w:lang w:eastAsia="lv-LV"/>
        </w:rPr>
        <w:t>kriminālprocesa materi</w:t>
      </w:r>
      <w:r w:rsidR="0021422D" w:rsidRPr="00611589">
        <w:rPr>
          <w:rFonts w:ascii="Times New Roman" w:eastAsia="Times New Roman" w:hAnsi="Times New Roman" w:cs="Times New Roman"/>
          <w:sz w:val="28"/>
          <w:szCs w:val="28"/>
          <w:lang w:eastAsia="lv-LV"/>
        </w:rPr>
        <w:t xml:space="preserve">āli </w:t>
      </w:r>
      <w:r w:rsidRPr="00611589">
        <w:rPr>
          <w:rFonts w:ascii="Times New Roman" w:eastAsia="Times New Roman" w:hAnsi="Times New Roman" w:cs="Times New Roman"/>
          <w:sz w:val="28"/>
          <w:szCs w:val="28"/>
          <w:lang w:eastAsia="lv-LV"/>
        </w:rPr>
        <w:t>pret septiņām personām</w:t>
      </w:r>
      <w:r w:rsidR="00623F57" w:rsidRPr="00611589">
        <w:rPr>
          <w:rFonts w:ascii="Times New Roman" w:eastAsia="Times New Roman" w:hAnsi="Times New Roman" w:cs="Times New Roman"/>
          <w:sz w:val="28"/>
          <w:szCs w:val="28"/>
          <w:lang w:eastAsia="lv-LV"/>
        </w:rPr>
        <w:t xml:space="preserve"> (divām Daugavpils pašvaldības amatpersonas, no kurām viena ieņem atbildīgu amatu, un četriem uzņēmējiem) saistībā ar </w:t>
      </w:r>
      <w:r w:rsidRPr="00611589">
        <w:rPr>
          <w:rFonts w:ascii="Times New Roman" w:eastAsia="Times New Roman" w:hAnsi="Times New Roman" w:cs="Times New Roman"/>
          <w:sz w:val="28"/>
          <w:szCs w:val="28"/>
          <w:lang w:eastAsia="lv-LV"/>
        </w:rPr>
        <w:t>kukuļošanu, ļaunprātīgu dienesta stāvokļa izmantošanu mantkārīgā nolūkā un krāpšanu.</w:t>
      </w:r>
      <w:r w:rsidR="005B2659" w:rsidRPr="00611589">
        <w:rPr>
          <w:rFonts w:ascii="Times New Roman" w:eastAsia="Times New Roman" w:hAnsi="Times New Roman" w:cs="Times New Roman"/>
          <w:sz w:val="28"/>
          <w:szCs w:val="28"/>
          <w:lang w:eastAsia="lv-LV"/>
        </w:rPr>
        <w:t xml:space="preserve"> </w:t>
      </w:r>
      <w:r w:rsidRPr="00611589">
        <w:rPr>
          <w:rFonts w:ascii="Times New Roman" w:eastAsia="Times New Roman" w:hAnsi="Times New Roman" w:cs="Times New Roman"/>
          <w:sz w:val="28"/>
          <w:szCs w:val="28"/>
          <w:lang w:eastAsia="lv-LV"/>
        </w:rPr>
        <w:t xml:space="preserve">Virkne noziedzīgo nodarījumu veikti saistībā ar Daugavpils domes kapitālsabiedrības </w:t>
      </w:r>
      <w:r w:rsidRPr="00611589">
        <w:rPr>
          <w:rFonts w:ascii="Times New Roman" w:eastAsia="Times New Roman" w:hAnsi="Times New Roman" w:cs="Times New Roman"/>
          <w:b/>
          <w:sz w:val="28"/>
          <w:szCs w:val="28"/>
          <w:lang w:eastAsia="lv-LV"/>
        </w:rPr>
        <w:t>„Daugavpils siltumtīkli”</w:t>
      </w:r>
      <w:r w:rsidRPr="00611589">
        <w:rPr>
          <w:rFonts w:ascii="Times New Roman" w:eastAsia="Times New Roman" w:hAnsi="Times New Roman" w:cs="Times New Roman"/>
          <w:sz w:val="28"/>
          <w:szCs w:val="28"/>
          <w:lang w:eastAsia="lv-LV"/>
        </w:rPr>
        <w:t xml:space="preserve"> veiktajiem iepirkumiem.</w:t>
      </w:r>
    </w:p>
    <w:p w:rsidR="006812D3" w:rsidRPr="00611589" w:rsidRDefault="00623F57" w:rsidP="00623F57">
      <w:pPr>
        <w:spacing w:after="0" w:line="240" w:lineRule="auto"/>
        <w:ind w:firstLine="567"/>
        <w:jc w:val="both"/>
        <w:outlineLvl w:val="2"/>
        <w:rPr>
          <w:rFonts w:ascii="Times New Roman" w:eastAsia="Times New Roman" w:hAnsi="Times New Roman" w:cs="Times New Roman"/>
          <w:sz w:val="28"/>
          <w:szCs w:val="28"/>
          <w:lang w:eastAsia="lv-LV"/>
        </w:rPr>
      </w:pPr>
      <w:r w:rsidRPr="00611589">
        <w:rPr>
          <w:rFonts w:ascii="Times New Roman" w:eastAsia="Times New Roman" w:hAnsi="Times New Roman" w:cs="Times New Roman"/>
          <w:sz w:val="28"/>
          <w:szCs w:val="28"/>
          <w:lang w:eastAsia="lv-LV"/>
        </w:rPr>
        <w:t xml:space="preserve">Biroja rīcībā esošie pierādījumi liecina, ka no 2011.gada līdz 2012.gada pavasarim divi no iesaistītajiem uzņēmējiem izkrāpa ievērojamus naudas līdzekļus (kopumā ap EUR 850 000) no </w:t>
      </w:r>
      <w:r w:rsidR="003543C7" w:rsidRPr="00611589">
        <w:rPr>
          <w:rFonts w:ascii="Times New Roman" w:eastAsia="Times New Roman" w:hAnsi="Times New Roman" w:cs="Times New Roman"/>
          <w:sz w:val="28"/>
          <w:szCs w:val="28"/>
          <w:lang w:eastAsia="lv-LV"/>
        </w:rPr>
        <w:t>diviem pašvaldī</w:t>
      </w:r>
      <w:r w:rsidRPr="00611589">
        <w:rPr>
          <w:rFonts w:ascii="Times New Roman" w:eastAsia="Times New Roman" w:hAnsi="Times New Roman" w:cs="Times New Roman"/>
          <w:sz w:val="28"/>
          <w:szCs w:val="28"/>
          <w:lang w:eastAsia="lv-LV"/>
        </w:rPr>
        <w:t>bu un trim privātiem uzņēmumiem. Iz</w:t>
      </w:r>
      <w:r w:rsidR="006812D3" w:rsidRPr="00611589">
        <w:rPr>
          <w:rFonts w:ascii="Times New Roman" w:eastAsia="Times New Roman" w:hAnsi="Times New Roman" w:cs="Times New Roman"/>
          <w:sz w:val="28"/>
          <w:szCs w:val="28"/>
          <w:lang w:eastAsia="lv-LV"/>
        </w:rPr>
        <w:t>meklēšanas gaitā noskaidrots</w:t>
      </w:r>
      <w:r w:rsidRPr="00611589">
        <w:rPr>
          <w:rFonts w:ascii="Times New Roman" w:eastAsia="Times New Roman" w:hAnsi="Times New Roman" w:cs="Times New Roman"/>
          <w:sz w:val="28"/>
          <w:szCs w:val="28"/>
          <w:lang w:eastAsia="lv-LV"/>
        </w:rPr>
        <w:t xml:space="preserve"> arī</w:t>
      </w:r>
      <w:r w:rsidR="006812D3" w:rsidRPr="00611589">
        <w:rPr>
          <w:rFonts w:ascii="Times New Roman" w:eastAsia="Times New Roman" w:hAnsi="Times New Roman" w:cs="Times New Roman"/>
          <w:sz w:val="28"/>
          <w:szCs w:val="28"/>
          <w:lang w:eastAsia="lv-LV"/>
        </w:rPr>
        <w:t>, ka iepirkumu darījumos iesaistītajai amatpersonai tika nodots kukulis 10 000 EUR apmērā.</w:t>
      </w:r>
      <w:r w:rsidRPr="00611589">
        <w:rPr>
          <w:rFonts w:ascii="Times New Roman" w:eastAsia="Times New Roman" w:hAnsi="Times New Roman" w:cs="Times New Roman"/>
          <w:sz w:val="28"/>
          <w:szCs w:val="28"/>
          <w:lang w:eastAsia="lv-LV"/>
        </w:rPr>
        <w:t xml:space="preserve"> Citā epizodē k</w:t>
      </w:r>
      <w:r w:rsidR="006812D3" w:rsidRPr="00611589">
        <w:rPr>
          <w:rFonts w:ascii="Times New Roman" w:eastAsia="Times New Roman" w:hAnsi="Times New Roman" w:cs="Times New Roman"/>
          <w:sz w:val="28"/>
          <w:szCs w:val="28"/>
          <w:lang w:eastAsia="lv-LV"/>
        </w:rPr>
        <w:t xml:space="preserve">riminālprocesa materiāli liecina, ka personu grupa pēc iepriekšējas vienošanās 2013. gada janvārī starpniekiem nodeva kukuli </w:t>
      </w:r>
      <w:r w:rsidRPr="00611589">
        <w:rPr>
          <w:rFonts w:ascii="Times New Roman" w:eastAsia="Times New Roman" w:hAnsi="Times New Roman" w:cs="Times New Roman"/>
          <w:sz w:val="28"/>
          <w:szCs w:val="28"/>
          <w:lang w:eastAsia="lv-LV"/>
        </w:rPr>
        <w:t>EUR </w:t>
      </w:r>
      <w:r w:rsidR="006812D3" w:rsidRPr="00611589">
        <w:rPr>
          <w:rFonts w:ascii="Times New Roman" w:eastAsia="Times New Roman" w:hAnsi="Times New Roman" w:cs="Times New Roman"/>
          <w:sz w:val="28"/>
          <w:szCs w:val="28"/>
          <w:lang w:eastAsia="lv-LV"/>
        </w:rPr>
        <w:t xml:space="preserve">120 000 tālākai nodošanai valsts amatpersonai, kas ieņem atbildīgu amatu Daugavpils pilsētas domē. Kukulis </w:t>
      </w:r>
      <w:r w:rsidRPr="00611589">
        <w:rPr>
          <w:rFonts w:ascii="Times New Roman" w:eastAsia="Times New Roman" w:hAnsi="Times New Roman" w:cs="Times New Roman"/>
          <w:sz w:val="28"/>
          <w:szCs w:val="28"/>
          <w:lang w:eastAsia="lv-LV"/>
        </w:rPr>
        <w:t>bija jānodod</w:t>
      </w:r>
      <w:r w:rsidR="006812D3" w:rsidRPr="00611589">
        <w:rPr>
          <w:rFonts w:ascii="Times New Roman" w:eastAsia="Times New Roman" w:hAnsi="Times New Roman" w:cs="Times New Roman"/>
          <w:sz w:val="28"/>
          <w:szCs w:val="28"/>
          <w:lang w:eastAsia="lv-LV"/>
        </w:rPr>
        <w:t xml:space="preserve"> par labvēlīgiem lēmumiem kāda komersanta interesēs, izslēdzot jebkura cita pretendenta dalību „Daugavpils siltumtīkli” iepirkumā, tādējādi pārkāpjot negodīgas konkurences aizliegumu. Amatpersonai paredzēto kukuli iepirkumos ieinteresētie starpnieki daļēji piesavinājās, katrs piesavinoties 30 000 EUR, bet amatpersonai tika nodoti 60 000 EUR.</w:t>
      </w:r>
    </w:p>
    <w:p w:rsidR="00B53A72" w:rsidRPr="00611589" w:rsidRDefault="00362B7B" w:rsidP="00B53A72">
      <w:pPr>
        <w:spacing w:after="0" w:line="240" w:lineRule="auto"/>
        <w:ind w:firstLine="567"/>
        <w:jc w:val="both"/>
        <w:outlineLvl w:val="2"/>
        <w:rPr>
          <w:rFonts w:ascii="Times New Roman" w:eastAsia="Times New Roman" w:hAnsi="Times New Roman" w:cs="Times New Roman"/>
          <w:sz w:val="28"/>
          <w:szCs w:val="28"/>
          <w:lang w:eastAsia="lv-LV"/>
        </w:rPr>
      </w:pPr>
      <w:r w:rsidRPr="00611589">
        <w:rPr>
          <w:rFonts w:ascii="Times New Roman" w:eastAsia="Times New Roman" w:hAnsi="Times New Roman" w:cs="Times New Roman"/>
          <w:sz w:val="28"/>
          <w:szCs w:val="28"/>
          <w:lang w:eastAsia="lv-LV"/>
        </w:rPr>
        <w:t>2014.gada augustā</w:t>
      </w:r>
      <w:r w:rsidR="00B53A72" w:rsidRPr="00611589">
        <w:rPr>
          <w:rFonts w:ascii="Times New Roman" w:eastAsia="Times New Roman" w:hAnsi="Times New Roman" w:cs="Times New Roman"/>
          <w:sz w:val="28"/>
          <w:szCs w:val="28"/>
          <w:lang w:eastAsia="lv-LV"/>
        </w:rPr>
        <w:t xml:space="preserve"> Birojs ir rosinājis saukt pie kriminālatbildības bijušo </w:t>
      </w:r>
      <w:r w:rsidR="00B53A72" w:rsidRPr="00611589">
        <w:rPr>
          <w:rFonts w:ascii="Times New Roman" w:eastAsia="Times New Roman" w:hAnsi="Times New Roman" w:cs="Times New Roman"/>
          <w:b/>
          <w:sz w:val="28"/>
          <w:szCs w:val="28"/>
          <w:lang w:eastAsia="lv-LV"/>
        </w:rPr>
        <w:t>Rīgas pašvaldības kapitālsabiedrības amatpersonu</w:t>
      </w:r>
      <w:r w:rsidR="00B53A72" w:rsidRPr="00611589">
        <w:rPr>
          <w:rFonts w:ascii="Times New Roman" w:eastAsia="Times New Roman" w:hAnsi="Times New Roman" w:cs="Times New Roman"/>
          <w:sz w:val="28"/>
          <w:szCs w:val="28"/>
          <w:lang w:eastAsia="lv-LV"/>
        </w:rPr>
        <w:t xml:space="preserve"> par iespējamiem noziedzīgiem nodar</w:t>
      </w:r>
      <w:r w:rsidR="007C1B07" w:rsidRPr="00611589">
        <w:rPr>
          <w:rFonts w:ascii="Times New Roman" w:eastAsia="Times New Roman" w:hAnsi="Times New Roman" w:cs="Times New Roman"/>
          <w:sz w:val="28"/>
          <w:szCs w:val="28"/>
          <w:lang w:eastAsia="lv-LV"/>
        </w:rPr>
        <w:t>ījumiem. Bijusī amatpersona tiek turēta aizdomās par</w:t>
      </w:r>
      <w:r w:rsidR="00B53A72" w:rsidRPr="00611589">
        <w:rPr>
          <w:rFonts w:ascii="Times New Roman" w:eastAsia="Times New Roman" w:hAnsi="Times New Roman" w:cs="Times New Roman"/>
          <w:sz w:val="28"/>
          <w:szCs w:val="28"/>
          <w:lang w:eastAsia="lv-LV"/>
        </w:rPr>
        <w:t xml:space="preserve"> dienesta stāvokļa ļaunprātīgu izmantošanu, </w:t>
      </w:r>
      <w:r w:rsidR="007C1B07" w:rsidRPr="00611589">
        <w:rPr>
          <w:rFonts w:ascii="Times New Roman" w:eastAsia="Times New Roman" w:hAnsi="Times New Roman" w:cs="Times New Roman"/>
          <w:sz w:val="28"/>
          <w:szCs w:val="28"/>
          <w:lang w:eastAsia="lv-LV"/>
        </w:rPr>
        <w:t>izraisot smagas sekas, </w:t>
      </w:r>
      <w:r w:rsidR="00B53A72" w:rsidRPr="00611589">
        <w:rPr>
          <w:rFonts w:ascii="Times New Roman" w:eastAsia="Times New Roman" w:hAnsi="Times New Roman" w:cs="Times New Roman"/>
          <w:sz w:val="28"/>
          <w:szCs w:val="28"/>
          <w:lang w:eastAsia="lv-LV"/>
        </w:rPr>
        <w:t xml:space="preserve">un finanšu līdzekļu piesavināšanos lielā apmērā </w:t>
      </w:r>
      <w:r w:rsidR="007C1B07" w:rsidRPr="00611589">
        <w:rPr>
          <w:rFonts w:ascii="Times New Roman" w:eastAsia="Times New Roman" w:hAnsi="Times New Roman" w:cs="Times New Roman"/>
          <w:sz w:val="28"/>
          <w:szCs w:val="28"/>
          <w:lang w:eastAsia="lv-LV"/>
        </w:rPr>
        <w:t>(</w:t>
      </w:r>
      <w:r w:rsidR="007C1B07" w:rsidRPr="00611589">
        <w:rPr>
          <w:rFonts w:ascii="Times New Roman" w:eastAsia="Times New Roman" w:hAnsi="Times New Roman" w:cs="Times New Roman"/>
          <w:bCs/>
          <w:sz w:val="28"/>
          <w:szCs w:val="28"/>
          <w:lang w:eastAsia="lv-LV"/>
        </w:rPr>
        <w:t>61 270</w:t>
      </w:r>
      <w:r w:rsidR="00B53A72" w:rsidRPr="00611589">
        <w:rPr>
          <w:rFonts w:ascii="Times New Roman" w:eastAsia="Times New Roman" w:hAnsi="Times New Roman" w:cs="Times New Roman"/>
          <w:bCs/>
          <w:sz w:val="28"/>
          <w:szCs w:val="28"/>
          <w:lang w:eastAsia="lv-LV"/>
        </w:rPr>
        <w:t xml:space="preserve"> EUR</w:t>
      </w:r>
      <w:r w:rsidR="007C1B07" w:rsidRPr="00611589">
        <w:rPr>
          <w:rFonts w:ascii="Times New Roman" w:eastAsia="Times New Roman" w:hAnsi="Times New Roman" w:cs="Times New Roman"/>
          <w:bCs/>
          <w:sz w:val="28"/>
          <w:szCs w:val="28"/>
          <w:lang w:eastAsia="lv-LV"/>
        </w:rPr>
        <w:t>)</w:t>
      </w:r>
      <w:r w:rsidR="00B53A72" w:rsidRPr="00611589">
        <w:rPr>
          <w:rFonts w:ascii="Times New Roman" w:eastAsia="Times New Roman" w:hAnsi="Times New Roman" w:cs="Times New Roman"/>
          <w:sz w:val="28"/>
          <w:szCs w:val="28"/>
          <w:lang w:eastAsia="lv-LV"/>
        </w:rPr>
        <w:t xml:space="preserve"> par neveiktiem remontdarbiem, kā arī vienu bijušo kapitālsabiedrības darbinieku par amatpersonas pretlikumīgo darbību atbalstīšanu.</w:t>
      </w:r>
    </w:p>
    <w:p w:rsidR="00476C4C" w:rsidRPr="00611589" w:rsidRDefault="007C1B07" w:rsidP="00530A31">
      <w:pPr>
        <w:pStyle w:val="Default"/>
        <w:ind w:firstLine="567"/>
        <w:jc w:val="both"/>
        <w:rPr>
          <w:color w:val="auto"/>
          <w:sz w:val="28"/>
          <w:szCs w:val="28"/>
        </w:rPr>
      </w:pPr>
      <w:r w:rsidRPr="00611589">
        <w:rPr>
          <w:color w:val="auto"/>
          <w:sz w:val="28"/>
          <w:szCs w:val="28"/>
        </w:rPr>
        <w:t>2014. gadā k</w:t>
      </w:r>
      <w:r w:rsidR="009E0473" w:rsidRPr="00611589">
        <w:rPr>
          <w:color w:val="auto"/>
          <w:sz w:val="28"/>
          <w:szCs w:val="28"/>
        </w:rPr>
        <w:t>rimināllietu izmeklēšanas ietvaros</w:t>
      </w:r>
      <w:r w:rsidR="00362B7B" w:rsidRPr="00611589">
        <w:rPr>
          <w:color w:val="auto"/>
          <w:sz w:val="28"/>
          <w:szCs w:val="28"/>
        </w:rPr>
        <w:t xml:space="preserve"> tika</w:t>
      </w:r>
      <w:r w:rsidR="009E0473" w:rsidRPr="00611589">
        <w:rPr>
          <w:color w:val="auto"/>
          <w:sz w:val="28"/>
          <w:szCs w:val="28"/>
        </w:rPr>
        <w:t xml:space="preserve"> konstatēti </w:t>
      </w:r>
      <w:r w:rsidR="009E0473" w:rsidRPr="00611589">
        <w:rPr>
          <w:b/>
          <w:color w:val="auto"/>
          <w:sz w:val="28"/>
          <w:szCs w:val="28"/>
        </w:rPr>
        <w:t xml:space="preserve">valsts un pašvaldību institūcijām nodarīti zaudējumi EUR 4 369 801 </w:t>
      </w:r>
      <w:r w:rsidR="009E0473" w:rsidRPr="00611589">
        <w:rPr>
          <w:color w:val="auto"/>
          <w:sz w:val="28"/>
          <w:szCs w:val="28"/>
        </w:rPr>
        <w:t>apmērā, savukārt juridiskām personām EUR 1 701 821 apmērā, b</w:t>
      </w:r>
      <w:r w:rsidR="0025528A" w:rsidRPr="00611589">
        <w:rPr>
          <w:color w:val="auto"/>
          <w:sz w:val="28"/>
          <w:szCs w:val="28"/>
        </w:rPr>
        <w:t xml:space="preserve">et </w:t>
      </w:r>
      <w:r w:rsidR="0025528A" w:rsidRPr="00611589">
        <w:rPr>
          <w:b/>
          <w:color w:val="auto"/>
          <w:sz w:val="28"/>
          <w:szCs w:val="28"/>
        </w:rPr>
        <w:t>arestēti naudas līdzekļi EUR </w:t>
      </w:r>
      <w:r w:rsidR="009E0473" w:rsidRPr="00611589">
        <w:rPr>
          <w:b/>
          <w:color w:val="auto"/>
          <w:sz w:val="28"/>
          <w:szCs w:val="28"/>
        </w:rPr>
        <w:t>5055</w:t>
      </w:r>
      <w:r w:rsidR="009E0473" w:rsidRPr="00611589">
        <w:rPr>
          <w:color w:val="auto"/>
          <w:sz w:val="28"/>
          <w:szCs w:val="28"/>
        </w:rPr>
        <w:t xml:space="preserve"> apmērā.</w:t>
      </w:r>
    </w:p>
    <w:p w:rsidR="009E0473" w:rsidRPr="00611589" w:rsidRDefault="00EB7CA8" w:rsidP="00565321">
      <w:pPr>
        <w:pStyle w:val="Default"/>
        <w:ind w:firstLine="567"/>
        <w:jc w:val="both"/>
        <w:rPr>
          <w:color w:val="auto"/>
          <w:sz w:val="28"/>
          <w:szCs w:val="28"/>
        </w:rPr>
      </w:pPr>
      <w:r w:rsidRPr="00611589">
        <w:rPr>
          <w:color w:val="auto"/>
          <w:sz w:val="28"/>
          <w:szCs w:val="28"/>
        </w:rPr>
        <w:t>2014.gadā Biroja amatpersonas</w:t>
      </w:r>
      <w:r w:rsidR="00802EE1">
        <w:rPr>
          <w:color w:val="auto"/>
          <w:sz w:val="28"/>
          <w:szCs w:val="28"/>
        </w:rPr>
        <w:t xml:space="preserve"> apkarošanas jomā</w:t>
      </w:r>
      <w:r w:rsidRPr="00611589">
        <w:rPr>
          <w:color w:val="auto"/>
          <w:sz w:val="28"/>
          <w:szCs w:val="28"/>
        </w:rPr>
        <w:t xml:space="preserve"> veica 97</w:t>
      </w:r>
      <w:r w:rsidRPr="00611589">
        <w:rPr>
          <w:rFonts w:asciiTheme="minorHAnsi" w:hAnsiTheme="minorHAnsi" w:cstheme="minorBidi"/>
          <w:b/>
          <w:color w:val="auto"/>
          <w:sz w:val="28"/>
          <w:szCs w:val="28"/>
        </w:rPr>
        <w:t xml:space="preserve"> </w:t>
      </w:r>
      <w:proofErr w:type="spellStart"/>
      <w:r w:rsidRPr="00611589">
        <w:rPr>
          <w:b/>
          <w:color w:val="auto"/>
          <w:sz w:val="28"/>
          <w:szCs w:val="28"/>
        </w:rPr>
        <w:t>resoriskās</w:t>
      </w:r>
      <w:proofErr w:type="spellEnd"/>
      <w:r w:rsidRPr="00611589">
        <w:rPr>
          <w:b/>
          <w:color w:val="auto"/>
          <w:sz w:val="28"/>
          <w:szCs w:val="28"/>
        </w:rPr>
        <w:t xml:space="preserve"> pārbaudes </w:t>
      </w:r>
      <w:r w:rsidRPr="00611589">
        <w:rPr>
          <w:color w:val="auto"/>
          <w:sz w:val="28"/>
          <w:szCs w:val="28"/>
        </w:rPr>
        <w:t xml:space="preserve">(par 41 pārbaudi vairāk nekā 2013.gadā) par iespējamu likuma pārkāpumu, izmantojot Biroja likumā noteiktās pilnvaras, kas nav kriminālprocesuālās pilnvaras, no </w:t>
      </w:r>
      <w:r w:rsidR="00565321" w:rsidRPr="00611589">
        <w:rPr>
          <w:color w:val="auto"/>
          <w:sz w:val="28"/>
          <w:szCs w:val="28"/>
        </w:rPr>
        <w:t>tām</w:t>
      </w:r>
      <w:r w:rsidRPr="00611589">
        <w:rPr>
          <w:color w:val="auto"/>
          <w:sz w:val="28"/>
          <w:szCs w:val="28"/>
        </w:rPr>
        <w:t xml:space="preserve"> </w:t>
      </w:r>
      <w:r w:rsidR="0025528A" w:rsidRPr="00611589">
        <w:rPr>
          <w:color w:val="auto"/>
          <w:sz w:val="28"/>
          <w:szCs w:val="28"/>
        </w:rPr>
        <w:t xml:space="preserve">2014.gada otrajā </w:t>
      </w:r>
      <w:r w:rsidRPr="00611589">
        <w:rPr>
          <w:color w:val="auto"/>
          <w:sz w:val="28"/>
          <w:szCs w:val="28"/>
        </w:rPr>
        <w:t>pusgadā – 30 p</w:t>
      </w:r>
      <w:r w:rsidR="00565321" w:rsidRPr="00611589">
        <w:rPr>
          <w:color w:val="auto"/>
          <w:sz w:val="28"/>
          <w:szCs w:val="28"/>
        </w:rPr>
        <w:t>ārbaudes</w:t>
      </w:r>
      <w:r w:rsidR="000E7B20" w:rsidRPr="00611589">
        <w:rPr>
          <w:color w:val="auto"/>
          <w:sz w:val="28"/>
          <w:szCs w:val="28"/>
        </w:rPr>
        <w:t xml:space="preserve">. </w:t>
      </w:r>
      <w:r w:rsidR="0025528A" w:rsidRPr="00611589">
        <w:rPr>
          <w:color w:val="auto"/>
          <w:sz w:val="28"/>
          <w:szCs w:val="28"/>
        </w:rPr>
        <w:t xml:space="preserve">2014.gadā </w:t>
      </w:r>
      <w:proofErr w:type="spellStart"/>
      <w:r w:rsidR="0025528A" w:rsidRPr="00611589">
        <w:rPr>
          <w:color w:val="auto"/>
          <w:sz w:val="28"/>
          <w:szCs w:val="28"/>
        </w:rPr>
        <w:t>r</w:t>
      </w:r>
      <w:r w:rsidR="000E7B20" w:rsidRPr="00611589">
        <w:rPr>
          <w:color w:val="auto"/>
          <w:sz w:val="28"/>
          <w:szCs w:val="28"/>
        </w:rPr>
        <w:t>esorisko</w:t>
      </w:r>
      <w:proofErr w:type="spellEnd"/>
      <w:r w:rsidR="000E7B20" w:rsidRPr="00611589">
        <w:rPr>
          <w:color w:val="auto"/>
          <w:sz w:val="28"/>
          <w:szCs w:val="28"/>
        </w:rPr>
        <w:t xml:space="preserve"> pārbaužu rezultātā 71 gadījums tika izvērtēts atbilstoši Kriminālprocesa likumā noteiktajam, no kuriem 50 gadījumos </w:t>
      </w:r>
      <w:r w:rsidR="00647059" w:rsidRPr="00611589">
        <w:rPr>
          <w:color w:val="auto"/>
          <w:sz w:val="28"/>
          <w:szCs w:val="28"/>
        </w:rPr>
        <w:t xml:space="preserve">(par 19 vairāk nekā 2013.gadā) </w:t>
      </w:r>
      <w:r w:rsidR="000E7B20" w:rsidRPr="00611589">
        <w:rPr>
          <w:color w:val="auto"/>
          <w:sz w:val="28"/>
          <w:szCs w:val="28"/>
        </w:rPr>
        <w:t>pieņemti lēmumi par atteikšanos uzsākt kriminālprocesu.</w:t>
      </w:r>
      <w:r w:rsidR="009E0473" w:rsidRPr="00611589">
        <w:rPr>
          <w:color w:val="auto"/>
          <w:sz w:val="28"/>
          <w:szCs w:val="28"/>
        </w:rPr>
        <w:t xml:space="preserve"> </w:t>
      </w:r>
      <w:r w:rsidR="009E0473" w:rsidRPr="00611589">
        <w:rPr>
          <w:color w:val="auto"/>
          <w:sz w:val="28"/>
          <w:szCs w:val="28"/>
        </w:rPr>
        <w:lastRenderedPageBreak/>
        <w:t xml:space="preserve">Vidējais </w:t>
      </w:r>
      <w:proofErr w:type="spellStart"/>
      <w:r w:rsidR="009E0473" w:rsidRPr="00611589">
        <w:rPr>
          <w:color w:val="auto"/>
          <w:sz w:val="28"/>
          <w:szCs w:val="28"/>
        </w:rPr>
        <w:t>resorisko</w:t>
      </w:r>
      <w:proofErr w:type="spellEnd"/>
      <w:r w:rsidR="009E0473" w:rsidRPr="00611589">
        <w:rPr>
          <w:color w:val="auto"/>
          <w:sz w:val="28"/>
          <w:szCs w:val="28"/>
        </w:rPr>
        <w:t xml:space="preserve"> pārbaužu izskatīšanas ilgums līdz lēmuma pieņemšanai kriminālprocesuālā kārtībā ir 99 dienas.</w:t>
      </w:r>
    </w:p>
    <w:p w:rsidR="004448D4" w:rsidRPr="00611589" w:rsidRDefault="0025528A" w:rsidP="004448D4">
      <w:pPr>
        <w:pStyle w:val="Default"/>
        <w:ind w:firstLine="567"/>
        <w:jc w:val="both"/>
        <w:rPr>
          <w:color w:val="auto"/>
          <w:sz w:val="28"/>
          <w:szCs w:val="28"/>
        </w:rPr>
      </w:pPr>
      <w:r w:rsidRPr="00611589">
        <w:rPr>
          <w:color w:val="auto"/>
          <w:sz w:val="28"/>
          <w:szCs w:val="28"/>
        </w:rPr>
        <w:t xml:space="preserve">2014.gada oktobrī </w:t>
      </w:r>
      <w:r w:rsidR="004448D4" w:rsidRPr="00611589">
        <w:rPr>
          <w:b/>
          <w:color w:val="auto"/>
          <w:sz w:val="28"/>
          <w:szCs w:val="28"/>
        </w:rPr>
        <w:t>Birojs sadarbībā ar VID veica procesuālās darbības</w:t>
      </w:r>
      <w:r w:rsidR="004448D4" w:rsidRPr="00611589">
        <w:rPr>
          <w:color w:val="auto"/>
          <w:sz w:val="28"/>
          <w:szCs w:val="28"/>
        </w:rPr>
        <w:t xml:space="preserve"> uzsāktajā kriminālprocesā par kukuļa pieprasīšanu un pieņemšanu, ko izdarījusi VID amatpersona. Kriminālprocesa ietvaros iegūto pierādījumu kopums dod pietiekamu pamatu uzskatīt, ka VID amatpersona ar divu privātpersonu starpniecību par labvēlīga lēmuma pieņemšanu kukuļdevēja interesēs</w:t>
      </w:r>
      <w:r w:rsidR="004448D4" w:rsidRPr="00611589">
        <w:rPr>
          <w:rFonts w:eastAsia="Times New Roman"/>
          <w:color w:val="auto"/>
          <w:sz w:val="28"/>
          <w:szCs w:val="28"/>
          <w:lang w:eastAsia="lv-LV"/>
        </w:rPr>
        <w:t>, pieprasījusi un pieņēmusi kukuli. Pirmstiesas izmeklēšanas laikā iegūtā informācija liecina, ka kāda privāta uzņēmuma valdes priekšsēdētāju uzrunāja privātpersona, kura par šā uzņēmuma PVN uzrēķina lēmuma atcelšanu piedāvāja samaksāt amatpersonai kukuli  2000 EUR apmērā. VID amatpersona, izmantojot starpniekus, saņēma daļu pieprasīt</w:t>
      </w:r>
      <w:r w:rsidRPr="00611589">
        <w:rPr>
          <w:rFonts w:eastAsia="Times New Roman"/>
          <w:color w:val="auto"/>
          <w:sz w:val="28"/>
          <w:szCs w:val="28"/>
          <w:lang w:eastAsia="lv-LV"/>
        </w:rPr>
        <w:t>ā kukuļa 700 EUR, savukārt 1300 </w:t>
      </w:r>
      <w:r w:rsidR="004448D4" w:rsidRPr="00611589">
        <w:rPr>
          <w:rFonts w:eastAsia="Times New Roman"/>
          <w:color w:val="auto"/>
          <w:sz w:val="28"/>
          <w:szCs w:val="28"/>
          <w:lang w:eastAsia="lv-LV"/>
        </w:rPr>
        <w:t>EUR piesavinājās kukuļņemšanas līdzdalībnieki. Kriminālprocesā iesaistītajām personām piemēroti ar brīvības atņemšanu nesaistīti drošības līdzekļi, tostarp amatpersonai noteikts aizliegums pildīt amata pienākumus.</w:t>
      </w:r>
    </w:p>
    <w:p w:rsidR="007D1D25" w:rsidRPr="00611589" w:rsidRDefault="00D67782" w:rsidP="005B7077">
      <w:pPr>
        <w:spacing w:after="0" w:line="240" w:lineRule="auto"/>
        <w:ind w:firstLine="720"/>
        <w:jc w:val="both"/>
        <w:rPr>
          <w:rFonts w:ascii="Times New Roman" w:hAnsi="Times New Roman" w:cs="Times New Roman"/>
          <w:sz w:val="28"/>
          <w:szCs w:val="28"/>
        </w:rPr>
      </w:pPr>
      <w:r w:rsidRPr="00611589">
        <w:rPr>
          <w:rStyle w:val="c5"/>
          <w:rFonts w:ascii="Times New Roman" w:hAnsi="Times New Roman" w:cs="Times New Roman"/>
          <w:sz w:val="28"/>
          <w:szCs w:val="28"/>
        </w:rPr>
        <w:t xml:space="preserve">Lai nodrošinātu pierādījumu iegūšanu un nostiprināšanu Biroja lietvedībā esošajās krimināllietās, </w:t>
      </w:r>
      <w:r w:rsidR="007D1D25" w:rsidRPr="00611589">
        <w:rPr>
          <w:rStyle w:val="c5"/>
          <w:rFonts w:ascii="Times New Roman" w:hAnsi="Times New Roman" w:cs="Times New Roman"/>
          <w:sz w:val="28"/>
          <w:szCs w:val="28"/>
        </w:rPr>
        <w:t>2014.gadā</w:t>
      </w:r>
      <w:r w:rsidR="00E54192" w:rsidRPr="00611589">
        <w:rPr>
          <w:rStyle w:val="c5"/>
          <w:rFonts w:ascii="Times New Roman" w:hAnsi="Times New Roman" w:cs="Times New Roman"/>
          <w:sz w:val="28"/>
          <w:szCs w:val="28"/>
        </w:rPr>
        <w:t xml:space="preserve"> Birojs </w:t>
      </w:r>
      <w:r w:rsidR="00E54192" w:rsidRPr="006C1384">
        <w:rPr>
          <w:rStyle w:val="c5"/>
          <w:rFonts w:ascii="Times New Roman" w:hAnsi="Times New Roman" w:cs="Times New Roman"/>
          <w:b/>
          <w:sz w:val="28"/>
          <w:szCs w:val="28"/>
        </w:rPr>
        <w:t>sagatavojis</w:t>
      </w:r>
      <w:r w:rsidR="00E54192" w:rsidRPr="00611589">
        <w:rPr>
          <w:rStyle w:val="c5"/>
          <w:rFonts w:ascii="Times New Roman" w:hAnsi="Times New Roman" w:cs="Times New Roman"/>
          <w:sz w:val="28"/>
          <w:szCs w:val="28"/>
        </w:rPr>
        <w:t xml:space="preserve"> </w:t>
      </w:r>
      <w:r w:rsidR="00E54192" w:rsidRPr="00611589">
        <w:rPr>
          <w:rStyle w:val="c5"/>
          <w:rFonts w:ascii="Times New Roman" w:hAnsi="Times New Roman" w:cs="Times New Roman"/>
          <w:b/>
          <w:sz w:val="28"/>
          <w:szCs w:val="28"/>
        </w:rPr>
        <w:t xml:space="preserve">13 </w:t>
      </w:r>
      <w:r w:rsidRPr="00611589">
        <w:rPr>
          <w:rFonts w:ascii="Times New Roman" w:hAnsi="Times New Roman" w:cs="Times New Roman"/>
          <w:b/>
          <w:sz w:val="28"/>
          <w:szCs w:val="28"/>
        </w:rPr>
        <w:t>tiesiskās palīdzības lūgumus</w:t>
      </w:r>
      <w:r w:rsidR="007D1D25" w:rsidRPr="00611589">
        <w:rPr>
          <w:rFonts w:ascii="Times New Roman" w:hAnsi="Times New Roman" w:cs="Times New Roman"/>
          <w:sz w:val="28"/>
          <w:szCs w:val="28"/>
        </w:rPr>
        <w:t xml:space="preserve">, </w:t>
      </w:r>
      <w:r w:rsidR="00E54192" w:rsidRPr="00611589">
        <w:rPr>
          <w:rFonts w:ascii="Times New Roman" w:hAnsi="Times New Roman" w:cs="Times New Roman"/>
          <w:sz w:val="28"/>
          <w:szCs w:val="28"/>
        </w:rPr>
        <w:t>nosūtot lūgumus</w:t>
      </w:r>
      <w:r w:rsidR="007D1D25" w:rsidRPr="00611589">
        <w:rPr>
          <w:rFonts w:ascii="Times New Roman" w:hAnsi="Times New Roman" w:cs="Times New Roman"/>
          <w:sz w:val="28"/>
          <w:szCs w:val="28"/>
        </w:rPr>
        <w:t xml:space="preserve"> tos</w:t>
      </w:r>
      <w:r w:rsidR="00E54192" w:rsidRPr="00611589">
        <w:rPr>
          <w:rFonts w:ascii="Times New Roman" w:hAnsi="Times New Roman" w:cs="Times New Roman"/>
          <w:sz w:val="28"/>
          <w:szCs w:val="28"/>
        </w:rPr>
        <w:t xml:space="preserve"> uz 13 valstīm – gan Eiropas Savienības dalībvalst</w:t>
      </w:r>
      <w:r w:rsidR="001A7EE6" w:rsidRPr="00611589">
        <w:rPr>
          <w:rFonts w:ascii="Times New Roman" w:hAnsi="Times New Roman" w:cs="Times New Roman"/>
          <w:sz w:val="28"/>
          <w:szCs w:val="28"/>
        </w:rPr>
        <w:t>īm (</w:t>
      </w:r>
      <w:r w:rsidR="007D1D25" w:rsidRPr="00611589">
        <w:rPr>
          <w:rFonts w:ascii="Times New Roman" w:hAnsi="Times New Roman" w:cs="Times New Roman"/>
          <w:sz w:val="28"/>
          <w:szCs w:val="28"/>
        </w:rPr>
        <w:t xml:space="preserve">Čehija, </w:t>
      </w:r>
      <w:r w:rsidR="001A7EE6" w:rsidRPr="00611589">
        <w:rPr>
          <w:rStyle w:val="c5"/>
          <w:rFonts w:ascii="Times New Roman" w:hAnsi="Times New Roman" w:cs="Times New Roman"/>
          <w:sz w:val="28"/>
          <w:szCs w:val="28"/>
        </w:rPr>
        <w:t xml:space="preserve">Lietuva, Spānija, Vācija, </w:t>
      </w:r>
      <w:proofErr w:type="spellStart"/>
      <w:r w:rsidR="001A7EE6" w:rsidRPr="00611589">
        <w:rPr>
          <w:rStyle w:val="c5"/>
          <w:rFonts w:ascii="Times New Roman" w:hAnsi="Times New Roman" w:cs="Times New Roman"/>
          <w:sz w:val="28"/>
          <w:szCs w:val="28"/>
        </w:rPr>
        <w:t>u.c</w:t>
      </w:r>
      <w:proofErr w:type="spellEnd"/>
      <w:r w:rsidR="001A7EE6" w:rsidRPr="00611589">
        <w:rPr>
          <w:rStyle w:val="c5"/>
          <w:rFonts w:ascii="Times New Roman" w:hAnsi="Times New Roman" w:cs="Times New Roman"/>
          <w:sz w:val="28"/>
          <w:szCs w:val="28"/>
        </w:rPr>
        <w:t>.</w:t>
      </w:r>
      <w:r w:rsidR="001A7EE6" w:rsidRPr="00611589">
        <w:rPr>
          <w:rFonts w:ascii="Times New Roman" w:hAnsi="Times New Roman" w:cs="Times New Roman"/>
          <w:sz w:val="28"/>
          <w:szCs w:val="28"/>
        </w:rPr>
        <w:t>), gan citām valstīm (</w:t>
      </w:r>
      <w:r w:rsidR="005F39F2" w:rsidRPr="00611589">
        <w:rPr>
          <w:rFonts w:ascii="Times New Roman" w:hAnsi="Times New Roman" w:cs="Times New Roman"/>
          <w:sz w:val="28"/>
          <w:szCs w:val="28"/>
        </w:rPr>
        <w:t xml:space="preserve">ASV, Grenāda, </w:t>
      </w:r>
      <w:r w:rsidR="001A7EE6" w:rsidRPr="00611589">
        <w:rPr>
          <w:rStyle w:val="c5"/>
          <w:rFonts w:ascii="Times New Roman" w:hAnsi="Times New Roman" w:cs="Times New Roman"/>
          <w:sz w:val="28"/>
          <w:szCs w:val="28"/>
        </w:rPr>
        <w:t>Krievijas Federācija</w:t>
      </w:r>
      <w:r w:rsidR="005F39F2" w:rsidRPr="00611589">
        <w:rPr>
          <w:rStyle w:val="c5"/>
          <w:rFonts w:ascii="Times New Roman" w:hAnsi="Times New Roman" w:cs="Times New Roman"/>
          <w:sz w:val="28"/>
          <w:szCs w:val="28"/>
        </w:rPr>
        <w:t>,</w:t>
      </w:r>
      <w:r w:rsidR="007D1D25" w:rsidRPr="00611589">
        <w:rPr>
          <w:rStyle w:val="c5"/>
          <w:rFonts w:ascii="Times New Roman" w:hAnsi="Times New Roman" w:cs="Times New Roman"/>
          <w:sz w:val="28"/>
          <w:szCs w:val="28"/>
        </w:rPr>
        <w:t xml:space="preserve">, Ukraina, </w:t>
      </w:r>
      <w:proofErr w:type="spellStart"/>
      <w:r w:rsidR="007D1D25" w:rsidRPr="00611589">
        <w:rPr>
          <w:rStyle w:val="c5"/>
          <w:rFonts w:ascii="Times New Roman" w:hAnsi="Times New Roman" w:cs="Times New Roman"/>
          <w:sz w:val="28"/>
          <w:szCs w:val="28"/>
        </w:rPr>
        <w:t>u.c</w:t>
      </w:r>
      <w:proofErr w:type="spellEnd"/>
      <w:r w:rsidR="007D1D25" w:rsidRPr="00611589">
        <w:rPr>
          <w:rStyle w:val="c5"/>
          <w:rFonts w:ascii="Times New Roman" w:hAnsi="Times New Roman" w:cs="Times New Roman"/>
          <w:sz w:val="28"/>
          <w:szCs w:val="28"/>
        </w:rPr>
        <w:t>.</w:t>
      </w:r>
      <w:r w:rsidR="001A7EE6" w:rsidRPr="00611589">
        <w:rPr>
          <w:rFonts w:ascii="Times New Roman" w:hAnsi="Times New Roman" w:cs="Times New Roman"/>
          <w:sz w:val="28"/>
          <w:szCs w:val="28"/>
        </w:rPr>
        <w:t>)</w:t>
      </w:r>
      <w:r w:rsidR="007D1D25" w:rsidRPr="00611589">
        <w:rPr>
          <w:rFonts w:ascii="Times New Roman" w:hAnsi="Times New Roman" w:cs="Times New Roman"/>
          <w:sz w:val="28"/>
          <w:szCs w:val="28"/>
        </w:rPr>
        <w:t>. Tāpat 2014.gadā</w:t>
      </w:r>
      <w:r w:rsidR="00B53A72" w:rsidRPr="00611589">
        <w:rPr>
          <w:rFonts w:ascii="Times New Roman" w:hAnsi="Times New Roman" w:cs="Times New Roman"/>
          <w:sz w:val="28"/>
          <w:szCs w:val="28"/>
        </w:rPr>
        <w:t xml:space="preserve"> Birojs</w:t>
      </w:r>
      <w:r w:rsidR="007D1D25" w:rsidRPr="00611589">
        <w:rPr>
          <w:rFonts w:ascii="Times New Roman" w:hAnsi="Times New Roman" w:cs="Times New Roman"/>
          <w:sz w:val="28"/>
          <w:szCs w:val="28"/>
        </w:rPr>
        <w:t xml:space="preserve"> ir </w:t>
      </w:r>
      <w:r w:rsidR="007D1D25" w:rsidRPr="00611589">
        <w:rPr>
          <w:rFonts w:ascii="Times New Roman" w:hAnsi="Times New Roman" w:cs="Times New Roman"/>
          <w:b/>
          <w:sz w:val="28"/>
          <w:szCs w:val="28"/>
        </w:rPr>
        <w:t>izpildījis 14 ārvalstu tiesiskās palīdzības</w:t>
      </w:r>
      <w:r w:rsidR="007D1D25" w:rsidRPr="00611589">
        <w:rPr>
          <w:rFonts w:ascii="Times New Roman" w:hAnsi="Times New Roman" w:cs="Times New Roman"/>
          <w:sz w:val="28"/>
          <w:szCs w:val="28"/>
        </w:rPr>
        <w:t xml:space="preserve"> lūgumus. </w:t>
      </w:r>
    </w:p>
    <w:p w:rsidR="00FD043A" w:rsidRPr="00611589" w:rsidRDefault="00FD043A" w:rsidP="005B7077">
      <w:pPr>
        <w:spacing w:after="0" w:line="240" w:lineRule="auto"/>
        <w:ind w:firstLine="720"/>
        <w:jc w:val="both"/>
        <w:rPr>
          <w:rStyle w:val="c5"/>
          <w:rFonts w:ascii="Times New Roman" w:hAnsi="Times New Roman" w:cs="Times New Roman"/>
          <w:color w:val="000000" w:themeColor="text1"/>
          <w:sz w:val="28"/>
          <w:szCs w:val="28"/>
        </w:rPr>
      </w:pPr>
    </w:p>
    <w:p w:rsidR="00DD2C19" w:rsidRPr="00611589" w:rsidRDefault="00DD2C19" w:rsidP="00DD2C19">
      <w:pPr>
        <w:pStyle w:val="Default"/>
        <w:jc w:val="center"/>
        <w:rPr>
          <w:b/>
          <w:color w:val="auto"/>
          <w:sz w:val="32"/>
          <w:szCs w:val="32"/>
        </w:rPr>
      </w:pPr>
      <w:r w:rsidRPr="00611589">
        <w:rPr>
          <w:b/>
          <w:color w:val="auto"/>
          <w:sz w:val="32"/>
          <w:szCs w:val="32"/>
        </w:rPr>
        <w:t>3. Politisko partiju un to apvienību</w:t>
      </w:r>
    </w:p>
    <w:p w:rsidR="00DD2C19" w:rsidRPr="00611589" w:rsidRDefault="00DD2C19" w:rsidP="00DD2C19">
      <w:pPr>
        <w:pStyle w:val="Default"/>
        <w:jc w:val="center"/>
        <w:rPr>
          <w:b/>
          <w:color w:val="auto"/>
          <w:sz w:val="32"/>
          <w:szCs w:val="32"/>
        </w:rPr>
      </w:pPr>
      <w:r w:rsidRPr="00611589">
        <w:rPr>
          <w:b/>
          <w:color w:val="auto"/>
          <w:sz w:val="32"/>
          <w:szCs w:val="32"/>
        </w:rPr>
        <w:t>finansēšanas noteikumu izpildes kontrole</w:t>
      </w:r>
    </w:p>
    <w:p w:rsidR="00DD2C19" w:rsidRPr="00611589" w:rsidRDefault="00DD2C19" w:rsidP="00DD2C19">
      <w:pPr>
        <w:spacing w:after="0" w:line="240" w:lineRule="auto"/>
        <w:ind w:firstLine="567"/>
        <w:jc w:val="both"/>
        <w:rPr>
          <w:rFonts w:ascii="Times New Roman" w:eastAsia="Times New Roman" w:hAnsi="Times New Roman" w:cs="Times New Roman"/>
          <w:sz w:val="28"/>
          <w:szCs w:val="28"/>
          <w:lang w:eastAsia="lv-LV"/>
        </w:rPr>
      </w:pPr>
      <w:r w:rsidRPr="00611589">
        <w:rPr>
          <w:rFonts w:ascii="Times New Roman" w:eastAsia="Times New Roman" w:hAnsi="Times New Roman" w:cs="Times New Roman"/>
          <w:sz w:val="28"/>
          <w:szCs w:val="28"/>
          <w:lang w:eastAsia="lv-LV"/>
        </w:rPr>
        <w:t xml:space="preserve">Politisko partiju un to apvienību finansēšanas noteikumu kontroles mērķis ir nodrošināt partiju finansiālās darbības atklātumu, likumību un atbilstību parlamentārās demokrātijas sistēmai. </w:t>
      </w:r>
      <w:r w:rsidRPr="00611589">
        <w:rPr>
          <w:rFonts w:ascii="Times New Roman" w:hAnsi="Times New Roman" w:cs="Times New Roman"/>
          <w:sz w:val="28"/>
          <w:szCs w:val="28"/>
        </w:rPr>
        <w:t xml:space="preserve">Veicot likumā noteiktās funkcijas politisko partiju finansēšanas un priekšvēlēšanu aģitācijas kontroles jomā, Birojs ir </w:t>
      </w:r>
      <w:r w:rsidRPr="00611589">
        <w:rPr>
          <w:rFonts w:ascii="Times New Roman" w:hAnsi="Times New Roman" w:cs="Times New Roman"/>
          <w:b/>
          <w:sz w:val="28"/>
          <w:szCs w:val="28"/>
        </w:rPr>
        <w:t>pabeidzis partiju 2014.gada Eiropas parlamenta vēlēšanu deklarāciju pārbaudes</w:t>
      </w:r>
      <w:r w:rsidRPr="00611589">
        <w:rPr>
          <w:rFonts w:ascii="Times New Roman" w:hAnsi="Times New Roman" w:cs="Times New Roman"/>
          <w:sz w:val="28"/>
          <w:szCs w:val="28"/>
        </w:rPr>
        <w:t xml:space="preserve">. </w:t>
      </w:r>
    </w:p>
    <w:p w:rsidR="00DD2C19" w:rsidRPr="00611589" w:rsidRDefault="00DD2C19" w:rsidP="00DD2C19">
      <w:pPr>
        <w:spacing w:after="0" w:line="240" w:lineRule="auto"/>
        <w:ind w:firstLine="720"/>
        <w:jc w:val="both"/>
        <w:rPr>
          <w:rFonts w:ascii="Times New Roman" w:hAnsi="Times New Roman" w:cs="Times New Roman"/>
          <w:sz w:val="28"/>
          <w:szCs w:val="28"/>
        </w:rPr>
      </w:pPr>
      <w:r w:rsidRPr="00611589">
        <w:rPr>
          <w:rFonts w:ascii="Times New Roman" w:hAnsi="Times New Roman" w:cs="Times New Roman"/>
          <w:sz w:val="28"/>
          <w:szCs w:val="28"/>
        </w:rPr>
        <w:t xml:space="preserve">Birojs </w:t>
      </w:r>
      <w:r w:rsidR="00D67F95" w:rsidRPr="00611589">
        <w:rPr>
          <w:rFonts w:ascii="Times New Roman" w:hAnsi="Times New Roman" w:cs="Times New Roman"/>
          <w:sz w:val="28"/>
          <w:szCs w:val="28"/>
        </w:rPr>
        <w:t>publicēja</w:t>
      </w:r>
      <w:r w:rsidRPr="00611589">
        <w:rPr>
          <w:rFonts w:ascii="Times New Roman" w:hAnsi="Times New Roman" w:cs="Times New Roman"/>
          <w:sz w:val="28"/>
          <w:szCs w:val="28"/>
        </w:rPr>
        <w:t xml:space="preserve"> 2014.gada Saeimas vēlēšanu ieņēmumu un izdev</w:t>
      </w:r>
      <w:r w:rsidR="00D67F95" w:rsidRPr="00611589">
        <w:rPr>
          <w:rFonts w:ascii="Times New Roman" w:hAnsi="Times New Roman" w:cs="Times New Roman"/>
          <w:sz w:val="28"/>
          <w:szCs w:val="28"/>
        </w:rPr>
        <w:t>umu deklarācijas, kā arī uzsāka</w:t>
      </w:r>
      <w:r w:rsidRPr="00611589">
        <w:rPr>
          <w:rFonts w:ascii="Times New Roman" w:hAnsi="Times New Roman" w:cs="Times New Roman"/>
          <w:sz w:val="28"/>
          <w:szCs w:val="28"/>
        </w:rPr>
        <w:t xml:space="preserve"> to patiesuma pā</w:t>
      </w:r>
      <w:r w:rsidR="00D67F95" w:rsidRPr="00611589">
        <w:rPr>
          <w:rFonts w:ascii="Times New Roman" w:hAnsi="Times New Roman" w:cs="Times New Roman"/>
          <w:sz w:val="28"/>
          <w:szCs w:val="28"/>
        </w:rPr>
        <w:t>rbaudes. Pārskata periodā Birojā tika saņemtas</w:t>
      </w:r>
      <w:r w:rsidRPr="00611589">
        <w:rPr>
          <w:rFonts w:ascii="Times New Roman" w:hAnsi="Times New Roman" w:cs="Times New Roman"/>
          <w:sz w:val="28"/>
          <w:szCs w:val="28"/>
        </w:rPr>
        <w:t>33 vēlēšanu</w:t>
      </w:r>
      <w:r w:rsidRPr="00611589">
        <w:rPr>
          <w:rFonts w:ascii="Times New Roman" w:hAnsi="Times New Roman" w:cs="Times New Roman"/>
          <w:b/>
          <w:sz w:val="28"/>
          <w:szCs w:val="28"/>
        </w:rPr>
        <w:t xml:space="preserve"> ieņēmumu un izdevumu deklarācijas </w:t>
      </w:r>
      <w:r w:rsidRPr="00611589">
        <w:rPr>
          <w:rFonts w:ascii="Times New Roman" w:hAnsi="Times New Roman" w:cs="Times New Roman"/>
          <w:sz w:val="28"/>
          <w:szCs w:val="28"/>
        </w:rPr>
        <w:t xml:space="preserve">(2014.gadā kopā – </w:t>
      </w:r>
      <w:r w:rsidRPr="00611589">
        <w:rPr>
          <w:rFonts w:ascii="Times New Roman" w:hAnsi="Times New Roman" w:cs="Times New Roman"/>
          <w:b/>
          <w:sz w:val="28"/>
          <w:szCs w:val="28"/>
        </w:rPr>
        <w:t>52 deklarācijas</w:t>
      </w:r>
      <w:r w:rsidR="00D67F95" w:rsidRPr="00611589">
        <w:rPr>
          <w:rFonts w:ascii="Times New Roman" w:hAnsi="Times New Roman" w:cs="Times New Roman"/>
          <w:sz w:val="28"/>
          <w:szCs w:val="28"/>
        </w:rPr>
        <w:t xml:space="preserve">), kā arī pabeigtas </w:t>
      </w:r>
      <w:r w:rsidRPr="00611589">
        <w:rPr>
          <w:rFonts w:ascii="Times New Roman" w:hAnsi="Times New Roman" w:cs="Times New Roman"/>
          <w:sz w:val="28"/>
          <w:szCs w:val="28"/>
        </w:rPr>
        <w:t>14 vēlēšanu ieņēmumu un izdevumu deklarāciju pārbaudes. Vienlaikus Birojs</w:t>
      </w:r>
      <w:r w:rsidR="00D67F95" w:rsidRPr="00611589">
        <w:rPr>
          <w:rFonts w:ascii="Times New Roman" w:hAnsi="Times New Roman" w:cs="Times New Roman"/>
          <w:sz w:val="28"/>
          <w:szCs w:val="28"/>
        </w:rPr>
        <w:t xml:space="preserve"> ir</w:t>
      </w:r>
      <w:r w:rsidR="005B2659" w:rsidRPr="00611589">
        <w:rPr>
          <w:rFonts w:ascii="Times New Roman" w:hAnsi="Times New Roman" w:cs="Times New Roman"/>
          <w:sz w:val="28"/>
          <w:szCs w:val="28"/>
        </w:rPr>
        <w:t xml:space="preserve"> </w:t>
      </w:r>
      <w:r w:rsidR="00D67F95" w:rsidRPr="00611589">
        <w:rPr>
          <w:rFonts w:ascii="Times New Roman" w:hAnsi="Times New Roman" w:cs="Times New Roman"/>
          <w:sz w:val="28"/>
          <w:szCs w:val="28"/>
        </w:rPr>
        <w:t>turpinājis</w:t>
      </w:r>
      <w:r w:rsidRPr="00611589">
        <w:rPr>
          <w:rFonts w:ascii="Times New Roman" w:hAnsi="Times New Roman" w:cs="Times New Roman"/>
          <w:sz w:val="28"/>
          <w:szCs w:val="28"/>
        </w:rPr>
        <w:t xml:space="preserve"> darbu pie programmatūras prasību definēšanas Politisko partiju finansēšanas kontroles informatīvās sistēmas izveidei, kas paredz ieviest elektronisko deklarēšanu.</w:t>
      </w:r>
    </w:p>
    <w:p w:rsidR="00DD2C19" w:rsidRPr="00611589" w:rsidRDefault="00DD2C19" w:rsidP="00DD2C19">
      <w:pPr>
        <w:pStyle w:val="NoSpacing"/>
        <w:ind w:firstLine="567"/>
        <w:jc w:val="both"/>
        <w:rPr>
          <w:rFonts w:ascii="Times New Roman" w:hAnsi="Times New Roman" w:cs="Times New Roman"/>
          <w:sz w:val="28"/>
          <w:szCs w:val="28"/>
        </w:rPr>
      </w:pPr>
      <w:r w:rsidRPr="00611589">
        <w:rPr>
          <w:rFonts w:ascii="Times New Roman" w:hAnsi="Times New Roman" w:cs="Times New Roman"/>
          <w:sz w:val="28"/>
          <w:szCs w:val="28"/>
        </w:rPr>
        <w:t xml:space="preserve">Pārskata periodā Birojs ir saņēmis un publicējis 20 sarakstus </w:t>
      </w:r>
      <w:r w:rsidRPr="00611589">
        <w:rPr>
          <w:rFonts w:ascii="Times New Roman" w:hAnsi="Times New Roman" w:cs="Times New Roman"/>
          <w:b/>
          <w:sz w:val="28"/>
          <w:szCs w:val="28"/>
        </w:rPr>
        <w:t>par iestāšanās un biedru naudu</w:t>
      </w:r>
      <w:r w:rsidRPr="00611589">
        <w:rPr>
          <w:rFonts w:ascii="Times New Roman" w:hAnsi="Times New Roman" w:cs="Times New Roman"/>
          <w:sz w:val="28"/>
          <w:szCs w:val="28"/>
        </w:rPr>
        <w:t xml:space="preserve"> (2014.gadā kopā – </w:t>
      </w:r>
      <w:r w:rsidRPr="00611589">
        <w:rPr>
          <w:rFonts w:ascii="Times New Roman" w:hAnsi="Times New Roman" w:cs="Times New Roman"/>
          <w:b/>
          <w:sz w:val="28"/>
          <w:szCs w:val="28"/>
        </w:rPr>
        <w:t>46 saraksti</w:t>
      </w:r>
      <w:r w:rsidRPr="00611589">
        <w:rPr>
          <w:rFonts w:ascii="Times New Roman" w:hAnsi="Times New Roman" w:cs="Times New Roman"/>
          <w:sz w:val="28"/>
          <w:szCs w:val="28"/>
        </w:rPr>
        <w:t xml:space="preserve">), pabeidzis 11 iestāšanās naudas un biedru naudas sarakstu pārbaudes, 43 gada pārskatu pārbaudes, kā arī pabeidzis 32 </w:t>
      </w:r>
      <w:proofErr w:type="spellStart"/>
      <w:r w:rsidRPr="00611589">
        <w:rPr>
          <w:rFonts w:ascii="Times New Roman" w:hAnsi="Times New Roman" w:cs="Times New Roman"/>
          <w:sz w:val="28"/>
          <w:szCs w:val="28"/>
        </w:rPr>
        <w:t>resoriskās</w:t>
      </w:r>
      <w:proofErr w:type="spellEnd"/>
      <w:r w:rsidRPr="00611589">
        <w:rPr>
          <w:rFonts w:ascii="Times New Roman" w:hAnsi="Times New Roman" w:cs="Times New Roman"/>
          <w:sz w:val="28"/>
          <w:szCs w:val="28"/>
        </w:rPr>
        <w:t xml:space="preserve"> pārbaudes. </w:t>
      </w:r>
    </w:p>
    <w:p w:rsidR="005D0706" w:rsidRPr="00611589" w:rsidRDefault="005D0706" w:rsidP="005D0706">
      <w:pPr>
        <w:spacing w:after="0" w:line="240" w:lineRule="auto"/>
        <w:ind w:firstLine="720"/>
        <w:jc w:val="both"/>
        <w:rPr>
          <w:rFonts w:ascii="Times New Roman" w:hAnsi="Times New Roman" w:cs="Times New Roman"/>
          <w:sz w:val="28"/>
          <w:szCs w:val="28"/>
        </w:rPr>
      </w:pPr>
      <w:r w:rsidRPr="00611589">
        <w:rPr>
          <w:rFonts w:ascii="Times New Roman" w:hAnsi="Times New Roman" w:cs="Times New Roman"/>
          <w:sz w:val="28"/>
          <w:szCs w:val="28"/>
        </w:rPr>
        <w:t xml:space="preserve">2014.gada otrajā pusgadā Birojs ir </w:t>
      </w:r>
      <w:r w:rsidRPr="00611589">
        <w:rPr>
          <w:rFonts w:ascii="Times New Roman" w:hAnsi="Times New Roman" w:cs="Times New Roman"/>
          <w:b/>
          <w:sz w:val="28"/>
          <w:szCs w:val="28"/>
        </w:rPr>
        <w:t>pabeidzis partiju 2013.gada valsts budžeta finansējuma izlietošanas pārbaudes</w:t>
      </w:r>
      <w:r w:rsidRPr="00611589">
        <w:rPr>
          <w:rFonts w:ascii="Times New Roman" w:hAnsi="Times New Roman" w:cs="Times New Roman"/>
          <w:sz w:val="28"/>
          <w:szCs w:val="28"/>
        </w:rPr>
        <w:t xml:space="preserve">, kuru rezultātā pieņemts </w:t>
      </w:r>
      <w:r w:rsidRPr="00611589">
        <w:rPr>
          <w:rFonts w:ascii="Times New Roman" w:hAnsi="Times New Roman" w:cs="Times New Roman"/>
          <w:b/>
          <w:sz w:val="28"/>
          <w:szCs w:val="28"/>
        </w:rPr>
        <w:t xml:space="preserve">viens </w:t>
      </w:r>
      <w:r w:rsidRPr="00611589">
        <w:rPr>
          <w:rFonts w:ascii="Times New Roman" w:hAnsi="Times New Roman" w:cs="Times New Roman"/>
          <w:b/>
          <w:sz w:val="28"/>
          <w:szCs w:val="28"/>
        </w:rPr>
        <w:lastRenderedPageBreak/>
        <w:t>lēmums</w:t>
      </w:r>
      <w:r w:rsidR="005B2659" w:rsidRPr="00611589">
        <w:rPr>
          <w:rFonts w:ascii="Times New Roman" w:hAnsi="Times New Roman" w:cs="Times New Roman"/>
          <w:b/>
          <w:sz w:val="28"/>
          <w:szCs w:val="28"/>
        </w:rPr>
        <w:t xml:space="preserve"> </w:t>
      </w:r>
      <w:r w:rsidRPr="00611589">
        <w:rPr>
          <w:rFonts w:ascii="Times New Roman" w:hAnsi="Times New Roman" w:cs="Times New Roman"/>
          <w:b/>
          <w:sz w:val="28"/>
          <w:szCs w:val="28"/>
        </w:rPr>
        <w:t>par finanšu līdzekļu atmaksu</w:t>
      </w:r>
      <w:r w:rsidRPr="00611589">
        <w:rPr>
          <w:rFonts w:ascii="Times New Roman" w:hAnsi="Times New Roman" w:cs="Times New Roman"/>
          <w:sz w:val="28"/>
          <w:szCs w:val="28"/>
        </w:rPr>
        <w:t xml:space="preserve"> valsts budžetā </w:t>
      </w:r>
      <w:r w:rsidRPr="00611589">
        <w:rPr>
          <w:rFonts w:ascii="Times New Roman" w:hAnsi="Times New Roman" w:cs="Times New Roman"/>
          <w:b/>
          <w:sz w:val="28"/>
          <w:szCs w:val="28"/>
        </w:rPr>
        <w:t>EUR 7919</w:t>
      </w:r>
      <w:r w:rsidRPr="00611589">
        <w:rPr>
          <w:rFonts w:ascii="Times New Roman" w:hAnsi="Times New Roman" w:cs="Times New Roman"/>
          <w:sz w:val="28"/>
          <w:szCs w:val="28"/>
        </w:rPr>
        <w:t xml:space="preserve"> apmērā, kas ir pārsūdzēts tiesā.</w:t>
      </w:r>
    </w:p>
    <w:p w:rsidR="005D0706" w:rsidRPr="00611589" w:rsidRDefault="005D0706" w:rsidP="005D0706">
      <w:pPr>
        <w:spacing w:after="0" w:line="240" w:lineRule="auto"/>
        <w:ind w:firstLine="720"/>
        <w:jc w:val="both"/>
        <w:rPr>
          <w:rFonts w:ascii="Times New Roman" w:hAnsi="Times New Roman" w:cs="Times New Roman"/>
          <w:sz w:val="28"/>
          <w:szCs w:val="28"/>
        </w:rPr>
      </w:pPr>
      <w:r w:rsidRPr="00611589">
        <w:rPr>
          <w:rFonts w:ascii="Times New Roman" w:hAnsi="Times New Roman" w:cs="Times New Roman"/>
          <w:sz w:val="28"/>
          <w:szCs w:val="28"/>
        </w:rPr>
        <w:t xml:space="preserve">Pārskata periodā divām politisko partiju apvienībām to banku kontos tika ieskaitīta kārtējā valsts budžeta finansējuma daļa (kopā EUR 153 846 apmērā), bet attiecībā uz </w:t>
      </w:r>
      <w:r w:rsidRPr="00611589">
        <w:rPr>
          <w:rFonts w:ascii="Times New Roman" w:hAnsi="Times New Roman" w:cs="Times New Roman"/>
          <w:b/>
          <w:sz w:val="28"/>
          <w:szCs w:val="28"/>
        </w:rPr>
        <w:t>vienu partiju</w:t>
      </w:r>
      <w:r w:rsidRPr="00611589">
        <w:rPr>
          <w:rFonts w:ascii="Times New Roman" w:hAnsi="Times New Roman" w:cs="Times New Roman"/>
          <w:sz w:val="28"/>
          <w:szCs w:val="28"/>
        </w:rPr>
        <w:t xml:space="preserve"> 2014.gada jūlijā Birojs ir pieņēmis lēmumu </w:t>
      </w:r>
      <w:r w:rsidRPr="00611589">
        <w:rPr>
          <w:rFonts w:ascii="Times New Roman" w:hAnsi="Times New Roman" w:cs="Times New Roman"/>
          <w:b/>
          <w:sz w:val="28"/>
          <w:szCs w:val="28"/>
        </w:rPr>
        <w:t>par finansējuma apturēšanu</w:t>
      </w:r>
      <w:r w:rsidRPr="00611589">
        <w:rPr>
          <w:rFonts w:ascii="Times New Roman" w:hAnsi="Times New Roman" w:cs="Times New Roman"/>
          <w:sz w:val="28"/>
          <w:szCs w:val="28"/>
        </w:rPr>
        <w:t xml:space="preserve">, jo tā ir pārkāpusi valsts budžeta finansējuma izlietošanas noteikumus, un lēmums par soda piemērošanu ir stājies spēkā. Kopumā 2014.gadā </w:t>
      </w:r>
      <w:r w:rsidRPr="00611589">
        <w:rPr>
          <w:rFonts w:ascii="Times New Roman" w:hAnsi="Times New Roman" w:cs="Times New Roman"/>
          <w:b/>
          <w:sz w:val="28"/>
          <w:szCs w:val="28"/>
        </w:rPr>
        <w:t>četri politiskie spēki saņēma</w:t>
      </w:r>
      <w:r w:rsidR="00D67F95" w:rsidRPr="00611589">
        <w:rPr>
          <w:rFonts w:ascii="Times New Roman" w:hAnsi="Times New Roman" w:cs="Times New Roman"/>
          <w:b/>
          <w:sz w:val="28"/>
          <w:szCs w:val="28"/>
        </w:rPr>
        <w:t xml:space="preserve"> valsts</w:t>
      </w:r>
      <w:r w:rsidRPr="00611589">
        <w:rPr>
          <w:rFonts w:ascii="Times New Roman" w:hAnsi="Times New Roman" w:cs="Times New Roman"/>
          <w:b/>
          <w:sz w:val="28"/>
          <w:szCs w:val="28"/>
        </w:rPr>
        <w:t xml:space="preserve"> dotācijas EUR 370 141 apmērā</w:t>
      </w:r>
      <w:r w:rsidRPr="00611589">
        <w:rPr>
          <w:rFonts w:ascii="Times New Roman" w:hAnsi="Times New Roman" w:cs="Times New Roman"/>
          <w:sz w:val="28"/>
          <w:szCs w:val="28"/>
        </w:rPr>
        <w:t xml:space="preserve">. 2014.gada 1.decembrī Birojs ir pieņēmis lēmumus par </w:t>
      </w:r>
      <w:r w:rsidRPr="00611589">
        <w:rPr>
          <w:rFonts w:ascii="Times New Roman" w:hAnsi="Times New Roman" w:cs="Times New Roman"/>
          <w:b/>
          <w:sz w:val="28"/>
          <w:szCs w:val="28"/>
        </w:rPr>
        <w:t>valsts budžeta finansējuma piešķiršanu sešām partijām</w:t>
      </w:r>
      <w:r w:rsidRPr="00611589">
        <w:rPr>
          <w:rFonts w:ascii="Times New Roman" w:hAnsi="Times New Roman" w:cs="Times New Roman"/>
          <w:sz w:val="28"/>
          <w:szCs w:val="28"/>
        </w:rPr>
        <w:t xml:space="preserve">. </w:t>
      </w:r>
    </w:p>
    <w:p w:rsidR="005D0706" w:rsidRPr="00611589" w:rsidRDefault="005D0706" w:rsidP="005D0706">
      <w:pPr>
        <w:spacing w:after="0" w:line="240" w:lineRule="auto"/>
        <w:ind w:firstLine="720"/>
        <w:jc w:val="both"/>
        <w:rPr>
          <w:rFonts w:ascii="Times New Roman" w:hAnsi="Times New Roman" w:cs="Times New Roman"/>
          <w:sz w:val="28"/>
          <w:szCs w:val="28"/>
        </w:rPr>
      </w:pPr>
      <w:r w:rsidRPr="00611589">
        <w:rPr>
          <w:rFonts w:ascii="Times New Roman" w:hAnsi="Times New Roman" w:cs="Times New Roman"/>
          <w:sz w:val="28"/>
          <w:szCs w:val="28"/>
        </w:rPr>
        <w:t xml:space="preserve">2014.gadā tika pieņemti </w:t>
      </w:r>
      <w:r w:rsidRPr="00611589">
        <w:rPr>
          <w:rFonts w:ascii="Times New Roman" w:hAnsi="Times New Roman" w:cs="Times New Roman"/>
          <w:b/>
          <w:sz w:val="28"/>
          <w:szCs w:val="28"/>
        </w:rPr>
        <w:t>12 lēmumi par pretlikumīgi saņemto finanšu līdzekļu ieskaitīšanu valsts budžetā</w:t>
      </w:r>
      <w:r w:rsidRPr="00611589">
        <w:rPr>
          <w:rFonts w:ascii="Times New Roman" w:hAnsi="Times New Roman" w:cs="Times New Roman"/>
          <w:sz w:val="28"/>
          <w:szCs w:val="28"/>
        </w:rPr>
        <w:t xml:space="preserve"> – kopumā </w:t>
      </w:r>
      <w:r w:rsidRPr="00611589">
        <w:rPr>
          <w:rFonts w:ascii="Times New Roman" w:hAnsi="Times New Roman" w:cs="Times New Roman"/>
          <w:b/>
          <w:sz w:val="28"/>
          <w:szCs w:val="28"/>
        </w:rPr>
        <w:t>EUR 79474</w:t>
      </w:r>
      <w:r w:rsidRPr="00611589">
        <w:rPr>
          <w:rFonts w:ascii="Times New Roman" w:hAnsi="Times New Roman" w:cs="Times New Roman"/>
          <w:sz w:val="28"/>
          <w:szCs w:val="28"/>
        </w:rPr>
        <w:t xml:space="preserve"> apmērā, no kuriem pārskata periodā – astoņi lēmumi par lielāko daļu summas EUR 73954 apmērā. Pamatojoties uz Biroja izdotajiem administratīvajiem aktiem, pārskata periodā </w:t>
      </w:r>
      <w:r w:rsidRPr="00611589">
        <w:rPr>
          <w:rFonts w:ascii="Times New Roman" w:hAnsi="Times New Roman" w:cs="Times New Roman"/>
          <w:b/>
          <w:sz w:val="28"/>
          <w:szCs w:val="28"/>
        </w:rPr>
        <w:t>valsts budžetā ir ieskaitīti</w:t>
      </w:r>
      <w:r w:rsidRPr="00611589">
        <w:rPr>
          <w:rFonts w:ascii="Times New Roman" w:hAnsi="Times New Roman" w:cs="Times New Roman"/>
          <w:sz w:val="28"/>
          <w:szCs w:val="28"/>
        </w:rPr>
        <w:t xml:space="preserve"> līdzekļi, kas tika atzīti par prettiesiski pieņemtiem, jo netika ievēroti likumā noteiktie ierobežojumi, kopumā EUR 4448 apmērā (kopā </w:t>
      </w:r>
      <w:r w:rsidRPr="00611589">
        <w:rPr>
          <w:rFonts w:ascii="Times New Roman" w:hAnsi="Times New Roman" w:cs="Times New Roman"/>
          <w:b/>
          <w:sz w:val="28"/>
          <w:szCs w:val="28"/>
        </w:rPr>
        <w:t>2014.gadā – EUR 6271 apmērā</w:t>
      </w:r>
      <w:r w:rsidRPr="00611589">
        <w:rPr>
          <w:rFonts w:ascii="Times New Roman" w:hAnsi="Times New Roman" w:cs="Times New Roman"/>
          <w:sz w:val="28"/>
          <w:szCs w:val="28"/>
        </w:rPr>
        <w:t xml:space="preserve">). </w:t>
      </w:r>
    </w:p>
    <w:p w:rsidR="0092658C" w:rsidRDefault="0092658C" w:rsidP="0074409C">
      <w:pPr>
        <w:spacing w:after="0" w:line="240" w:lineRule="auto"/>
        <w:ind w:firstLine="720"/>
        <w:jc w:val="both"/>
        <w:rPr>
          <w:rFonts w:ascii="Times New Roman" w:hAnsi="Times New Roman" w:cs="Times New Roman"/>
          <w:i/>
          <w:sz w:val="28"/>
          <w:szCs w:val="28"/>
        </w:rPr>
      </w:pPr>
    </w:p>
    <w:p w:rsidR="00B141D2" w:rsidRPr="00611589" w:rsidRDefault="00B141D2" w:rsidP="0074409C">
      <w:pPr>
        <w:spacing w:after="0" w:line="240" w:lineRule="auto"/>
        <w:ind w:firstLine="720"/>
        <w:jc w:val="both"/>
        <w:rPr>
          <w:rFonts w:ascii="Times New Roman" w:hAnsi="Times New Roman" w:cs="Times New Roman"/>
          <w:b/>
          <w:sz w:val="28"/>
          <w:szCs w:val="28"/>
        </w:rPr>
      </w:pPr>
      <w:r w:rsidRPr="00611589">
        <w:rPr>
          <w:rFonts w:ascii="Times New Roman" w:hAnsi="Times New Roman" w:cs="Times New Roman"/>
          <w:i/>
          <w:sz w:val="28"/>
          <w:szCs w:val="28"/>
        </w:rPr>
        <w:t xml:space="preserve">6.attēls. </w:t>
      </w:r>
      <w:r w:rsidRPr="00611589">
        <w:rPr>
          <w:rFonts w:ascii="Times New Roman" w:hAnsi="Times New Roman" w:cs="Times New Roman"/>
          <w:b/>
          <w:sz w:val="28"/>
          <w:szCs w:val="28"/>
        </w:rPr>
        <w:t xml:space="preserve">Politiskajām partijām un to apvienībām ziedotais līdzekļu apjoms (2003.gads – 2014.gads) </w:t>
      </w:r>
    </w:p>
    <w:p w:rsidR="00B141D2" w:rsidRPr="00611589" w:rsidRDefault="00B141D2" w:rsidP="00B141D2">
      <w:pPr>
        <w:spacing w:after="0" w:line="240" w:lineRule="auto"/>
        <w:jc w:val="both"/>
        <w:rPr>
          <w:rFonts w:ascii="Times New Roman" w:hAnsi="Times New Roman" w:cs="Times New Roman"/>
          <w:sz w:val="28"/>
          <w:szCs w:val="28"/>
        </w:rPr>
      </w:pPr>
      <w:r w:rsidRPr="00611589">
        <w:rPr>
          <w:noProof/>
          <w:lang w:eastAsia="lv-LV"/>
        </w:rPr>
        <w:drawing>
          <wp:inline distT="0" distB="0" distL="0" distR="0" wp14:anchorId="797DB0F1" wp14:editId="65FA04C2">
            <wp:extent cx="5451894" cy="3217653"/>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2658C" w:rsidRPr="00611589" w:rsidRDefault="0092658C" w:rsidP="0092658C">
      <w:pPr>
        <w:spacing w:after="0" w:line="240" w:lineRule="auto"/>
        <w:ind w:firstLine="720"/>
        <w:jc w:val="both"/>
        <w:rPr>
          <w:rFonts w:ascii="Times New Roman" w:hAnsi="Times New Roman" w:cs="Times New Roman"/>
          <w:sz w:val="28"/>
          <w:szCs w:val="28"/>
        </w:rPr>
      </w:pPr>
      <w:r w:rsidRPr="00611589">
        <w:rPr>
          <w:rFonts w:ascii="Times New Roman" w:hAnsi="Times New Roman" w:cs="Times New Roman"/>
          <w:sz w:val="28"/>
          <w:szCs w:val="28"/>
        </w:rPr>
        <w:t xml:space="preserve">Sakarā ar 2014.gada pavasarī notikušajām Eiropas Parlamenta un rudenī Saeimas vēlēšanām palielinājās politiskajām partijām un to apvienībām </w:t>
      </w:r>
      <w:r w:rsidRPr="00611589">
        <w:rPr>
          <w:rFonts w:ascii="Times New Roman" w:hAnsi="Times New Roman" w:cs="Times New Roman"/>
          <w:b/>
          <w:sz w:val="28"/>
          <w:szCs w:val="28"/>
        </w:rPr>
        <w:t>ziedoto finanšu līdzekļu apjoms</w:t>
      </w:r>
      <w:r w:rsidRPr="00611589">
        <w:rPr>
          <w:rFonts w:ascii="Times New Roman" w:hAnsi="Times New Roman" w:cs="Times New Roman"/>
          <w:sz w:val="28"/>
          <w:szCs w:val="28"/>
        </w:rPr>
        <w:t xml:space="preserve">. Tomēr ziedoto naudas līdzekļu apjoms pārskata periodā bija ievērojami lielāks, ja pirmajā pusgadā kopējā summa bija EUR 1 775 402, tad otrajā pusgadā ziedotie naudas līdzekļi bija EUR 3 337 930 apmērā. Lielāko ziedojumu daļu partijas un to apvienības ir saņēmušas tieši pirms vēlēšanu norises – 2014.gada septembrī vairāk nekā 1,3 miljonus eiro un oktobrī vairāk nekā 2,5 miljonus eiro. Pārskata periodā </w:t>
      </w:r>
      <w:r w:rsidRPr="00611589">
        <w:rPr>
          <w:rFonts w:ascii="Times New Roman" w:hAnsi="Times New Roman" w:cs="Times New Roman"/>
          <w:b/>
          <w:sz w:val="28"/>
          <w:szCs w:val="28"/>
        </w:rPr>
        <w:t>saņemti un publicēti</w:t>
      </w:r>
      <w:r w:rsidRPr="00611589">
        <w:rPr>
          <w:rFonts w:ascii="Times New Roman" w:hAnsi="Times New Roman" w:cs="Times New Roman"/>
          <w:sz w:val="28"/>
          <w:szCs w:val="28"/>
        </w:rPr>
        <w:t xml:space="preserve"> 313 ziņojumi (2014.gadā kopā – </w:t>
      </w:r>
      <w:r w:rsidRPr="00611589">
        <w:rPr>
          <w:rFonts w:ascii="Times New Roman" w:hAnsi="Times New Roman" w:cs="Times New Roman"/>
          <w:b/>
          <w:sz w:val="28"/>
          <w:szCs w:val="28"/>
        </w:rPr>
        <w:t>593 ziņojumi</w:t>
      </w:r>
      <w:r w:rsidRPr="00611589">
        <w:rPr>
          <w:rFonts w:ascii="Times New Roman" w:hAnsi="Times New Roman" w:cs="Times New Roman"/>
          <w:sz w:val="28"/>
          <w:szCs w:val="28"/>
        </w:rPr>
        <w:t xml:space="preserve">) un pārbaudīti 287 ziņojumi </w:t>
      </w:r>
      <w:r w:rsidRPr="00611589">
        <w:rPr>
          <w:rFonts w:ascii="Times New Roman" w:hAnsi="Times New Roman" w:cs="Times New Roman"/>
          <w:sz w:val="28"/>
          <w:szCs w:val="28"/>
        </w:rPr>
        <w:lastRenderedPageBreak/>
        <w:t xml:space="preserve">(2014.gadā kopā – </w:t>
      </w:r>
      <w:r w:rsidRPr="00611589">
        <w:rPr>
          <w:rFonts w:ascii="Times New Roman" w:hAnsi="Times New Roman" w:cs="Times New Roman"/>
          <w:b/>
          <w:sz w:val="28"/>
          <w:szCs w:val="28"/>
        </w:rPr>
        <w:t>670 ziņojumi</w:t>
      </w:r>
      <w:r w:rsidRPr="00611589">
        <w:rPr>
          <w:rFonts w:ascii="Times New Roman" w:hAnsi="Times New Roman" w:cs="Times New Roman"/>
          <w:sz w:val="28"/>
          <w:szCs w:val="28"/>
        </w:rPr>
        <w:t xml:space="preserve">) par politisko partiju un to apvienību saņemtajiem dāvinājumiem. Politiskajiem spēkiem veikto ziedojumu un dāvinājumu (gan naudas, gan arī mantas vai pakalpojuma veidā)  apmērs atspoguļots 6.ttēlā, kur redzams, ka 2014.gadā ziedotā summa bijusi lielākā kopš 2003.gada. </w:t>
      </w:r>
    </w:p>
    <w:p w:rsidR="00610C07" w:rsidRPr="00611589" w:rsidRDefault="00DD2C19" w:rsidP="00610C07">
      <w:pPr>
        <w:spacing w:after="0" w:line="240" w:lineRule="auto"/>
        <w:ind w:firstLine="720"/>
        <w:jc w:val="both"/>
        <w:rPr>
          <w:rFonts w:ascii="Times New Roman" w:hAnsi="Times New Roman" w:cs="Times New Roman"/>
          <w:sz w:val="28"/>
          <w:szCs w:val="28"/>
        </w:rPr>
      </w:pPr>
      <w:r w:rsidRPr="00611589">
        <w:rPr>
          <w:rFonts w:ascii="Times New Roman" w:hAnsi="Times New Roman" w:cs="Times New Roman"/>
          <w:sz w:val="28"/>
          <w:szCs w:val="28"/>
        </w:rPr>
        <w:t>Par Politisko organizāciju (partiju) finansēšanas likuma un priekšvēlēšanu aģitācijas likuma normu pārkāpumiem (pārkāpumi saistīti ar vēlēšanu deklarāciju un ziedojumu sarakstu iesniegšanas kārtības neievērošanu, nepatiesas informācijas norādīšanu 2013.gada pārskatos un 2014.gada vēlēšanu deklarācijās) 2014.gada otrajā pusgadā tika pieņemti 18 lēmumi</w:t>
      </w:r>
      <w:r w:rsidRPr="00611589">
        <w:rPr>
          <w:rFonts w:ascii="Times New Roman" w:hAnsi="Times New Roman" w:cs="Times New Roman"/>
          <w:b/>
          <w:sz w:val="28"/>
          <w:szCs w:val="28"/>
        </w:rPr>
        <w:t xml:space="preserve"> administratīvo pārkāpumu lietās</w:t>
      </w:r>
      <w:r w:rsidRPr="00611589">
        <w:rPr>
          <w:rFonts w:ascii="Times New Roman" w:hAnsi="Times New Roman" w:cs="Times New Roman"/>
          <w:sz w:val="28"/>
          <w:szCs w:val="28"/>
        </w:rPr>
        <w:t xml:space="preserve"> (kopā </w:t>
      </w:r>
      <w:r w:rsidRPr="00611589">
        <w:rPr>
          <w:rFonts w:ascii="Times New Roman" w:hAnsi="Times New Roman" w:cs="Times New Roman"/>
          <w:b/>
          <w:sz w:val="28"/>
          <w:szCs w:val="28"/>
        </w:rPr>
        <w:t>2014.gadā – 46 lēmumi</w:t>
      </w:r>
      <w:r w:rsidR="00F05D0D" w:rsidRPr="00611589">
        <w:rPr>
          <w:rFonts w:ascii="Times New Roman" w:hAnsi="Times New Roman" w:cs="Times New Roman"/>
          <w:sz w:val="28"/>
          <w:szCs w:val="28"/>
        </w:rPr>
        <w:t>), kuru ietvaros sodītas 13 </w:t>
      </w:r>
      <w:r w:rsidRPr="00611589">
        <w:rPr>
          <w:rFonts w:ascii="Times New Roman" w:hAnsi="Times New Roman" w:cs="Times New Roman"/>
          <w:sz w:val="28"/>
          <w:szCs w:val="28"/>
        </w:rPr>
        <w:t xml:space="preserve">partijas, piemērojot tām naudas sodu EUR 3460 apmērā. Kopā 2014.gadā </w:t>
      </w:r>
      <w:r w:rsidRPr="00611589">
        <w:rPr>
          <w:rFonts w:ascii="Times New Roman" w:hAnsi="Times New Roman" w:cs="Times New Roman"/>
          <w:b/>
          <w:sz w:val="28"/>
          <w:szCs w:val="28"/>
        </w:rPr>
        <w:t>naudas sods piemērots 39</w:t>
      </w:r>
      <w:r w:rsidRPr="00611589">
        <w:rPr>
          <w:rFonts w:ascii="Times New Roman" w:hAnsi="Times New Roman" w:cs="Times New Roman"/>
          <w:sz w:val="28"/>
          <w:szCs w:val="28"/>
        </w:rPr>
        <w:t xml:space="preserve"> partijām un to apvienībām par kopējo summu </w:t>
      </w:r>
      <w:r w:rsidRPr="00611589">
        <w:rPr>
          <w:rFonts w:ascii="Times New Roman" w:hAnsi="Times New Roman" w:cs="Times New Roman"/>
          <w:b/>
          <w:sz w:val="28"/>
          <w:szCs w:val="28"/>
        </w:rPr>
        <w:t>EUR 9085 apmērā</w:t>
      </w:r>
      <w:r w:rsidRPr="00611589">
        <w:rPr>
          <w:rFonts w:ascii="Times New Roman" w:hAnsi="Times New Roman" w:cs="Times New Roman"/>
          <w:sz w:val="28"/>
          <w:szCs w:val="28"/>
        </w:rPr>
        <w:t xml:space="preserve">. Salīdzinot ar iepriekšējiem gadiem, 2014.gadā pieaudzis gan pieņemto lēmumu skaits, gan arī piemērotais naudas sods, kas ar politisko partiju un to apvienību aktīvām darbībām, tuvojoties vēlēšanām. Pieņemto lēmumu skaits un piemērotais naudas sods atspoguļots </w:t>
      </w:r>
      <w:r w:rsidR="00E71705" w:rsidRPr="00611589">
        <w:rPr>
          <w:rFonts w:ascii="Times New Roman" w:hAnsi="Times New Roman" w:cs="Times New Roman"/>
          <w:sz w:val="28"/>
          <w:szCs w:val="28"/>
        </w:rPr>
        <w:t>7</w:t>
      </w:r>
      <w:r w:rsidR="0025528A" w:rsidRPr="00611589">
        <w:rPr>
          <w:rFonts w:ascii="Times New Roman" w:hAnsi="Times New Roman" w:cs="Times New Roman"/>
          <w:sz w:val="28"/>
          <w:szCs w:val="28"/>
        </w:rPr>
        <w:t>.</w:t>
      </w:r>
      <w:r w:rsidRPr="00611589">
        <w:rPr>
          <w:rFonts w:ascii="Times New Roman" w:hAnsi="Times New Roman" w:cs="Times New Roman"/>
          <w:sz w:val="28"/>
          <w:szCs w:val="28"/>
        </w:rPr>
        <w:t>attēlā.</w:t>
      </w:r>
    </w:p>
    <w:p w:rsidR="00610C07" w:rsidRPr="00611589" w:rsidRDefault="00610C07" w:rsidP="00610C07">
      <w:pPr>
        <w:spacing w:after="0" w:line="240" w:lineRule="auto"/>
        <w:ind w:firstLine="720"/>
        <w:jc w:val="both"/>
        <w:rPr>
          <w:rFonts w:ascii="Times New Roman" w:hAnsi="Times New Roman" w:cs="Times New Roman"/>
          <w:sz w:val="28"/>
          <w:szCs w:val="28"/>
        </w:rPr>
      </w:pPr>
      <w:r w:rsidRPr="00611589">
        <w:rPr>
          <w:rFonts w:ascii="Times New Roman" w:hAnsi="Times New Roman" w:cs="Times New Roman"/>
          <w:sz w:val="28"/>
          <w:szCs w:val="28"/>
        </w:rPr>
        <w:t xml:space="preserve">Pārskata periodā piecos gadījumos (2014.gadā </w:t>
      </w:r>
      <w:r w:rsidR="00F05D0D" w:rsidRPr="00611589">
        <w:rPr>
          <w:rFonts w:ascii="Times New Roman" w:hAnsi="Times New Roman" w:cs="Times New Roman"/>
          <w:sz w:val="28"/>
          <w:szCs w:val="28"/>
        </w:rPr>
        <w:t xml:space="preserve">kopā </w:t>
      </w:r>
      <w:r w:rsidRPr="00611589">
        <w:rPr>
          <w:rFonts w:ascii="Times New Roman" w:hAnsi="Times New Roman" w:cs="Times New Roman"/>
          <w:sz w:val="28"/>
          <w:szCs w:val="28"/>
        </w:rPr>
        <w:t xml:space="preserve">– </w:t>
      </w:r>
      <w:r w:rsidRPr="00611589">
        <w:rPr>
          <w:rFonts w:ascii="Times New Roman" w:hAnsi="Times New Roman" w:cs="Times New Roman"/>
          <w:b/>
          <w:sz w:val="28"/>
          <w:szCs w:val="28"/>
        </w:rPr>
        <w:t>septiņos gadījumos</w:t>
      </w:r>
      <w:r w:rsidRPr="00611589">
        <w:rPr>
          <w:rFonts w:ascii="Times New Roman" w:hAnsi="Times New Roman" w:cs="Times New Roman"/>
          <w:sz w:val="28"/>
          <w:szCs w:val="28"/>
        </w:rPr>
        <w:t xml:space="preserve">) konstatētie pārkāpumi ir atzīti par maznozīmīgiem un </w:t>
      </w:r>
      <w:r w:rsidRPr="00611589">
        <w:rPr>
          <w:rFonts w:ascii="Times New Roman" w:hAnsi="Times New Roman" w:cs="Times New Roman"/>
          <w:b/>
          <w:sz w:val="28"/>
          <w:szCs w:val="28"/>
        </w:rPr>
        <w:t>partijām izteikts mutvārdu aizrādījums</w:t>
      </w:r>
      <w:r w:rsidRPr="00611589">
        <w:rPr>
          <w:rFonts w:ascii="Times New Roman" w:hAnsi="Times New Roman" w:cs="Times New Roman"/>
          <w:sz w:val="28"/>
          <w:szCs w:val="28"/>
        </w:rPr>
        <w:t xml:space="preserve">. Divos gadījumos pie administratīvās atbildības tika sauktas citas fiziskas un juridiskas personas, uzliekot naudas sodu EUR 150 apmērā. </w:t>
      </w:r>
      <w:r w:rsidR="00F05D0D" w:rsidRPr="00611589">
        <w:rPr>
          <w:rFonts w:ascii="Times New Roman" w:hAnsi="Times New Roman" w:cs="Times New Roman"/>
          <w:sz w:val="28"/>
          <w:szCs w:val="28"/>
        </w:rPr>
        <w:t>Kopumā</w:t>
      </w:r>
      <w:r w:rsidRPr="00611589">
        <w:rPr>
          <w:rFonts w:ascii="Times New Roman" w:hAnsi="Times New Roman" w:cs="Times New Roman"/>
          <w:sz w:val="28"/>
          <w:szCs w:val="28"/>
        </w:rPr>
        <w:t xml:space="preserve"> 2014.gadā citas fiziskas un juridiskas personas pie administratīvās atbildības sauktas četros gadījumos, uzliekot naudas sodu EUR 670 apmērā. </w:t>
      </w:r>
    </w:p>
    <w:p w:rsidR="00610C07" w:rsidRPr="00611589" w:rsidRDefault="00610C07" w:rsidP="00610C07">
      <w:pPr>
        <w:spacing w:after="0" w:line="240" w:lineRule="auto"/>
        <w:ind w:firstLine="720"/>
        <w:jc w:val="both"/>
        <w:rPr>
          <w:rFonts w:ascii="Times New Roman" w:hAnsi="Times New Roman" w:cs="Times New Roman"/>
          <w:i/>
          <w:sz w:val="28"/>
          <w:szCs w:val="28"/>
        </w:rPr>
      </w:pPr>
    </w:p>
    <w:p w:rsidR="00610C07" w:rsidRPr="00611589" w:rsidRDefault="00E71705" w:rsidP="00610C07">
      <w:pPr>
        <w:spacing w:after="0" w:line="240" w:lineRule="auto"/>
        <w:ind w:firstLine="720"/>
        <w:jc w:val="both"/>
        <w:rPr>
          <w:rFonts w:ascii="Times New Roman" w:hAnsi="Times New Roman" w:cs="Times New Roman"/>
          <w:b/>
          <w:sz w:val="28"/>
          <w:szCs w:val="28"/>
        </w:rPr>
      </w:pPr>
      <w:r w:rsidRPr="00611589">
        <w:rPr>
          <w:rFonts w:ascii="Times New Roman" w:hAnsi="Times New Roman" w:cs="Times New Roman"/>
          <w:i/>
          <w:sz w:val="28"/>
          <w:szCs w:val="28"/>
        </w:rPr>
        <w:t>7</w:t>
      </w:r>
      <w:r w:rsidR="00610C07" w:rsidRPr="00611589">
        <w:rPr>
          <w:rFonts w:ascii="Times New Roman" w:hAnsi="Times New Roman" w:cs="Times New Roman"/>
          <w:i/>
          <w:sz w:val="28"/>
          <w:szCs w:val="28"/>
        </w:rPr>
        <w:t>.attēls.</w:t>
      </w:r>
      <w:r w:rsidR="00610C07" w:rsidRPr="00611589">
        <w:rPr>
          <w:rFonts w:ascii="Times New Roman" w:hAnsi="Times New Roman" w:cs="Times New Roman"/>
          <w:b/>
          <w:sz w:val="28"/>
          <w:szCs w:val="28"/>
        </w:rPr>
        <w:t>Pieņemto lēmumu skaits un piemērotais naudas sods</w:t>
      </w:r>
    </w:p>
    <w:p w:rsidR="00610C07" w:rsidRPr="00611589" w:rsidRDefault="00610C07" w:rsidP="00DD2C19">
      <w:pPr>
        <w:spacing w:after="0" w:line="240" w:lineRule="auto"/>
        <w:ind w:firstLine="720"/>
        <w:jc w:val="both"/>
        <w:rPr>
          <w:rFonts w:ascii="Times New Roman" w:hAnsi="Times New Roman" w:cs="Times New Roman"/>
          <w:sz w:val="28"/>
          <w:szCs w:val="28"/>
        </w:rPr>
      </w:pPr>
    </w:p>
    <w:p w:rsidR="00610C07" w:rsidRPr="00611589" w:rsidRDefault="00610C07" w:rsidP="00610C07">
      <w:pPr>
        <w:spacing w:after="0" w:line="240" w:lineRule="auto"/>
        <w:jc w:val="both"/>
        <w:rPr>
          <w:rFonts w:ascii="Times New Roman" w:hAnsi="Times New Roman" w:cs="Times New Roman"/>
          <w:sz w:val="28"/>
          <w:szCs w:val="28"/>
          <w:highlight w:val="yellow"/>
        </w:rPr>
      </w:pPr>
      <w:r w:rsidRPr="00611589">
        <w:rPr>
          <w:noProof/>
          <w:lang w:eastAsia="lv-LV"/>
        </w:rPr>
        <w:drawing>
          <wp:inline distT="0" distB="0" distL="0" distR="0" wp14:anchorId="43958661" wp14:editId="5A511366">
            <wp:extent cx="5857875" cy="340995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F7253" w:rsidRPr="00611589" w:rsidRDefault="009F7253" w:rsidP="009F7253">
      <w:pPr>
        <w:spacing w:after="0" w:line="240" w:lineRule="auto"/>
        <w:ind w:firstLine="720"/>
        <w:jc w:val="both"/>
        <w:rPr>
          <w:rFonts w:ascii="Times New Roman" w:hAnsi="Times New Roman" w:cs="Times New Roman"/>
          <w:sz w:val="28"/>
          <w:szCs w:val="28"/>
        </w:rPr>
      </w:pPr>
      <w:r w:rsidRPr="00611589">
        <w:rPr>
          <w:rFonts w:ascii="Times New Roman" w:hAnsi="Times New Roman" w:cs="Times New Roman"/>
          <w:sz w:val="28"/>
          <w:szCs w:val="28"/>
        </w:rPr>
        <w:lastRenderedPageBreak/>
        <w:t xml:space="preserve">2014.gadā Biroja priekšnieks ir izskatījis </w:t>
      </w:r>
      <w:r w:rsidRPr="00611589">
        <w:rPr>
          <w:rFonts w:ascii="Times New Roman" w:hAnsi="Times New Roman" w:cs="Times New Roman"/>
          <w:b/>
          <w:sz w:val="28"/>
          <w:szCs w:val="28"/>
        </w:rPr>
        <w:t>trīs sūdzības</w:t>
      </w:r>
      <w:r w:rsidRPr="00611589">
        <w:rPr>
          <w:rFonts w:ascii="Times New Roman" w:hAnsi="Times New Roman" w:cs="Times New Roman"/>
          <w:sz w:val="28"/>
          <w:szCs w:val="28"/>
        </w:rPr>
        <w:t xml:space="preserve"> par Biroja amatpersonu pieņemtajiem lēmumiem administratīvā pārkāpuma lietās. Izvērtējot minēto gadījumu sūdzības, Biroja priekšnieks visus lēmumus ir atstājis spēkā.</w:t>
      </w:r>
    </w:p>
    <w:p w:rsidR="00DD2C19" w:rsidRPr="00611589" w:rsidRDefault="00F05D0D" w:rsidP="00DD2C19">
      <w:pPr>
        <w:pStyle w:val="NoSpacing"/>
        <w:ind w:firstLine="567"/>
        <w:jc w:val="both"/>
        <w:rPr>
          <w:rFonts w:ascii="Times New Roman" w:hAnsi="Times New Roman" w:cs="Times New Roman"/>
          <w:sz w:val="28"/>
          <w:szCs w:val="28"/>
        </w:rPr>
      </w:pPr>
      <w:r w:rsidRPr="00611589">
        <w:rPr>
          <w:rFonts w:ascii="Times New Roman" w:hAnsi="Times New Roman" w:cs="Times New Roman"/>
          <w:sz w:val="28"/>
          <w:szCs w:val="28"/>
        </w:rPr>
        <w:t>Pārskata periodā</w:t>
      </w:r>
      <w:r w:rsidR="00DD2C19" w:rsidRPr="00611589">
        <w:rPr>
          <w:rFonts w:ascii="Times New Roman" w:hAnsi="Times New Roman" w:cs="Times New Roman"/>
          <w:sz w:val="28"/>
          <w:szCs w:val="28"/>
        </w:rPr>
        <w:t xml:space="preserve"> Birojs ir iesniedzis tiesā prasības </w:t>
      </w:r>
      <w:r w:rsidR="00DD2C19" w:rsidRPr="00611589">
        <w:rPr>
          <w:rFonts w:ascii="Times New Roman" w:hAnsi="Times New Roman" w:cs="Times New Roman"/>
          <w:b/>
          <w:sz w:val="28"/>
          <w:szCs w:val="28"/>
        </w:rPr>
        <w:t>pieteikums apturēt vienas politiskās partijas darbību</w:t>
      </w:r>
      <w:r w:rsidR="00DD2C19" w:rsidRPr="00611589">
        <w:rPr>
          <w:rFonts w:ascii="Times New Roman" w:hAnsi="Times New Roman" w:cs="Times New Roman"/>
          <w:sz w:val="28"/>
          <w:szCs w:val="28"/>
        </w:rPr>
        <w:t xml:space="preserve"> par 2013.gada vēlēšanu un 2013.gada pārskata neiesniegšanu. </w:t>
      </w:r>
    </w:p>
    <w:p w:rsidR="00DD2C19" w:rsidRPr="00611589" w:rsidRDefault="00DD2C19" w:rsidP="00DD2C19">
      <w:pPr>
        <w:spacing w:after="0" w:line="240" w:lineRule="auto"/>
        <w:ind w:firstLine="720"/>
        <w:jc w:val="both"/>
        <w:rPr>
          <w:rFonts w:ascii="Times New Roman" w:hAnsi="Times New Roman" w:cs="Times New Roman"/>
          <w:sz w:val="28"/>
          <w:szCs w:val="28"/>
        </w:rPr>
      </w:pPr>
      <w:r w:rsidRPr="00611589">
        <w:rPr>
          <w:rFonts w:ascii="Times New Roman" w:hAnsi="Times New Roman" w:cs="Times New Roman"/>
          <w:sz w:val="28"/>
          <w:szCs w:val="28"/>
        </w:rPr>
        <w:t xml:space="preserve">Sakarā ar Saeimas vēlēšanām 2014.gada rudenī, Birojs ir apkopojis politisko partiju iesniegto informāciju par noslēgtajiem līgumiem attiecībā uz </w:t>
      </w:r>
      <w:r w:rsidRPr="00611589">
        <w:rPr>
          <w:rFonts w:ascii="Times New Roman" w:hAnsi="Times New Roman" w:cs="Times New Roman"/>
          <w:b/>
          <w:sz w:val="28"/>
          <w:szCs w:val="28"/>
        </w:rPr>
        <w:t>priekšvēlēšanu aģitācijas izvietošanu</w:t>
      </w:r>
      <w:r w:rsidRPr="00611589">
        <w:rPr>
          <w:rFonts w:ascii="Times New Roman" w:hAnsi="Times New Roman" w:cs="Times New Roman"/>
          <w:sz w:val="28"/>
          <w:szCs w:val="28"/>
        </w:rPr>
        <w:t xml:space="preserve"> un nodrošinājis </w:t>
      </w:r>
      <w:r w:rsidRPr="00611589">
        <w:rPr>
          <w:rFonts w:ascii="Times New Roman" w:hAnsi="Times New Roman" w:cs="Times New Roman"/>
          <w:b/>
          <w:sz w:val="28"/>
          <w:szCs w:val="28"/>
        </w:rPr>
        <w:t>priekšvēlēšanu izdevumu apmēra uzraudzību</w:t>
      </w:r>
      <w:r w:rsidRPr="00611589">
        <w:rPr>
          <w:rFonts w:ascii="Times New Roman" w:hAnsi="Times New Roman" w:cs="Times New Roman"/>
          <w:sz w:val="28"/>
          <w:szCs w:val="28"/>
        </w:rPr>
        <w:t xml:space="preserve">. Saskaņā ar Biroja apkopoto informāciju neviena no partijām vai to apvienībām, kā arī ar tām nesaistīta persona nav veikusi aģitāciju par summu, kas pārsniedz pieļaujamo priekšvēlēšanu izdevumu apmēru, līdz ar to Birojam nav bijis nepieciešams realizēt ar likumu piešķirtās tiesības apturēt kāda aģitācijas veicēja darbības. </w:t>
      </w:r>
    </w:p>
    <w:p w:rsidR="00425D41" w:rsidRPr="00611589" w:rsidRDefault="00425D41" w:rsidP="008F32BD">
      <w:pPr>
        <w:spacing w:after="0" w:line="240" w:lineRule="auto"/>
        <w:jc w:val="both"/>
        <w:rPr>
          <w:rFonts w:cs="Times New Roman"/>
          <w:color w:val="000000" w:themeColor="text1"/>
          <w:sz w:val="28"/>
          <w:szCs w:val="28"/>
        </w:rPr>
      </w:pPr>
    </w:p>
    <w:p w:rsidR="00610C07" w:rsidRPr="00611589" w:rsidRDefault="00610C07" w:rsidP="008F32BD">
      <w:pPr>
        <w:spacing w:after="0" w:line="240" w:lineRule="auto"/>
        <w:jc w:val="both"/>
        <w:rPr>
          <w:rFonts w:cs="Times New Roman"/>
          <w:color w:val="000000" w:themeColor="text1"/>
          <w:sz w:val="28"/>
          <w:szCs w:val="28"/>
        </w:rPr>
      </w:pPr>
    </w:p>
    <w:p w:rsidR="00425D41" w:rsidRPr="00611589" w:rsidRDefault="00425D41" w:rsidP="008F32BD">
      <w:pPr>
        <w:spacing w:after="0" w:line="240" w:lineRule="auto"/>
        <w:jc w:val="both"/>
        <w:rPr>
          <w:rFonts w:ascii="Times New Roman" w:hAnsi="Times New Roman" w:cs="Times New Roman"/>
          <w:color w:val="000000" w:themeColor="text1"/>
          <w:sz w:val="28"/>
          <w:szCs w:val="28"/>
        </w:rPr>
      </w:pPr>
    </w:p>
    <w:p w:rsidR="00235BFF" w:rsidRPr="00611589" w:rsidRDefault="008F32BD" w:rsidP="008F32BD">
      <w:pPr>
        <w:spacing w:after="0" w:line="240" w:lineRule="auto"/>
        <w:jc w:val="both"/>
        <w:rPr>
          <w:rFonts w:ascii="Times New Roman" w:hAnsi="Times New Roman" w:cs="Times New Roman"/>
          <w:color w:val="000000" w:themeColor="text1"/>
          <w:sz w:val="28"/>
          <w:szCs w:val="28"/>
        </w:rPr>
      </w:pPr>
      <w:r w:rsidRPr="00611589">
        <w:rPr>
          <w:rFonts w:ascii="Times New Roman" w:hAnsi="Times New Roman" w:cs="Times New Roman"/>
          <w:color w:val="000000" w:themeColor="text1"/>
          <w:sz w:val="28"/>
          <w:szCs w:val="28"/>
        </w:rPr>
        <w:t>Korupcijas novēršanas un apkarošanas</w:t>
      </w:r>
    </w:p>
    <w:p w:rsidR="008F32BD" w:rsidRPr="00611589" w:rsidRDefault="005B2659" w:rsidP="008F32BD">
      <w:pPr>
        <w:spacing w:after="0" w:line="240" w:lineRule="auto"/>
        <w:jc w:val="both"/>
        <w:rPr>
          <w:rFonts w:ascii="Times New Roman" w:hAnsi="Times New Roman" w:cs="Times New Roman"/>
          <w:color w:val="000000" w:themeColor="text1"/>
          <w:sz w:val="28"/>
          <w:szCs w:val="28"/>
        </w:rPr>
      </w:pPr>
      <w:r w:rsidRPr="00611589">
        <w:rPr>
          <w:rFonts w:ascii="Times New Roman" w:hAnsi="Times New Roman" w:cs="Times New Roman"/>
          <w:color w:val="000000" w:themeColor="text1"/>
          <w:sz w:val="28"/>
          <w:szCs w:val="28"/>
        </w:rPr>
        <w:t>B</w:t>
      </w:r>
      <w:r w:rsidR="008F32BD" w:rsidRPr="00611589">
        <w:rPr>
          <w:rFonts w:ascii="Times New Roman" w:hAnsi="Times New Roman" w:cs="Times New Roman"/>
          <w:color w:val="000000" w:themeColor="text1"/>
          <w:sz w:val="28"/>
          <w:szCs w:val="28"/>
        </w:rPr>
        <w:t>iroja</w:t>
      </w:r>
      <w:r w:rsidRPr="00611589">
        <w:rPr>
          <w:rFonts w:ascii="Times New Roman" w:hAnsi="Times New Roman" w:cs="Times New Roman"/>
          <w:color w:val="000000" w:themeColor="text1"/>
          <w:sz w:val="28"/>
          <w:szCs w:val="28"/>
        </w:rPr>
        <w:t xml:space="preserve"> </w:t>
      </w:r>
      <w:r w:rsidR="008F32BD" w:rsidRPr="00611589">
        <w:rPr>
          <w:rFonts w:ascii="Times New Roman" w:hAnsi="Times New Roman" w:cs="Times New Roman"/>
          <w:color w:val="000000" w:themeColor="text1"/>
          <w:sz w:val="28"/>
          <w:szCs w:val="28"/>
        </w:rPr>
        <w:t>priekšniek</w:t>
      </w:r>
      <w:r w:rsidR="00AF38F1" w:rsidRPr="00611589">
        <w:rPr>
          <w:rFonts w:ascii="Times New Roman" w:hAnsi="Times New Roman" w:cs="Times New Roman"/>
          <w:color w:val="000000" w:themeColor="text1"/>
          <w:sz w:val="28"/>
          <w:szCs w:val="28"/>
        </w:rPr>
        <w:t>s</w:t>
      </w:r>
      <w:r w:rsidR="004102ED" w:rsidRPr="00611589">
        <w:rPr>
          <w:rFonts w:ascii="Times New Roman" w:hAnsi="Times New Roman" w:cs="Times New Roman"/>
          <w:color w:val="000000" w:themeColor="text1"/>
          <w:sz w:val="28"/>
          <w:szCs w:val="28"/>
        </w:rPr>
        <w:tab/>
      </w:r>
      <w:r w:rsidR="004102ED" w:rsidRPr="00611589">
        <w:rPr>
          <w:rFonts w:ascii="Times New Roman" w:hAnsi="Times New Roman" w:cs="Times New Roman"/>
          <w:color w:val="000000" w:themeColor="text1"/>
          <w:sz w:val="28"/>
          <w:szCs w:val="28"/>
        </w:rPr>
        <w:tab/>
      </w:r>
      <w:r w:rsidR="004102ED" w:rsidRPr="00611589">
        <w:rPr>
          <w:rFonts w:ascii="Times New Roman" w:hAnsi="Times New Roman" w:cs="Times New Roman"/>
          <w:color w:val="000000" w:themeColor="text1"/>
          <w:sz w:val="28"/>
          <w:szCs w:val="28"/>
        </w:rPr>
        <w:tab/>
      </w:r>
      <w:r w:rsidR="004102ED" w:rsidRPr="00611589">
        <w:rPr>
          <w:rFonts w:ascii="Times New Roman" w:hAnsi="Times New Roman" w:cs="Times New Roman"/>
          <w:color w:val="000000" w:themeColor="text1"/>
          <w:sz w:val="28"/>
          <w:szCs w:val="28"/>
        </w:rPr>
        <w:tab/>
      </w:r>
      <w:r w:rsidR="004102ED" w:rsidRPr="00611589">
        <w:rPr>
          <w:rFonts w:ascii="Times New Roman" w:hAnsi="Times New Roman" w:cs="Times New Roman"/>
          <w:color w:val="000000" w:themeColor="text1"/>
          <w:sz w:val="28"/>
          <w:szCs w:val="28"/>
        </w:rPr>
        <w:tab/>
      </w:r>
      <w:r w:rsidR="004102ED" w:rsidRPr="00611589">
        <w:rPr>
          <w:rFonts w:ascii="Times New Roman" w:hAnsi="Times New Roman" w:cs="Times New Roman"/>
          <w:color w:val="000000" w:themeColor="text1"/>
          <w:sz w:val="28"/>
          <w:szCs w:val="28"/>
        </w:rPr>
        <w:tab/>
      </w:r>
      <w:r w:rsidR="00443273" w:rsidRPr="00611589">
        <w:rPr>
          <w:rFonts w:ascii="Times New Roman" w:hAnsi="Times New Roman" w:cs="Times New Roman"/>
          <w:color w:val="000000" w:themeColor="text1"/>
          <w:sz w:val="28"/>
          <w:szCs w:val="28"/>
        </w:rPr>
        <w:tab/>
      </w:r>
      <w:r w:rsidR="00E04297" w:rsidRPr="00611589">
        <w:rPr>
          <w:rFonts w:ascii="Times New Roman" w:hAnsi="Times New Roman" w:cs="Times New Roman"/>
          <w:color w:val="000000" w:themeColor="text1"/>
          <w:sz w:val="28"/>
          <w:szCs w:val="28"/>
        </w:rPr>
        <w:tab/>
      </w:r>
      <w:r w:rsidR="00E04297" w:rsidRPr="00611589">
        <w:rPr>
          <w:rFonts w:ascii="Times New Roman" w:hAnsi="Times New Roman" w:cs="Times New Roman"/>
          <w:color w:val="000000" w:themeColor="text1"/>
          <w:sz w:val="28"/>
          <w:szCs w:val="28"/>
        </w:rPr>
        <w:tab/>
      </w:r>
      <w:r w:rsidR="0078796E" w:rsidRPr="00611589">
        <w:rPr>
          <w:rFonts w:ascii="Times New Roman" w:hAnsi="Times New Roman" w:cs="Times New Roman"/>
          <w:color w:val="000000" w:themeColor="text1"/>
          <w:sz w:val="28"/>
          <w:szCs w:val="28"/>
        </w:rPr>
        <w:tab/>
      </w:r>
      <w:proofErr w:type="spellStart"/>
      <w:r w:rsidR="004102ED" w:rsidRPr="00611589">
        <w:rPr>
          <w:rFonts w:ascii="Times New Roman" w:hAnsi="Times New Roman" w:cs="Times New Roman"/>
          <w:color w:val="000000" w:themeColor="text1"/>
          <w:sz w:val="28"/>
          <w:szCs w:val="28"/>
        </w:rPr>
        <w:t>J.Str</w:t>
      </w:r>
      <w:r w:rsidR="00AF38F1" w:rsidRPr="00611589">
        <w:rPr>
          <w:rFonts w:ascii="Times New Roman" w:hAnsi="Times New Roman" w:cs="Times New Roman"/>
          <w:color w:val="000000" w:themeColor="text1"/>
          <w:sz w:val="28"/>
          <w:szCs w:val="28"/>
        </w:rPr>
        <w:t>eļčenoks</w:t>
      </w:r>
      <w:proofErr w:type="spellEnd"/>
    </w:p>
    <w:p w:rsidR="00F01782" w:rsidRPr="00611589" w:rsidRDefault="00F01782" w:rsidP="00ED108C">
      <w:pPr>
        <w:spacing w:after="0" w:line="240" w:lineRule="auto"/>
        <w:jc w:val="both"/>
        <w:rPr>
          <w:rFonts w:ascii="Times New Roman" w:hAnsi="Times New Roman" w:cs="Times New Roman"/>
          <w:color w:val="000000" w:themeColor="text1"/>
          <w:sz w:val="20"/>
          <w:szCs w:val="20"/>
        </w:rPr>
      </w:pPr>
    </w:p>
    <w:p w:rsidR="00FD043A" w:rsidRPr="00611589" w:rsidRDefault="00FD043A" w:rsidP="00ED108C">
      <w:pPr>
        <w:spacing w:after="0" w:line="240" w:lineRule="auto"/>
        <w:jc w:val="both"/>
        <w:rPr>
          <w:rFonts w:ascii="Times New Roman" w:hAnsi="Times New Roman" w:cs="Times New Roman"/>
          <w:color w:val="000000" w:themeColor="text1"/>
          <w:sz w:val="20"/>
          <w:szCs w:val="20"/>
        </w:rPr>
      </w:pPr>
    </w:p>
    <w:p w:rsidR="00FD043A" w:rsidRPr="00611589" w:rsidRDefault="00FD043A" w:rsidP="00ED108C">
      <w:pPr>
        <w:spacing w:after="0" w:line="240" w:lineRule="auto"/>
        <w:jc w:val="both"/>
        <w:rPr>
          <w:rFonts w:ascii="Times New Roman" w:hAnsi="Times New Roman" w:cs="Times New Roman"/>
          <w:color w:val="000000" w:themeColor="text1"/>
          <w:sz w:val="20"/>
          <w:szCs w:val="20"/>
        </w:rPr>
      </w:pPr>
    </w:p>
    <w:p w:rsidR="00FD043A" w:rsidRPr="00611589" w:rsidRDefault="00FD043A" w:rsidP="00ED108C">
      <w:pPr>
        <w:spacing w:after="0" w:line="240" w:lineRule="auto"/>
        <w:jc w:val="both"/>
        <w:rPr>
          <w:rFonts w:ascii="Times New Roman" w:hAnsi="Times New Roman" w:cs="Times New Roman"/>
          <w:color w:val="000000" w:themeColor="text1"/>
          <w:sz w:val="20"/>
          <w:szCs w:val="20"/>
        </w:rPr>
      </w:pPr>
      <w:bookmarkStart w:id="4" w:name="_GoBack"/>
      <w:bookmarkEnd w:id="4"/>
    </w:p>
    <w:p w:rsidR="00FD043A" w:rsidRPr="00611589" w:rsidRDefault="00FD043A" w:rsidP="00ED108C">
      <w:pPr>
        <w:spacing w:after="0" w:line="240" w:lineRule="auto"/>
        <w:jc w:val="both"/>
        <w:rPr>
          <w:rFonts w:ascii="Times New Roman" w:hAnsi="Times New Roman" w:cs="Times New Roman"/>
          <w:color w:val="000000" w:themeColor="text1"/>
          <w:sz w:val="20"/>
          <w:szCs w:val="20"/>
        </w:rPr>
      </w:pPr>
    </w:p>
    <w:p w:rsidR="00FD043A" w:rsidRPr="00611589" w:rsidRDefault="00FD043A" w:rsidP="00ED108C">
      <w:pPr>
        <w:spacing w:after="0" w:line="240" w:lineRule="auto"/>
        <w:jc w:val="both"/>
        <w:rPr>
          <w:rFonts w:ascii="Times New Roman" w:hAnsi="Times New Roman" w:cs="Times New Roman"/>
          <w:color w:val="000000" w:themeColor="text1"/>
          <w:sz w:val="20"/>
          <w:szCs w:val="20"/>
        </w:rPr>
      </w:pPr>
    </w:p>
    <w:p w:rsidR="00FD043A" w:rsidRPr="00611589" w:rsidRDefault="00FD043A" w:rsidP="00ED108C">
      <w:pPr>
        <w:spacing w:after="0" w:line="240" w:lineRule="auto"/>
        <w:jc w:val="both"/>
        <w:rPr>
          <w:rFonts w:ascii="Times New Roman" w:hAnsi="Times New Roman" w:cs="Times New Roman"/>
          <w:color w:val="000000" w:themeColor="text1"/>
          <w:sz w:val="20"/>
          <w:szCs w:val="20"/>
        </w:rPr>
      </w:pPr>
    </w:p>
    <w:p w:rsidR="00FD043A" w:rsidRPr="00611589" w:rsidRDefault="00FD043A" w:rsidP="00ED108C">
      <w:pPr>
        <w:spacing w:after="0" w:line="240" w:lineRule="auto"/>
        <w:jc w:val="both"/>
        <w:rPr>
          <w:rFonts w:ascii="Times New Roman" w:hAnsi="Times New Roman" w:cs="Times New Roman"/>
          <w:color w:val="000000" w:themeColor="text1"/>
          <w:sz w:val="20"/>
          <w:szCs w:val="20"/>
        </w:rPr>
      </w:pPr>
    </w:p>
    <w:p w:rsidR="00710C3D" w:rsidRPr="00611589" w:rsidRDefault="00802EE1" w:rsidP="00ED108C">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02.02</w:t>
      </w:r>
      <w:r w:rsidR="00F61D9A" w:rsidRPr="00611589">
        <w:rPr>
          <w:rFonts w:ascii="Times New Roman" w:hAnsi="Times New Roman" w:cs="Times New Roman"/>
          <w:color w:val="000000" w:themeColor="text1"/>
          <w:sz w:val="20"/>
          <w:szCs w:val="20"/>
        </w:rPr>
        <w:t>.2015.</w:t>
      </w:r>
    </w:p>
    <w:p w:rsidR="00FD043A" w:rsidRPr="00611589" w:rsidRDefault="00285CD4" w:rsidP="00255F5C">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4120</w:t>
      </w:r>
    </w:p>
    <w:p w:rsidR="006266AF" w:rsidRPr="00611589" w:rsidRDefault="00CE5AF5" w:rsidP="00255F5C">
      <w:pPr>
        <w:spacing w:after="0" w:line="240" w:lineRule="auto"/>
        <w:jc w:val="both"/>
        <w:rPr>
          <w:rFonts w:ascii="Times New Roman" w:hAnsi="Times New Roman" w:cs="Times New Roman"/>
          <w:color w:val="000000" w:themeColor="text1"/>
          <w:sz w:val="20"/>
          <w:szCs w:val="20"/>
        </w:rPr>
      </w:pPr>
      <w:r w:rsidRPr="00611589">
        <w:rPr>
          <w:rFonts w:ascii="Times New Roman" w:hAnsi="Times New Roman" w:cs="Times New Roman"/>
          <w:color w:val="000000" w:themeColor="text1"/>
          <w:sz w:val="20"/>
          <w:szCs w:val="20"/>
        </w:rPr>
        <w:fldChar w:fldCharType="begin"/>
      </w:r>
      <w:r w:rsidR="00710C3D" w:rsidRPr="00611589">
        <w:rPr>
          <w:rFonts w:ascii="Times New Roman" w:hAnsi="Times New Roman" w:cs="Times New Roman"/>
          <w:color w:val="000000" w:themeColor="text1"/>
          <w:sz w:val="20"/>
          <w:szCs w:val="20"/>
        </w:rPr>
        <w:instrText xml:space="preserve"> COMMENTS   \* MERGEFORMAT </w:instrText>
      </w:r>
      <w:r w:rsidRPr="00611589">
        <w:rPr>
          <w:rFonts w:ascii="Times New Roman" w:hAnsi="Times New Roman" w:cs="Times New Roman"/>
          <w:color w:val="000000" w:themeColor="text1"/>
          <w:sz w:val="20"/>
          <w:szCs w:val="20"/>
        </w:rPr>
        <w:fldChar w:fldCharType="separate"/>
      </w:r>
      <w:proofErr w:type="spellStart"/>
      <w:r w:rsidR="00F61D9A" w:rsidRPr="00611589">
        <w:rPr>
          <w:rFonts w:ascii="Times New Roman" w:hAnsi="Times New Roman" w:cs="Times New Roman"/>
          <w:color w:val="000000" w:themeColor="text1"/>
          <w:sz w:val="20"/>
          <w:szCs w:val="20"/>
        </w:rPr>
        <w:t>S.Helviga</w:t>
      </w:r>
      <w:proofErr w:type="spellEnd"/>
      <w:r w:rsidR="006266AF" w:rsidRPr="00611589">
        <w:rPr>
          <w:rFonts w:ascii="Times New Roman" w:hAnsi="Times New Roman" w:cs="Times New Roman"/>
          <w:color w:val="000000" w:themeColor="text1"/>
          <w:sz w:val="20"/>
          <w:szCs w:val="20"/>
        </w:rPr>
        <w:t>, 6735616</w:t>
      </w:r>
      <w:r w:rsidR="00F61D9A" w:rsidRPr="00611589">
        <w:rPr>
          <w:rFonts w:ascii="Times New Roman" w:hAnsi="Times New Roman" w:cs="Times New Roman"/>
          <w:color w:val="000000" w:themeColor="text1"/>
          <w:sz w:val="20"/>
          <w:szCs w:val="20"/>
        </w:rPr>
        <w:t>8</w:t>
      </w:r>
    </w:p>
    <w:p w:rsidR="00710C3D" w:rsidRPr="00611589" w:rsidRDefault="00F61D9A" w:rsidP="00255F5C">
      <w:pPr>
        <w:spacing w:after="0" w:line="240" w:lineRule="auto"/>
        <w:jc w:val="both"/>
        <w:rPr>
          <w:rFonts w:ascii="Times New Roman" w:hAnsi="Times New Roman" w:cs="Times New Roman"/>
          <w:color w:val="000000" w:themeColor="text1"/>
          <w:sz w:val="20"/>
          <w:szCs w:val="20"/>
        </w:rPr>
      </w:pPr>
      <w:r w:rsidRPr="00611589">
        <w:rPr>
          <w:rFonts w:ascii="Times New Roman" w:hAnsi="Times New Roman" w:cs="Times New Roman"/>
          <w:color w:val="000000" w:themeColor="text1"/>
          <w:sz w:val="20"/>
          <w:szCs w:val="20"/>
        </w:rPr>
        <w:t>sintija.helviga</w:t>
      </w:r>
      <w:r w:rsidR="006266AF" w:rsidRPr="00611589">
        <w:rPr>
          <w:rFonts w:ascii="Times New Roman" w:hAnsi="Times New Roman" w:cs="Times New Roman"/>
          <w:color w:val="000000" w:themeColor="text1"/>
          <w:sz w:val="20"/>
          <w:szCs w:val="20"/>
        </w:rPr>
        <w:t>@knab.gov.lv</w:t>
      </w:r>
      <w:r w:rsidR="00CE5AF5" w:rsidRPr="00611589">
        <w:rPr>
          <w:rFonts w:ascii="Times New Roman" w:hAnsi="Times New Roman" w:cs="Times New Roman"/>
          <w:color w:val="000000" w:themeColor="text1"/>
          <w:sz w:val="20"/>
          <w:szCs w:val="20"/>
        </w:rPr>
        <w:fldChar w:fldCharType="end"/>
      </w:r>
    </w:p>
    <w:p w:rsidR="00542325" w:rsidRPr="00611589" w:rsidRDefault="00542325" w:rsidP="00255F5C">
      <w:pPr>
        <w:spacing w:after="0" w:line="240" w:lineRule="auto"/>
        <w:jc w:val="both"/>
        <w:rPr>
          <w:rFonts w:ascii="Times New Roman" w:hAnsi="Times New Roman" w:cs="Times New Roman"/>
          <w:color w:val="000000" w:themeColor="text1"/>
          <w:sz w:val="20"/>
          <w:szCs w:val="20"/>
        </w:rPr>
      </w:pPr>
    </w:p>
    <w:p w:rsidR="00542325" w:rsidRPr="00611589" w:rsidRDefault="00542325" w:rsidP="00255F5C">
      <w:pPr>
        <w:spacing w:after="0" w:line="240" w:lineRule="auto"/>
        <w:jc w:val="both"/>
        <w:rPr>
          <w:rFonts w:ascii="Times New Roman" w:hAnsi="Times New Roman" w:cs="Times New Roman"/>
          <w:color w:val="000000" w:themeColor="text1"/>
          <w:sz w:val="20"/>
          <w:szCs w:val="20"/>
        </w:rPr>
      </w:pPr>
    </w:p>
    <w:p w:rsidR="00542325" w:rsidRPr="00611589" w:rsidRDefault="00542325" w:rsidP="00255F5C">
      <w:pPr>
        <w:spacing w:after="0" w:line="240" w:lineRule="auto"/>
        <w:jc w:val="both"/>
        <w:rPr>
          <w:rFonts w:ascii="Times New Roman" w:hAnsi="Times New Roman" w:cs="Times New Roman"/>
          <w:color w:val="000000" w:themeColor="text1"/>
          <w:sz w:val="20"/>
          <w:szCs w:val="20"/>
        </w:rPr>
      </w:pPr>
    </w:p>
    <w:sectPr w:rsidR="00542325" w:rsidRPr="00611589" w:rsidSect="00FD043A">
      <w:headerReference w:type="default" r:id="rId23"/>
      <w:footerReference w:type="default" r:id="rId24"/>
      <w:headerReference w:type="first" r:id="rId25"/>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D4" w:rsidRDefault="009148D4" w:rsidP="008F32BD">
      <w:pPr>
        <w:spacing w:after="0" w:line="240" w:lineRule="auto"/>
      </w:pPr>
      <w:r>
        <w:separator/>
      </w:r>
    </w:p>
  </w:endnote>
  <w:endnote w:type="continuationSeparator" w:id="0">
    <w:p w:rsidR="009148D4" w:rsidRDefault="009148D4" w:rsidP="008F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C3" w:rsidRPr="001B40C3" w:rsidRDefault="001B40C3">
    <w:pPr>
      <w:pStyle w:val="Footer"/>
      <w:rPr>
        <w:rFonts w:ascii="Times New Roman" w:hAnsi="Times New Roman" w:cs="Times New Roman"/>
      </w:rPr>
    </w:pPr>
    <w:r w:rsidRPr="001B40C3">
      <w:rPr>
        <w:rFonts w:ascii="Times New Roman" w:hAnsi="Times New Roman" w:cs="Times New Roman"/>
      </w:rPr>
      <w:t>KNABzino_</w:t>
    </w:r>
    <w:r w:rsidR="00702914">
      <w:rPr>
        <w:rFonts w:ascii="Times New Roman" w:hAnsi="Times New Roman" w:cs="Times New Roman"/>
      </w:rPr>
      <w:t>02022015</w:t>
    </w:r>
    <w:r w:rsidRPr="001B40C3">
      <w:rPr>
        <w:rFonts w:ascii="Times New Roman" w:hAnsi="Times New Roman" w:cs="Times New Roman"/>
      </w:rPr>
      <w:t>.docx; Informatīvais ziņojums "Par Korupcijas novēršanas un apkarošanas biroja darbību no 2014.gada 1.jūlija līdz 31.decembrim"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D4" w:rsidRDefault="009148D4" w:rsidP="008F32BD">
      <w:pPr>
        <w:spacing w:after="0" w:line="240" w:lineRule="auto"/>
      </w:pPr>
      <w:r>
        <w:separator/>
      </w:r>
    </w:p>
  </w:footnote>
  <w:footnote w:type="continuationSeparator" w:id="0">
    <w:p w:rsidR="009148D4" w:rsidRDefault="009148D4" w:rsidP="008F3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34224395"/>
      <w:docPartObj>
        <w:docPartGallery w:val="Page Numbers (Top of Page)"/>
        <w:docPartUnique/>
      </w:docPartObj>
    </w:sdtPr>
    <w:sdtEndPr>
      <w:rPr>
        <w:noProof/>
      </w:rPr>
    </w:sdtEndPr>
    <w:sdtContent>
      <w:p w:rsidR="002B0B4D" w:rsidRPr="0017538A" w:rsidRDefault="00CE5AF5" w:rsidP="0017538A">
        <w:pPr>
          <w:pStyle w:val="Header"/>
          <w:jc w:val="center"/>
          <w:rPr>
            <w:rFonts w:ascii="Times New Roman" w:hAnsi="Times New Roman" w:cs="Times New Roman"/>
            <w:sz w:val="24"/>
            <w:szCs w:val="24"/>
          </w:rPr>
        </w:pPr>
        <w:r w:rsidRPr="0017538A">
          <w:rPr>
            <w:rFonts w:ascii="Times New Roman" w:hAnsi="Times New Roman" w:cs="Times New Roman"/>
            <w:sz w:val="24"/>
            <w:szCs w:val="24"/>
          </w:rPr>
          <w:fldChar w:fldCharType="begin"/>
        </w:r>
        <w:r w:rsidR="002B0B4D" w:rsidRPr="0017538A">
          <w:rPr>
            <w:rFonts w:ascii="Times New Roman" w:hAnsi="Times New Roman" w:cs="Times New Roman"/>
            <w:sz w:val="24"/>
            <w:szCs w:val="24"/>
          </w:rPr>
          <w:instrText xml:space="preserve"> PAGE   \* MERGEFORMAT </w:instrText>
        </w:r>
        <w:r w:rsidRPr="0017538A">
          <w:rPr>
            <w:rFonts w:ascii="Times New Roman" w:hAnsi="Times New Roman" w:cs="Times New Roman"/>
            <w:sz w:val="24"/>
            <w:szCs w:val="24"/>
          </w:rPr>
          <w:fldChar w:fldCharType="separate"/>
        </w:r>
        <w:r w:rsidR="00285CD4">
          <w:rPr>
            <w:rFonts w:ascii="Times New Roman" w:hAnsi="Times New Roman" w:cs="Times New Roman"/>
            <w:noProof/>
            <w:sz w:val="24"/>
            <w:szCs w:val="24"/>
          </w:rPr>
          <w:t>16</w:t>
        </w:r>
        <w:r w:rsidRPr="0017538A">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4D" w:rsidRPr="0017538A" w:rsidRDefault="002B0B4D" w:rsidP="001753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435E"/>
    <w:multiLevelType w:val="hybridMultilevel"/>
    <w:tmpl w:val="D43CB6E6"/>
    <w:lvl w:ilvl="0" w:tplc="30105E54">
      <w:start w:val="1"/>
      <w:numFmt w:val="decimal"/>
      <w:lvlText w:val="%1)"/>
      <w:lvlJc w:val="left"/>
      <w:pPr>
        <w:ind w:left="720" w:hanging="360"/>
      </w:pPr>
      <w:rPr>
        <w:rFonts w:ascii="Times New Roman" w:eastAsiaTheme="minorHAnsi"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4E4310"/>
    <w:multiLevelType w:val="hybridMultilevel"/>
    <w:tmpl w:val="05E45AD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F96151C"/>
    <w:multiLevelType w:val="multilevel"/>
    <w:tmpl w:val="B0EE17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C80C85"/>
    <w:multiLevelType w:val="hybridMultilevel"/>
    <w:tmpl w:val="D428A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DA2C53"/>
    <w:multiLevelType w:val="hybridMultilevel"/>
    <w:tmpl w:val="37F635FA"/>
    <w:lvl w:ilvl="0" w:tplc="2A405432">
      <w:start w:val="1"/>
      <w:numFmt w:val="decimal"/>
      <w:lvlText w:val="%1."/>
      <w:lvlJc w:val="left"/>
      <w:pPr>
        <w:ind w:left="1778" w:hanging="360"/>
      </w:pPr>
      <w:rPr>
        <w:rFonts w:ascii="Times New Roman" w:hAnsi="Times New Roman" w:cs="Times New Roman" w:hint="default"/>
        <w:sz w:val="28"/>
        <w:szCs w:val="28"/>
      </w:rPr>
    </w:lvl>
    <w:lvl w:ilvl="1" w:tplc="04260019">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5">
    <w:nsid w:val="16FC7B5A"/>
    <w:multiLevelType w:val="hybridMultilevel"/>
    <w:tmpl w:val="09183FA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DFE41D9"/>
    <w:multiLevelType w:val="hybridMultilevel"/>
    <w:tmpl w:val="89B20692"/>
    <w:lvl w:ilvl="0" w:tplc="DC6A564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7">
    <w:nsid w:val="210200CE"/>
    <w:multiLevelType w:val="multilevel"/>
    <w:tmpl w:val="284A0C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2BF4232"/>
    <w:multiLevelType w:val="hybridMultilevel"/>
    <w:tmpl w:val="748EE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2E391E"/>
    <w:multiLevelType w:val="hybridMultilevel"/>
    <w:tmpl w:val="76AE7AAC"/>
    <w:lvl w:ilvl="0" w:tplc="201670D0">
      <w:start w:val="1"/>
      <w:numFmt w:val="decimal"/>
      <w:lvlText w:val="%1."/>
      <w:lvlJc w:val="left"/>
      <w:pPr>
        <w:ind w:left="1707" w:hanging="11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29EA3796"/>
    <w:multiLevelType w:val="hybridMultilevel"/>
    <w:tmpl w:val="8C643B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AE600F1"/>
    <w:multiLevelType w:val="hybridMultilevel"/>
    <w:tmpl w:val="8ADC88B4"/>
    <w:lvl w:ilvl="0" w:tplc="A7E81A36">
      <w:numFmt w:val="bullet"/>
      <w:lvlText w:val=""/>
      <w:lvlJc w:val="left"/>
      <w:pPr>
        <w:ind w:left="720" w:hanging="360"/>
      </w:pPr>
      <w:rPr>
        <w:rFonts w:ascii="Symbol" w:eastAsiaTheme="minorHAnsi"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CBA1527"/>
    <w:multiLevelType w:val="hybridMultilevel"/>
    <w:tmpl w:val="3FEEF92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D70506C"/>
    <w:multiLevelType w:val="hybridMultilevel"/>
    <w:tmpl w:val="77628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7D82085"/>
    <w:multiLevelType w:val="hybridMultilevel"/>
    <w:tmpl w:val="9DC4D32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382B0D93"/>
    <w:multiLevelType w:val="hybridMultilevel"/>
    <w:tmpl w:val="03E0E6DE"/>
    <w:lvl w:ilvl="0" w:tplc="30105E54">
      <w:start w:val="1"/>
      <w:numFmt w:val="decimal"/>
      <w:lvlText w:val="%1)"/>
      <w:lvlJc w:val="left"/>
      <w:pPr>
        <w:ind w:left="720" w:hanging="360"/>
      </w:pPr>
      <w:rPr>
        <w:rFonts w:ascii="Times New Roman" w:eastAsiaTheme="minorHAnsi"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616DDA"/>
    <w:multiLevelType w:val="hybridMultilevel"/>
    <w:tmpl w:val="42EE28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1A26EA1"/>
    <w:multiLevelType w:val="hybridMultilevel"/>
    <w:tmpl w:val="D02247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5BCA1AE9"/>
    <w:multiLevelType w:val="hybridMultilevel"/>
    <w:tmpl w:val="7A2EDC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3D5D67"/>
    <w:multiLevelType w:val="hybridMultilevel"/>
    <w:tmpl w:val="896EDD30"/>
    <w:lvl w:ilvl="0" w:tplc="7E90F78E">
      <w:start w:val="1"/>
      <w:numFmt w:val="bullet"/>
      <w:lvlText w:val="-"/>
      <w:lvlJc w:val="left"/>
      <w:pPr>
        <w:ind w:left="720" w:hanging="360"/>
      </w:pPr>
      <w:rPr>
        <w:rFonts w:ascii="Times New Roman" w:eastAsia="Times New Roman"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EB318AD"/>
    <w:multiLevelType w:val="hybridMultilevel"/>
    <w:tmpl w:val="96780B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9353523"/>
    <w:multiLevelType w:val="hybridMultilevel"/>
    <w:tmpl w:val="69E87BAC"/>
    <w:lvl w:ilvl="0" w:tplc="A7E81A36">
      <w:numFmt w:val="bullet"/>
      <w:lvlText w:val=""/>
      <w:lvlJc w:val="left"/>
      <w:pPr>
        <w:ind w:left="1287" w:hanging="360"/>
      </w:pPr>
      <w:rPr>
        <w:rFonts w:ascii="Symbol" w:eastAsiaTheme="minorHAnsi" w:hAnsi="Symbol" w:cs="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nsid w:val="7F6D5DC6"/>
    <w:multiLevelType w:val="hybridMultilevel"/>
    <w:tmpl w:val="E05CE370"/>
    <w:lvl w:ilvl="0" w:tplc="A7E81A36">
      <w:numFmt w:val="bullet"/>
      <w:lvlText w:val=""/>
      <w:lvlJc w:val="left"/>
      <w:pPr>
        <w:ind w:left="720" w:hanging="360"/>
      </w:pPr>
      <w:rPr>
        <w:rFonts w:ascii="Symbol" w:eastAsiaTheme="minorHAnsi"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FBC1CC4"/>
    <w:multiLevelType w:val="hybridMultilevel"/>
    <w:tmpl w:val="72A8037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3"/>
  </w:num>
  <w:num w:numId="4">
    <w:abstractNumId w:val="8"/>
  </w:num>
  <w:num w:numId="5">
    <w:abstractNumId w:val="18"/>
  </w:num>
  <w:num w:numId="6">
    <w:abstractNumId w:val="20"/>
  </w:num>
  <w:num w:numId="7">
    <w:abstractNumId w:val="10"/>
  </w:num>
  <w:num w:numId="8">
    <w:abstractNumId w:val="9"/>
  </w:num>
  <w:num w:numId="9">
    <w:abstractNumId w:val="4"/>
  </w:num>
  <w:num w:numId="10">
    <w:abstractNumId w:val="19"/>
  </w:num>
  <w:num w:numId="11">
    <w:abstractNumId w:val="23"/>
  </w:num>
  <w:num w:numId="12">
    <w:abstractNumId w:val="5"/>
  </w:num>
  <w:num w:numId="13">
    <w:abstractNumId w:val="22"/>
  </w:num>
  <w:num w:numId="14">
    <w:abstractNumId w:val="0"/>
  </w:num>
  <w:num w:numId="15">
    <w:abstractNumId w:val="21"/>
  </w:num>
  <w:num w:numId="16">
    <w:abstractNumId w:val="15"/>
  </w:num>
  <w:num w:numId="17">
    <w:abstractNumId w:val="11"/>
  </w:num>
  <w:num w:numId="18">
    <w:abstractNumId w:val="16"/>
  </w:num>
  <w:num w:numId="19">
    <w:abstractNumId w:val="12"/>
  </w:num>
  <w:num w:numId="20">
    <w:abstractNumId w:val="14"/>
  </w:num>
  <w:num w:numId="21">
    <w:abstractNumId w:val="2"/>
  </w:num>
  <w:num w:numId="22">
    <w:abstractNumId w:val="1"/>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F32BD"/>
    <w:rsid w:val="000006BE"/>
    <w:rsid w:val="000021AD"/>
    <w:rsid w:val="00002253"/>
    <w:rsid w:val="0000652B"/>
    <w:rsid w:val="00006C02"/>
    <w:rsid w:val="00014762"/>
    <w:rsid w:val="00017E03"/>
    <w:rsid w:val="000206F1"/>
    <w:rsid w:val="00020F40"/>
    <w:rsid w:val="00023A8D"/>
    <w:rsid w:val="00023B2F"/>
    <w:rsid w:val="00024ABB"/>
    <w:rsid w:val="000313F2"/>
    <w:rsid w:val="00034040"/>
    <w:rsid w:val="0003540E"/>
    <w:rsid w:val="000428CF"/>
    <w:rsid w:val="000438B3"/>
    <w:rsid w:val="00047562"/>
    <w:rsid w:val="00055991"/>
    <w:rsid w:val="00055F09"/>
    <w:rsid w:val="00056AF6"/>
    <w:rsid w:val="000703F7"/>
    <w:rsid w:val="00070DFE"/>
    <w:rsid w:val="00073788"/>
    <w:rsid w:val="00073B9D"/>
    <w:rsid w:val="0007426A"/>
    <w:rsid w:val="000773E9"/>
    <w:rsid w:val="000775FF"/>
    <w:rsid w:val="00080D3E"/>
    <w:rsid w:val="00081C07"/>
    <w:rsid w:val="000825F0"/>
    <w:rsid w:val="00091D6D"/>
    <w:rsid w:val="00093ED5"/>
    <w:rsid w:val="000961B4"/>
    <w:rsid w:val="000963D1"/>
    <w:rsid w:val="000968B7"/>
    <w:rsid w:val="00097D81"/>
    <w:rsid w:val="000A083B"/>
    <w:rsid w:val="000A5B81"/>
    <w:rsid w:val="000A782B"/>
    <w:rsid w:val="000B5C53"/>
    <w:rsid w:val="000B791F"/>
    <w:rsid w:val="000C1ED2"/>
    <w:rsid w:val="000C619E"/>
    <w:rsid w:val="000C7983"/>
    <w:rsid w:val="000D04ED"/>
    <w:rsid w:val="000E0ABD"/>
    <w:rsid w:val="000E12C7"/>
    <w:rsid w:val="000E693D"/>
    <w:rsid w:val="000E7B20"/>
    <w:rsid w:val="000F1000"/>
    <w:rsid w:val="000F17BD"/>
    <w:rsid w:val="000F2584"/>
    <w:rsid w:val="00111CF9"/>
    <w:rsid w:val="00113355"/>
    <w:rsid w:val="001141AA"/>
    <w:rsid w:val="001142AD"/>
    <w:rsid w:val="001205CE"/>
    <w:rsid w:val="001208B0"/>
    <w:rsid w:val="001220D3"/>
    <w:rsid w:val="00122F9A"/>
    <w:rsid w:val="001267D2"/>
    <w:rsid w:val="00127513"/>
    <w:rsid w:val="00127BE0"/>
    <w:rsid w:val="00131EB4"/>
    <w:rsid w:val="00136070"/>
    <w:rsid w:val="001416DC"/>
    <w:rsid w:val="00151C08"/>
    <w:rsid w:val="001522D5"/>
    <w:rsid w:val="00152AFA"/>
    <w:rsid w:val="00152B00"/>
    <w:rsid w:val="0016357F"/>
    <w:rsid w:val="001659BC"/>
    <w:rsid w:val="00172B64"/>
    <w:rsid w:val="00174549"/>
    <w:rsid w:val="0017538A"/>
    <w:rsid w:val="00182A58"/>
    <w:rsid w:val="00184116"/>
    <w:rsid w:val="0018564A"/>
    <w:rsid w:val="001857F5"/>
    <w:rsid w:val="00186827"/>
    <w:rsid w:val="00186933"/>
    <w:rsid w:val="001967C4"/>
    <w:rsid w:val="001969B9"/>
    <w:rsid w:val="001972B4"/>
    <w:rsid w:val="001A0029"/>
    <w:rsid w:val="001A1761"/>
    <w:rsid w:val="001A3122"/>
    <w:rsid w:val="001A32B0"/>
    <w:rsid w:val="001A6817"/>
    <w:rsid w:val="001A7EE6"/>
    <w:rsid w:val="001B0CF4"/>
    <w:rsid w:val="001B22D9"/>
    <w:rsid w:val="001B25B7"/>
    <w:rsid w:val="001B40C3"/>
    <w:rsid w:val="001C0577"/>
    <w:rsid w:val="001C08BB"/>
    <w:rsid w:val="001C44D9"/>
    <w:rsid w:val="001C5C79"/>
    <w:rsid w:val="001D2A5F"/>
    <w:rsid w:val="001D44A0"/>
    <w:rsid w:val="001D5281"/>
    <w:rsid w:val="001D5FA8"/>
    <w:rsid w:val="001E11E2"/>
    <w:rsid w:val="001E5D33"/>
    <w:rsid w:val="001F42A1"/>
    <w:rsid w:val="001F4434"/>
    <w:rsid w:val="001F79AF"/>
    <w:rsid w:val="00200373"/>
    <w:rsid w:val="00202EB1"/>
    <w:rsid w:val="0020489C"/>
    <w:rsid w:val="00204F5E"/>
    <w:rsid w:val="00213C45"/>
    <w:rsid w:val="0021422D"/>
    <w:rsid w:val="00215B60"/>
    <w:rsid w:val="00220289"/>
    <w:rsid w:val="00227DF2"/>
    <w:rsid w:val="00234067"/>
    <w:rsid w:val="002340A6"/>
    <w:rsid w:val="002348E8"/>
    <w:rsid w:val="00235BFF"/>
    <w:rsid w:val="0023653B"/>
    <w:rsid w:val="00236AC5"/>
    <w:rsid w:val="002458EE"/>
    <w:rsid w:val="0024696F"/>
    <w:rsid w:val="002512FB"/>
    <w:rsid w:val="00252934"/>
    <w:rsid w:val="00254D0E"/>
    <w:rsid w:val="00254F23"/>
    <w:rsid w:val="0025528A"/>
    <w:rsid w:val="00255F5C"/>
    <w:rsid w:val="00265179"/>
    <w:rsid w:val="00265BFA"/>
    <w:rsid w:val="002667C6"/>
    <w:rsid w:val="00267E9D"/>
    <w:rsid w:val="00274B62"/>
    <w:rsid w:val="00275C29"/>
    <w:rsid w:val="00277F49"/>
    <w:rsid w:val="002820B1"/>
    <w:rsid w:val="002825E2"/>
    <w:rsid w:val="00285CD4"/>
    <w:rsid w:val="002863B6"/>
    <w:rsid w:val="00290138"/>
    <w:rsid w:val="002952ED"/>
    <w:rsid w:val="00295475"/>
    <w:rsid w:val="00295CFE"/>
    <w:rsid w:val="002965A6"/>
    <w:rsid w:val="002A38E4"/>
    <w:rsid w:val="002B0B4D"/>
    <w:rsid w:val="002B2E0B"/>
    <w:rsid w:val="002B3FCB"/>
    <w:rsid w:val="002C1348"/>
    <w:rsid w:val="002C2106"/>
    <w:rsid w:val="002C6A15"/>
    <w:rsid w:val="002D0885"/>
    <w:rsid w:val="002D2604"/>
    <w:rsid w:val="002E568E"/>
    <w:rsid w:val="002E5E7E"/>
    <w:rsid w:val="002E7BDA"/>
    <w:rsid w:val="002E7DB7"/>
    <w:rsid w:val="002F3BDD"/>
    <w:rsid w:val="002F71C9"/>
    <w:rsid w:val="003022CD"/>
    <w:rsid w:val="003119D3"/>
    <w:rsid w:val="003134C5"/>
    <w:rsid w:val="00315BCD"/>
    <w:rsid w:val="003160B5"/>
    <w:rsid w:val="003206EC"/>
    <w:rsid w:val="0032461E"/>
    <w:rsid w:val="00325B0A"/>
    <w:rsid w:val="0032648A"/>
    <w:rsid w:val="00332A36"/>
    <w:rsid w:val="00334502"/>
    <w:rsid w:val="003359D7"/>
    <w:rsid w:val="00335A0D"/>
    <w:rsid w:val="0033652C"/>
    <w:rsid w:val="0033679D"/>
    <w:rsid w:val="00344BC7"/>
    <w:rsid w:val="00350E97"/>
    <w:rsid w:val="003520F9"/>
    <w:rsid w:val="0035360F"/>
    <w:rsid w:val="003543C7"/>
    <w:rsid w:val="003563CA"/>
    <w:rsid w:val="00361F7B"/>
    <w:rsid w:val="00362B7B"/>
    <w:rsid w:val="00362F80"/>
    <w:rsid w:val="0037685A"/>
    <w:rsid w:val="003810E8"/>
    <w:rsid w:val="00384F45"/>
    <w:rsid w:val="00385E8D"/>
    <w:rsid w:val="00387476"/>
    <w:rsid w:val="00392F0C"/>
    <w:rsid w:val="00394F70"/>
    <w:rsid w:val="003961D1"/>
    <w:rsid w:val="00397D17"/>
    <w:rsid w:val="003A20D0"/>
    <w:rsid w:val="003A257E"/>
    <w:rsid w:val="003A2F77"/>
    <w:rsid w:val="003A42A6"/>
    <w:rsid w:val="003A47C0"/>
    <w:rsid w:val="003B35C8"/>
    <w:rsid w:val="003B44B6"/>
    <w:rsid w:val="003C046E"/>
    <w:rsid w:val="003C0DA6"/>
    <w:rsid w:val="003C60ED"/>
    <w:rsid w:val="003C69FB"/>
    <w:rsid w:val="003C7F63"/>
    <w:rsid w:val="003D1893"/>
    <w:rsid w:val="003D2843"/>
    <w:rsid w:val="003D447D"/>
    <w:rsid w:val="003D6E55"/>
    <w:rsid w:val="003D70F1"/>
    <w:rsid w:val="003E17D9"/>
    <w:rsid w:val="003E440D"/>
    <w:rsid w:val="003F0A43"/>
    <w:rsid w:val="003F1422"/>
    <w:rsid w:val="003F2964"/>
    <w:rsid w:val="003F6788"/>
    <w:rsid w:val="0040308F"/>
    <w:rsid w:val="0040333C"/>
    <w:rsid w:val="004069B4"/>
    <w:rsid w:val="004102ED"/>
    <w:rsid w:val="00411898"/>
    <w:rsid w:val="004121B9"/>
    <w:rsid w:val="00412BC7"/>
    <w:rsid w:val="00413C5A"/>
    <w:rsid w:val="004143A8"/>
    <w:rsid w:val="004167F2"/>
    <w:rsid w:val="00416DB6"/>
    <w:rsid w:val="004202C9"/>
    <w:rsid w:val="00425D41"/>
    <w:rsid w:val="0042773C"/>
    <w:rsid w:val="00430865"/>
    <w:rsid w:val="0043547C"/>
    <w:rsid w:val="004361CE"/>
    <w:rsid w:val="00436EC2"/>
    <w:rsid w:val="00437842"/>
    <w:rsid w:val="00443273"/>
    <w:rsid w:val="00443FA9"/>
    <w:rsid w:val="00444543"/>
    <w:rsid w:val="004448D4"/>
    <w:rsid w:val="00445BE8"/>
    <w:rsid w:val="00447F86"/>
    <w:rsid w:val="00451A10"/>
    <w:rsid w:val="004532B3"/>
    <w:rsid w:val="0045694A"/>
    <w:rsid w:val="004629AA"/>
    <w:rsid w:val="004632C3"/>
    <w:rsid w:val="0046551C"/>
    <w:rsid w:val="00465948"/>
    <w:rsid w:val="00467699"/>
    <w:rsid w:val="00473B76"/>
    <w:rsid w:val="00476C4C"/>
    <w:rsid w:val="00484568"/>
    <w:rsid w:val="00484DA5"/>
    <w:rsid w:val="00486491"/>
    <w:rsid w:val="00490B34"/>
    <w:rsid w:val="00491C05"/>
    <w:rsid w:val="00492B80"/>
    <w:rsid w:val="004949DF"/>
    <w:rsid w:val="00496C85"/>
    <w:rsid w:val="004A1320"/>
    <w:rsid w:val="004A1747"/>
    <w:rsid w:val="004A43D9"/>
    <w:rsid w:val="004A6700"/>
    <w:rsid w:val="004A6756"/>
    <w:rsid w:val="004B1216"/>
    <w:rsid w:val="004B376E"/>
    <w:rsid w:val="004C086F"/>
    <w:rsid w:val="004C168A"/>
    <w:rsid w:val="004C1E3E"/>
    <w:rsid w:val="004C26AA"/>
    <w:rsid w:val="004C3609"/>
    <w:rsid w:val="004C5072"/>
    <w:rsid w:val="004D1509"/>
    <w:rsid w:val="004D6438"/>
    <w:rsid w:val="004D6798"/>
    <w:rsid w:val="004E0745"/>
    <w:rsid w:val="004E0AC5"/>
    <w:rsid w:val="004E4070"/>
    <w:rsid w:val="004F02FB"/>
    <w:rsid w:val="004F2627"/>
    <w:rsid w:val="005054E6"/>
    <w:rsid w:val="005148E8"/>
    <w:rsid w:val="00521516"/>
    <w:rsid w:val="00523498"/>
    <w:rsid w:val="0052727D"/>
    <w:rsid w:val="00530A31"/>
    <w:rsid w:val="005328E7"/>
    <w:rsid w:val="00532995"/>
    <w:rsid w:val="00535EA4"/>
    <w:rsid w:val="0053780F"/>
    <w:rsid w:val="0054008F"/>
    <w:rsid w:val="00542325"/>
    <w:rsid w:val="00542375"/>
    <w:rsid w:val="00544F64"/>
    <w:rsid w:val="0055186B"/>
    <w:rsid w:val="00553139"/>
    <w:rsid w:val="005533BD"/>
    <w:rsid w:val="00556588"/>
    <w:rsid w:val="005621A3"/>
    <w:rsid w:val="00565321"/>
    <w:rsid w:val="005704A1"/>
    <w:rsid w:val="00570A70"/>
    <w:rsid w:val="00574AA9"/>
    <w:rsid w:val="00576300"/>
    <w:rsid w:val="00577546"/>
    <w:rsid w:val="00580B09"/>
    <w:rsid w:val="00583C21"/>
    <w:rsid w:val="00584C98"/>
    <w:rsid w:val="00596922"/>
    <w:rsid w:val="005A37AC"/>
    <w:rsid w:val="005A4726"/>
    <w:rsid w:val="005A479A"/>
    <w:rsid w:val="005B2659"/>
    <w:rsid w:val="005B4234"/>
    <w:rsid w:val="005B44EE"/>
    <w:rsid w:val="005B56A8"/>
    <w:rsid w:val="005B7077"/>
    <w:rsid w:val="005C06DF"/>
    <w:rsid w:val="005C142D"/>
    <w:rsid w:val="005D0706"/>
    <w:rsid w:val="005D18BD"/>
    <w:rsid w:val="005D37FC"/>
    <w:rsid w:val="005D5A51"/>
    <w:rsid w:val="005D5CA2"/>
    <w:rsid w:val="005E0A47"/>
    <w:rsid w:val="005E1545"/>
    <w:rsid w:val="005E1C0F"/>
    <w:rsid w:val="005E3E1D"/>
    <w:rsid w:val="005E6E7E"/>
    <w:rsid w:val="005F1599"/>
    <w:rsid w:val="005F39F2"/>
    <w:rsid w:val="005F586F"/>
    <w:rsid w:val="005F68E9"/>
    <w:rsid w:val="0060321D"/>
    <w:rsid w:val="00606292"/>
    <w:rsid w:val="00610C07"/>
    <w:rsid w:val="00611589"/>
    <w:rsid w:val="00612CE0"/>
    <w:rsid w:val="0061343C"/>
    <w:rsid w:val="00617021"/>
    <w:rsid w:val="00621AE7"/>
    <w:rsid w:val="0062357C"/>
    <w:rsid w:val="006238F4"/>
    <w:rsid w:val="00623F57"/>
    <w:rsid w:val="0062466D"/>
    <w:rsid w:val="006266AF"/>
    <w:rsid w:val="00627B1B"/>
    <w:rsid w:val="006301A1"/>
    <w:rsid w:val="006321FF"/>
    <w:rsid w:val="006412AE"/>
    <w:rsid w:val="006456F5"/>
    <w:rsid w:val="0064581D"/>
    <w:rsid w:val="00646E37"/>
    <w:rsid w:val="00646F45"/>
    <w:rsid w:val="00647059"/>
    <w:rsid w:val="00652C89"/>
    <w:rsid w:val="00654393"/>
    <w:rsid w:val="0065791C"/>
    <w:rsid w:val="00657E57"/>
    <w:rsid w:val="00661904"/>
    <w:rsid w:val="00667582"/>
    <w:rsid w:val="006677C1"/>
    <w:rsid w:val="006703AA"/>
    <w:rsid w:val="006709CC"/>
    <w:rsid w:val="00672EA0"/>
    <w:rsid w:val="0067590A"/>
    <w:rsid w:val="006812D3"/>
    <w:rsid w:val="00683019"/>
    <w:rsid w:val="00685ABF"/>
    <w:rsid w:val="006871FB"/>
    <w:rsid w:val="006919FE"/>
    <w:rsid w:val="00691A07"/>
    <w:rsid w:val="006927FB"/>
    <w:rsid w:val="00694AF4"/>
    <w:rsid w:val="00697A81"/>
    <w:rsid w:val="006A2FF8"/>
    <w:rsid w:val="006A357D"/>
    <w:rsid w:val="006A41B1"/>
    <w:rsid w:val="006A4302"/>
    <w:rsid w:val="006A79B2"/>
    <w:rsid w:val="006B1A41"/>
    <w:rsid w:val="006B3E5E"/>
    <w:rsid w:val="006B44ED"/>
    <w:rsid w:val="006B7144"/>
    <w:rsid w:val="006C1384"/>
    <w:rsid w:val="006C16BE"/>
    <w:rsid w:val="006C16FB"/>
    <w:rsid w:val="006C23E8"/>
    <w:rsid w:val="006C7179"/>
    <w:rsid w:val="006D145A"/>
    <w:rsid w:val="006D33F4"/>
    <w:rsid w:val="006D59C4"/>
    <w:rsid w:val="006D5D8A"/>
    <w:rsid w:val="006E0DF3"/>
    <w:rsid w:val="006E3349"/>
    <w:rsid w:val="006E36A4"/>
    <w:rsid w:val="006E6851"/>
    <w:rsid w:val="006F5A5F"/>
    <w:rsid w:val="006F5C84"/>
    <w:rsid w:val="00701649"/>
    <w:rsid w:val="00701AE9"/>
    <w:rsid w:val="00702914"/>
    <w:rsid w:val="00703440"/>
    <w:rsid w:val="00706C2B"/>
    <w:rsid w:val="007074E5"/>
    <w:rsid w:val="00710C3D"/>
    <w:rsid w:val="007149DF"/>
    <w:rsid w:val="00723F3C"/>
    <w:rsid w:val="00734F61"/>
    <w:rsid w:val="0074005F"/>
    <w:rsid w:val="00740C8A"/>
    <w:rsid w:val="00741D32"/>
    <w:rsid w:val="00742B5C"/>
    <w:rsid w:val="0074409C"/>
    <w:rsid w:val="00757A20"/>
    <w:rsid w:val="00764F49"/>
    <w:rsid w:val="007657D8"/>
    <w:rsid w:val="00767690"/>
    <w:rsid w:val="00772E12"/>
    <w:rsid w:val="0078796E"/>
    <w:rsid w:val="007949D4"/>
    <w:rsid w:val="007A34EE"/>
    <w:rsid w:val="007A7542"/>
    <w:rsid w:val="007A7C0C"/>
    <w:rsid w:val="007B0689"/>
    <w:rsid w:val="007B2699"/>
    <w:rsid w:val="007B5CCF"/>
    <w:rsid w:val="007B634F"/>
    <w:rsid w:val="007C1B07"/>
    <w:rsid w:val="007C1C5A"/>
    <w:rsid w:val="007C1E23"/>
    <w:rsid w:val="007C21A3"/>
    <w:rsid w:val="007C60B8"/>
    <w:rsid w:val="007D160A"/>
    <w:rsid w:val="007D1D25"/>
    <w:rsid w:val="007D2091"/>
    <w:rsid w:val="007D3BA5"/>
    <w:rsid w:val="007D59D6"/>
    <w:rsid w:val="007E0ED5"/>
    <w:rsid w:val="007E16F7"/>
    <w:rsid w:val="007E2D44"/>
    <w:rsid w:val="007E4582"/>
    <w:rsid w:val="007F01CD"/>
    <w:rsid w:val="007F2275"/>
    <w:rsid w:val="007F4BB0"/>
    <w:rsid w:val="007F5E16"/>
    <w:rsid w:val="00802EE1"/>
    <w:rsid w:val="00813A93"/>
    <w:rsid w:val="008158B0"/>
    <w:rsid w:val="00816427"/>
    <w:rsid w:val="0081653E"/>
    <w:rsid w:val="008166C2"/>
    <w:rsid w:val="00816FA7"/>
    <w:rsid w:val="0081779C"/>
    <w:rsid w:val="00820B5A"/>
    <w:rsid w:val="00824EB3"/>
    <w:rsid w:val="0082545F"/>
    <w:rsid w:val="0082587B"/>
    <w:rsid w:val="00827DB0"/>
    <w:rsid w:val="00831FCF"/>
    <w:rsid w:val="008327CE"/>
    <w:rsid w:val="00833BD6"/>
    <w:rsid w:val="00834849"/>
    <w:rsid w:val="00835399"/>
    <w:rsid w:val="008373C7"/>
    <w:rsid w:val="00842976"/>
    <w:rsid w:val="00842A43"/>
    <w:rsid w:val="008434EB"/>
    <w:rsid w:val="00844998"/>
    <w:rsid w:val="00850CAC"/>
    <w:rsid w:val="00851BC1"/>
    <w:rsid w:val="00853512"/>
    <w:rsid w:val="008537EC"/>
    <w:rsid w:val="00860D49"/>
    <w:rsid w:val="00860D6A"/>
    <w:rsid w:val="00862479"/>
    <w:rsid w:val="0086328A"/>
    <w:rsid w:val="0086438F"/>
    <w:rsid w:val="008645F1"/>
    <w:rsid w:val="00865B94"/>
    <w:rsid w:val="008727F1"/>
    <w:rsid w:val="00872F4F"/>
    <w:rsid w:val="008760D6"/>
    <w:rsid w:val="00877BCF"/>
    <w:rsid w:val="00883CA0"/>
    <w:rsid w:val="00886BF1"/>
    <w:rsid w:val="00891368"/>
    <w:rsid w:val="00891FA1"/>
    <w:rsid w:val="00894211"/>
    <w:rsid w:val="008946ED"/>
    <w:rsid w:val="008A0572"/>
    <w:rsid w:val="008A1B77"/>
    <w:rsid w:val="008A3E38"/>
    <w:rsid w:val="008A4C05"/>
    <w:rsid w:val="008A5574"/>
    <w:rsid w:val="008B3D2B"/>
    <w:rsid w:val="008B4A69"/>
    <w:rsid w:val="008B65AD"/>
    <w:rsid w:val="008C49CB"/>
    <w:rsid w:val="008C4C7F"/>
    <w:rsid w:val="008D3030"/>
    <w:rsid w:val="008D3645"/>
    <w:rsid w:val="008D3EEE"/>
    <w:rsid w:val="008E0316"/>
    <w:rsid w:val="008E13F3"/>
    <w:rsid w:val="008E458A"/>
    <w:rsid w:val="008F106C"/>
    <w:rsid w:val="008F18EB"/>
    <w:rsid w:val="008F2280"/>
    <w:rsid w:val="008F30BD"/>
    <w:rsid w:val="008F32BD"/>
    <w:rsid w:val="008F4073"/>
    <w:rsid w:val="00900CC6"/>
    <w:rsid w:val="0090134C"/>
    <w:rsid w:val="00904031"/>
    <w:rsid w:val="0090562B"/>
    <w:rsid w:val="0090700D"/>
    <w:rsid w:val="00907372"/>
    <w:rsid w:val="0091055F"/>
    <w:rsid w:val="009129F8"/>
    <w:rsid w:val="009148D4"/>
    <w:rsid w:val="00923397"/>
    <w:rsid w:val="00924706"/>
    <w:rsid w:val="009250C6"/>
    <w:rsid w:val="0092658C"/>
    <w:rsid w:val="00930E31"/>
    <w:rsid w:val="00931A25"/>
    <w:rsid w:val="00934A34"/>
    <w:rsid w:val="00935734"/>
    <w:rsid w:val="00950730"/>
    <w:rsid w:val="0095218C"/>
    <w:rsid w:val="00952BAD"/>
    <w:rsid w:val="009530F9"/>
    <w:rsid w:val="009553FC"/>
    <w:rsid w:val="009579A0"/>
    <w:rsid w:val="009606DA"/>
    <w:rsid w:val="00961F1D"/>
    <w:rsid w:val="00965A63"/>
    <w:rsid w:val="00970CB0"/>
    <w:rsid w:val="00970D9D"/>
    <w:rsid w:val="0097171A"/>
    <w:rsid w:val="00973777"/>
    <w:rsid w:val="00973B96"/>
    <w:rsid w:val="00973C5B"/>
    <w:rsid w:val="00975C31"/>
    <w:rsid w:val="00975F68"/>
    <w:rsid w:val="00981728"/>
    <w:rsid w:val="0098713B"/>
    <w:rsid w:val="00993348"/>
    <w:rsid w:val="009971D1"/>
    <w:rsid w:val="0099740F"/>
    <w:rsid w:val="009A7936"/>
    <w:rsid w:val="009B13ED"/>
    <w:rsid w:val="009B2D55"/>
    <w:rsid w:val="009B3962"/>
    <w:rsid w:val="009C48E8"/>
    <w:rsid w:val="009C574F"/>
    <w:rsid w:val="009D2EC6"/>
    <w:rsid w:val="009D420F"/>
    <w:rsid w:val="009D5209"/>
    <w:rsid w:val="009D69E9"/>
    <w:rsid w:val="009D715E"/>
    <w:rsid w:val="009E0473"/>
    <w:rsid w:val="009E4508"/>
    <w:rsid w:val="009E4EC3"/>
    <w:rsid w:val="009E4FBF"/>
    <w:rsid w:val="009F068A"/>
    <w:rsid w:val="009F0D63"/>
    <w:rsid w:val="009F1185"/>
    <w:rsid w:val="009F1712"/>
    <w:rsid w:val="009F4ED7"/>
    <w:rsid w:val="009F7253"/>
    <w:rsid w:val="009F7FB1"/>
    <w:rsid w:val="00A007CE"/>
    <w:rsid w:val="00A0559F"/>
    <w:rsid w:val="00A065AA"/>
    <w:rsid w:val="00A06AE0"/>
    <w:rsid w:val="00A11AED"/>
    <w:rsid w:val="00A131E8"/>
    <w:rsid w:val="00A15E1B"/>
    <w:rsid w:val="00A16C45"/>
    <w:rsid w:val="00A215B4"/>
    <w:rsid w:val="00A43C9C"/>
    <w:rsid w:val="00A4710F"/>
    <w:rsid w:val="00A54DA0"/>
    <w:rsid w:val="00A57AF5"/>
    <w:rsid w:val="00A61981"/>
    <w:rsid w:val="00A620D5"/>
    <w:rsid w:val="00A70A58"/>
    <w:rsid w:val="00A717F6"/>
    <w:rsid w:val="00A727A2"/>
    <w:rsid w:val="00A74C40"/>
    <w:rsid w:val="00A777EB"/>
    <w:rsid w:val="00A82AC0"/>
    <w:rsid w:val="00A82FB3"/>
    <w:rsid w:val="00A91FF8"/>
    <w:rsid w:val="00A926FE"/>
    <w:rsid w:val="00A93CEC"/>
    <w:rsid w:val="00AA35DF"/>
    <w:rsid w:val="00AA5073"/>
    <w:rsid w:val="00AA6E74"/>
    <w:rsid w:val="00AA7648"/>
    <w:rsid w:val="00AA7F9B"/>
    <w:rsid w:val="00AB0443"/>
    <w:rsid w:val="00AB18D8"/>
    <w:rsid w:val="00AB230B"/>
    <w:rsid w:val="00AB25DC"/>
    <w:rsid w:val="00AB5904"/>
    <w:rsid w:val="00AB5F48"/>
    <w:rsid w:val="00AB6AE8"/>
    <w:rsid w:val="00AC08FF"/>
    <w:rsid w:val="00AC0B4B"/>
    <w:rsid w:val="00AC3608"/>
    <w:rsid w:val="00AC6A59"/>
    <w:rsid w:val="00AC781F"/>
    <w:rsid w:val="00AC7F81"/>
    <w:rsid w:val="00AD23F7"/>
    <w:rsid w:val="00AD4047"/>
    <w:rsid w:val="00AD6421"/>
    <w:rsid w:val="00AD6593"/>
    <w:rsid w:val="00AF327B"/>
    <w:rsid w:val="00AF356F"/>
    <w:rsid w:val="00AF38F1"/>
    <w:rsid w:val="00AF414E"/>
    <w:rsid w:val="00AF4AB3"/>
    <w:rsid w:val="00AF697F"/>
    <w:rsid w:val="00B0069E"/>
    <w:rsid w:val="00B102EE"/>
    <w:rsid w:val="00B11E2B"/>
    <w:rsid w:val="00B141D2"/>
    <w:rsid w:val="00B14AE1"/>
    <w:rsid w:val="00B2203C"/>
    <w:rsid w:val="00B220A9"/>
    <w:rsid w:val="00B238C7"/>
    <w:rsid w:val="00B31527"/>
    <w:rsid w:val="00B34758"/>
    <w:rsid w:val="00B3641D"/>
    <w:rsid w:val="00B41229"/>
    <w:rsid w:val="00B41CAF"/>
    <w:rsid w:val="00B46CCE"/>
    <w:rsid w:val="00B50B8A"/>
    <w:rsid w:val="00B53A72"/>
    <w:rsid w:val="00B54102"/>
    <w:rsid w:val="00B6098B"/>
    <w:rsid w:val="00B61DD0"/>
    <w:rsid w:val="00B66C55"/>
    <w:rsid w:val="00B710EC"/>
    <w:rsid w:val="00B726A4"/>
    <w:rsid w:val="00B7644F"/>
    <w:rsid w:val="00B80C54"/>
    <w:rsid w:val="00B81BD3"/>
    <w:rsid w:val="00B84650"/>
    <w:rsid w:val="00B86BC6"/>
    <w:rsid w:val="00B876E6"/>
    <w:rsid w:val="00B95C99"/>
    <w:rsid w:val="00B970EB"/>
    <w:rsid w:val="00B97C12"/>
    <w:rsid w:val="00BA1D6A"/>
    <w:rsid w:val="00BA48BD"/>
    <w:rsid w:val="00BA5EEA"/>
    <w:rsid w:val="00BA690A"/>
    <w:rsid w:val="00BB0A6F"/>
    <w:rsid w:val="00BB0A74"/>
    <w:rsid w:val="00BB2836"/>
    <w:rsid w:val="00BB3E6B"/>
    <w:rsid w:val="00BB68AF"/>
    <w:rsid w:val="00BB694D"/>
    <w:rsid w:val="00BB74F8"/>
    <w:rsid w:val="00BC0C06"/>
    <w:rsid w:val="00BC1B09"/>
    <w:rsid w:val="00BC3C50"/>
    <w:rsid w:val="00BC79F6"/>
    <w:rsid w:val="00BD30F0"/>
    <w:rsid w:val="00BE13B3"/>
    <w:rsid w:val="00BE18F6"/>
    <w:rsid w:val="00BE20A5"/>
    <w:rsid w:val="00BE2AF1"/>
    <w:rsid w:val="00BE77F7"/>
    <w:rsid w:val="00BF1952"/>
    <w:rsid w:val="00BF24F9"/>
    <w:rsid w:val="00BF3C97"/>
    <w:rsid w:val="00C02520"/>
    <w:rsid w:val="00C0331F"/>
    <w:rsid w:val="00C04902"/>
    <w:rsid w:val="00C05C60"/>
    <w:rsid w:val="00C15DDF"/>
    <w:rsid w:val="00C1735E"/>
    <w:rsid w:val="00C17CE5"/>
    <w:rsid w:val="00C2103E"/>
    <w:rsid w:val="00C2413A"/>
    <w:rsid w:val="00C245B4"/>
    <w:rsid w:val="00C2714D"/>
    <w:rsid w:val="00C330FC"/>
    <w:rsid w:val="00C359AA"/>
    <w:rsid w:val="00C4779E"/>
    <w:rsid w:val="00C47CEF"/>
    <w:rsid w:val="00C54A76"/>
    <w:rsid w:val="00C555AB"/>
    <w:rsid w:val="00C60AE9"/>
    <w:rsid w:val="00C61AC7"/>
    <w:rsid w:val="00C64C64"/>
    <w:rsid w:val="00C664C0"/>
    <w:rsid w:val="00C6763D"/>
    <w:rsid w:val="00C70D72"/>
    <w:rsid w:val="00C7183E"/>
    <w:rsid w:val="00C74420"/>
    <w:rsid w:val="00C81292"/>
    <w:rsid w:val="00C8174E"/>
    <w:rsid w:val="00C81B0C"/>
    <w:rsid w:val="00C8453F"/>
    <w:rsid w:val="00C860C5"/>
    <w:rsid w:val="00C9332F"/>
    <w:rsid w:val="00C95C12"/>
    <w:rsid w:val="00C9665A"/>
    <w:rsid w:val="00C96D94"/>
    <w:rsid w:val="00C97824"/>
    <w:rsid w:val="00C978D8"/>
    <w:rsid w:val="00CA2A70"/>
    <w:rsid w:val="00CA43C7"/>
    <w:rsid w:val="00CA451C"/>
    <w:rsid w:val="00CA488A"/>
    <w:rsid w:val="00CA5D0B"/>
    <w:rsid w:val="00CB58D2"/>
    <w:rsid w:val="00CB5B97"/>
    <w:rsid w:val="00CB6E77"/>
    <w:rsid w:val="00CC4B28"/>
    <w:rsid w:val="00CD092A"/>
    <w:rsid w:val="00CD0C04"/>
    <w:rsid w:val="00CD0E43"/>
    <w:rsid w:val="00CD3A4D"/>
    <w:rsid w:val="00CD4A93"/>
    <w:rsid w:val="00CD5E2E"/>
    <w:rsid w:val="00CD6180"/>
    <w:rsid w:val="00CD742E"/>
    <w:rsid w:val="00CE5AF5"/>
    <w:rsid w:val="00CF0F74"/>
    <w:rsid w:val="00CF58AC"/>
    <w:rsid w:val="00CF65DA"/>
    <w:rsid w:val="00CF6A59"/>
    <w:rsid w:val="00D019A4"/>
    <w:rsid w:val="00D05088"/>
    <w:rsid w:val="00D10254"/>
    <w:rsid w:val="00D103C1"/>
    <w:rsid w:val="00D10BD6"/>
    <w:rsid w:val="00D113AA"/>
    <w:rsid w:val="00D113BE"/>
    <w:rsid w:val="00D12F92"/>
    <w:rsid w:val="00D14BFB"/>
    <w:rsid w:val="00D22D92"/>
    <w:rsid w:val="00D24D94"/>
    <w:rsid w:val="00D313DB"/>
    <w:rsid w:val="00D33F6C"/>
    <w:rsid w:val="00D34D23"/>
    <w:rsid w:val="00D41F52"/>
    <w:rsid w:val="00D437AA"/>
    <w:rsid w:val="00D43C7E"/>
    <w:rsid w:val="00D4624D"/>
    <w:rsid w:val="00D50B18"/>
    <w:rsid w:val="00D5121C"/>
    <w:rsid w:val="00D643BB"/>
    <w:rsid w:val="00D67782"/>
    <w:rsid w:val="00D67F95"/>
    <w:rsid w:val="00D72724"/>
    <w:rsid w:val="00D7345C"/>
    <w:rsid w:val="00D748AD"/>
    <w:rsid w:val="00D74E56"/>
    <w:rsid w:val="00D752A9"/>
    <w:rsid w:val="00D75C40"/>
    <w:rsid w:val="00D761A4"/>
    <w:rsid w:val="00D77B06"/>
    <w:rsid w:val="00D83BE3"/>
    <w:rsid w:val="00D857AD"/>
    <w:rsid w:val="00D86315"/>
    <w:rsid w:val="00D86A43"/>
    <w:rsid w:val="00D86CEE"/>
    <w:rsid w:val="00D87ABA"/>
    <w:rsid w:val="00D91E78"/>
    <w:rsid w:val="00D92133"/>
    <w:rsid w:val="00D94BFF"/>
    <w:rsid w:val="00DA0B70"/>
    <w:rsid w:val="00DA1DCA"/>
    <w:rsid w:val="00DA7797"/>
    <w:rsid w:val="00DA7969"/>
    <w:rsid w:val="00DB579F"/>
    <w:rsid w:val="00DB734B"/>
    <w:rsid w:val="00DC03C2"/>
    <w:rsid w:val="00DC0885"/>
    <w:rsid w:val="00DC25E1"/>
    <w:rsid w:val="00DC4F53"/>
    <w:rsid w:val="00DD144D"/>
    <w:rsid w:val="00DD1D8E"/>
    <w:rsid w:val="00DD24D5"/>
    <w:rsid w:val="00DD2C19"/>
    <w:rsid w:val="00DD503F"/>
    <w:rsid w:val="00DD6A91"/>
    <w:rsid w:val="00DD7808"/>
    <w:rsid w:val="00DE31D9"/>
    <w:rsid w:val="00DE3BC8"/>
    <w:rsid w:val="00DE79B5"/>
    <w:rsid w:val="00DF04D6"/>
    <w:rsid w:val="00DF10B4"/>
    <w:rsid w:val="00E00F5A"/>
    <w:rsid w:val="00E020B6"/>
    <w:rsid w:val="00E0374E"/>
    <w:rsid w:val="00E04297"/>
    <w:rsid w:val="00E07915"/>
    <w:rsid w:val="00E10A1B"/>
    <w:rsid w:val="00E14379"/>
    <w:rsid w:val="00E14B18"/>
    <w:rsid w:val="00E15709"/>
    <w:rsid w:val="00E215FD"/>
    <w:rsid w:val="00E2398F"/>
    <w:rsid w:val="00E23B95"/>
    <w:rsid w:val="00E26589"/>
    <w:rsid w:val="00E347B5"/>
    <w:rsid w:val="00E37D9E"/>
    <w:rsid w:val="00E5013C"/>
    <w:rsid w:val="00E50236"/>
    <w:rsid w:val="00E52869"/>
    <w:rsid w:val="00E529DD"/>
    <w:rsid w:val="00E52DAA"/>
    <w:rsid w:val="00E53E05"/>
    <w:rsid w:val="00E54192"/>
    <w:rsid w:val="00E56CB9"/>
    <w:rsid w:val="00E6390C"/>
    <w:rsid w:val="00E63AD9"/>
    <w:rsid w:val="00E703BE"/>
    <w:rsid w:val="00E70D10"/>
    <w:rsid w:val="00E71705"/>
    <w:rsid w:val="00E76714"/>
    <w:rsid w:val="00E80DB6"/>
    <w:rsid w:val="00E81CCB"/>
    <w:rsid w:val="00E84A0A"/>
    <w:rsid w:val="00E8544B"/>
    <w:rsid w:val="00E87128"/>
    <w:rsid w:val="00E9119B"/>
    <w:rsid w:val="00E92A21"/>
    <w:rsid w:val="00EA0A83"/>
    <w:rsid w:val="00EA5675"/>
    <w:rsid w:val="00EA5805"/>
    <w:rsid w:val="00EA75EE"/>
    <w:rsid w:val="00EB01FE"/>
    <w:rsid w:val="00EB0A63"/>
    <w:rsid w:val="00EB36E7"/>
    <w:rsid w:val="00EB412D"/>
    <w:rsid w:val="00EB571F"/>
    <w:rsid w:val="00EB5CF0"/>
    <w:rsid w:val="00EB70BF"/>
    <w:rsid w:val="00EB79DF"/>
    <w:rsid w:val="00EB7CA8"/>
    <w:rsid w:val="00EC3687"/>
    <w:rsid w:val="00EC4355"/>
    <w:rsid w:val="00EC4A85"/>
    <w:rsid w:val="00EC4CAB"/>
    <w:rsid w:val="00ED108C"/>
    <w:rsid w:val="00ED28FC"/>
    <w:rsid w:val="00ED379E"/>
    <w:rsid w:val="00ED67E0"/>
    <w:rsid w:val="00EE0617"/>
    <w:rsid w:val="00EE2806"/>
    <w:rsid w:val="00EE33F5"/>
    <w:rsid w:val="00EE5D40"/>
    <w:rsid w:val="00EE76AB"/>
    <w:rsid w:val="00EF1EA2"/>
    <w:rsid w:val="00EF4276"/>
    <w:rsid w:val="00EF42F7"/>
    <w:rsid w:val="00EF53FB"/>
    <w:rsid w:val="00F01782"/>
    <w:rsid w:val="00F05227"/>
    <w:rsid w:val="00F05D0D"/>
    <w:rsid w:val="00F10ECE"/>
    <w:rsid w:val="00F14F45"/>
    <w:rsid w:val="00F16992"/>
    <w:rsid w:val="00F23F70"/>
    <w:rsid w:val="00F24D81"/>
    <w:rsid w:val="00F32054"/>
    <w:rsid w:val="00F35950"/>
    <w:rsid w:val="00F37194"/>
    <w:rsid w:val="00F37AFA"/>
    <w:rsid w:val="00F40947"/>
    <w:rsid w:val="00F417F3"/>
    <w:rsid w:val="00F4438D"/>
    <w:rsid w:val="00F44F4D"/>
    <w:rsid w:val="00F46FA2"/>
    <w:rsid w:val="00F51FDA"/>
    <w:rsid w:val="00F52F02"/>
    <w:rsid w:val="00F552A7"/>
    <w:rsid w:val="00F61D9A"/>
    <w:rsid w:val="00F6405C"/>
    <w:rsid w:val="00F71317"/>
    <w:rsid w:val="00F742F9"/>
    <w:rsid w:val="00F746D7"/>
    <w:rsid w:val="00F74D7B"/>
    <w:rsid w:val="00F758F0"/>
    <w:rsid w:val="00F75A9D"/>
    <w:rsid w:val="00F75E50"/>
    <w:rsid w:val="00F81E5E"/>
    <w:rsid w:val="00F83B2C"/>
    <w:rsid w:val="00F85D08"/>
    <w:rsid w:val="00F90051"/>
    <w:rsid w:val="00F91A1E"/>
    <w:rsid w:val="00FA147E"/>
    <w:rsid w:val="00FA28D3"/>
    <w:rsid w:val="00FA30C0"/>
    <w:rsid w:val="00FA3A44"/>
    <w:rsid w:val="00FB5FC6"/>
    <w:rsid w:val="00FC1917"/>
    <w:rsid w:val="00FC31AB"/>
    <w:rsid w:val="00FC32A8"/>
    <w:rsid w:val="00FC5303"/>
    <w:rsid w:val="00FD043A"/>
    <w:rsid w:val="00FD11C9"/>
    <w:rsid w:val="00FD2B53"/>
    <w:rsid w:val="00FD74A9"/>
    <w:rsid w:val="00FE032A"/>
    <w:rsid w:val="00FE4036"/>
    <w:rsid w:val="00FE600F"/>
    <w:rsid w:val="00FE62A7"/>
    <w:rsid w:val="00FF01BD"/>
    <w:rsid w:val="00FF5ED0"/>
    <w:rsid w:val="00FF6ACC"/>
    <w:rsid w:val="00FF7225"/>
    <w:rsid w:val="00FF79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BD"/>
  </w:style>
  <w:style w:type="paragraph" w:styleId="Heading3">
    <w:name w:val="heading 3"/>
    <w:basedOn w:val="Normal"/>
    <w:next w:val="Normal"/>
    <w:link w:val="Heading3Char"/>
    <w:unhideWhenUsed/>
    <w:qFormat/>
    <w:rsid w:val="006E3349"/>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2B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8F32BD"/>
    <w:pPr>
      <w:spacing w:after="0" w:line="240" w:lineRule="auto"/>
    </w:pPr>
  </w:style>
  <w:style w:type="character" w:customStyle="1" w:styleId="NoSpacingChar">
    <w:name w:val="No Spacing Char"/>
    <w:basedOn w:val="DefaultParagraphFont"/>
    <w:link w:val="NoSpacing"/>
    <w:uiPriority w:val="1"/>
    <w:rsid w:val="008F32BD"/>
  </w:style>
  <w:style w:type="character" w:styleId="Hyperlink">
    <w:name w:val="Hyperlink"/>
    <w:basedOn w:val="DefaultParagraphFont"/>
    <w:uiPriority w:val="99"/>
    <w:unhideWhenUsed/>
    <w:rsid w:val="008F32BD"/>
    <w:rPr>
      <w:color w:val="0000FF" w:themeColor="hyperlink"/>
      <w:u w:val="single"/>
    </w:rPr>
  </w:style>
  <w:style w:type="paragraph" w:styleId="NormalWeb">
    <w:name w:val="Normal (Web)"/>
    <w:basedOn w:val="Normal"/>
    <w:uiPriority w:val="99"/>
    <w:rsid w:val="008F32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5">
    <w:name w:val="c5"/>
    <w:basedOn w:val="DefaultParagraphFont"/>
    <w:rsid w:val="008F32BD"/>
  </w:style>
  <w:style w:type="paragraph" w:styleId="ListParagraph">
    <w:name w:val="List Paragraph"/>
    <w:basedOn w:val="Normal"/>
    <w:uiPriority w:val="34"/>
    <w:qFormat/>
    <w:rsid w:val="008F32BD"/>
    <w:pPr>
      <w:ind w:left="720"/>
      <w:contextualSpacing/>
    </w:pPr>
  </w:style>
  <w:style w:type="paragraph" w:styleId="Header">
    <w:name w:val="header"/>
    <w:basedOn w:val="Normal"/>
    <w:link w:val="HeaderChar"/>
    <w:uiPriority w:val="99"/>
    <w:unhideWhenUsed/>
    <w:rsid w:val="008F32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32BD"/>
  </w:style>
  <w:style w:type="paragraph" w:styleId="Footer">
    <w:name w:val="footer"/>
    <w:basedOn w:val="Normal"/>
    <w:link w:val="FooterChar"/>
    <w:uiPriority w:val="99"/>
    <w:unhideWhenUsed/>
    <w:rsid w:val="008F32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32BD"/>
  </w:style>
  <w:style w:type="paragraph" w:styleId="FootnoteText">
    <w:name w:val="footnote text"/>
    <w:basedOn w:val="Normal"/>
    <w:link w:val="FootnoteTextChar"/>
    <w:uiPriority w:val="99"/>
    <w:semiHidden/>
    <w:unhideWhenUsed/>
    <w:rsid w:val="008F3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2BD"/>
    <w:rPr>
      <w:sz w:val="20"/>
      <w:szCs w:val="20"/>
    </w:rPr>
  </w:style>
  <w:style w:type="character" w:styleId="FootnoteReference">
    <w:name w:val="footnote reference"/>
    <w:basedOn w:val="DefaultParagraphFont"/>
    <w:uiPriority w:val="99"/>
    <w:semiHidden/>
    <w:unhideWhenUsed/>
    <w:rsid w:val="008F32BD"/>
    <w:rPr>
      <w:vertAlign w:val="superscript"/>
    </w:rPr>
  </w:style>
  <w:style w:type="paragraph" w:styleId="BalloonText">
    <w:name w:val="Balloon Text"/>
    <w:basedOn w:val="Normal"/>
    <w:link w:val="BalloonTextChar"/>
    <w:uiPriority w:val="99"/>
    <w:semiHidden/>
    <w:unhideWhenUsed/>
    <w:rsid w:val="008F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BD"/>
    <w:rPr>
      <w:rFonts w:ascii="Tahoma" w:hAnsi="Tahoma" w:cs="Tahoma"/>
      <w:sz w:val="16"/>
      <w:szCs w:val="16"/>
    </w:rPr>
  </w:style>
  <w:style w:type="character" w:styleId="CommentReference">
    <w:name w:val="annotation reference"/>
    <w:basedOn w:val="DefaultParagraphFont"/>
    <w:uiPriority w:val="99"/>
    <w:semiHidden/>
    <w:unhideWhenUsed/>
    <w:rsid w:val="00A215B4"/>
    <w:rPr>
      <w:sz w:val="16"/>
      <w:szCs w:val="16"/>
    </w:rPr>
  </w:style>
  <w:style w:type="paragraph" w:styleId="CommentText">
    <w:name w:val="annotation text"/>
    <w:basedOn w:val="Normal"/>
    <w:link w:val="CommentTextChar"/>
    <w:uiPriority w:val="99"/>
    <w:unhideWhenUsed/>
    <w:rsid w:val="00A215B4"/>
    <w:pPr>
      <w:spacing w:line="240" w:lineRule="auto"/>
    </w:pPr>
    <w:rPr>
      <w:sz w:val="20"/>
      <w:szCs w:val="20"/>
    </w:rPr>
  </w:style>
  <w:style w:type="character" w:customStyle="1" w:styleId="CommentTextChar">
    <w:name w:val="Comment Text Char"/>
    <w:basedOn w:val="DefaultParagraphFont"/>
    <w:link w:val="CommentText"/>
    <w:uiPriority w:val="99"/>
    <w:rsid w:val="00A215B4"/>
    <w:rPr>
      <w:sz w:val="20"/>
      <w:szCs w:val="20"/>
    </w:rPr>
  </w:style>
  <w:style w:type="paragraph" w:styleId="CommentSubject">
    <w:name w:val="annotation subject"/>
    <w:basedOn w:val="CommentText"/>
    <w:next w:val="CommentText"/>
    <w:link w:val="CommentSubjectChar"/>
    <w:uiPriority w:val="99"/>
    <w:semiHidden/>
    <w:unhideWhenUsed/>
    <w:rsid w:val="00A215B4"/>
    <w:rPr>
      <w:b/>
      <w:bCs/>
    </w:rPr>
  </w:style>
  <w:style w:type="character" w:customStyle="1" w:styleId="CommentSubjectChar">
    <w:name w:val="Comment Subject Char"/>
    <w:basedOn w:val="CommentTextChar"/>
    <w:link w:val="CommentSubject"/>
    <w:uiPriority w:val="99"/>
    <w:semiHidden/>
    <w:rsid w:val="00A215B4"/>
    <w:rPr>
      <w:b/>
      <w:bCs/>
      <w:sz w:val="20"/>
      <w:szCs w:val="20"/>
    </w:rPr>
  </w:style>
  <w:style w:type="paragraph" w:styleId="Title">
    <w:name w:val="Title"/>
    <w:basedOn w:val="Normal"/>
    <w:next w:val="Normal"/>
    <w:link w:val="TitleChar"/>
    <w:uiPriority w:val="10"/>
    <w:qFormat/>
    <w:rsid w:val="00FC32A8"/>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FC32A8"/>
    <w:rPr>
      <w:rFonts w:ascii="Cambria" w:eastAsia="Times New Roman" w:hAnsi="Cambria" w:cs="Times New Roman"/>
      <w:b/>
      <w:bCs/>
      <w:kern w:val="28"/>
      <w:sz w:val="32"/>
      <w:szCs w:val="32"/>
    </w:rPr>
  </w:style>
  <w:style w:type="character" w:customStyle="1" w:styleId="Heading3Char">
    <w:name w:val="Heading 3 Char"/>
    <w:basedOn w:val="DefaultParagraphFont"/>
    <w:link w:val="Heading3"/>
    <w:rsid w:val="006E3349"/>
    <w:rPr>
      <w:rFonts w:ascii="Cambria" w:eastAsia="Times New Roman" w:hAnsi="Cambria" w:cs="Times New Roman"/>
      <w:b/>
      <w:bCs/>
      <w:sz w:val="26"/>
      <w:szCs w:val="26"/>
    </w:rPr>
  </w:style>
  <w:style w:type="character" w:styleId="Strong">
    <w:name w:val="Strong"/>
    <w:basedOn w:val="DefaultParagraphFont"/>
    <w:uiPriority w:val="22"/>
    <w:qFormat/>
    <w:rsid w:val="00C54A76"/>
    <w:rPr>
      <w:b/>
      <w:bCs/>
    </w:rPr>
  </w:style>
  <w:style w:type="character" w:styleId="PlaceholderText">
    <w:name w:val="Placeholder Text"/>
    <w:basedOn w:val="DefaultParagraphFont"/>
    <w:uiPriority w:val="99"/>
    <w:semiHidden/>
    <w:rsid w:val="008727F1"/>
    <w:rPr>
      <w:color w:val="808080"/>
    </w:rPr>
  </w:style>
  <w:style w:type="character" w:styleId="FollowedHyperlink">
    <w:name w:val="FollowedHyperlink"/>
    <w:basedOn w:val="DefaultParagraphFont"/>
    <w:uiPriority w:val="99"/>
    <w:semiHidden/>
    <w:unhideWhenUsed/>
    <w:rsid w:val="009250C6"/>
    <w:rPr>
      <w:color w:val="800080" w:themeColor="followedHyperlink"/>
      <w:u w:val="single"/>
    </w:rPr>
  </w:style>
  <w:style w:type="paragraph" w:customStyle="1" w:styleId="Date1">
    <w:name w:val="Date1"/>
    <w:basedOn w:val="Normal"/>
    <w:rsid w:val="006301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2">
    <w:name w:val="Date2"/>
    <w:basedOn w:val="Normal"/>
    <w:rsid w:val="006E0D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3">
    <w:name w:val="Date3"/>
    <w:basedOn w:val="Normal"/>
    <w:rsid w:val="0042773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277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BD"/>
  </w:style>
  <w:style w:type="paragraph" w:styleId="Heading3">
    <w:name w:val="heading 3"/>
    <w:basedOn w:val="Normal"/>
    <w:next w:val="Normal"/>
    <w:link w:val="Heading3Char"/>
    <w:unhideWhenUsed/>
    <w:qFormat/>
    <w:rsid w:val="006E3349"/>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2B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8F32BD"/>
    <w:pPr>
      <w:spacing w:after="0" w:line="240" w:lineRule="auto"/>
    </w:pPr>
  </w:style>
  <w:style w:type="character" w:customStyle="1" w:styleId="NoSpacingChar">
    <w:name w:val="No Spacing Char"/>
    <w:basedOn w:val="DefaultParagraphFont"/>
    <w:link w:val="NoSpacing"/>
    <w:uiPriority w:val="1"/>
    <w:rsid w:val="008F32BD"/>
  </w:style>
  <w:style w:type="character" w:styleId="Hyperlink">
    <w:name w:val="Hyperlink"/>
    <w:basedOn w:val="DefaultParagraphFont"/>
    <w:uiPriority w:val="99"/>
    <w:unhideWhenUsed/>
    <w:rsid w:val="008F32BD"/>
    <w:rPr>
      <w:color w:val="0000FF" w:themeColor="hyperlink"/>
      <w:u w:val="single"/>
    </w:rPr>
  </w:style>
  <w:style w:type="paragraph" w:styleId="NormalWeb">
    <w:name w:val="Normal (Web)"/>
    <w:basedOn w:val="Normal"/>
    <w:uiPriority w:val="99"/>
    <w:rsid w:val="008F32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5">
    <w:name w:val="c5"/>
    <w:basedOn w:val="DefaultParagraphFont"/>
    <w:rsid w:val="008F32BD"/>
  </w:style>
  <w:style w:type="paragraph" w:styleId="ListParagraph">
    <w:name w:val="List Paragraph"/>
    <w:basedOn w:val="Normal"/>
    <w:uiPriority w:val="34"/>
    <w:qFormat/>
    <w:rsid w:val="008F32BD"/>
    <w:pPr>
      <w:ind w:left="720"/>
      <w:contextualSpacing/>
    </w:pPr>
  </w:style>
  <w:style w:type="paragraph" w:styleId="Header">
    <w:name w:val="header"/>
    <w:basedOn w:val="Normal"/>
    <w:link w:val="HeaderChar"/>
    <w:uiPriority w:val="99"/>
    <w:unhideWhenUsed/>
    <w:rsid w:val="008F32B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32BD"/>
  </w:style>
  <w:style w:type="paragraph" w:styleId="Footer">
    <w:name w:val="footer"/>
    <w:basedOn w:val="Normal"/>
    <w:link w:val="FooterChar"/>
    <w:uiPriority w:val="99"/>
    <w:unhideWhenUsed/>
    <w:rsid w:val="008F32B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32BD"/>
  </w:style>
  <w:style w:type="paragraph" w:styleId="FootnoteText">
    <w:name w:val="footnote text"/>
    <w:basedOn w:val="Normal"/>
    <w:link w:val="FootnoteTextChar"/>
    <w:uiPriority w:val="99"/>
    <w:semiHidden/>
    <w:unhideWhenUsed/>
    <w:rsid w:val="008F32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2BD"/>
    <w:rPr>
      <w:sz w:val="20"/>
      <w:szCs w:val="20"/>
    </w:rPr>
  </w:style>
  <w:style w:type="character" w:styleId="FootnoteReference">
    <w:name w:val="footnote reference"/>
    <w:basedOn w:val="DefaultParagraphFont"/>
    <w:uiPriority w:val="99"/>
    <w:semiHidden/>
    <w:unhideWhenUsed/>
    <w:rsid w:val="008F32BD"/>
    <w:rPr>
      <w:vertAlign w:val="superscript"/>
    </w:rPr>
  </w:style>
  <w:style w:type="paragraph" w:styleId="BalloonText">
    <w:name w:val="Balloon Text"/>
    <w:basedOn w:val="Normal"/>
    <w:link w:val="BalloonTextChar"/>
    <w:uiPriority w:val="99"/>
    <w:semiHidden/>
    <w:unhideWhenUsed/>
    <w:rsid w:val="008F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BD"/>
    <w:rPr>
      <w:rFonts w:ascii="Tahoma" w:hAnsi="Tahoma" w:cs="Tahoma"/>
      <w:sz w:val="16"/>
      <w:szCs w:val="16"/>
    </w:rPr>
  </w:style>
  <w:style w:type="character" w:styleId="CommentReference">
    <w:name w:val="annotation reference"/>
    <w:basedOn w:val="DefaultParagraphFont"/>
    <w:uiPriority w:val="99"/>
    <w:semiHidden/>
    <w:unhideWhenUsed/>
    <w:rsid w:val="00A215B4"/>
    <w:rPr>
      <w:sz w:val="16"/>
      <w:szCs w:val="16"/>
    </w:rPr>
  </w:style>
  <w:style w:type="paragraph" w:styleId="CommentText">
    <w:name w:val="annotation text"/>
    <w:basedOn w:val="Normal"/>
    <w:link w:val="CommentTextChar"/>
    <w:uiPriority w:val="99"/>
    <w:unhideWhenUsed/>
    <w:rsid w:val="00A215B4"/>
    <w:pPr>
      <w:spacing w:line="240" w:lineRule="auto"/>
    </w:pPr>
    <w:rPr>
      <w:sz w:val="20"/>
      <w:szCs w:val="20"/>
    </w:rPr>
  </w:style>
  <w:style w:type="character" w:customStyle="1" w:styleId="CommentTextChar">
    <w:name w:val="Comment Text Char"/>
    <w:basedOn w:val="DefaultParagraphFont"/>
    <w:link w:val="CommentText"/>
    <w:uiPriority w:val="99"/>
    <w:rsid w:val="00A215B4"/>
    <w:rPr>
      <w:sz w:val="20"/>
      <w:szCs w:val="20"/>
    </w:rPr>
  </w:style>
  <w:style w:type="paragraph" w:styleId="CommentSubject">
    <w:name w:val="annotation subject"/>
    <w:basedOn w:val="CommentText"/>
    <w:next w:val="CommentText"/>
    <w:link w:val="CommentSubjectChar"/>
    <w:uiPriority w:val="99"/>
    <w:semiHidden/>
    <w:unhideWhenUsed/>
    <w:rsid w:val="00A215B4"/>
    <w:rPr>
      <w:b/>
      <w:bCs/>
    </w:rPr>
  </w:style>
  <w:style w:type="character" w:customStyle="1" w:styleId="CommentSubjectChar">
    <w:name w:val="Comment Subject Char"/>
    <w:basedOn w:val="CommentTextChar"/>
    <w:link w:val="CommentSubject"/>
    <w:uiPriority w:val="99"/>
    <w:semiHidden/>
    <w:rsid w:val="00A215B4"/>
    <w:rPr>
      <w:b/>
      <w:bCs/>
      <w:sz w:val="20"/>
      <w:szCs w:val="20"/>
    </w:rPr>
  </w:style>
  <w:style w:type="paragraph" w:styleId="Title">
    <w:name w:val="Title"/>
    <w:basedOn w:val="Normal"/>
    <w:next w:val="Normal"/>
    <w:link w:val="TitleChar"/>
    <w:uiPriority w:val="10"/>
    <w:qFormat/>
    <w:rsid w:val="00FC32A8"/>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FC32A8"/>
    <w:rPr>
      <w:rFonts w:ascii="Cambria" w:eastAsia="Times New Roman" w:hAnsi="Cambria" w:cs="Times New Roman"/>
      <w:b/>
      <w:bCs/>
      <w:kern w:val="28"/>
      <w:sz w:val="32"/>
      <w:szCs w:val="32"/>
    </w:rPr>
  </w:style>
  <w:style w:type="character" w:customStyle="1" w:styleId="Heading3Char">
    <w:name w:val="Heading 3 Char"/>
    <w:basedOn w:val="DefaultParagraphFont"/>
    <w:link w:val="Heading3"/>
    <w:rsid w:val="006E3349"/>
    <w:rPr>
      <w:rFonts w:ascii="Cambria" w:eastAsia="Times New Roman" w:hAnsi="Cambria" w:cs="Times New Roman"/>
      <w:b/>
      <w:bCs/>
      <w:sz w:val="26"/>
      <w:szCs w:val="26"/>
    </w:rPr>
  </w:style>
  <w:style w:type="character" w:styleId="Strong">
    <w:name w:val="Strong"/>
    <w:basedOn w:val="DefaultParagraphFont"/>
    <w:uiPriority w:val="22"/>
    <w:qFormat/>
    <w:rsid w:val="00C54A76"/>
    <w:rPr>
      <w:b/>
      <w:bCs/>
    </w:rPr>
  </w:style>
  <w:style w:type="character" w:styleId="PlaceholderText">
    <w:name w:val="Placeholder Text"/>
    <w:basedOn w:val="DefaultParagraphFont"/>
    <w:uiPriority w:val="99"/>
    <w:semiHidden/>
    <w:rsid w:val="008727F1"/>
    <w:rPr>
      <w:color w:val="808080"/>
    </w:rPr>
  </w:style>
  <w:style w:type="character" w:styleId="FollowedHyperlink">
    <w:name w:val="FollowedHyperlink"/>
    <w:basedOn w:val="DefaultParagraphFont"/>
    <w:uiPriority w:val="99"/>
    <w:semiHidden/>
    <w:unhideWhenUsed/>
    <w:rsid w:val="009250C6"/>
    <w:rPr>
      <w:color w:val="800080" w:themeColor="followedHyperlink"/>
      <w:u w:val="single"/>
    </w:rPr>
  </w:style>
  <w:style w:type="paragraph" w:customStyle="1" w:styleId="Date1">
    <w:name w:val="Date1"/>
    <w:basedOn w:val="Normal"/>
    <w:rsid w:val="006301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2">
    <w:name w:val="Date2"/>
    <w:basedOn w:val="Normal"/>
    <w:rsid w:val="006E0D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3">
    <w:name w:val="Date3"/>
    <w:basedOn w:val="Normal"/>
    <w:rsid w:val="0042773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427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1484">
      <w:bodyDiv w:val="1"/>
      <w:marLeft w:val="0"/>
      <w:marRight w:val="0"/>
      <w:marTop w:val="0"/>
      <w:marBottom w:val="0"/>
      <w:divBdr>
        <w:top w:val="none" w:sz="0" w:space="0" w:color="auto"/>
        <w:left w:val="none" w:sz="0" w:space="0" w:color="auto"/>
        <w:bottom w:val="none" w:sz="0" w:space="0" w:color="auto"/>
        <w:right w:val="none" w:sz="0" w:space="0" w:color="auto"/>
      </w:divBdr>
    </w:div>
    <w:div w:id="226261111">
      <w:bodyDiv w:val="1"/>
      <w:marLeft w:val="0"/>
      <w:marRight w:val="0"/>
      <w:marTop w:val="0"/>
      <w:marBottom w:val="0"/>
      <w:divBdr>
        <w:top w:val="none" w:sz="0" w:space="0" w:color="auto"/>
        <w:left w:val="none" w:sz="0" w:space="0" w:color="auto"/>
        <w:bottom w:val="none" w:sz="0" w:space="0" w:color="auto"/>
        <w:right w:val="none" w:sz="0" w:space="0" w:color="auto"/>
      </w:divBdr>
    </w:div>
    <w:div w:id="466243176">
      <w:bodyDiv w:val="1"/>
      <w:marLeft w:val="0"/>
      <w:marRight w:val="0"/>
      <w:marTop w:val="0"/>
      <w:marBottom w:val="0"/>
      <w:divBdr>
        <w:top w:val="none" w:sz="0" w:space="0" w:color="auto"/>
        <w:left w:val="none" w:sz="0" w:space="0" w:color="auto"/>
        <w:bottom w:val="none" w:sz="0" w:space="0" w:color="auto"/>
        <w:right w:val="none" w:sz="0" w:space="0" w:color="auto"/>
      </w:divBdr>
    </w:div>
    <w:div w:id="584655436">
      <w:bodyDiv w:val="1"/>
      <w:marLeft w:val="0"/>
      <w:marRight w:val="0"/>
      <w:marTop w:val="0"/>
      <w:marBottom w:val="0"/>
      <w:divBdr>
        <w:top w:val="none" w:sz="0" w:space="0" w:color="auto"/>
        <w:left w:val="none" w:sz="0" w:space="0" w:color="auto"/>
        <w:bottom w:val="none" w:sz="0" w:space="0" w:color="auto"/>
        <w:right w:val="none" w:sz="0" w:space="0" w:color="auto"/>
      </w:divBdr>
      <w:divsChild>
        <w:div w:id="629943657">
          <w:marLeft w:val="0"/>
          <w:marRight w:val="0"/>
          <w:marTop w:val="0"/>
          <w:marBottom w:val="0"/>
          <w:divBdr>
            <w:top w:val="none" w:sz="0" w:space="0" w:color="auto"/>
            <w:left w:val="none" w:sz="0" w:space="0" w:color="auto"/>
            <w:bottom w:val="none" w:sz="0" w:space="0" w:color="auto"/>
            <w:right w:val="none" w:sz="0" w:space="0" w:color="auto"/>
          </w:divBdr>
        </w:div>
      </w:divsChild>
    </w:div>
    <w:div w:id="610287241">
      <w:bodyDiv w:val="1"/>
      <w:marLeft w:val="0"/>
      <w:marRight w:val="0"/>
      <w:marTop w:val="0"/>
      <w:marBottom w:val="0"/>
      <w:divBdr>
        <w:top w:val="none" w:sz="0" w:space="0" w:color="auto"/>
        <w:left w:val="none" w:sz="0" w:space="0" w:color="auto"/>
        <w:bottom w:val="none" w:sz="0" w:space="0" w:color="auto"/>
        <w:right w:val="none" w:sz="0" w:space="0" w:color="auto"/>
      </w:divBdr>
    </w:div>
    <w:div w:id="805002989">
      <w:bodyDiv w:val="1"/>
      <w:marLeft w:val="0"/>
      <w:marRight w:val="0"/>
      <w:marTop w:val="0"/>
      <w:marBottom w:val="0"/>
      <w:divBdr>
        <w:top w:val="none" w:sz="0" w:space="0" w:color="auto"/>
        <w:left w:val="none" w:sz="0" w:space="0" w:color="auto"/>
        <w:bottom w:val="none" w:sz="0" w:space="0" w:color="auto"/>
        <w:right w:val="none" w:sz="0" w:space="0" w:color="auto"/>
      </w:divBdr>
      <w:divsChild>
        <w:div w:id="997074873">
          <w:marLeft w:val="0"/>
          <w:marRight w:val="0"/>
          <w:marTop w:val="0"/>
          <w:marBottom w:val="0"/>
          <w:divBdr>
            <w:top w:val="none" w:sz="0" w:space="0" w:color="auto"/>
            <w:left w:val="none" w:sz="0" w:space="0" w:color="auto"/>
            <w:bottom w:val="none" w:sz="0" w:space="0" w:color="auto"/>
            <w:right w:val="none" w:sz="0" w:space="0" w:color="auto"/>
          </w:divBdr>
        </w:div>
        <w:div w:id="1750036641">
          <w:marLeft w:val="0"/>
          <w:marRight w:val="0"/>
          <w:marTop w:val="0"/>
          <w:marBottom w:val="0"/>
          <w:divBdr>
            <w:top w:val="none" w:sz="0" w:space="0" w:color="auto"/>
            <w:left w:val="none" w:sz="0" w:space="0" w:color="auto"/>
            <w:bottom w:val="none" w:sz="0" w:space="0" w:color="auto"/>
            <w:right w:val="none" w:sz="0" w:space="0" w:color="auto"/>
          </w:divBdr>
        </w:div>
        <w:div w:id="53285771">
          <w:marLeft w:val="0"/>
          <w:marRight w:val="0"/>
          <w:marTop w:val="0"/>
          <w:marBottom w:val="0"/>
          <w:divBdr>
            <w:top w:val="none" w:sz="0" w:space="0" w:color="auto"/>
            <w:left w:val="none" w:sz="0" w:space="0" w:color="auto"/>
            <w:bottom w:val="none" w:sz="0" w:space="0" w:color="auto"/>
            <w:right w:val="none" w:sz="0" w:space="0" w:color="auto"/>
          </w:divBdr>
        </w:div>
        <w:div w:id="1474059990">
          <w:marLeft w:val="0"/>
          <w:marRight w:val="0"/>
          <w:marTop w:val="0"/>
          <w:marBottom w:val="0"/>
          <w:divBdr>
            <w:top w:val="none" w:sz="0" w:space="0" w:color="auto"/>
            <w:left w:val="none" w:sz="0" w:space="0" w:color="auto"/>
            <w:bottom w:val="none" w:sz="0" w:space="0" w:color="auto"/>
            <w:right w:val="none" w:sz="0" w:space="0" w:color="auto"/>
          </w:divBdr>
        </w:div>
        <w:div w:id="1836148905">
          <w:marLeft w:val="0"/>
          <w:marRight w:val="0"/>
          <w:marTop w:val="0"/>
          <w:marBottom w:val="0"/>
          <w:divBdr>
            <w:top w:val="none" w:sz="0" w:space="0" w:color="auto"/>
            <w:left w:val="none" w:sz="0" w:space="0" w:color="auto"/>
            <w:bottom w:val="none" w:sz="0" w:space="0" w:color="auto"/>
            <w:right w:val="none" w:sz="0" w:space="0" w:color="auto"/>
          </w:divBdr>
        </w:div>
        <w:div w:id="1391731215">
          <w:marLeft w:val="0"/>
          <w:marRight w:val="0"/>
          <w:marTop w:val="0"/>
          <w:marBottom w:val="0"/>
          <w:divBdr>
            <w:top w:val="none" w:sz="0" w:space="0" w:color="auto"/>
            <w:left w:val="none" w:sz="0" w:space="0" w:color="auto"/>
            <w:bottom w:val="none" w:sz="0" w:space="0" w:color="auto"/>
            <w:right w:val="none" w:sz="0" w:space="0" w:color="auto"/>
          </w:divBdr>
        </w:div>
        <w:div w:id="914824207">
          <w:marLeft w:val="0"/>
          <w:marRight w:val="0"/>
          <w:marTop w:val="0"/>
          <w:marBottom w:val="0"/>
          <w:divBdr>
            <w:top w:val="none" w:sz="0" w:space="0" w:color="auto"/>
            <w:left w:val="none" w:sz="0" w:space="0" w:color="auto"/>
            <w:bottom w:val="none" w:sz="0" w:space="0" w:color="auto"/>
            <w:right w:val="none" w:sz="0" w:space="0" w:color="auto"/>
          </w:divBdr>
        </w:div>
        <w:div w:id="1949661514">
          <w:marLeft w:val="0"/>
          <w:marRight w:val="0"/>
          <w:marTop w:val="0"/>
          <w:marBottom w:val="0"/>
          <w:divBdr>
            <w:top w:val="none" w:sz="0" w:space="0" w:color="auto"/>
            <w:left w:val="none" w:sz="0" w:space="0" w:color="auto"/>
            <w:bottom w:val="none" w:sz="0" w:space="0" w:color="auto"/>
            <w:right w:val="none" w:sz="0" w:space="0" w:color="auto"/>
          </w:divBdr>
        </w:div>
        <w:div w:id="920412639">
          <w:marLeft w:val="0"/>
          <w:marRight w:val="0"/>
          <w:marTop w:val="0"/>
          <w:marBottom w:val="0"/>
          <w:divBdr>
            <w:top w:val="none" w:sz="0" w:space="0" w:color="auto"/>
            <w:left w:val="none" w:sz="0" w:space="0" w:color="auto"/>
            <w:bottom w:val="none" w:sz="0" w:space="0" w:color="auto"/>
            <w:right w:val="none" w:sz="0" w:space="0" w:color="auto"/>
          </w:divBdr>
        </w:div>
        <w:div w:id="1466313906">
          <w:marLeft w:val="0"/>
          <w:marRight w:val="0"/>
          <w:marTop w:val="0"/>
          <w:marBottom w:val="0"/>
          <w:divBdr>
            <w:top w:val="none" w:sz="0" w:space="0" w:color="auto"/>
            <w:left w:val="none" w:sz="0" w:space="0" w:color="auto"/>
            <w:bottom w:val="none" w:sz="0" w:space="0" w:color="auto"/>
            <w:right w:val="none" w:sz="0" w:space="0" w:color="auto"/>
          </w:divBdr>
        </w:div>
        <w:div w:id="1235823907">
          <w:marLeft w:val="0"/>
          <w:marRight w:val="0"/>
          <w:marTop w:val="0"/>
          <w:marBottom w:val="0"/>
          <w:divBdr>
            <w:top w:val="none" w:sz="0" w:space="0" w:color="auto"/>
            <w:left w:val="none" w:sz="0" w:space="0" w:color="auto"/>
            <w:bottom w:val="none" w:sz="0" w:space="0" w:color="auto"/>
            <w:right w:val="none" w:sz="0" w:space="0" w:color="auto"/>
          </w:divBdr>
        </w:div>
      </w:divsChild>
    </w:div>
    <w:div w:id="813184350">
      <w:bodyDiv w:val="1"/>
      <w:marLeft w:val="0"/>
      <w:marRight w:val="0"/>
      <w:marTop w:val="0"/>
      <w:marBottom w:val="0"/>
      <w:divBdr>
        <w:top w:val="none" w:sz="0" w:space="0" w:color="auto"/>
        <w:left w:val="none" w:sz="0" w:space="0" w:color="auto"/>
        <w:bottom w:val="none" w:sz="0" w:space="0" w:color="auto"/>
        <w:right w:val="none" w:sz="0" w:space="0" w:color="auto"/>
      </w:divBdr>
    </w:div>
    <w:div w:id="879433688">
      <w:bodyDiv w:val="1"/>
      <w:marLeft w:val="0"/>
      <w:marRight w:val="0"/>
      <w:marTop w:val="0"/>
      <w:marBottom w:val="0"/>
      <w:divBdr>
        <w:top w:val="none" w:sz="0" w:space="0" w:color="auto"/>
        <w:left w:val="none" w:sz="0" w:space="0" w:color="auto"/>
        <w:bottom w:val="none" w:sz="0" w:space="0" w:color="auto"/>
        <w:right w:val="none" w:sz="0" w:space="0" w:color="auto"/>
      </w:divBdr>
      <w:divsChild>
        <w:div w:id="1292901215">
          <w:marLeft w:val="0"/>
          <w:marRight w:val="0"/>
          <w:marTop w:val="0"/>
          <w:marBottom w:val="0"/>
          <w:divBdr>
            <w:top w:val="none" w:sz="0" w:space="0" w:color="auto"/>
            <w:left w:val="none" w:sz="0" w:space="0" w:color="auto"/>
            <w:bottom w:val="none" w:sz="0" w:space="0" w:color="auto"/>
            <w:right w:val="none" w:sz="0" w:space="0" w:color="auto"/>
          </w:divBdr>
        </w:div>
        <w:div w:id="566109170">
          <w:marLeft w:val="0"/>
          <w:marRight w:val="0"/>
          <w:marTop w:val="0"/>
          <w:marBottom w:val="0"/>
          <w:divBdr>
            <w:top w:val="none" w:sz="0" w:space="0" w:color="auto"/>
            <w:left w:val="none" w:sz="0" w:space="0" w:color="auto"/>
            <w:bottom w:val="none" w:sz="0" w:space="0" w:color="auto"/>
            <w:right w:val="none" w:sz="0" w:space="0" w:color="auto"/>
          </w:divBdr>
        </w:div>
        <w:div w:id="57747290">
          <w:marLeft w:val="0"/>
          <w:marRight w:val="0"/>
          <w:marTop w:val="0"/>
          <w:marBottom w:val="0"/>
          <w:divBdr>
            <w:top w:val="none" w:sz="0" w:space="0" w:color="auto"/>
            <w:left w:val="none" w:sz="0" w:space="0" w:color="auto"/>
            <w:bottom w:val="none" w:sz="0" w:space="0" w:color="auto"/>
            <w:right w:val="none" w:sz="0" w:space="0" w:color="auto"/>
          </w:divBdr>
        </w:div>
      </w:divsChild>
    </w:div>
    <w:div w:id="1030305628">
      <w:bodyDiv w:val="1"/>
      <w:marLeft w:val="0"/>
      <w:marRight w:val="0"/>
      <w:marTop w:val="0"/>
      <w:marBottom w:val="0"/>
      <w:divBdr>
        <w:top w:val="none" w:sz="0" w:space="0" w:color="auto"/>
        <w:left w:val="none" w:sz="0" w:space="0" w:color="auto"/>
        <w:bottom w:val="none" w:sz="0" w:space="0" w:color="auto"/>
        <w:right w:val="none" w:sz="0" w:space="0" w:color="auto"/>
      </w:divBdr>
      <w:divsChild>
        <w:div w:id="141045348">
          <w:marLeft w:val="0"/>
          <w:marRight w:val="0"/>
          <w:marTop w:val="0"/>
          <w:marBottom w:val="0"/>
          <w:divBdr>
            <w:top w:val="none" w:sz="0" w:space="0" w:color="auto"/>
            <w:left w:val="none" w:sz="0" w:space="0" w:color="auto"/>
            <w:bottom w:val="none" w:sz="0" w:space="0" w:color="auto"/>
            <w:right w:val="none" w:sz="0" w:space="0" w:color="auto"/>
          </w:divBdr>
        </w:div>
      </w:divsChild>
    </w:div>
    <w:div w:id="1048189705">
      <w:bodyDiv w:val="1"/>
      <w:marLeft w:val="0"/>
      <w:marRight w:val="0"/>
      <w:marTop w:val="0"/>
      <w:marBottom w:val="0"/>
      <w:divBdr>
        <w:top w:val="none" w:sz="0" w:space="0" w:color="auto"/>
        <w:left w:val="none" w:sz="0" w:space="0" w:color="auto"/>
        <w:bottom w:val="none" w:sz="0" w:space="0" w:color="auto"/>
        <w:right w:val="none" w:sz="0" w:space="0" w:color="auto"/>
      </w:divBdr>
    </w:div>
    <w:div w:id="1105075777">
      <w:bodyDiv w:val="1"/>
      <w:marLeft w:val="0"/>
      <w:marRight w:val="0"/>
      <w:marTop w:val="0"/>
      <w:marBottom w:val="0"/>
      <w:divBdr>
        <w:top w:val="none" w:sz="0" w:space="0" w:color="auto"/>
        <w:left w:val="none" w:sz="0" w:space="0" w:color="auto"/>
        <w:bottom w:val="none" w:sz="0" w:space="0" w:color="auto"/>
        <w:right w:val="none" w:sz="0" w:space="0" w:color="auto"/>
      </w:divBdr>
      <w:divsChild>
        <w:div w:id="1602295491">
          <w:marLeft w:val="0"/>
          <w:marRight w:val="0"/>
          <w:marTop w:val="0"/>
          <w:marBottom w:val="0"/>
          <w:divBdr>
            <w:top w:val="none" w:sz="0" w:space="0" w:color="auto"/>
            <w:left w:val="none" w:sz="0" w:space="0" w:color="auto"/>
            <w:bottom w:val="none" w:sz="0" w:space="0" w:color="auto"/>
            <w:right w:val="none" w:sz="0" w:space="0" w:color="auto"/>
          </w:divBdr>
        </w:div>
      </w:divsChild>
    </w:div>
    <w:div w:id="1206143175">
      <w:bodyDiv w:val="1"/>
      <w:marLeft w:val="0"/>
      <w:marRight w:val="0"/>
      <w:marTop w:val="0"/>
      <w:marBottom w:val="0"/>
      <w:divBdr>
        <w:top w:val="none" w:sz="0" w:space="0" w:color="auto"/>
        <w:left w:val="none" w:sz="0" w:space="0" w:color="auto"/>
        <w:bottom w:val="none" w:sz="0" w:space="0" w:color="auto"/>
        <w:right w:val="none" w:sz="0" w:space="0" w:color="auto"/>
      </w:divBdr>
      <w:divsChild>
        <w:div w:id="643388801">
          <w:marLeft w:val="0"/>
          <w:marRight w:val="0"/>
          <w:marTop w:val="0"/>
          <w:marBottom w:val="0"/>
          <w:divBdr>
            <w:top w:val="none" w:sz="0" w:space="0" w:color="auto"/>
            <w:left w:val="none" w:sz="0" w:space="0" w:color="auto"/>
            <w:bottom w:val="none" w:sz="0" w:space="0" w:color="auto"/>
            <w:right w:val="none" w:sz="0" w:space="0" w:color="auto"/>
          </w:divBdr>
        </w:div>
      </w:divsChild>
    </w:div>
    <w:div w:id="1253977251">
      <w:bodyDiv w:val="1"/>
      <w:marLeft w:val="0"/>
      <w:marRight w:val="0"/>
      <w:marTop w:val="0"/>
      <w:marBottom w:val="0"/>
      <w:divBdr>
        <w:top w:val="none" w:sz="0" w:space="0" w:color="auto"/>
        <w:left w:val="none" w:sz="0" w:space="0" w:color="auto"/>
        <w:bottom w:val="none" w:sz="0" w:space="0" w:color="auto"/>
        <w:right w:val="none" w:sz="0" w:space="0" w:color="auto"/>
      </w:divBdr>
    </w:div>
    <w:div w:id="1313559941">
      <w:bodyDiv w:val="1"/>
      <w:marLeft w:val="0"/>
      <w:marRight w:val="0"/>
      <w:marTop w:val="0"/>
      <w:marBottom w:val="0"/>
      <w:divBdr>
        <w:top w:val="none" w:sz="0" w:space="0" w:color="auto"/>
        <w:left w:val="none" w:sz="0" w:space="0" w:color="auto"/>
        <w:bottom w:val="none" w:sz="0" w:space="0" w:color="auto"/>
        <w:right w:val="none" w:sz="0" w:space="0" w:color="auto"/>
      </w:divBdr>
      <w:divsChild>
        <w:div w:id="780994693">
          <w:marLeft w:val="0"/>
          <w:marRight w:val="0"/>
          <w:marTop w:val="0"/>
          <w:marBottom w:val="0"/>
          <w:divBdr>
            <w:top w:val="none" w:sz="0" w:space="0" w:color="auto"/>
            <w:left w:val="none" w:sz="0" w:space="0" w:color="auto"/>
            <w:bottom w:val="none" w:sz="0" w:space="0" w:color="auto"/>
            <w:right w:val="none" w:sz="0" w:space="0" w:color="auto"/>
          </w:divBdr>
        </w:div>
      </w:divsChild>
    </w:div>
    <w:div w:id="1321041352">
      <w:bodyDiv w:val="1"/>
      <w:marLeft w:val="0"/>
      <w:marRight w:val="0"/>
      <w:marTop w:val="0"/>
      <w:marBottom w:val="0"/>
      <w:divBdr>
        <w:top w:val="none" w:sz="0" w:space="0" w:color="auto"/>
        <w:left w:val="none" w:sz="0" w:space="0" w:color="auto"/>
        <w:bottom w:val="none" w:sz="0" w:space="0" w:color="auto"/>
        <w:right w:val="none" w:sz="0" w:space="0" w:color="auto"/>
      </w:divBdr>
      <w:divsChild>
        <w:div w:id="1348407482">
          <w:marLeft w:val="0"/>
          <w:marRight w:val="0"/>
          <w:marTop w:val="0"/>
          <w:marBottom w:val="0"/>
          <w:divBdr>
            <w:top w:val="none" w:sz="0" w:space="0" w:color="auto"/>
            <w:left w:val="none" w:sz="0" w:space="0" w:color="auto"/>
            <w:bottom w:val="none" w:sz="0" w:space="0" w:color="auto"/>
            <w:right w:val="none" w:sz="0" w:space="0" w:color="auto"/>
          </w:divBdr>
        </w:div>
      </w:divsChild>
    </w:div>
    <w:div w:id="1353074117">
      <w:bodyDiv w:val="1"/>
      <w:marLeft w:val="0"/>
      <w:marRight w:val="0"/>
      <w:marTop w:val="0"/>
      <w:marBottom w:val="0"/>
      <w:divBdr>
        <w:top w:val="none" w:sz="0" w:space="0" w:color="auto"/>
        <w:left w:val="none" w:sz="0" w:space="0" w:color="auto"/>
        <w:bottom w:val="none" w:sz="0" w:space="0" w:color="auto"/>
        <w:right w:val="none" w:sz="0" w:space="0" w:color="auto"/>
      </w:divBdr>
    </w:div>
    <w:div w:id="1404789918">
      <w:bodyDiv w:val="1"/>
      <w:marLeft w:val="0"/>
      <w:marRight w:val="0"/>
      <w:marTop w:val="0"/>
      <w:marBottom w:val="0"/>
      <w:divBdr>
        <w:top w:val="none" w:sz="0" w:space="0" w:color="auto"/>
        <w:left w:val="none" w:sz="0" w:space="0" w:color="auto"/>
        <w:bottom w:val="none" w:sz="0" w:space="0" w:color="auto"/>
        <w:right w:val="none" w:sz="0" w:space="0" w:color="auto"/>
      </w:divBdr>
      <w:divsChild>
        <w:div w:id="939219659">
          <w:marLeft w:val="0"/>
          <w:marRight w:val="0"/>
          <w:marTop w:val="0"/>
          <w:marBottom w:val="0"/>
          <w:divBdr>
            <w:top w:val="none" w:sz="0" w:space="0" w:color="auto"/>
            <w:left w:val="none" w:sz="0" w:space="0" w:color="auto"/>
            <w:bottom w:val="none" w:sz="0" w:space="0" w:color="auto"/>
            <w:right w:val="none" w:sz="0" w:space="0" w:color="auto"/>
          </w:divBdr>
        </w:div>
      </w:divsChild>
    </w:div>
    <w:div w:id="1420179581">
      <w:bodyDiv w:val="1"/>
      <w:marLeft w:val="0"/>
      <w:marRight w:val="0"/>
      <w:marTop w:val="0"/>
      <w:marBottom w:val="0"/>
      <w:divBdr>
        <w:top w:val="none" w:sz="0" w:space="0" w:color="auto"/>
        <w:left w:val="none" w:sz="0" w:space="0" w:color="auto"/>
        <w:bottom w:val="none" w:sz="0" w:space="0" w:color="auto"/>
        <w:right w:val="none" w:sz="0" w:space="0" w:color="auto"/>
      </w:divBdr>
    </w:div>
    <w:div w:id="1558083738">
      <w:bodyDiv w:val="1"/>
      <w:marLeft w:val="0"/>
      <w:marRight w:val="0"/>
      <w:marTop w:val="0"/>
      <w:marBottom w:val="0"/>
      <w:divBdr>
        <w:top w:val="none" w:sz="0" w:space="0" w:color="auto"/>
        <w:left w:val="none" w:sz="0" w:space="0" w:color="auto"/>
        <w:bottom w:val="none" w:sz="0" w:space="0" w:color="auto"/>
        <w:right w:val="none" w:sz="0" w:space="0" w:color="auto"/>
      </w:divBdr>
    </w:div>
    <w:div w:id="1558972927">
      <w:bodyDiv w:val="1"/>
      <w:marLeft w:val="0"/>
      <w:marRight w:val="0"/>
      <w:marTop w:val="0"/>
      <w:marBottom w:val="0"/>
      <w:divBdr>
        <w:top w:val="none" w:sz="0" w:space="0" w:color="auto"/>
        <w:left w:val="none" w:sz="0" w:space="0" w:color="auto"/>
        <w:bottom w:val="none" w:sz="0" w:space="0" w:color="auto"/>
        <w:right w:val="none" w:sz="0" w:space="0" w:color="auto"/>
      </w:divBdr>
      <w:divsChild>
        <w:div w:id="1180050423">
          <w:marLeft w:val="0"/>
          <w:marRight w:val="0"/>
          <w:marTop w:val="0"/>
          <w:marBottom w:val="0"/>
          <w:divBdr>
            <w:top w:val="none" w:sz="0" w:space="0" w:color="auto"/>
            <w:left w:val="none" w:sz="0" w:space="0" w:color="auto"/>
            <w:bottom w:val="none" w:sz="0" w:space="0" w:color="auto"/>
            <w:right w:val="none" w:sz="0" w:space="0" w:color="auto"/>
          </w:divBdr>
        </w:div>
        <w:div w:id="999891958">
          <w:marLeft w:val="0"/>
          <w:marRight w:val="0"/>
          <w:marTop w:val="0"/>
          <w:marBottom w:val="0"/>
          <w:divBdr>
            <w:top w:val="none" w:sz="0" w:space="0" w:color="auto"/>
            <w:left w:val="none" w:sz="0" w:space="0" w:color="auto"/>
            <w:bottom w:val="none" w:sz="0" w:space="0" w:color="auto"/>
            <w:right w:val="none" w:sz="0" w:space="0" w:color="auto"/>
          </w:divBdr>
        </w:div>
        <w:div w:id="692616152">
          <w:marLeft w:val="0"/>
          <w:marRight w:val="0"/>
          <w:marTop w:val="0"/>
          <w:marBottom w:val="0"/>
          <w:divBdr>
            <w:top w:val="none" w:sz="0" w:space="0" w:color="auto"/>
            <w:left w:val="none" w:sz="0" w:space="0" w:color="auto"/>
            <w:bottom w:val="none" w:sz="0" w:space="0" w:color="auto"/>
            <w:right w:val="none" w:sz="0" w:space="0" w:color="auto"/>
          </w:divBdr>
        </w:div>
        <w:div w:id="1029379393">
          <w:marLeft w:val="0"/>
          <w:marRight w:val="0"/>
          <w:marTop w:val="0"/>
          <w:marBottom w:val="0"/>
          <w:divBdr>
            <w:top w:val="none" w:sz="0" w:space="0" w:color="auto"/>
            <w:left w:val="none" w:sz="0" w:space="0" w:color="auto"/>
            <w:bottom w:val="none" w:sz="0" w:space="0" w:color="auto"/>
            <w:right w:val="none" w:sz="0" w:space="0" w:color="auto"/>
          </w:divBdr>
        </w:div>
        <w:div w:id="1689016086">
          <w:marLeft w:val="0"/>
          <w:marRight w:val="0"/>
          <w:marTop w:val="0"/>
          <w:marBottom w:val="0"/>
          <w:divBdr>
            <w:top w:val="none" w:sz="0" w:space="0" w:color="auto"/>
            <w:left w:val="none" w:sz="0" w:space="0" w:color="auto"/>
            <w:bottom w:val="none" w:sz="0" w:space="0" w:color="auto"/>
            <w:right w:val="none" w:sz="0" w:space="0" w:color="auto"/>
          </w:divBdr>
        </w:div>
        <w:div w:id="2006130935">
          <w:marLeft w:val="0"/>
          <w:marRight w:val="0"/>
          <w:marTop w:val="0"/>
          <w:marBottom w:val="0"/>
          <w:divBdr>
            <w:top w:val="none" w:sz="0" w:space="0" w:color="auto"/>
            <w:left w:val="none" w:sz="0" w:space="0" w:color="auto"/>
            <w:bottom w:val="none" w:sz="0" w:space="0" w:color="auto"/>
            <w:right w:val="none" w:sz="0" w:space="0" w:color="auto"/>
          </w:divBdr>
        </w:div>
        <w:div w:id="1129128868">
          <w:marLeft w:val="0"/>
          <w:marRight w:val="0"/>
          <w:marTop w:val="0"/>
          <w:marBottom w:val="0"/>
          <w:divBdr>
            <w:top w:val="none" w:sz="0" w:space="0" w:color="auto"/>
            <w:left w:val="none" w:sz="0" w:space="0" w:color="auto"/>
            <w:bottom w:val="none" w:sz="0" w:space="0" w:color="auto"/>
            <w:right w:val="none" w:sz="0" w:space="0" w:color="auto"/>
          </w:divBdr>
        </w:div>
        <w:div w:id="1289237640">
          <w:marLeft w:val="0"/>
          <w:marRight w:val="0"/>
          <w:marTop w:val="0"/>
          <w:marBottom w:val="0"/>
          <w:divBdr>
            <w:top w:val="none" w:sz="0" w:space="0" w:color="auto"/>
            <w:left w:val="none" w:sz="0" w:space="0" w:color="auto"/>
            <w:bottom w:val="none" w:sz="0" w:space="0" w:color="auto"/>
            <w:right w:val="none" w:sz="0" w:space="0" w:color="auto"/>
          </w:divBdr>
        </w:div>
      </w:divsChild>
    </w:div>
    <w:div w:id="1571385046">
      <w:bodyDiv w:val="1"/>
      <w:marLeft w:val="0"/>
      <w:marRight w:val="0"/>
      <w:marTop w:val="0"/>
      <w:marBottom w:val="0"/>
      <w:divBdr>
        <w:top w:val="none" w:sz="0" w:space="0" w:color="auto"/>
        <w:left w:val="none" w:sz="0" w:space="0" w:color="auto"/>
        <w:bottom w:val="none" w:sz="0" w:space="0" w:color="auto"/>
        <w:right w:val="none" w:sz="0" w:space="0" w:color="auto"/>
      </w:divBdr>
    </w:div>
    <w:div w:id="1610044612">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sChild>
        <w:div w:id="2136680850">
          <w:marLeft w:val="0"/>
          <w:marRight w:val="0"/>
          <w:marTop w:val="0"/>
          <w:marBottom w:val="0"/>
          <w:divBdr>
            <w:top w:val="none" w:sz="0" w:space="0" w:color="auto"/>
            <w:left w:val="none" w:sz="0" w:space="0" w:color="auto"/>
            <w:bottom w:val="none" w:sz="0" w:space="0" w:color="auto"/>
            <w:right w:val="none" w:sz="0" w:space="0" w:color="auto"/>
          </w:divBdr>
        </w:div>
      </w:divsChild>
    </w:div>
    <w:div w:id="1654946737">
      <w:bodyDiv w:val="1"/>
      <w:marLeft w:val="0"/>
      <w:marRight w:val="0"/>
      <w:marTop w:val="0"/>
      <w:marBottom w:val="0"/>
      <w:divBdr>
        <w:top w:val="none" w:sz="0" w:space="0" w:color="auto"/>
        <w:left w:val="none" w:sz="0" w:space="0" w:color="auto"/>
        <w:bottom w:val="none" w:sz="0" w:space="0" w:color="auto"/>
        <w:right w:val="none" w:sz="0" w:space="0" w:color="auto"/>
      </w:divBdr>
    </w:div>
    <w:div w:id="1655597735">
      <w:bodyDiv w:val="1"/>
      <w:marLeft w:val="0"/>
      <w:marRight w:val="0"/>
      <w:marTop w:val="0"/>
      <w:marBottom w:val="0"/>
      <w:divBdr>
        <w:top w:val="none" w:sz="0" w:space="0" w:color="auto"/>
        <w:left w:val="none" w:sz="0" w:space="0" w:color="auto"/>
        <w:bottom w:val="none" w:sz="0" w:space="0" w:color="auto"/>
        <w:right w:val="none" w:sz="0" w:space="0" w:color="auto"/>
      </w:divBdr>
    </w:div>
    <w:div w:id="1875190385">
      <w:bodyDiv w:val="1"/>
      <w:marLeft w:val="0"/>
      <w:marRight w:val="0"/>
      <w:marTop w:val="0"/>
      <w:marBottom w:val="0"/>
      <w:divBdr>
        <w:top w:val="none" w:sz="0" w:space="0" w:color="auto"/>
        <w:left w:val="none" w:sz="0" w:space="0" w:color="auto"/>
        <w:bottom w:val="none" w:sz="0" w:space="0" w:color="auto"/>
        <w:right w:val="none" w:sz="0" w:space="0" w:color="auto"/>
      </w:divBdr>
    </w:div>
    <w:div w:id="1919824429">
      <w:bodyDiv w:val="1"/>
      <w:marLeft w:val="0"/>
      <w:marRight w:val="0"/>
      <w:marTop w:val="0"/>
      <w:marBottom w:val="0"/>
      <w:divBdr>
        <w:top w:val="none" w:sz="0" w:space="0" w:color="auto"/>
        <w:left w:val="none" w:sz="0" w:space="0" w:color="auto"/>
        <w:bottom w:val="none" w:sz="0" w:space="0" w:color="auto"/>
        <w:right w:val="none" w:sz="0" w:space="0" w:color="auto"/>
      </w:divBdr>
      <w:divsChild>
        <w:div w:id="1380474052">
          <w:marLeft w:val="0"/>
          <w:marRight w:val="0"/>
          <w:marTop w:val="0"/>
          <w:marBottom w:val="0"/>
          <w:divBdr>
            <w:top w:val="none" w:sz="0" w:space="0" w:color="auto"/>
            <w:left w:val="none" w:sz="0" w:space="0" w:color="auto"/>
            <w:bottom w:val="none" w:sz="0" w:space="0" w:color="auto"/>
            <w:right w:val="none" w:sz="0" w:space="0" w:color="auto"/>
          </w:divBdr>
        </w:div>
      </w:divsChild>
    </w:div>
    <w:div w:id="1982299008">
      <w:bodyDiv w:val="1"/>
      <w:marLeft w:val="0"/>
      <w:marRight w:val="0"/>
      <w:marTop w:val="0"/>
      <w:marBottom w:val="0"/>
      <w:divBdr>
        <w:top w:val="none" w:sz="0" w:space="0" w:color="auto"/>
        <w:left w:val="none" w:sz="0" w:space="0" w:color="auto"/>
        <w:bottom w:val="none" w:sz="0" w:space="0" w:color="auto"/>
        <w:right w:val="none" w:sz="0" w:space="0" w:color="auto"/>
      </w:divBdr>
      <w:divsChild>
        <w:div w:id="1354259228">
          <w:marLeft w:val="0"/>
          <w:marRight w:val="0"/>
          <w:marTop w:val="0"/>
          <w:marBottom w:val="0"/>
          <w:divBdr>
            <w:top w:val="none" w:sz="0" w:space="0" w:color="auto"/>
            <w:left w:val="none" w:sz="0" w:space="0" w:color="auto"/>
            <w:bottom w:val="none" w:sz="0" w:space="0" w:color="auto"/>
            <w:right w:val="none" w:sz="0" w:space="0" w:color="auto"/>
          </w:divBdr>
        </w:div>
      </w:divsChild>
    </w:div>
    <w:div w:id="1995911194">
      <w:bodyDiv w:val="1"/>
      <w:marLeft w:val="0"/>
      <w:marRight w:val="0"/>
      <w:marTop w:val="0"/>
      <w:marBottom w:val="0"/>
      <w:divBdr>
        <w:top w:val="none" w:sz="0" w:space="0" w:color="auto"/>
        <w:left w:val="none" w:sz="0" w:space="0" w:color="auto"/>
        <w:bottom w:val="none" w:sz="0" w:space="0" w:color="auto"/>
        <w:right w:val="none" w:sz="0" w:space="0" w:color="auto"/>
      </w:divBdr>
    </w:div>
    <w:div w:id="2054690527">
      <w:bodyDiv w:val="1"/>
      <w:marLeft w:val="0"/>
      <w:marRight w:val="0"/>
      <w:marTop w:val="0"/>
      <w:marBottom w:val="0"/>
      <w:divBdr>
        <w:top w:val="none" w:sz="0" w:space="0" w:color="auto"/>
        <w:left w:val="none" w:sz="0" w:space="0" w:color="auto"/>
        <w:bottom w:val="none" w:sz="0" w:space="0" w:color="auto"/>
        <w:right w:val="none" w:sz="0" w:space="0" w:color="auto"/>
      </w:divBdr>
      <w:divsChild>
        <w:div w:id="1150557505">
          <w:marLeft w:val="0"/>
          <w:marRight w:val="0"/>
          <w:marTop w:val="0"/>
          <w:marBottom w:val="0"/>
          <w:divBdr>
            <w:top w:val="none" w:sz="0" w:space="0" w:color="auto"/>
            <w:left w:val="none" w:sz="0" w:space="0" w:color="auto"/>
            <w:bottom w:val="none" w:sz="0" w:space="0" w:color="auto"/>
            <w:right w:val="none" w:sz="0" w:space="0" w:color="auto"/>
          </w:divBdr>
        </w:div>
        <w:div w:id="1582983121">
          <w:marLeft w:val="0"/>
          <w:marRight w:val="0"/>
          <w:marTop w:val="0"/>
          <w:marBottom w:val="0"/>
          <w:divBdr>
            <w:top w:val="none" w:sz="0" w:space="0" w:color="auto"/>
            <w:left w:val="none" w:sz="0" w:space="0" w:color="auto"/>
            <w:bottom w:val="none" w:sz="0" w:space="0" w:color="auto"/>
            <w:right w:val="none" w:sz="0" w:space="0" w:color="auto"/>
          </w:divBdr>
        </w:div>
        <w:div w:id="1468937167">
          <w:marLeft w:val="0"/>
          <w:marRight w:val="0"/>
          <w:marTop w:val="0"/>
          <w:marBottom w:val="0"/>
          <w:divBdr>
            <w:top w:val="none" w:sz="0" w:space="0" w:color="auto"/>
            <w:left w:val="none" w:sz="0" w:space="0" w:color="auto"/>
            <w:bottom w:val="none" w:sz="0" w:space="0" w:color="auto"/>
            <w:right w:val="none" w:sz="0" w:space="0" w:color="auto"/>
          </w:divBdr>
        </w:div>
        <w:div w:id="631523620">
          <w:marLeft w:val="0"/>
          <w:marRight w:val="0"/>
          <w:marTop w:val="0"/>
          <w:marBottom w:val="0"/>
          <w:divBdr>
            <w:top w:val="none" w:sz="0" w:space="0" w:color="auto"/>
            <w:left w:val="none" w:sz="0" w:space="0" w:color="auto"/>
            <w:bottom w:val="none" w:sz="0" w:space="0" w:color="auto"/>
            <w:right w:val="none" w:sz="0" w:space="0" w:color="auto"/>
          </w:divBdr>
        </w:div>
        <w:div w:id="73361441">
          <w:marLeft w:val="0"/>
          <w:marRight w:val="0"/>
          <w:marTop w:val="0"/>
          <w:marBottom w:val="0"/>
          <w:divBdr>
            <w:top w:val="none" w:sz="0" w:space="0" w:color="auto"/>
            <w:left w:val="none" w:sz="0" w:space="0" w:color="auto"/>
            <w:bottom w:val="none" w:sz="0" w:space="0" w:color="auto"/>
            <w:right w:val="none" w:sz="0" w:space="0" w:color="auto"/>
          </w:divBdr>
        </w:div>
        <w:div w:id="1456099703">
          <w:marLeft w:val="0"/>
          <w:marRight w:val="0"/>
          <w:marTop w:val="0"/>
          <w:marBottom w:val="0"/>
          <w:divBdr>
            <w:top w:val="none" w:sz="0" w:space="0" w:color="auto"/>
            <w:left w:val="none" w:sz="0" w:space="0" w:color="auto"/>
            <w:bottom w:val="none" w:sz="0" w:space="0" w:color="auto"/>
            <w:right w:val="none" w:sz="0" w:space="0" w:color="auto"/>
          </w:divBdr>
        </w:div>
        <w:div w:id="1369337447">
          <w:marLeft w:val="0"/>
          <w:marRight w:val="0"/>
          <w:marTop w:val="0"/>
          <w:marBottom w:val="0"/>
          <w:divBdr>
            <w:top w:val="none" w:sz="0" w:space="0" w:color="auto"/>
            <w:left w:val="none" w:sz="0" w:space="0" w:color="auto"/>
            <w:bottom w:val="none" w:sz="0" w:space="0" w:color="auto"/>
            <w:right w:val="none" w:sz="0" w:space="0" w:color="auto"/>
          </w:divBdr>
        </w:div>
        <w:div w:id="167139142">
          <w:marLeft w:val="0"/>
          <w:marRight w:val="0"/>
          <w:marTop w:val="0"/>
          <w:marBottom w:val="0"/>
          <w:divBdr>
            <w:top w:val="none" w:sz="0" w:space="0" w:color="auto"/>
            <w:left w:val="none" w:sz="0" w:space="0" w:color="auto"/>
            <w:bottom w:val="none" w:sz="0" w:space="0" w:color="auto"/>
            <w:right w:val="none" w:sz="0" w:space="0" w:color="auto"/>
          </w:divBdr>
        </w:div>
        <w:div w:id="1124926320">
          <w:marLeft w:val="0"/>
          <w:marRight w:val="0"/>
          <w:marTop w:val="0"/>
          <w:marBottom w:val="0"/>
          <w:divBdr>
            <w:top w:val="none" w:sz="0" w:space="0" w:color="auto"/>
            <w:left w:val="none" w:sz="0" w:space="0" w:color="auto"/>
            <w:bottom w:val="none" w:sz="0" w:space="0" w:color="auto"/>
            <w:right w:val="none" w:sz="0" w:space="0" w:color="auto"/>
          </w:divBdr>
        </w:div>
        <w:div w:id="1602906585">
          <w:marLeft w:val="0"/>
          <w:marRight w:val="0"/>
          <w:marTop w:val="0"/>
          <w:marBottom w:val="0"/>
          <w:divBdr>
            <w:top w:val="none" w:sz="0" w:space="0" w:color="auto"/>
            <w:left w:val="none" w:sz="0" w:space="0" w:color="auto"/>
            <w:bottom w:val="none" w:sz="0" w:space="0" w:color="auto"/>
            <w:right w:val="none" w:sz="0" w:space="0" w:color="auto"/>
          </w:divBdr>
        </w:div>
        <w:div w:id="1161195362">
          <w:marLeft w:val="0"/>
          <w:marRight w:val="0"/>
          <w:marTop w:val="0"/>
          <w:marBottom w:val="0"/>
          <w:divBdr>
            <w:top w:val="none" w:sz="0" w:space="0" w:color="auto"/>
            <w:left w:val="none" w:sz="0" w:space="0" w:color="auto"/>
            <w:bottom w:val="none" w:sz="0" w:space="0" w:color="auto"/>
            <w:right w:val="none" w:sz="0" w:space="0" w:color="auto"/>
          </w:divBdr>
        </w:div>
        <w:div w:id="521625876">
          <w:marLeft w:val="0"/>
          <w:marRight w:val="0"/>
          <w:marTop w:val="0"/>
          <w:marBottom w:val="0"/>
          <w:divBdr>
            <w:top w:val="none" w:sz="0" w:space="0" w:color="auto"/>
            <w:left w:val="none" w:sz="0" w:space="0" w:color="auto"/>
            <w:bottom w:val="none" w:sz="0" w:space="0" w:color="auto"/>
            <w:right w:val="none" w:sz="0" w:space="0" w:color="auto"/>
          </w:divBdr>
        </w:div>
        <w:div w:id="1349992074">
          <w:marLeft w:val="0"/>
          <w:marRight w:val="0"/>
          <w:marTop w:val="0"/>
          <w:marBottom w:val="0"/>
          <w:divBdr>
            <w:top w:val="none" w:sz="0" w:space="0" w:color="auto"/>
            <w:left w:val="none" w:sz="0" w:space="0" w:color="auto"/>
            <w:bottom w:val="none" w:sz="0" w:space="0" w:color="auto"/>
            <w:right w:val="none" w:sz="0" w:space="0" w:color="auto"/>
          </w:divBdr>
        </w:div>
        <w:div w:id="1381594908">
          <w:marLeft w:val="0"/>
          <w:marRight w:val="0"/>
          <w:marTop w:val="0"/>
          <w:marBottom w:val="0"/>
          <w:divBdr>
            <w:top w:val="none" w:sz="0" w:space="0" w:color="auto"/>
            <w:left w:val="none" w:sz="0" w:space="0" w:color="auto"/>
            <w:bottom w:val="none" w:sz="0" w:space="0" w:color="auto"/>
            <w:right w:val="none" w:sz="0" w:space="0" w:color="auto"/>
          </w:divBdr>
        </w:div>
        <w:div w:id="456147821">
          <w:marLeft w:val="0"/>
          <w:marRight w:val="0"/>
          <w:marTop w:val="0"/>
          <w:marBottom w:val="0"/>
          <w:divBdr>
            <w:top w:val="none" w:sz="0" w:space="0" w:color="auto"/>
            <w:left w:val="none" w:sz="0" w:space="0" w:color="auto"/>
            <w:bottom w:val="none" w:sz="0" w:space="0" w:color="auto"/>
            <w:right w:val="none" w:sz="0" w:space="0" w:color="auto"/>
          </w:divBdr>
        </w:div>
        <w:div w:id="1513304798">
          <w:marLeft w:val="0"/>
          <w:marRight w:val="0"/>
          <w:marTop w:val="0"/>
          <w:marBottom w:val="0"/>
          <w:divBdr>
            <w:top w:val="none" w:sz="0" w:space="0" w:color="auto"/>
            <w:left w:val="none" w:sz="0" w:space="0" w:color="auto"/>
            <w:bottom w:val="none" w:sz="0" w:space="0" w:color="auto"/>
            <w:right w:val="none" w:sz="0" w:space="0" w:color="auto"/>
          </w:divBdr>
        </w:div>
        <w:div w:id="194078628">
          <w:marLeft w:val="0"/>
          <w:marRight w:val="0"/>
          <w:marTop w:val="0"/>
          <w:marBottom w:val="0"/>
          <w:divBdr>
            <w:top w:val="none" w:sz="0" w:space="0" w:color="auto"/>
            <w:left w:val="none" w:sz="0" w:space="0" w:color="auto"/>
            <w:bottom w:val="none" w:sz="0" w:space="0" w:color="auto"/>
            <w:right w:val="none" w:sz="0" w:space="0" w:color="auto"/>
          </w:divBdr>
        </w:div>
        <w:div w:id="823207340">
          <w:marLeft w:val="0"/>
          <w:marRight w:val="0"/>
          <w:marTop w:val="0"/>
          <w:marBottom w:val="0"/>
          <w:divBdr>
            <w:top w:val="none" w:sz="0" w:space="0" w:color="auto"/>
            <w:left w:val="none" w:sz="0" w:space="0" w:color="auto"/>
            <w:bottom w:val="none" w:sz="0" w:space="0" w:color="auto"/>
            <w:right w:val="none" w:sz="0" w:space="0" w:color="auto"/>
          </w:divBdr>
        </w:div>
        <w:div w:id="1411276024">
          <w:marLeft w:val="0"/>
          <w:marRight w:val="0"/>
          <w:marTop w:val="0"/>
          <w:marBottom w:val="0"/>
          <w:divBdr>
            <w:top w:val="none" w:sz="0" w:space="0" w:color="auto"/>
            <w:left w:val="none" w:sz="0" w:space="0" w:color="auto"/>
            <w:bottom w:val="none" w:sz="0" w:space="0" w:color="auto"/>
            <w:right w:val="none" w:sz="0" w:space="0" w:color="auto"/>
          </w:divBdr>
        </w:div>
        <w:div w:id="904536926">
          <w:marLeft w:val="0"/>
          <w:marRight w:val="0"/>
          <w:marTop w:val="0"/>
          <w:marBottom w:val="0"/>
          <w:divBdr>
            <w:top w:val="none" w:sz="0" w:space="0" w:color="auto"/>
            <w:left w:val="none" w:sz="0" w:space="0" w:color="auto"/>
            <w:bottom w:val="none" w:sz="0" w:space="0" w:color="auto"/>
            <w:right w:val="none" w:sz="0" w:space="0" w:color="auto"/>
          </w:divBdr>
        </w:div>
        <w:div w:id="1654261361">
          <w:marLeft w:val="0"/>
          <w:marRight w:val="0"/>
          <w:marTop w:val="0"/>
          <w:marBottom w:val="0"/>
          <w:divBdr>
            <w:top w:val="none" w:sz="0" w:space="0" w:color="auto"/>
            <w:left w:val="none" w:sz="0" w:space="0" w:color="auto"/>
            <w:bottom w:val="none" w:sz="0" w:space="0" w:color="auto"/>
            <w:right w:val="none" w:sz="0" w:space="0" w:color="auto"/>
          </w:divBdr>
        </w:div>
        <w:div w:id="345787228">
          <w:marLeft w:val="0"/>
          <w:marRight w:val="0"/>
          <w:marTop w:val="0"/>
          <w:marBottom w:val="0"/>
          <w:divBdr>
            <w:top w:val="none" w:sz="0" w:space="0" w:color="auto"/>
            <w:left w:val="none" w:sz="0" w:space="0" w:color="auto"/>
            <w:bottom w:val="none" w:sz="0" w:space="0" w:color="auto"/>
            <w:right w:val="none" w:sz="0" w:space="0" w:color="auto"/>
          </w:divBdr>
        </w:div>
        <w:div w:id="664473886">
          <w:marLeft w:val="0"/>
          <w:marRight w:val="0"/>
          <w:marTop w:val="0"/>
          <w:marBottom w:val="0"/>
          <w:divBdr>
            <w:top w:val="none" w:sz="0" w:space="0" w:color="auto"/>
            <w:left w:val="none" w:sz="0" w:space="0" w:color="auto"/>
            <w:bottom w:val="none" w:sz="0" w:space="0" w:color="auto"/>
            <w:right w:val="none" w:sz="0" w:space="0" w:color="auto"/>
          </w:divBdr>
        </w:div>
        <w:div w:id="1274483259">
          <w:marLeft w:val="0"/>
          <w:marRight w:val="0"/>
          <w:marTop w:val="0"/>
          <w:marBottom w:val="0"/>
          <w:divBdr>
            <w:top w:val="none" w:sz="0" w:space="0" w:color="auto"/>
            <w:left w:val="none" w:sz="0" w:space="0" w:color="auto"/>
            <w:bottom w:val="none" w:sz="0" w:space="0" w:color="auto"/>
            <w:right w:val="none" w:sz="0" w:space="0" w:color="auto"/>
          </w:divBdr>
        </w:div>
        <w:div w:id="1573736077">
          <w:marLeft w:val="0"/>
          <w:marRight w:val="0"/>
          <w:marTop w:val="0"/>
          <w:marBottom w:val="0"/>
          <w:divBdr>
            <w:top w:val="none" w:sz="0" w:space="0" w:color="auto"/>
            <w:left w:val="none" w:sz="0" w:space="0" w:color="auto"/>
            <w:bottom w:val="none" w:sz="0" w:space="0" w:color="auto"/>
            <w:right w:val="none" w:sz="0" w:space="0" w:color="auto"/>
          </w:divBdr>
        </w:div>
        <w:div w:id="261693078">
          <w:marLeft w:val="0"/>
          <w:marRight w:val="0"/>
          <w:marTop w:val="0"/>
          <w:marBottom w:val="0"/>
          <w:divBdr>
            <w:top w:val="none" w:sz="0" w:space="0" w:color="auto"/>
            <w:left w:val="none" w:sz="0" w:space="0" w:color="auto"/>
            <w:bottom w:val="none" w:sz="0" w:space="0" w:color="auto"/>
            <w:right w:val="none" w:sz="0" w:space="0" w:color="auto"/>
          </w:divBdr>
        </w:div>
      </w:divsChild>
    </w:div>
    <w:div w:id="2075465843">
      <w:bodyDiv w:val="1"/>
      <w:marLeft w:val="0"/>
      <w:marRight w:val="0"/>
      <w:marTop w:val="0"/>
      <w:marBottom w:val="0"/>
      <w:divBdr>
        <w:top w:val="none" w:sz="0" w:space="0" w:color="auto"/>
        <w:left w:val="none" w:sz="0" w:space="0" w:color="auto"/>
        <w:bottom w:val="none" w:sz="0" w:space="0" w:color="auto"/>
        <w:right w:val="none" w:sz="0" w:space="0" w:color="auto"/>
      </w:divBdr>
      <w:divsChild>
        <w:div w:id="1607228794">
          <w:marLeft w:val="0"/>
          <w:marRight w:val="0"/>
          <w:marTop w:val="0"/>
          <w:marBottom w:val="0"/>
          <w:divBdr>
            <w:top w:val="none" w:sz="0" w:space="0" w:color="auto"/>
            <w:left w:val="none" w:sz="0" w:space="0" w:color="auto"/>
            <w:bottom w:val="none" w:sz="0" w:space="0" w:color="auto"/>
            <w:right w:val="none" w:sz="0" w:space="0" w:color="auto"/>
          </w:divBdr>
        </w:div>
        <w:div w:id="1136795136">
          <w:marLeft w:val="0"/>
          <w:marRight w:val="0"/>
          <w:marTop w:val="0"/>
          <w:marBottom w:val="0"/>
          <w:divBdr>
            <w:top w:val="none" w:sz="0" w:space="0" w:color="auto"/>
            <w:left w:val="none" w:sz="0" w:space="0" w:color="auto"/>
            <w:bottom w:val="none" w:sz="0" w:space="0" w:color="auto"/>
            <w:right w:val="none" w:sz="0" w:space="0" w:color="auto"/>
          </w:divBdr>
        </w:div>
        <w:div w:id="1800106210">
          <w:marLeft w:val="0"/>
          <w:marRight w:val="0"/>
          <w:marTop w:val="0"/>
          <w:marBottom w:val="0"/>
          <w:divBdr>
            <w:top w:val="none" w:sz="0" w:space="0" w:color="auto"/>
            <w:left w:val="none" w:sz="0" w:space="0" w:color="auto"/>
            <w:bottom w:val="none" w:sz="0" w:space="0" w:color="auto"/>
            <w:right w:val="none" w:sz="0" w:space="0" w:color="auto"/>
          </w:divBdr>
        </w:div>
        <w:div w:id="732850707">
          <w:marLeft w:val="0"/>
          <w:marRight w:val="0"/>
          <w:marTop w:val="0"/>
          <w:marBottom w:val="0"/>
          <w:divBdr>
            <w:top w:val="none" w:sz="0" w:space="0" w:color="auto"/>
            <w:left w:val="none" w:sz="0" w:space="0" w:color="auto"/>
            <w:bottom w:val="none" w:sz="0" w:space="0" w:color="auto"/>
            <w:right w:val="none" w:sz="0" w:space="0" w:color="auto"/>
          </w:divBdr>
        </w:div>
        <w:div w:id="216203488">
          <w:marLeft w:val="0"/>
          <w:marRight w:val="0"/>
          <w:marTop w:val="0"/>
          <w:marBottom w:val="0"/>
          <w:divBdr>
            <w:top w:val="none" w:sz="0" w:space="0" w:color="auto"/>
            <w:left w:val="none" w:sz="0" w:space="0" w:color="auto"/>
            <w:bottom w:val="none" w:sz="0" w:space="0" w:color="auto"/>
            <w:right w:val="none" w:sz="0" w:space="0" w:color="auto"/>
          </w:divBdr>
        </w:div>
        <w:div w:id="216548248">
          <w:marLeft w:val="0"/>
          <w:marRight w:val="0"/>
          <w:marTop w:val="0"/>
          <w:marBottom w:val="0"/>
          <w:divBdr>
            <w:top w:val="none" w:sz="0" w:space="0" w:color="auto"/>
            <w:left w:val="none" w:sz="0" w:space="0" w:color="auto"/>
            <w:bottom w:val="none" w:sz="0" w:space="0" w:color="auto"/>
            <w:right w:val="none" w:sz="0" w:space="0" w:color="auto"/>
          </w:divBdr>
        </w:div>
        <w:div w:id="1071732622">
          <w:marLeft w:val="0"/>
          <w:marRight w:val="0"/>
          <w:marTop w:val="0"/>
          <w:marBottom w:val="0"/>
          <w:divBdr>
            <w:top w:val="none" w:sz="0" w:space="0" w:color="auto"/>
            <w:left w:val="none" w:sz="0" w:space="0" w:color="auto"/>
            <w:bottom w:val="none" w:sz="0" w:space="0" w:color="auto"/>
            <w:right w:val="none" w:sz="0" w:space="0" w:color="auto"/>
          </w:divBdr>
        </w:div>
        <w:div w:id="376928147">
          <w:marLeft w:val="0"/>
          <w:marRight w:val="0"/>
          <w:marTop w:val="0"/>
          <w:marBottom w:val="0"/>
          <w:divBdr>
            <w:top w:val="none" w:sz="0" w:space="0" w:color="auto"/>
            <w:left w:val="none" w:sz="0" w:space="0" w:color="auto"/>
            <w:bottom w:val="none" w:sz="0" w:space="0" w:color="auto"/>
            <w:right w:val="none" w:sz="0" w:space="0" w:color="auto"/>
          </w:divBdr>
        </w:div>
        <w:div w:id="1981957518">
          <w:marLeft w:val="0"/>
          <w:marRight w:val="0"/>
          <w:marTop w:val="0"/>
          <w:marBottom w:val="0"/>
          <w:divBdr>
            <w:top w:val="none" w:sz="0" w:space="0" w:color="auto"/>
            <w:left w:val="none" w:sz="0" w:space="0" w:color="auto"/>
            <w:bottom w:val="none" w:sz="0" w:space="0" w:color="auto"/>
            <w:right w:val="none" w:sz="0" w:space="0" w:color="auto"/>
          </w:divBdr>
        </w:div>
        <w:div w:id="1974171142">
          <w:marLeft w:val="0"/>
          <w:marRight w:val="0"/>
          <w:marTop w:val="0"/>
          <w:marBottom w:val="0"/>
          <w:divBdr>
            <w:top w:val="none" w:sz="0" w:space="0" w:color="auto"/>
            <w:left w:val="none" w:sz="0" w:space="0" w:color="auto"/>
            <w:bottom w:val="none" w:sz="0" w:space="0" w:color="auto"/>
            <w:right w:val="none" w:sz="0" w:space="0" w:color="auto"/>
          </w:divBdr>
        </w:div>
      </w:divsChild>
    </w:div>
    <w:div w:id="2079591720">
      <w:bodyDiv w:val="1"/>
      <w:marLeft w:val="0"/>
      <w:marRight w:val="0"/>
      <w:marTop w:val="0"/>
      <w:marBottom w:val="0"/>
      <w:divBdr>
        <w:top w:val="none" w:sz="0" w:space="0" w:color="auto"/>
        <w:left w:val="none" w:sz="0" w:space="0" w:color="auto"/>
        <w:bottom w:val="none" w:sz="0" w:space="0" w:color="auto"/>
        <w:right w:val="none" w:sz="0" w:space="0" w:color="auto"/>
      </w:divBdr>
    </w:div>
    <w:div w:id="2106999292">
      <w:bodyDiv w:val="1"/>
      <w:marLeft w:val="0"/>
      <w:marRight w:val="0"/>
      <w:marTop w:val="0"/>
      <w:marBottom w:val="0"/>
      <w:divBdr>
        <w:top w:val="none" w:sz="0" w:space="0" w:color="auto"/>
        <w:left w:val="none" w:sz="0" w:space="0" w:color="auto"/>
        <w:bottom w:val="none" w:sz="0" w:space="0" w:color="auto"/>
        <w:right w:val="none" w:sz="0" w:space="0" w:color="auto"/>
      </w:divBdr>
      <w:divsChild>
        <w:div w:id="1939025820">
          <w:marLeft w:val="0"/>
          <w:marRight w:val="0"/>
          <w:marTop w:val="0"/>
          <w:marBottom w:val="0"/>
          <w:divBdr>
            <w:top w:val="none" w:sz="0" w:space="0" w:color="auto"/>
            <w:left w:val="none" w:sz="0" w:space="0" w:color="auto"/>
            <w:bottom w:val="none" w:sz="0" w:space="0" w:color="auto"/>
            <w:right w:val="none" w:sz="0" w:space="0" w:color="auto"/>
          </w:divBdr>
        </w:div>
      </w:divsChild>
    </w:div>
    <w:div w:id="2129662793">
      <w:bodyDiv w:val="1"/>
      <w:marLeft w:val="0"/>
      <w:marRight w:val="0"/>
      <w:marTop w:val="0"/>
      <w:marBottom w:val="0"/>
      <w:divBdr>
        <w:top w:val="none" w:sz="0" w:space="0" w:color="auto"/>
        <w:left w:val="none" w:sz="0" w:space="0" w:color="auto"/>
        <w:bottom w:val="none" w:sz="0" w:space="0" w:color="auto"/>
        <w:right w:val="none" w:sz="0" w:space="0" w:color="auto"/>
      </w:divBdr>
      <w:divsChild>
        <w:div w:id="2138259430">
          <w:marLeft w:val="0"/>
          <w:marRight w:val="0"/>
          <w:marTop w:val="0"/>
          <w:marBottom w:val="0"/>
          <w:divBdr>
            <w:top w:val="none" w:sz="0" w:space="0" w:color="auto"/>
            <w:left w:val="none" w:sz="0" w:space="0" w:color="auto"/>
            <w:bottom w:val="none" w:sz="0" w:space="0" w:color="auto"/>
            <w:right w:val="none" w:sz="0" w:space="0" w:color="auto"/>
          </w:divBdr>
        </w:div>
      </w:divsChild>
    </w:div>
    <w:div w:id="2144420603">
      <w:bodyDiv w:val="1"/>
      <w:marLeft w:val="0"/>
      <w:marRight w:val="0"/>
      <w:marTop w:val="0"/>
      <w:marBottom w:val="0"/>
      <w:divBdr>
        <w:top w:val="none" w:sz="0" w:space="0" w:color="auto"/>
        <w:left w:val="none" w:sz="0" w:space="0" w:color="auto"/>
        <w:bottom w:val="none" w:sz="0" w:space="0" w:color="auto"/>
        <w:right w:val="none" w:sz="0" w:space="0" w:color="auto"/>
      </w:divBdr>
      <w:divsChild>
        <w:div w:id="8959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yperlink" Target="http://www.knab.gov.lv/uploads/free/knagis/knab-e_izdevums_3_2014.pdf" TargetMode="External"/><Relationship Id="rId17" Type="http://schemas.openxmlformats.org/officeDocument/2006/relationships/hyperlink" Target="http://www.knab.gov.lv/lv/knab/press/article.php?id=466658"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knab.gov.lv/lv/prevention/offences/" TargetMode="Externa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ab.gov.lv/uploads/free/uznemeju_izglitosana/godpratiga_un_no_korupcijas_briva_uznemejdarbiba.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acebook.com/mespretkorupciju" TargetMode="Externa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nab.gov.lv/lv/education/campaign/2014/" TargetMode="External"/><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Sintija.Helviga\Desktop\Informativais%20zinojums%20II%20pusgads%202014\Informativais%20zinojums%20II%20pusgads%202014\12-13pusgads++.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stacked"/>
        <c:varyColors val="0"/>
        <c:ser>
          <c:idx val="0"/>
          <c:order val="0"/>
          <c:tx>
            <c:strRef>
              <c:f>dati_2013!$A$77</c:f>
              <c:strCache>
                <c:ptCount val="1"/>
                <c:pt idx="0">
                  <c:v>no fiziskām personām</c:v>
                </c:pt>
              </c:strCache>
            </c:strRef>
          </c:tx>
          <c:spPr>
            <a:solidFill>
              <a:schemeClr val="accent3">
                <a:lumMod val="60000"/>
                <a:lumOff val="40000"/>
              </a:schemeClr>
            </a:solidFill>
            <a:scene3d>
              <a:camera prst="orthographicFront"/>
              <a:lightRig rig="threePt" dir="t"/>
            </a:scene3d>
            <a:sp3d>
              <a:bevelT/>
            </a:sp3d>
          </c:spPr>
          <c:invertIfNegative val="0"/>
          <c:dLbls>
            <c:spPr>
              <a:noFill/>
              <a:ln>
                <a:noFill/>
              </a:ln>
              <a:effectLst/>
            </c:spPr>
            <c:txPr>
              <a:bodyPr/>
              <a:lstStyle/>
              <a:p>
                <a:pPr>
                  <a:defRPr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dati_2013!$B$76:$G$76</c:f>
              <c:numCache>
                <c:formatCode>General</c:formatCode>
                <c:ptCount val="6"/>
                <c:pt idx="0">
                  <c:v>2009</c:v>
                </c:pt>
                <c:pt idx="1">
                  <c:v>2010</c:v>
                </c:pt>
                <c:pt idx="2">
                  <c:v>2011</c:v>
                </c:pt>
                <c:pt idx="3">
                  <c:v>2012</c:v>
                </c:pt>
                <c:pt idx="4">
                  <c:v>2013</c:v>
                </c:pt>
                <c:pt idx="5">
                  <c:v>2014</c:v>
                </c:pt>
              </c:numCache>
            </c:numRef>
          </c:cat>
          <c:val>
            <c:numRef>
              <c:f>dati_2013!$B$77:$G$77</c:f>
              <c:numCache>
                <c:formatCode>General</c:formatCode>
                <c:ptCount val="6"/>
                <c:pt idx="0">
                  <c:v>981</c:v>
                </c:pt>
                <c:pt idx="1">
                  <c:v>934</c:v>
                </c:pt>
                <c:pt idx="2">
                  <c:v>933</c:v>
                </c:pt>
                <c:pt idx="3">
                  <c:v>835</c:v>
                </c:pt>
                <c:pt idx="4">
                  <c:v>851</c:v>
                </c:pt>
                <c:pt idx="5">
                  <c:v>956</c:v>
                </c:pt>
              </c:numCache>
            </c:numRef>
          </c:val>
        </c:ser>
        <c:ser>
          <c:idx val="1"/>
          <c:order val="1"/>
          <c:tx>
            <c:strRef>
              <c:f>dati_2013!$A$78</c:f>
              <c:strCache>
                <c:ptCount val="1"/>
                <c:pt idx="0">
                  <c:v>no juridiskām personām</c:v>
                </c:pt>
              </c:strCache>
            </c:strRef>
          </c:tx>
          <c:spPr>
            <a:solidFill>
              <a:schemeClr val="accent3">
                <a:lumMod val="75000"/>
              </a:schemeClr>
            </a:solidFill>
            <a:scene3d>
              <a:camera prst="orthographicFront"/>
              <a:lightRig rig="threePt" dir="t"/>
            </a:scene3d>
            <a:sp3d>
              <a:bevelT/>
            </a:sp3d>
          </c:spPr>
          <c:invertIfNegative val="0"/>
          <c:dLbls>
            <c:txPr>
              <a:bodyPr/>
              <a:lstStyle/>
              <a:p>
                <a:pPr>
                  <a:defRPr b="1"/>
                </a:pPr>
                <a:endParaRPr lang="lv-LV"/>
              </a:p>
            </c:txPr>
            <c:showLegendKey val="0"/>
            <c:showVal val="1"/>
            <c:showCatName val="0"/>
            <c:showSerName val="0"/>
            <c:showPercent val="0"/>
            <c:showBubbleSize val="0"/>
            <c:showLeaderLines val="0"/>
          </c:dLbls>
          <c:cat>
            <c:numRef>
              <c:f>dati_2013!$B$76:$G$76</c:f>
              <c:numCache>
                <c:formatCode>General</c:formatCode>
                <c:ptCount val="6"/>
                <c:pt idx="0">
                  <c:v>2009</c:v>
                </c:pt>
                <c:pt idx="1">
                  <c:v>2010</c:v>
                </c:pt>
                <c:pt idx="2">
                  <c:v>2011</c:v>
                </c:pt>
                <c:pt idx="3">
                  <c:v>2012</c:v>
                </c:pt>
                <c:pt idx="4">
                  <c:v>2013</c:v>
                </c:pt>
                <c:pt idx="5">
                  <c:v>2014</c:v>
                </c:pt>
              </c:numCache>
            </c:numRef>
          </c:cat>
          <c:val>
            <c:numRef>
              <c:f>dati_2013!$B$78:$G$78</c:f>
              <c:numCache>
                <c:formatCode>General</c:formatCode>
                <c:ptCount val="6"/>
                <c:pt idx="0">
                  <c:v>206</c:v>
                </c:pt>
                <c:pt idx="1">
                  <c:v>179</c:v>
                </c:pt>
                <c:pt idx="2">
                  <c:v>149</c:v>
                </c:pt>
                <c:pt idx="3">
                  <c:v>147</c:v>
                </c:pt>
                <c:pt idx="4">
                  <c:v>182</c:v>
                </c:pt>
                <c:pt idx="5">
                  <c:v>208</c:v>
                </c:pt>
              </c:numCache>
            </c:numRef>
          </c:val>
        </c:ser>
        <c:dLbls>
          <c:showLegendKey val="0"/>
          <c:showVal val="1"/>
          <c:showCatName val="0"/>
          <c:showSerName val="0"/>
          <c:showPercent val="0"/>
          <c:showBubbleSize val="0"/>
        </c:dLbls>
        <c:gapWidth val="75"/>
        <c:overlap val="100"/>
        <c:axId val="132463232"/>
        <c:axId val="132559616"/>
      </c:barChart>
      <c:lineChart>
        <c:grouping val="stacked"/>
        <c:varyColors val="0"/>
        <c:ser>
          <c:idx val="2"/>
          <c:order val="2"/>
          <c:tx>
            <c:strRef>
              <c:f>dati_2013!$A$79</c:f>
              <c:strCache>
                <c:ptCount val="1"/>
                <c:pt idx="0">
                  <c:v>pieņemtie apmeklētāji</c:v>
                </c:pt>
              </c:strCache>
            </c:strRef>
          </c:tx>
          <c:dLbls>
            <c:dLbl>
              <c:idx val="0"/>
              <c:layout>
                <c:manualLayout>
                  <c:x val="-3.4291472112726346E-2"/>
                  <c:y val="-4.21496265277580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630861753112205E-2"/>
                  <c:y val="-3.371970122220641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377199204704683E-2"/>
                  <c:y val="-3.65296763240569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4291472112726346E-2"/>
                  <c:y val="-3.652967632405695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6308617531122016E-2"/>
                  <c:y val="-4.214962652775812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1666666666666664E-2"/>
                  <c:y val="-3.8354487928093352E-2"/>
                </c:manualLayout>
              </c:layout>
              <c:showLegendKey val="0"/>
              <c:showVal val="1"/>
              <c:showCatName val="0"/>
              <c:showSerName val="0"/>
              <c:showPercent val="0"/>
              <c:showBubbleSize val="0"/>
            </c:dLbl>
            <c:spPr>
              <a:noFill/>
              <a:ln>
                <a:noFill/>
              </a:ln>
              <a:effectLst/>
            </c:spPr>
            <c:txPr>
              <a:bodyPr/>
              <a:lstStyle/>
              <a:p>
                <a:pPr>
                  <a:defRPr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dati_2013!$B$76:$G$76</c:f>
              <c:numCache>
                <c:formatCode>General</c:formatCode>
                <c:ptCount val="6"/>
                <c:pt idx="0">
                  <c:v>2009</c:v>
                </c:pt>
                <c:pt idx="1">
                  <c:v>2010</c:v>
                </c:pt>
                <c:pt idx="2">
                  <c:v>2011</c:v>
                </c:pt>
                <c:pt idx="3">
                  <c:v>2012</c:v>
                </c:pt>
                <c:pt idx="4">
                  <c:v>2013</c:v>
                </c:pt>
                <c:pt idx="5">
                  <c:v>2014</c:v>
                </c:pt>
              </c:numCache>
            </c:numRef>
          </c:cat>
          <c:val>
            <c:numRef>
              <c:f>dati_2013!$B$79:$G$79</c:f>
              <c:numCache>
                <c:formatCode>General</c:formatCode>
                <c:ptCount val="6"/>
                <c:pt idx="0">
                  <c:v>149</c:v>
                </c:pt>
                <c:pt idx="1">
                  <c:v>162</c:v>
                </c:pt>
                <c:pt idx="2">
                  <c:v>162</c:v>
                </c:pt>
                <c:pt idx="3">
                  <c:v>200</c:v>
                </c:pt>
                <c:pt idx="4">
                  <c:v>170</c:v>
                </c:pt>
                <c:pt idx="5">
                  <c:v>106</c:v>
                </c:pt>
              </c:numCache>
            </c:numRef>
          </c:val>
          <c:smooth val="0"/>
        </c:ser>
        <c:ser>
          <c:idx val="3"/>
          <c:order val="3"/>
          <c:tx>
            <c:strRef>
              <c:f>dati_2013!$A$80</c:f>
              <c:strCache>
                <c:ptCount val="1"/>
                <c:pt idx="0">
                  <c:v>saņemtie zvani</c:v>
                </c:pt>
              </c:strCache>
            </c:strRef>
          </c:tx>
          <c:spPr>
            <a:ln w="25400" cap="flat" cmpd="sng" algn="ctr">
              <a:solidFill>
                <a:schemeClr val="accent2"/>
              </a:solidFill>
              <a:prstDash val="solid"/>
            </a:ln>
            <a:effectLst/>
          </c:spPr>
          <c:marker>
            <c:symbol val="dot"/>
            <c:size val="9"/>
            <c:spPr>
              <a:solidFill>
                <a:schemeClr val="lt1"/>
              </a:solidFill>
              <a:ln w="25400" cap="flat" cmpd="sng" algn="ctr">
                <a:solidFill>
                  <a:schemeClr val="accent2"/>
                </a:solidFill>
                <a:prstDash val="solid"/>
              </a:ln>
              <a:effectLst/>
            </c:spPr>
          </c:marker>
          <c:dLbls>
            <c:dLbl>
              <c:idx val="0"/>
              <c:layout>
                <c:manualLayout>
                  <c:x val="-4.0342908367913349E-2"/>
                  <c:y val="3.08582418132011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360053786309054E-2"/>
                  <c:y val="-2.314368135990084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516440653251675E-2"/>
                  <c:y val="2.80998313192387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0792080591789168E-2"/>
                  <c:y val="-4.308713626404287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681138815981251E-2"/>
                  <c:y val="-1.913705422200209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3602761801903599E-2"/>
                </c:manualLayout>
              </c:layout>
              <c:showLegendKey val="0"/>
              <c:showVal val="1"/>
              <c:showCatName val="0"/>
              <c:showSerName val="0"/>
              <c:showPercent val="0"/>
              <c:showBubbleSize val="0"/>
            </c:dLbl>
            <c:txPr>
              <a:bodyPr/>
              <a:lstStyle/>
              <a:p>
                <a:pPr>
                  <a:defRPr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dati_2013!$B$76:$G$76</c:f>
              <c:numCache>
                <c:formatCode>General</c:formatCode>
                <c:ptCount val="6"/>
                <c:pt idx="0">
                  <c:v>2009</c:v>
                </c:pt>
                <c:pt idx="1">
                  <c:v>2010</c:v>
                </c:pt>
                <c:pt idx="2">
                  <c:v>2011</c:v>
                </c:pt>
                <c:pt idx="3">
                  <c:v>2012</c:v>
                </c:pt>
                <c:pt idx="4">
                  <c:v>2013</c:v>
                </c:pt>
                <c:pt idx="5">
                  <c:v>2014</c:v>
                </c:pt>
              </c:numCache>
            </c:numRef>
          </c:cat>
          <c:val>
            <c:numRef>
              <c:f>dati_2013!$B$80:$G$80</c:f>
              <c:numCache>
                <c:formatCode>General</c:formatCode>
                <c:ptCount val="6"/>
                <c:pt idx="0">
                  <c:v>1224</c:v>
                </c:pt>
                <c:pt idx="1">
                  <c:v>1264</c:v>
                </c:pt>
                <c:pt idx="2">
                  <c:v>1194</c:v>
                </c:pt>
                <c:pt idx="3">
                  <c:v>1493</c:v>
                </c:pt>
                <c:pt idx="4">
                  <c:v>1848</c:v>
                </c:pt>
                <c:pt idx="5">
                  <c:v>1941</c:v>
                </c:pt>
              </c:numCache>
            </c:numRef>
          </c:val>
          <c:smooth val="0"/>
        </c:ser>
        <c:dLbls>
          <c:showLegendKey val="0"/>
          <c:showVal val="1"/>
          <c:showCatName val="0"/>
          <c:showSerName val="0"/>
          <c:showPercent val="0"/>
          <c:showBubbleSize val="0"/>
        </c:dLbls>
        <c:marker val="1"/>
        <c:smooth val="0"/>
        <c:axId val="133214976"/>
        <c:axId val="132561536"/>
      </c:lineChart>
      <c:catAx>
        <c:axId val="132463232"/>
        <c:scaling>
          <c:orientation val="minMax"/>
        </c:scaling>
        <c:delete val="0"/>
        <c:axPos val="b"/>
        <c:numFmt formatCode="General" sourceLinked="1"/>
        <c:majorTickMark val="none"/>
        <c:minorTickMark val="none"/>
        <c:tickLblPos val="nextTo"/>
        <c:crossAx val="132559616"/>
        <c:crosses val="autoZero"/>
        <c:auto val="1"/>
        <c:lblAlgn val="ctr"/>
        <c:lblOffset val="100"/>
        <c:noMultiLvlLbl val="0"/>
      </c:catAx>
      <c:valAx>
        <c:axId val="132559616"/>
        <c:scaling>
          <c:orientation val="minMax"/>
          <c:max val="1400"/>
        </c:scaling>
        <c:delete val="0"/>
        <c:axPos val="l"/>
        <c:numFmt formatCode="General" sourceLinked="1"/>
        <c:majorTickMark val="none"/>
        <c:minorTickMark val="none"/>
        <c:tickLblPos val="nextTo"/>
        <c:crossAx val="132463232"/>
        <c:crosses val="autoZero"/>
        <c:crossBetween val="between"/>
      </c:valAx>
      <c:valAx>
        <c:axId val="132561536"/>
        <c:scaling>
          <c:orientation val="minMax"/>
        </c:scaling>
        <c:delete val="0"/>
        <c:axPos val="r"/>
        <c:numFmt formatCode="General" sourceLinked="1"/>
        <c:majorTickMark val="out"/>
        <c:minorTickMark val="none"/>
        <c:tickLblPos val="nextTo"/>
        <c:crossAx val="133214976"/>
        <c:crosses val="max"/>
        <c:crossBetween val="between"/>
      </c:valAx>
      <c:catAx>
        <c:axId val="133214976"/>
        <c:scaling>
          <c:orientation val="minMax"/>
        </c:scaling>
        <c:delete val="1"/>
        <c:axPos val="b"/>
        <c:numFmt formatCode="General" sourceLinked="1"/>
        <c:majorTickMark val="out"/>
        <c:minorTickMark val="none"/>
        <c:tickLblPos val="nextTo"/>
        <c:crossAx val="132561536"/>
        <c:crosses val="autoZero"/>
        <c:auto val="1"/>
        <c:lblAlgn val="ctr"/>
        <c:lblOffset val="100"/>
        <c:noMultiLvlLbl val="0"/>
      </c:catAx>
    </c:plotArea>
    <c:legend>
      <c:legendPos val="b"/>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dati_2013!$B$29</c:f>
              <c:strCache>
                <c:ptCount val="1"/>
                <c:pt idx="0">
                  <c:v>Semināru skaits</c:v>
                </c:pt>
              </c:strCache>
            </c:strRef>
          </c:tx>
          <c:spPr>
            <a:scene3d>
              <a:camera prst="orthographicFront"/>
              <a:lightRig rig="threePt" dir="t"/>
            </a:scene3d>
            <a:sp3d>
              <a:bevelT/>
            </a:sp3d>
          </c:spPr>
          <c:invertIfNegative val="0"/>
          <c:dLbls>
            <c:spPr>
              <a:scene3d>
                <a:camera prst="orthographicFront"/>
                <a:lightRig rig="threePt" dir="t"/>
              </a:scene3d>
              <a:sp3d>
                <a:bevelT/>
              </a:sp3d>
            </c:spPr>
            <c:txPr>
              <a:bodyPr/>
              <a:lstStyle/>
              <a:p>
                <a:pPr>
                  <a:defRPr lang="lv-LV" b="1">
                    <a:latin typeface="+mn-lt"/>
                    <a:cs typeface="Times New Roman" panose="02020603050405020304" pitchFamily="18" charset="0"/>
                  </a:defRPr>
                </a:pPr>
                <a:endParaRPr lang="lv-LV"/>
              </a:p>
            </c:txPr>
            <c:dLblPos val="ctr"/>
            <c:showLegendKey val="0"/>
            <c:showVal val="1"/>
            <c:showCatName val="0"/>
            <c:showSerName val="0"/>
            <c:showPercent val="0"/>
            <c:showBubbleSize val="0"/>
            <c:showLeaderLines val="0"/>
          </c:dLbls>
          <c:cat>
            <c:numRef>
              <c:f>dati_2013!$A$30:$A$38</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dati_2013!$B$30:$B$38</c:f>
              <c:numCache>
                <c:formatCode>#,##0</c:formatCode>
                <c:ptCount val="9"/>
                <c:pt idx="0">
                  <c:v>32</c:v>
                </c:pt>
                <c:pt idx="1">
                  <c:v>49</c:v>
                </c:pt>
                <c:pt idx="2">
                  <c:v>64</c:v>
                </c:pt>
                <c:pt idx="3">
                  <c:v>47</c:v>
                </c:pt>
                <c:pt idx="4">
                  <c:v>92</c:v>
                </c:pt>
                <c:pt idx="5">
                  <c:v>127</c:v>
                </c:pt>
                <c:pt idx="6">
                  <c:v>76</c:v>
                </c:pt>
                <c:pt idx="7">
                  <c:v>91</c:v>
                </c:pt>
                <c:pt idx="8">
                  <c:v>115</c:v>
                </c:pt>
              </c:numCache>
            </c:numRef>
          </c:val>
        </c:ser>
        <c:dLbls>
          <c:showLegendKey val="0"/>
          <c:showVal val="1"/>
          <c:showCatName val="0"/>
          <c:showSerName val="0"/>
          <c:showPercent val="0"/>
          <c:showBubbleSize val="0"/>
        </c:dLbls>
        <c:gapWidth val="75"/>
        <c:overlap val="-25"/>
        <c:axId val="40636416"/>
        <c:axId val="40634624"/>
      </c:barChart>
      <c:lineChart>
        <c:grouping val="standard"/>
        <c:varyColors val="0"/>
        <c:ser>
          <c:idx val="1"/>
          <c:order val="1"/>
          <c:tx>
            <c:strRef>
              <c:f>dati_2013!$C$29</c:f>
              <c:strCache>
                <c:ptCount val="1"/>
                <c:pt idx="0">
                  <c:v>Dalībnieku skaits</c:v>
                </c:pt>
              </c:strCache>
            </c:strRef>
          </c:tx>
          <c:dLbls>
            <c:dLbl>
              <c:idx val="0"/>
              <c:layout>
                <c:manualLayout>
                  <c:x val="-4.0637853498290147E-2"/>
                  <c:y val="-2.8735632183908063E-3"/>
                </c:manualLayout>
              </c:layout>
              <c:dLblPos val="r"/>
              <c:showLegendKey val="0"/>
              <c:showVal val="1"/>
              <c:showCatName val="0"/>
              <c:showSerName val="0"/>
              <c:showPercent val="0"/>
              <c:showBubbleSize val="0"/>
            </c:dLbl>
            <c:dLbl>
              <c:idx val="1"/>
              <c:layout>
                <c:manualLayout>
                  <c:x val="-5.0925917675072457E-2"/>
                  <c:y val="-2.8735858448728401E-2"/>
                </c:manualLayout>
              </c:layout>
              <c:dLblPos val="r"/>
              <c:showLegendKey val="0"/>
              <c:showVal val="1"/>
              <c:showCatName val="0"/>
              <c:showSerName val="0"/>
              <c:showPercent val="0"/>
              <c:showBubbleSize val="0"/>
            </c:dLbl>
            <c:dLbl>
              <c:idx val="2"/>
              <c:layout>
                <c:manualLayout>
                  <c:x val="-5.9156369016498379E-2"/>
                  <c:y val="3.4482758620689655E-2"/>
                </c:manualLayout>
              </c:layout>
              <c:dLblPos val="r"/>
              <c:showLegendKey val="0"/>
              <c:showVal val="1"/>
              <c:showCatName val="0"/>
              <c:showSerName val="0"/>
              <c:showPercent val="0"/>
              <c:showBubbleSize val="0"/>
            </c:dLbl>
            <c:dLbl>
              <c:idx val="3"/>
              <c:layout>
                <c:manualLayout>
                  <c:x val="-4.4753079169003104E-2"/>
                  <c:y val="1.7241379310344827E-2"/>
                </c:manualLayout>
              </c:layout>
              <c:dLblPos val="r"/>
              <c:showLegendKey val="0"/>
              <c:showVal val="1"/>
              <c:showCatName val="0"/>
              <c:showSerName val="0"/>
              <c:showPercent val="0"/>
              <c:showBubbleSize val="0"/>
            </c:dLbl>
            <c:dLbl>
              <c:idx val="4"/>
              <c:layout>
                <c:manualLayout>
                  <c:x val="-6.9444433193280572E-2"/>
                  <c:y val="-2.8735632183908056E-2"/>
                </c:manualLayout>
              </c:layout>
              <c:dLblPos val="r"/>
              <c:showLegendKey val="0"/>
              <c:showVal val="1"/>
              <c:showCatName val="0"/>
              <c:showSerName val="0"/>
              <c:showPercent val="0"/>
              <c:showBubbleSize val="0"/>
            </c:dLbl>
            <c:dLbl>
              <c:idx val="5"/>
              <c:layout>
                <c:manualLayout>
                  <c:x val="-4.0637853498290147E-2"/>
                  <c:y val="-2.8735632183908056E-2"/>
                </c:manualLayout>
              </c:layout>
              <c:dLblPos val="r"/>
              <c:showLegendKey val="0"/>
              <c:showVal val="1"/>
              <c:showCatName val="0"/>
              <c:showSerName val="0"/>
              <c:showPercent val="0"/>
              <c:showBubbleSize val="0"/>
            </c:dLbl>
            <c:dLbl>
              <c:idx val="6"/>
              <c:layout>
                <c:manualLayout>
                  <c:x val="-4.0637853498290147E-2"/>
                  <c:y val="4.310344827586203E-2"/>
                </c:manualLayout>
              </c:layout>
              <c:dLblPos val="r"/>
              <c:showLegendKey val="0"/>
              <c:showVal val="1"/>
              <c:showCatName val="0"/>
              <c:showSerName val="0"/>
              <c:showPercent val="0"/>
              <c:showBubbleSize val="0"/>
            </c:dLbl>
            <c:dLbl>
              <c:idx val="7"/>
              <c:layout>
                <c:manualLayout>
                  <c:x val="-3.4568418007716623E-2"/>
                  <c:y val="1.368544685338993E-2"/>
                </c:manualLayout>
              </c:layout>
              <c:dLblPos val="r"/>
              <c:showLegendKey val="0"/>
              <c:showVal val="1"/>
              <c:showCatName val="0"/>
              <c:showSerName val="0"/>
              <c:showPercent val="0"/>
              <c:showBubbleSize val="0"/>
            </c:dLbl>
            <c:txPr>
              <a:bodyPr/>
              <a:lstStyle/>
              <a:p>
                <a:pPr>
                  <a:defRPr lang="lv-LV" b="1">
                    <a:latin typeface="+mn-lt"/>
                    <a:cs typeface="Times New Roman" panose="02020603050405020304" pitchFamily="18" charset="0"/>
                  </a:defRPr>
                </a:pPr>
                <a:endParaRPr lang="lv-LV"/>
              </a:p>
            </c:txPr>
            <c:dLblPos val="ctr"/>
            <c:showLegendKey val="0"/>
            <c:showVal val="1"/>
            <c:showCatName val="0"/>
            <c:showSerName val="0"/>
            <c:showPercent val="0"/>
            <c:showBubbleSize val="0"/>
            <c:showLeaderLines val="0"/>
          </c:dLbls>
          <c:cat>
            <c:numRef>
              <c:f>dati_2013!$A$30:$A$38</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dati_2013!$C$30:$C$38</c:f>
              <c:numCache>
                <c:formatCode>#,##0</c:formatCode>
                <c:ptCount val="9"/>
                <c:pt idx="0">
                  <c:v>1060</c:v>
                </c:pt>
                <c:pt idx="1">
                  <c:v>2975</c:v>
                </c:pt>
                <c:pt idx="2">
                  <c:v>2292</c:v>
                </c:pt>
                <c:pt idx="3">
                  <c:v>1500</c:v>
                </c:pt>
                <c:pt idx="4">
                  <c:v>3482</c:v>
                </c:pt>
                <c:pt idx="5">
                  <c:v>3600</c:v>
                </c:pt>
                <c:pt idx="6">
                  <c:v>3386</c:v>
                </c:pt>
                <c:pt idx="7">
                  <c:v>3138</c:v>
                </c:pt>
                <c:pt idx="8">
                  <c:v>3806</c:v>
                </c:pt>
              </c:numCache>
            </c:numRef>
          </c:val>
          <c:smooth val="0"/>
        </c:ser>
        <c:dLbls>
          <c:showLegendKey val="0"/>
          <c:showVal val="1"/>
          <c:showCatName val="0"/>
          <c:showSerName val="0"/>
          <c:showPercent val="0"/>
          <c:showBubbleSize val="0"/>
        </c:dLbls>
        <c:marker val="1"/>
        <c:smooth val="0"/>
        <c:axId val="36591488"/>
        <c:axId val="40633088"/>
      </c:lineChart>
      <c:catAx>
        <c:axId val="36591488"/>
        <c:scaling>
          <c:orientation val="minMax"/>
        </c:scaling>
        <c:delete val="0"/>
        <c:axPos val="b"/>
        <c:numFmt formatCode="General" sourceLinked="1"/>
        <c:majorTickMark val="none"/>
        <c:minorTickMark val="none"/>
        <c:tickLblPos val="nextTo"/>
        <c:txPr>
          <a:bodyPr/>
          <a:lstStyle/>
          <a:p>
            <a:pPr>
              <a:defRPr lang="lv-LV">
                <a:latin typeface="+mn-lt"/>
                <a:cs typeface="Times New Roman" panose="02020603050405020304" pitchFamily="18" charset="0"/>
              </a:defRPr>
            </a:pPr>
            <a:endParaRPr lang="lv-LV"/>
          </a:p>
        </c:txPr>
        <c:crossAx val="40633088"/>
        <c:crosses val="autoZero"/>
        <c:auto val="1"/>
        <c:lblAlgn val="ctr"/>
        <c:lblOffset val="100"/>
        <c:noMultiLvlLbl val="0"/>
      </c:catAx>
      <c:valAx>
        <c:axId val="40633088"/>
        <c:scaling>
          <c:orientation val="minMax"/>
        </c:scaling>
        <c:delete val="0"/>
        <c:axPos val="l"/>
        <c:majorGridlines/>
        <c:numFmt formatCode="#,##0" sourceLinked="1"/>
        <c:majorTickMark val="none"/>
        <c:minorTickMark val="none"/>
        <c:tickLblPos val="nextTo"/>
        <c:txPr>
          <a:bodyPr/>
          <a:lstStyle/>
          <a:p>
            <a:pPr>
              <a:defRPr lang="lv-LV">
                <a:latin typeface="+mn-lt"/>
                <a:cs typeface="Times New Roman" panose="02020603050405020304" pitchFamily="18" charset="0"/>
              </a:defRPr>
            </a:pPr>
            <a:endParaRPr lang="lv-LV"/>
          </a:p>
        </c:txPr>
        <c:crossAx val="36591488"/>
        <c:crosses val="autoZero"/>
        <c:crossBetween val="between"/>
      </c:valAx>
      <c:valAx>
        <c:axId val="40634624"/>
        <c:scaling>
          <c:orientation val="minMax"/>
        </c:scaling>
        <c:delete val="0"/>
        <c:axPos val="r"/>
        <c:numFmt formatCode="#,##0" sourceLinked="1"/>
        <c:majorTickMark val="out"/>
        <c:minorTickMark val="none"/>
        <c:tickLblPos val="nextTo"/>
        <c:txPr>
          <a:bodyPr/>
          <a:lstStyle/>
          <a:p>
            <a:pPr>
              <a:defRPr lang="lv-LV">
                <a:latin typeface="+mn-lt"/>
                <a:cs typeface="Times New Roman" panose="02020603050405020304" pitchFamily="18" charset="0"/>
              </a:defRPr>
            </a:pPr>
            <a:endParaRPr lang="lv-LV"/>
          </a:p>
        </c:txPr>
        <c:crossAx val="40636416"/>
        <c:crosses val="max"/>
        <c:crossBetween val="between"/>
      </c:valAx>
      <c:catAx>
        <c:axId val="40636416"/>
        <c:scaling>
          <c:orientation val="minMax"/>
        </c:scaling>
        <c:delete val="1"/>
        <c:axPos val="b"/>
        <c:numFmt formatCode="General" sourceLinked="1"/>
        <c:majorTickMark val="out"/>
        <c:minorTickMark val="none"/>
        <c:tickLblPos val="nextTo"/>
        <c:crossAx val="40634624"/>
        <c:crosses val="autoZero"/>
        <c:auto val="1"/>
        <c:lblAlgn val="ctr"/>
        <c:lblOffset val="100"/>
        <c:noMultiLvlLbl val="0"/>
      </c:catAx>
    </c:plotArea>
    <c:legend>
      <c:legendPos val="b"/>
      <c:layout>
        <c:manualLayout>
          <c:xMode val="edge"/>
          <c:yMode val="edge"/>
          <c:x val="0.22972816215231989"/>
          <c:y val="0.92657338695972358"/>
          <c:w val="0.51572698082790336"/>
          <c:h val="7.3426613040276492E-2"/>
        </c:manualLayout>
      </c:layout>
      <c:overlay val="0"/>
      <c:txPr>
        <a:bodyPr/>
        <a:lstStyle/>
        <a:p>
          <a:pPr>
            <a:defRPr lang="lv-LV">
              <a:latin typeface="+mn-lt"/>
              <a:cs typeface="Times New Roman" panose="02020603050405020304" pitchFamily="18" charset="0"/>
            </a:defRPr>
          </a:pPr>
          <a:endParaRPr lang="lv-LV"/>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barChart>
        <c:barDir val="col"/>
        <c:grouping val="clustered"/>
        <c:varyColors val="0"/>
        <c:ser>
          <c:idx val="0"/>
          <c:order val="0"/>
          <c:tx>
            <c:strRef>
              <c:f>dati_2013!$A$2</c:f>
              <c:strCache>
                <c:ptCount val="1"/>
                <c:pt idx="0">
                  <c:v>Pieņemti lēmumi</c:v>
                </c:pt>
              </c:strCache>
            </c:strRef>
          </c:tx>
          <c:spPr>
            <a:solidFill>
              <a:schemeClr val="accent3">
                <a:lumMod val="40000"/>
                <a:lumOff val="60000"/>
              </a:schemeClr>
            </a:solidFill>
          </c:spPr>
          <c:invertIfNegative val="0"/>
          <c:dLbls>
            <c:dLbl>
              <c:idx val="5"/>
              <c:layout>
                <c:manualLayout>
                  <c:x val="-8.4388185654008432E-3"/>
                  <c:y val="0.33784751965386794"/>
                </c:manualLayout>
              </c:layout>
              <c:dLblPos val="outEnd"/>
              <c:showLegendKey val="0"/>
              <c:showVal val="1"/>
              <c:showCatName val="0"/>
              <c:showSerName val="0"/>
              <c:showPercent val="0"/>
              <c:showBubbleSize val="0"/>
            </c:dLbl>
            <c:dLbl>
              <c:idx val="6"/>
              <c:layout>
                <c:manualLayout>
                  <c:x val="-2.2158543473205106E-3"/>
                  <c:y val="0.392836204263065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4388185654007651E-3"/>
                  <c:y val="0.40315633942431778"/>
                </c:manualLayout>
              </c:layout>
              <c:dLblPos val="outEnd"/>
              <c:showLegendKey val="0"/>
              <c:showVal val="1"/>
              <c:showCatName val="0"/>
              <c:showSerName val="0"/>
              <c:showPercent val="0"/>
              <c:showBubbleSize val="0"/>
            </c:dLbl>
            <c:dLbl>
              <c:idx val="8"/>
              <c:layout>
                <c:manualLayout>
                  <c:x val="-1.0631582444599497E-4"/>
                  <c:y val="0.298491405913928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lv-LV">
                    <a:latin typeface="+mn-lt"/>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dati_2013!$B$1:$M$1</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dati_2013!$B$2:$M$2</c:f>
              <c:numCache>
                <c:formatCode>General</c:formatCode>
                <c:ptCount val="12"/>
                <c:pt idx="0">
                  <c:v>18</c:v>
                </c:pt>
                <c:pt idx="1">
                  <c:v>74</c:v>
                </c:pt>
                <c:pt idx="2">
                  <c:v>120</c:v>
                </c:pt>
                <c:pt idx="3">
                  <c:v>123</c:v>
                </c:pt>
                <c:pt idx="4">
                  <c:v>121</c:v>
                </c:pt>
                <c:pt idx="5">
                  <c:v>188</c:v>
                </c:pt>
                <c:pt idx="6">
                  <c:v>174</c:v>
                </c:pt>
                <c:pt idx="7">
                  <c:v>199</c:v>
                </c:pt>
                <c:pt idx="8">
                  <c:v>181</c:v>
                </c:pt>
                <c:pt idx="9">
                  <c:v>136</c:v>
                </c:pt>
                <c:pt idx="10">
                  <c:v>117</c:v>
                </c:pt>
                <c:pt idx="11">
                  <c:v>200</c:v>
                </c:pt>
              </c:numCache>
            </c:numRef>
          </c:val>
        </c:ser>
        <c:ser>
          <c:idx val="1"/>
          <c:order val="1"/>
          <c:tx>
            <c:strRef>
              <c:f>dati_2013!$A$3</c:f>
              <c:strCache>
                <c:ptCount val="1"/>
                <c:pt idx="0">
                  <c:v>Piemērots administratīvais sods</c:v>
                </c:pt>
              </c:strCache>
            </c:strRef>
          </c:tx>
          <c:spPr>
            <a:solidFill>
              <a:schemeClr val="accent3">
                <a:lumMod val="75000"/>
              </a:schemeClr>
            </a:solidFill>
          </c:spPr>
          <c:invertIfNegative val="0"/>
          <c:dLbls>
            <c:dLbl>
              <c:idx val="0"/>
              <c:layout>
                <c:manualLayout>
                  <c:x val="4.4318677111915917E-3"/>
                  <c:y val="1.882736081021102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158543473205106E-3"/>
                  <c:y val="0.111270627988603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255589886707201E-3"/>
                  <c:y val="0.151245690488214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2156882288448137E-3"/>
                  <c:y val="0.100572689696448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5.109619017337797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5415794544669333E-3"/>
                  <c:y val="0.12590919009233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2159338555957134E-3"/>
                  <c:y val="1.882736081021102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4318677111916775E-3"/>
                  <c:y val="2.25928329722532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2159338555957937E-3"/>
                  <c:y val="1.882736081021102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4318677111915917E-3"/>
                  <c:y val="1.882736081021102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1.882736081021102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lang="lv-LV">
                    <a:latin typeface="+mn-lt"/>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dati_2013!$B$1:$M$1</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dati_2013!$B$3:$M$3</c:f>
              <c:numCache>
                <c:formatCode>General</c:formatCode>
                <c:ptCount val="12"/>
                <c:pt idx="0">
                  <c:v>16</c:v>
                </c:pt>
                <c:pt idx="1">
                  <c:v>69</c:v>
                </c:pt>
                <c:pt idx="2">
                  <c:v>109</c:v>
                </c:pt>
                <c:pt idx="3">
                  <c:v>90</c:v>
                </c:pt>
                <c:pt idx="4">
                  <c:v>77</c:v>
                </c:pt>
                <c:pt idx="5">
                  <c:v>132</c:v>
                </c:pt>
                <c:pt idx="6">
                  <c:v>67</c:v>
                </c:pt>
                <c:pt idx="7">
                  <c:v>84</c:v>
                </c:pt>
                <c:pt idx="8">
                  <c:v>81</c:v>
                </c:pt>
                <c:pt idx="9">
                  <c:v>47</c:v>
                </c:pt>
                <c:pt idx="10">
                  <c:v>77</c:v>
                </c:pt>
                <c:pt idx="11">
                  <c:v>100</c:v>
                </c:pt>
              </c:numCache>
            </c:numRef>
          </c:val>
        </c:ser>
        <c:dLbls>
          <c:showLegendKey val="0"/>
          <c:showVal val="0"/>
          <c:showCatName val="0"/>
          <c:showSerName val="0"/>
          <c:showPercent val="0"/>
          <c:showBubbleSize val="0"/>
        </c:dLbls>
        <c:gapWidth val="75"/>
        <c:axId val="43133184"/>
        <c:axId val="43131648"/>
      </c:barChart>
      <c:lineChart>
        <c:grouping val="standard"/>
        <c:varyColors val="0"/>
        <c:ser>
          <c:idx val="2"/>
          <c:order val="2"/>
          <c:tx>
            <c:strRef>
              <c:f>dati_2013!$A$4</c:f>
              <c:strCache>
                <c:ptCount val="1"/>
                <c:pt idx="0">
                  <c:v>Naudas soda apmērs</c:v>
                </c:pt>
              </c:strCache>
            </c:strRef>
          </c:tx>
          <c:spPr>
            <a:ln w="19050">
              <a:solidFill>
                <a:schemeClr val="accent2">
                  <a:lumMod val="75000"/>
                </a:schemeClr>
              </a:solidFill>
            </a:ln>
          </c:spPr>
          <c:marker>
            <c:symbol val="none"/>
          </c:marker>
          <c:dLbls>
            <c:dLbl>
              <c:idx val="1"/>
              <c:layout>
                <c:manualLayout>
                  <c:x val="-6.1248411768667646E-2"/>
                  <c:y val="-3.050981231641473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9089073212709796E-2"/>
                  <c:y val="-3.050981231641477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9089073212709796E-2"/>
                  <c:y val="-3.42752844784569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0168742490688707E-2"/>
                  <c:y val="-2.674434015437252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6873139357114018E-2"/>
                  <c:y val="-3.42752844784569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2441271645922427E-2"/>
                  <c:y val="-8.322642258500566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1361602367943447E-2"/>
                  <c:y val="-3.42752844784569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0225337790326618E-2"/>
                  <c:y val="-2.297886799233029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4.2328914283015974E-2"/>
                  <c:y val="-2.0704053214722198E-2"/>
                </c:manualLayout>
              </c:layout>
              <c:dLblPos val="r"/>
              <c:showLegendKey val="0"/>
              <c:showVal val="1"/>
              <c:showCatName val="0"/>
              <c:showSerName val="0"/>
              <c:showPercent val="0"/>
              <c:showBubbleSize val="0"/>
            </c:dLbl>
            <c:spPr>
              <a:noFill/>
              <a:ln>
                <a:noFill/>
              </a:ln>
              <a:effectLst/>
            </c:spPr>
            <c:txPr>
              <a:bodyPr/>
              <a:lstStyle/>
              <a:p>
                <a:pPr>
                  <a:defRPr lang="lv-LV">
                    <a:latin typeface="+mn-lt"/>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dati_2013!$B$1:$M$1</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dati_2013!$B$4:$M$4</c:f>
              <c:numCache>
                <c:formatCode>General</c:formatCode>
                <c:ptCount val="12"/>
                <c:pt idx="0">
                  <c:v>825</c:v>
                </c:pt>
                <c:pt idx="1">
                  <c:v>5385</c:v>
                </c:pt>
                <c:pt idx="2">
                  <c:v>7705</c:v>
                </c:pt>
                <c:pt idx="3">
                  <c:v>5870</c:v>
                </c:pt>
                <c:pt idx="4">
                  <c:v>6470</c:v>
                </c:pt>
                <c:pt idx="5">
                  <c:v>9795</c:v>
                </c:pt>
                <c:pt idx="6">
                  <c:v>4370</c:v>
                </c:pt>
                <c:pt idx="7">
                  <c:v>5760</c:v>
                </c:pt>
                <c:pt idx="8">
                  <c:v>6890</c:v>
                </c:pt>
                <c:pt idx="9">
                  <c:v>4655</c:v>
                </c:pt>
                <c:pt idx="10">
                  <c:v>5865</c:v>
                </c:pt>
                <c:pt idx="11">
                  <c:v>10115</c:v>
                </c:pt>
              </c:numCache>
            </c:numRef>
          </c:val>
          <c:smooth val="0"/>
        </c:ser>
        <c:dLbls>
          <c:showLegendKey val="0"/>
          <c:showVal val="0"/>
          <c:showCatName val="0"/>
          <c:showSerName val="0"/>
          <c:showPercent val="0"/>
          <c:showBubbleSize val="0"/>
        </c:dLbls>
        <c:marker val="1"/>
        <c:smooth val="0"/>
        <c:axId val="43136512"/>
        <c:axId val="43134976"/>
      </c:lineChart>
      <c:valAx>
        <c:axId val="43131648"/>
        <c:scaling>
          <c:orientation val="minMax"/>
          <c:max val="250"/>
          <c:min val="0"/>
        </c:scaling>
        <c:delete val="0"/>
        <c:axPos val="r"/>
        <c:majorGridlines/>
        <c:numFmt formatCode="General" sourceLinked="1"/>
        <c:majorTickMark val="none"/>
        <c:minorTickMark val="none"/>
        <c:tickLblPos val="nextTo"/>
        <c:txPr>
          <a:bodyPr/>
          <a:lstStyle/>
          <a:p>
            <a:pPr>
              <a:defRPr lang="lv-LV">
                <a:latin typeface="+mn-lt"/>
              </a:defRPr>
            </a:pPr>
            <a:endParaRPr lang="lv-LV"/>
          </a:p>
        </c:txPr>
        <c:crossAx val="43133184"/>
        <c:crosses val="max"/>
        <c:crossBetween val="between"/>
        <c:majorUnit val="50"/>
        <c:minorUnit val="10"/>
      </c:valAx>
      <c:catAx>
        <c:axId val="43133184"/>
        <c:scaling>
          <c:orientation val="minMax"/>
        </c:scaling>
        <c:delete val="0"/>
        <c:axPos val="b"/>
        <c:numFmt formatCode="General" sourceLinked="1"/>
        <c:majorTickMark val="none"/>
        <c:minorTickMark val="none"/>
        <c:tickLblPos val="nextTo"/>
        <c:txPr>
          <a:bodyPr/>
          <a:lstStyle/>
          <a:p>
            <a:pPr>
              <a:defRPr lang="lv-LV">
                <a:latin typeface="+mn-lt"/>
              </a:defRPr>
            </a:pPr>
            <a:endParaRPr lang="lv-LV"/>
          </a:p>
        </c:txPr>
        <c:crossAx val="43131648"/>
        <c:crosses val="autoZero"/>
        <c:auto val="1"/>
        <c:lblAlgn val="ctr"/>
        <c:lblOffset val="100"/>
        <c:noMultiLvlLbl val="0"/>
      </c:catAx>
      <c:valAx>
        <c:axId val="43134976"/>
        <c:scaling>
          <c:orientation val="minMax"/>
        </c:scaling>
        <c:delete val="0"/>
        <c:axPos val="l"/>
        <c:numFmt formatCode="General" sourceLinked="1"/>
        <c:majorTickMark val="out"/>
        <c:minorTickMark val="none"/>
        <c:tickLblPos val="nextTo"/>
        <c:txPr>
          <a:bodyPr/>
          <a:lstStyle/>
          <a:p>
            <a:pPr>
              <a:defRPr lang="lv-LV">
                <a:latin typeface="+mn-lt"/>
              </a:defRPr>
            </a:pPr>
            <a:endParaRPr lang="lv-LV"/>
          </a:p>
        </c:txPr>
        <c:crossAx val="43136512"/>
        <c:crosses val="autoZero"/>
        <c:crossBetween val="between"/>
      </c:valAx>
      <c:catAx>
        <c:axId val="43136512"/>
        <c:scaling>
          <c:orientation val="minMax"/>
        </c:scaling>
        <c:delete val="1"/>
        <c:axPos val="b"/>
        <c:numFmt formatCode="General" sourceLinked="1"/>
        <c:majorTickMark val="out"/>
        <c:minorTickMark val="none"/>
        <c:tickLblPos val="nextTo"/>
        <c:crossAx val="43134976"/>
        <c:crosses val="autoZero"/>
        <c:auto val="1"/>
        <c:lblAlgn val="ctr"/>
        <c:lblOffset val="100"/>
        <c:noMultiLvlLbl val="0"/>
      </c:catAx>
    </c:plotArea>
    <c:legend>
      <c:legendPos val="b"/>
      <c:layout/>
      <c:overlay val="0"/>
      <c:txPr>
        <a:bodyPr/>
        <a:lstStyle/>
        <a:p>
          <a:pPr>
            <a:defRPr lang="lv-LV">
              <a:latin typeface="+mn-lt"/>
            </a:defRPr>
          </a:pPr>
          <a:endParaRPr lang="lv-LV"/>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VADKN!$C$49</c:f>
              <c:strCache>
                <c:ptCount val="1"/>
                <c:pt idx="0">
                  <c:v>Pašvaldību institūciju amatpersonas</c:v>
                </c:pt>
              </c:strCache>
            </c:strRef>
          </c:tx>
          <c:spPr>
            <a:solidFill>
              <a:schemeClr val="accent3">
                <a:lumMod val="75000"/>
              </a:schemeClr>
            </a:solidFill>
            <a:ln>
              <a:noFill/>
            </a:ln>
            <a:effectLst/>
            <a:scene3d>
              <a:camera prst="orthographicFront"/>
              <a:lightRig rig="threePt" dir="t"/>
            </a:scene3d>
            <a:sp3d>
              <a:bevelT/>
              <a:bevelB/>
            </a:sp3d>
          </c:spPr>
          <c:invertIfNegative val="0"/>
          <c:cat>
            <c:strRef>
              <c:f>VADKN!$B$51:$B$55</c:f>
              <c:strCache>
                <c:ptCount val="5"/>
                <c:pt idx="0">
                  <c:v>Amatu savienošanas
 ierobežojumi </c:v>
                </c:pt>
                <c:pt idx="1">
                  <c:v>Ierobežojumi rīkoties
 ar finanšu līdzekļiem</c:v>
                </c:pt>
                <c:pt idx="2">
                  <c:v>Interešu konflikts </c:v>
                </c:pt>
                <c:pt idx="3">
                  <c:v>Komercdarbības
 ierobežojumi </c:v>
                </c:pt>
                <c:pt idx="4">
                  <c:v>Citi</c:v>
                </c:pt>
              </c:strCache>
            </c:strRef>
          </c:cat>
          <c:val>
            <c:numRef>
              <c:f>VADKN!$C$51:$C$55</c:f>
              <c:numCache>
                <c:formatCode>General</c:formatCode>
                <c:ptCount val="5"/>
                <c:pt idx="0">
                  <c:v>0.55600000000000005</c:v>
                </c:pt>
                <c:pt idx="1">
                  <c:v>0.222</c:v>
                </c:pt>
                <c:pt idx="2">
                  <c:v>0.13500000000000001</c:v>
                </c:pt>
                <c:pt idx="3">
                  <c:v>7.5000000000000011E-2</c:v>
                </c:pt>
                <c:pt idx="4">
                  <c:v>1.2E-2</c:v>
                </c:pt>
              </c:numCache>
            </c:numRef>
          </c:val>
        </c:ser>
        <c:ser>
          <c:idx val="1"/>
          <c:order val="1"/>
          <c:tx>
            <c:strRef>
              <c:f>VADKN!$D$49</c:f>
              <c:strCache>
                <c:ptCount val="1"/>
                <c:pt idx="0">
                  <c:v>Valsts institūciju amatpersonas</c:v>
                </c:pt>
              </c:strCache>
            </c:strRef>
          </c:tx>
          <c:spPr>
            <a:solidFill>
              <a:schemeClr val="accent3">
                <a:lumMod val="40000"/>
                <a:lumOff val="60000"/>
              </a:schemeClr>
            </a:solidFill>
            <a:ln>
              <a:noFill/>
            </a:ln>
            <a:effectLst/>
            <a:scene3d>
              <a:camera prst="orthographicFront"/>
              <a:lightRig rig="threePt" dir="t"/>
            </a:scene3d>
            <a:sp3d>
              <a:bevelT/>
            </a:sp3d>
          </c:spPr>
          <c:invertIfNegative val="0"/>
          <c:cat>
            <c:strRef>
              <c:f>VADKN!$B$51:$B$55</c:f>
              <c:strCache>
                <c:ptCount val="5"/>
                <c:pt idx="0">
                  <c:v>Amatu savienošanas
 ierobežojumi </c:v>
                </c:pt>
                <c:pt idx="1">
                  <c:v>Ierobežojumi rīkoties
 ar finanšu līdzekļiem</c:v>
                </c:pt>
                <c:pt idx="2">
                  <c:v>Interešu konflikts </c:v>
                </c:pt>
                <c:pt idx="3">
                  <c:v>Komercdarbības
 ierobežojumi </c:v>
                </c:pt>
                <c:pt idx="4">
                  <c:v>Citi</c:v>
                </c:pt>
              </c:strCache>
            </c:strRef>
          </c:cat>
          <c:val>
            <c:numRef>
              <c:f>VADKN!$D$51:$D$55</c:f>
              <c:numCache>
                <c:formatCode>General</c:formatCode>
                <c:ptCount val="5"/>
                <c:pt idx="0">
                  <c:v>0.83600000000000041</c:v>
                </c:pt>
                <c:pt idx="1">
                  <c:v>0</c:v>
                </c:pt>
                <c:pt idx="2">
                  <c:v>7.3999999999999996E-2</c:v>
                </c:pt>
                <c:pt idx="3">
                  <c:v>6.0000000000000032E-2</c:v>
                </c:pt>
                <c:pt idx="4">
                  <c:v>3.0000000000000002E-2</c:v>
                </c:pt>
              </c:numCache>
            </c:numRef>
          </c:val>
        </c:ser>
        <c:dLbls>
          <c:showLegendKey val="0"/>
          <c:showVal val="0"/>
          <c:showCatName val="0"/>
          <c:showSerName val="0"/>
          <c:showPercent val="0"/>
          <c:showBubbleSize val="0"/>
        </c:dLbls>
        <c:gapWidth val="182"/>
        <c:axId val="43326080"/>
        <c:axId val="43344256"/>
      </c:barChart>
      <c:catAx>
        <c:axId val="43326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lv-LV" sz="1100" b="1" i="0" u="none" strike="noStrike" kern="1200" baseline="0">
                <a:solidFill>
                  <a:schemeClr val="tx1">
                    <a:lumMod val="65000"/>
                    <a:lumOff val="35000"/>
                  </a:schemeClr>
                </a:solidFill>
                <a:latin typeface="+mn-lt"/>
                <a:ea typeface="+mn-ea"/>
                <a:cs typeface="+mn-cs"/>
              </a:defRPr>
            </a:pPr>
            <a:endParaRPr lang="lv-LV"/>
          </a:p>
        </c:txPr>
        <c:crossAx val="43344256"/>
        <c:crosses val="autoZero"/>
        <c:auto val="1"/>
        <c:lblAlgn val="ctr"/>
        <c:lblOffset val="100"/>
        <c:noMultiLvlLbl val="0"/>
      </c:catAx>
      <c:valAx>
        <c:axId val="43344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lv-LV" sz="900" b="0" i="0" u="none" strike="noStrike" kern="1200" baseline="0">
                <a:solidFill>
                  <a:schemeClr val="tx1">
                    <a:lumMod val="65000"/>
                    <a:lumOff val="35000"/>
                  </a:schemeClr>
                </a:solidFill>
                <a:latin typeface="+mn-lt"/>
                <a:ea typeface="+mn-ea"/>
                <a:cs typeface="+mn-cs"/>
              </a:defRPr>
            </a:pPr>
            <a:endParaRPr lang="lv-LV"/>
          </a:p>
        </c:txPr>
        <c:crossAx val="43326080"/>
        <c:crosses val="autoZero"/>
        <c:crossBetween val="between"/>
      </c:valAx>
      <c:spPr>
        <a:noFill/>
        <a:ln>
          <a:noFill/>
        </a:ln>
        <a:effectLst/>
      </c:spPr>
    </c:plotArea>
    <c:legend>
      <c:legendPos val="b"/>
      <c:layout>
        <c:manualLayout>
          <c:xMode val="edge"/>
          <c:yMode val="edge"/>
          <c:x val="2.7401179372352494E-2"/>
          <c:y val="0.9143970582357408"/>
          <c:w val="0.92259877119879785"/>
          <c:h val="6.5298373236340412E-2"/>
        </c:manualLayout>
      </c:layout>
      <c:overlay val="0"/>
      <c:spPr>
        <a:noFill/>
        <a:ln>
          <a:noFill/>
        </a:ln>
        <a:effectLst/>
      </c:spPr>
      <c:txPr>
        <a:bodyPr rot="0" spcFirstLastPara="1" vertOverflow="ellipsis" vert="horz" wrap="square" anchor="ctr" anchorCtr="1"/>
        <a:lstStyle/>
        <a:p>
          <a:pPr>
            <a:defRPr lang="lv-LV" sz="11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APKAROSANA!$A$47</c:f>
              <c:strCache>
                <c:ptCount val="1"/>
                <c:pt idx="0">
                  <c:v>Nosūtīto lietu skaits </c:v>
                </c:pt>
              </c:strCache>
            </c:strRef>
          </c:tx>
          <c:spPr>
            <a:solidFill>
              <a:schemeClr val="accent3">
                <a:lumMod val="60000"/>
                <a:lumOff val="40000"/>
              </a:schemeClr>
            </a:solidFill>
            <a:ln>
              <a:noFill/>
            </a:ln>
            <a:effectLst/>
            <a:scene3d>
              <a:camera prst="orthographicFront"/>
              <a:lightRig rig="threePt" dir="t"/>
            </a:scene3d>
            <a:sp3d>
              <a:bevelT/>
            </a:sp3d>
          </c:spPr>
          <c:invertIfNegative val="0"/>
          <c:dLbls>
            <c:txPr>
              <a:bodyPr rot="0" vert="horz"/>
              <a:lstStyle/>
              <a:p>
                <a:pPr>
                  <a:defRPr lang="lv-LV"/>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APKAROSANA!$B$46:$G$46</c:f>
              <c:numCache>
                <c:formatCode>General</c:formatCode>
                <c:ptCount val="6"/>
                <c:pt idx="0">
                  <c:v>2009</c:v>
                </c:pt>
                <c:pt idx="1">
                  <c:v>2010</c:v>
                </c:pt>
                <c:pt idx="2">
                  <c:v>2011</c:v>
                </c:pt>
                <c:pt idx="3">
                  <c:v>2012</c:v>
                </c:pt>
                <c:pt idx="4">
                  <c:v>2013</c:v>
                </c:pt>
                <c:pt idx="5">
                  <c:v>2014</c:v>
                </c:pt>
              </c:numCache>
            </c:numRef>
          </c:cat>
          <c:val>
            <c:numRef>
              <c:f>APKAROSANA!$B$47:$G$47</c:f>
              <c:numCache>
                <c:formatCode>General</c:formatCode>
                <c:ptCount val="6"/>
                <c:pt idx="0">
                  <c:v>16</c:v>
                </c:pt>
                <c:pt idx="1">
                  <c:v>15</c:v>
                </c:pt>
                <c:pt idx="2">
                  <c:v>21</c:v>
                </c:pt>
                <c:pt idx="3">
                  <c:v>12</c:v>
                </c:pt>
                <c:pt idx="4">
                  <c:v>16</c:v>
                </c:pt>
                <c:pt idx="5">
                  <c:v>27</c:v>
                </c:pt>
              </c:numCache>
            </c:numRef>
          </c:val>
        </c:ser>
        <c:ser>
          <c:idx val="1"/>
          <c:order val="1"/>
          <c:tx>
            <c:strRef>
              <c:f>APKAROSANA!$A$48</c:f>
              <c:strCache>
                <c:ptCount val="1"/>
                <c:pt idx="0">
                  <c:v>Pret personām</c:v>
                </c:pt>
              </c:strCache>
            </c:strRef>
          </c:tx>
          <c:spPr>
            <a:solidFill>
              <a:schemeClr val="accent3">
                <a:lumMod val="75000"/>
              </a:schemeClr>
            </a:solidFill>
            <a:ln>
              <a:noFill/>
            </a:ln>
            <a:effectLst/>
            <a:scene3d>
              <a:camera prst="orthographicFront"/>
              <a:lightRig rig="threePt" dir="t"/>
            </a:scene3d>
            <a:sp3d>
              <a:bevelT/>
            </a:sp3d>
          </c:spPr>
          <c:invertIfNegative val="0"/>
          <c:dLbls>
            <c:txPr>
              <a:bodyPr rot="0" vert="horz"/>
              <a:lstStyle/>
              <a:p>
                <a:pPr>
                  <a:defRPr lang="lv-LV"/>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APKAROSANA!$B$46:$G$46</c:f>
              <c:numCache>
                <c:formatCode>General</c:formatCode>
                <c:ptCount val="6"/>
                <c:pt idx="0">
                  <c:v>2009</c:v>
                </c:pt>
                <c:pt idx="1">
                  <c:v>2010</c:v>
                </c:pt>
                <c:pt idx="2">
                  <c:v>2011</c:v>
                </c:pt>
                <c:pt idx="3">
                  <c:v>2012</c:v>
                </c:pt>
                <c:pt idx="4">
                  <c:v>2013</c:v>
                </c:pt>
                <c:pt idx="5">
                  <c:v>2014</c:v>
                </c:pt>
              </c:numCache>
            </c:numRef>
          </c:cat>
          <c:val>
            <c:numRef>
              <c:f>APKAROSANA!$B$48:$G$48</c:f>
              <c:numCache>
                <c:formatCode>General</c:formatCode>
                <c:ptCount val="6"/>
                <c:pt idx="0">
                  <c:v>65</c:v>
                </c:pt>
                <c:pt idx="1">
                  <c:v>46</c:v>
                </c:pt>
                <c:pt idx="2">
                  <c:v>55</c:v>
                </c:pt>
                <c:pt idx="3">
                  <c:v>60</c:v>
                </c:pt>
                <c:pt idx="4">
                  <c:v>47</c:v>
                </c:pt>
                <c:pt idx="5">
                  <c:v>72</c:v>
                </c:pt>
              </c:numCache>
            </c:numRef>
          </c:val>
        </c:ser>
        <c:dLbls>
          <c:showLegendKey val="0"/>
          <c:showVal val="0"/>
          <c:showCatName val="0"/>
          <c:showSerName val="0"/>
          <c:showPercent val="0"/>
          <c:showBubbleSize val="0"/>
        </c:dLbls>
        <c:gapWidth val="150"/>
        <c:axId val="43368448"/>
        <c:axId val="43369984"/>
      </c:barChart>
      <c:lineChart>
        <c:grouping val="standard"/>
        <c:varyColors val="0"/>
        <c:ser>
          <c:idx val="2"/>
          <c:order val="2"/>
          <c:tx>
            <c:strRef>
              <c:f>APKAROSANA!$A$49</c:f>
              <c:strCache>
                <c:ptCount val="1"/>
                <c:pt idx="0">
                  <c:v>Uzsāktie procesi</c:v>
                </c:pt>
              </c:strCache>
            </c:strRef>
          </c:tx>
          <c:spPr>
            <a:ln w="28575" cap="rnd">
              <a:solidFill>
                <a:schemeClr val="accent2">
                  <a:lumMod val="75000"/>
                </a:schemeClr>
              </a:solidFill>
              <a:round/>
            </a:ln>
            <a:effectLst/>
          </c:spPr>
          <c:marker>
            <c:symbol val="none"/>
          </c:marker>
          <c:dLbls>
            <c:dLbl>
              <c:idx val="0"/>
              <c:layout>
                <c:manualLayout>
                  <c:x val="-5.3240740740740741E-2"/>
                  <c:y val="1.1267605633802866E-2"/>
                </c:manualLayout>
              </c:layout>
              <c:showLegendKey val="0"/>
              <c:showVal val="1"/>
              <c:showCatName val="0"/>
              <c:showSerName val="0"/>
              <c:showPercent val="0"/>
              <c:showBubbleSize val="0"/>
            </c:dLbl>
            <c:dLbl>
              <c:idx val="1"/>
              <c:layout>
                <c:manualLayout>
                  <c:x val="-2.7777777777777821E-2"/>
                  <c:y val="-3.3802816901408447E-2"/>
                </c:manualLayout>
              </c:layout>
              <c:showLegendKey val="0"/>
              <c:showVal val="1"/>
              <c:showCatName val="0"/>
              <c:showSerName val="0"/>
              <c:showPercent val="0"/>
              <c:showBubbleSize val="0"/>
            </c:dLbl>
            <c:dLbl>
              <c:idx val="2"/>
              <c:layout>
                <c:manualLayout>
                  <c:x val="-1.3888888888888904E-2"/>
                  <c:y val="2.6291079812206596E-2"/>
                </c:manualLayout>
              </c:layout>
              <c:showLegendKey val="0"/>
              <c:showVal val="1"/>
              <c:showCatName val="0"/>
              <c:showSerName val="0"/>
              <c:showPercent val="0"/>
              <c:showBubbleSize val="0"/>
            </c:dLbl>
            <c:dLbl>
              <c:idx val="3"/>
              <c:layout>
                <c:manualLayout>
                  <c:x val="-9.2592592592592744E-3"/>
                  <c:y val="2.6291079812206568E-2"/>
                </c:manualLayout>
              </c:layout>
              <c:showLegendKey val="0"/>
              <c:showVal val="1"/>
              <c:showCatName val="0"/>
              <c:showSerName val="0"/>
              <c:showPercent val="0"/>
              <c:showBubbleSize val="0"/>
            </c:dLbl>
            <c:dLbl>
              <c:idx val="5"/>
              <c:layout>
                <c:manualLayout>
                  <c:x val="-9.2592592592592744E-3"/>
                  <c:y val="3.4428397272392223E-17"/>
                </c:manualLayout>
              </c:layout>
              <c:showLegendKey val="0"/>
              <c:showVal val="1"/>
              <c:showCatName val="0"/>
              <c:showSerName val="0"/>
              <c:showPercent val="0"/>
              <c:showBubbleSize val="0"/>
            </c:dLbl>
            <c:spPr>
              <a:scene3d>
                <a:camera prst="orthographicFront"/>
                <a:lightRig rig="threePt" dir="t"/>
              </a:scene3d>
              <a:sp3d>
                <a:bevelT/>
              </a:sp3d>
            </c:spPr>
            <c:txPr>
              <a:bodyPr rot="0" vert="horz"/>
              <a:lstStyle/>
              <a:p>
                <a:pPr>
                  <a:defRPr lang="lv-LV"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APKAROSANA!$B$46:$G$46</c:f>
              <c:numCache>
                <c:formatCode>General</c:formatCode>
                <c:ptCount val="6"/>
                <c:pt idx="0">
                  <c:v>2009</c:v>
                </c:pt>
                <c:pt idx="1">
                  <c:v>2010</c:v>
                </c:pt>
                <c:pt idx="2">
                  <c:v>2011</c:v>
                </c:pt>
                <c:pt idx="3">
                  <c:v>2012</c:v>
                </c:pt>
                <c:pt idx="4">
                  <c:v>2013</c:v>
                </c:pt>
                <c:pt idx="5">
                  <c:v>2014</c:v>
                </c:pt>
              </c:numCache>
            </c:numRef>
          </c:cat>
          <c:val>
            <c:numRef>
              <c:f>APKAROSANA!$B$49:$G$49</c:f>
              <c:numCache>
                <c:formatCode>General</c:formatCode>
                <c:ptCount val="6"/>
                <c:pt idx="0">
                  <c:v>27</c:v>
                </c:pt>
                <c:pt idx="1">
                  <c:v>34</c:v>
                </c:pt>
                <c:pt idx="2">
                  <c:v>20</c:v>
                </c:pt>
                <c:pt idx="3">
                  <c:v>29</c:v>
                </c:pt>
                <c:pt idx="4">
                  <c:v>33</c:v>
                </c:pt>
                <c:pt idx="5">
                  <c:v>25</c:v>
                </c:pt>
              </c:numCache>
            </c:numRef>
          </c:val>
          <c:smooth val="0"/>
        </c:ser>
        <c:dLbls>
          <c:showLegendKey val="0"/>
          <c:showVal val="0"/>
          <c:showCatName val="0"/>
          <c:showSerName val="0"/>
          <c:showPercent val="0"/>
          <c:showBubbleSize val="0"/>
        </c:dLbls>
        <c:marker val="1"/>
        <c:smooth val="0"/>
        <c:axId val="43381504"/>
        <c:axId val="43371520"/>
      </c:lineChart>
      <c:catAx>
        <c:axId val="4336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lv-LV" sz="1000" b="0" i="0" u="none" strike="noStrike" kern="1200" baseline="0">
                <a:solidFill>
                  <a:schemeClr val="tx1">
                    <a:lumMod val="65000"/>
                    <a:lumOff val="35000"/>
                  </a:schemeClr>
                </a:solidFill>
                <a:latin typeface="+mn-lt"/>
                <a:ea typeface="+mn-ea"/>
                <a:cs typeface="+mn-cs"/>
              </a:defRPr>
            </a:pPr>
            <a:endParaRPr lang="lv-LV"/>
          </a:p>
        </c:txPr>
        <c:crossAx val="43369984"/>
        <c:crosses val="autoZero"/>
        <c:auto val="1"/>
        <c:lblAlgn val="ctr"/>
        <c:lblOffset val="100"/>
        <c:noMultiLvlLbl val="0"/>
      </c:catAx>
      <c:valAx>
        <c:axId val="43369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lv-LV" sz="900" b="0" i="0" u="none" strike="noStrike" kern="1200" baseline="0">
                <a:solidFill>
                  <a:schemeClr val="tx1">
                    <a:lumMod val="65000"/>
                    <a:lumOff val="35000"/>
                  </a:schemeClr>
                </a:solidFill>
                <a:latin typeface="+mn-lt"/>
                <a:ea typeface="+mn-ea"/>
                <a:cs typeface="+mn-cs"/>
              </a:defRPr>
            </a:pPr>
            <a:endParaRPr lang="lv-LV"/>
          </a:p>
        </c:txPr>
        <c:crossAx val="43368448"/>
        <c:crosses val="autoZero"/>
        <c:crossBetween val="between"/>
      </c:valAx>
      <c:valAx>
        <c:axId val="43371520"/>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lv-LV" sz="900" b="0" i="0" u="none" strike="noStrike" kern="1200" baseline="0">
                <a:solidFill>
                  <a:schemeClr val="tx1">
                    <a:lumMod val="65000"/>
                    <a:lumOff val="35000"/>
                  </a:schemeClr>
                </a:solidFill>
                <a:latin typeface="+mn-lt"/>
                <a:ea typeface="+mn-ea"/>
                <a:cs typeface="+mn-cs"/>
              </a:defRPr>
            </a:pPr>
            <a:endParaRPr lang="lv-LV"/>
          </a:p>
        </c:txPr>
        <c:crossAx val="43381504"/>
        <c:crosses val="max"/>
        <c:crossBetween val="between"/>
      </c:valAx>
      <c:catAx>
        <c:axId val="43381504"/>
        <c:scaling>
          <c:orientation val="minMax"/>
        </c:scaling>
        <c:delete val="1"/>
        <c:axPos val="b"/>
        <c:numFmt formatCode="General" sourceLinked="1"/>
        <c:majorTickMark val="none"/>
        <c:minorTickMark val="none"/>
        <c:tickLblPos val="nextTo"/>
        <c:crossAx val="4337152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lv-LV" sz="10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'APK-PARTIJAS'!$A$47</c:f>
              <c:strCache>
                <c:ptCount val="1"/>
                <c:pt idx="0">
                  <c:v>Dāvinājumu, ziedojumu apmērs (EUR)</c:v>
                </c:pt>
              </c:strCache>
            </c:strRef>
          </c:tx>
          <c:spPr>
            <a:solidFill>
              <a:schemeClr val="accent3">
                <a:lumMod val="75000"/>
              </a:schemeClr>
            </a:solidFill>
            <a:ln w="28575">
              <a:solidFill>
                <a:schemeClr val="accent2">
                  <a:lumMod val="75000"/>
                </a:schemeClr>
              </a:solidFill>
            </a:ln>
            <a:scene3d>
              <a:camera prst="orthographicFront"/>
              <a:lightRig rig="threePt" dir="t"/>
            </a:scene3d>
            <a:sp3d>
              <a:bevelT/>
            </a:sp3d>
          </c:spPr>
          <c:dLbls>
            <c:dLbl>
              <c:idx val="0"/>
              <c:layout>
                <c:manualLayout>
                  <c:x val="5.5141076115485556E-2"/>
                  <c:y val="-4.3485200188126794E-2"/>
                </c:manualLayout>
              </c:layout>
              <c:showLegendKey val="0"/>
              <c:showVal val="1"/>
              <c:showCatName val="0"/>
              <c:showSerName val="0"/>
              <c:showPercent val="0"/>
              <c:showBubbleSize val="0"/>
            </c:dLbl>
            <c:dLbl>
              <c:idx val="1"/>
              <c:layout>
                <c:manualLayout>
                  <c:x val="3.6515560464475467E-2"/>
                  <c:y val="-8.5737253521270179E-2"/>
                </c:manualLayout>
              </c:layout>
              <c:showLegendKey val="0"/>
              <c:showVal val="1"/>
              <c:showCatName val="0"/>
              <c:showSerName val="0"/>
              <c:showPercent val="0"/>
              <c:showBubbleSize val="0"/>
            </c:dLbl>
            <c:dLbl>
              <c:idx val="2"/>
              <c:layout>
                <c:manualLayout>
                  <c:x val="-3.8226507693222965E-2"/>
                  <c:y val="-0.1837304195811314"/>
                </c:manualLayout>
              </c:layout>
              <c:showLegendKey val="0"/>
              <c:showVal val="1"/>
              <c:showCatName val="0"/>
              <c:showSerName val="0"/>
              <c:showPercent val="0"/>
              <c:showBubbleSize val="0"/>
            </c:dLbl>
            <c:dLbl>
              <c:idx val="3"/>
              <c:layout>
                <c:manualLayout>
                  <c:x val="1.1786372007366491E-2"/>
                  <c:y val="-0.23789609934690972"/>
                </c:manualLayout>
              </c:layout>
              <c:showLegendKey val="0"/>
              <c:showVal val="1"/>
              <c:showCatName val="0"/>
              <c:showSerName val="0"/>
              <c:showPercent val="0"/>
              <c:showBubbleSize val="0"/>
            </c:dLbl>
            <c:dLbl>
              <c:idx val="4"/>
              <c:layout>
                <c:manualLayout>
                  <c:x val="-7.1684579721211332E-3"/>
                  <c:y val="-4.4744602347309884E-2"/>
                </c:manualLayout>
              </c:layout>
              <c:showLegendKey val="0"/>
              <c:showVal val="1"/>
              <c:showCatName val="0"/>
              <c:showSerName val="0"/>
              <c:showPercent val="0"/>
              <c:showBubbleSize val="0"/>
            </c:dLbl>
            <c:dLbl>
              <c:idx val="5"/>
              <c:layout>
                <c:manualLayout>
                  <c:x val="5.2523799562690196E-2"/>
                  <c:y val="-6.7366816519493403E-2"/>
                </c:manualLayout>
              </c:layout>
              <c:showLegendKey val="0"/>
              <c:showVal val="1"/>
              <c:showCatName val="0"/>
              <c:showSerName val="0"/>
              <c:showPercent val="0"/>
              <c:showBubbleSize val="0"/>
            </c:dLbl>
            <c:dLbl>
              <c:idx val="6"/>
              <c:layout>
                <c:manualLayout>
                  <c:x val="-3.4606605750954672E-2"/>
                  <c:y val="-0.278999981683901"/>
                </c:manualLayout>
              </c:layout>
              <c:showLegendKey val="0"/>
              <c:showVal val="1"/>
              <c:showCatName val="0"/>
              <c:showSerName val="0"/>
              <c:showPercent val="0"/>
              <c:showBubbleSize val="0"/>
            </c:dLbl>
            <c:dLbl>
              <c:idx val="7"/>
              <c:layout>
                <c:manualLayout>
                  <c:x val="1.4336915944242266E-3"/>
                  <c:y val="-0.33783475215265091"/>
                </c:manualLayout>
              </c:layout>
              <c:showLegendKey val="0"/>
              <c:showVal val="1"/>
              <c:showCatName val="0"/>
              <c:showSerName val="0"/>
              <c:showPercent val="0"/>
              <c:showBubbleSize val="0"/>
            </c:dLbl>
            <c:dLbl>
              <c:idx val="8"/>
              <c:layout>
                <c:manualLayout>
                  <c:x val="-3.755323708935325E-2"/>
                  <c:y val="-0.19051063249560923"/>
                </c:manualLayout>
              </c:layout>
              <c:showLegendKey val="0"/>
              <c:showVal val="1"/>
              <c:showCatName val="0"/>
              <c:showSerName val="0"/>
              <c:showPercent val="0"/>
              <c:showBubbleSize val="0"/>
            </c:dLbl>
            <c:dLbl>
              <c:idx val="9"/>
              <c:layout>
                <c:manualLayout>
                  <c:x val="5.8931860036832411E-3"/>
                  <c:y val="-3.2710713660200001E-2"/>
                </c:manualLayout>
              </c:layout>
              <c:showLegendKey val="0"/>
              <c:showVal val="1"/>
              <c:showCatName val="0"/>
              <c:showSerName val="0"/>
              <c:showPercent val="0"/>
              <c:showBubbleSize val="0"/>
            </c:dLbl>
            <c:dLbl>
              <c:idx val="10"/>
              <c:layout>
                <c:manualLayout>
                  <c:x val="4.3010747832726862E-2"/>
                  <c:y val="-0.20543540420578341"/>
                </c:manualLayout>
              </c:layout>
              <c:showLegendKey val="0"/>
              <c:showVal val="1"/>
              <c:showCatName val="0"/>
              <c:showSerName val="0"/>
              <c:showPercent val="0"/>
              <c:showBubbleSize val="0"/>
            </c:dLbl>
            <c:dLbl>
              <c:idx val="11"/>
              <c:layout>
                <c:manualLayout>
                  <c:x val="0"/>
                  <c:y val="-0.37235184819616951"/>
                </c:manualLayout>
              </c:layout>
              <c:showLegendKey val="0"/>
              <c:showVal val="1"/>
              <c:showCatName val="0"/>
              <c:showSerName val="0"/>
              <c:showPercent val="0"/>
              <c:showBubbleSize val="0"/>
            </c:dLbl>
            <c:txPr>
              <a:bodyPr/>
              <a:lstStyle/>
              <a:p>
                <a:pPr>
                  <a:defRPr lang="lv-LV" sz="1000" b="1"/>
                </a:pPr>
                <a:endParaRPr lang="lv-LV"/>
              </a:p>
            </c:txPr>
            <c:showLegendKey val="0"/>
            <c:showVal val="1"/>
            <c:showCatName val="0"/>
            <c:showSerName val="0"/>
            <c:showPercent val="0"/>
            <c:showBubbleSize val="0"/>
            <c:showLeaderLines val="0"/>
          </c:dLbls>
          <c:cat>
            <c:numRef>
              <c:f>'APK-PARTIJAS'!$B$46:$M$46</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'APK-PARTIJAS'!$B$47:$M$47</c:f>
              <c:numCache>
                <c:formatCode>#,##0</c:formatCode>
                <c:ptCount val="12"/>
                <c:pt idx="0">
                  <c:v>1114108</c:v>
                </c:pt>
                <c:pt idx="1">
                  <c:v>1603403</c:v>
                </c:pt>
                <c:pt idx="2">
                  <c:v>2822150</c:v>
                </c:pt>
                <c:pt idx="3">
                  <c:v>3159648</c:v>
                </c:pt>
                <c:pt idx="4">
                  <c:v>1058543</c:v>
                </c:pt>
                <c:pt idx="5">
                  <c:v>1115580</c:v>
                </c:pt>
                <c:pt idx="6">
                  <c:v>4022704</c:v>
                </c:pt>
                <c:pt idx="7">
                  <c:v>5130871</c:v>
                </c:pt>
                <c:pt idx="8">
                  <c:v>3049105</c:v>
                </c:pt>
                <c:pt idx="9">
                  <c:v>1024877</c:v>
                </c:pt>
                <c:pt idx="10">
                  <c:v>3194586</c:v>
                </c:pt>
                <c:pt idx="11">
                  <c:v>5193199</c:v>
                </c:pt>
              </c:numCache>
            </c:numRef>
          </c:val>
        </c:ser>
        <c:dLbls>
          <c:showLegendKey val="0"/>
          <c:showVal val="0"/>
          <c:showCatName val="0"/>
          <c:showSerName val="0"/>
          <c:showPercent val="0"/>
          <c:showBubbleSize val="0"/>
        </c:dLbls>
        <c:axId val="43505536"/>
        <c:axId val="43507072"/>
      </c:areaChart>
      <c:catAx>
        <c:axId val="43505536"/>
        <c:scaling>
          <c:orientation val="minMax"/>
        </c:scaling>
        <c:delete val="0"/>
        <c:axPos val="b"/>
        <c:numFmt formatCode="General" sourceLinked="1"/>
        <c:majorTickMark val="out"/>
        <c:minorTickMark val="none"/>
        <c:tickLblPos val="nextTo"/>
        <c:txPr>
          <a:bodyPr/>
          <a:lstStyle/>
          <a:p>
            <a:pPr>
              <a:defRPr lang="lv-LV"/>
            </a:pPr>
            <a:endParaRPr lang="lv-LV"/>
          </a:p>
        </c:txPr>
        <c:crossAx val="43507072"/>
        <c:crosses val="autoZero"/>
        <c:auto val="1"/>
        <c:lblAlgn val="ctr"/>
        <c:lblOffset val="100"/>
        <c:noMultiLvlLbl val="0"/>
      </c:catAx>
      <c:valAx>
        <c:axId val="43507072"/>
        <c:scaling>
          <c:orientation val="minMax"/>
        </c:scaling>
        <c:delete val="0"/>
        <c:axPos val="l"/>
        <c:majorGridlines/>
        <c:numFmt formatCode="#,##0" sourceLinked="1"/>
        <c:majorTickMark val="out"/>
        <c:minorTickMark val="none"/>
        <c:tickLblPos val="nextTo"/>
        <c:txPr>
          <a:bodyPr/>
          <a:lstStyle/>
          <a:p>
            <a:pPr>
              <a:defRPr lang="lv-LV"/>
            </a:pPr>
            <a:endParaRPr lang="lv-LV"/>
          </a:p>
        </c:txPr>
        <c:crossAx val="43505536"/>
        <c:crosses val="autoZero"/>
        <c:crossBetween val="midCat"/>
      </c:valAx>
    </c:plotArea>
    <c:legend>
      <c:legendPos val="b"/>
      <c:layout/>
      <c:overlay val="0"/>
      <c:txPr>
        <a:bodyPr/>
        <a:lstStyle/>
        <a:p>
          <a:pPr>
            <a:defRPr lang="lv-LV" sz="1200" b="0"/>
          </a:pPr>
          <a:endParaRPr lang="lv-LV"/>
        </a:p>
      </c:txPr>
    </c:legend>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'APK-PARTIJAS'!$A$27</c:f>
              <c:strCache>
                <c:ptCount val="1"/>
                <c:pt idx="0">
                  <c:v>Lēmumu skaits </c:v>
                </c:pt>
              </c:strCache>
            </c:strRef>
          </c:tx>
          <c:spPr>
            <a:solidFill>
              <a:schemeClr val="accent3">
                <a:lumMod val="60000"/>
                <a:lumOff val="40000"/>
              </a:schemeClr>
            </a:solidFill>
            <a:ln>
              <a:noFill/>
            </a:ln>
            <a:effectLst/>
            <a:scene3d>
              <a:camera prst="orthographicFront"/>
              <a:lightRig rig="threePt" dir="t"/>
            </a:scene3d>
            <a:sp3d>
              <a:bevelT/>
            </a:sp3d>
          </c:spPr>
          <c:invertIfNegative val="0"/>
          <c:dLbls>
            <c:dLbl>
              <c:idx val="5"/>
              <c:layout>
                <c:manualLayout>
                  <c:x val="-1.3008130081300822E-2"/>
                  <c:y val="0"/>
                </c:manualLayout>
              </c:layout>
              <c:showLegendKey val="0"/>
              <c:showVal val="1"/>
              <c:showCatName val="0"/>
              <c:showSerName val="0"/>
              <c:showPercent val="0"/>
              <c:showBubbleSize val="0"/>
            </c:dLbl>
            <c:txPr>
              <a:bodyPr rot="0" vert="horz"/>
              <a:lstStyle/>
              <a:p>
                <a:pPr>
                  <a:defRPr lang="lv-LV"/>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'APK-PARTIJAS'!$B$26:$G$26</c:f>
              <c:numCache>
                <c:formatCode>General</c:formatCode>
                <c:ptCount val="6"/>
                <c:pt idx="0">
                  <c:v>2009</c:v>
                </c:pt>
                <c:pt idx="1">
                  <c:v>2010</c:v>
                </c:pt>
                <c:pt idx="2">
                  <c:v>2011</c:v>
                </c:pt>
                <c:pt idx="3">
                  <c:v>2012</c:v>
                </c:pt>
                <c:pt idx="4">
                  <c:v>2013</c:v>
                </c:pt>
                <c:pt idx="5">
                  <c:v>2014</c:v>
                </c:pt>
              </c:numCache>
            </c:numRef>
          </c:cat>
          <c:val>
            <c:numRef>
              <c:f>'APK-PARTIJAS'!$B$27:$G$27</c:f>
              <c:numCache>
                <c:formatCode>General</c:formatCode>
                <c:ptCount val="6"/>
                <c:pt idx="0">
                  <c:v>46</c:v>
                </c:pt>
                <c:pt idx="1">
                  <c:v>65</c:v>
                </c:pt>
                <c:pt idx="2">
                  <c:v>61</c:v>
                </c:pt>
                <c:pt idx="3">
                  <c:v>45</c:v>
                </c:pt>
                <c:pt idx="4">
                  <c:v>43</c:v>
                </c:pt>
                <c:pt idx="5">
                  <c:v>46</c:v>
                </c:pt>
              </c:numCache>
            </c:numRef>
          </c:val>
        </c:ser>
        <c:ser>
          <c:idx val="1"/>
          <c:order val="1"/>
          <c:tx>
            <c:strRef>
              <c:f>'APK-PARTIJAS'!$A$28</c:f>
              <c:strCache>
                <c:ptCount val="1"/>
                <c:pt idx="0">
                  <c:v>Piemēroti naudas sodi</c:v>
                </c:pt>
              </c:strCache>
            </c:strRef>
          </c:tx>
          <c:spPr>
            <a:solidFill>
              <a:schemeClr val="accent3">
                <a:lumMod val="75000"/>
              </a:schemeClr>
            </a:solidFill>
            <a:ln>
              <a:noFill/>
            </a:ln>
            <a:effectLst/>
            <a:scene3d>
              <a:camera prst="orthographicFront"/>
              <a:lightRig rig="threePt" dir="t"/>
            </a:scene3d>
            <a:sp3d>
              <a:bevelT/>
            </a:sp3d>
          </c:spPr>
          <c:invertIfNegative val="0"/>
          <c:dLbls>
            <c:txPr>
              <a:bodyPr rot="0" vert="horz"/>
              <a:lstStyle/>
              <a:p>
                <a:pPr>
                  <a:defRPr lang="lv-LV"/>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'APK-PARTIJAS'!$B$26:$G$26</c:f>
              <c:numCache>
                <c:formatCode>General</c:formatCode>
                <c:ptCount val="6"/>
                <c:pt idx="0">
                  <c:v>2009</c:v>
                </c:pt>
                <c:pt idx="1">
                  <c:v>2010</c:v>
                </c:pt>
                <c:pt idx="2">
                  <c:v>2011</c:v>
                </c:pt>
                <c:pt idx="3">
                  <c:v>2012</c:v>
                </c:pt>
                <c:pt idx="4">
                  <c:v>2013</c:v>
                </c:pt>
                <c:pt idx="5">
                  <c:v>2014</c:v>
                </c:pt>
              </c:numCache>
            </c:numRef>
          </c:cat>
          <c:val>
            <c:numRef>
              <c:f>'APK-PARTIJAS'!$B$28:$G$28</c:f>
              <c:numCache>
                <c:formatCode>General</c:formatCode>
                <c:ptCount val="6"/>
                <c:pt idx="0">
                  <c:v>22</c:v>
                </c:pt>
                <c:pt idx="1">
                  <c:v>46</c:v>
                </c:pt>
                <c:pt idx="2">
                  <c:v>44</c:v>
                </c:pt>
                <c:pt idx="3">
                  <c:v>24</c:v>
                </c:pt>
                <c:pt idx="4">
                  <c:v>28</c:v>
                </c:pt>
                <c:pt idx="5">
                  <c:v>39</c:v>
                </c:pt>
              </c:numCache>
            </c:numRef>
          </c:val>
        </c:ser>
        <c:dLbls>
          <c:showLegendKey val="0"/>
          <c:showVal val="0"/>
          <c:showCatName val="0"/>
          <c:showSerName val="0"/>
          <c:showPercent val="0"/>
          <c:showBubbleSize val="0"/>
        </c:dLbls>
        <c:gapWidth val="150"/>
        <c:axId val="45296256"/>
        <c:axId val="45302144"/>
      </c:barChart>
      <c:lineChart>
        <c:grouping val="standard"/>
        <c:varyColors val="0"/>
        <c:ser>
          <c:idx val="2"/>
          <c:order val="2"/>
          <c:tx>
            <c:strRef>
              <c:f>'APK-PARTIJAS'!$A$29</c:f>
              <c:strCache>
                <c:ptCount val="1"/>
                <c:pt idx="0">
                  <c:v>Sodu apmērs (EUR)</c:v>
                </c:pt>
              </c:strCache>
            </c:strRef>
          </c:tx>
          <c:spPr>
            <a:ln w="28575" cap="rnd">
              <a:solidFill>
                <a:schemeClr val="accent2">
                  <a:lumMod val="75000"/>
                </a:schemeClr>
              </a:solidFill>
              <a:round/>
            </a:ln>
            <a:effectLst/>
          </c:spPr>
          <c:marker>
            <c:symbol val="none"/>
          </c:marker>
          <c:dLbls>
            <c:dLbl>
              <c:idx val="1"/>
              <c:layout>
                <c:manualLayout>
                  <c:x val="-3.0352303523035248E-2"/>
                  <c:y val="-2.9795158286778402E-2"/>
                </c:manualLayout>
              </c:layout>
              <c:showLegendKey val="0"/>
              <c:showVal val="1"/>
              <c:showCatName val="0"/>
              <c:showSerName val="0"/>
              <c:showPercent val="0"/>
              <c:showBubbleSize val="0"/>
            </c:dLbl>
            <c:dLbl>
              <c:idx val="4"/>
              <c:layout>
                <c:manualLayout>
                  <c:x val="-3.0352303523035248E-2"/>
                  <c:y val="4.4692737430167669E-2"/>
                </c:manualLayout>
              </c:layout>
              <c:showLegendKey val="0"/>
              <c:showVal val="1"/>
              <c:showCatName val="0"/>
              <c:showSerName val="0"/>
              <c:showPercent val="0"/>
              <c:showBubbleSize val="0"/>
            </c:dLbl>
            <c:txPr>
              <a:bodyPr rot="0" vert="horz"/>
              <a:lstStyle/>
              <a:p>
                <a:pPr>
                  <a:defRPr lang="lv-LV"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'APK-PARTIJAS'!$B$26:$G$26</c:f>
              <c:numCache>
                <c:formatCode>General</c:formatCode>
                <c:ptCount val="6"/>
                <c:pt idx="0">
                  <c:v>2009</c:v>
                </c:pt>
                <c:pt idx="1">
                  <c:v>2010</c:v>
                </c:pt>
                <c:pt idx="2">
                  <c:v>2011</c:v>
                </c:pt>
                <c:pt idx="3">
                  <c:v>2012</c:v>
                </c:pt>
                <c:pt idx="4">
                  <c:v>2013</c:v>
                </c:pt>
                <c:pt idx="5">
                  <c:v>2014</c:v>
                </c:pt>
              </c:numCache>
            </c:numRef>
          </c:cat>
          <c:val>
            <c:numRef>
              <c:f>'APK-PARTIJAS'!$B$29:$G$29</c:f>
              <c:numCache>
                <c:formatCode>General</c:formatCode>
                <c:ptCount val="6"/>
                <c:pt idx="0">
                  <c:v>5023</c:v>
                </c:pt>
                <c:pt idx="1">
                  <c:v>10885</c:v>
                </c:pt>
                <c:pt idx="2">
                  <c:v>10572</c:v>
                </c:pt>
                <c:pt idx="3">
                  <c:v>6666</c:v>
                </c:pt>
                <c:pt idx="4" formatCode="0">
                  <c:v>1991.5630986733136</c:v>
                </c:pt>
                <c:pt idx="5">
                  <c:v>9085</c:v>
                </c:pt>
              </c:numCache>
            </c:numRef>
          </c:val>
          <c:smooth val="0"/>
        </c:ser>
        <c:dLbls>
          <c:showLegendKey val="0"/>
          <c:showVal val="0"/>
          <c:showCatName val="0"/>
          <c:showSerName val="0"/>
          <c:showPercent val="0"/>
          <c:showBubbleSize val="0"/>
        </c:dLbls>
        <c:marker val="1"/>
        <c:smooth val="0"/>
        <c:axId val="45305216"/>
        <c:axId val="45303680"/>
      </c:lineChart>
      <c:catAx>
        <c:axId val="4529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lv-LV" sz="900" b="0" i="0" u="none" strike="noStrike" kern="1200" baseline="0">
                <a:solidFill>
                  <a:schemeClr val="tx1">
                    <a:lumMod val="65000"/>
                    <a:lumOff val="35000"/>
                  </a:schemeClr>
                </a:solidFill>
                <a:latin typeface="+mn-lt"/>
                <a:ea typeface="+mn-ea"/>
                <a:cs typeface="+mn-cs"/>
              </a:defRPr>
            </a:pPr>
            <a:endParaRPr lang="lv-LV"/>
          </a:p>
        </c:txPr>
        <c:crossAx val="45302144"/>
        <c:crosses val="autoZero"/>
        <c:auto val="1"/>
        <c:lblAlgn val="ctr"/>
        <c:lblOffset val="100"/>
        <c:noMultiLvlLbl val="0"/>
      </c:catAx>
      <c:valAx>
        <c:axId val="45302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lv-LV" sz="900" b="0" i="0" u="none" strike="noStrike" kern="1200" baseline="0">
                <a:solidFill>
                  <a:schemeClr val="tx1">
                    <a:lumMod val="65000"/>
                    <a:lumOff val="35000"/>
                  </a:schemeClr>
                </a:solidFill>
                <a:latin typeface="+mn-lt"/>
                <a:ea typeface="+mn-ea"/>
                <a:cs typeface="+mn-cs"/>
              </a:defRPr>
            </a:pPr>
            <a:endParaRPr lang="lv-LV"/>
          </a:p>
        </c:txPr>
        <c:crossAx val="45296256"/>
        <c:crosses val="autoZero"/>
        <c:crossBetween val="between"/>
      </c:valAx>
      <c:valAx>
        <c:axId val="45303680"/>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lv-LV" sz="900" b="0" i="0" u="none" strike="noStrike" kern="1200" baseline="0">
                <a:solidFill>
                  <a:schemeClr val="tx1">
                    <a:lumMod val="65000"/>
                    <a:lumOff val="35000"/>
                  </a:schemeClr>
                </a:solidFill>
                <a:latin typeface="+mn-lt"/>
                <a:ea typeface="+mn-ea"/>
                <a:cs typeface="+mn-cs"/>
              </a:defRPr>
            </a:pPr>
            <a:endParaRPr lang="lv-LV"/>
          </a:p>
        </c:txPr>
        <c:crossAx val="45305216"/>
        <c:crosses val="max"/>
        <c:crossBetween val="between"/>
      </c:valAx>
      <c:catAx>
        <c:axId val="45305216"/>
        <c:scaling>
          <c:orientation val="minMax"/>
        </c:scaling>
        <c:delete val="1"/>
        <c:axPos val="b"/>
        <c:numFmt formatCode="General" sourceLinked="1"/>
        <c:majorTickMark val="none"/>
        <c:minorTickMark val="none"/>
        <c:tickLblPos val="nextTo"/>
        <c:crossAx val="45303680"/>
        <c:crosses val="autoZero"/>
        <c:auto val="1"/>
        <c:lblAlgn val="ctr"/>
        <c:lblOffset val="100"/>
        <c:noMultiLvlLbl val="0"/>
      </c:catAx>
      <c:spPr>
        <a:noFill/>
        <a:ln>
          <a:noFill/>
        </a:ln>
        <a:effectLst/>
      </c:spPr>
    </c:plotArea>
    <c:legend>
      <c:legendPos val="b"/>
      <c:layout/>
      <c:overlay val="0"/>
      <c:txPr>
        <a:bodyPr rot="0" vert="horz"/>
        <a:lstStyle/>
        <a:p>
          <a:pPr>
            <a:defRPr lang="lv-LV"/>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89845-4BA8-4ADF-BD99-17444B89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16</Pages>
  <Words>22166</Words>
  <Characters>12636</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"Par Korupcijas novēršanas un apkarošanas biroja darbību no 2013.gada 1.jūlija līdz 31.decembrim"</vt:lpstr>
    </vt:vector>
  </TitlesOfParts>
  <Company>KNAB</Company>
  <LinksUpToDate>false</LinksUpToDate>
  <CharactersWithSpaces>34733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Korupcijas novēršanas un apkarošanas biroja darbību no 2013.gada 1.jūlija līdz 31.decembrim"</dc:title>
  <dc:subject>Informatīvais ziņojums</dc:subject>
  <dc:creator>KNAB</dc:creator>
  <dc:description>Vitenburgs, 67356165-306_x000d_
andris.vitenburgs@knab.gov.lv</dc:description>
  <cp:lastModifiedBy>Sintija Helviga</cp:lastModifiedBy>
  <cp:revision>18</cp:revision>
  <cp:lastPrinted>2015-02-02T14:31:00Z</cp:lastPrinted>
  <dcterms:created xsi:type="dcterms:W3CDTF">2015-01-29T10:56:00Z</dcterms:created>
  <dcterms:modified xsi:type="dcterms:W3CDTF">2015-02-02T14:44:00Z</dcterms:modified>
</cp:coreProperties>
</file>