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9A" w:rsidRPr="00200FA4" w:rsidRDefault="00674267" w:rsidP="00674267">
      <w:pPr>
        <w:jc w:val="right"/>
        <w:rPr>
          <w:rFonts w:ascii="Times New Roman" w:hAnsi="Times New Roman"/>
          <w:sz w:val="24"/>
          <w:szCs w:val="24"/>
        </w:rPr>
      </w:pPr>
      <w:r w:rsidRPr="00200FA4">
        <w:rPr>
          <w:rFonts w:ascii="Times New Roman" w:hAnsi="Times New Roman"/>
          <w:sz w:val="24"/>
          <w:szCs w:val="24"/>
        </w:rPr>
        <w:t>Pielikums</w:t>
      </w:r>
    </w:p>
    <w:p w:rsidR="0074069A" w:rsidRPr="00200FA4" w:rsidRDefault="0074069A" w:rsidP="00674267">
      <w:pPr>
        <w:jc w:val="right"/>
        <w:rPr>
          <w:rFonts w:ascii="Times New Roman" w:hAnsi="Times New Roman"/>
          <w:sz w:val="24"/>
          <w:szCs w:val="24"/>
        </w:rPr>
      </w:pPr>
      <w:r w:rsidRPr="00200FA4">
        <w:rPr>
          <w:rFonts w:ascii="Times New Roman" w:hAnsi="Times New Roman"/>
          <w:sz w:val="24"/>
          <w:szCs w:val="24"/>
        </w:rPr>
        <w:t>likumprojekta „Grozījumi Civilprocesa likumā”</w:t>
      </w:r>
    </w:p>
    <w:p w:rsidR="00674267" w:rsidRDefault="0074069A" w:rsidP="00674267">
      <w:pPr>
        <w:jc w:val="right"/>
        <w:rPr>
          <w:rFonts w:ascii="Times New Roman" w:hAnsi="Times New Roman"/>
          <w:sz w:val="28"/>
          <w:szCs w:val="28"/>
        </w:rPr>
      </w:pPr>
      <w:r w:rsidRPr="00200FA4">
        <w:rPr>
          <w:rFonts w:ascii="Times New Roman" w:hAnsi="Times New Roman"/>
          <w:sz w:val="24"/>
          <w:szCs w:val="24"/>
        </w:rPr>
        <w:t>sākotnējās ietekmes novērtējuma ziņojumam (anotācijai</w:t>
      </w:r>
      <w:r w:rsidRPr="00200FA4">
        <w:rPr>
          <w:rFonts w:ascii="Times New Roman" w:hAnsi="Times New Roman"/>
          <w:sz w:val="28"/>
          <w:szCs w:val="28"/>
        </w:rPr>
        <w:t>)</w:t>
      </w:r>
    </w:p>
    <w:p w:rsidR="00674267" w:rsidRPr="002F79C6" w:rsidRDefault="00674267" w:rsidP="00413AFB">
      <w:pPr>
        <w:jc w:val="right"/>
        <w:rPr>
          <w:rFonts w:ascii="Times New Roman" w:hAnsi="Times New Roman"/>
          <w:sz w:val="28"/>
          <w:szCs w:val="24"/>
        </w:rPr>
      </w:pPr>
    </w:p>
    <w:p w:rsidR="0062365E" w:rsidRPr="008321E5" w:rsidRDefault="0062365E" w:rsidP="008321E5">
      <w:pPr>
        <w:jc w:val="center"/>
        <w:rPr>
          <w:rFonts w:ascii="Times New Roman" w:hAnsi="Times New Roman"/>
          <w:sz w:val="24"/>
          <w:szCs w:val="24"/>
        </w:rPr>
      </w:pPr>
    </w:p>
    <w:p w:rsidR="00674267" w:rsidRDefault="00674267" w:rsidP="00674267"/>
    <w:p w:rsidR="00674267" w:rsidRPr="00443B3D" w:rsidRDefault="008321E5" w:rsidP="008321E5">
      <w:pPr>
        <w:jc w:val="center"/>
        <w:rPr>
          <w:b/>
          <w:sz w:val="24"/>
          <w:szCs w:val="24"/>
        </w:rPr>
      </w:pPr>
      <w:r w:rsidRPr="00443B3D">
        <w:rPr>
          <w:rFonts w:ascii="Times New Roman" w:hAnsi="Times New Roman"/>
          <w:b/>
          <w:sz w:val="24"/>
          <w:szCs w:val="24"/>
        </w:rPr>
        <w:t>Nepieciešamā papildus finansējuma atšifrējums pa EKK kodiem</w:t>
      </w:r>
    </w:p>
    <w:tbl>
      <w:tblPr>
        <w:tblpPr w:leftFromText="180" w:rightFromText="180" w:vertAnchor="page" w:horzAnchor="margin" w:tblpY="3901"/>
        <w:tblW w:w="9322" w:type="dxa"/>
        <w:tblLook w:val="04A0" w:firstRow="1" w:lastRow="0" w:firstColumn="1" w:lastColumn="0" w:noHBand="0" w:noVBand="1"/>
      </w:tblPr>
      <w:tblGrid>
        <w:gridCol w:w="2020"/>
        <w:gridCol w:w="3940"/>
        <w:gridCol w:w="3362"/>
      </w:tblGrid>
      <w:tr w:rsidR="00413AFB" w:rsidRPr="00443B3D" w:rsidTr="00DB7D3C">
        <w:trPr>
          <w:trHeight w:val="312"/>
        </w:trPr>
        <w:tc>
          <w:tcPr>
            <w:tcW w:w="9322" w:type="dxa"/>
            <w:gridSpan w:val="3"/>
            <w:shd w:val="clear" w:color="auto" w:fill="auto"/>
            <w:hideMark/>
          </w:tcPr>
          <w:p w:rsidR="00413AFB" w:rsidRPr="00443B3D" w:rsidRDefault="00413AFB" w:rsidP="0053143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 1000. Atlīdzība EUR 335 500</w:t>
            </w:r>
          </w:p>
        </w:tc>
      </w:tr>
      <w:tr w:rsidR="00413AFB" w:rsidRPr="00443B3D" w:rsidTr="00DB7D3C">
        <w:trPr>
          <w:trHeight w:val="312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3AFB" w:rsidRPr="00443B3D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3AFB" w:rsidRPr="00443B3D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413AFB" w:rsidRPr="00443B3D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3AFB" w:rsidRPr="00443B3D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443B3D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443B3D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443B3D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Summa EUR</w:t>
            </w:r>
          </w:p>
        </w:tc>
      </w:tr>
      <w:tr w:rsidR="00413AFB" w:rsidRPr="00443B3D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443B3D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443B3D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443B3D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43B3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264 000</w:t>
            </w:r>
          </w:p>
        </w:tc>
      </w:tr>
      <w:tr w:rsidR="00413AFB" w:rsidRPr="00323725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1119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Pārējo darbinieku mēnešalga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218 654</w:t>
            </w:r>
          </w:p>
        </w:tc>
      </w:tr>
      <w:tr w:rsidR="00413AFB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</w:p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darbinieku mēnešalgas.  0,2551 x EUR 857 130 = EUR 218 654</w:t>
            </w:r>
          </w:p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Mēnešalgas summa ir samazināta par prognozējamo slimības pabalst</w:t>
            </w:r>
            <w:r>
              <w:rPr>
                <w:rFonts w:ascii="Times New Roman" w:hAnsi="Times New Roman"/>
              </w:rPr>
              <w:t>u summu, kas norādīta EKK 1221.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AFB" w:rsidRPr="00323725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1146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Piemaksa par personisko darba ieguldījumu un darba kvalitāti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5 395</w:t>
            </w:r>
          </w:p>
        </w:tc>
      </w:tr>
      <w:tr w:rsidR="00413AFB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</w:p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piemaksām. 0,2551 x EUR 21 148 = EUR 5 395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AFB" w:rsidRPr="00323725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1147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Piemaksa par papildu darbu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12 215</w:t>
            </w:r>
          </w:p>
        </w:tc>
      </w:tr>
      <w:tr w:rsidR="00413AFB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</w:p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25,51 % no piemaksām. 0,2551 x EUR 47 883 = EUR 12 215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AFB" w:rsidRPr="00323725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1148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Prēmijas, naudas balvas un materiālā stimulēšana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14 939</w:t>
            </w:r>
          </w:p>
        </w:tc>
      </w:tr>
      <w:tr w:rsidR="00413AFB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25,51 % no </w:t>
            </w:r>
            <w:r w:rsidRPr="00323725">
              <w:rPr>
                <w:rFonts w:ascii="Times New Roman" w:hAnsi="Times New Roman"/>
              </w:rPr>
              <w:t>Prēmij</w:t>
            </w:r>
            <w:r>
              <w:rPr>
                <w:rFonts w:ascii="Times New Roman" w:hAnsi="Times New Roman"/>
              </w:rPr>
              <w:t>ām</w:t>
            </w:r>
            <w:r w:rsidRPr="00323725">
              <w:rPr>
                <w:rFonts w:ascii="Times New Roman" w:hAnsi="Times New Roman"/>
              </w:rPr>
              <w:t xml:space="preserve"> paredzēto līdzekļu apjoma.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58 562 = EUR 14 939</w:t>
            </w:r>
          </w:p>
        </w:tc>
      </w:tr>
      <w:tr w:rsidR="00413AFB" w:rsidRPr="00323725" w:rsidTr="00DB7D3C">
        <w:trPr>
          <w:trHeight w:val="31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1150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Atalgojums fiziskajām personām uz tiesiskās attiecības regulējošu dokumentu pamata</w:t>
            </w:r>
          </w:p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12 797</w:t>
            </w:r>
          </w:p>
        </w:tc>
      </w:tr>
      <w:tr w:rsidR="00413AFB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</w:p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a</w:t>
            </w:r>
            <w:r w:rsidRPr="00323725">
              <w:rPr>
                <w:rFonts w:ascii="Times New Roman" w:hAnsi="Times New Roman"/>
              </w:rPr>
              <w:t>utoratlīdzības grāmatu autoriem, žurnāla „Jurista Vārds” un portāla „Par Likumu un Valsti” rakstu autoriem, ar kuriem tiek noslēgti autoratlīdzības līgumi.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50 163 = EUR 12 797</w:t>
            </w:r>
          </w:p>
        </w:tc>
      </w:tr>
    </w:tbl>
    <w:p w:rsidR="00674267" w:rsidRDefault="00674267" w:rsidP="00674267"/>
    <w:p w:rsidR="00674267" w:rsidRDefault="00674267" w:rsidP="00674267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91"/>
        <w:gridCol w:w="3945"/>
        <w:gridCol w:w="3386"/>
      </w:tblGrid>
      <w:tr w:rsidR="00674267" w:rsidRPr="00323725" w:rsidTr="00DB7D3C">
        <w:trPr>
          <w:trHeight w:val="3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>Summa EUR</w:t>
            </w:r>
          </w:p>
        </w:tc>
      </w:tr>
      <w:tr w:rsidR="00674267" w:rsidRPr="00323725" w:rsidTr="00DB7D3C">
        <w:trPr>
          <w:trHeight w:val="3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71 500</w:t>
            </w:r>
          </w:p>
        </w:tc>
      </w:tr>
      <w:tr w:rsidR="00674267" w:rsidRPr="00323725" w:rsidTr="00DB7D3C">
        <w:trPr>
          <w:trHeight w:val="3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1210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60 606</w:t>
            </w:r>
          </w:p>
        </w:tc>
      </w:tr>
      <w:tr w:rsidR="00674267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d</w:t>
            </w:r>
            <w:r w:rsidRPr="00323725">
              <w:rPr>
                <w:rFonts w:ascii="Times New Roman" w:hAnsi="Times New Roman"/>
              </w:rPr>
              <w:t>arba devēja valsts sociālās apdrošināšanas obligātā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iemaks</w:t>
            </w:r>
            <w:r>
              <w:rPr>
                <w:rFonts w:ascii="Times New Roman" w:hAnsi="Times New Roman"/>
              </w:rPr>
              <w:t>ām</w:t>
            </w:r>
            <w:r w:rsidRPr="00323725">
              <w:rPr>
                <w:rFonts w:ascii="Times New Roman" w:hAnsi="Times New Roman"/>
              </w:rPr>
              <w:t xml:space="preserve"> 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237 577 = EUR 60 606</w:t>
            </w:r>
          </w:p>
        </w:tc>
      </w:tr>
      <w:tr w:rsidR="00674267" w:rsidRPr="00323725" w:rsidTr="00DB7D3C">
        <w:trPr>
          <w:trHeight w:val="3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1221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</w:t>
            </w:r>
            <w:r w:rsidRPr="00323725">
              <w:rPr>
                <w:rFonts w:ascii="Times New Roman" w:hAnsi="Times New Roman"/>
                <w:sz w:val="24"/>
                <w:szCs w:val="24"/>
              </w:rPr>
              <w:t xml:space="preserve">Darba devēja pabalsti un kompensācijas, no kuriem aprēķina </w:t>
            </w:r>
            <w:r w:rsidRPr="00323725">
              <w:rPr>
                <w:rFonts w:ascii="Times New Roman" w:hAnsi="Times New Roman"/>
                <w:sz w:val="24"/>
                <w:szCs w:val="24"/>
              </w:rPr>
              <w:lastRenderedPageBreak/>
              <w:t>ienākuma nodokli, valsts sociālās apdrošināšanas obligātās iemaksas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lastRenderedPageBreak/>
              <w:t>6 001</w:t>
            </w:r>
          </w:p>
        </w:tc>
      </w:tr>
      <w:tr w:rsidR="00674267" w:rsidRPr="00323725" w:rsidTr="00DB7D3C">
        <w:trPr>
          <w:trHeight w:val="3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25,51% no darba devēja pabalstiem un kompensācijām, no kurām aprēķina ienākuma nodokli un valsts sociālās apdrošināšanas obligātās iemaksas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23 523 = EUR 6 001</w:t>
            </w:r>
          </w:p>
        </w:tc>
      </w:tr>
      <w:tr w:rsidR="00674267" w:rsidRPr="00323725" w:rsidTr="00DB7D3C">
        <w:trPr>
          <w:trHeight w:val="83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1227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Darba devēja izdevumi veselības, dzīvības un nelaimes gadījumu apdrošināšanai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3 702</w:t>
            </w:r>
          </w:p>
        </w:tc>
      </w:tr>
      <w:tr w:rsidR="00674267" w:rsidRPr="00323725" w:rsidTr="00DB7D3C">
        <w:trPr>
          <w:trHeight w:val="34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</w:t>
            </w:r>
            <w:r w:rsidRPr="003237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darba devēja izdevumiem darbinieku </w:t>
            </w:r>
            <w:r w:rsidRPr="00323725">
              <w:rPr>
                <w:rFonts w:ascii="Times New Roman" w:hAnsi="Times New Roman"/>
              </w:rPr>
              <w:t>veselības</w:t>
            </w:r>
            <w:r>
              <w:rPr>
                <w:rFonts w:ascii="Times New Roman" w:hAnsi="Times New Roman"/>
              </w:rPr>
              <w:t xml:space="preserve"> apdrošināšanai</w:t>
            </w:r>
            <w:r w:rsidRPr="00323725">
              <w:rPr>
                <w:rFonts w:ascii="Times New Roman" w:hAnsi="Times New Roman"/>
              </w:rPr>
              <w:t xml:space="preserve"> 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14 513 = EUR 3 702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74267" w:rsidRPr="00323725" w:rsidTr="00DB7D3C">
        <w:trPr>
          <w:trHeight w:val="103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1228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Darba devēja pabalsti un kompensācijas, no kā neaprēķina ienākuma nodokli, valsts sociālās apdrošināšanas obligātās iemaksas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1 191</w:t>
            </w:r>
          </w:p>
        </w:tc>
      </w:tr>
      <w:tr w:rsidR="00674267" w:rsidRPr="00323725" w:rsidTr="00DB7D3C">
        <w:trPr>
          <w:trHeight w:val="10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Style w:val="tvhtml"/>
                <w:rFonts w:ascii="Times New Roman" w:hAnsi="Times New Roman"/>
              </w:rPr>
            </w:pP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25,51% no darba devēja pabalstiem un kompensācijām, no kurām neaprēķina ienākuma nodokli un valsts sociālās apdrošināšanas obligātās iemaksas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4 667 = EUR 1 191</w:t>
            </w:r>
          </w:p>
        </w:tc>
      </w:tr>
    </w:tbl>
    <w:p w:rsidR="00674267" w:rsidRDefault="00674267" w:rsidP="00674267"/>
    <w:p w:rsidR="00674267" w:rsidRPr="00443B3D" w:rsidRDefault="00674267" w:rsidP="0063532D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443B3D">
        <w:rPr>
          <w:rFonts w:ascii="Times New Roman" w:eastAsia="Times New Roman" w:hAnsi="Times New Roman"/>
          <w:sz w:val="24"/>
          <w:szCs w:val="24"/>
          <w:lang w:eastAsia="lv-LV"/>
        </w:rPr>
        <w:t>EKK 2000. Preces un pakalpojumi EUR 174 000</w:t>
      </w:r>
    </w:p>
    <w:p w:rsidR="00674267" w:rsidRDefault="00674267" w:rsidP="00674267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91"/>
        <w:gridCol w:w="3969"/>
        <w:gridCol w:w="3362"/>
      </w:tblGrid>
      <w:tr w:rsidR="00674267" w:rsidRPr="00323725" w:rsidTr="00AF7544">
        <w:trPr>
          <w:trHeight w:val="3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>Summa EUR</w:t>
            </w:r>
          </w:p>
        </w:tc>
      </w:tr>
      <w:tr w:rsidR="00674267" w:rsidRPr="00323725" w:rsidTr="00AF7544">
        <w:trPr>
          <w:trHeight w:val="63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 Mācību, darba un dienesta komandējumi, dienesta, darba braucieni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3 030</w:t>
            </w:r>
          </w:p>
        </w:tc>
      </w:tr>
      <w:tr w:rsidR="00674267" w:rsidRPr="00323725" w:rsidTr="00AF7544">
        <w:trPr>
          <w:trHeight w:val="65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Iekšzemes mācību, darba un dienesta komandējumi, dienesta, darba braucieni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671</w:t>
            </w:r>
          </w:p>
        </w:tc>
      </w:tr>
      <w:tr w:rsidR="00674267" w:rsidRPr="00323725" w:rsidTr="00AF7544">
        <w:trPr>
          <w:trHeight w:val="63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</w:t>
            </w:r>
            <w:r w:rsidRPr="00323725">
              <w:rPr>
                <w:rFonts w:ascii="Times New Roman" w:hAnsi="Times New Roman"/>
              </w:rPr>
              <w:t>ekšzemes komandējum</w:t>
            </w:r>
            <w:r>
              <w:rPr>
                <w:rFonts w:ascii="Times New Roman" w:hAnsi="Times New Roman"/>
              </w:rPr>
              <w:t>u izdevumiem</w:t>
            </w:r>
            <w:r w:rsidRPr="00323725">
              <w:rPr>
                <w:rFonts w:ascii="Times New Roman" w:hAnsi="Times New Roman"/>
              </w:rPr>
              <w:t xml:space="preserve"> žurnāla „Jurista Vārds” un portāla „Par Likumu un Valsti” žurnālistiem un redaktoriem.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0,2551% x EUR 2 632 = EUR 671</w:t>
            </w:r>
          </w:p>
        </w:tc>
      </w:tr>
      <w:tr w:rsidR="00674267" w:rsidRPr="00323725" w:rsidTr="00AF7544">
        <w:trPr>
          <w:trHeight w:val="8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Ārvalstu mācību, darba un dienesta komandējumi, dienesta, darba braucieni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2 359</w:t>
            </w:r>
          </w:p>
        </w:tc>
      </w:tr>
      <w:tr w:rsidR="00674267" w:rsidRPr="00323725" w:rsidTr="00AF7544">
        <w:trPr>
          <w:trHeight w:val="8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v</w:t>
            </w:r>
            <w:r w:rsidRPr="00323725">
              <w:rPr>
                <w:rFonts w:ascii="Times New Roman" w:hAnsi="Times New Roman"/>
              </w:rPr>
              <w:t>adības un atbildīgo darbinieku komandējum</w:t>
            </w:r>
            <w:r>
              <w:rPr>
                <w:rFonts w:ascii="Times New Roman" w:hAnsi="Times New Roman"/>
              </w:rPr>
              <w:t>u izdevumiem</w:t>
            </w:r>
            <w:r w:rsidRPr="00323725">
              <w:rPr>
                <w:rFonts w:ascii="Times New Roman" w:hAnsi="Times New Roman"/>
              </w:rPr>
              <w:t xml:space="preserve"> uz ES institūcijām, dalība ES Oficiālo izdevēju forumā.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0,2551x EUR 9 249 = EUR 2 359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Pakalpojumi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139 911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Pārējie sakaru pakalpojumi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9 880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25,51% no izdevumiem par </w:t>
            </w:r>
            <w:r w:rsidRPr="00323725">
              <w:rPr>
                <w:rFonts w:ascii="Times New Roman" w:hAnsi="Times New Roman"/>
              </w:rPr>
              <w:t>Pasta pakalpojum</w:t>
            </w:r>
            <w:r>
              <w:rPr>
                <w:rFonts w:ascii="Times New Roman" w:hAnsi="Times New Roman"/>
              </w:rPr>
              <w:t xml:space="preserve">iem, </w:t>
            </w:r>
            <w:r w:rsidRPr="00323725">
              <w:rPr>
                <w:rFonts w:ascii="Times New Roman" w:hAnsi="Times New Roman"/>
              </w:rPr>
              <w:t>Stacionār</w:t>
            </w:r>
            <w:r>
              <w:rPr>
                <w:rFonts w:ascii="Times New Roman" w:hAnsi="Times New Roman"/>
              </w:rPr>
              <w:t>o</w:t>
            </w:r>
            <w:r w:rsidRPr="00323725">
              <w:rPr>
                <w:rFonts w:ascii="Times New Roman" w:hAnsi="Times New Roman"/>
              </w:rPr>
              <w:t xml:space="preserve"> un mobil</w:t>
            </w:r>
            <w:r>
              <w:rPr>
                <w:rFonts w:ascii="Times New Roman" w:hAnsi="Times New Roman"/>
              </w:rPr>
              <w:t>o</w:t>
            </w:r>
            <w:r w:rsidRPr="00323725">
              <w:rPr>
                <w:rFonts w:ascii="Times New Roman" w:hAnsi="Times New Roman"/>
              </w:rPr>
              <w:t xml:space="preserve"> telefona sakar</w:t>
            </w:r>
            <w:r>
              <w:rPr>
                <w:rFonts w:ascii="Times New Roman" w:hAnsi="Times New Roman"/>
              </w:rPr>
              <w:t>u pakalpojumiem</w:t>
            </w:r>
            <w:r w:rsidRPr="00323725">
              <w:rPr>
                <w:rFonts w:ascii="Times New Roman" w:hAnsi="Times New Roman"/>
              </w:rPr>
              <w:t>, internet</w:t>
            </w:r>
            <w:r>
              <w:rPr>
                <w:rFonts w:ascii="Times New Roman" w:hAnsi="Times New Roman"/>
              </w:rPr>
              <w:t>u</w:t>
            </w:r>
            <w:r w:rsidRPr="00323725">
              <w:rPr>
                <w:rFonts w:ascii="Times New Roman" w:hAnsi="Times New Roman"/>
              </w:rPr>
              <w:t xml:space="preserve"> (pamata un rezerves)</w:t>
            </w:r>
            <w:r>
              <w:rPr>
                <w:rFonts w:ascii="Times New Roman" w:hAnsi="Times New Roman"/>
              </w:rPr>
              <w:t>, pieeju d</w:t>
            </w:r>
            <w:r w:rsidRPr="00323725">
              <w:rPr>
                <w:rFonts w:ascii="Times New Roman" w:hAnsi="Times New Roman"/>
              </w:rPr>
              <w:t>atu bāz</w:t>
            </w:r>
            <w:r>
              <w:rPr>
                <w:rFonts w:ascii="Times New Roman" w:hAnsi="Times New Roman"/>
              </w:rPr>
              <w:t>ēm</w:t>
            </w:r>
            <w:r w:rsidRPr="00323725">
              <w:rPr>
                <w:rFonts w:ascii="Times New Roman" w:hAnsi="Times New Roman"/>
              </w:rPr>
              <w:t xml:space="preserve"> „Lursoft”</w:t>
            </w:r>
            <w:r>
              <w:rPr>
                <w:rFonts w:ascii="Times New Roman" w:hAnsi="Times New Roman"/>
              </w:rPr>
              <w:t xml:space="preserve"> un</w:t>
            </w:r>
            <w:r w:rsidRPr="00323725">
              <w:rPr>
                <w:rFonts w:ascii="Times New Roman" w:hAnsi="Times New Roman"/>
              </w:rPr>
              <w:t xml:space="preserve"> NAIS 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38 731 = EUR 9 880</w:t>
            </w:r>
          </w:p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Izdevumi par elektroenerģiju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784</w:t>
            </w:r>
          </w:p>
        </w:tc>
      </w:tr>
      <w:tr w:rsidR="00674267" w:rsidRPr="00323725" w:rsidTr="00AF7544">
        <w:trPr>
          <w:trHeight w:val="44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25,51% no </w:t>
            </w:r>
            <w:r w:rsidRPr="00323725">
              <w:rPr>
                <w:rFonts w:ascii="Times New Roman" w:hAnsi="Times New Roman"/>
              </w:rPr>
              <w:t>Elektroenerģijas nepastarpinātās (tiešās) piegādes</w:t>
            </w:r>
            <w:r>
              <w:rPr>
                <w:rFonts w:ascii="Times New Roman" w:hAnsi="Times New Roman"/>
              </w:rPr>
              <w:t xml:space="preserve"> izdevumiem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3 073 = EUR 784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 xml:space="preserve"> Administratīvie izdevumi un sabiedriskās attiecības, kursu un semināru </w:t>
            </w:r>
            <w:r w:rsidRPr="00323725">
              <w:rPr>
                <w:rFonts w:ascii="Times New Roman" w:hAnsi="Times New Roman"/>
              </w:rPr>
              <w:lastRenderedPageBreak/>
              <w:t>organizēšana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lastRenderedPageBreak/>
              <w:t>5 989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par s</w:t>
            </w:r>
            <w:r w:rsidRPr="00323725">
              <w:rPr>
                <w:rFonts w:ascii="Times New Roman" w:hAnsi="Times New Roman"/>
              </w:rPr>
              <w:t>ociālā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kampaņ</w:t>
            </w:r>
            <w:r>
              <w:rPr>
                <w:rFonts w:ascii="Times New Roman" w:hAnsi="Times New Roman"/>
              </w:rPr>
              <w:t>ām</w:t>
            </w:r>
            <w:r w:rsidRPr="00323725">
              <w:rPr>
                <w:rFonts w:ascii="Times New Roman" w:hAnsi="Times New Roman"/>
              </w:rPr>
              <w:t xml:space="preserve"> sabiedrība</w:t>
            </w:r>
            <w:r>
              <w:rPr>
                <w:rFonts w:ascii="Times New Roman" w:hAnsi="Times New Roman"/>
              </w:rPr>
              <w:t>s izglītošanai un informēšanai, i</w:t>
            </w:r>
            <w:r w:rsidRPr="00323725">
              <w:rPr>
                <w:rFonts w:ascii="Times New Roman" w:hAnsi="Times New Roman"/>
              </w:rPr>
              <w:t>nformatīv</w:t>
            </w:r>
            <w:r>
              <w:rPr>
                <w:rFonts w:ascii="Times New Roman" w:hAnsi="Times New Roman"/>
              </w:rPr>
              <w:t>ajiem</w:t>
            </w:r>
            <w:r w:rsidRPr="00323725">
              <w:rPr>
                <w:rFonts w:ascii="Times New Roman" w:hAnsi="Times New Roman"/>
              </w:rPr>
              <w:t xml:space="preserve"> materiāli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 xml:space="preserve"> par oficiālo izdevēju "Latvijas Vēstnesis" un tā izpildītajām valsts funkcijām, uzturot un</w:t>
            </w:r>
            <w:r>
              <w:rPr>
                <w:rFonts w:ascii="Times New Roman" w:hAnsi="Times New Roman"/>
              </w:rPr>
              <w:t xml:space="preserve"> </w:t>
            </w:r>
            <w:r w:rsidRPr="00323725">
              <w:rPr>
                <w:rFonts w:ascii="Times New Roman" w:hAnsi="Times New Roman"/>
              </w:rPr>
              <w:t>attīstot Oficiālo publikāciju un tiesiskās informācijas likumā noteiktos informatīvos pakalpojumus (Mākslinieka darba apmaksa (koncepcija, maketu iz</w:t>
            </w:r>
            <w:r>
              <w:rPr>
                <w:rFonts w:ascii="Times New Roman" w:hAnsi="Times New Roman"/>
              </w:rPr>
              <w:t>strāde), tipogrāfijas izdevumi),</w:t>
            </w: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grāmatu atvēršanas svētk</w:t>
            </w:r>
            <w:r>
              <w:rPr>
                <w:rFonts w:ascii="Times New Roman" w:hAnsi="Times New Roman"/>
              </w:rPr>
              <w:t>iem</w:t>
            </w:r>
            <w:r w:rsidRPr="00323725">
              <w:rPr>
                <w:rFonts w:ascii="Times New Roman" w:hAnsi="Times New Roman"/>
              </w:rPr>
              <w:t xml:space="preserve"> jeb prezentācij</w:t>
            </w:r>
            <w:r>
              <w:rPr>
                <w:rFonts w:ascii="Times New Roman" w:hAnsi="Times New Roman"/>
              </w:rPr>
              <w:t>ām, abonēšanas kampaņām.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23 477 = EUR 5 989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674267" w:rsidRDefault="00674267" w:rsidP="00674267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91"/>
        <w:gridCol w:w="3969"/>
        <w:gridCol w:w="3362"/>
      </w:tblGrid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>Summa EUR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Auditoru, tulku pakalpojumi, izdevumi par iestāžu pasūtītajiem pētījumiem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4 029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25,51 % no izdevumiem par </w:t>
            </w:r>
            <w:r w:rsidRPr="00323725">
              <w:rPr>
                <w:rFonts w:ascii="Times New Roman" w:hAnsi="Times New Roman"/>
              </w:rPr>
              <w:t>Kvalitātes vadības sistēmas ārēj</w:t>
            </w:r>
            <w:r>
              <w:rPr>
                <w:rFonts w:ascii="Times New Roman" w:hAnsi="Times New Roman"/>
              </w:rPr>
              <w:t xml:space="preserve">o </w:t>
            </w:r>
            <w:r w:rsidRPr="00323725">
              <w:rPr>
                <w:rFonts w:ascii="Times New Roman" w:hAnsi="Times New Roman"/>
              </w:rPr>
              <w:t>audit</w:t>
            </w:r>
            <w:r>
              <w:rPr>
                <w:rFonts w:ascii="Times New Roman" w:hAnsi="Times New Roman"/>
              </w:rPr>
              <w:t>u,</w:t>
            </w:r>
            <w:r w:rsidRPr="00323725">
              <w:rPr>
                <w:rFonts w:ascii="Times New Roman" w:hAnsi="Times New Roman"/>
              </w:rPr>
              <w:t xml:space="preserve"> Informācijas sistēmas ārēj</w:t>
            </w:r>
            <w:r>
              <w:rPr>
                <w:rFonts w:ascii="Times New Roman" w:hAnsi="Times New Roman"/>
              </w:rPr>
              <w:t>o</w:t>
            </w:r>
            <w:r w:rsidRPr="00323725">
              <w:rPr>
                <w:rFonts w:ascii="Times New Roman" w:hAnsi="Times New Roman"/>
              </w:rPr>
              <w:t xml:space="preserve"> audit</w:t>
            </w:r>
            <w:r>
              <w:rPr>
                <w:rFonts w:ascii="Times New Roman" w:hAnsi="Times New Roman"/>
              </w:rPr>
              <w:t>u,</w:t>
            </w:r>
            <w:r w:rsidRPr="00323725">
              <w:rPr>
                <w:rFonts w:ascii="Times New Roman" w:hAnsi="Times New Roman"/>
              </w:rPr>
              <w:t xml:space="preserve"> Finanšu audit</w:t>
            </w:r>
            <w:r>
              <w:rPr>
                <w:rFonts w:ascii="Times New Roman" w:hAnsi="Times New Roman"/>
              </w:rPr>
              <w:t>u un ikgadējiem</w:t>
            </w:r>
            <w:r w:rsidRPr="00323725">
              <w:rPr>
                <w:rFonts w:ascii="Times New Roman" w:hAnsi="Times New Roman"/>
              </w:rPr>
              <w:t xml:space="preserve"> Klientu apmierinātības pētījum</w:t>
            </w:r>
            <w:r>
              <w:rPr>
                <w:rFonts w:ascii="Times New Roman" w:hAnsi="Times New Roman"/>
              </w:rPr>
              <w:t>iem</w:t>
            </w:r>
            <w:r w:rsidRPr="00323725">
              <w:rPr>
                <w:rFonts w:ascii="Times New Roman" w:hAnsi="Times New Roman"/>
              </w:rPr>
              <w:t xml:space="preserve"> 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15 794 = EUR 4 029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Normatīvajos aktos noteiktie darba devēja veselības izdevumi darba ņēmējiem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691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25,51% no izdevumiem par </w:t>
            </w:r>
            <w:r w:rsidRPr="00323725">
              <w:rPr>
                <w:rFonts w:ascii="Times New Roman" w:hAnsi="Times New Roman"/>
              </w:rPr>
              <w:t>Obligāt</w:t>
            </w:r>
            <w:r>
              <w:rPr>
                <w:rFonts w:ascii="Times New Roman" w:hAnsi="Times New Roman"/>
              </w:rPr>
              <w:t>ajām</w:t>
            </w:r>
            <w:r w:rsidRPr="00323725">
              <w:rPr>
                <w:rFonts w:ascii="Times New Roman" w:hAnsi="Times New Roman"/>
              </w:rPr>
              <w:t xml:space="preserve"> veselības pārbaud</w:t>
            </w:r>
            <w:r>
              <w:rPr>
                <w:rFonts w:ascii="Times New Roman" w:hAnsi="Times New Roman"/>
              </w:rPr>
              <w:t>ēm,</w:t>
            </w:r>
            <w:r w:rsidRPr="00323725">
              <w:rPr>
                <w:rFonts w:ascii="Times New Roman" w:hAnsi="Times New Roman"/>
              </w:rPr>
              <w:t xml:space="preserve"> (</w:t>
            </w:r>
            <w:proofErr w:type="spellStart"/>
            <w:r w:rsidRPr="00323725">
              <w:rPr>
                <w:rFonts w:ascii="Times New Roman" w:hAnsi="Times New Roman"/>
              </w:rPr>
              <w:t>arodārst</w:t>
            </w:r>
            <w:r>
              <w:rPr>
                <w:rFonts w:ascii="Times New Roman" w:hAnsi="Times New Roman"/>
              </w:rPr>
              <w:t>u</w:t>
            </w:r>
            <w:proofErr w:type="spellEnd"/>
            <w:r w:rsidRPr="00323725">
              <w:rPr>
                <w:rFonts w:ascii="Times New Roman" w:hAnsi="Times New Roman"/>
              </w:rPr>
              <w:t xml:space="preserve">) 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2 709 = EUR 691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 Bankas komisija, pakalpojumi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1 561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25,51 % no b</w:t>
            </w:r>
            <w:r w:rsidRPr="00323725">
              <w:rPr>
                <w:rFonts w:ascii="Times New Roman" w:hAnsi="Times New Roman"/>
              </w:rPr>
              <w:t>anku komisij</w:t>
            </w:r>
            <w:r>
              <w:rPr>
                <w:rFonts w:ascii="Times New Roman" w:hAnsi="Times New Roman"/>
              </w:rPr>
              <w:t>ām un inkasācijas pakalpojumu izmaksām.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6 118 = EUR 1 561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Pārējie iestādes administratīvie izdevumi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9 579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par z</w:t>
            </w:r>
            <w:r w:rsidRPr="00323725">
              <w:rPr>
                <w:rFonts w:ascii="Times New Roman" w:hAnsi="Times New Roman"/>
              </w:rPr>
              <w:t>iņu aģentūr</w:t>
            </w:r>
            <w:r>
              <w:rPr>
                <w:rFonts w:ascii="Times New Roman" w:hAnsi="Times New Roman"/>
              </w:rPr>
              <w:t>u</w:t>
            </w:r>
            <w:r w:rsidRPr="00323725">
              <w:rPr>
                <w:rFonts w:ascii="Times New Roman" w:hAnsi="Times New Roman"/>
              </w:rPr>
              <w:t xml:space="preserve"> „</w:t>
            </w:r>
            <w:proofErr w:type="spellStart"/>
            <w:r w:rsidRPr="00323725">
              <w:rPr>
                <w:rFonts w:ascii="Times New Roman" w:hAnsi="Times New Roman"/>
              </w:rPr>
              <w:t>BalticNewsService</w:t>
            </w:r>
            <w:proofErr w:type="spellEnd"/>
            <w:r w:rsidRPr="00323725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un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„LETA” pakalpojumi</w:t>
            </w:r>
            <w:r>
              <w:rPr>
                <w:rFonts w:ascii="Times New Roman" w:hAnsi="Times New Roman"/>
              </w:rPr>
              <w:t>em,</w:t>
            </w:r>
            <w:r w:rsidRPr="003237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323725">
              <w:rPr>
                <w:rFonts w:ascii="Times New Roman" w:hAnsi="Times New Roman"/>
              </w:rPr>
              <w:t>uditorfirmas „</w:t>
            </w:r>
            <w:proofErr w:type="spellStart"/>
            <w:r w:rsidRPr="00323725">
              <w:rPr>
                <w:rFonts w:ascii="Times New Roman" w:hAnsi="Times New Roman"/>
              </w:rPr>
              <w:t>PriceWaterhouseCoopers</w:t>
            </w:r>
            <w:proofErr w:type="spellEnd"/>
            <w:r w:rsidRPr="00323725">
              <w:rPr>
                <w:rFonts w:ascii="Times New Roman" w:hAnsi="Times New Roman"/>
              </w:rPr>
              <w:t>” nodokļu un finanšu konsultāciju portāla pakalpojumi</w:t>
            </w:r>
            <w:r>
              <w:rPr>
                <w:rFonts w:ascii="Times New Roman" w:hAnsi="Times New Roman"/>
              </w:rPr>
              <w:t>em, preses iegādes izdevumiem struktūrvienību vajadzībām un p</w:t>
            </w:r>
            <w:r w:rsidRPr="00323725">
              <w:rPr>
                <w:rFonts w:ascii="Times New Roman" w:hAnsi="Times New Roman"/>
              </w:rPr>
              <w:t>ārējie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administratīvie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izdevumi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>, kas nav atšifrēti iepriekš.</w:t>
            </w:r>
          </w:p>
          <w:p w:rsidR="00674267" w:rsidRPr="00323725" w:rsidRDefault="00674267" w:rsidP="00531438">
            <w:pPr>
              <w:jc w:val="lef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37 550 = EUR 9 579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Ēku, būvju un telpu kārtējais remonts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9 452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kārtējiem telpu remontiem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37 052 = EUR 9 452</w:t>
            </w:r>
          </w:p>
          <w:p w:rsidR="00674267" w:rsidRPr="00323725" w:rsidRDefault="00674267" w:rsidP="00531438">
            <w:pPr>
              <w:rPr>
                <w:rFonts w:ascii="Times New Roman" w:hAnsi="Times New Roman"/>
              </w:rPr>
            </w:pP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Transportlīdzekļu uzturēšana un remonts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2 868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d</w:t>
            </w:r>
            <w:r w:rsidRPr="00323725">
              <w:rPr>
                <w:rFonts w:ascii="Times New Roman" w:hAnsi="Times New Roman"/>
              </w:rPr>
              <w:t>ienesta autotransporta uzturēšana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>, t.sk. nodev</w:t>
            </w:r>
            <w:r>
              <w:rPr>
                <w:rFonts w:ascii="Times New Roman" w:hAnsi="Times New Roman"/>
              </w:rPr>
              <w:t>ām</w:t>
            </w:r>
            <w:r w:rsidRPr="00323725">
              <w:rPr>
                <w:rFonts w:ascii="Times New Roman" w:hAnsi="Times New Roman"/>
              </w:rPr>
              <w:t>.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11 241 = EUR 2 868</w:t>
            </w:r>
          </w:p>
        </w:tc>
      </w:tr>
      <w:tr w:rsidR="00674267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Pr="00323725" w:rsidRDefault="00674267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Iekārtas, inventāra un aparatūras remonts, tehniskā apkalpošana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4267" w:rsidRPr="00323725" w:rsidRDefault="00674267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1 623</w:t>
            </w:r>
          </w:p>
        </w:tc>
      </w:tr>
      <w:tr w:rsidR="00674267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267" w:rsidRDefault="00674267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t>25,51% no izdevumiem i</w:t>
            </w:r>
            <w:r w:rsidRPr="00323725">
              <w:rPr>
                <w:rFonts w:ascii="Times New Roman" w:hAnsi="Times New Roman"/>
              </w:rPr>
              <w:t>ekārtu, inventāra un aparatūras remonts, tehniskā apkalpošana</w:t>
            </w:r>
            <w:r>
              <w:rPr>
                <w:rFonts w:ascii="Times New Roman" w:hAnsi="Times New Roman"/>
              </w:rPr>
              <w:t>i</w:t>
            </w:r>
          </w:p>
          <w:p w:rsidR="00674267" w:rsidRPr="00323725" w:rsidRDefault="00674267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6 363</w:t>
            </w:r>
            <w:r w:rsidRPr="003237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= EUR 1 623</w:t>
            </w:r>
          </w:p>
        </w:tc>
      </w:tr>
    </w:tbl>
    <w:p w:rsidR="00674267" w:rsidRDefault="00674267" w:rsidP="00674267"/>
    <w:tbl>
      <w:tblPr>
        <w:tblW w:w="9322" w:type="dxa"/>
        <w:tblLook w:val="04A0" w:firstRow="1" w:lastRow="0" w:firstColumn="1" w:lastColumn="0" w:noHBand="0" w:noVBand="1"/>
      </w:tblPr>
      <w:tblGrid>
        <w:gridCol w:w="1991"/>
        <w:gridCol w:w="3969"/>
        <w:gridCol w:w="3362"/>
      </w:tblGrid>
      <w:tr w:rsidR="00E464B2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EKK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>Summa EUR</w:t>
            </w:r>
          </w:p>
        </w:tc>
      </w:tr>
      <w:tr w:rsidR="00E464B2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Ēku, būvju un telpu uzturēšana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27 205</w:t>
            </w:r>
          </w:p>
        </w:tc>
      </w:tr>
      <w:tr w:rsidR="00E464B2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n</w:t>
            </w:r>
            <w:r w:rsidRPr="00323725">
              <w:rPr>
                <w:rFonts w:ascii="Times New Roman" w:hAnsi="Times New Roman"/>
              </w:rPr>
              <w:t>amu uzturētāju (namīpašnieku) nodrošinātie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komunālie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pakalpojumi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>, t.sk. apkure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>, elektroenerģija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>, ūden</w:t>
            </w:r>
            <w:r>
              <w:rPr>
                <w:rFonts w:ascii="Times New Roman" w:hAnsi="Times New Roman"/>
              </w:rPr>
              <w:t>im</w:t>
            </w:r>
            <w:r w:rsidRPr="00323725">
              <w:rPr>
                <w:rFonts w:ascii="Times New Roman" w:hAnsi="Times New Roman"/>
              </w:rPr>
              <w:t xml:space="preserve"> un kanalizācija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>, pārējie</w:t>
            </w:r>
            <w:r>
              <w:rPr>
                <w:rFonts w:ascii="Times New Roman" w:hAnsi="Times New Roman"/>
              </w:rPr>
              <w:t>m</w:t>
            </w:r>
            <w:r w:rsidRPr="00323725">
              <w:rPr>
                <w:rFonts w:ascii="Times New Roman" w:hAnsi="Times New Roman"/>
              </w:rPr>
              <w:t xml:space="preserve"> apsaimniekošanas pakalpojumi</w:t>
            </w:r>
            <w:r>
              <w:rPr>
                <w:rFonts w:ascii="Times New Roman" w:hAnsi="Times New Roman"/>
              </w:rPr>
              <w:t>em, a</w:t>
            </w:r>
            <w:r w:rsidRPr="00323725">
              <w:rPr>
                <w:rFonts w:ascii="Times New Roman" w:hAnsi="Times New Roman"/>
              </w:rPr>
              <w:t>psardze</w:t>
            </w:r>
            <w:r>
              <w:rPr>
                <w:rFonts w:ascii="Times New Roman" w:hAnsi="Times New Roman"/>
              </w:rPr>
              <w:t>i, t</w:t>
            </w:r>
            <w:r w:rsidRPr="00323725">
              <w:rPr>
                <w:rFonts w:ascii="Times New Roman" w:hAnsi="Times New Roman"/>
              </w:rPr>
              <w:t>elpu uzkopšanas pakalpojumi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>, t.sk. sanitāri higiēnisko materiālu uzpildīšana</w:t>
            </w:r>
            <w:r>
              <w:rPr>
                <w:rFonts w:ascii="Times New Roman" w:hAnsi="Times New Roman"/>
              </w:rPr>
              <w:t>i.</w:t>
            </w:r>
          </w:p>
          <w:p w:rsidR="00E464B2" w:rsidRPr="00323725" w:rsidRDefault="00E464B2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106 645 = EUR 27 205</w:t>
            </w:r>
          </w:p>
        </w:tc>
      </w:tr>
      <w:tr w:rsidR="00E464B2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</w:t>
            </w:r>
            <w:r w:rsidRPr="00323725">
              <w:rPr>
                <w:rStyle w:val="tvhtml"/>
                <w:rFonts w:ascii="Times New Roman" w:hAnsi="Times New Roman"/>
              </w:rPr>
              <w:t>Apdrošināšanas izdevumi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508</w:t>
            </w:r>
          </w:p>
        </w:tc>
      </w:tr>
      <w:tr w:rsidR="00E464B2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pamatl</w:t>
            </w:r>
            <w:r w:rsidRPr="00323725">
              <w:rPr>
                <w:rFonts w:ascii="Times New Roman" w:hAnsi="Times New Roman"/>
              </w:rPr>
              <w:t>īdzekļu apdrošināšana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>.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1 992 = EUR 508</w:t>
            </w:r>
          </w:p>
        </w:tc>
      </w:tr>
      <w:tr w:rsidR="00E464B2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</w:t>
            </w:r>
            <w:r w:rsidRPr="00323725">
              <w:rPr>
                <w:rStyle w:val="tvhtml"/>
                <w:rFonts w:ascii="Times New Roman" w:hAnsi="Times New Roman"/>
              </w:rPr>
              <w:t>Informācijas sistēmas uzturēšana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32 195</w:t>
            </w:r>
          </w:p>
        </w:tc>
      </w:tr>
      <w:tr w:rsidR="00E464B2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informācijas sistēmu uzturēšanai un servisu garantijas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pagarinājumiem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126 205 = EUR 32 195</w:t>
            </w:r>
            <w:r w:rsidRPr="00323725">
              <w:rPr>
                <w:rFonts w:ascii="Times New Roman" w:hAnsi="Times New Roman"/>
              </w:rPr>
              <w:t>.</w:t>
            </w:r>
          </w:p>
          <w:p w:rsidR="00E464B2" w:rsidRPr="00323725" w:rsidRDefault="00E464B2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E464B2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</w:t>
            </w:r>
            <w:r w:rsidRPr="00323725">
              <w:rPr>
                <w:rStyle w:val="tvhtml"/>
                <w:rFonts w:ascii="Times New Roman" w:hAnsi="Times New Roman"/>
              </w:rPr>
              <w:t>Pārējie informācijas tehnoloģiju pakalpojumi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4 900</w:t>
            </w:r>
          </w:p>
        </w:tc>
      </w:tr>
      <w:tr w:rsidR="00E464B2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sistēmu drošības testiem un portālu dizaina atjaunošanai.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19 209 = EUR 4 900</w:t>
            </w:r>
          </w:p>
          <w:p w:rsidR="00E464B2" w:rsidRPr="00323725" w:rsidRDefault="00E464B2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E464B2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Ēku, telpu īre un noma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18 811</w:t>
            </w:r>
          </w:p>
        </w:tc>
      </w:tr>
      <w:tr w:rsidR="00E464B2" w:rsidRPr="00323725" w:rsidTr="00AF7544">
        <w:trPr>
          <w:trHeight w:val="4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25,51 % no izdevumiem b</w:t>
            </w:r>
            <w:r w:rsidRPr="00323725">
              <w:rPr>
                <w:rFonts w:ascii="Times New Roman" w:hAnsi="Times New Roman"/>
              </w:rPr>
              <w:t>iroja telpu noma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 xml:space="preserve"> Bruņinieku ielā 36, Bruņinieku ielā 41 un A.Čaka ielā 59, Rīgā.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73 739 = EUR 18 811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</w:p>
        </w:tc>
      </w:tr>
      <w:tr w:rsidR="00E464B2" w:rsidRPr="00323725" w:rsidTr="00AF7544">
        <w:trPr>
          <w:trHeight w:val="38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2269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 Pārējā noma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2 823</w:t>
            </w:r>
          </w:p>
        </w:tc>
      </w:tr>
      <w:tr w:rsidR="00E464B2" w:rsidRPr="00323725" w:rsidTr="00AF7544">
        <w:trPr>
          <w:trHeight w:val="3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a</w:t>
            </w:r>
            <w:r w:rsidRPr="00323725">
              <w:rPr>
                <w:rFonts w:ascii="Times New Roman" w:hAnsi="Times New Roman"/>
              </w:rPr>
              <w:t>utostāvvietu noma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 xml:space="preserve"> pagalm</w:t>
            </w:r>
            <w:r>
              <w:rPr>
                <w:rFonts w:ascii="Times New Roman" w:hAnsi="Times New Roman"/>
              </w:rPr>
              <w:t>u</w:t>
            </w:r>
            <w:r w:rsidRPr="00323725">
              <w:rPr>
                <w:rFonts w:ascii="Times New Roman" w:hAnsi="Times New Roman"/>
              </w:rPr>
              <w:t xml:space="preserve"> teritorijā</w:t>
            </w:r>
            <w:r>
              <w:rPr>
                <w:rFonts w:ascii="Times New Roman" w:hAnsi="Times New Roman"/>
              </w:rPr>
              <w:t>s</w:t>
            </w:r>
            <w:r w:rsidRPr="00323725">
              <w:rPr>
                <w:rFonts w:ascii="Times New Roman" w:hAnsi="Times New Roman"/>
              </w:rPr>
              <w:t xml:space="preserve"> Bruņinieku ielā 36 un Bruņinieku ielā 41, Rīgā.</w:t>
            </w:r>
          </w:p>
          <w:p w:rsidR="00E464B2" w:rsidRPr="00323725" w:rsidRDefault="00E464B2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11 067 = EUR 2 823</w:t>
            </w:r>
          </w:p>
        </w:tc>
      </w:tr>
      <w:tr w:rsidR="00E464B2" w:rsidRPr="00323725" w:rsidTr="00AF7544">
        <w:trPr>
          <w:trHeight w:val="38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B2" w:rsidRPr="00323725" w:rsidRDefault="00E464B2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Pārējie iepriekš neklasificētie pakalpojumu veidi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B2" w:rsidRPr="00323725" w:rsidRDefault="00E464B2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7 013</w:t>
            </w:r>
          </w:p>
        </w:tc>
      </w:tr>
      <w:tr w:rsidR="00E464B2" w:rsidRPr="00323725" w:rsidTr="00AF7544">
        <w:trPr>
          <w:trHeight w:val="3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izdevumiem par kursiem un</w:t>
            </w:r>
            <w:r w:rsidRPr="00323725">
              <w:rPr>
                <w:rFonts w:ascii="Times New Roman" w:hAnsi="Times New Roman"/>
              </w:rPr>
              <w:t xml:space="preserve"> semināri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 xml:space="preserve"> IT jomā, grāmatvedības uzskaitē un nodokļu piemērošanā</w:t>
            </w:r>
            <w:r>
              <w:rPr>
                <w:rFonts w:ascii="Times New Roman" w:hAnsi="Times New Roman"/>
              </w:rPr>
              <w:t>, biedru naudām</w:t>
            </w:r>
          </w:p>
          <w:p w:rsidR="00E464B2" w:rsidRPr="00323725" w:rsidRDefault="00E464B2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27 490 = EUR 7 013</w:t>
            </w:r>
          </w:p>
        </w:tc>
      </w:tr>
    </w:tbl>
    <w:p w:rsidR="00E464B2" w:rsidRDefault="00E464B2" w:rsidP="00674267"/>
    <w:tbl>
      <w:tblPr>
        <w:tblW w:w="9322" w:type="dxa"/>
        <w:tblLook w:val="04A0" w:firstRow="1" w:lastRow="0" w:firstColumn="1" w:lastColumn="0" w:noHBand="0" w:noVBand="1"/>
      </w:tblPr>
      <w:tblGrid>
        <w:gridCol w:w="1991"/>
        <w:gridCol w:w="102"/>
        <w:gridCol w:w="3867"/>
        <w:gridCol w:w="102"/>
        <w:gridCol w:w="3260"/>
      </w:tblGrid>
      <w:tr w:rsidR="00413AFB" w:rsidRPr="00323725" w:rsidTr="00AF7544">
        <w:trPr>
          <w:trHeight w:val="4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>Summa EUR</w:t>
            </w:r>
          </w:p>
        </w:tc>
      </w:tr>
      <w:tr w:rsidR="00413AFB" w:rsidRPr="00323725" w:rsidTr="00AF7544">
        <w:trPr>
          <w:trHeight w:val="40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 Krājumi, materiāli, energoresursi, preces, biroja preces un inventārs, kurus neuzskaita kodā 5000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011DC3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13 853</w:t>
            </w:r>
          </w:p>
        </w:tc>
      </w:tr>
      <w:tr w:rsidR="00413AFB" w:rsidRPr="00323725" w:rsidTr="00AF7544">
        <w:trPr>
          <w:trHeight w:val="40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Biroja preces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5 466</w:t>
            </w:r>
          </w:p>
        </w:tc>
      </w:tr>
      <w:tr w:rsidR="00413AFB" w:rsidRPr="00323725" w:rsidTr="00AF7544">
        <w:trPr>
          <w:trHeight w:val="40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p</w:t>
            </w:r>
            <w:r w:rsidRPr="00323725">
              <w:rPr>
                <w:rFonts w:ascii="Times New Roman" w:hAnsi="Times New Roman"/>
              </w:rPr>
              <w:t>apīr</w:t>
            </w:r>
            <w:r>
              <w:rPr>
                <w:rFonts w:ascii="Times New Roman" w:hAnsi="Times New Roman"/>
              </w:rPr>
              <w:t>am</w:t>
            </w:r>
            <w:r w:rsidRPr="00323725">
              <w:rPr>
                <w:rFonts w:ascii="Times New Roman" w:hAnsi="Times New Roman"/>
              </w:rPr>
              <w:t>, toneri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CD d</w:t>
            </w:r>
            <w:r w:rsidRPr="00323725">
              <w:rPr>
                <w:rFonts w:ascii="Times New Roman" w:hAnsi="Times New Roman"/>
              </w:rPr>
              <w:t>isk</w:t>
            </w:r>
            <w:r>
              <w:rPr>
                <w:rFonts w:ascii="Times New Roman" w:hAnsi="Times New Roman"/>
              </w:rPr>
              <w:t>iem</w:t>
            </w:r>
            <w:r w:rsidRPr="00323725">
              <w:rPr>
                <w:rFonts w:ascii="Times New Roman" w:hAnsi="Times New Roman"/>
              </w:rPr>
              <w:t>, rakstāmpiederum</w:t>
            </w:r>
            <w:r>
              <w:rPr>
                <w:rFonts w:ascii="Times New Roman" w:hAnsi="Times New Roman"/>
              </w:rPr>
              <w:t>iem</w:t>
            </w:r>
            <w:r w:rsidRPr="00323725">
              <w:rPr>
                <w:rFonts w:ascii="Times New Roman" w:hAnsi="Times New Roman"/>
              </w:rPr>
              <w:t xml:space="preserve"> u.c. kancelejas prec</w:t>
            </w:r>
            <w:r>
              <w:rPr>
                <w:rFonts w:ascii="Times New Roman" w:hAnsi="Times New Roman"/>
              </w:rPr>
              <w:t>ēm</w:t>
            </w:r>
            <w:r w:rsidRPr="00323725">
              <w:rPr>
                <w:rFonts w:ascii="Times New Roman" w:hAnsi="Times New Roman"/>
              </w:rPr>
              <w:t>.</w:t>
            </w:r>
          </w:p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0,2551 x EUR 21 428 = EUR 5 466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413AFB" w:rsidRPr="00323725" w:rsidTr="00AF7544">
        <w:trPr>
          <w:trHeight w:val="47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Inventārs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3 434</w:t>
            </w:r>
          </w:p>
        </w:tc>
      </w:tr>
      <w:tr w:rsidR="00413AFB" w:rsidRPr="00323725" w:rsidTr="00AF7544">
        <w:trPr>
          <w:trHeight w:val="47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inventāram un citiem priekšmetiem</w:t>
            </w:r>
            <w:r w:rsidRPr="00323725">
              <w:rPr>
                <w:rFonts w:ascii="Times New Roman" w:hAnsi="Times New Roman"/>
              </w:rPr>
              <w:t>, kuru vērtība ir zem EUR 213,43.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13 460 = EUR 3 434</w:t>
            </w:r>
          </w:p>
        </w:tc>
      </w:tr>
      <w:tr w:rsidR="00413AFB" w:rsidRPr="00323725" w:rsidTr="00AF7544">
        <w:trPr>
          <w:trHeight w:val="68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2322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Degviela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3 501</w:t>
            </w:r>
          </w:p>
        </w:tc>
      </w:tr>
      <w:tr w:rsidR="00413AFB" w:rsidRPr="00323725" w:rsidTr="00AF7544">
        <w:trPr>
          <w:trHeight w:val="6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b</w:t>
            </w:r>
            <w:r w:rsidRPr="00323725">
              <w:rPr>
                <w:rFonts w:ascii="Times New Roman" w:hAnsi="Times New Roman"/>
              </w:rPr>
              <w:t>enzīn</w:t>
            </w:r>
            <w:r>
              <w:rPr>
                <w:rFonts w:ascii="Times New Roman" w:hAnsi="Times New Roman"/>
              </w:rPr>
              <w:t>am</w:t>
            </w:r>
            <w:r w:rsidRPr="00323725">
              <w:rPr>
                <w:rFonts w:ascii="Times New Roman" w:hAnsi="Times New Roman"/>
              </w:rPr>
              <w:t xml:space="preserve"> un dīzeļdegviela</w:t>
            </w:r>
            <w:r>
              <w:rPr>
                <w:rFonts w:ascii="Times New Roman" w:hAnsi="Times New Roman"/>
              </w:rPr>
              <w:t>i</w:t>
            </w:r>
            <w:r w:rsidRPr="00323725">
              <w:rPr>
                <w:rFonts w:ascii="Times New Roman" w:hAnsi="Times New Roman"/>
              </w:rPr>
              <w:t xml:space="preserve"> uzņēmuma vieglajam autotransporta un </w:t>
            </w:r>
            <w:r>
              <w:rPr>
                <w:rFonts w:ascii="Times New Roman" w:hAnsi="Times New Roman"/>
              </w:rPr>
              <w:t>dīzeļģeneratora ekspluatācijai</w:t>
            </w:r>
            <w:r w:rsidRPr="00323725">
              <w:rPr>
                <w:rFonts w:ascii="Times New Roman" w:hAnsi="Times New Roman"/>
              </w:rPr>
              <w:t xml:space="preserve"> 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13 724 = EUR 3 501</w:t>
            </w:r>
          </w:p>
        </w:tc>
      </w:tr>
      <w:tr w:rsidR="00413AFB" w:rsidRPr="00323725" w:rsidTr="00AF7544">
        <w:trPr>
          <w:trHeight w:val="68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Kārtējā remonta un iestāžu uzturēšanas materiāli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1 452</w:t>
            </w:r>
          </w:p>
        </w:tc>
      </w:tr>
      <w:tr w:rsidR="00413AFB" w:rsidRPr="00323725" w:rsidTr="00AF7544">
        <w:trPr>
          <w:trHeight w:val="6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s</w:t>
            </w:r>
            <w:r w:rsidRPr="00323725">
              <w:rPr>
                <w:rFonts w:ascii="Times New Roman" w:hAnsi="Times New Roman"/>
              </w:rPr>
              <w:t>anitāri higiēnisk</w:t>
            </w:r>
            <w:r>
              <w:rPr>
                <w:rFonts w:ascii="Times New Roman" w:hAnsi="Times New Roman"/>
              </w:rPr>
              <w:t>ajiem</w:t>
            </w:r>
            <w:r w:rsidRPr="00323725">
              <w:rPr>
                <w:rFonts w:ascii="Times New Roman" w:hAnsi="Times New Roman"/>
              </w:rPr>
              <w:t xml:space="preserve"> materiāli</w:t>
            </w:r>
            <w:r>
              <w:rPr>
                <w:rFonts w:ascii="Times New Roman" w:hAnsi="Times New Roman"/>
              </w:rPr>
              <w:t>em</w:t>
            </w:r>
            <w:r w:rsidRPr="00323725">
              <w:rPr>
                <w:rFonts w:ascii="Times New Roman" w:hAnsi="Times New Roman"/>
              </w:rPr>
              <w:t>, saimniecības prec</w:t>
            </w:r>
            <w:r>
              <w:rPr>
                <w:rFonts w:ascii="Times New Roman" w:hAnsi="Times New Roman"/>
              </w:rPr>
              <w:t>ēm</w:t>
            </w:r>
            <w:r w:rsidRPr="00323725">
              <w:rPr>
                <w:rFonts w:ascii="Times New Roman" w:hAnsi="Times New Roman"/>
              </w:rPr>
              <w:t>, u.c. iepriekšējo gadu līmenī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5 691 = EUR 1 452</w:t>
            </w:r>
          </w:p>
        </w:tc>
      </w:tr>
      <w:tr w:rsidR="00011DC3" w:rsidRPr="00323725" w:rsidTr="00011DC3">
        <w:trPr>
          <w:trHeight w:val="68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C3" w:rsidRPr="00011DC3" w:rsidRDefault="00011DC3" w:rsidP="00011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1DC3">
              <w:rPr>
                <w:rFonts w:ascii="Times New Roman" w:hAnsi="Times New Roman"/>
                <w:sz w:val="24"/>
                <w:szCs w:val="24"/>
              </w:rPr>
              <w:t>2800 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C3" w:rsidRDefault="00DD5DEF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Pakalpojumi, kurus budžeta iestādes apmaksā noteikto funkciju ietvaros, kas nav iestādes administratīvie izdevumi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C3" w:rsidRDefault="00011DC3" w:rsidP="00011DC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17 206</w:t>
            </w:r>
          </w:p>
        </w:tc>
      </w:tr>
      <w:tr w:rsidR="00011DC3" w:rsidRPr="00323725" w:rsidTr="00AF7544">
        <w:trPr>
          <w:trHeight w:val="6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DEF" w:rsidRDefault="00DD5DEF" w:rsidP="00DD5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žurnāla „Jurista Vārds” drukāšanai un ekspedīcijai, kā arī tiesību zinātnei veltītu grāmatu drukāšanai.</w:t>
            </w:r>
          </w:p>
          <w:p w:rsidR="00011DC3" w:rsidRDefault="00DD5DEF" w:rsidP="00DD5DE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67 450 = EUR 17 206</w:t>
            </w:r>
          </w:p>
        </w:tc>
      </w:tr>
    </w:tbl>
    <w:p w:rsidR="00011DC3" w:rsidRDefault="00011DC3" w:rsidP="00674267"/>
    <w:p w:rsidR="00674267" w:rsidRPr="00443B3D" w:rsidRDefault="00674267" w:rsidP="00531438">
      <w:pPr>
        <w:rPr>
          <w:sz w:val="24"/>
          <w:szCs w:val="24"/>
        </w:rPr>
      </w:pPr>
      <w:r w:rsidRPr="00443B3D">
        <w:rPr>
          <w:rFonts w:ascii="Times New Roman" w:hAnsi="Times New Roman"/>
          <w:sz w:val="24"/>
          <w:szCs w:val="24"/>
        </w:rPr>
        <w:t>EKK 5000. Kapitālie izdevumi 47 500 EUR</w:t>
      </w:r>
    </w:p>
    <w:p w:rsidR="00674267" w:rsidRDefault="00674267" w:rsidP="00674267"/>
    <w:tbl>
      <w:tblPr>
        <w:tblW w:w="9322" w:type="dxa"/>
        <w:tblLook w:val="04A0" w:firstRow="1" w:lastRow="0" w:firstColumn="1" w:lastColumn="0" w:noHBand="0" w:noVBand="1"/>
      </w:tblPr>
      <w:tblGrid>
        <w:gridCol w:w="1991"/>
        <w:gridCol w:w="29"/>
        <w:gridCol w:w="3940"/>
        <w:gridCol w:w="1803"/>
        <w:gridCol w:w="1559"/>
      </w:tblGrid>
      <w:tr w:rsidR="00413AFB" w:rsidRPr="00323725" w:rsidTr="00AF7544">
        <w:trPr>
          <w:trHeight w:val="31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lang w:eastAsia="lv-LV"/>
              </w:rPr>
              <w:t>Summa EUR</w:t>
            </w:r>
          </w:p>
        </w:tc>
      </w:tr>
      <w:tr w:rsidR="00413AFB" w:rsidRPr="00323725" w:rsidTr="00AF7544">
        <w:trPr>
          <w:trHeight w:val="68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</w:rPr>
            </w:pPr>
            <w:r w:rsidRPr="00323725">
              <w:rPr>
                <w:rFonts w:ascii="Times New Roman" w:hAnsi="Times New Roman"/>
              </w:rPr>
              <w:t>Nemateriālie ieguldījumi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5 989</w:t>
            </w:r>
          </w:p>
        </w:tc>
      </w:tr>
      <w:tr w:rsidR="00413AFB" w:rsidRPr="00323725" w:rsidTr="00AF7544">
        <w:trPr>
          <w:trHeight w:val="68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5121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hAnsi="Times New Roman"/>
                <w:sz w:val="24"/>
                <w:szCs w:val="24"/>
              </w:rPr>
            </w:pPr>
            <w:r w:rsidRPr="00323725">
              <w:rPr>
                <w:rFonts w:ascii="Times New Roman" w:hAnsi="Times New Roman"/>
              </w:rPr>
              <w:t> Datorprogrammas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5 989</w:t>
            </w:r>
          </w:p>
        </w:tc>
      </w:tr>
      <w:tr w:rsidR="00413AFB" w:rsidRPr="00323725" w:rsidTr="00AF7544">
        <w:trPr>
          <w:trHeight w:val="6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Default="00413AFB" w:rsidP="00531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25,51% no izdevumiem s</w:t>
            </w:r>
            <w:r w:rsidRPr="00323725">
              <w:rPr>
                <w:rFonts w:ascii="Times New Roman" w:hAnsi="Times New Roman"/>
              </w:rPr>
              <w:t>tandarta</w:t>
            </w:r>
            <w:r>
              <w:rPr>
                <w:rFonts w:ascii="Times New Roman" w:hAnsi="Times New Roman"/>
              </w:rPr>
              <w:t xml:space="preserve"> un speciālās</w:t>
            </w:r>
            <w:r w:rsidRPr="00323725">
              <w:rPr>
                <w:rFonts w:ascii="Times New Roman" w:hAnsi="Times New Roman"/>
              </w:rPr>
              <w:t xml:space="preserve"> programmatūra</w:t>
            </w:r>
            <w:r>
              <w:rPr>
                <w:rFonts w:ascii="Times New Roman" w:hAnsi="Times New Roman"/>
              </w:rPr>
              <w:t>s iegādei.</w:t>
            </w:r>
          </w:p>
          <w:p w:rsidR="00413AFB" w:rsidRPr="00323725" w:rsidRDefault="00413AFB" w:rsidP="00531438">
            <w:pPr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</w:rPr>
              <w:t>0,2551 x EUR 23 478 = EUR 5 989</w:t>
            </w:r>
          </w:p>
        </w:tc>
      </w:tr>
      <w:tr w:rsidR="00413AFB" w:rsidRPr="00323725" w:rsidTr="00AF7544">
        <w:trPr>
          <w:trHeight w:val="31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323725" w:rsidRDefault="00413AFB" w:rsidP="0053143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23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AFB" w:rsidRPr="00323725" w:rsidRDefault="00413AFB" w:rsidP="00531438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41 511</w:t>
            </w:r>
          </w:p>
        </w:tc>
      </w:tr>
      <w:tr w:rsidR="00413AFB" w:rsidRPr="00323725" w:rsidTr="00AF7544">
        <w:trPr>
          <w:trHeight w:val="6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FB" w:rsidRPr="00102E03" w:rsidRDefault="00413AFB" w:rsidP="00531438">
            <w:pPr>
              <w:jc w:val="lef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25,51</w:t>
            </w:r>
            <w:r w:rsidRPr="00102E03">
              <w:rPr>
                <w:rFonts w:ascii="Times New Roman" w:hAnsi="Times New Roman"/>
              </w:rPr>
              <w:t xml:space="preserve"> % no izdevumiem ikgadējai </w:t>
            </w:r>
            <w:r>
              <w:rPr>
                <w:rFonts w:ascii="Times New Roman" w:hAnsi="Times New Roman"/>
              </w:rPr>
              <w:t xml:space="preserve">datortehnikas un citu pamatlīdzekļu </w:t>
            </w:r>
            <w:r w:rsidRPr="00102E03">
              <w:rPr>
                <w:rFonts w:ascii="Times New Roman" w:hAnsi="Times New Roman"/>
              </w:rPr>
              <w:t>atjaunošanai</w:t>
            </w:r>
          </w:p>
          <w:p w:rsidR="00413AFB" w:rsidRDefault="00413AFB" w:rsidP="00531438">
            <w:pPr>
              <w:jc w:val="lef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0,2551 x EUR 162 724 = EUR 41 511</w:t>
            </w:r>
          </w:p>
          <w:p w:rsidR="00413AFB" w:rsidRPr="00323725" w:rsidRDefault="00413AFB" w:rsidP="00531438">
            <w:pPr>
              <w:jc w:val="left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674267" w:rsidRDefault="00674267" w:rsidP="00674267"/>
    <w:p w:rsidR="008321E5" w:rsidRDefault="008321E5" w:rsidP="00674267"/>
    <w:p w:rsidR="008321E5" w:rsidRDefault="008321E5" w:rsidP="00674267"/>
    <w:p w:rsidR="008321E5" w:rsidRDefault="008321E5" w:rsidP="00674267"/>
    <w:p w:rsidR="008321E5" w:rsidRPr="008321E5" w:rsidRDefault="008321E5" w:rsidP="008321E5">
      <w:pPr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8321E5" w:rsidRPr="008321E5" w:rsidRDefault="008321E5" w:rsidP="008321E5">
      <w:pPr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>Iesniedzējs:</w:t>
      </w:r>
    </w:p>
    <w:p w:rsidR="008321E5" w:rsidRPr="008321E5" w:rsidRDefault="00AE5EC4" w:rsidP="008321E5">
      <w:pPr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tieslietu ministrs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8321E5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Dzintars Rasnačs</w:t>
      </w:r>
    </w:p>
    <w:p w:rsidR="008321E5" w:rsidRPr="008321E5" w:rsidRDefault="008321E5" w:rsidP="008321E5">
      <w:pPr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8321E5" w:rsidRPr="008321E5" w:rsidRDefault="008321E5" w:rsidP="008321E5">
      <w:pPr>
        <w:jc w:val="left"/>
        <w:rPr>
          <w:rFonts w:ascii="Times New Roman" w:eastAsiaTheme="minorHAnsi" w:hAnsi="Times New Roman"/>
        </w:rPr>
      </w:pPr>
    </w:p>
    <w:p w:rsidR="008321E5" w:rsidRPr="008321E5" w:rsidRDefault="008321E5" w:rsidP="008321E5">
      <w:pPr>
        <w:jc w:val="left"/>
        <w:rPr>
          <w:rFonts w:ascii="Times New Roman" w:eastAsiaTheme="minorHAnsi" w:hAnsi="Times New Roman"/>
        </w:rPr>
      </w:pPr>
    </w:p>
    <w:p w:rsidR="008321E5" w:rsidRPr="008321E5" w:rsidRDefault="00200FA4" w:rsidP="008321E5">
      <w:pPr>
        <w:jc w:val="left"/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  <w:t>13.02.2015. 8</w:t>
      </w:r>
      <w:r w:rsidR="008321E5"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  <w:t>08</w:t>
      </w:r>
      <w:bookmarkStart w:id="0" w:name="_GoBack"/>
      <w:bookmarkEnd w:id="0"/>
    </w:p>
    <w:p w:rsidR="008321E5" w:rsidRPr="008321E5" w:rsidRDefault="00AE5EC4" w:rsidP="008321E5">
      <w:pPr>
        <w:jc w:val="left"/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  <w:t>1251</w:t>
      </w:r>
    </w:p>
    <w:p w:rsidR="008321E5" w:rsidRPr="008321E5" w:rsidRDefault="008321E5" w:rsidP="008321E5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 Ramute</w:t>
      </w:r>
    </w:p>
    <w:p w:rsidR="008321E5" w:rsidRPr="008321E5" w:rsidRDefault="008321E5" w:rsidP="008321E5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bookmarkStart w:id="1" w:name="OLE_LINK3"/>
      <w:bookmarkStart w:id="2" w:name="OLE_LINK4"/>
      <w:r w:rsidRPr="008321E5">
        <w:rPr>
          <w:rFonts w:ascii="Times New Roman" w:hAnsi="Times New Roman"/>
          <w:sz w:val="20"/>
          <w:szCs w:val="20"/>
        </w:rPr>
        <w:t>67036</w:t>
      </w:r>
      <w:r>
        <w:rPr>
          <w:rFonts w:ascii="Times New Roman" w:hAnsi="Times New Roman"/>
          <w:sz w:val="20"/>
          <w:szCs w:val="20"/>
        </w:rPr>
        <w:t>749</w:t>
      </w:r>
      <w:r w:rsidRPr="008321E5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3E1817">
          <w:rPr>
            <w:rStyle w:val="Hipersaite"/>
            <w:rFonts w:ascii="Times New Roman" w:hAnsi="Times New Roman"/>
            <w:sz w:val="20"/>
            <w:szCs w:val="20"/>
          </w:rPr>
          <w:t>Elita.Ramute@tm.gov.lv</w:t>
        </w:r>
      </w:hyperlink>
      <w:bookmarkEnd w:id="1"/>
      <w:bookmarkEnd w:id="2"/>
    </w:p>
    <w:p w:rsidR="008321E5" w:rsidRPr="008321E5" w:rsidRDefault="008321E5" w:rsidP="008321E5">
      <w:pPr>
        <w:jc w:val="left"/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</w:pPr>
    </w:p>
    <w:p w:rsidR="008321E5" w:rsidRDefault="008321E5" w:rsidP="008321E5">
      <w:pPr>
        <w:jc w:val="left"/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</w:pPr>
    </w:p>
    <w:p w:rsidR="008321E5" w:rsidRPr="008321E5" w:rsidRDefault="008321E5" w:rsidP="008321E5">
      <w:pPr>
        <w:jc w:val="left"/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</w:pPr>
      <w:r w:rsidRPr="008321E5">
        <w:rPr>
          <w:rFonts w:ascii="Times New Roman" w:eastAsiaTheme="minorHAnsi" w:hAnsi="Times New Roman"/>
          <w:color w:val="000000" w:themeColor="text1"/>
          <w:sz w:val="20"/>
          <w:szCs w:val="20"/>
          <w:shd w:val="clear" w:color="auto" w:fill="FFFFFF"/>
        </w:rPr>
        <w:t xml:space="preserve">E.Timpare, </w:t>
      </w:r>
    </w:p>
    <w:p w:rsidR="008321E5" w:rsidRDefault="008321E5" w:rsidP="00531438">
      <w:pPr>
        <w:jc w:val="left"/>
      </w:pPr>
      <w:r w:rsidRPr="008321E5"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67036829, </w:t>
      </w:r>
      <w:hyperlink r:id="rId9" w:history="1">
        <w:r w:rsidRPr="008321E5">
          <w:rPr>
            <w:rFonts w:ascii="Times New Roman" w:eastAsiaTheme="minorHAnsi" w:hAnsi="Times New Roman"/>
            <w:color w:val="574636"/>
            <w:sz w:val="20"/>
            <w:szCs w:val="20"/>
            <w:shd w:val="clear" w:color="auto" w:fill="FFFFFF"/>
          </w:rPr>
          <w:t>Evija.Timpare@tm.gov.lv</w:t>
        </w:r>
      </w:hyperlink>
      <w:r>
        <w:rPr>
          <w:rFonts w:ascii="Times New Roman" w:eastAsiaTheme="minorHAnsi" w:hAnsi="Times New Roman"/>
          <w:sz w:val="20"/>
          <w:szCs w:val="20"/>
          <w:shd w:val="clear" w:color="auto" w:fill="FFFFFF"/>
        </w:rPr>
        <w:t xml:space="preserve"> </w:t>
      </w:r>
    </w:p>
    <w:sectPr w:rsidR="008321E5" w:rsidSect="00DB7D3C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26" w:rsidRDefault="002C1526" w:rsidP="0068286F">
      <w:r>
        <w:separator/>
      </w:r>
    </w:p>
    <w:p w:rsidR="00C84355" w:rsidRDefault="00C84355"/>
    <w:p w:rsidR="00C84355" w:rsidRDefault="00C84355"/>
    <w:p w:rsidR="00C84355" w:rsidRDefault="00C84355"/>
  </w:endnote>
  <w:endnote w:type="continuationSeparator" w:id="0">
    <w:p w:rsidR="002C1526" w:rsidRDefault="002C1526" w:rsidP="0068286F">
      <w:r>
        <w:continuationSeparator/>
      </w:r>
    </w:p>
    <w:p w:rsidR="00C84355" w:rsidRDefault="00C84355"/>
    <w:p w:rsidR="00C84355" w:rsidRDefault="00C84355"/>
    <w:p w:rsidR="00C84355" w:rsidRDefault="00C84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6F" w:rsidRDefault="006D20C6" w:rsidP="006D20C6">
    <w:pPr>
      <w:pStyle w:val="Kjene"/>
    </w:pPr>
    <w:r>
      <w:rPr>
        <w:rFonts w:ascii="Times New Roman" w:hAnsi="Times New Roman"/>
        <w:sz w:val="20"/>
        <w:szCs w:val="20"/>
      </w:rPr>
      <w:t>TMA</w:t>
    </w:r>
    <w:r w:rsidRPr="00571BA3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</w:t>
    </w:r>
    <w:r w:rsidRPr="00571BA3">
      <w:rPr>
        <w:rFonts w:ascii="Times New Roman" w:hAnsi="Times New Roman"/>
        <w:sz w:val="20"/>
        <w:szCs w:val="20"/>
      </w:rPr>
      <w:t>_</w:t>
    </w:r>
    <w:r w:rsidR="00200FA4">
      <w:rPr>
        <w:rFonts w:ascii="Times New Roman" w:hAnsi="Times New Roman"/>
        <w:sz w:val="20"/>
        <w:szCs w:val="20"/>
      </w:rPr>
      <w:t>13</w:t>
    </w:r>
    <w:r w:rsidR="00246B1A">
      <w:rPr>
        <w:rFonts w:ascii="Times New Roman" w:hAnsi="Times New Roman"/>
        <w:sz w:val="20"/>
        <w:szCs w:val="20"/>
      </w:rPr>
      <w:t>02</w:t>
    </w:r>
    <w:r w:rsidR="00DB7D3C">
      <w:rPr>
        <w:rFonts w:ascii="Times New Roman" w:hAnsi="Times New Roman"/>
        <w:sz w:val="20"/>
        <w:szCs w:val="20"/>
      </w:rPr>
      <w:t>15</w:t>
    </w:r>
    <w:r w:rsidRPr="00571BA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CPLizsoles</w:t>
    </w:r>
    <w:r w:rsidRPr="00571BA3">
      <w:rPr>
        <w:rFonts w:ascii="Times New Roman" w:hAnsi="Times New Roman"/>
        <w:sz w:val="20"/>
        <w:szCs w:val="20"/>
      </w:rPr>
      <w:t xml:space="preserve">; Likumprojekta „Grozījumi </w:t>
    </w:r>
    <w:r>
      <w:rPr>
        <w:rFonts w:ascii="Times New Roman" w:hAnsi="Times New Roman"/>
        <w:sz w:val="20"/>
        <w:szCs w:val="20"/>
      </w:rPr>
      <w:t xml:space="preserve">Civilprocesa </w:t>
    </w:r>
    <w:r w:rsidRPr="00571BA3">
      <w:rPr>
        <w:rFonts w:ascii="Times New Roman" w:hAnsi="Times New Roman"/>
        <w:sz w:val="20"/>
        <w:szCs w:val="20"/>
      </w:rPr>
      <w:t>likumā” sākotnēj</w:t>
    </w:r>
    <w:r>
      <w:rPr>
        <w:rFonts w:ascii="Times New Roman" w:hAnsi="Times New Roman"/>
        <w:sz w:val="20"/>
        <w:szCs w:val="20"/>
      </w:rPr>
      <w:t>ās ietekmes novērtējuma ziņojuma</w:t>
    </w:r>
    <w:r w:rsidRPr="00571BA3">
      <w:rPr>
        <w:rFonts w:ascii="Times New Roman" w:hAnsi="Times New Roman"/>
        <w:sz w:val="20"/>
        <w:szCs w:val="20"/>
      </w:rPr>
      <w:t xml:space="preserve"> (anotācija</w:t>
    </w:r>
    <w:r>
      <w:rPr>
        <w:rFonts w:ascii="Times New Roman" w:hAnsi="Times New Roman"/>
        <w:sz w:val="20"/>
        <w:szCs w:val="20"/>
      </w:rPr>
      <w:t>s</w:t>
    </w:r>
    <w:r w:rsidRPr="00571BA3"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 xml:space="preserve">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45" w:rsidRDefault="00544645">
    <w:pPr>
      <w:pStyle w:val="Kjene"/>
    </w:pPr>
    <w:r>
      <w:rPr>
        <w:rFonts w:ascii="Times New Roman" w:hAnsi="Times New Roman"/>
        <w:sz w:val="20"/>
        <w:szCs w:val="20"/>
      </w:rPr>
      <w:t>TMA</w:t>
    </w:r>
    <w:r w:rsidRPr="00571BA3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</w:t>
    </w:r>
    <w:r w:rsidRPr="00571BA3">
      <w:rPr>
        <w:rFonts w:ascii="Times New Roman" w:hAnsi="Times New Roman"/>
        <w:sz w:val="20"/>
        <w:szCs w:val="20"/>
      </w:rPr>
      <w:t>_</w:t>
    </w:r>
    <w:r w:rsidR="00200FA4">
      <w:rPr>
        <w:rFonts w:ascii="Times New Roman" w:hAnsi="Times New Roman"/>
        <w:sz w:val="20"/>
        <w:szCs w:val="20"/>
      </w:rPr>
      <w:t>13</w:t>
    </w:r>
    <w:r w:rsidR="00246B1A">
      <w:rPr>
        <w:rFonts w:ascii="Times New Roman" w:hAnsi="Times New Roman"/>
        <w:sz w:val="20"/>
        <w:szCs w:val="20"/>
      </w:rPr>
      <w:t>02</w:t>
    </w:r>
    <w:r w:rsidR="00DB7D3C">
      <w:rPr>
        <w:rFonts w:ascii="Times New Roman" w:hAnsi="Times New Roman"/>
        <w:sz w:val="20"/>
        <w:szCs w:val="20"/>
      </w:rPr>
      <w:t>15</w:t>
    </w:r>
    <w:r w:rsidRPr="00571BA3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CPLizsoles</w:t>
    </w:r>
    <w:r w:rsidRPr="00571BA3">
      <w:rPr>
        <w:rFonts w:ascii="Times New Roman" w:hAnsi="Times New Roman"/>
        <w:sz w:val="20"/>
        <w:szCs w:val="20"/>
      </w:rPr>
      <w:t xml:space="preserve">; Likumprojekta „Grozījumi </w:t>
    </w:r>
    <w:r>
      <w:rPr>
        <w:rFonts w:ascii="Times New Roman" w:hAnsi="Times New Roman"/>
        <w:sz w:val="20"/>
        <w:szCs w:val="20"/>
      </w:rPr>
      <w:t xml:space="preserve">Civilprocesa </w:t>
    </w:r>
    <w:r w:rsidRPr="00571BA3">
      <w:rPr>
        <w:rFonts w:ascii="Times New Roman" w:hAnsi="Times New Roman"/>
        <w:sz w:val="20"/>
        <w:szCs w:val="20"/>
      </w:rPr>
      <w:t>likumā” sākotnēj</w:t>
    </w:r>
    <w:r>
      <w:rPr>
        <w:rFonts w:ascii="Times New Roman" w:hAnsi="Times New Roman"/>
        <w:sz w:val="20"/>
        <w:szCs w:val="20"/>
      </w:rPr>
      <w:t>ās ietekmes novērtējuma ziņojuma</w:t>
    </w:r>
    <w:r w:rsidRPr="00571BA3">
      <w:rPr>
        <w:rFonts w:ascii="Times New Roman" w:hAnsi="Times New Roman"/>
        <w:sz w:val="20"/>
        <w:szCs w:val="20"/>
      </w:rPr>
      <w:t xml:space="preserve"> (anotācija</w:t>
    </w:r>
    <w:r>
      <w:rPr>
        <w:rFonts w:ascii="Times New Roman" w:hAnsi="Times New Roman"/>
        <w:sz w:val="20"/>
        <w:szCs w:val="20"/>
      </w:rPr>
      <w:t>s</w:t>
    </w:r>
    <w:r w:rsidRPr="00571BA3"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26" w:rsidRDefault="002C1526" w:rsidP="0068286F">
      <w:r>
        <w:separator/>
      </w:r>
    </w:p>
    <w:p w:rsidR="00C84355" w:rsidRDefault="00C84355"/>
    <w:p w:rsidR="00C84355" w:rsidRDefault="00C84355"/>
    <w:p w:rsidR="00C84355" w:rsidRDefault="00C84355"/>
  </w:footnote>
  <w:footnote w:type="continuationSeparator" w:id="0">
    <w:p w:rsidR="002C1526" w:rsidRDefault="002C1526" w:rsidP="0068286F">
      <w:r>
        <w:continuationSeparator/>
      </w:r>
    </w:p>
    <w:p w:rsidR="00C84355" w:rsidRDefault="00C84355"/>
    <w:p w:rsidR="00C84355" w:rsidRDefault="00C84355"/>
    <w:p w:rsidR="00C84355" w:rsidRDefault="00C84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13922"/>
      <w:docPartObj>
        <w:docPartGallery w:val="Page Numbers (Top of Page)"/>
        <w:docPartUnique/>
      </w:docPartObj>
    </w:sdtPr>
    <w:sdtEndPr/>
    <w:sdtContent>
      <w:p w:rsidR="006D20C6" w:rsidRDefault="006D20C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A4">
          <w:rPr>
            <w:noProof/>
          </w:rPr>
          <w:t>5</w:t>
        </w:r>
        <w:r>
          <w:fldChar w:fldCharType="end"/>
        </w:r>
      </w:p>
    </w:sdtContent>
  </w:sdt>
  <w:p w:rsidR="006D20C6" w:rsidRDefault="006D20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67"/>
    <w:rsid w:val="00011DC3"/>
    <w:rsid w:val="0005394C"/>
    <w:rsid w:val="001D386B"/>
    <w:rsid w:val="00200FA4"/>
    <w:rsid w:val="00246B1A"/>
    <w:rsid w:val="002C1526"/>
    <w:rsid w:val="00413AFB"/>
    <w:rsid w:val="00443B3D"/>
    <w:rsid w:val="00531438"/>
    <w:rsid w:val="00544645"/>
    <w:rsid w:val="0062365E"/>
    <w:rsid w:val="0063532D"/>
    <w:rsid w:val="00674267"/>
    <w:rsid w:val="0068286F"/>
    <w:rsid w:val="006D20C6"/>
    <w:rsid w:val="0074069A"/>
    <w:rsid w:val="008047EC"/>
    <w:rsid w:val="008321E5"/>
    <w:rsid w:val="00836662"/>
    <w:rsid w:val="008F7934"/>
    <w:rsid w:val="00AE5EC4"/>
    <w:rsid w:val="00AF7544"/>
    <w:rsid w:val="00C6040B"/>
    <w:rsid w:val="00C84355"/>
    <w:rsid w:val="00DB7D3C"/>
    <w:rsid w:val="00DD5DEF"/>
    <w:rsid w:val="00E464B2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42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vhtml">
    <w:name w:val="tv_html"/>
    <w:rsid w:val="00674267"/>
  </w:style>
  <w:style w:type="paragraph" w:styleId="Balonteksts">
    <w:name w:val="Balloon Text"/>
    <w:basedOn w:val="Parasts"/>
    <w:link w:val="BalontekstsRakstz"/>
    <w:uiPriority w:val="99"/>
    <w:semiHidden/>
    <w:unhideWhenUsed/>
    <w:rsid w:val="00413A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3AFB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828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286F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8286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286F"/>
    <w:rPr>
      <w:rFonts w:ascii="Calibri" w:eastAsia="Calibri" w:hAnsi="Calibri" w:cs="Times New Roman"/>
    </w:rPr>
  </w:style>
  <w:style w:type="character" w:styleId="Hipersaite">
    <w:name w:val="Hyperlink"/>
    <w:rsid w:val="00832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42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vhtml">
    <w:name w:val="tv_html"/>
    <w:rsid w:val="00674267"/>
  </w:style>
  <w:style w:type="paragraph" w:styleId="Balonteksts">
    <w:name w:val="Balloon Text"/>
    <w:basedOn w:val="Parasts"/>
    <w:link w:val="BalontekstsRakstz"/>
    <w:uiPriority w:val="99"/>
    <w:semiHidden/>
    <w:unhideWhenUsed/>
    <w:rsid w:val="00413AF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3AFB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828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286F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8286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286F"/>
    <w:rPr>
      <w:rFonts w:ascii="Calibri" w:eastAsia="Calibri" w:hAnsi="Calibri" w:cs="Times New Roman"/>
    </w:rPr>
  </w:style>
  <w:style w:type="character" w:styleId="Hipersaite">
    <w:name w:val="Hyperlink"/>
    <w:rsid w:val="0083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a.Ramute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Timpare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6038-A9E3-4C62-9E93-30525843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5580</Words>
  <Characters>3181</Characters>
  <Application>Microsoft Office Word</Application>
  <DocSecurity>4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likumprojekta „Grozījumi Civilprocesa likumā” sākotnējās ietekmes novērtējuma ziņojums (anotācija)</vt:lpstr>
    </vt:vector>
  </TitlesOfParts>
  <Manager>Inita.Ilgaza@tm.gov.lv</Manager>
  <Company>Tieslietu ministrija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Civilprocesa likumā” sākotnējās ietekmes novērtējuma ziņojuma (anotācijas) pielikums</dc:title>
  <dc:creator>Elita.Ramute@TM.GOV.LV;Evija.Timpare@TM.GOV.LV</dc:creator>
  <dc:description>E. Ramute
67036749, Elita.Ramute@tm.gov.lv
E.Timpare, 
67036829, Evija.Timpare@tm.gov.lv</dc:description>
  <cp:lastModifiedBy>Evija Timpare</cp:lastModifiedBy>
  <cp:revision>2</cp:revision>
  <cp:lastPrinted>2014-12-22T12:52:00Z</cp:lastPrinted>
  <dcterms:created xsi:type="dcterms:W3CDTF">2015-02-13T06:08:00Z</dcterms:created>
  <dcterms:modified xsi:type="dcterms:W3CDTF">2015-02-13T06:08:00Z</dcterms:modified>
</cp:coreProperties>
</file>