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A9" w:rsidRPr="00A616B8" w:rsidRDefault="00330DA8"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w:t>
      </w:r>
      <w:r w:rsidR="00F10315" w:rsidRPr="00A616B8">
        <w:rPr>
          <w:rFonts w:ascii="Times New Roman" w:eastAsia="Times New Roman" w:hAnsi="Times New Roman" w:cs="Times New Roman"/>
          <w:b/>
          <w:bCs/>
          <w:color w:val="414142"/>
          <w:sz w:val="24"/>
          <w:szCs w:val="24"/>
          <w:lang w:eastAsia="lv-LV"/>
        </w:rPr>
        <w:t>ikumpr</w:t>
      </w:r>
      <w:r w:rsidR="00E71777" w:rsidRPr="00A616B8">
        <w:rPr>
          <w:rFonts w:ascii="Times New Roman" w:eastAsia="Times New Roman" w:hAnsi="Times New Roman" w:cs="Times New Roman"/>
          <w:b/>
          <w:bCs/>
          <w:color w:val="414142"/>
          <w:sz w:val="24"/>
          <w:szCs w:val="24"/>
          <w:lang w:eastAsia="lv-LV"/>
        </w:rPr>
        <w:t>ojekta „Grozījumi Informācijas atklātības likumā</w:t>
      </w:r>
      <w:r w:rsidR="00F10315" w:rsidRPr="00A616B8">
        <w:rPr>
          <w:rFonts w:ascii="Times New Roman" w:eastAsia="Times New Roman" w:hAnsi="Times New Roman" w:cs="Times New Roman"/>
          <w:b/>
          <w:bCs/>
          <w:color w:val="414142"/>
          <w:sz w:val="24"/>
          <w:szCs w:val="24"/>
          <w:lang w:eastAsia="lv-LV"/>
        </w:rPr>
        <w:t>”</w:t>
      </w:r>
      <w:r w:rsidR="004D15A9" w:rsidRPr="00A616B8">
        <w:rPr>
          <w:rFonts w:ascii="Times New Roman" w:eastAsia="Times New Roman" w:hAnsi="Times New Roman" w:cs="Times New Roman"/>
          <w:b/>
          <w:bCs/>
          <w:color w:val="414142"/>
          <w:sz w:val="24"/>
          <w:szCs w:val="24"/>
          <w:lang w:eastAsia="lv-LV"/>
        </w:rPr>
        <w:t xml:space="preserve"> sākotnējās ietekmes novērtējuma ziņojums (anotācija)</w:t>
      </w:r>
    </w:p>
    <w:p w:rsidR="00DA596D" w:rsidRPr="00A616B8"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D15A9" w:rsidRPr="00A616B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I. Tiesību akta projekta izstrādes nepieciešamība</w:t>
            </w:r>
          </w:p>
        </w:tc>
      </w:tr>
      <w:tr w:rsidR="004D15A9" w:rsidRPr="00A616B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02066" w:rsidRDefault="00D157B5" w:rsidP="00E511A4">
            <w:pPr>
              <w:spacing w:after="120" w:line="240" w:lineRule="auto"/>
              <w:ind w:firstLine="399"/>
              <w:jc w:val="both"/>
              <w:rPr>
                <w:rFonts w:ascii="Times New Roman" w:eastAsia="Times New Roman" w:hAnsi="Times New Roman" w:cs="Times New Roman"/>
                <w:color w:val="414142"/>
                <w:sz w:val="24"/>
                <w:szCs w:val="24"/>
                <w:lang w:eastAsia="lv-LV"/>
              </w:rPr>
            </w:pPr>
            <w:r w:rsidRPr="00D60C58">
              <w:rPr>
                <w:rFonts w:ascii="Times New Roman" w:hAnsi="Times New Roman" w:cs="Times New Roman"/>
                <w:sz w:val="24"/>
                <w:szCs w:val="24"/>
              </w:rPr>
              <w:t>Likumprojekts „Grozījumi Informācijas atklātība</w:t>
            </w:r>
            <w:r w:rsidR="00F30E7A" w:rsidRPr="00D60C58">
              <w:rPr>
                <w:rFonts w:ascii="Times New Roman" w:hAnsi="Times New Roman" w:cs="Times New Roman"/>
                <w:sz w:val="24"/>
                <w:szCs w:val="24"/>
              </w:rPr>
              <w:t>s likumā”</w:t>
            </w:r>
            <w:r w:rsidR="000B62CA" w:rsidRPr="00D60C58">
              <w:rPr>
                <w:rFonts w:ascii="Times New Roman" w:hAnsi="Times New Roman" w:cs="Times New Roman"/>
                <w:sz w:val="24"/>
                <w:szCs w:val="24"/>
              </w:rPr>
              <w:t xml:space="preserve"> (turpmāk – likumprojekts)</w:t>
            </w:r>
            <w:r w:rsidR="00F30E7A" w:rsidRPr="00D60C58">
              <w:rPr>
                <w:rFonts w:ascii="Times New Roman" w:hAnsi="Times New Roman" w:cs="Times New Roman"/>
                <w:sz w:val="24"/>
                <w:szCs w:val="24"/>
              </w:rPr>
              <w:t xml:space="preserve"> izstrādāts, lai </w:t>
            </w:r>
            <w:r w:rsidR="00D45C7F">
              <w:rPr>
                <w:rFonts w:ascii="Times New Roman" w:hAnsi="Times New Roman" w:cs="Times New Roman"/>
                <w:sz w:val="24"/>
                <w:szCs w:val="24"/>
              </w:rPr>
              <w:t xml:space="preserve">pārņemtu prasības, </w:t>
            </w:r>
            <w:r w:rsidR="00D02066">
              <w:rPr>
                <w:rFonts w:ascii="Times New Roman" w:hAnsi="Times New Roman" w:cs="Times New Roman"/>
                <w:sz w:val="24"/>
                <w:szCs w:val="24"/>
              </w:rPr>
              <w:t xml:space="preserve">kas izriet no </w:t>
            </w:r>
            <w:hyperlink r:id="rId8" w:history="1">
              <w:r w:rsidR="00D02066" w:rsidRPr="00B0268B">
                <w:rPr>
                  <w:rStyle w:val="Hyperlink"/>
                  <w:rFonts w:ascii="Times New Roman" w:hAnsi="Times New Roman" w:cs="Times New Roman"/>
                  <w:sz w:val="24"/>
                  <w:szCs w:val="24"/>
                </w:rPr>
                <w:t>Eiropas Parlamenta un</w:t>
              </w:r>
              <w:r w:rsidR="00166925">
                <w:rPr>
                  <w:rStyle w:val="Hyperlink"/>
                  <w:rFonts w:ascii="Times New Roman" w:hAnsi="Times New Roman" w:cs="Times New Roman"/>
                  <w:sz w:val="24"/>
                  <w:szCs w:val="24"/>
                </w:rPr>
                <w:t xml:space="preserve"> p</w:t>
              </w:r>
              <w:r w:rsidR="00D02066" w:rsidRPr="00B0268B">
                <w:rPr>
                  <w:rStyle w:val="Hyperlink"/>
                  <w:rFonts w:ascii="Times New Roman" w:hAnsi="Times New Roman" w:cs="Times New Roman"/>
                  <w:sz w:val="24"/>
                  <w:szCs w:val="24"/>
                </w:rPr>
                <w:t xml:space="preserve">adomes 2013. gada 26. jūnija Direktīvas 2013/37/ES, ar ko groza Direktīvu 2003/98/EK par valsts sektora informācijas </w:t>
              </w:r>
              <w:proofErr w:type="spellStart"/>
              <w:r w:rsidR="00D02066" w:rsidRPr="00B0268B">
                <w:rPr>
                  <w:rStyle w:val="Hyperlink"/>
                  <w:rFonts w:ascii="Times New Roman" w:hAnsi="Times New Roman" w:cs="Times New Roman"/>
                  <w:sz w:val="24"/>
                  <w:szCs w:val="24"/>
                </w:rPr>
                <w:t>atkalizmantošanu</w:t>
              </w:r>
              <w:proofErr w:type="spellEnd"/>
            </w:hyperlink>
            <w:r w:rsidR="00D02066">
              <w:rPr>
                <w:rFonts w:ascii="Times New Roman" w:hAnsi="Times New Roman" w:cs="Times New Roman"/>
                <w:sz w:val="24"/>
                <w:szCs w:val="24"/>
              </w:rPr>
              <w:t xml:space="preserve"> (turpmāk – Direktīva 2013/37/ES) prasībām, </w:t>
            </w:r>
            <w:hyperlink r:id="rId9" w:history="1">
              <w:r w:rsidR="00D02066" w:rsidRPr="005610A7">
                <w:rPr>
                  <w:rStyle w:val="Hyperlink"/>
                  <w:rFonts w:ascii="Times New Roman" w:hAnsi="Times New Roman" w:cs="Times New Roman"/>
                  <w:sz w:val="24"/>
                  <w:szCs w:val="24"/>
                </w:rPr>
                <w:t>Informācijas atklātības likumā</w:t>
              </w:r>
            </w:hyperlink>
            <w:r w:rsidR="00D02066">
              <w:rPr>
                <w:rFonts w:ascii="Times New Roman" w:hAnsi="Times New Roman" w:cs="Times New Roman"/>
                <w:sz w:val="24"/>
                <w:szCs w:val="24"/>
              </w:rPr>
              <w:t>.</w:t>
            </w:r>
          </w:p>
        </w:tc>
      </w:tr>
      <w:tr w:rsidR="004D15A9" w:rsidRPr="00A616B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913C7"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4D15A9" w:rsidRPr="000913C7" w:rsidRDefault="004D15A9" w:rsidP="000913C7">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EB3C0F" w:rsidRDefault="00EB3C0F" w:rsidP="00EB3C0F">
            <w:pPr>
              <w:pStyle w:val="NoSpacing"/>
              <w:ind w:firstLine="399"/>
              <w:jc w:val="both"/>
              <w:rPr>
                <w:rFonts w:ascii="Times New Roman" w:hAnsi="Times New Roman" w:cs="Times New Roman"/>
                <w:sz w:val="24"/>
                <w:szCs w:val="24"/>
              </w:rPr>
            </w:pPr>
            <w:r w:rsidRPr="00C50B45">
              <w:rPr>
                <w:rFonts w:ascii="Times New Roman" w:hAnsi="Times New Roman" w:cs="Times New Roman"/>
                <w:sz w:val="24"/>
                <w:szCs w:val="24"/>
              </w:rPr>
              <w:t>Direktīva 2013/37/ES stājās spēkā 2013.</w:t>
            </w:r>
            <w:r w:rsidR="003B6B8C">
              <w:rPr>
                <w:rFonts w:ascii="Times New Roman" w:hAnsi="Times New Roman" w:cs="Times New Roman"/>
                <w:sz w:val="24"/>
                <w:szCs w:val="24"/>
              </w:rPr>
              <w:t> </w:t>
            </w:r>
            <w:r w:rsidRPr="00C50B45">
              <w:rPr>
                <w:rFonts w:ascii="Times New Roman" w:hAnsi="Times New Roman" w:cs="Times New Roman"/>
                <w:sz w:val="24"/>
                <w:szCs w:val="24"/>
              </w:rPr>
              <w:t>gada 26.</w:t>
            </w:r>
            <w:r w:rsidR="003B6B8C">
              <w:rPr>
                <w:rFonts w:ascii="Times New Roman" w:hAnsi="Times New Roman" w:cs="Times New Roman"/>
                <w:sz w:val="24"/>
                <w:szCs w:val="24"/>
              </w:rPr>
              <w:t> </w:t>
            </w:r>
            <w:r w:rsidRPr="00C50B45">
              <w:rPr>
                <w:rFonts w:ascii="Times New Roman" w:hAnsi="Times New Roman" w:cs="Times New Roman"/>
                <w:sz w:val="24"/>
                <w:szCs w:val="24"/>
              </w:rPr>
              <w:t>jūnijā. Tās mērķis ir uzlabot esošo Eiropas Savienības normatīvo regulējumu</w:t>
            </w:r>
            <w:r w:rsidR="00D45C7F">
              <w:rPr>
                <w:rFonts w:ascii="Times New Roman" w:hAnsi="Times New Roman" w:cs="Times New Roman"/>
                <w:sz w:val="24"/>
                <w:szCs w:val="24"/>
              </w:rPr>
              <w:t>,</w:t>
            </w:r>
            <w:r w:rsidRPr="00C50B45">
              <w:rPr>
                <w:rFonts w:ascii="Times New Roman" w:hAnsi="Times New Roman" w:cs="Times New Roman"/>
                <w:sz w:val="24"/>
                <w:szCs w:val="24"/>
              </w:rPr>
              <w:t xml:space="preserve"> </w:t>
            </w:r>
            <w:r>
              <w:rPr>
                <w:rFonts w:ascii="Times New Roman" w:hAnsi="Times New Roman" w:cs="Times New Roman"/>
                <w:sz w:val="24"/>
                <w:szCs w:val="24"/>
              </w:rPr>
              <w:t xml:space="preserve">nosakot </w:t>
            </w:r>
            <w:r w:rsidRPr="00C50B45">
              <w:rPr>
                <w:rFonts w:ascii="Times New Roman" w:hAnsi="Times New Roman" w:cs="Times New Roman"/>
                <w:sz w:val="24"/>
                <w:szCs w:val="24"/>
              </w:rPr>
              <w:t xml:space="preserve">skaidru pienākumu dalībvalstīm visus dokumentus atzīt par </w:t>
            </w:r>
            <w:proofErr w:type="spellStart"/>
            <w:r w:rsidRPr="00C50B45">
              <w:rPr>
                <w:rFonts w:ascii="Times New Roman" w:hAnsi="Times New Roman" w:cs="Times New Roman"/>
                <w:sz w:val="24"/>
                <w:szCs w:val="24"/>
              </w:rPr>
              <w:t>atkalizmantojamiem</w:t>
            </w:r>
            <w:proofErr w:type="spellEnd"/>
            <w:r w:rsidRPr="00C50B45">
              <w:rPr>
                <w:rFonts w:ascii="Times New Roman" w:hAnsi="Times New Roman" w:cs="Times New Roman"/>
                <w:sz w:val="24"/>
                <w:szCs w:val="24"/>
              </w:rPr>
              <w:t xml:space="preserve">, ja vien piekļuve tiem netiek ierobežota vai liegta saskaņā ar valsts noteikumiem par piekļuvi </w:t>
            </w:r>
            <w:r w:rsidRPr="00166925">
              <w:rPr>
                <w:rFonts w:ascii="Times New Roman" w:hAnsi="Times New Roman" w:cs="Times New Roman"/>
                <w:sz w:val="24"/>
                <w:szCs w:val="24"/>
              </w:rPr>
              <w:t xml:space="preserve">dokumentiem un saskaņā ar citiem izņēmumiem, kas paredzēti </w:t>
            </w:r>
            <w:hyperlink r:id="rId10" w:history="1">
              <w:r w:rsidR="00B0268B" w:rsidRPr="00166925">
                <w:rPr>
                  <w:rStyle w:val="Hyperlink"/>
                  <w:rFonts w:ascii="Times New Roman" w:hAnsi="Times New Roman" w:cs="Times New Roman"/>
                  <w:sz w:val="24"/>
                  <w:szCs w:val="24"/>
                </w:rPr>
                <w:t xml:space="preserve">Eiropas Parlamenta un padomes 2003. gada 17. novembra Direktīvā 2003/98/EK par valsts sektora informācijas </w:t>
              </w:r>
              <w:proofErr w:type="spellStart"/>
              <w:r w:rsidR="00B0268B" w:rsidRPr="00166925">
                <w:rPr>
                  <w:rStyle w:val="Hyperlink"/>
                  <w:rFonts w:ascii="Times New Roman" w:hAnsi="Times New Roman" w:cs="Times New Roman"/>
                  <w:sz w:val="24"/>
                  <w:szCs w:val="24"/>
                </w:rPr>
                <w:t>atkalizmantošanu</w:t>
              </w:r>
              <w:proofErr w:type="spellEnd"/>
            </w:hyperlink>
            <w:r w:rsidR="00B0268B" w:rsidRPr="00166925">
              <w:rPr>
                <w:rFonts w:ascii="Times New Roman" w:hAnsi="Times New Roman" w:cs="Times New Roman"/>
                <w:sz w:val="24"/>
                <w:szCs w:val="24"/>
              </w:rPr>
              <w:t xml:space="preserve"> (turpmāk – Direktīva 2003/98/EK) </w:t>
            </w:r>
            <w:r w:rsidR="00F55C81" w:rsidRPr="00166925">
              <w:rPr>
                <w:rFonts w:ascii="Times New Roman" w:hAnsi="Times New Roman" w:cs="Times New Roman"/>
                <w:sz w:val="24"/>
                <w:szCs w:val="24"/>
              </w:rPr>
              <w:t>un</w:t>
            </w:r>
            <w:r w:rsidRPr="00166925">
              <w:rPr>
                <w:rFonts w:ascii="Times New Roman" w:hAnsi="Times New Roman" w:cs="Times New Roman"/>
                <w:sz w:val="24"/>
                <w:szCs w:val="24"/>
              </w:rPr>
              <w:t xml:space="preserve"> </w:t>
            </w:r>
            <w:r w:rsidR="00D45C7F" w:rsidRPr="00166925">
              <w:rPr>
                <w:rFonts w:ascii="Times New Roman" w:hAnsi="Times New Roman" w:cs="Times New Roman"/>
                <w:sz w:val="24"/>
                <w:szCs w:val="24"/>
              </w:rPr>
              <w:t>D</w:t>
            </w:r>
            <w:r w:rsidRPr="00166925">
              <w:rPr>
                <w:rFonts w:ascii="Times New Roman" w:hAnsi="Times New Roman" w:cs="Times New Roman"/>
                <w:sz w:val="24"/>
                <w:szCs w:val="24"/>
              </w:rPr>
              <w:t>irektīvā</w:t>
            </w:r>
            <w:r w:rsidR="004E27A2" w:rsidRPr="00166925">
              <w:rPr>
                <w:rFonts w:ascii="Times New Roman" w:hAnsi="Times New Roman" w:cs="Times New Roman"/>
                <w:sz w:val="24"/>
                <w:szCs w:val="24"/>
              </w:rPr>
              <w:t xml:space="preserve"> 2013/37/ES</w:t>
            </w:r>
            <w:r w:rsidRPr="00166925">
              <w:rPr>
                <w:rFonts w:ascii="Times New Roman" w:hAnsi="Times New Roman" w:cs="Times New Roman"/>
                <w:sz w:val="24"/>
                <w:szCs w:val="24"/>
              </w:rPr>
              <w:t xml:space="preserve">. </w:t>
            </w:r>
            <w:r w:rsidR="003B6B8C" w:rsidRPr="00166925">
              <w:rPr>
                <w:rFonts w:ascii="Times New Roman" w:hAnsi="Times New Roman" w:cs="Times New Roman"/>
                <w:sz w:val="24"/>
                <w:szCs w:val="24"/>
              </w:rPr>
              <w:t>D</w:t>
            </w:r>
            <w:r w:rsidR="00F55C81" w:rsidRPr="00166925">
              <w:rPr>
                <w:rFonts w:ascii="Times New Roman" w:hAnsi="Times New Roman" w:cs="Times New Roman"/>
                <w:sz w:val="24"/>
                <w:szCs w:val="24"/>
              </w:rPr>
              <w:t>irektīvā 2013/37/ES</w:t>
            </w:r>
            <w:r w:rsidR="003B6B8C" w:rsidRPr="00166925">
              <w:rPr>
                <w:rFonts w:ascii="Times New Roman" w:hAnsi="Times New Roman" w:cs="Times New Roman"/>
                <w:sz w:val="24"/>
                <w:szCs w:val="24"/>
              </w:rPr>
              <w:t xml:space="preserve"> </w:t>
            </w:r>
            <w:r w:rsidR="00F55C81" w:rsidRPr="00166925">
              <w:rPr>
                <w:rFonts w:ascii="Times New Roman" w:hAnsi="Times New Roman" w:cs="Times New Roman"/>
                <w:sz w:val="24"/>
                <w:szCs w:val="24"/>
              </w:rPr>
              <w:t>v</w:t>
            </w:r>
            <w:r w:rsidRPr="00166925">
              <w:rPr>
                <w:rFonts w:ascii="Times New Roman" w:hAnsi="Times New Roman" w:cs="Times New Roman"/>
                <w:sz w:val="24"/>
                <w:szCs w:val="24"/>
              </w:rPr>
              <w:t>eikto grozījumu mērķis</w:t>
            </w:r>
            <w:r w:rsidRPr="00C50B45">
              <w:rPr>
                <w:rFonts w:ascii="Times New Roman" w:hAnsi="Times New Roman" w:cs="Times New Roman"/>
                <w:sz w:val="24"/>
                <w:szCs w:val="24"/>
              </w:rPr>
              <w:t xml:space="preserve"> nav definēt vai mainīt dalībvalstīs noteiktos ierobežotas piekļuves informācijas aizsardzības principus, kas paliek to kompetencē. Dalībvalstīm ir pienākums Direktīv</w:t>
            </w:r>
            <w:r w:rsidR="00F55C81">
              <w:rPr>
                <w:rFonts w:ascii="Times New Roman" w:hAnsi="Times New Roman" w:cs="Times New Roman"/>
                <w:sz w:val="24"/>
                <w:szCs w:val="24"/>
              </w:rPr>
              <w:t>as</w:t>
            </w:r>
            <w:r w:rsidRPr="00C50B45">
              <w:rPr>
                <w:rFonts w:ascii="Times New Roman" w:hAnsi="Times New Roman" w:cs="Times New Roman"/>
                <w:sz w:val="24"/>
                <w:szCs w:val="24"/>
              </w:rPr>
              <w:t xml:space="preserve"> 2013/37/ES </w:t>
            </w:r>
            <w:r w:rsidR="00F55C81">
              <w:rPr>
                <w:rFonts w:ascii="Times New Roman" w:hAnsi="Times New Roman" w:cs="Times New Roman"/>
                <w:sz w:val="24"/>
                <w:szCs w:val="24"/>
              </w:rPr>
              <w:t xml:space="preserve">prasības </w:t>
            </w:r>
            <w:r w:rsidRPr="00C50B45">
              <w:rPr>
                <w:rFonts w:ascii="Times New Roman" w:hAnsi="Times New Roman" w:cs="Times New Roman"/>
                <w:sz w:val="24"/>
                <w:szCs w:val="24"/>
              </w:rPr>
              <w:t xml:space="preserve">pārņemt </w:t>
            </w:r>
            <w:r w:rsidR="003B6B8C">
              <w:rPr>
                <w:rFonts w:ascii="Times New Roman" w:hAnsi="Times New Roman" w:cs="Times New Roman"/>
                <w:sz w:val="24"/>
                <w:szCs w:val="24"/>
              </w:rPr>
              <w:t>valsts tiesību aktos</w:t>
            </w:r>
            <w:r w:rsidR="003B6B8C" w:rsidRPr="00C50B45">
              <w:rPr>
                <w:rFonts w:ascii="Times New Roman" w:hAnsi="Times New Roman" w:cs="Times New Roman"/>
                <w:sz w:val="24"/>
                <w:szCs w:val="24"/>
              </w:rPr>
              <w:t xml:space="preserve"> </w:t>
            </w:r>
            <w:r w:rsidRPr="00C50B45">
              <w:rPr>
                <w:rFonts w:ascii="Times New Roman" w:hAnsi="Times New Roman" w:cs="Times New Roman"/>
                <w:sz w:val="24"/>
                <w:szCs w:val="24"/>
              </w:rPr>
              <w:t>līdz 2015.</w:t>
            </w:r>
            <w:r w:rsidR="00531E05">
              <w:rPr>
                <w:rFonts w:ascii="Times New Roman" w:hAnsi="Times New Roman" w:cs="Times New Roman"/>
                <w:sz w:val="24"/>
                <w:szCs w:val="24"/>
              </w:rPr>
              <w:t> g</w:t>
            </w:r>
            <w:r w:rsidRPr="00C50B45">
              <w:rPr>
                <w:rFonts w:ascii="Times New Roman" w:hAnsi="Times New Roman" w:cs="Times New Roman"/>
                <w:sz w:val="24"/>
                <w:szCs w:val="24"/>
              </w:rPr>
              <w:t>ada 18.</w:t>
            </w:r>
            <w:r w:rsidR="003B6B8C">
              <w:rPr>
                <w:rFonts w:ascii="Times New Roman" w:hAnsi="Times New Roman" w:cs="Times New Roman"/>
                <w:sz w:val="24"/>
                <w:szCs w:val="24"/>
              </w:rPr>
              <w:t> </w:t>
            </w:r>
            <w:r w:rsidRPr="00C50B45">
              <w:rPr>
                <w:rFonts w:ascii="Times New Roman" w:hAnsi="Times New Roman" w:cs="Times New Roman"/>
                <w:sz w:val="24"/>
                <w:szCs w:val="24"/>
              </w:rPr>
              <w:t>jūlijam.</w:t>
            </w:r>
          </w:p>
          <w:p w:rsidR="003B6B8C" w:rsidRDefault="003B6B8C" w:rsidP="003B6B8C">
            <w:pPr>
              <w:pStyle w:val="NoSpacing"/>
              <w:jc w:val="both"/>
              <w:rPr>
                <w:rFonts w:ascii="Times New Roman" w:hAnsi="Times New Roman" w:cs="Times New Roman"/>
                <w:sz w:val="24"/>
                <w:szCs w:val="24"/>
              </w:rPr>
            </w:pPr>
          </w:p>
          <w:p w:rsidR="00EB3C0F" w:rsidRPr="00C50B45" w:rsidRDefault="00EB3C0F" w:rsidP="00EB3C0F">
            <w:pPr>
              <w:pStyle w:val="NoSpacing"/>
              <w:jc w:val="both"/>
              <w:rPr>
                <w:rFonts w:ascii="Times New Roman" w:hAnsi="Times New Roman" w:cs="Times New Roman"/>
                <w:sz w:val="24"/>
                <w:szCs w:val="24"/>
              </w:rPr>
            </w:pPr>
            <w:r w:rsidRPr="00C50B45">
              <w:rPr>
                <w:rFonts w:ascii="Times New Roman" w:hAnsi="Times New Roman" w:cs="Times New Roman"/>
                <w:sz w:val="24"/>
                <w:szCs w:val="24"/>
              </w:rPr>
              <w:t xml:space="preserve">Izvērtējot </w:t>
            </w:r>
            <w:r w:rsidR="00D45C7F">
              <w:rPr>
                <w:rFonts w:ascii="Times New Roman" w:hAnsi="Times New Roman" w:cs="Times New Roman"/>
                <w:sz w:val="24"/>
                <w:szCs w:val="24"/>
              </w:rPr>
              <w:t>Informācijas atklātības likuma (turpmāk – IAL)</w:t>
            </w:r>
            <w:r w:rsidR="003B6B8C">
              <w:rPr>
                <w:rFonts w:ascii="Times New Roman" w:hAnsi="Times New Roman" w:cs="Times New Roman"/>
                <w:sz w:val="24"/>
                <w:szCs w:val="24"/>
              </w:rPr>
              <w:t> </w:t>
            </w:r>
            <w:r w:rsidR="00F55C81">
              <w:rPr>
                <w:rFonts w:ascii="Times New Roman" w:hAnsi="Times New Roman" w:cs="Times New Roman"/>
                <w:sz w:val="24"/>
                <w:szCs w:val="24"/>
              </w:rPr>
              <w:t>normu</w:t>
            </w:r>
            <w:r w:rsidRPr="00C50B45">
              <w:rPr>
                <w:rFonts w:ascii="Times New Roman" w:hAnsi="Times New Roman" w:cs="Times New Roman"/>
                <w:sz w:val="24"/>
                <w:szCs w:val="24"/>
              </w:rPr>
              <w:t xml:space="preserve"> atbilstību Direktīvas 2013/37/ES normām, secinā</w:t>
            </w:r>
            <w:r w:rsidR="00F55C81">
              <w:rPr>
                <w:rFonts w:ascii="Times New Roman" w:hAnsi="Times New Roman" w:cs="Times New Roman"/>
                <w:sz w:val="24"/>
                <w:szCs w:val="24"/>
              </w:rPr>
              <w:t>ms</w:t>
            </w:r>
            <w:r w:rsidRPr="00C50B45">
              <w:rPr>
                <w:rFonts w:ascii="Times New Roman" w:hAnsi="Times New Roman" w:cs="Times New Roman"/>
                <w:sz w:val="24"/>
                <w:szCs w:val="24"/>
              </w:rPr>
              <w:t xml:space="preserve">, ka nepieciešamas </w:t>
            </w:r>
            <w:r w:rsidR="00F55C81">
              <w:rPr>
                <w:rFonts w:ascii="Times New Roman" w:hAnsi="Times New Roman" w:cs="Times New Roman"/>
                <w:sz w:val="24"/>
                <w:szCs w:val="24"/>
              </w:rPr>
              <w:t xml:space="preserve">veikt </w:t>
            </w:r>
            <w:r w:rsidRPr="00C50B45">
              <w:rPr>
                <w:rFonts w:ascii="Times New Roman" w:hAnsi="Times New Roman" w:cs="Times New Roman"/>
                <w:sz w:val="24"/>
                <w:szCs w:val="24"/>
              </w:rPr>
              <w:t>šād</w:t>
            </w:r>
            <w:r w:rsidR="00385F90">
              <w:rPr>
                <w:rFonts w:ascii="Times New Roman" w:hAnsi="Times New Roman" w:cs="Times New Roman"/>
                <w:sz w:val="24"/>
                <w:szCs w:val="24"/>
              </w:rPr>
              <w:t>us grozījumus</w:t>
            </w:r>
            <w:r w:rsidRPr="00C50B45">
              <w:rPr>
                <w:rFonts w:ascii="Times New Roman" w:hAnsi="Times New Roman" w:cs="Times New Roman"/>
                <w:sz w:val="24"/>
                <w:szCs w:val="24"/>
              </w:rPr>
              <w:t xml:space="preserve"> IAL:</w:t>
            </w:r>
          </w:p>
          <w:p w:rsidR="008C3E42" w:rsidRDefault="008C3E42" w:rsidP="000913C7">
            <w:pPr>
              <w:pStyle w:val="NoSpacing"/>
              <w:numPr>
                <w:ilvl w:val="0"/>
                <w:numId w:val="11"/>
              </w:numPr>
              <w:spacing w:before="120"/>
              <w:ind w:left="257" w:firstLine="283"/>
              <w:jc w:val="both"/>
              <w:rPr>
                <w:rFonts w:ascii="Times New Roman" w:hAnsi="Times New Roman" w:cs="Times New Roman"/>
                <w:sz w:val="24"/>
                <w:szCs w:val="24"/>
              </w:rPr>
            </w:pPr>
            <w:r w:rsidRPr="004E20A3">
              <w:rPr>
                <w:rFonts w:ascii="Times New Roman" w:hAnsi="Times New Roman" w:cs="Times New Roman"/>
                <w:sz w:val="24"/>
                <w:szCs w:val="24"/>
              </w:rPr>
              <w:t>Direktīvas 2013/37/ES 1.</w:t>
            </w:r>
            <w:r>
              <w:rPr>
                <w:rFonts w:ascii="Times New Roman" w:hAnsi="Times New Roman" w:cs="Times New Roman"/>
                <w:sz w:val="24"/>
                <w:szCs w:val="24"/>
              </w:rPr>
              <w:t> </w:t>
            </w:r>
            <w:r w:rsidRPr="004E20A3">
              <w:rPr>
                <w:rFonts w:ascii="Times New Roman" w:hAnsi="Times New Roman" w:cs="Times New Roman"/>
                <w:sz w:val="24"/>
                <w:szCs w:val="24"/>
              </w:rPr>
              <w:t>pants ir papildināts nosakot jaunas definīcijas: „mašīnlasāms formāts”, „atvērts formāts”, „formāls atvērts standarts”, „universitāte”.</w:t>
            </w:r>
          </w:p>
          <w:p w:rsidR="000160BC" w:rsidRDefault="008C3E42" w:rsidP="000913C7">
            <w:pPr>
              <w:pStyle w:val="NoSpacing"/>
              <w:ind w:left="257" w:firstLine="283"/>
              <w:jc w:val="both"/>
              <w:rPr>
                <w:rFonts w:ascii="Times New Roman" w:hAnsi="Times New Roman" w:cs="Times New Roman"/>
                <w:sz w:val="24"/>
                <w:szCs w:val="24"/>
              </w:rPr>
            </w:pPr>
            <w:r w:rsidRPr="004E20A3">
              <w:rPr>
                <w:rFonts w:ascii="Times New Roman" w:hAnsi="Times New Roman" w:cs="Times New Roman"/>
                <w:sz w:val="24"/>
                <w:szCs w:val="24"/>
              </w:rPr>
              <w:t>Tādēļ nepieciešams papildināt IAL 1.</w:t>
            </w:r>
            <w:r>
              <w:rPr>
                <w:rFonts w:ascii="Times New Roman" w:hAnsi="Times New Roman" w:cs="Times New Roman"/>
                <w:sz w:val="24"/>
                <w:szCs w:val="24"/>
              </w:rPr>
              <w:t> </w:t>
            </w:r>
            <w:r w:rsidRPr="004E20A3">
              <w:rPr>
                <w:rFonts w:ascii="Times New Roman" w:hAnsi="Times New Roman" w:cs="Times New Roman"/>
                <w:sz w:val="24"/>
                <w:szCs w:val="24"/>
              </w:rPr>
              <w:t>pantu ar terminu „mašīnlasāms formāts”, „atvērts formāts”, „atvērts standarts” skaidrojumu.</w:t>
            </w:r>
          </w:p>
          <w:p w:rsidR="008C3E42" w:rsidRDefault="008C3E42" w:rsidP="000913C7">
            <w:pPr>
              <w:pStyle w:val="NoSpacing"/>
              <w:ind w:left="257" w:firstLine="283"/>
              <w:jc w:val="both"/>
              <w:rPr>
                <w:rFonts w:ascii="Times New Roman" w:hAnsi="Times New Roman" w:cs="Times New Roman"/>
                <w:sz w:val="24"/>
                <w:szCs w:val="24"/>
              </w:rPr>
            </w:pPr>
            <w:r>
              <w:rPr>
                <w:rFonts w:ascii="Times New Roman" w:hAnsi="Times New Roman" w:cs="Times New Roman"/>
                <w:sz w:val="24"/>
                <w:szCs w:val="24"/>
              </w:rPr>
              <w:t>L</w:t>
            </w:r>
            <w:r w:rsidRPr="004E20A3">
              <w:rPr>
                <w:rFonts w:ascii="Times New Roman" w:hAnsi="Times New Roman" w:cs="Times New Roman"/>
                <w:sz w:val="24"/>
                <w:szCs w:val="24"/>
              </w:rPr>
              <w:t xml:space="preserve">ai skaidrotu terminoloģiju, kas tiek lietota Direktīvā 2003/98/EK un Direktīvā 2013/37/ES un likumprojektā, </w:t>
            </w:r>
            <w:r>
              <w:rPr>
                <w:rFonts w:ascii="Times New Roman" w:hAnsi="Times New Roman" w:cs="Times New Roman"/>
                <w:sz w:val="24"/>
                <w:szCs w:val="24"/>
              </w:rPr>
              <w:t>IAL</w:t>
            </w:r>
            <w:r w:rsidRPr="004E20A3">
              <w:rPr>
                <w:rFonts w:ascii="Times New Roman" w:hAnsi="Times New Roman" w:cs="Times New Roman"/>
                <w:sz w:val="24"/>
                <w:szCs w:val="24"/>
              </w:rPr>
              <w:t xml:space="preserve"> </w:t>
            </w:r>
            <w:r w:rsidR="00281E78" w:rsidRPr="004E20A3">
              <w:rPr>
                <w:rFonts w:ascii="Times New Roman" w:hAnsi="Times New Roman" w:cs="Times New Roman"/>
                <w:sz w:val="24"/>
                <w:szCs w:val="24"/>
              </w:rPr>
              <w:t>jāpapildina ar terminu</w:t>
            </w:r>
            <w:r w:rsidRPr="004E20A3">
              <w:rPr>
                <w:rFonts w:ascii="Times New Roman" w:hAnsi="Times New Roman" w:cs="Times New Roman"/>
                <w:sz w:val="24"/>
                <w:szCs w:val="24"/>
              </w:rPr>
              <w:t xml:space="preserve"> „</w:t>
            </w:r>
            <w:proofErr w:type="spellStart"/>
            <w:r w:rsidRPr="004E20A3">
              <w:rPr>
                <w:rFonts w:ascii="Times New Roman" w:hAnsi="Times New Roman" w:cs="Times New Roman"/>
                <w:sz w:val="24"/>
                <w:szCs w:val="24"/>
              </w:rPr>
              <w:t>metadati</w:t>
            </w:r>
            <w:proofErr w:type="spellEnd"/>
            <w:r w:rsidRPr="004E20A3">
              <w:rPr>
                <w:rFonts w:ascii="Times New Roman" w:hAnsi="Times New Roman" w:cs="Times New Roman"/>
                <w:sz w:val="24"/>
                <w:szCs w:val="24"/>
              </w:rPr>
              <w:t>”</w:t>
            </w:r>
            <w:r>
              <w:rPr>
                <w:rFonts w:ascii="Times New Roman" w:hAnsi="Times New Roman" w:cs="Times New Roman"/>
                <w:sz w:val="24"/>
                <w:szCs w:val="24"/>
              </w:rPr>
              <w:t>.</w:t>
            </w:r>
          </w:p>
          <w:p w:rsidR="003A5684" w:rsidRPr="00D16EA8" w:rsidRDefault="000160BC" w:rsidP="000913C7">
            <w:pPr>
              <w:pStyle w:val="NoSpacing"/>
              <w:numPr>
                <w:ilvl w:val="0"/>
                <w:numId w:val="11"/>
              </w:numPr>
              <w:spacing w:before="240"/>
              <w:ind w:left="257" w:firstLine="283"/>
              <w:jc w:val="both"/>
              <w:rPr>
                <w:rFonts w:ascii="Times New Roman" w:hAnsi="Times New Roman" w:cs="Times New Roman"/>
                <w:sz w:val="24"/>
                <w:szCs w:val="24"/>
                <w:u w:val="single"/>
              </w:rPr>
            </w:pPr>
            <w:r>
              <w:rPr>
                <w:rFonts w:ascii="Times New Roman" w:hAnsi="Times New Roman" w:cs="Times New Roman"/>
                <w:sz w:val="24"/>
                <w:szCs w:val="24"/>
              </w:rPr>
              <w:t>Ņ</w:t>
            </w:r>
            <w:r w:rsidR="00EB3C0F" w:rsidRPr="00C50B45">
              <w:rPr>
                <w:rFonts w:ascii="Times New Roman" w:hAnsi="Times New Roman" w:cs="Times New Roman"/>
                <w:sz w:val="24"/>
                <w:szCs w:val="24"/>
              </w:rPr>
              <w:t>emot vērā Direktīvas 2013/37/ES 1.</w:t>
            </w:r>
            <w:r w:rsidR="004E20A3">
              <w:rPr>
                <w:rFonts w:ascii="Times New Roman" w:hAnsi="Times New Roman" w:cs="Times New Roman"/>
                <w:sz w:val="24"/>
                <w:szCs w:val="24"/>
              </w:rPr>
              <w:t> </w:t>
            </w:r>
            <w:r w:rsidR="00EB3C0F" w:rsidRPr="00C50B45">
              <w:rPr>
                <w:rFonts w:ascii="Times New Roman" w:hAnsi="Times New Roman" w:cs="Times New Roman"/>
                <w:sz w:val="24"/>
                <w:szCs w:val="24"/>
              </w:rPr>
              <w:t>pantā veiktos būtisk</w:t>
            </w:r>
            <w:r w:rsidR="00EB3C0F">
              <w:rPr>
                <w:rFonts w:ascii="Times New Roman" w:hAnsi="Times New Roman" w:cs="Times New Roman"/>
                <w:sz w:val="24"/>
                <w:szCs w:val="24"/>
              </w:rPr>
              <w:t>os</w:t>
            </w:r>
            <w:r w:rsidR="00EB3C0F" w:rsidRPr="00C50B45">
              <w:rPr>
                <w:rFonts w:ascii="Times New Roman" w:hAnsi="Times New Roman" w:cs="Times New Roman"/>
                <w:sz w:val="24"/>
                <w:szCs w:val="24"/>
              </w:rPr>
              <w:t xml:space="preserve"> grozījumus attiecībā uz </w:t>
            </w:r>
            <w:r w:rsidR="00385F90">
              <w:rPr>
                <w:rFonts w:ascii="Times New Roman" w:hAnsi="Times New Roman" w:cs="Times New Roman"/>
                <w:sz w:val="24"/>
                <w:szCs w:val="24"/>
              </w:rPr>
              <w:t>tās</w:t>
            </w:r>
            <w:r w:rsidR="00EB3C0F" w:rsidRPr="00C50B45">
              <w:rPr>
                <w:rFonts w:ascii="Times New Roman" w:hAnsi="Times New Roman" w:cs="Times New Roman"/>
                <w:sz w:val="24"/>
                <w:szCs w:val="24"/>
              </w:rPr>
              <w:t xml:space="preserve"> piemērošanas jomu, attiecībā uz to, kādu valsts sektora informāciju var nodot </w:t>
            </w:r>
            <w:proofErr w:type="spellStart"/>
            <w:r w:rsidR="00EB3C0F" w:rsidRPr="00C50B45">
              <w:rPr>
                <w:rFonts w:ascii="Times New Roman" w:hAnsi="Times New Roman" w:cs="Times New Roman"/>
                <w:sz w:val="24"/>
                <w:szCs w:val="24"/>
              </w:rPr>
              <w:t>atkalizmantošanai</w:t>
            </w:r>
            <w:proofErr w:type="spellEnd"/>
            <w:r w:rsidR="00AA702A">
              <w:rPr>
                <w:rFonts w:ascii="Times New Roman" w:hAnsi="Times New Roman" w:cs="Times New Roman"/>
                <w:sz w:val="24"/>
                <w:szCs w:val="24"/>
              </w:rPr>
              <w:t xml:space="preserve">, likumprojektā tiek precizēts termins </w:t>
            </w:r>
            <w:r w:rsidR="00AA702A" w:rsidRPr="000913C7">
              <w:rPr>
                <w:rFonts w:ascii="Times New Roman" w:hAnsi="Times New Roman" w:cs="Times New Roman"/>
                <w:sz w:val="24"/>
                <w:szCs w:val="24"/>
              </w:rPr>
              <w:t>„</w:t>
            </w:r>
            <w:proofErr w:type="spellStart"/>
            <w:r w:rsidR="00AA702A" w:rsidRPr="00B710B6">
              <w:rPr>
                <w:rFonts w:ascii="Times New Roman" w:hAnsi="Times New Roman" w:cs="Times New Roman"/>
                <w:sz w:val="24"/>
                <w:szCs w:val="24"/>
              </w:rPr>
              <w:t>atkalizmanošana</w:t>
            </w:r>
            <w:proofErr w:type="spellEnd"/>
            <w:r w:rsidR="00AA702A" w:rsidRPr="000913C7">
              <w:rPr>
                <w:rFonts w:ascii="Times New Roman" w:hAnsi="Times New Roman" w:cs="Times New Roman"/>
                <w:sz w:val="24"/>
                <w:szCs w:val="24"/>
              </w:rPr>
              <w:t>”</w:t>
            </w:r>
            <w:r>
              <w:rPr>
                <w:rFonts w:ascii="Times New Roman" w:hAnsi="Times New Roman" w:cs="Times New Roman"/>
                <w:sz w:val="24"/>
                <w:szCs w:val="24"/>
              </w:rPr>
              <w:t xml:space="preserve"> un </w:t>
            </w:r>
            <w:r w:rsidRPr="000160BC">
              <w:rPr>
                <w:rFonts w:ascii="Times New Roman" w:hAnsi="Times New Roman" w:cs="Times New Roman"/>
                <w:sz w:val="24"/>
                <w:szCs w:val="24"/>
              </w:rPr>
              <w:t>papildinā</w:t>
            </w:r>
            <w:r>
              <w:rPr>
                <w:rFonts w:ascii="Times New Roman" w:hAnsi="Times New Roman" w:cs="Times New Roman"/>
                <w:sz w:val="24"/>
                <w:szCs w:val="24"/>
              </w:rPr>
              <w:t>ts</w:t>
            </w:r>
            <w:r w:rsidRPr="000160BC">
              <w:rPr>
                <w:rFonts w:ascii="Times New Roman" w:hAnsi="Times New Roman" w:cs="Times New Roman"/>
                <w:sz w:val="24"/>
                <w:szCs w:val="24"/>
              </w:rPr>
              <w:t xml:space="preserve"> IAL mērķis, iekļaujot tajā skaidrojumu, ka </w:t>
            </w:r>
            <w:proofErr w:type="spellStart"/>
            <w:r w:rsidRPr="000160BC">
              <w:rPr>
                <w:rFonts w:ascii="Times New Roman" w:hAnsi="Times New Roman" w:cs="Times New Roman"/>
                <w:sz w:val="24"/>
                <w:szCs w:val="24"/>
              </w:rPr>
              <w:t>atkalizmantošana</w:t>
            </w:r>
            <w:proofErr w:type="spellEnd"/>
            <w:r w:rsidRPr="000160BC">
              <w:rPr>
                <w:rFonts w:ascii="Times New Roman" w:hAnsi="Times New Roman" w:cs="Times New Roman"/>
                <w:sz w:val="24"/>
                <w:szCs w:val="24"/>
              </w:rPr>
              <w:t xml:space="preserve"> attiecas tikai uz informāciju, kura ir </w:t>
            </w:r>
            <w:r w:rsidRPr="000160BC">
              <w:rPr>
                <w:rFonts w:ascii="Times New Roman" w:hAnsi="Times New Roman" w:cs="Times New Roman"/>
                <w:sz w:val="24"/>
                <w:szCs w:val="24"/>
              </w:rPr>
              <w:lastRenderedPageBreak/>
              <w:t xml:space="preserve">iestādes rīcībā vai un kuru iestādei atbilstoši tās kompetencei ir pienākums radīt, </w:t>
            </w:r>
            <w:r w:rsidRPr="000913C7">
              <w:rPr>
                <w:rFonts w:ascii="Times New Roman" w:hAnsi="Times New Roman" w:cs="Times New Roman"/>
                <w:sz w:val="24"/>
                <w:szCs w:val="24"/>
                <w:u w:val="single"/>
              </w:rPr>
              <w:t>pildot valsts pārvaldes funkcijas un uzdevumus.</w:t>
            </w:r>
          </w:p>
          <w:p w:rsidR="00D2770F" w:rsidRDefault="00EB3C0F" w:rsidP="000913C7">
            <w:pPr>
              <w:pStyle w:val="NoSpacing"/>
              <w:numPr>
                <w:ilvl w:val="0"/>
                <w:numId w:val="11"/>
              </w:numPr>
              <w:spacing w:before="240"/>
              <w:ind w:left="257" w:firstLine="283"/>
              <w:jc w:val="both"/>
              <w:rPr>
                <w:rFonts w:ascii="Times New Roman" w:hAnsi="Times New Roman" w:cs="Times New Roman"/>
                <w:sz w:val="24"/>
                <w:szCs w:val="24"/>
              </w:rPr>
            </w:pPr>
            <w:r w:rsidRPr="00531E05">
              <w:rPr>
                <w:rFonts w:ascii="Times New Roman" w:hAnsi="Times New Roman" w:cs="Times New Roman"/>
                <w:sz w:val="24"/>
                <w:szCs w:val="24"/>
              </w:rPr>
              <w:t>Lai nodrošinātu IAL atbilstību Direktīvas</w:t>
            </w:r>
            <w:r w:rsidR="003A4161" w:rsidRPr="00531E05">
              <w:rPr>
                <w:rFonts w:ascii="Times New Roman" w:hAnsi="Times New Roman" w:cs="Times New Roman"/>
                <w:sz w:val="24"/>
                <w:szCs w:val="24"/>
              </w:rPr>
              <w:t xml:space="preserve"> 2013/37/ES</w:t>
            </w:r>
            <w:r w:rsidRPr="00531E05">
              <w:rPr>
                <w:rFonts w:ascii="Times New Roman" w:hAnsi="Times New Roman" w:cs="Times New Roman"/>
                <w:sz w:val="24"/>
                <w:szCs w:val="24"/>
              </w:rPr>
              <w:t xml:space="preserve"> </w:t>
            </w:r>
            <w:r w:rsidR="0083387E">
              <w:rPr>
                <w:rFonts w:ascii="Times New Roman" w:hAnsi="Times New Roman" w:cs="Times New Roman"/>
                <w:sz w:val="24"/>
                <w:szCs w:val="24"/>
              </w:rPr>
              <w:t>1</w:t>
            </w:r>
            <w:r w:rsidRPr="00531E05">
              <w:rPr>
                <w:rFonts w:ascii="Times New Roman" w:hAnsi="Times New Roman" w:cs="Times New Roman"/>
                <w:sz w:val="24"/>
                <w:szCs w:val="24"/>
              </w:rPr>
              <w:t>.</w:t>
            </w:r>
            <w:r w:rsidR="00FD5030" w:rsidRPr="00531E05">
              <w:rPr>
                <w:rFonts w:ascii="Times New Roman" w:hAnsi="Times New Roman" w:cs="Times New Roman"/>
                <w:sz w:val="24"/>
                <w:szCs w:val="24"/>
              </w:rPr>
              <w:t> </w:t>
            </w:r>
            <w:r w:rsidRPr="00531E05">
              <w:rPr>
                <w:rFonts w:ascii="Times New Roman" w:hAnsi="Times New Roman" w:cs="Times New Roman"/>
                <w:sz w:val="24"/>
                <w:szCs w:val="24"/>
              </w:rPr>
              <w:t xml:space="preserve">panta </w:t>
            </w:r>
            <w:r w:rsidR="0083387E">
              <w:rPr>
                <w:rFonts w:ascii="Times New Roman" w:hAnsi="Times New Roman" w:cs="Times New Roman"/>
                <w:sz w:val="24"/>
                <w:szCs w:val="24"/>
              </w:rPr>
              <w:t>5</w:t>
            </w:r>
            <w:r w:rsidRPr="00531E05">
              <w:rPr>
                <w:rFonts w:ascii="Times New Roman" w:hAnsi="Times New Roman" w:cs="Times New Roman"/>
                <w:sz w:val="24"/>
                <w:szCs w:val="24"/>
              </w:rPr>
              <w:t>.</w:t>
            </w:r>
            <w:r w:rsidR="00FD5030" w:rsidRPr="00531E05">
              <w:rPr>
                <w:rFonts w:ascii="Times New Roman" w:hAnsi="Times New Roman" w:cs="Times New Roman"/>
                <w:sz w:val="24"/>
                <w:szCs w:val="24"/>
              </w:rPr>
              <w:t> </w:t>
            </w:r>
            <w:r w:rsidRPr="00531E05">
              <w:rPr>
                <w:rFonts w:ascii="Times New Roman" w:hAnsi="Times New Roman" w:cs="Times New Roman"/>
                <w:sz w:val="24"/>
                <w:szCs w:val="24"/>
              </w:rPr>
              <w:t>punktam</w:t>
            </w:r>
            <w:r w:rsidR="003A4161" w:rsidRPr="00531E05">
              <w:rPr>
                <w:rFonts w:ascii="Times New Roman" w:hAnsi="Times New Roman" w:cs="Times New Roman"/>
                <w:sz w:val="24"/>
                <w:szCs w:val="24"/>
              </w:rPr>
              <w:t>,</w:t>
            </w:r>
            <w:r w:rsidRPr="00531E05">
              <w:rPr>
                <w:rFonts w:ascii="Times New Roman" w:hAnsi="Times New Roman" w:cs="Times New Roman"/>
                <w:sz w:val="24"/>
                <w:szCs w:val="24"/>
              </w:rPr>
              <w:t xml:space="preserve"> tiek papildināts IAL 10. pants, precizējot veidu</w:t>
            </w:r>
            <w:r w:rsidR="003A5684">
              <w:rPr>
                <w:rFonts w:ascii="Times New Roman" w:hAnsi="Times New Roman" w:cs="Times New Roman"/>
                <w:sz w:val="24"/>
                <w:szCs w:val="24"/>
              </w:rPr>
              <w:t>s</w:t>
            </w:r>
            <w:r w:rsidRPr="00531E05">
              <w:rPr>
                <w:rFonts w:ascii="Times New Roman" w:hAnsi="Times New Roman" w:cs="Times New Roman"/>
                <w:sz w:val="24"/>
                <w:szCs w:val="24"/>
              </w:rPr>
              <w:t xml:space="preserve">, </w:t>
            </w:r>
            <w:r w:rsidR="003A5684" w:rsidRPr="00531E05">
              <w:rPr>
                <w:rFonts w:ascii="Times New Roman" w:hAnsi="Times New Roman" w:cs="Times New Roman"/>
                <w:sz w:val="24"/>
                <w:szCs w:val="24"/>
              </w:rPr>
              <w:t>kād</w:t>
            </w:r>
            <w:r w:rsidR="003A5684">
              <w:rPr>
                <w:rFonts w:ascii="Times New Roman" w:hAnsi="Times New Roman" w:cs="Times New Roman"/>
                <w:sz w:val="24"/>
                <w:szCs w:val="24"/>
              </w:rPr>
              <w:t>os</w:t>
            </w:r>
            <w:r w:rsidR="003A5684" w:rsidRPr="00531E05">
              <w:rPr>
                <w:rFonts w:ascii="Times New Roman" w:hAnsi="Times New Roman" w:cs="Times New Roman"/>
                <w:sz w:val="24"/>
                <w:szCs w:val="24"/>
              </w:rPr>
              <w:t xml:space="preserve"> </w:t>
            </w:r>
            <w:r w:rsidR="003B6B8C" w:rsidRPr="00531E05">
              <w:rPr>
                <w:rFonts w:ascii="Times New Roman" w:hAnsi="Times New Roman" w:cs="Times New Roman"/>
                <w:sz w:val="24"/>
                <w:szCs w:val="24"/>
              </w:rPr>
              <w:t>vispārpieejamu</w:t>
            </w:r>
            <w:r w:rsidRPr="00531E05">
              <w:rPr>
                <w:rFonts w:ascii="Times New Roman" w:hAnsi="Times New Roman" w:cs="Times New Roman"/>
                <w:sz w:val="24"/>
                <w:szCs w:val="24"/>
              </w:rPr>
              <w:t xml:space="preserve"> informāciju būtu vēlams nodot </w:t>
            </w:r>
            <w:proofErr w:type="spellStart"/>
            <w:r w:rsidRPr="00531E05">
              <w:rPr>
                <w:rFonts w:ascii="Times New Roman" w:hAnsi="Times New Roman" w:cs="Times New Roman"/>
                <w:sz w:val="24"/>
                <w:szCs w:val="24"/>
              </w:rPr>
              <w:t>atkalizmantošanai</w:t>
            </w:r>
            <w:proofErr w:type="spellEnd"/>
            <w:r w:rsidR="00D2770F">
              <w:rPr>
                <w:rFonts w:ascii="Times New Roman" w:hAnsi="Times New Roman" w:cs="Times New Roman"/>
                <w:sz w:val="24"/>
                <w:szCs w:val="24"/>
              </w:rPr>
              <w:t>,</w:t>
            </w:r>
            <w:r w:rsidR="00D2770F" w:rsidRPr="000913C7">
              <w:rPr>
                <w:rFonts w:ascii="Times New Roman" w:hAnsi="Times New Roman" w:cs="Times New Roman"/>
                <w:sz w:val="24"/>
                <w:szCs w:val="24"/>
              </w:rPr>
              <w:t xml:space="preserve"> </w:t>
            </w:r>
            <w:r w:rsidR="00D2770F">
              <w:rPr>
                <w:rFonts w:ascii="Times New Roman" w:hAnsi="Times New Roman" w:cs="Times New Roman"/>
                <w:sz w:val="24"/>
                <w:szCs w:val="24"/>
              </w:rPr>
              <w:t>gan no iestāžu mājas lapām, gan, piemēram, valsts informācijas sistēmām, pakalpojumu portāliem u.c. risinājumiem.</w:t>
            </w:r>
          </w:p>
          <w:p w:rsidR="00EB3C0F" w:rsidRDefault="00EB3C0F" w:rsidP="00E25931">
            <w:pPr>
              <w:pStyle w:val="NoSpacing"/>
              <w:numPr>
                <w:ilvl w:val="0"/>
                <w:numId w:val="11"/>
              </w:numPr>
              <w:spacing w:before="240"/>
              <w:ind w:left="257" w:firstLine="283"/>
              <w:jc w:val="both"/>
              <w:rPr>
                <w:rFonts w:ascii="Times New Roman" w:hAnsi="Times New Roman" w:cs="Times New Roman"/>
                <w:sz w:val="24"/>
                <w:szCs w:val="24"/>
              </w:rPr>
            </w:pPr>
            <w:r w:rsidRPr="00C50B45">
              <w:rPr>
                <w:rFonts w:ascii="Times New Roman" w:hAnsi="Times New Roman" w:cs="Times New Roman"/>
                <w:sz w:val="24"/>
                <w:szCs w:val="24"/>
              </w:rPr>
              <w:t xml:space="preserve">Saskaņā ar </w:t>
            </w:r>
            <w:r w:rsidR="005610A7">
              <w:rPr>
                <w:rFonts w:ascii="Times New Roman" w:hAnsi="Times New Roman" w:cs="Times New Roman"/>
                <w:sz w:val="24"/>
                <w:szCs w:val="24"/>
              </w:rPr>
              <w:t>D</w:t>
            </w:r>
            <w:r w:rsidR="005610A7" w:rsidRPr="00C50B45">
              <w:rPr>
                <w:rFonts w:ascii="Times New Roman" w:hAnsi="Times New Roman" w:cs="Times New Roman"/>
                <w:sz w:val="24"/>
                <w:szCs w:val="24"/>
              </w:rPr>
              <w:t>irektīvas</w:t>
            </w:r>
            <w:r w:rsidR="005610A7">
              <w:rPr>
                <w:rFonts w:ascii="Times New Roman" w:hAnsi="Times New Roman" w:cs="Times New Roman"/>
                <w:sz w:val="24"/>
                <w:szCs w:val="24"/>
              </w:rPr>
              <w:t xml:space="preserve"> </w:t>
            </w:r>
            <w:r w:rsidR="005610A7" w:rsidRPr="005610A7">
              <w:rPr>
                <w:rFonts w:ascii="Times New Roman" w:hAnsi="Times New Roman" w:cs="Times New Roman"/>
                <w:sz w:val="24"/>
                <w:szCs w:val="24"/>
              </w:rPr>
              <w:t>2013/37/ES</w:t>
            </w:r>
            <w:r w:rsidRPr="00C50B45">
              <w:rPr>
                <w:rFonts w:ascii="Times New Roman" w:hAnsi="Times New Roman" w:cs="Times New Roman"/>
                <w:sz w:val="24"/>
                <w:szCs w:val="24"/>
              </w:rPr>
              <w:t xml:space="preserve"> </w:t>
            </w:r>
            <w:r w:rsidR="0083387E">
              <w:rPr>
                <w:rFonts w:ascii="Times New Roman" w:hAnsi="Times New Roman" w:cs="Times New Roman"/>
                <w:sz w:val="24"/>
                <w:szCs w:val="24"/>
              </w:rPr>
              <w:t>1</w:t>
            </w:r>
            <w:r w:rsidRPr="00C50B45">
              <w:rPr>
                <w:rFonts w:ascii="Times New Roman" w:hAnsi="Times New Roman" w:cs="Times New Roman"/>
                <w:sz w:val="24"/>
                <w:szCs w:val="24"/>
              </w:rPr>
              <w:t>.</w:t>
            </w:r>
            <w:r w:rsidR="003A5684">
              <w:t> </w:t>
            </w:r>
            <w:r w:rsidRPr="00C50B45">
              <w:rPr>
                <w:rFonts w:ascii="Times New Roman" w:hAnsi="Times New Roman" w:cs="Times New Roman"/>
                <w:sz w:val="24"/>
                <w:szCs w:val="24"/>
              </w:rPr>
              <w:t xml:space="preserve">panta </w:t>
            </w:r>
            <w:r w:rsidR="0083387E">
              <w:rPr>
                <w:rFonts w:ascii="Times New Roman" w:hAnsi="Times New Roman" w:cs="Times New Roman"/>
                <w:sz w:val="24"/>
                <w:szCs w:val="24"/>
              </w:rPr>
              <w:t>5. </w:t>
            </w:r>
            <w:r w:rsidRPr="00C50B45">
              <w:rPr>
                <w:rFonts w:ascii="Times New Roman" w:hAnsi="Times New Roman" w:cs="Times New Roman"/>
                <w:sz w:val="24"/>
                <w:szCs w:val="24"/>
              </w:rPr>
              <w:t xml:space="preserve">punktu, </w:t>
            </w:r>
            <w:r w:rsidR="003A5684">
              <w:rPr>
                <w:rFonts w:ascii="Times New Roman" w:hAnsi="Times New Roman" w:cs="Times New Roman"/>
                <w:sz w:val="24"/>
                <w:szCs w:val="24"/>
              </w:rPr>
              <w:t>IAL </w:t>
            </w:r>
            <w:r w:rsidR="003A5684" w:rsidRPr="00C50B45">
              <w:rPr>
                <w:rFonts w:ascii="Times New Roman" w:hAnsi="Times New Roman" w:cs="Times New Roman"/>
                <w:sz w:val="24"/>
                <w:szCs w:val="24"/>
              </w:rPr>
              <w:t>11</w:t>
            </w:r>
            <w:r w:rsidR="003A5684" w:rsidRPr="00DB6175">
              <w:rPr>
                <w:rFonts w:ascii="Times New Roman" w:hAnsi="Times New Roman" w:cs="Times New Roman"/>
                <w:sz w:val="24"/>
                <w:szCs w:val="24"/>
                <w:vertAlign w:val="superscript"/>
              </w:rPr>
              <w:t>2</w:t>
            </w:r>
            <w:r w:rsidR="003A5684">
              <w:rPr>
                <w:rFonts w:ascii="Times New Roman" w:hAnsi="Times New Roman" w:cs="Times New Roman"/>
                <w:sz w:val="24"/>
                <w:szCs w:val="24"/>
              </w:rPr>
              <w:t> </w:t>
            </w:r>
            <w:r w:rsidR="003A5684" w:rsidRPr="00C50B45">
              <w:rPr>
                <w:rFonts w:ascii="Times New Roman" w:hAnsi="Times New Roman" w:cs="Times New Roman"/>
                <w:sz w:val="24"/>
                <w:szCs w:val="24"/>
              </w:rPr>
              <w:t>pant</w:t>
            </w:r>
            <w:r w:rsidR="003A5684">
              <w:rPr>
                <w:rFonts w:ascii="Times New Roman" w:hAnsi="Times New Roman" w:cs="Times New Roman"/>
                <w:sz w:val="24"/>
                <w:szCs w:val="24"/>
              </w:rPr>
              <w:t>s</w:t>
            </w:r>
            <w:r w:rsidR="003A5684" w:rsidRPr="00C50B45">
              <w:rPr>
                <w:rFonts w:ascii="Times New Roman" w:hAnsi="Times New Roman" w:cs="Times New Roman"/>
                <w:sz w:val="24"/>
                <w:szCs w:val="24"/>
              </w:rPr>
              <w:t xml:space="preserve"> </w:t>
            </w:r>
            <w:r w:rsidR="003A5684">
              <w:rPr>
                <w:rFonts w:ascii="Times New Roman" w:hAnsi="Times New Roman" w:cs="Times New Roman"/>
                <w:sz w:val="24"/>
                <w:szCs w:val="24"/>
              </w:rPr>
              <w:t>tiek precizēts nosakot</w:t>
            </w:r>
            <w:r w:rsidRPr="00C50B45">
              <w:rPr>
                <w:rFonts w:ascii="Times New Roman" w:hAnsi="Times New Roman" w:cs="Times New Roman"/>
                <w:sz w:val="24"/>
                <w:szCs w:val="24"/>
              </w:rPr>
              <w:t xml:space="preserve">, ka valsts iestādēm nevar prasīt turpināt izgatavot un glabāt noteikta veida dokumentus ar mērķi, lai privātās vai valsts sektora iestādes tos </w:t>
            </w:r>
            <w:proofErr w:type="spellStart"/>
            <w:r w:rsidRPr="00C50B45">
              <w:rPr>
                <w:rFonts w:ascii="Times New Roman" w:hAnsi="Times New Roman" w:cs="Times New Roman"/>
                <w:sz w:val="24"/>
                <w:szCs w:val="24"/>
              </w:rPr>
              <w:t>atkalizmantotu</w:t>
            </w:r>
            <w:proofErr w:type="spellEnd"/>
            <w:r w:rsidR="00281E78">
              <w:rPr>
                <w:rFonts w:ascii="Times New Roman" w:hAnsi="Times New Roman" w:cs="Times New Roman"/>
                <w:sz w:val="24"/>
                <w:szCs w:val="24"/>
              </w:rPr>
              <w:t>.</w:t>
            </w:r>
          </w:p>
          <w:p w:rsidR="002C6CB4" w:rsidRDefault="002C6CB4" w:rsidP="0059781E">
            <w:pPr>
              <w:pStyle w:val="NoSpacing"/>
              <w:numPr>
                <w:ilvl w:val="0"/>
                <w:numId w:val="11"/>
              </w:numPr>
              <w:spacing w:before="240"/>
              <w:ind w:left="257" w:firstLine="283"/>
              <w:jc w:val="both"/>
              <w:rPr>
                <w:rFonts w:ascii="Times New Roman" w:hAnsi="Times New Roman" w:cs="Times New Roman"/>
                <w:sz w:val="24"/>
                <w:szCs w:val="24"/>
              </w:rPr>
            </w:pPr>
            <w:r w:rsidRPr="002C6CB4">
              <w:rPr>
                <w:rFonts w:ascii="Times New Roman" w:hAnsi="Times New Roman" w:cs="Times New Roman"/>
                <w:sz w:val="24"/>
                <w:szCs w:val="24"/>
              </w:rPr>
              <w:t>Saskaņā ar Direktīvas 2013/37/ES 1.</w:t>
            </w:r>
            <w:r>
              <w:rPr>
                <w:rFonts w:ascii="Times New Roman" w:hAnsi="Times New Roman" w:cs="Times New Roman"/>
                <w:sz w:val="24"/>
                <w:szCs w:val="24"/>
              </w:rPr>
              <w:t xml:space="preserve"> panta </w:t>
            </w:r>
            <w:r w:rsidRPr="002C6CB4">
              <w:rPr>
                <w:rFonts w:ascii="Times New Roman" w:hAnsi="Times New Roman" w:cs="Times New Roman"/>
                <w:sz w:val="24"/>
                <w:szCs w:val="24"/>
              </w:rPr>
              <w:t>4.</w:t>
            </w:r>
            <w:r>
              <w:rPr>
                <w:rFonts w:ascii="Times New Roman" w:hAnsi="Times New Roman" w:cs="Times New Roman"/>
                <w:sz w:val="24"/>
                <w:szCs w:val="24"/>
              </w:rPr>
              <w:t> </w:t>
            </w:r>
            <w:r w:rsidRPr="002C6CB4">
              <w:rPr>
                <w:rFonts w:ascii="Times New Roman" w:hAnsi="Times New Roman" w:cs="Times New Roman"/>
                <w:sz w:val="24"/>
                <w:szCs w:val="24"/>
              </w:rPr>
              <w:t>punktu, likumprojekts precizē IAL 12.</w:t>
            </w:r>
            <w:r>
              <w:rPr>
                <w:rFonts w:ascii="Times New Roman" w:hAnsi="Times New Roman" w:cs="Times New Roman"/>
                <w:sz w:val="24"/>
                <w:szCs w:val="24"/>
              </w:rPr>
              <w:t> </w:t>
            </w:r>
            <w:r w:rsidRPr="002C6CB4">
              <w:rPr>
                <w:rFonts w:ascii="Times New Roman" w:hAnsi="Times New Roman" w:cs="Times New Roman"/>
                <w:sz w:val="24"/>
                <w:szCs w:val="24"/>
              </w:rPr>
              <w:t xml:space="preserve">pantu nosakot, </w:t>
            </w:r>
            <w:r>
              <w:rPr>
                <w:rFonts w:ascii="Times New Roman" w:hAnsi="Times New Roman" w:cs="Times New Roman"/>
                <w:sz w:val="24"/>
                <w:szCs w:val="24"/>
              </w:rPr>
              <w:t>ja</w:t>
            </w:r>
            <w:r w:rsidRPr="002C6CB4">
              <w:rPr>
                <w:rFonts w:ascii="Times New Roman" w:hAnsi="Times New Roman" w:cs="Times New Roman"/>
                <w:sz w:val="24"/>
                <w:szCs w:val="24"/>
              </w:rPr>
              <w:t xml:space="preserve"> informācijas </w:t>
            </w:r>
            <w:r>
              <w:rPr>
                <w:rFonts w:ascii="Times New Roman" w:hAnsi="Times New Roman" w:cs="Times New Roman"/>
                <w:sz w:val="24"/>
                <w:szCs w:val="24"/>
              </w:rPr>
              <w:t xml:space="preserve">nodošana </w:t>
            </w:r>
            <w:proofErr w:type="spellStart"/>
            <w:r w:rsidRPr="002C6CB4">
              <w:rPr>
                <w:rFonts w:ascii="Times New Roman" w:hAnsi="Times New Roman" w:cs="Times New Roman"/>
                <w:sz w:val="24"/>
                <w:szCs w:val="24"/>
              </w:rPr>
              <w:t>atkalizmantošana</w:t>
            </w:r>
            <w:r>
              <w:rPr>
                <w:rFonts w:ascii="Times New Roman" w:hAnsi="Times New Roman" w:cs="Times New Roman"/>
                <w:sz w:val="24"/>
                <w:szCs w:val="24"/>
              </w:rPr>
              <w:t>i</w:t>
            </w:r>
            <w:proofErr w:type="spellEnd"/>
            <w:r w:rsidRPr="002C6CB4">
              <w:rPr>
                <w:rFonts w:ascii="Times New Roman" w:hAnsi="Times New Roman" w:cs="Times New Roman"/>
                <w:sz w:val="24"/>
                <w:szCs w:val="24"/>
              </w:rPr>
              <w:t xml:space="preserve"> </w:t>
            </w:r>
            <w:r>
              <w:rPr>
                <w:rFonts w:ascii="Times New Roman" w:hAnsi="Times New Roman" w:cs="Times New Roman"/>
                <w:sz w:val="24"/>
                <w:szCs w:val="24"/>
              </w:rPr>
              <w:t>tiek</w:t>
            </w:r>
            <w:r w:rsidRPr="002C6CB4">
              <w:rPr>
                <w:rFonts w:ascii="Times New Roman" w:hAnsi="Times New Roman" w:cs="Times New Roman"/>
                <w:sz w:val="24"/>
                <w:szCs w:val="24"/>
              </w:rPr>
              <w:t xml:space="preserve"> atteikta pamatojot to ar trešās personas intelektuālā īpašuma tiesību aizsardzīb</w:t>
            </w:r>
            <w:r>
              <w:rPr>
                <w:rFonts w:ascii="Times New Roman" w:hAnsi="Times New Roman" w:cs="Times New Roman"/>
                <w:sz w:val="24"/>
                <w:szCs w:val="24"/>
              </w:rPr>
              <w:t>u</w:t>
            </w:r>
            <w:r w:rsidRPr="002C6CB4">
              <w:rPr>
                <w:rFonts w:ascii="Times New Roman" w:hAnsi="Times New Roman" w:cs="Times New Roman"/>
                <w:sz w:val="24"/>
                <w:szCs w:val="24"/>
              </w:rPr>
              <w:t xml:space="preserve"> vai trešās personas (licenciāra) noteikto nosacījumu dēļ, iestāde rakstveida atteikumā norāda</w:t>
            </w:r>
            <w:r>
              <w:rPr>
                <w:rFonts w:ascii="Times New Roman" w:hAnsi="Times New Roman" w:cs="Times New Roman"/>
                <w:sz w:val="24"/>
                <w:szCs w:val="24"/>
              </w:rPr>
              <w:t xml:space="preserve"> trešo personu, ja iestādei tā ir zināma vai attiecīgo licenciāru</w:t>
            </w:r>
            <w:r w:rsidRPr="002C6CB4">
              <w:rPr>
                <w:rFonts w:ascii="Times New Roman" w:hAnsi="Times New Roman" w:cs="Times New Roman"/>
                <w:sz w:val="24"/>
                <w:szCs w:val="24"/>
              </w:rPr>
              <w:t>.</w:t>
            </w:r>
          </w:p>
          <w:p w:rsidR="00D16EA8" w:rsidRPr="008F531B" w:rsidRDefault="00E511A4" w:rsidP="00E25931">
            <w:pPr>
              <w:pStyle w:val="NoSpacing"/>
              <w:numPr>
                <w:ilvl w:val="0"/>
                <w:numId w:val="11"/>
              </w:numPr>
              <w:spacing w:before="240"/>
              <w:ind w:left="257" w:firstLine="283"/>
              <w:jc w:val="both"/>
              <w:rPr>
                <w:rFonts w:ascii="Times New Roman" w:hAnsi="Times New Roman" w:cs="Times New Roman"/>
                <w:sz w:val="24"/>
                <w:szCs w:val="24"/>
              </w:rPr>
            </w:pPr>
            <w:r>
              <w:rPr>
                <w:rFonts w:ascii="Times New Roman" w:hAnsi="Times New Roman" w:cs="Times New Roman"/>
                <w:sz w:val="24"/>
                <w:szCs w:val="24"/>
              </w:rPr>
              <w:t>Lai</w:t>
            </w:r>
            <w:r w:rsidR="00D16EA8" w:rsidRPr="00E511A4">
              <w:rPr>
                <w:rFonts w:ascii="Times New Roman" w:hAnsi="Times New Roman"/>
                <w:sz w:val="24"/>
                <w:szCs w:val="24"/>
              </w:rPr>
              <w:t xml:space="preserve"> nodrošinātu atbilstību Direktīvas 2013/37/ES</w:t>
            </w:r>
            <w:r w:rsidR="0083387E">
              <w:rPr>
                <w:rFonts w:ascii="Times New Roman" w:hAnsi="Times New Roman"/>
                <w:sz w:val="24"/>
                <w:szCs w:val="24"/>
              </w:rPr>
              <w:t xml:space="preserve"> 1. panta</w:t>
            </w:r>
            <w:r w:rsidR="00D16EA8" w:rsidRPr="00E511A4">
              <w:rPr>
                <w:rFonts w:ascii="Times New Roman" w:hAnsi="Times New Roman"/>
                <w:sz w:val="24"/>
                <w:szCs w:val="24"/>
              </w:rPr>
              <w:t xml:space="preserve"> 1</w:t>
            </w:r>
            <w:r w:rsidR="0083387E">
              <w:rPr>
                <w:rFonts w:ascii="Times New Roman" w:hAnsi="Times New Roman"/>
                <w:sz w:val="24"/>
                <w:szCs w:val="24"/>
              </w:rPr>
              <w:t>0</w:t>
            </w:r>
            <w:r w:rsidR="00D16EA8" w:rsidRPr="00E511A4">
              <w:rPr>
                <w:rFonts w:ascii="Times New Roman" w:hAnsi="Times New Roman"/>
                <w:sz w:val="24"/>
                <w:szCs w:val="24"/>
              </w:rPr>
              <w:t>. </w:t>
            </w:r>
            <w:r w:rsidR="0083387E">
              <w:rPr>
                <w:rFonts w:ascii="Times New Roman" w:hAnsi="Times New Roman"/>
                <w:sz w:val="24"/>
                <w:szCs w:val="24"/>
              </w:rPr>
              <w:t>punkta</w:t>
            </w:r>
            <w:r w:rsidR="00D16EA8" w:rsidRPr="00E511A4">
              <w:rPr>
                <w:rFonts w:ascii="Times New Roman" w:hAnsi="Times New Roman"/>
                <w:sz w:val="24"/>
                <w:szCs w:val="24"/>
              </w:rPr>
              <w:t xml:space="preserve"> prasībām, ar likumprojektu tiek piedāvāts papildināt IAL 18. pantu, ietvertajam regulējumam par ekskluzīvajām tiesībām informācijas </w:t>
            </w:r>
            <w:proofErr w:type="spellStart"/>
            <w:r w:rsidR="00D16EA8" w:rsidRPr="00E511A4">
              <w:rPr>
                <w:rFonts w:ascii="Times New Roman" w:hAnsi="Times New Roman"/>
                <w:sz w:val="24"/>
                <w:szCs w:val="24"/>
              </w:rPr>
              <w:t>atkalizmantošanai</w:t>
            </w:r>
            <w:proofErr w:type="spellEnd"/>
            <w:r w:rsidR="00D16EA8" w:rsidRPr="00E511A4">
              <w:rPr>
                <w:rFonts w:ascii="Times New Roman" w:hAnsi="Times New Roman"/>
                <w:sz w:val="24"/>
                <w:szCs w:val="24"/>
              </w:rPr>
              <w:t xml:space="preserve">, kas saskaņā ar </w:t>
            </w:r>
            <w:r>
              <w:rPr>
                <w:rFonts w:ascii="Times New Roman" w:hAnsi="Times New Roman"/>
                <w:sz w:val="24"/>
                <w:szCs w:val="24"/>
              </w:rPr>
              <w:t xml:space="preserve">Direktīvu </w:t>
            </w:r>
            <w:r w:rsidRPr="004E20A3">
              <w:rPr>
                <w:rFonts w:ascii="Times New Roman" w:hAnsi="Times New Roman" w:cs="Times New Roman"/>
                <w:sz w:val="24"/>
                <w:szCs w:val="24"/>
              </w:rPr>
              <w:t xml:space="preserve">2003/98/EK </w:t>
            </w:r>
            <w:r>
              <w:rPr>
                <w:rFonts w:ascii="Times New Roman" w:hAnsi="Times New Roman" w:cs="Times New Roman"/>
                <w:sz w:val="24"/>
                <w:szCs w:val="24"/>
              </w:rPr>
              <w:t xml:space="preserve">un </w:t>
            </w:r>
            <w:r w:rsidRPr="00E1397B">
              <w:rPr>
                <w:rFonts w:ascii="Times New Roman" w:hAnsi="Times New Roman"/>
                <w:sz w:val="24"/>
                <w:szCs w:val="24"/>
              </w:rPr>
              <w:t>Direktī</w:t>
            </w:r>
            <w:r>
              <w:rPr>
                <w:rFonts w:ascii="Times New Roman" w:hAnsi="Times New Roman"/>
                <w:sz w:val="24"/>
                <w:szCs w:val="24"/>
              </w:rPr>
              <w:t>vu</w:t>
            </w:r>
            <w:r w:rsidRPr="00E1397B">
              <w:rPr>
                <w:rFonts w:ascii="Times New Roman" w:hAnsi="Times New Roman"/>
                <w:sz w:val="24"/>
                <w:szCs w:val="24"/>
              </w:rPr>
              <w:t xml:space="preserve"> 2013/37/ES</w:t>
            </w:r>
            <w:r w:rsidR="00D16EA8" w:rsidRPr="00E511A4">
              <w:rPr>
                <w:rFonts w:ascii="Times New Roman" w:hAnsi="Times New Roman"/>
                <w:sz w:val="24"/>
                <w:szCs w:val="24"/>
              </w:rPr>
              <w:t xml:space="preserve"> attiecināms arī uz kultūras materiālu </w:t>
            </w:r>
            <w:proofErr w:type="spellStart"/>
            <w:r w:rsidR="00D16EA8" w:rsidRPr="00E511A4">
              <w:rPr>
                <w:rFonts w:ascii="Times New Roman" w:hAnsi="Times New Roman"/>
                <w:sz w:val="24"/>
                <w:szCs w:val="24"/>
              </w:rPr>
              <w:t>digitalizācijas</w:t>
            </w:r>
            <w:proofErr w:type="spellEnd"/>
            <w:r w:rsidR="00D16EA8" w:rsidRPr="00E511A4">
              <w:rPr>
                <w:rFonts w:ascii="Times New Roman" w:hAnsi="Times New Roman"/>
                <w:sz w:val="24"/>
                <w:szCs w:val="24"/>
              </w:rPr>
              <w:t xml:space="preserve"> jomu.</w:t>
            </w:r>
          </w:p>
          <w:p w:rsidR="00CC07C7" w:rsidRPr="00CC07C7" w:rsidRDefault="00CC07C7" w:rsidP="0059781E">
            <w:pPr>
              <w:pStyle w:val="NoSpacing"/>
              <w:numPr>
                <w:ilvl w:val="0"/>
                <w:numId w:val="11"/>
              </w:numPr>
              <w:spacing w:before="24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 xml:space="preserve">Saskaņā ar Direktīvā 2013/37/ES iekļautajām prasībām maksas par informācijas izsniegšanu </w:t>
            </w:r>
            <w:proofErr w:type="spellStart"/>
            <w:r w:rsidRPr="00CC07C7">
              <w:rPr>
                <w:rFonts w:ascii="Times New Roman" w:hAnsi="Times New Roman" w:cs="Times New Roman"/>
                <w:sz w:val="24"/>
                <w:szCs w:val="24"/>
              </w:rPr>
              <w:t>atkalizmantošanai</w:t>
            </w:r>
            <w:proofErr w:type="spellEnd"/>
            <w:r w:rsidRPr="00CC07C7">
              <w:rPr>
                <w:rFonts w:ascii="Times New Roman" w:hAnsi="Times New Roman" w:cs="Times New Roman"/>
                <w:sz w:val="24"/>
                <w:szCs w:val="24"/>
              </w:rPr>
              <w:t xml:space="preserve"> piemērošanai, maksas piemērošana ir pieļaujama neatkarīgi no tā, vai informācija ir papildus jāapstrā</w:t>
            </w:r>
            <w:r w:rsidR="004E5681">
              <w:rPr>
                <w:rFonts w:ascii="Times New Roman" w:hAnsi="Times New Roman" w:cs="Times New Roman"/>
                <w:sz w:val="24"/>
                <w:szCs w:val="24"/>
              </w:rPr>
              <w:t>dā, kā arī citiem nosacījumiem.</w:t>
            </w:r>
          </w:p>
          <w:p w:rsidR="00CC07C7" w:rsidRDefault="00CC07C7" w:rsidP="00E25931">
            <w:pPr>
              <w:pStyle w:val="NoSpacing"/>
              <w:spacing w:before="6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 xml:space="preserve">Latvijas normatīvajos aktos attiecībā uz informācijas izsniegšanu, gan informācijas atklātības izpratnē, gan arī informācijas </w:t>
            </w:r>
            <w:proofErr w:type="spellStart"/>
            <w:r w:rsidRPr="00CC07C7">
              <w:rPr>
                <w:rFonts w:ascii="Times New Roman" w:hAnsi="Times New Roman" w:cs="Times New Roman"/>
                <w:sz w:val="24"/>
                <w:szCs w:val="24"/>
              </w:rPr>
              <w:t>attkalizmantošanas</w:t>
            </w:r>
            <w:proofErr w:type="spellEnd"/>
            <w:r w:rsidRPr="00CC07C7">
              <w:rPr>
                <w:rFonts w:ascii="Times New Roman" w:hAnsi="Times New Roman" w:cs="Times New Roman"/>
                <w:sz w:val="24"/>
                <w:szCs w:val="24"/>
              </w:rPr>
              <w:t xml:space="preserve"> izpratnē ir jāpiemēro tiesību normas, kas izriet ne tikai no IAL, bet arī no Ministru kabineta 2011. gada 3. maija noteikumu Nr. 333 „Kārtība, kādā plānojami un uzskaitāmi ieņēmumi no maksas pakalpojumiem un ar šo pakalpojumu sniegšanu saistītie izdevumi, kā arī maksas pakalpojumu izcenojumu noteikšanas metodika un izce</w:t>
            </w:r>
            <w:r w:rsidR="004E5681">
              <w:rPr>
                <w:rFonts w:ascii="Times New Roman" w:hAnsi="Times New Roman" w:cs="Times New Roman"/>
                <w:sz w:val="24"/>
                <w:szCs w:val="24"/>
              </w:rPr>
              <w:t>nojumu apstiprināšanas kārtība”.</w:t>
            </w:r>
          </w:p>
          <w:p w:rsidR="004E5681" w:rsidRDefault="004E5681" w:rsidP="00E24F47">
            <w:pPr>
              <w:pStyle w:val="NoSpacing"/>
              <w:spacing w:before="60"/>
              <w:ind w:left="257"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piedāvātie grozījumi IAL neietekmēs</w:t>
            </w:r>
            <w:r w:rsidR="0036522E">
              <w:rPr>
                <w:rFonts w:ascii="Times New Roman" w:eastAsia="Times New Roman" w:hAnsi="Times New Roman" w:cs="Times New Roman"/>
                <w:sz w:val="24"/>
                <w:szCs w:val="24"/>
                <w:lang w:eastAsia="lv-LV"/>
              </w:rPr>
              <w:t xml:space="preserve"> </w:t>
            </w:r>
            <w:r w:rsidRPr="00E24F47">
              <w:rPr>
                <w:rFonts w:ascii="Times New Roman" w:eastAsia="Times New Roman" w:hAnsi="Times New Roman" w:cs="Times New Roman"/>
                <w:sz w:val="24"/>
                <w:szCs w:val="24"/>
                <w:lang w:eastAsia="lv-LV"/>
              </w:rPr>
              <w:lastRenderedPageBreak/>
              <w:t xml:space="preserve">Ministru kabineta </w:t>
            </w:r>
            <w:r>
              <w:rPr>
                <w:rFonts w:ascii="Times New Roman" w:eastAsia="Times New Roman" w:hAnsi="Times New Roman" w:cs="Times New Roman"/>
                <w:sz w:val="24"/>
                <w:szCs w:val="24"/>
                <w:lang w:eastAsia="lv-LV"/>
              </w:rPr>
              <w:t xml:space="preserve">2006. gada </w:t>
            </w:r>
            <w:r w:rsidRPr="00E24F47">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xml:space="preserve"> novembra </w:t>
            </w:r>
            <w:r w:rsidRPr="00E24F47">
              <w:rPr>
                <w:rFonts w:ascii="Times New Roman" w:eastAsia="Times New Roman" w:hAnsi="Times New Roman" w:cs="Times New Roman"/>
                <w:sz w:val="24"/>
                <w:szCs w:val="24"/>
                <w:lang w:eastAsia="lv-LV"/>
              </w:rPr>
              <w:t>noteikum</w:t>
            </w:r>
            <w:r w:rsidR="0036522E">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Nr. </w:t>
            </w:r>
            <w:r w:rsidRPr="00E24F47">
              <w:rPr>
                <w:rFonts w:ascii="Times New Roman" w:eastAsia="Times New Roman" w:hAnsi="Times New Roman" w:cs="Times New Roman"/>
                <w:sz w:val="24"/>
                <w:szCs w:val="24"/>
                <w:lang w:eastAsia="lv-LV"/>
              </w:rPr>
              <w:t>940</w:t>
            </w:r>
            <w:r>
              <w:rPr>
                <w:rFonts w:ascii="Times New Roman" w:eastAsia="Times New Roman" w:hAnsi="Times New Roman" w:cs="Times New Roman"/>
                <w:sz w:val="24"/>
                <w:szCs w:val="24"/>
                <w:lang w:eastAsia="lv-LV"/>
              </w:rPr>
              <w:t> “</w:t>
            </w:r>
            <w:r w:rsidRPr="004E5681">
              <w:rPr>
                <w:rFonts w:ascii="Times New Roman" w:eastAsia="Times New Roman" w:hAnsi="Times New Roman" w:cs="Times New Roman"/>
                <w:sz w:val="24"/>
                <w:szCs w:val="24"/>
                <w:lang w:eastAsia="lv-LV"/>
              </w:rPr>
              <w:t>Noteikumi par informācijas sniegšanas maksas pakalpojumiem</w:t>
            </w:r>
            <w:r>
              <w:rPr>
                <w:rFonts w:ascii="Times New Roman" w:eastAsia="Times New Roman" w:hAnsi="Times New Roman" w:cs="Times New Roman"/>
                <w:sz w:val="24"/>
                <w:szCs w:val="24"/>
                <w:lang w:eastAsia="lv-LV"/>
              </w:rPr>
              <w:t xml:space="preserve">” izpildi, </w:t>
            </w:r>
            <w:r w:rsidR="0036522E">
              <w:rPr>
                <w:rFonts w:ascii="Times New Roman" w:eastAsia="Times New Roman" w:hAnsi="Times New Roman" w:cs="Times New Roman"/>
                <w:sz w:val="24"/>
                <w:szCs w:val="24"/>
                <w:lang w:eastAsia="lv-LV"/>
              </w:rPr>
              <w:t>bet dos iespēju maksas pakalpojumu sniedzējiem veikt precizējumus savas jomas normatīvajos aktos.</w:t>
            </w:r>
          </w:p>
          <w:p w:rsidR="0036522E" w:rsidRDefault="00CC07C7" w:rsidP="0036522E">
            <w:pPr>
              <w:pStyle w:val="NoSpacing"/>
              <w:spacing w:before="60"/>
              <w:ind w:left="257" w:firstLine="283"/>
              <w:jc w:val="both"/>
              <w:rPr>
                <w:rFonts w:ascii="Times New Roman" w:hAnsi="Times New Roman" w:cs="Times New Roman"/>
                <w:sz w:val="24"/>
                <w:szCs w:val="24"/>
              </w:rPr>
            </w:pPr>
            <w:r>
              <w:rPr>
                <w:rFonts w:ascii="Times New Roman" w:hAnsi="Times New Roman" w:cs="Times New Roman"/>
                <w:sz w:val="24"/>
                <w:szCs w:val="24"/>
              </w:rPr>
              <w:t>M</w:t>
            </w:r>
            <w:r w:rsidRPr="00CC07C7">
              <w:rPr>
                <w:rFonts w:ascii="Times New Roman" w:hAnsi="Times New Roman" w:cs="Times New Roman"/>
                <w:sz w:val="24"/>
                <w:szCs w:val="24"/>
              </w:rPr>
              <w:t>aksas pakalpojumu izcenojuma noteikšana ir saistīta ar katras iestādes darbības specifiku</w:t>
            </w:r>
            <w:r w:rsidR="0036522E">
              <w:rPr>
                <w:rFonts w:ascii="Times New Roman" w:hAnsi="Times New Roman" w:cs="Times New Roman"/>
                <w:sz w:val="24"/>
                <w:szCs w:val="24"/>
              </w:rPr>
              <w:t xml:space="preserve"> un m</w:t>
            </w:r>
            <w:r w:rsidR="0036522E" w:rsidRPr="00CC07C7">
              <w:rPr>
                <w:rFonts w:ascii="Times New Roman" w:hAnsi="Times New Roman" w:cs="Times New Roman"/>
                <w:sz w:val="24"/>
                <w:szCs w:val="24"/>
              </w:rPr>
              <w:t>aksai par pakalpojumu (t.sk. tajā iekļautajiem izdevumiem par informācijas radīšanu un apstrādi) vienmēr jābūt pamatotai un saistī</w:t>
            </w:r>
            <w:r w:rsidR="0036522E">
              <w:rPr>
                <w:rFonts w:ascii="Times New Roman" w:hAnsi="Times New Roman" w:cs="Times New Roman"/>
                <w:sz w:val="24"/>
                <w:szCs w:val="24"/>
              </w:rPr>
              <w:t>tai ar šo konkrēto pakalpojumu.</w:t>
            </w:r>
          </w:p>
          <w:p w:rsidR="00CC07C7" w:rsidRPr="00CC07C7" w:rsidRDefault="0036522E" w:rsidP="00E25931">
            <w:pPr>
              <w:pStyle w:val="NoSpacing"/>
              <w:spacing w:before="60"/>
              <w:ind w:left="257" w:firstLine="283"/>
              <w:jc w:val="both"/>
              <w:rPr>
                <w:rFonts w:ascii="Times New Roman" w:hAnsi="Times New Roman" w:cs="Times New Roman"/>
                <w:sz w:val="24"/>
                <w:szCs w:val="24"/>
              </w:rPr>
            </w:pPr>
            <w:r>
              <w:rPr>
                <w:rFonts w:ascii="Times New Roman" w:hAnsi="Times New Roman" w:cs="Times New Roman"/>
                <w:sz w:val="24"/>
                <w:szCs w:val="24"/>
              </w:rPr>
              <w:t>A</w:t>
            </w:r>
            <w:r w:rsidR="00CC07C7" w:rsidRPr="00CC07C7">
              <w:rPr>
                <w:rFonts w:ascii="Times New Roman" w:hAnsi="Times New Roman" w:cs="Times New Roman"/>
                <w:sz w:val="24"/>
                <w:szCs w:val="24"/>
              </w:rPr>
              <w:t xml:space="preserve">prēķinot maksu par informācijas sniegšanu (aprēķinot iestādes pakalpojuma izcenojumu) ir jāievēro šādi nosacījumi: </w:t>
            </w:r>
          </w:p>
          <w:p w:rsidR="00CC07C7" w:rsidRPr="00CC07C7" w:rsidRDefault="00CC07C7" w:rsidP="00E25931">
            <w:pPr>
              <w:pStyle w:val="NoSpacing"/>
              <w:spacing w:before="6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1)</w:t>
            </w:r>
            <w:r w:rsidRPr="00CC07C7">
              <w:rPr>
                <w:rFonts w:ascii="Times New Roman" w:hAnsi="Times New Roman" w:cs="Times New Roman"/>
                <w:sz w:val="24"/>
                <w:szCs w:val="24"/>
              </w:rPr>
              <w:tab/>
              <w:t>ir jāvērtē pakalpojuma saturs, proti, katrai pakalpojuma cenā iekļaujamai izdevumu pozīcijai (izmaksai par konkrēto darbību) ir jābūt saistītai ar šo pakalpojumu;</w:t>
            </w:r>
          </w:p>
          <w:p w:rsidR="00CC07C7" w:rsidRPr="00CC07C7" w:rsidRDefault="00CC07C7" w:rsidP="00E25931">
            <w:pPr>
              <w:pStyle w:val="NoSpacing"/>
              <w:spacing w:before="6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2)</w:t>
            </w:r>
            <w:r w:rsidRPr="00CC07C7">
              <w:rPr>
                <w:rFonts w:ascii="Times New Roman" w:hAnsi="Times New Roman" w:cs="Times New Roman"/>
                <w:sz w:val="24"/>
                <w:szCs w:val="24"/>
              </w:rPr>
              <w:tab/>
              <w:t>maksas pakalpojums nedrīkst būt iestādes peļņas gūšanas avots, līdz ar to nav pieļaujams nepamatoti sadārdzināt kādu noteiktu maksas pakalpojumu, ņemot vērā tā pieprasījumu un tādējādi nosegt citu pakalpojumu izdevumus;</w:t>
            </w:r>
          </w:p>
          <w:p w:rsidR="00E24F47" w:rsidRDefault="00CC07C7" w:rsidP="00E24F47">
            <w:pPr>
              <w:pStyle w:val="NoSpacing"/>
              <w:spacing w:before="6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3)</w:t>
            </w:r>
            <w:r w:rsidRPr="00CC07C7">
              <w:rPr>
                <w:rFonts w:ascii="Times New Roman" w:hAnsi="Times New Roman" w:cs="Times New Roman"/>
                <w:sz w:val="24"/>
                <w:szCs w:val="24"/>
              </w:rPr>
              <w:tab/>
              <w:t xml:space="preserve">nav pieļaujams </w:t>
            </w:r>
            <w:proofErr w:type="spellStart"/>
            <w:r w:rsidRPr="00CC07C7">
              <w:rPr>
                <w:rFonts w:ascii="Times New Roman" w:hAnsi="Times New Roman" w:cs="Times New Roman"/>
                <w:sz w:val="24"/>
                <w:szCs w:val="24"/>
              </w:rPr>
              <w:t>dubultfinansējums</w:t>
            </w:r>
            <w:proofErr w:type="spellEnd"/>
            <w:r w:rsidRPr="00CC07C7">
              <w:rPr>
                <w:rFonts w:ascii="Times New Roman" w:hAnsi="Times New Roman" w:cs="Times New Roman"/>
                <w:sz w:val="24"/>
                <w:szCs w:val="24"/>
              </w:rPr>
              <w:t>, proti, maksas pakalpojuma cenā nav iekļaujamas izdevumu pozīcijas, ja tām ir paredzēts cits finansējuma avots, piemēram, valsts budžeta dotā</w:t>
            </w:r>
            <w:r w:rsidR="00E24F47">
              <w:rPr>
                <w:rFonts w:ascii="Times New Roman" w:hAnsi="Times New Roman" w:cs="Times New Roman"/>
                <w:sz w:val="24"/>
                <w:szCs w:val="24"/>
              </w:rPr>
              <w:t>cija no vispārējiem ieņēmumiem.</w:t>
            </w:r>
          </w:p>
          <w:p w:rsidR="008F531B" w:rsidRDefault="008F531B" w:rsidP="00E25931">
            <w:pPr>
              <w:pStyle w:val="NoSpacing"/>
              <w:spacing w:before="60"/>
              <w:ind w:left="257" w:firstLine="283"/>
              <w:jc w:val="both"/>
              <w:rPr>
                <w:rFonts w:ascii="Times New Roman" w:hAnsi="Times New Roman" w:cs="Times New Roman"/>
                <w:sz w:val="24"/>
                <w:szCs w:val="24"/>
              </w:rPr>
            </w:pPr>
            <w:r w:rsidRPr="008F531B">
              <w:rPr>
                <w:rFonts w:ascii="Times New Roman" w:hAnsi="Times New Roman" w:cs="Times New Roman"/>
                <w:sz w:val="24"/>
                <w:szCs w:val="24"/>
              </w:rPr>
              <w:t xml:space="preserve">Informācijas radīšanas un apstrādes, tai skaitā savākšanas, izgatavošanas, reproducēšanas, izplatīšanas izdevumi sevī var ietvert izdevumus, kas saistīti ar datu izveidi (ieguve, vākšana, strukturēšana, pārbaude, </w:t>
            </w:r>
            <w:proofErr w:type="spellStart"/>
            <w:r w:rsidRPr="008F531B">
              <w:rPr>
                <w:rFonts w:ascii="Times New Roman" w:hAnsi="Times New Roman" w:cs="Times New Roman"/>
                <w:sz w:val="24"/>
                <w:szCs w:val="24"/>
              </w:rPr>
              <w:t>anonimizācija</w:t>
            </w:r>
            <w:proofErr w:type="spellEnd"/>
            <w:r w:rsidRPr="008F531B">
              <w:rPr>
                <w:rFonts w:ascii="Times New Roman" w:hAnsi="Times New Roman" w:cs="Times New Roman"/>
                <w:sz w:val="24"/>
                <w:szCs w:val="24"/>
              </w:rPr>
              <w:t>), datu izplatīšanu (infrastruktūras, programmatūras izveide un uzturēšana, pavairošana, apstrāde, konsultācijas pakalpojuma sniegšanai, izsniegšana un cita veida piegāde) un citas pieskaitāmas vai attiecināmas izmaksas, kas saistītas ar iepriekšminētajām kategorijām, kas atkarīgas no iestādes pakalpojuma specifikas.</w:t>
            </w:r>
          </w:p>
          <w:p w:rsidR="00EB03BC" w:rsidRDefault="00EB03BC" w:rsidP="00EB03BC">
            <w:pPr>
              <w:pStyle w:val="NoSpacing"/>
              <w:spacing w:before="60"/>
              <w:ind w:left="257" w:firstLine="283"/>
              <w:jc w:val="both"/>
              <w:rPr>
                <w:rFonts w:ascii="Times New Roman" w:hAnsi="Times New Roman" w:cs="Times New Roman"/>
                <w:sz w:val="24"/>
                <w:szCs w:val="24"/>
              </w:rPr>
            </w:pPr>
            <w:r w:rsidRPr="00EB03BC">
              <w:rPr>
                <w:rFonts w:ascii="Times New Roman" w:hAnsi="Times New Roman" w:cs="Times New Roman"/>
                <w:sz w:val="24"/>
                <w:szCs w:val="24"/>
              </w:rPr>
              <w:t xml:space="preserve">Saskaņā ar </w:t>
            </w:r>
            <w:hyperlink r:id="rId11" w:history="1">
              <w:r w:rsidRPr="00EB03BC">
                <w:rPr>
                  <w:rStyle w:val="Hyperlink"/>
                  <w:rFonts w:ascii="Times New Roman" w:hAnsi="Times New Roman" w:cs="Times New Roman"/>
                  <w:sz w:val="24"/>
                  <w:szCs w:val="24"/>
                </w:rPr>
                <w:t xml:space="preserve">Eiropas Komisijas 2014. gada 24. jūlija paziņojumu Nr. 2014/C 240/01 “Pamatnostādnes attiecībā uz ieteicamajām standarta licencēm, datu kopām un maksu par dokumentu </w:t>
              </w:r>
              <w:proofErr w:type="spellStart"/>
              <w:r w:rsidRPr="00EB03BC">
                <w:rPr>
                  <w:rStyle w:val="Hyperlink"/>
                  <w:rFonts w:ascii="Times New Roman" w:hAnsi="Times New Roman" w:cs="Times New Roman"/>
                  <w:sz w:val="24"/>
                  <w:szCs w:val="24"/>
                </w:rPr>
                <w:t>atkalizmantošanu</w:t>
              </w:r>
              <w:proofErr w:type="spellEnd"/>
              <w:r w:rsidRPr="00EB03BC">
                <w:rPr>
                  <w:rStyle w:val="Hyperlink"/>
                  <w:rFonts w:ascii="Times New Roman" w:hAnsi="Times New Roman" w:cs="Times New Roman"/>
                  <w:sz w:val="24"/>
                  <w:szCs w:val="24"/>
                </w:rPr>
                <w:t>”</w:t>
              </w:r>
            </w:hyperlink>
            <w:r w:rsidRPr="00EB03BC">
              <w:rPr>
                <w:rFonts w:ascii="Times New Roman" w:hAnsi="Times New Roman" w:cs="Times New Roman"/>
                <w:sz w:val="24"/>
                <w:szCs w:val="24"/>
              </w:rPr>
              <w:t xml:space="preserve">, likumprojektā paredzētais precizējums IAL nosaka, ka informāciju </w:t>
            </w:r>
            <w:proofErr w:type="spellStart"/>
            <w:r w:rsidRPr="00EB03BC">
              <w:rPr>
                <w:rFonts w:ascii="Times New Roman" w:hAnsi="Times New Roman" w:cs="Times New Roman"/>
                <w:sz w:val="24"/>
                <w:szCs w:val="24"/>
              </w:rPr>
              <w:t>atkalizmantošanai</w:t>
            </w:r>
            <w:proofErr w:type="spellEnd"/>
            <w:r w:rsidRPr="00EB03BC">
              <w:rPr>
                <w:rFonts w:ascii="Times New Roman" w:hAnsi="Times New Roman" w:cs="Times New Roman"/>
                <w:sz w:val="24"/>
                <w:szCs w:val="24"/>
              </w:rPr>
              <w:t xml:space="preserve">, ko izsniedz no bibliotēkas, valsts arhīva vai muzeja krājuma, maksā par informācijas sniegšanu var iekļaut arī saglabāšanas un tiesību iegūšanas izmaksas, ja saglabāšanas izmaksas ir datu aktīvas pārvaldības un glabāšanas izmaksas, savukārt tiesību iegūšanas (noskaidrošanas) izmaksās </w:t>
            </w:r>
            <w:r w:rsidRPr="00EB03BC">
              <w:rPr>
                <w:rFonts w:ascii="Times New Roman" w:hAnsi="Times New Roman" w:cs="Times New Roman"/>
                <w:sz w:val="24"/>
                <w:szCs w:val="24"/>
              </w:rPr>
              <w:lastRenderedPageBreak/>
              <w:t>iekļauj laiku un darbu, kas ieguldīts, apzinot un iegūstot atļauju no tiesību turētājiem.</w:t>
            </w:r>
          </w:p>
          <w:p w:rsidR="00EB03BC" w:rsidRDefault="00EB03BC">
            <w:pPr>
              <w:pStyle w:val="NoSpacing"/>
              <w:spacing w:before="60"/>
              <w:ind w:left="257" w:firstLine="283"/>
              <w:jc w:val="both"/>
              <w:rPr>
                <w:rFonts w:ascii="Times New Roman" w:hAnsi="Times New Roman" w:cs="Times New Roman"/>
                <w:sz w:val="24"/>
                <w:szCs w:val="24"/>
              </w:rPr>
            </w:pPr>
            <w:r w:rsidRPr="00FF6746">
              <w:rPr>
                <w:rFonts w:ascii="Times New Roman" w:hAnsi="Times New Roman" w:cs="Times New Roman"/>
                <w:sz w:val="24"/>
                <w:szCs w:val="24"/>
              </w:rPr>
              <w:t>Šie grozījumi par maksas piemērošanu attiecībā uz informācijas izsniegšanu nav piemērojami un attiecināmi vispārpieejamai informācijai.</w:t>
            </w:r>
          </w:p>
          <w:p w:rsidR="008F531B" w:rsidRDefault="008F531B" w:rsidP="008F531B">
            <w:pPr>
              <w:pStyle w:val="NoSpacing"/>
              <w:spacing w:before="60"/>
              <w:ind w:left="257" w:firstLine="283"/>
              <w:jc w:val="both"/>
              <w:rPr>
                <w:rFonts w:ascii="Times New Roman" w:hAnsi="Times New Roman" w:cs="Times New Roman"/>
                <w:sz w:val="24"/>
                <w:szCs w:val="24"/>
              </w:rPr>
            </w:pPr>
            <w:r w:rsidRPr="00CC07C7">
              <w:rPr>
                <w:rFonts w:ascii="Times New Roman" w:hAnsi="Times New Roman" w:cs="Times New Roman"/>
                <w:sz w:val="24"/>
                <w:szCs w:val="24"/>
              </w:rPr>
              <w:t xml:space="preserve">Ņemot vērā Direktīvas 2013/37/ES nosacījumus un </w:t>
            </w:r>
            <w:r>
              <w:rPr>
                <w:rFonts w:ascii="Times New Roman" w:hAnsi="Times New Roman" w:cs="Times New Roman"/>
                <w:sz w:val="24"/>
                <w:szCs w:val="24"/>
              </w:rPr>
              <w:t>m</w:t>
            </w:r>
            <w:r w:rsidRPr="00CC07C7">
              <w:rPr>
                <w:rFonts w:ascii="Times New Roman" w:hAnsi="Times New Roman" w:cs="Times New Roman"/>
                <w:sz w:val="24"/>
                <w:szCs w:val="24"/>
              </w:rPr>
              <w:t>inēto nacionālo normatīvo aktu specifiku, likumprojekts paredz precizēt IAL likuma 13. panta otro daļu, nosakot vispārīgu un vienotu ietvaru maksas noteikšanai neatkarīgi no informācijas izsniegšanas veida.</w:t>
            </w:r>
          </w:p>
          <w:p w:rsidR="00B14B98" w:rsidRPr="00B825C9" w:rsidRDefault="00CA551B" w:rsidP="00E25931">
            <w:pPr>
              <w:pStyle w:val="NoSpacing"/>
              <w:numPr>
                <w:ilvl w:val="0"/>
                <w:numId w:val="11"/>
              </w:numPr>
              <w:spacing w:before="240"/>
              <w:ind w:left="257" w:firstLine="283"/>
              <w:jc w:val="both"/>
              <w:rPr>
                <w:rFonts w:ascii="Times New Roman" w:hAnsi="Times New Roman"/>
                <w:sz w:val="24"/>
                <w:szCs w:val="24"/>
              </w:rPr>
            </w:pPr>
            <w:r w:rsidRPr="00B825C9">
              <w:rPr>
                <w:rFonts w:ascii="Times New Roman" w:hAnsi="Times New Roman"/>
                <w:sz w:val="24"/>
                <w:szCs w:val="24"/>
              </w:rPr>
              <w:t>Lai</w:t>
            </w:r>
            <w:r w:rsidR="00C0616C" w:rsidRPr="00B825C9">
              <w:rPr>
                <w:rFonts w:ascii="Times New Roman" w:hAnsi="Times New Roman"/>
                <w:sz w:val="24"/>
                <w:szCs w:val="24"/>
              </w:rPr>
              <w:t xml:space="preserve"> nodrošinātu nepārprotamu Direktīvas 2003/98/EK un Direktīvas 2013/37/ES nosacījumu piemērošanu,</w:t>
            </w:r>
            <w:r w:rsidR="00094B2F" w:rsidRPr="00B825C9">
              <w:rPr>
                <w:rFonts w:ascii="Times New Roman" w:hAnsi="Times New Roman"/>
                <w:sz w:val="24"/>
                <w:szCs w:val="24"/>
              </w:rPr>
              <w:t xml:space="preserve"> (t.sk. nosacījumu, ka </w:t>
            </w:r>
            <w:proofErr w:type="spellStart"/>
            <w:r w:rsidR="00094B2F" w:rsidRPr="00B825C9">
              <w:rPr>
                <w:rFonts w:ascii="Times New Roman" w:hAnsi="Times New Roman"/>
                <w:sz w:val="24"/>
                <w:szCs w:val="24"/>
              </w:rPr>
              <w:t>atkalizmantošanai</w:t>
            </w:r>
            <w:proofErr w:type="spellEnd"/>
            <w:r w:rsidR="00094B2F" w:rsidRPr="00B825C9">
              <w:rPr>
                <w:rFonts w:ascii="Times New Roman" w:hAnsi="Times New Roman"/>
                <w:sz w:val="24"/>
                <w:szCs w:val="24"/>
              </w:rPr>
              <w:t xml:space="preserve"> nav nododama informācija, kas satur komercnoslēpumu),</w:t>
            </w:r>
            <w:r w:rsidR="00C0616C" w:rsidRPr="00B825C9">
              <w:rPr>
                <w:rFonts w:ascii="Times New Roman" w:hAnsi="Times New Roman"/>
                <w:sz w:val="24"/>
                <w:szCs w:val="24"/>
              </w:rPr>
              <w:t xml:space="preserve"> </w:t>
            </w:r>
            <w:r w:rsidRPr="00B825C9">
              <w:rPr>
                <w:rFonts w:ascii="Times New Roman" w:hAnsi="Times New Roman"/>
                <w:sz w:val="24"/>
                <w:szCs w:val="24"/>
              </w:rPr>
              <w:t>mazinātu administratīvo slogu</w:t>
            </w:r>
            <w:r w:rsidR="00B14B98" w:rsidRPr="00B825C9">
              <w:rPr>
                <w:rFonts w:ascii="Times New Roman" w:hAnsi="Times New Roman"/>
                <w:sz w:val="24"/>
                <w:szCs w:val="24"/>
              </w:rPr>
              <w:t xml:space="preserve"> un novērstu esošo IAL normu dažādu interpretāciju</w:t>
            </w:r>
            <w:r w:rsidRPr="00B825C9">
              <w:rPr>
                <w:rFonts w:ascii="Times New Roman" w:hAnsi="Times New Roman"/>
                <w:sz w:val="24"/>
                <w:szCs w:val="24"/>
              </w:rPr>
              <w:t>,</w:t>
            </w:r>
            <w:r w:rsidR="00B14B98" w:rsidRPr="00B825C9">
              <w:rPr>
                <w:rFonts w:ascii="Times New Roman" w:hAnsi="Times New Roman"/>
                <w:sz w:val="24"/>
                <w:szCs w:val="24"/>
              </w:rPr>
              <w:t xml:space="preserve"> </w:t>
            </w:r>
            <w:r w:rsidR="00C0616C" w:rsidRPr="00B825C9">
              <w:rPr>
                <w:rFonts w:ascii="Times New Roman" w:hAnsi="Times New Roman"/>
                <w:sz w:val="24"/>
                <w:szCs w:val="24"/>
              </w:rPr>
              <w:t>likumprojek</w:t>
            </w:r>
            <w:r w:rsidR="00094B2F" w:rsidRPr="00B825C9">
              <w:rPr>
                <w:rFonts w:ascii="Times New Roman" w:hAnsi="Times New Roman"/>
                <w:sz w:val="24"/>
                <w:szCs w:val="24"/>
              </w:rPr>
              <w:t>ts paredz precizēt IAL 5. un 7. </w:t>
            </w:r>
            <w:r w:rsidR="00C0616C" w:rsidRPr="00B825C9">
              <w:rPr>
                <w:rFonts w:ascii="Times New Roman" w:hAnsi="Times New Roman"/>
                <w:sz w:val="24"/>
                <w:szCs w:val="24"/>
              </w:rPr>
              <w:t xml:space="preserve">pantu, </w:t>
            </w:r>
            <w:r w:rsidR="00146D81" w:rsidRPr="00B825C9">
              <w:rPr>
                <w:rFonts w:ascii="Times New Roman" w:hAnsi="Times New Roman"/>
                <w:sz w:val="24"/>
                <w:szCs w:val="24"/>
              </w:rPr>
              <w:t>paredzot</w:t>
            </w:r>
            <w:r w:rsidR="00C0616C" w:rsidRPr="00B825C9">
              <w:rPr>
                <w:rFonts w:ascii="Times New Roman" w:hAnsi="Times New Roman"/>
                <w:sz w:val="24"/>
                <w:szCs w:val="24"/>
              </w:rPr>
              <w:t>, ka informācijai par komercnoslēpumu ierobežotas pieejamības statusu nosaka līdz brīdim, kad komersants paziņo par tā izbeigšanu vai komersants attiecīgo informāciju ir darījis publiski pieejamu.</w:t>
            </w:r>
          </w:p>
          <w:p w:rsidR="00CA551B" w:rsidRPr="008E5D5A" w:rsidRDefault="00094B2F" w:rsidP="00E25931">
            <w:pPr>
              <w:pStyle w:val="NoSpacing"/>
              <w:numPr>
                <w:ilvl w:val="0"/>
                <w:numId w:val="11"/>
              </w:numPr>
              <w:spacing w:before="240"/>
              <w:ind w:left="257" w:firstLine="283"/>
              <w:jc w:val="both"/>
              <w:rPr>
                <w:rFonts w:ascii="Times New Roman" w:hAnsi="Times New Roman" w:cs="Times New Roman"/>
                <w:sz w:val="24"/>
                <w:szCs w:val="24"/>
              </w:rPr>
            </w:pPr>
            <w:r w:rsidRPr="00B825C9">
              <w:rPr>
                <w:rFonts w:ascii="Times New Roman" w:hAnsi="Times New Roman"/>
                <w:sz w:val="24"/>
                <w:szCs w:val="24"/>
              </w:rPr>
              <w:t>Lai novērstu spēkā esošās IAL 17. panta redakcijas pretrunas</w:t>
            </w:r>
            <w:r w:rsidR="00146D81" w:rsidRPr="00B825C9">
              <w:rPr>
                <w:rFonts w:ascii="Times New Roman" w:hAnsi="Times New Roman"/>
                <w:sz w:val="24"/>
                <w:szCs w:val="24"/>
              </w:rPr>
              <w:t>,</w:t>
            </w:r>
            <w:r w:rsidRPr="00B825C9">
              <w:rPr>
                <w:rFonts w:ascii="Times New Roman" w:hAnsi="Times New Roman"/>
                <w:sz w:val="24"/>
                <w:szCs w:val="24"/>
              </w:rPr>
              <w:t xml:space="preserve"> tiek precizēta attiecīgā panta redakcija, kas ir saskaņā ar </w:t>
            </w:r>
            <w:r w:rsidR="00146D81" w:rsidRPr="00B825C9">
              <w:rPr>
                <w:rFonts w:ascii="Times New Roman" w:hAnsi="Times New Roman"/>
                <w:sz w:val="24"/>
                <w:szCs w:val="24"/>
              </w:rPr>
              <w:t>Direktīvu 2013/37/ES</w:t>
            </w:r>
            <w:r w:rsidRPr="00B825C9">
              <w:rPr>
                <w:rFonts w:ascii="Times New Roman" w:hAnsi="Times New Roman"/>
                <w:sz w:val="24"/>
                <w:szCs w:val="24"/>
              </w:rPr>
              <w:t xml:space="preserve"> un nodrošina nepārprotamu un precīzu normatīvā akta piemērošanu.</w:t>
            </w:r>
          </w:p>
        </w:tc>
      </w:tr>
      <w:tr w:rsidR="004D15A9" w:rsidRPr="00A616B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650DD" w:rsidRPr="00A616B8" w:rsidRDefault="00761DAD" w:rsidP="00EB3C0F">
            <w:pPr>
              <w:spacing w:after="0" w:line="240" w:lineRule="auto"/>
              <w:contextualSpacing/>
              <w:jc w:val="both"/>
              <w:rPr>
                <w:rFonts w:ascii="Times New Roman" w:hAnsi="Times New Roman" w:cs="Times New Roman"/>
                <w:iCs/>
                <w:sz w:val="24"/>
                <w:szCs w:val="24"/>
                <w:lang w:eastAsia="lv-LV"/>
              </w:rPr>
            </w:pPr>
            <w:r w:rsidRPr="00A616B8">
              <w:rPr>
                <w:rFonts w:ascii="Times New Roman" w:hAnsi="Times New Roman" w:cs="Times New Roman"/>
                <w:iCs/>
                <w:sz w:val="24"/>
                <w:szCs w:val="24"/>
                <w:lang w:eastAsia="lv-LV"/>
              </w:rPr>
              <w:t xml:space="preserve">Likumprojekts </w:t>
            </w:r>
            <w:r w:rsidR="005738BB" w:rsidRPr="00A616B8">
              <w:rPr>
                <w:rFonts w:ascii="Times New Roman" w:hAnsi="Times New Roman" w:cs="Times New Roman"/>
                <w:iCs/>
                <w:sz w:val="24"/>
                <w:szCs w:val="24"/>
                <w:lang w:eastAsia="lv-LV"/>
              </w:rPr>
              <w:t>izstrādāts Vides aizsardzības un reģionālās attīstības</w:t>
            </w:r>
            <w:r w:rsidR="00A2619B" w:rsidRPr="00A616B8">
              <w:rPr>
                <w:rFonts w:ascii="Times New Roman" w:hAnsi="Times New Roman" w:cs="Times New Roman"/>
                <w:iCs/>
                <w:sz w:val="24"/>
                <w:szCs w:val="24"/>
                <w:lang w:eastAsia="lv-LV"/>
              </w:rPr>
              <w:t xml:space="preserve"> ministrijā, </w:t>
            </w:r>
            <w:r w:rsidR="00D31584" w:rsidRPr="00A616B8">
              <w:rPr>
                <w:rFonts w:ascii="Times New Roman" w:hAnsi="Times New Roman" w:cs="Times New Roman"/>
                <w:iCs/>
                <w:sz w:val="24"/>
                <w:szCs w:val="24"/>
                <w:lang w:eastAsia="lv-LV"/>
              </w:rPr>
              <w:t xml:space="preserve">izveidojot </w:t>
            </w:r>
            <w:r w:rsidR="00EB3C0F">
              <w:rPr>
                <w:rFonts w:ascii="Times New Roman" w:hAnsi="Times New Roman" w:cs="Times New Roman"/>
                <w:iCs/>
                <w:sz w:val="24"/>
                <w:szCs w:val="24"/>
                <w:lang w:eastAsia="lv-LV"/>
              </w:rPr>
              <w:t>neformālu darba grupu, kurā tika iekļauti</w:t>
            </w:r>
            <w:r w:rsidR="00D31584" w:rsidRPr="00A616B8">
              <w:rPr>
                <w:rFonts w:ascii="Times New Roman" w:hAnsi="Times New Roman" w:cs="Times New Roman"/>
                <w:iCs/>
                <w:sz w:val="24"/>
                <w:szCs w:val="24"/>
                <w:lang w:eastAsia="lv-LV"/>
              </w:rPr>
              <w:t xml:space="preserve"> pārstāvji no </w:t>
            </w:r>
            <w:r w:rsidR="00EB3C0F">
              <w:rPr>
                <w:rFonts w:ascii="Times New Roman" w:hAnsi="Times New Roman" w:cs="Times New Roman"/>
                <w:iCs/>
                <w:sz w:val="24"/>
                <w:szCs w:val="24"/>
                <w:lang w:eastAsia="lv-LV"/>
              </w:rPr>
              <w:t>vis</w:t>
            </w:r>
            <w:r w:rsidR="00E5537F">
              <w:rPr>
                <w:rFonts w:ascii="Times New Roman" w:hAnsi="Times New Roman" w:cs="Times New Roman"/>
                <w:iCs/>
                <w:sz w:val="24"/>
                <w:szCs w:val="24"/>
                <w:lang w:eastAsia="lv-LV"/>
              </w:rPr>
              <w:t>u nozaru</w:t>
            </w:r>
            <w:r w:rsidR="00EB3C0F">
              <w:rPr>
                <w:rFonts w:ascii="Times New Roman" w:hAnsi="Times New Roman" w:cs="Times New Roman"/>
                <w:iCs/>
                <w:sz w:val="24"/>
                <w:szCs w:val="24"/>
                <w:lang w:eastAsia="lv-LV"/>
              </w:rPr>
              <w:t xml:space="preserve"> ministrijām, kā arī Valsts zemes dienesta, Latvijas Ģeotelpiskās informācijas aģentūras, Uzņēmumu reģistra, </w:t>
            </w:r>
            <w:r w:rsidR="00EB3C0F" w:rsidRPr="00EB3C0F">
              <w:rPr>
                <w:rFonts w:ascii="Times New Roman" w:hAnsi="Times New Roman" w:cs="Times New Roman"/>
                <w:iCs/>
                <w:sz w:val="24"/>
                <w:szCs w:val="24"/>
                <w:lang w:eastAsia="lv-LV"/>
              </w:rPr>
              <w:t>Kult</w:t>
            </w:r>
            <w:r w:rsidR="00EB3C0F">
              <w:rPr>
                <w:rFonts w:ascii="Times New Roman" w:hAnsi="Times New Roman" w:cs="Times New Roman"/>
                <w:iCs/>
                <w:sz w:val="24"/>
                <w:szCs w:val="24"/>
                <w:lang w:eastAsia="lv-LV"/>
              </w:rPr>
              <w:t>ūras informācijas sistēmu centra u.c. iestādēm.</w:t>
            </w:r>
          </w:p>
        </w:tc>
      </w:tr>
      <w:tr w:rsidR="004D15A9" w:rsidRPr="00A616B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145C2" w:rsidRDefault="004D15A9" w:rsidP="00DA596D">
            <w:pPr>
              <w:spacing w:after="0" w:line="240" w:lineRule="auto"/>
              <w:rPr>
                <w:rFonts w:ascii="Times New Roman" w:eastAsia="Times New Roman" w:hAnsi="Times New Roman" w:cs="Times New Roman"/>
                <w:color w:val="414142"/>
                <w:sz w:val="24"/>
                <w:szCs w:val="24"/>
                <w:lang w:eastAsia="lv-LV"/>
              </w:rPr>
            </w:pPr>
            <w:r w:rsidRPr="00E145C2">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053C" w:rsidRPr="00CA551B" w:rsidRDefault="002B053C" w:rsidP="00B825C9">
            <w:pPr>
              <w:pStyle w:val="NoSpacing"/>
              <w:spacing w:before="60"/>
              <w:jc w:val="both"/>
              <w:rPr>
                <w:rFonts w:ascii="Times New Roman" w:eastAsia="Times New Roman" w:hAnsi="Times New Roman" w:cs="Times New Roman"/>
                <w:sz w:val="24"/>
                <w:szCs w:val="24"/>
                <w:u w:val="single"/>
                <w:lang w:eastAsia="lv-LV"/>
              </w:rPr>
            </w:pPr>
            <w:r w:rsidRPr="00CA551B">
              <w:rPr>
                <w:rFonts w:ascii="Times New Roman" w:eastAsia="Times New Roman" w:hAnsi="Times New Roman" w:cs="Times New Roman"/>
                <w:sz w:val="24"/>
                <w:szCs w:val="24"/>
                <w:u w:val="single"/>
                <w:lang w:eastAsia="lv-LV"/>
              </w:rPr>
              <w:t xml:space="preserve">Par personas datu </w:t>
            </w:r>
            <w:r w:rsidR="005D5E00" w:rsidRPr="00CA551B">
              <w:rPr>
                <w:rFonts w:ascii="Times New Roman" w:eastAsia="Times New Roman" w:hAnsi="Times New Roman" w:cs="Times New Roman"/>
                <w:sz w:val="24"/>
                <w:szCs w:val="24"/>
                <w:u w:val="single"/>
                <w:lang w:eastAsia="lv-LV"/>
              </w:rPr>
              <w:t xml:space="preserve">pieejamību </w:t>
            </w:r>
            <w:proofErr w:type="spellStart"/>
            <w:r w:rsidRPr="00CA551B">
              <w:rPr>
                <w:rFonts w:ascii="Times New Roman" w:eastAsia="Times New Roman" w:hAnsi="Times New Roman" w:cs="Times New Roman"/>
                <w:sz w:val="24"/>
                <w:szCs w:val="24"/>
                <w:u w:val="single"/>
                <w:lang w:eastAsia="lv-LV"/>
              </w:rPr>
              <w:t>atkalizmantošan</w:t>
            </w:r>
            <w:r w:rsidR="005D5E00" w:rsidRPr="00CA551B">
              <w:rPr>
                <w:rFonts w:ascii="Times New Roman" w:eastAsia="Times New Roman" w:hAnsi="Times New Roman" w:cs="Times New Roman"/>
                <w:sz w:val="24"/>
                <w:szCs w:val="24"/>
                <w:u w:val="single"/>
                <w:lang w:eastAsia="lv-LV"/>
              </w:rPr>
              <w:t>ai</w:t>
            </w:r>
            <w:proofErr w:type="spellEnd"/>
          </w:p>
          <w:p w:rsidR="00B825C9" w:rsidRDefault="005D5E00" w:rsidP="00B825C9">
            <w:pPr>
              <w:pStyle w:val="NoSpacing"/>
              <w:spacing w:before="60"/>
              <w:jc w:val="both"/>
              <w:rPr>
                <w:rFonts w:ascii="Times New Roman" w:eastAsia="Times New Roman" w:hAnsi="Times New Roman" w:cs="Times New Roman"/>
                <w:sz w:val="24"/>
                <w:szCs w:val="24"/>
                <w:lang w:eastAsia="lv-LV"/>
              </w:rPr>
            </w:pPr>
            <w:r w:rsidRPr="005D5E00">
              <w:rPr>
                <w:rFonts w:ascii="Times New Roman" w:eastAsia="Times New Roman" w:hAnsi="Times New Roman" w:cs="Times New Roman"/>
                <w:sz w:val="24"/>
                <w:szCs w:val="24"/>
                <w:lang w:eastAsia="lv-LV"/>
              </w:rPr>
              <w:t xml:space="preserve">Gadījumos, kad speciālajos normatīvajos aktos noteikta atsevišķa kārtība informācijas tajā skaitā personas datu pieejamībai, (piemēram, Latvijas Republikas Uzņēmumu reģistra </w:t>
            </w:r>
            <w:proofErr w:type="spellStart"/>
            <w:r w:rsidRPr="005D5E00">
              <w:rPr>
                <w:rFonts w:ascii="Times New Roman" w:eastAsia="Times New Roman" w:hAnsi="Times New Roman" w:cs="Times New Roman"/>
                <w:sz w:val="24"/>
                <w:szCs w:val="24"/>
                <w:lang w:eastAsia="lv-LV"/>
              </w:rPr>
              <w:t>pārziņā</w:t>
            </w:r>
            <w:proofErr w:type="spellEnd"/>
            <w:r w:rsidRPr="005D5E00">
              <w:rPr>
                <w:rFonts w:ascii="Times New Roman" w:eastAsia="Times New Roman" w:hAnsi="Times New Roman" w:cs="Times New Roman"/>
                <w:sz w:val="24"/>
                <w:szCs w:val="24"/>
                <w:lang w:eastAsia="lv-LV"/>
              </w:rPr>
              <w:t xml:space="preserve"> esošajos reģistros uzkrātie personu dati), ja privātpersona šos datus izmanto </w:t>
            </w:r>
            <w:proofErr w:type="spellStart"/>
            <w:r w:rsidRPr="005D5E00">
              <w:rPr>
                <w:rFonts w:ascii="Times New Roman" w:eastAsia="Times New Roman" w:hAnsi="Times New Roman" w:cs="Times New Roman"/>
                <w:sz w:val="24"/>
                <w:szCs w:val="24"/>
                <w:lang w:eastAsia="lv-LV"/>
              </w:rPr>
              <w:t>atkalizmantošanai</w:t>
            </w:r>
            <w:proofErr w:type="spellEnd"/>
            <w:r w:rsidRPr="005D5E00">
              <w:rPr>
                <w:rFonts w:ascii="Times New Roman" w:eastAsia="Times New Roman" w:hAnsi="Times New Roman" w:cs="Times New Roman"/>
                <w:sz w:val="24"/>
                <w:szCs w:val="24"/>
                <w:lang w:eastAsia="lv-LV"/>
              </w:rPr>
              <w:t>, tai jāievēro gan IAL gan personas datu aizsardzību reglamentējošie normatīvie akti.</w:t>
            </w:r>
          </w:p>
          <w:p w:rsidR="00B825C9" w:rsidRPr="00B825C9" w:rsidRDefault="00B825C9" w:rsidP="00B825C9">
            <w:pPr>
              <w:pStyle w:val="NoSpacing"/>
              <w:spacing w:before="360"/>
              <w:jc w:val="both"/>
              <w:rPr>
                <w:rFonts w:ascii="Times New Roman" w:eastAsia="Times New Roman" w:hAnsi="Times New Roman" w:cs="Times New Roman"/>
                <w:sz w:val="24"/>
                <w:szCs w:val="24"/>
                <w:u w:val="single"/>
                <w:lang w:eastAsia="lv-LV"/>
              </w:rPr>
            </w:pPr>
            <w:r w:rsidRPr="00B825C9">
              <w:rPr>
                <w:rFonts w:ascii="Times New Roman" w:eastAsia="Times New Roman" w:hAnsi="Times New Roman" w:cs="Times New Roman"/>
                <w:sz w:val="24"/>
                <w:szCs w:val="24"/>
                <w:u w:val="single"/>
                <w:lang w:eastAsia="lv-LV"/>
              </w:rPr>
              <w:t xml:space="preserve">Par nepieciešamību izvērtēt esošo praksi par </w:t>
            </w:r>
            <w:proofErr w:type="spellStart"/>
            <w:r w:rsidRPr="00B825C9">
              <w:rPr>
                <w:rFonts w:ascii="Times New Roman" w:eastAsia="Times New Roman" w:hAnsi="Times New Roman" w:cs="Times New Roman"/>
                <w:sz w:val="24"/>
                <w:szCs w:val="24"/>
                <w:u w:val="single"/>
                <w:lang w:eastAsia="lv-LV"/>
              </w:rPr>
              <w:t>atkalizmantošanas</w:t>
            </w:r>
            <w:proofErr w:type="spellEnd"/>
            <w:r w:rsidRPr="00B825C9">
              <w:rPr>
                <w:rFonts w:ascii="Times New Roman" w:eastAsia="Times New Roman" w:hAnsi="Times New Roman" w:cs="Times New Roman"/>
                <w:sz w:val="24"/>
                <w:szCs w:val="24"/>
                <w:u w:val="single"/>
                <w:lang w:eastAsia="lv-LV"/>
              </w:rPr>
              <w:t xml:space="preserve"> nosacījumiem</w:t>
            </w:r>
          </w:p>
          <w:p w:rsidR="00E24F47" w:rsidRPr="00E24F47" w:rsidRDefault="00B825C9" w:rsidP="00E24F47">
            <w:pPr>
              <w:pStyle w:val="NoSpacing"/>
              <w:spacing w:before="120"/>
              <w:jc w:val="both"/>
              <w:rPr>
                <w:rFonts w:ascii="Times New Roman" w:eastAsia="Times New Roman" w:hAnsi="Times New Roman" w:cs="Times New Roman"/>
                <w:sz w:val="24"/>
                <w:szCs w:val="24"/>
                <w:lang w:eastAsia="lv-LV"/>
              </w:rPr>
            </w:pPr>
            <w:r w:rsidRPr="00B825C9">
              <w:rPr>
                <w:rFonts w:ascii="Times New Roman" w:eastAsia="Times New Roman" w:hAnsi="Times New Roman" w:cs="Times New Roman"/>
                <w:sz w:val="24"/>
                <w:szCs w:val="24"/>
                <w:lang w:eastAsia="lv-LV"/>
              </w:rPr>
              <w:t xml:space="preserve">Likumprojekta izstrādes darba grupā un likumprojekta saskaņošanas gaitā tika konstatēts, ka Latvijā pastāv dažādas pieejas </w:t>
            </w:r>
            <w:proofErr w:type="spellStart"/>
            <w:r w:rsidRPr="00B825C9">
              <w:rPr>
                <w:rFonts w:ascii="Times New Roman" w:eastAsia="Times New Roman" w:hAnsi="Times New Roman" w:cs="Times New Roman"/>
                <w:sz w:val="24"/>
                <w:szCs w:val="24"/>
                <w:lang w:eastAsia="lv-LV"/>
              </w:rPr>
              <w:t>atkalzimantošanas</w:t>
            </w:r>
            <w:proofErr w:type="spellEnd"/>
            <w:r w:rsidRPr="00B825C9">
              <w:rPr>
                <w:rFonts w:ascii="Times New Roman" w:eastAsia="Times New Roman" w:hAnsi="Times New Roman" w:cs="Times New Roman"/>
                <w:sz w:val="24"/>
                <w:szCs w:val="24"/>
                <w:lang w:eastAsia="lv-LV"/>
              </w:rPr>
              <w:t xml:space="preserve"> nosacījumu izvirzīšanā, </w:t>
            </w:r>
            <w:r w:rsidRPr="00B825C9">
              <w:rPr>
                <w:rFonts w:ascii="Times New Roman" w:eastAsia="Times New Roman" w:hAnsi="Times New Roman" w:cs="Times New Roman"/>
                <w:sz w:val="24"/>
                <w:szCs w:val="24"/>
                <w:lang w:eastAsia="lv-LV"/>
              </w:rPr>
              <w:lastRenderedPageBreak/>
              <w:t xml:space="preserve">nosacījumi izteikti gan Ministru kabineta noteikumu veidā, gan kā iestāžu veidoti līgumi, nav noteikts un nav izvērtēts vai būtu jānosaka </w:t>
            </w:r>
            <w:proofErr w:type="spellStart"/>
            <w:r w:rsidRPr="00B825C9">
              <w:rPr>
                <w:rFonts w:ascii="Times New Roman" w:eastAsia="Times New Roman" w:hAnsi="Times New Roman" w:cs="Times New Roman"/>
                <w:sz w:val="24"/>
                <w:szCs w:val="24"/>
                <w:lang w:eastAsia="lv-LV"/>
              </w:rPr>
              <w:t>atkalizmantošanas</w:t>
            </w:r>
            <w:proofErr w:type="spellEnd"/>
            <w:r w:rsidRPr="00B825C9">
              <w:rPr>
                <w:rFonts w:ascii="Times New Roman" w:eastAsia="Times New Roman" w:hAnsi="Times New Roman" w:cs="Times New Roman"/>
                <w:sz w:val="24"/>
                <w:szCs w:val="24"/>
                <w:lang w:eastAsia="lv-LV"/>
              </w:rPr>
              <w:t xml:space="preserve"> nosacījumi gadījumiem, kad vispārpieejama informācija tiek publiskota bez ierobežojumiem. Lai risinātu minētās problēmas likumprojektam pievienots </w:t>
            </w:r>
            <w:proofErr w:type="spellStart"/>
            <w:r w:rsidRPr="00B825C9">
              <w:rPr>
                <w:rFonts w:ascii="Times New Roman" w:eastAsia="Times New Roman" w:hAnsi="Times New Roman" w:cs="Times New Roman"/>
                <w:sz w:val="24"/>
                <w:szCs w:val="24"/>
                <w:lang w:eastAsia="lv-LV"/>
              </w:rPr>
              <w:t>protokollēmums</w:t>
            </w:r>
            <w:proofErr w:type="spellEnd"/>
            <w:r w:rsidRPr="00B825C9">
              <w:rPr>
                <w:rFonts w:ascii="Times New Roman" w:eastAsia="Times New Roman" w:hAnsi="Times New Roman" w:cs="Times New Roman"/>
                <w:sz w:val="24"/>
                <w:szCs w:val="24"/>
                <w:lang w:eastAsia="lv-LV"/>
              </w:rPr>
              <w:t xml:space="preserve">, kas paredz </w:t>
            </w:r>
            <w:r w:rsidR="00B779D9" w:rsidRPr="00B779D9">
              <w:rPr>
                <w:rFonts w:ascii="Times New Roman" w:eastAsia="Times New Roman" w:hAnsi="Times New Roman" w:cs="Times New Roman"/>
                <w:sz w:val="24"/>
                <w:szCs w:val="24"/>
                <w:lang w:eastAsia="lv-LV"/>
              </w:rPr>
              <w:t xml:space="preserve">Vides aizsardzības un reģionālās attīstības ministrijai izveidot darba grupu, kurai līdz 2016. gada 1. jūlijam izvērtēt esošo praksi par </w:t>
            </w:r>
            <w:proofErr w:type="spellStart"/>
            <w:r w:rsidR="00B779D9" w:rsidRPr="00B779D9">
              <w:rPr>
                <w:rFonts w:ascii="Times New Roman" w:eastAsia="Times New Roman" w:hAnsi="Times New Roman" w:cs="Times New Roman"/>
                <w:sz w:val="24"/>
                <w:szCs w:val="24"/>
                <w:lang w:eastAsia="lv-LV"/>
              </w:rPr>
              <w:t>atkalizmantošanas</w:t>
            </w:r>
            <w:proofErr w:type="spellEnd"/>
            <w:r w:rsidR="00B779D9" w:rsidRPr="00B779D9">
              <w:rPr>
                <w:rFonts w:ascii="Times New Roman" w:eastAsia="Times New Roman" w:hAnsi="Times New Roman" w:cs="Times New Roman"/>
                <w:sz w:val="24"/>
                <w:szCs w:val="24"/>
                <w:lang w:eastAsia="lv-LV"/>
              </w:rPr>
              <w:t xml:space="preserve"> nosacījumiem  un, ja nepieciešams, sagatavot priekšlikumus par izvirzāmajiem </w:t>
            </w:r>
            <w:proofErr w:type="spellStart"/>
            <w:r w:rsidR="00B779D9" w:rsidRPr="00B779D9">
              <w:rPr>
                <w:rFonts w:ascii="Times New Roman" w:eastAsia="Times New Roman" w:hAnsi="Times New Roman" w:cs="Times New Roman"/>
                <w:sz w:val="24"/>
                <w:szCs w:val="24"/>
                <w:lang w:eastAsia="lv-LV"/>
              </w:rPr>
              <w:t>atkalizmantošanas</w:t>
            </w:r>
            <w:proofErr w:type="spellEnd"/>
            <w:r w:rsidR="00B779D9" w:rsidRPr="00B779D9">
              <w:rPr>
                <w:rFonts w:ascii="Times New Roman" w:eastAsia="Times New Roman" w:hAnsi="Times New Roman" w:cs="Times New Roman"/>
                <w:sz w:val="24"/>
                <w:szCs w:val="24"/>
                <w:lang w:eastAsia="lv-LV"/>
              </w:rPr>
              <w:t xml:space="preserve"> nosacījumiem un kārtību, kādā šie nosacījumi izvirzāmi.</w:t>
            </w:r>
          </w:p>
        </w:tc>
      </w:tr>
      <w:tr w:rsidR="005D4E8A" w:rsidRPr="00A616B8" w:rsidTr="00D313D5">
        <w:trPr>
          <w:trHeight w:val="128"/>
        </w:trPr>
        <w:tc>
          <w:tcPr>
            <w:tcW w:w="5000" w:type="pct"/>
            <w:gridSpan w:val="3"/>
            <w:tcBorders>
              <w:top w:val="outset" w:sz="6" w:space="0" w:color="414142"/>
              <w:left w:val="nil"/>
              <w:bottom w:val="outset" w:sz="6" w:space="0" w:color="414142"/>
              <w:right w:val="nil"/>
            </w:tcBorders>
          </w:tcPr>
          <w:p w:rsidR="00031256" w:rsidRPr="00A616B8"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lastRenderedPageBreak/>
              <w:tab/>
            </w:r>
          </w:p>
        </w:tc>
      </w:tr>
      <w:tr w:rsidR="004D15A9" w:rsidRPr="00A616B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4D15A9" w:rsidRPr="00A616B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F63D6" w:rsidRPr="00A616B8" w:rsidRDefault="00FE5A45" w:rsidP="00D31584">
            <w:pPr>
              <w:spacing w:after="0" w:line="240" w:lineRule="auto"/>
              <w:jc w:val="both"/>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Fiziskas un juridiskas p</w:t>
            </w:r>
            <w:r w:rsidR="00E3239A" w:rsidRPr="00A616B8">
              <w:rPr>
                <w:rFonts w:ascii="Times New Roman" w:eastAsia="Times New Roman" w:hAnsi="Times New Roman" w:cs="Times New Roman"/>
                <w:color w:val="414142"/>
                <w:sz w:val="24"/>
                <w:szCs w:val="24"/>
                <w:lang w:eastAsia="lv-LV"/>
              </w:rPr>
              <w:t xml:space="preserve">ersonas, kuras vēlētos </w:t>
            </w:r>
            <w:proofErr w:type="spellStart"/>
            <w:r w:rsidR="00E3239A" w:rsidRPr="00A616B8">
              <w:rPr>
                <w:rFonts w:ascii="Times New Roman" w:eastAsia="Times New Roman" w:hAnsi="Times New Roman" w:cs="Times New Roman"/>
                <w:color w:val="414142"/>
                <w:sz w:val="24"/>
                <w:szCs w:val="24"/>
                <w:lang w:eastAsia="lv-LV"/>
              </w:rPr>
              <w:t>atkalizmantot</w:t>
            </w:r>
            <w:proofErr w:type="spellEnd"/>
            <w:r w:rsidR="00E3239A" w:rsidRPr="00A616B8">
              <w:rPr>
                <w:rFonts w:ascii="Times New Roman" w:eastAsia="Times New Roman" w:hAnsi="Times New Roman" w:cs="Times New Roman"/>
                <w:color w:val="414142"/>
                <w:sz w:val="24"/>
                <w:szCs w:val="24"/>
                <w:lang w:eastAsia="lv-LV"/>
              </w:rPr>
              <w:t xml:space="preserve"> valsts </w:t>
            </w:r>
            <w:r w:rsidRPr="00A616B8">
              <w:rPr>
                <w:rFonts w:ascii="Times New Roman" w:eastAsia="Times New Roman" w:hAnsi="Times New Roman" w:cs="Times New Roman"/>
                <w:color w:val="414142"/>
                <w:sz w:val="24"/>
                <w:szCs w:val="24"/>
                <w:lang w:eastAsia="lv-LV"/>
              </w:rPr>
              <w:t>vai pašvaldību iestāžu rīcībā esošo informāciju.</w:t>
            </w:r>
          </w:p>
        </w:tc>
      </w:tr>
      <w:tr w:rsidR="004D15A9" w:rsidRPr="00A616B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16B8" w:rsidRDefault="00761DAD"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hAnsi="Times New Roman" w:cs="Times New Roman"/>
                <w:sz w:val="24"/>
                <w:szCs w:val="24"/>
                <w:lang w:eastAsia="lv-LV"/>
              </w:rPr>
              <w:t>Projekts šo jomu neskar</w:t>
            </w:r>
            <w:r w:rsidR="00531E05">
              <w:rPr>
                <w:rFonts w:ascii="Times New Roman" w:hAnsi="Times New Roman" w:cs="Times New Roman"/>
                <w:sz w:val="24"/>
                <w:szCs w:val="24"/>
                <w:lang w:eastAsia="lv-LV"/>
              </w:rPr>
              <w:t>.</w:t>
            </w:r>
          </w:p>
        </w:tc>
      </w:tr>
      <w:tr w:rsidR="004D15A9" w:rsidRPr="00A616B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16B8" w:rsidRDefault="00761DAD"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hAnsi="Times New Roman" w:cs="Times New Roman"/>
                <w:sz w:val="24"/>
                <w:szCs w:val="24"/>
                <w:lang w:eastAsia="lv-LV"/>
              </w:rPr>
              <w:t>Projekts šo jomu neskar</w:t>
            </w:r>
            <w:r w:rsidR="00531E05">
              <w:rPr>
                <w:rFonts w:ascii="Times New Roman" w:hAnsi="Times New Roman" w:cs="Times New Roman"/>
                <w:sz w:val="24"/>
                <w:szCs w:val="24"/>
                <w:lang w:eastAsia="lv-LV"/>
              </w:rPr>
              <w:t>.</w:t>
            </w:r>
          </w:p>
        </w:tc>
      </w:tr>
      <w:tr w:rsidR="004D15A9" w:rsidRPr="00A616B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16B8" w:rsidRDefault="00761DAD" w:rsidP="00761DA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sz w:val="24"/>
                <w:szCs w:val="24"/>
                <w:lang w:eastAsia="lv-LV"/>
              </w:rPr>
              <w:t>Nav</w:t>
            </w:r>
            <w:r w:rsidR="00531E05">
              <w:rPr>
                <w:rFonts w:ascii="Times New Roman" w:eastAsia="Times New Roman" w:hAnsi="Times New Roman" w:cs="Times New Roman"/>
                <w:sz w:val="24"/>
                <w:szCs w:val="24"/>
                <w:lang w:eastAsia="lv-LV"/>
              </w:rPr>
              <w:t>.</w:t>
            </w:r>
          </w:p>
        </w:tc>
      </w:tr>
      <w:tr w:rsidR="00031256" w:rsidRPr="00A616B8" w:rsidTr="00D313D5">
        <w:trPr>
          <w:trHeight w:val="345"/>
        </w:trPr>
        <w:tc>
          <w:tcPr>
            <w:tcW w:w="5000" w:type="pct"/>
            <w:gridSpan w:val="3"/>
            <w:tcBorders>
              <w:top w:val="outset" w:sz="6" w:space="0" w:color="414142"/>
              <w:left w:val="nil"/>
              <w:bottom w:val="single" w:sz="6" w:space="0" w:color="auto"/>
              <w:right w:val="nil"/>
            </w:tcBorders>
          </w:tcPr>
          <w:p w:rsidR="00031256" w:rsidRPr="00A616B8" w:rsidRDefault="00031256" w:rsidP="00DA596D">
            <w:pPr>
              <w:spacing w:after="0" w:line="240" w:lineRule="auto"/>
              <w:rPr>
                <w:rFonts w:ascii="Times New Roman" w:eastAsia="Times New Roman" w:hAnsi="Times New Roman" w:cs="Times New Roman"/>
                <w:color w:val="414142"/>
                <w:sz w:val="24"/>
                <w:szCs w:val="24"/>
                <w:lang w:eastAsia="lv-LV"/>
              </w:rPr>
            </w:pPr>
          </w:p>
        </w:tc>
      </w:tr>
      <w:tr w:rsidR="004D15A9" w:rsidRPr="00A616B8"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72A45" w:rsidRPr="00A616B8"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072A45" w:rsidRPr="00A616B8" w:rsidRDefault="00072A45" w:rsidP="00DA596D">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EB3C0F">
              <w:rPr>
                <w:rFonts w:ascii="Times New Roman" w:hAnsi="Times New Roman" w:cs="Times New Roman"/>
                <w:sz w:val="24"/>
                <w:szCs w:val="24"/>
                <w:lang w:eastAsia="lv-LV"/>
              </w:rPr>
              <w:t>Projekts šo jomu neskar</w:t>
            </w:r>
          </w:p>
        </w:tc>
      </w:tr>
    </w:tbl>
    <w:p w:rsidR="00EB3C0F" w:rsidRDefault="00EB3C0F"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4B4BB5" w:rsidRPr="00A616B8" w:rsidTr="00DE3AA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B4BB5" w:rsidRPr="00A616B8" w:rsidRDefault="004B4BB5" w:rsidP="00DE3AA6">
            <w:pPr>
              <w:spacing w:after="0" w:line="240" w:lineRule="auto"/>
              <w:ind w:firstLine="300"/>
              <w:jc w:val="center"/>
              <w:rPr>
                <w:rFonts w:ascii="Times New Roman" w:eastAsia="Times New Roman" w:hAnsi="Times New Roman" w:cs="Times New Roman"/>
                <w:b/>
                <w:bCs/>
                <w:color w:val="414142"/>
                <w:sz w:val="24"/>
                <w:szCs w:val="24"/>
                <w:lang w:eastAsia="lv-LV"/>
              </w:rPr>
            </w:pPr>
            <w:r w:rsidRPr="004B4BB5">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4B4BB5" w:rsidRPr="00A616B8" w:rsidTr="00DE3AA6">
        <w:tc>
          <w:tcPr>
            <w:tcW w:w="250" w:type="pct"/>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4B4BB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B4BB5" w:rsidRPr="00114B8D" w:rsidRDefault="001021F4" w:rsidP="001021F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Līdz 2016. gada 1. jūlijam n</w:t>
            </w:r>
            <w:r w:rsidR="00114B8D">
              <w:rPr>
                <w:rFonts w:ascii="Times New Roman" w:eastAsia="Times New Roman" w:hAnsi="Times New Roman" w:cs="Times New Roman"/>
                <w:color w:val="414142"/>
                <w:sz w:val="24"/>
                <w:szCs w:val="24"/>
                <w:lang w:eastAsia="lv-LV"/>
              </w:rPr>
              <w:t xml:space="preserve">epieciešams </w:t>
            </w:r>
            <w:r w:rsidR="00114B8D" w:rsidRPr="00114B8D">
              <w:rPr>
                <w:rFonts w:ascii="Times New Roman" w:eastAsia="Times New Roman" w:hAnsi="Times New Roman" w:cs="Times New Roman"/>
                <w:color w:val="414142"/>
                <w:sz w:val="24"/>
                <w:szCs w:val="24"/>
                <w:lang w:eastAsia="lv-LV"/>
              </w:rPr>
              <w:t xml:space="preserve">izvērtēt esošo praksi par to, kādi nosacījumi tiek paredzēti </w:t>
            </w:r>
            <w:proofErr w:type="spellStart"/>
            <w:r w:rsidR="00114B8D" w:rsidRPr="00114B8D">
              <w:rPr>
                <w:rFonts w:ascii="Times New Roman" w:eastAsia="Times New Roman" w:hAnsi="Times New Roman" w:cs="Times New Roman"/>
                <w:color w:val="414142"/>
                <w:sz w:val="24"/>
                <w:szCs w:val="24"/>
                <w:lang w:eastAsia="lv-LV"/>
              </w:rPr>
              <w:t>atkalizmantošanai</w:t>
            </w:r>
            <w:proofErr w:type="spellEnd"/>
            <w:r w:rsidR="00114B8D" w:rsidRPr="00114B8D">
              <w:rPr>
                <w:rFonts w:ascii="Times New Roman" w:eastAsia="Times New Roman" w:hAnsi="Times New Roman" w:cs="Times New Roman"/>
                <w:color w:val="414142"/>
                <w:sz w:val="24"/>
                <w:szCs w:val="24"/>
                <w:lang w:eastAsia="lv-LV"/>
              </w:rPr>
              <w:t xml:space="preserve"> un, ja nepieciešams, sagatavot priekšlikumus par izvirzāmajiem </w:t>
            </w:r>
            <w:proofErr w:type="spellStart"/>
            <w:r w:rsidR="00114B8D" w:rsidRPr="00114B8D">
              <w:rPr>
                <w:rFonts w:ascii="Times New Roman" w:eastAsia="Times New Roman" w:hAnsi="Times New Roman" w:cs="Times New Roman"/>
                <w:color w:val="414142"/>
                <w:sz w:val="24"/>
                <w:szCs w:val="24"/>
                <w:lang w:eastAsia="lv-LV"/>
              </w:rPr>
              <w:t>atkalizmantošanas</w:t>
            </w:r>
            <w:proofErr w:type="spellEnd"/>
            <w:r w:rsidR="00114B8D" w:rsidRPr="00114B8D">
              <w:rPr>
                <w:rFonts w:ascii="Times New Roman" w:eastAsia="Times New Roman" w:hAnsi="Times New Roman" w:cs="Times New Roman"/>
                <w:color w:val="414142"/>
                <w:sz w:val="24"/>
                <w:szCs w:val="24"/>
                <w:lang w:eastAsia="lv-LV"/>
              </w:rPr>
              <w:t xml:space="preserve"> nosacījumiem un kārtību, kādā izvirzāmi </w:t>
            </w:r>
            <w:proofErr w:type="spellStart"/>
            <w:r w:rsidR="00114B8D" w:rsidRPr="00114B8D">
              <w:rPr>
                <w:rFonts w:ascii="Times New Roman" w:eastAsia="Times New Roman" w:hAnsi="Times New Roman" w:cs="Times New Roman"/>
                <w:color w:val="414142"/>
                <w:sz w:val="24"/>
                <w:szCs w:val="24"/>
                <w:lang w:eastAsia="lv-LV"/>
              </w:rPr>
              <w:t>atkalizmantošanas</w:t>
            </w:r>
            <w:proofErr w:type="spellEnd"/>
            <w:r w:rsidR="00114B8D" w:rsidRPr="00114B8D">
              <w:rPr>
                <w:rFonts w:ascii="Times New Roman" w:eastAsia="Times New Roman" w:hAnsi="Times New Roman" w:cs="Times New Roman"/>
                <w:color w:val="414142"/>
                <w:sz w:val="24"/>
                <w:szCs w:val="24"/>
                <w:lang w:eastAsia="lv-LV"/>
              </w:rPr>
              <w:t xml:space="preserve"> nosacījumi.</w:t>
            </w:r>
          </w:p>
        </w:tc>
      </w:tr>
      <w:tr w:rsidR="004B4BB5" w:rsidRPr="00A616B8" w:rsidTr="00114B8D">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4B4BB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B4BB5" w:rsidRPr="00A616B8" w:rsidRDefault="001021F4" w:rsidP="00DE3AA6">
            <w:pPr>
              <w:spacing w:after="0" w:line="240" w:lineRule="auto"/>
              <w:rPr>
                <w:rFonts w:ascii="Times New Roman" w:eastAsia="Times New Roman" w:hAnsi="Times New Roman" w:cs="Times New Roman"/>
                <w:color w:val="414142"/>
                <w:sz w:val="24"/>
                <w:szCs w:val="24"/>
                <w:lang w:eastAsia="lv-LV"/>
              </w:rPr>
            </w:pPr>
            <w:r w:rsidRPr="001021F4">
              <w:rPr>
                <w:rFonts w:ascii="Times New Roman" w:eastAsia="Times New Roman" w:hAnsi="Times New Roman" w:cs="Times New Roman"/>
                <w:color w:val="414142"/>
                <w:sz w:val="24"/>
                <w:szCs w:val="24"/>
                <w:lang w:eastAsia="lv-LV"/>
              </w:rPr>
              <w:t>Vides aizsardzības un r</w:t>
            </w:r>
            <w:r>
              <w:rPr>
                <w:rFonts w:ascii="Times New Roman" w:eastAsia="Times New Roman" w:hAnsi="Times New Roman" w:cs="Times New Roman"/>
                <w:color w:val="414142"/>
                <w:sz w:val="24"/>
                <w:szCs w:val="24"/>
                <w:lang w:eastAsia="lv-LV"/>
              </w:rPr>
              <w:t>eģionālās attīstības ministrija</w:t>
            </w:r>
          </w:p>
        </w:tc>
      </w:tr>
      <w:tr w:rsidR="004B4BB5" w:rsidRPr="00A616B8" w:rsidTr="00DE3AA6">
        <w:tc>
          <w:tcPr>
            <w:tcW w:w="250" w:type="pct"/>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B4BB5" w:rsidRPr="00A616B8" w:rsidRDefault="004B4BB5" w:rsidP="00DE3AA6">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B4BB5" w:rsidRPr="00A616B8" w:rsidRDefault="00273265" w:rsidP="00DE3A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A616B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4D15A9" w:rsidRPr="00A616B8"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4D15A9" w:rsidRPr="00A616B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EB3C0F" w:rsidRPr="00A616B8" w:rsidRDefault="00FE5A45" w:rsidP="00EB3C0F">
            <w:pPr>
              <w:spacing w:after="0" w:line="240" w:lineRule="auto"/>
              <w:jc w:val="both"/>
              <w:rPr>
                <w:rFonts w:ascii="Times New Roman" w:eastAsia="Times New Roman" w:hAnsi="Times New Roman" w:cs="Times New Roman"/>
                <w:color w:val="414142"/>
                <w:sz w:val="24"/>
                <w:szCs w:val="24"/>
                <w:lang w:eastAsia="lv-LV"/>
              </w:rPr>
            </w:pPr>
            <w:r w:rsidRPr="00A616B8">
              <w:rPr>
                <w:rFonts w:ascii="Times New Roman" w:hAnsi="Times New Roman" w:cs="Times New Roman"/>
                <w:sz w:val="24"/>
                <w:szCs w:val="24"/>
              </w:rPr>
              <w:t>Eiropas Parlamenta un Padomes direktīva 2013/37/ES, ar k</w:t>
            </w:r>
            <w:r w:rsidR="00EB3C0F">
              <w:rPr>
                <w:rFonts w:ascii="Times New Roman" w:hAnsi="Times New Roman" w:cs="Times New Roman"/>
                <w:sz w:val="24"/>
                <w:szCs w:val="24"/>
              </w:rPr>
              <w:t>uru</w:t>
            </w:r>
            <w:r w:rsidRPr="00A616B8">
              <w:rPr>
                <w:rFonts w:ascii="Times New Roman" w:hAnsi="Times New Roman" w:cs="Times New Roman"/>
                <w:sz w:val="24"/>
                <w:szCs w:val="24"/>
              </w:rPr>
              <w:t xml:space="preserve"> groza Direktīvu 2003/98/EK</w:t>
            </w:r>
            <w:r w:rsidR="00EB3C0F" w:rsidRPr="00C50B45">
              <w:rPr>
                <w:rFonts w:ascii="Times New Roman" w:hAnsi="Times New Roman" w:cs="Times New Roman"/>
                <w:sz w:val="24"/>
                <w:szCs w:val="24"/>
              </w:rPr>
              <w:t xml:space="preserve">. Dalībvalstīm ir pienākums Direktīvu 2013/37/ES pārņemt </w:t>
            </w:r>
            <w:r w:rsidR="007039B0">
              <w:rPr>
                <w:rFonts w:ascii="Times New Roman" w:hAnsi="Times New Roman" w:cs="Times New Roman"/>
                <w:sz w:val="24"/>
                <w:szCs w:val="24"/>
              </w:rPr>
              <w:t xml:space="preserve">valsts tiesību aktos </w:t>
            </w:r>
            <w:r w:rsidR="00EB3C0F" w:rsidRPr="00C50B45">
              <w:rPr>
                <w:rFonts w:ascii="Times New Roman" w:hAnsi="Times New Roman" w:cs="Times New Roman"/>
                <w:sz w:val="24"/>
                <w:szCs w:val="24"/>
              </w:rPr>
              <w:t>līdz 2015.</w:t>
            </w:r>
            <w:r w:rsidR="00273265">
              <w:rPr>
                <w:rFonts w:ascii="Times New Roman" w:hAnsi="Times New Roman" w:cs="Times New Roman"/>
                <w:sz w:val="24"/>
                <w:szCs w:val="24"/>
              </w:rPr>
              <w:t> </w:t>
            </w:r>
            <w:r w:rsidR="00EB3C0F" w:rsidRPr="00C50B45">
              <w:rPr>
                <w:rFonts w:ascii="Times New Roman" w:hAnsi="Times New Roman" w:cs="Times New Roman"/>
                <w:sz w:val="24"/>
                <w:szCs w:val="24"/>
              </w:rPr>
              <w:t>gada 18.</w:t>
            </w:r>
            <w:r w:rsidR="00273265">
              <w:rPr>
                <w:rFonts w:ascii="Times New Roman" w:hAnsi="Times New Roman" w:cs="Times New Roman"/>
                <w:sz w:val="24"/>
                <w:szCs w:val="24"/>
              </w:rPr>
              <w:t> </w:t>
            </w:r>
            <w:r w:rsidR="00EB3C0F" w:rsidRPr="00C50B45">
              <w:rPr>
                <w:rFonts w:ascii="Times New Roman" w:hAnsi="Times New Roman" w:cs="Times New Roman"/>
                <w:sz w:val="24"/>
                <w:szCs w:val="24"/>
              </w:rPr>
              <w:t>jūlijam.</w:t>
            </w:r>
          </w:p>
        </w:tc>
      </w:tr>
      <w:tr w:rsidR="004D15A9" w:rsidRPr="00A616B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616B8" w:rsidRDefault="00802752"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hAnsi="Times New Roman" w:cs="Times New Roman"/>
                <w:sz w:val="24"/>
                <w:szCs w:val="24"/>
                <w:lang w:eastAsia="lv-LV"/>
              </w:rPr>
              <w:t>Projekts šo jomu neskar</w:t>
            </w:r>
            <w:r w:rsidR="001A7A9E">
              <w:rPr>
                <w:rFonts w:ascii="Times New Roman" w:hAnsi="Times New Roman" w:cs="Times New Roman"/>
                <w:sz w:val="24"/>
                <w:szCs w:val="24"/>
                <w:lang w:eastAsia="lv-LV"/>
              </w:rPr>
              <w:t>.</w:t>
            </w:r>
          </w:p>
        </w:tc>
      </w:tr>
      <w:tr w:rsidR="004D15A9" w:rsidRPr="00A616B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A616B8" w:rsidRDefault="00802752" w:rsidP="00802752">
            <w:pPr>
              <w:spacing w:after="0" w:line="240" w:lineRule="auto"/>
              <w:rPr>
                <w:rFonts w:ascii="Times New Roman" w:eastAsia="Times New Roman" w:hAnsi="Times New Roman" w:cs="Times New Roman"/>
                <w:sz w:val="24"/>
                <w:szCs w:val="24"/>
                <w:lang w:eastAsia="lv-LV"/>
              </w:rPr>
            </w:pPr>
            <w:r w:rsidRPr="00A616B8">
              <w:rPr>
                <w:rFonts w:ascii="Times New Roman" w:eastAsia="Times New Roman" w:hAnsi="Times New Roman" w:cs="Times New Roman"/>
                <w:sz w:val="24"/>
                <w:szCs w:val="24"/>
                <w:lang w:eastAsia="lv-LV"/>
              </w:rPr>
              <w:t>Nav</w:t>
            </w:r>
          </w:p>
        </w:tc>
      </w:tr>
    </w:tbl>
    <w:p w:rsidR="004D15A9" w:rsidRPr="00A616B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100"/>
        <w:gridCol w:w="2009"/>
        <w:gridCol w:w="2557"/>
        <w:gridCol w:w="2465"/>
      </w:tblGrid>
      <w:tr w:rsidR="004D15A9" w:rsidRPr="00A616B8"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F63D6" w:rsidRPr="00A616B8" w:rsidRDefault="000F63D6"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1.tabula</w:t>
            </w:r>
            <w:r w:rsidRPr="00A616B8">
              <w:rPr>
                <w:rFonts w:ascii="Times New Roman" w:eastAsia="Times New Roman" w:hAnsi="Times New Roman" w:cs="Times New Roman"/>
                <w:b/>
                <w:bCs/>
                <w:color w:val="414142"/>
                <w:sz w:val="24"/>
                <w:szCs w:val="24"/>
                <w:lang w:eastAsia="lv-LV"/>
              </w:rPr>
              <w:br/>
              <w:t>Tiesību akta projekta atbilstība ES tiesību aktiem</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D</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 xml:space="preserve">Informācija par to, vai šīs tabulas A ailē minētās ES tiesību akta vienības tiek pārņemtas vai ieviestas pilnībā vai daļēji. </w:t>
            </w:r>
          </w:p>
          <w:p w:rsidR="004D15A9" w:rsidRPr="00A616B8" w:rsidRDefault="004D15A9" w:rsidP="00DA596D">
            <w:pPr>
              <w:spacing w:after="0" w:line="240" w:lineRule="auto"/>
              <w:ind w:firstLine="300"/>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A616B8" w:rsidRDefault="004D15A9" w:rsidP="00DA596D">
            <w:pPr>
              <w:spacing w:after="0" w:line="240" w:lineRule="auto"/>
              <w:ind w:firstLine="300"/>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 xml:space="preserve">Informācija par to, vai šīs tabulas B ailē minētās projekta vienības paredz stingrākas prasības nekā šīs tabulas A ailē minētās ES tiesību akta vienības. </w:t>
            </w:r>
          </w:p>
          <w:p w:rsidR="004D15A9" w:rsidRPr="00A616B8" w:rsidRDefault="004D15A9" w:rsidP="00DA596D">
            <w:pPr>
              <w:spacing w:after="0" w:line="240" w:lineRule="auto"/>
              <w:ind w:firstLine="300"/>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Ja projekts satur stingrākas prasības nekā attiecīgais ES tiesību akts, norāda pamatojumu un samērīgumu.</w:t>
            </w:r>
          </w:p>
          <w:p w:rsidR="004D15A9" w:rsidRPr="00A616B8" w:rsidRDefault="004D15A9" w:rsidP="00DA596D">
            <w:pPr>
              <w:spacing w:after="0" w:line="240" w:lineRule="auto"/>
              <w:ind w:firstLine="300"/>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hideMark/>
          </w:tcPr>
          <w:p w:rsidR="00332B5B" w:rsidRDefault="00332B5B" w:rsidP="00332B5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1. punkts</w:t>
            </w:r>
          </w:p>
        </w:tc>
        <w:tc>
          <w:tcPr>
            <w:tcW w:w="1100" w:type="pct"/>
            <w:tcBorders>
              <w:top w:val="outset" w:sz="6" w:space="0" w:color="414142"/>
              <w:left w:val="outset" w:sz="6" w:space="0" w:color="414142"/>
              <w:bottom w:val="outset" w:sz="6" w:space="0" w:color="414142"/>
              <w:right w:val="outset" w:sz="6" w:space="0" w:color="414142"/>
            </w:tcBorders>
            <w:hideMark/>
          </w:tcPr>
          <w:p w:rsidR="00332B5B" w:rsidRDefault="00332B5B" w:rsidP="00EB3C0F">
            <w:pPr>
              <w:spacing w:after="0" w:line="240" w:lineRule="auto"/>
              <w:rPr>
                <w:rFonts w:ascii="Times New Roman" w:eastAsia="Times New Roman" w:hAnsi="Times New Roman" w:cs="Times New Roman"/>
                <w:color w:val="414142"/>
                <w:sz w:val="24"/>
                <w:szCs w:val="24"/>
                <w:lang w:eastAsia="lv-LV"/>
              </w:rPr>
            </w:pPr>
            <w:r w:rsidRPr="00EB3C0F">
              <w:rPr>
                <w:rFonts w:ascii="Times New Roman" w:eastAsia="Times New Roman" w:hAnsi="Times New Roman" w:cs="Times New Roman"/>
                <w:color w:val="414142"/>
                <w:sz w:val="24"/>
                <w:szCs w:val="24"/>
                <w:lang w:eastAsia="lv-LV"/>
              </w:rPr>
              <w:t>Informācijas atklātības likuma 2.</w:t>
            </w:r>
            <w:r w:rsidR="0011402B">
              <w:rPr>
                <w:rFonts w:ascii="Times New Roman" w:eastAsia="Times New Roman" w:hAnsi="Times New Roman" w:cs="Times New Roman"/>
                <w:color w:val="414142"/>
                <w:sz w:val="24"/>
                <w:szCs w:val="24"/>
                <w:lang w:eastAsia="lv-LV"/>
              </w:rPr>
              <w:t> </w:t>
            </w:r>
            <w:r w:rsidRPr="00EB3C0F">
              <w:rPr>
                <w:rFonts w:ascii="Times New Roman" w:eastAsia="Times New Roman" w:hAnsi="Times New Roman" w:cs="Times New Roman"/>
                <w:color w:val="414142"/>
                <w:sz w:val="24"/>
                <w:szCs w:val="24"/>
                <w:lang w:eastAsia="lv-LV"/>
              </w:rPr>
              <w:t>pants un 5.</w:t>
            </w:r>
            <w:r w:rsidR="0011402B">
              <w:rPr>
                <w:rFonts w:ascii="Times New Roman" w:eastAsia="Times New Roman" w:hAnsi="Times New Roman" w:cs="Times New Roman"/>
                <w:color w:val="414142"/>
                <w:sz w:val="24"/>
                <w:szCs w:val="24"/>
                <w:lang w:eastAsia="lv-LV"/>
              </w:rPr>
              <w:t> </w:t>
            </w:r>
            <w:r w:rsidRPr="00EB3C0F">
              <w:rPr>
                <w:rFonts w:ascii="Times New Roman" w:eastAsia="Times New Roman" w:hAnsi="Times New Roman" w:cs="Times New Roman"/>
                <w:color w:val="414142"/>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hideMark/>
          </w:tcPr>
          <w:p w:rsidR="00332B5B" w:rsidRDefault="00332B5B" w:rsidP="00B23B5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hideMark/>
          </w:tcPr>
          <w:p w:rsidR="00332B5B" w:rsidRDefault="00332B5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hideMark/>
          </w:tcPr>
          <w:p w:rsidR="00B23B52" w:rsidRDefault="00EE7810" w:rsidP="00EE781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2. </w:t>
            </w:r>
            <w:r w:rsidR="00B23B52" w:rsidRPr="00B23B52">
              <w:rPr>
                <w:rFonts w:ascii="Times New Roman" w:eastAsia="Times New Roman" w:hAnsi="Times New Roman" w:cs="Times New Roman"/>
                <w:color w:val="414142"/>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hideMark/>
          </w:tcPr>
          <w:p w:rsidR="00E1421C" w:rsidRDefault="00E1421C" w:rsidP="00EB3C0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8C1C87">
              <w:rPr>
                <w:rFonts w:ascii="Times New Roman" w:eastAsia="Times New Roman" w:hAnsi="Times New Roman" w:cs="Times New Roman"/>
                <w:color w:val="414142"/>
                <w:sz w:val="24"/>
                <w:szCs w:val="24"/>
                <w:lang w:eastAsia="lv-LV"/>
              </w:rPr>
              <w:t> un 5</w:t>
            </w:r>
            <w:r w:rsidR="00B23B52">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pant</w:t>
            </w:r>
            <w:r w:rsidR="00EB3C0F">
              <w:rPr>
                <w:rFonts w:ascii="Times New Roman" w:eastAsia="Times New Roman" w:hAnsi="Times New Roman" w:cs="Times New Roman"/>
                <w:color w:val="414142"/>
                <w:sz w:val="24"/>
                <w:szCs w:val="24"/>
                <w:lang w:eastAsia="lv-LV"/>
              </w:rPr>
              <w:t>s</w:t>
            </w:r>
          </w:p>
        </w:tc>
        <w:tc>
          <w:tcPr>
            <w:tcW w:w="1400" w:type="pct"/>
            <w:tcBorders>
              <w:top w:val="outset" w:sz="6" w:space="0" w:color="414142"/>
              <w:left w:val="outset" w:sz="6" w:space="0" w:color="414142"/>
              <w:bottom w:val="outset" w:sz="6" w:space="0" w:color="414142"/>
              <w:right w:val="outset" w:sz="6" w:space="0" w:color="414142"/>
            </w:tcBorders>
            <w:hideMark/>
          </w:tcPr>
          <w:p w:rsidR="00E1421C" w:rsidRDefault="00B23B52" w:rsidP="00B23B5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hideMark/>
          </w:tcPr>
          <w:p w:rsidR="00E1421C" w:rsidRDefault="00E1421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Default="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3.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B462C4" w:rsidP="00332B5B">
            <w:pPr>
              <w:spacing w:after="0" w:line="240" w:lineRule="auto"/>
              <w:rPr>
                <w:rFonts w:ascii="Times New Roman" w:eastAsia="Times New Roman" w:hAnsi="Times New Roman" w:cs="Times New Roman"/>
                <w:color w:val="414142"/>
                <w:sz w:val="24"/>
                <w:szCs w:val="24"/>
                <w:lang w:eastAsia="lv-LV"/>
              </w:rPr>
            </w:pPr>
            <w:r w:rsidRPr="00332B5B">
              <w:rPr>
                <w:rFonts w:ascii="Times New Roman" w:eastAsia="Times New Roman" w:hAnsi="Times New Roman" w:cs="Times New Roman"/>
                <w:color w:val="414142"/>
                <w:sz w:val="24"/>
                <w:szCs w:val="24"/>
                <w:lang w:eastAsia="lv-LV"/>
              </w:rPr>
              <w:t>Informācijas atklātības likuma 2.</w:t>
            </w:r>
            <w:r>
              <w:rPr>
                <w:rFonts w:ascii="Times New Roman" w:eastAsia="Times New Roman" w:hAnsi="Times New Roman" w:cs="Times New Roman"/>
                <w:color w:val="414142"/>
                <w:sz w:val="24"/>
                <w:szCs w:val="24"/>
                <w:lang w:eastAsia="lv-LV"/>
              </w:rPr>
              <w:t> </w:t>
            </w:r>
            <w:r w:rsidRPr="00332B5B">
              <w:rPr>
                <w:rFonts w:ascii="Times New Roman" w:eastAsia="Times New Roman" w:hAnsi="Times New Roman" w:cs="Times New Roman"/>
                <w:color w:val="414142"/>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83650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Pr="00CC212E" w:rsidRDefault="00B462C4">
            <w:pPr>
              <w:spacing w:after="0" w:line="240" w:lineRule="auto"/>
              <w:rPr>
                <w:rFonts w:ascii="Times New Roman" w:eastAsia="Times New Roman" w:hAnsi="Times New Roman" w:cs="Times New Roman"/>
                <w:color w:val="414142"/>
                <w:sz w:val="24"/>
                <w:szCs w:val="24"/>
                <w:lang w:eastAsia="lv-LV"/>
              </w:rPr>
            </w:pPr>
            <w:r w:rsidRPr="00CC212E">
              <w:rPr>
                <w:rFonts w:ascii="Times New Roman" w:eastAsia="Times New Roman" w:hAnsi="Times New Roman" w:cs="Times New Roman"/>
                <w:color w:val="414142"/>
                <w:sz w:val="24"/>
                <w:szCs w:val="24"/>
                <w:lang w:eastAsia="lv-LV"/>
              </w:rPr>
              <w:t>1. panta 4</w:t>
            </w:r>
            <w:r w:rsidR="00271C08" w:rsidRPr="00CC212E">
              <w:rPr>
                <w:rFonts w:ascii="Times New Roman" w:eastAsia="Times New Roman" w:hAnsi="Times New Roman" w:cs="Times New Roman"/>
                <w:color w:val="414142"/>
                <w:sz w:val="24"/>
                <w:szCs w:val="24"/>
                <w:lang w:eastAsia="lv-LV"/>
              </w:rPr>
              <w:t>.</w:t>
            </w:r>
            <w:r w:rsidRPr="00CC212E">
              <w:rPr>
                <w:rFonts w:ascii="Times New Roman" w:eastAsia="Times New Roman" w:hAnsi="Times New Roman" w:cs="Times New Roman"/>
                <w:color w:val="414142"/>
                <w:sz w:val="24"/>
                <w:szCs w:val="24"/>
                <w:lang w:eastAsia="lv-LV"/>
              </w:rPr>
              <w:t> punkts</w:t>
            </w:r>
          </w:p>
        </w:tc>
        <w:tc>
          <w:tcPr>
            <w:tcW w:w="1100" w:type="pct"/>
            <w:tcBorders>
              <w:top w:val="outset" w:sz="6" w:space="0" w:color="414142"/>
              <w:left w:val="outset" w:sz="6" w:space="0" w:color="414142"/>
              <w:bottom w:val="outset" w:sz="6" w:space="0" w:color="414142"/>
              <w:right w:val="outset" w:sz="6" w:space="0" w:color="414142"/>
            </w:tcBorders>
          </w:tcPr>
          <w:p w:rsidR="00CC212E" w:rsidRPr="00CC212E" w:rsidRDefault="00CC212E" w:rsidP="00CC212E">
            <w:pPr>
              <w:spacing w:after="0" w:line="240" w:lineRule="auto"/>
              <w:rPr>
                <w:rFonts w:ascii="Times New Roman" w:hAnsi="Times New Roman" w:cs="Times New Roman"/>
                <w:sz w:val="24"/>
                <w:szCs w:val="24"/>
                <w:lang w:eastAsia="lv-LV"/>
              </w:rPr>
            </w:pPr>
            <w:r w:rsidRPr="00CC212E">
              <w:rPr>
                <w:rFonts w:ascii="Times New Roman" w:eastAsia="Times New Roman" w:hAnsi="Times New Roman" w:cs="Times New Roman"/>
                <w:color w:val="414142"/>
                <w:sz w:val="24"/>
                <w:szCs w:val="24"/>
                <w:lang w:eastAsia="lv-LV"/>
              </w:rPr>
              <w:t>Likumprojekta 7.</w:t>
            </w:r>
            <w:r w:rsidRPr="00CC212E">
              <w:rPr>
                <w:rFonts w:ascii="Times New Roman" w:hAnsi="Times New Roman" w:cs="Times New Roman"/>
                <w:sz w:val="24"/>
                <w:szCs w:val="24"/>
              </w:rPr>
              <w:t xml:space="preserve"> pants un </w:t>
            </w:r>
          </w:p>
          <w:p w:rsidR="00B462C4" w:rsidRPr="00CC212E" w:rsidRDefault="00B462C4" w:rsidP="00CC212E">
            <w:pPr>
              <w:spacing w:after="0" w:line="240" w:lineRule="auto"/>
              <w:rPr>
                <w:rFonts w:ascii="Times New Roman" w:eastAsia="Times New Roman" w:hAnsi="Times New Roman" w:cs="Times New Roman"/>
                <w:color w:val="414142"/>
                <w:sz w:val="24"/>
                <w:szCs w:val="24"/>
                <w:lang w:eastAsia="lv-LV"/>
              </w:rPr>
            </w:pPr>
            <w:r w:rsidRPr="00CC212E">
              <w:rPr>
                <w:rFonts w:ascii="Times New Roman" w:eastAsia="Times New Roman" w:hAnsi="Times New Roman" w:cs="Times New Roman"/>
                <w:color w:val="414142"/>
                <w:sz w:val="24"/>
                <w:szCs w:val="24"/>
                <w:lang w:eastAsia="lv-LV"/>
              </w:rPr>
              <w:t>Informācijas atklātības likuma 15. pants</w:t>
            </w:r>
          </w:p>
        </w:tc>
        <w:tc>
          <w:tcPr>
            <w:tcW w:w="1400" w:type="pct"/>
            <w:tcBorders>
              <w:top w:val="outset" w:sz="6" w:space="0" w:color="414142"/>
              <w:left w:val="outset" w:sz="6" w:space="0" w:color="414142"/>
              <w:bottom w:val="outset" w:sz="6" w:space="0" w:color="414142"/>
              <w:right w:val="outset" w:sz="6" w:space="0" w:color="414142"/>
            </w:tcBorders>
          </w:tcPr>
          <w:p w:rsidR="00B462C4" w:rsidRDefault="00EA51CC">
            <w:pPr>
              <w:spacing w:after="0" w:line="240" w:lineRule="auto"/>
              <w:rPr>
                <w:rFonts w:ascii="Times New Roman" w:eastAsia="Times New Roman" w:hAnsi="Times New Roman" w:cs="Times New Roman"/>
                <w:color w:val="414142"/>
                <w:sz w:val="24"/>
                <w:szCs w:val="24"/>
                <w:lang w:eastAsia="lv-LV"/>
              </w:rPr>
            </w:pPr>
            <w:r w:rsidRPr="00EA51CC">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EA51CC">
            <w:pPr>
              <w:spacing w:after="0" w:line="240" w:lineRule="auto"/>
              <w:rPr>
                <w:rFonts w:ascii="Times New Roman" w:eastAsia="Times New Roman" w:hAnsi="Times New Roman" w:cs="Times New Roman"/>
                <w:color w:val="414142"/>
                <w:sz w:val="24"/>
                <w:szCs w:val="24"/>
                <w:lang w:eastAsia="lv-LV"/>
              </w:rPr>
            </w:pPr>
            <w:r w:rsidRPr="00EA51CC">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Default="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5.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B462C4" w:rsidP="0013773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137734">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xml:space="preserve">. un </w:t>
            </w:r>
            <w:r w:rsidR="00137734">
              <w:rPr>
                <w:rFonts w:ascii="Times New Roman" w:eastAsia="Times New Roman" w:hAnsi="Times New Roman" w:cs="Times New Roman"/>
                <w:color w:val="414142"/>
                <w:sz w:val="24"/>
                <w:szCs w:val="24"/>
                <w:lang w:eastAsia="lv-LV"/>
              </w:rPr>
              <w:t>6</w:t>
            </w:r>
            <w:r>
              <w:rPr>
                <w:rFonts w:ascii="Times New Roman" w:eastAsia="Times New Roman" w:hAnsi="Times New Roman" w:cs="Times New Roman"/>
                <w:color w:val="414142"/>
                <w:sz w:val="24"/>
                <w:szCs w:val="24"/>
                <w:lang w:eastAsia="lv-LV"/>
              </w:rPr>
              <w:t>. pants</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Default="00B462C4" w:rsidP="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6.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7B3F02" w:rsidP="007B3F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8.</w:t>
            </w:r>
            <w:r>
              <w:t> </w:t>
            </w:r>
            <w:r w:rsidRPr="007B3F02">
              <w:rPr>
                <w:rFonts w:ascii="Times New Roman" w:eastAsia="Times New Roman" w:hAnsi="Times New Roman" w:cs="Times New Roman"/>
                <w:color w:val="414142"/>
                <w:sz w:val="24"/>
                <w:szCs w:val="24"/>
                <w:lang w:eastAsia="lv-LV"/>
              </w:rPr>
              <w:t>pants</w:t>
            </w:r>
            <w:r>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br/>
            </w:r>
            <w:r w:rsidR="00B462C4" w:rsidRPr="00EB3C0F">
              <w:rPr>
                <w:rFonts w:ascii="Times New Roman" w:eastAsia="Times New Roman" w:hAnsi="Times New Roman" w:cs="Times New Roman"/>
                <w:color w:val="414142"/>
                <w:sz w:val="24"/>
                <w:szCs w:val="24"/>
                <w:lang w:eastAsia="lv-LV"/>
              </w:rPr>
              <w:t>Informācij</w:t>
            </w:r>
            <w:r w:rsidR="00B462C4">
              <w:rPr>
                <w:rFonts w:ascii="Times New Roman" w:eastAsia="Times New Roman" w:hAnsi="Times New Roman" w:cs="Times New Roman"/>
                <w:color w:val="414142"/>
                <w:sz w:val="24"/>
                <w:szCs w:val="24"/>
                <w:lang w:eastAsia="lv-LV"/>
              </w:rPr>
              <w:t>as atklātības likuma 13.pants,</w:t>
            </w:r>
            <w:r w:rsidR="00B462C4" w:rsidRPr="00EB3C0F">
              <w:rPr>
                <w:rFonts w:ascii="Times New Roman" w:eastAsia="Times New Roman" w:hAnsi="Times New Roman" w:cs="Times New Roman"/>
                <w:color w:val="414142"/>
                <w:sz w:val="24"/>
                <w:szCs w:val="24"/>
                <w:lang w:eastAsia="lv-LV"/>
              </w:rPr>
              <w:t xml:space="preserve"> Ministru </w:t>
            </w:r>
            <w:r w:rsidR="00B462C4" w:rsidRPr="00EB3C0F">
              <w:rPr>
                <w:rFonts w:ascii="Times New Roman" w:eastAsia="Times New Roman" w:hAnsi="Times New Roman" w:cs="Times New Roman"/>
                <w:color w:val="414142"/>
                <w:sz w:val="24"/>
                <w:szCs w:val="24"/>
                <w:lang w:eastAsia="lv-LV"/>
              </w:rPr>
              <w:lastRenderedPageBreak/>
              <w:t>kabineta noteikumi Nr.940 „Noteikumi par informācijas sniegšanas maksas pakalpojumiem”</w:t>
            </w:r>
            <w:r w:rsidR="00B462C4">
              <w:rPr>
                <w:rFonts w:ascii="Times New Roman" w:eastAsia="Times New Roman" w:hAnsi="Times New Roman" w:cs="Times New Roman"/>
                <w:color w:val="414142"/>
                <w:sz w:val="24"/>
                <w:szCs w:val="24"/>
                <w:lang w:eastAsia="lv-LV"/>
              </w:rPr>
              <w:t xml:space="preserve">, </w:t>
            </w:r>
            <w:r w:rsidR="00B462C4" w:rsidRPr="00915493">
              <w:rPr>
                <w:rFonts w:ascii="Times New Roman" w:eastAsia="Times New Roman" w:hAnsi="Times New Roman" w:cs="Times New Roman"/>
                <w:color w:val="414142"/>
                <w:sz w:val="24"/>
                <w:szCs w:val="24"/>
                <w:lang w:eastAsia="lv-LV"/>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rsidP="00C07EC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83650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Pr="00B462C4" w:rsidRDefault="00B462C4" w:rsidP="00B462C4">
            <w:pPr>
              <w:spacing w:after="0" w:line="240" w:lineRule="auto"/>
              <w:rPr>
                <w:rFonts w:ascii="Times New Roman" w:eastAsia="Times New Roman" w:hAnsi="Times New Roman" w:cs="Times New Roman"/>
                <w:b/>
                <w:color w:val="414142"/>
                <w:sz w:val="24"/>
                <w:szCs w:val="24"/>
                <w:lang w:eastAsia="lv-LV"/>
              </w:rPr>
            </w:pPr>
            <w:bookmarkStart w:id="0" w:name="_GoBack" w:colFirst="4" w:colLast="4"/>
            <w:r>
              <w:rPr>
                <w:rFonts w:ascii="Times New Roman" w:eastAsia="Times New Roman" w:hAnsi="Times New Roman" w:cs="Times New Roman"/>
                <w:color w:val="414142"/>
                <w:sz w:val="24"/>
                <w:szCs w:val="24"/>
                <w:lang w:eastAsia="lv-LV"/>
              </w:rPr>
              <w:lastRenderedPageBreak/>
              <w:t>1. panta 7. punkts</w:t>
            </w:r>
          </w:p>
        </w:tc>
        <w:tc>
          <w:tcPr>
            <w:tcW w:w="1100" w:type="pct"/>
            <w:tcBorders>
              <w:top w:val="outset" w:sz="6" w:space="0" w:color="414142"/>
              <w:left w:val="outset" w:sz="6" w:space="0" w:color="414142"/>
              <w:bottom w:val="outset" w:sz="6" w:space="0" w:color="414142"/>
              <w:right w:val="outset" w:sz="6" w:space="0" w:color="414142"/>
            </w:tcBorders>
          </w:tcPr>
          <w:p w:rsidR="007B3F02" w:rsidRDefault="007B3F02" w:rsidP="00EE7810">
            <w:pPr>
              <w:spacing w:after="0" w:line="240" w:lineRule="auto"/>
              <w:rPr>
                <w:rFonts w:ascii="Times New Roman" w:eastAsia="Times New Roman" w:hAnsi="Times New Roman" w:cs="Times New Roman"/>
                <w:color w:val="414142"/>
                <w:sz w:val="24"/>
                <w:szCs w:val="24"/>
                <w:lang w:eastAsia="lv-LV"/>
              </w:rPr>
            </w:pPr>
            <w:r w:rsidRPr="007B3F02">
              <w:rPr>
                <w:rFonts w:ascii="Times New Roman" w:eastAsia="Times New Roman" w:hAnsi="Times New Roman" w:cs="Times New Roman"/>
                <w:color w:val="414142"/>
                <w:sz w:val="24"/>
                <w:szCs w:val="24"/>
                <w:lang w:eastAsia="lv-LV"/>
              </w:rPr>
              <w:t>Likumprojekta 8.</w:t>
            </w:r>
            <w:r>
              <w:rPr>
                <w:rFonts w:ascii="Times New Roman" w:eastAsia="Times New Roman" w:hAnsi="Times New Roman" w:cs="Times New Roman"/>
                <w:color w:val="414142"/>
                <w:sz w:val="24"/>
                <w:szCs w:val="24"/>
                <w:lang w:eastAsia="lv-LV"/>
              </w:rPr>
              <w:t> </w:t>
            </w:r>
            <w:r w:rsidRPr="007B3F02">
              <w:rPr>
                <w:rFonts w:ascii="Times New Roman" w:eastAsia="Times New Roman" w:hAnsi="Times New Roman" w:cs="Times New Roman"/>
                <w:color w:val="414142"/>
                <w:sz w:val="24"/>
                <w:szCs w:val="24"/>
                <w:lang w:eastAsia="lv-LV"/>
              </w:rPr>
              <w:t>pants.</w:t>
            </w:r>
          </w:p>
          <w:p w:rsidR="00B462C4" w:rsidRDefault="00B462C4" w:rsidP="00EE7810">
            <w:pPr>
              <w:spacing w:after="0" w:line="240" w:lineRule="auto"/>
              <w:rPr>
                <w:rFonts w:ascii="Times New Roman" w:eastAsia="Times New Roman" w:hAnsi="Times New Roman" w:cs="Times New Roman"/>
                <w:color w:val="414142"/>
                <w:sz w:val="24"/>
                <w:szCs w:val="24"/>
                <w:lang w:eastAsia="lv-LV"/>
              </w:rPr>
            </w:pPr>
            <w:r w:rsidRPr="00EB3C0F">
              <w:rPr>
                <w:rFonts w:ascii="Times New Roman" w:eastAsia="Times New Roman" w:hAnsi="Times New Roman" w:cs="Times New Roman"/>
                <w:color w:val="414142"/>
                <w:sz w:val="24"/>
                <w:szCs w:val="24"/>
                <w:lang w:eastAsia="lv-LV"/>
              </w:rPr>
              <w:t>Informācij</w:t>
            </w:r>
            <w:r>
              <w:rPr>
                <w:rFonts w:ascii="Times New Roman" w:eastAsia="Times New Roman" w:hAnsi="Times New Roman" w:cs="Times New Roman"/>
                <w:color w:val="414142"/>
                <w:sz w:val="24"/>
                <w:szCs w:val="24"/>
                <w:lang w:eastAsia="lv-LV"/>
              </w:rPr>
              <w:t>as atklātības likuma 13.pants,</w:t>
            </w:r>
            <w:r w:rsidRPr="00EB3C0F">
              <w:rPr>
                <w:rFonts w:ascii="Times New Roman" w:eastAsia="Times New Roman" w:hAnsi="Times New Roman" w:cs="Times New Roman"/>
                <w:color w:val="414142"/>
                <w:sz w:val="24"/>
                <w:szCs w:val="24"/>
                <w:lang w:eastAsia="lv-LV"/>
              </w:rPr>
              <w:t xml:space="preserve"> Ministru kabineta noteikumi Nr.940 „Noteikumi par informācijas sniegšanas maksas pakalpojumiem”</w:t>
            </w:r>
            <w:r>
              <w:rPr>
                <w:rFonts w:ascii="Times New Roman" w:eastAsia="Times New Roman" w:hAnsi="Times New Roman" w:cs="Times New Roman"/>
                <w:color w:val="414142"/>
                <w:sz w:val="24"/>
                <w:szCs w:val="24"/>
                <w:lang w:eastAsia="lv-LV"/>
              </w:rPr>
              <w:t xml:space="preserve">, </w:t>
            </w:r>
            <w:r w:rsidRPr="00915493">
              <w:rPr>
                <w:rFonts w:ascii="Times New Roman" w:eastAsia="Times New Roman" w:hAnsi="Times New Roman" w:cs="Times New Roman"/>
                <w:color w:val="414142"/>
                <w:sz w:val="24"/>
                <w:szCs w:val="24"/>
                <w:lang w:eastAsia="lv-LV"/>
              </w:rPr>
              <w:t xml:space="preserve">Ministru kabineta 2011.gada 3.maija noteikumi Nr.333 „Kārtība, kādā plānojami un uzskaitāmi ieņēmumi no maksas pakalpojumiem un ar šo pakalpojumu sniegšanu saistītie izdevumi, kā arī maksas pakalpojumu izcenojumu </w:t>
            </w:r>
            <w:r w:rsidRPr="00915493">
              <w:rPr>
                <w:rFonts w:ascii="Times New Roman" w:eastAsia="Times New Roman" w:hAnsi="Times New Roman" w:cs="Times New Roman"/>
                <w:color w:val="414142"/>
                <w:sz w:val="24"/>
                <w:szCs w:val="24"/>
                <w:lang w:eastAsia="lv-LV"/>
              </w:rPr>
              <w:lastRenderedPageBreak/>
              <w:t>noteikšanas metodika un izcenojumu apstiprināšanas kārtība”).</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rsidP="00C07EC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83650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bookmarkEnd w:id="0"/>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Default="00B462C4" w:rsidP="00B462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 panta 8.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B462C4" w:rsidP="00B462C4">
            <w:pPr>
              <w:spacing w:after="0" w:line="240" w:lineRule="auto"/>
              <w:rPr>
                <w:rFonts w:ascii="Times New Roman" w:eastAsia="Times New Roman" w:hAnsi="Times New Roman" w:cs="Times New Roman"/>
                <w:color w:val="414142"/>
                <w:sz w:val="24"/>
                <w:szCs w:val="24"/>
                <w:lang w:eastAsia="lv-LV"/>
              </w:rPr>
            </w:pPr>
            <w:r w:rsidRPr="00EB3C0F">
              <w:rPr>
                <w:rFonts w:ascii="Times New Roman" w:eastAsia="Times New Roman" w:hAnsi="Times New Roman" w:cs="Times New Roman"/>
                <w:color w:val="414142"/>
                <w:sz w:val="24"/>
                <w:szCs w:val="24"/>
                <w:lang w:eastAsia="lv-LV"/>
              </w:rPr>
              <w:t>Informācij</w:t>
            </w:r>
            <w:r>
              <w:rPr>
                <w:rFonts w:ascii="Times New Roman" w:eastAsia="Times New Roman" w:hAnsi="Times New Roman" w:cs="Times New Roman"/>
                <w:color w:val="414142"/>
                <w:sz w:val="24"/>
                <w:szCs w:val="24"/>
                <w:lang w:eastAsia="lv-LV"/>
              </w:rPr>
              <w:t>as atklātības likuma 17. pants</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rsidP="00C07EC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83650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Default="00B462C4" w:rsidP="00EE781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panta 9.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B462C4" w:rsidP="00EE7810">
            <w:pPr>
              <w:spacing w:after="0" w:line="240" w:lineRule="auto"/>
              <w:rPr>
                <w:rFonts w:ascii="Times New Roman" w:eastAsia="Times New Roman" w:hAnsi="Times New Roman" w:cs="Times New Roman"/>
                <w:color w:val="414142"/>
                <w:sz w:val="24"/>
                <w:szCs w:val="24"/>
                <w:lang w:eastAsia="lv-LV"/>
              </w:rPr>
            </w:pPr>
            <w:r w:rsidRPr="00B462C4">
              <w:rPr>
                <w:rFonts w:ascii="Times New Roman" w:eastAsia="Times New Roman" w:hAnsi="Times New Roman" w:cs="Times New Roman"/>
                <w:color w:val="414142"/>
                <w:sz w:val="24"/>
                <w:szCs w:val="24"/>
                <w:lang w:eastAsia="lv-LV"/>
              </w:rPr>
              <w:t>Informācijas sabiedrības attīstības pamatnostādnes 2014.–2020.gadam</w:t>
            </w:r>
            <w:r>
              <w:rPr>
                <w:rFonts w:ascii="Times New Roman" w:eastAsia="Times New Roman" w:hAnsi="Times New Roman" w:cs="Times New Roman"/>
                <w:color w:val="414142"/>
                <w:sz w:val="24"/>
                <w:szCs w:val="24"/>
                <w:lang w:eastAsia="lv-LV"/>
              </w:rPr>
              <w:t xml:space="preserve"> 3.1. Rīcības virziens „</w:t>
            </w:r>
            <w:r w:rsidRPr="00B462C4">
              <w:rPr>
                <w:rFonts w:ascii="Times New Roman" w:eastAsia="Times New Roman" w:hAnsi="Times New Roman" w:cs="Times New Roman"/>
                <w:color w:val="414142"/>
                <w:sz w:val="24"/>
                <w:szCs w:val="24"/>
                <w:lang w:eastAsia="lv-LV"/>
              </w:rPr>
              <w:t>Publiskās pārvaldes IKT centralizētu platformu izveide</w:t>
            </w:r>
            <w:r>
              <w:rPr>
                <w:rFonts w:ascii="Times New Roman" w:eastAsia="Times New Roman" w:hAnsi="Times New Roman" w:cs="Times New Roman"/>
                <w:color w:val="414142"/>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rsidP="00C07EC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83650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CC212E" w:rsidRPr="00A616B8" w:rsidTr="00802752">
        <w:tc>
          <w:tcPr>
            <w:tcW w:w="1150" w:type="pct"/>
            <w:tcBorders>
              <w:top w:val="outset" w:sz="6" w:space="0" w:color="414142"/>
              <w:left w:val="outset" w:sz="6" w:space="0" w:color="414142"/>
              <w:bottom w:val="outset" w:sz="6" w:space="0" w:color="414142"/>
              <w:right w:val="outset" w:sz="6" w:space="0" w:color="414142"/>
            </w:tcBorders>
          </w:tcPr>
          <w:p w:rsidR="00B462C4" w:rsidRPr="00EE7810" w:rsidRDefault="00B462C4" w:rsidP="00CC212E">
            <w:pPr>
              <w:spacing w:after="0" w:line="240" w:lineRule="auto"/>
            </w:pPr>
            <w:r>
              <w:rPr>
                <w:rFonts w:ascii="Times New Roman" w:eastAsia="Times New Roman" w:hAnsi="Times New Roman" w:cs="Times New Roman"/>
                <w:color w:val="414142"/>
                <w:sz w:val="24"/>
                <w:szCs w:val="24"/>
                <w:lang w:eastAsia="lv-LV"/>
              </w:rPr>
              <w:t>1. panta 10. punkts</w:t>
            </w:r>
          </w:p>
        </w:tc>
        <w:tc>
          <w:tcPr>
            <w:tcW w:w="1100" w:type="pct"/>
            <w:tcBorders>
              <w:top w:val="outset" w:sz="6" w:space="0" w:color="414142"/>
              <w:left w:val="outset" w:sz="6" w:space="0" w:color="414142"/>
              <w:bottom w:val="outset" w:sz="6" w:space="0" w:color="414142"/>
              <w:right w:val="outset" w:sz="6" w:space="0" w:color="414142"/>
            </w:tcBorders>
          </w:tcPr>
          <w:p w:rsidR="00B462C4" w:rsidRDefault="00B462C4" w:rsidP="001021F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1021F4">
              <w:rPr>
                <w:rFonts w:ascii="Times New Roman" w:eastAsia="Times New Roman" w:hAnsi="Times New Roman" w:cs="Times New Roman"/>
                <w:color w:val="414142"/>
                <w:sz w:val="24"/>
                <w:szCs w:val="24"/>
                <w:lang w:eastAsia="lv-LV"/>
              </w:rPr>
              <w:t>10.</w:t>
            </w:r>
            <w:r>
              <w:rPr>
                <w:rFonts w:ascii="Times New Roman" w:eastAsia="Times New Roman" w:hAnsi="Times New Roman" w:cs="Times New Roman"/>
                <w:color w:val="414142"/>
                <w:sz w:val="24"/>
                <w:szCs w:val="24"/>
                <w:lang w:eastAsia="lv-LV"/>
              </w:rPr>
              <w:t> un </w:t>
            </w:r>
            <w:r w:rsidR="001021F4">
              <w:rPr>
                <w:rFonts w:ascii="Times New Roman" w:eastAsia="Times New Roman" w:hAnsi="Times New Roman" w:cs="Times New Roman"/>
                <w:color w:val="414142"/>
                <w:sz w:val="24"/>
                <w:szCs w:val="24"/>
                <w:lang w:eastAsia="lv-LV"/>
              </w:rPr>
              <w:t>11</w:t>
            </w:r>
            <w:r>
              <w:rPr>
                <w:rFonts w:ascii="Times New Roman" w:eastAsia="Times New Roman" w:hAnsi="Times New Roman" w:cs="Times New Roman"/>
                <w:color w:val="414142"/>
                <w:sz w:val="24"/>
                <w:szCs w:val="24"/>
                <w:lang w:eastAsia="lv-LV"/>
              </w:rPr>
              <w:t>. pants</w:t>
            </w:r>
          </w:p>
        </w:tc>
        <w:tc>
          <w:tcPr>
            <w:tcW w:w="1400" w:type="pct"/>
            <w:tcBorders>
              <w:top w:val="outset" w:sz="6" w:space="0" w:color="414142"/>
              <w:left w:val="outset" w:sz="6" w:space="0" w:color="414142"/>
              <w:bottom w:val="outset" w:sz="6" w:space="0" w:color="414142"/>
              <w:right w:val="outset" w:sz="6" w:space="0" w:color="414142"/>
            </w:tcBorders>
          </w:tcPr>
          <w:p w:rsidR="00B462C4" w:rsidRDefault="00B462C4" w:rsidP="00C07EC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Pārņemts pilnībā </w:t>
            </w:r>
          </w:p>
        </w:tc>
        <w:tc>
          <w:tcPr>
            <w:tcW w:w="1350" w:type="pct"/>
            <w:tcBorders>
              <w:top w:val="outset" w:sz="6" w:space="0" w:color="414142"/>
              <w:left w:val="outset" w:sz="6" w:space="0" w:color="414142"/>
              <w:bottom w:val="outset" w:sz="6" w:space="0" w:color="414142"/>
              <w:right w:val="outset" w:sz="6" w:space="0" w:color="414142"/>
            </w:tcBorders>
          </w:tcPr>
          <w:p w:rsidR="00B462C4" w:rsidRDefault="00B462C4" w:rsidP="00B41C2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Stingrākas prasības neparedz</w:t>
            </w:r>
          </w:p>
        </w:tc>
      </w:tr>
      <w:tr w:rsidR="00B462C4" w:rsidRPr="00A616B8" w:rsidTr="004D15A9">
        <w:tc>
          <w:tcPr>
            <w:tcW w:w="1150" w:type="pct"/>
            <w:tcBorders>
              <w:top w:val="outset" w:sz="6" w:space="0" w:color="414142"/>
              <w:left w:val="outset" w:sz="6" w:space="0" w:color="414142"/>
              <w:bottom w:val="outset" w:sz="6" w:space="0" w:color="414142"/>
              <w:right w:val="outset" w:sz="6" w:space="0" w:color="414142"/>
            </w:tcBorders>
            <w:hideMark/>
          </w:tcPr>
          <w:p w:rsidR="00B462C4" w:rsidRPr="00A616B8" w:rsidRDefault="00B462C4"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A616B8">
              <w:rPr>
                <w:rFonts w:ascii="Times New Roman" w:eastAsia="Times New Roman" w:hAnsi="Times New Roman" w:cs="Times New Roman"/>
                <w:color w:val="414142"/>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462C4" w:rsidRPr="00A616B8" w:rsidRDefault="002A4767" w:rsidP="00F46478">
            <w:pPr>
              <w:spacing w:after="0" w:line="240" w:lineRule="auto"/>
              <w:jc w:val="both"/>
              <w:rPr>
                <w:rFonts w:ascii="Times New Roman" w:eastAsia="Times New Roman" w:hAnsi="Times New Roman" w:cs="Times New Roman"/>
                <w:color w:val="414142"/>
                <w:sz w:val="24"/>
                <w:szCs w:val="24"/>
                <w:lang w:eastAsia="lv-LV"/>
              </w:rPr>
            </w:pPr>
            <w:r w:rsidRPr="002A4767">
              <w:rPr>
                <w:rFonts w:ascii="Times New Roman" w:eastAsia="Times New Roman" w:hAnsi="Times New Roman" w:cs="Times New Roman"/>
                <w:color w:val="414142"/>
                <w:sz w:val="24"/>
                <w:szCs w:val="24"/>
                <w:lang w:eastAsia="lv-LV"/>
              </w:rPr>
              <w:t>Projekts šo jomu neskar.</w:t>
            </w:r>
          </w:p>
        </w:tc>
      </w:tr>
      <w:tr w:rsidR="00B462C4" w:rsidRPr="00A616B8" w:rsidTr="004D15A9">
        <w:tc>
          <w:tcPr>
            <w:tcW w:w="1150" w:type="pct"/>
            <w:tcBorders>
              <w:top w:val="outset" w:sz="6" w:space="0" w:color="414142"/>
              <w:left w:val="outset" w:sz="6" w:space="0" w:color="414142"/>
              <w:bottom w:val="outset" w:sz="6" w:space="0" w:color="414142"/>
              <w:right w:val="outset" w:sz="6" w:space="0" w:color="414142"/>
            </w:tcBorders>
            <w:hideMark/>
          </w:tcPr>
          <w:p w:rsidR="00B462C4" w:rsidRPr="00A616B8" w:rsidRDefault="00B462C4"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462C4" w:rsidRPr="00A616B8" w:rsidRDefault="002A4767" w:rsidP="00DA596D">
            <w:pPr>
              <w:spacing w:after="0" w:line="240" w:lineRule="auto"/>
              <w:rPr>
                <w:rFonts w:ascii="Times New Roman" w:eastAsia="Times New Roman" w:hAnsi="Times New Roman" w:cs="Times New Roman"/>
                <w:color w:val="414142"/>
                <w:sz w:val="24"/>
                <w:szCs w:val="24"/>
                <w:lang w:eastAsia="lv-LV"/>
              </w:rPr>
            </w:pPr>
            <w:r w:rsidRPr="002A4767">
              <w:rPr>
                <w:rFonts w:ascii="Times New Roman" w:eastAsia="Times New Roman" w:hAnsi="Times New Roman" w:cs="Times New Roman"/>
                <w:color w:val="414142"/>
                <w:sz w:val="24"/>
                <w:szCs w:val="24"/>
                <w:lang w:eastAsia="lv-LV"/>
              </w:rPr>
              <w:t>Projekts šo jomu neskar.</w:t>
            </w:r>
          </w:p>
        </w:tc>
      </w:tr>
      <w:tr w:rsidR="00B462C4" w:rsidRPr="00A616B8" w:rsidTr="004D15A9">
        <w:tc>
          <w:tcPr>
            <w:tcW w:w="1150" w:type="pct"/>
            <w:tcBorders>
              <w:top w:val="outset" w:sz="6" w:space="0" w:color="414142"/>
              <w:left w:val="outset" w:sz="6" w:space="0" w:color="414142"/>
              <w:bottom w:val="outset" w:sz="6" w:space="0" w:color="414142"/>
              <w:right w:val="outset" w:sz="6" w:space="0" w:color="414142"/>
            </w:tcBorders>
            <w:hideMark/>
          </w:tcPr>
          <w:p w:rsidR="00B462C4" w:rsidRPr="00EB3C0F" w:rsidRDefault="00B462C4" w:rsidP="00DA596D">
            <w:pPr>
              <w:spacing w:after="0" w:line="240" w:lineRule="auto"/>
              <w:rPr>
                <w:rFonts w:ascii="Times New Roman" w:eastAsia="Times New Roman" w:hAnsi="Times New Roman" w:cs="Times New Roman"/>
                <w:color w:val="414142"/>
                <w:sz w:val="24"/>
                <w:szCs w:val="24"/>
                <w:lang w:eastAsia="lv-LV"/>
              </w:rPr>
            </w:pPr>
            <w:r w:rsidRPr="00EB3C0F">
              <w:rPr>
                <w:rFonts w:ascii="Times New Roman" w:eastAsia="Times New Roman" w:hAnsi="Times New Roman" w:cs="Times New Roman"/>
                <w:color w:val="414142"/>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462C4" w:rsidRPr="00EB3C0F" w:rsidRDefault="002A4767" w:rsidP="00B6181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B462C4" w:rsidRPr="00A616B8"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B462C4" w:rsidRPr="00A616B8" w:rsidRDefault="00B462C4"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2.tabula</w:t>
            </w:r>
            <w:r w:rsidRPr="00A616B8">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A616B8">
              <w:rPr>
                <w:rFonts w:ascii="Times New Roman" w:eastAsia="Times New Roman" w:hAnsi="Times New Roman" w:cs="Times New Roman"/>
                <w:b/>
                <w:bCs/>
                <w:color w:val="414142"/>
                <w:sz w:val="24"/>
                <w:szCs w:val="24"/>
                <w:lang w:eastAsia="lv-LV"/>
              </w:rPr>
              <w:br/>
              <w:t>Pasākumi šo saistību izpildei</w:t>
            </w:r>
          </w:p>
          <w:p w:rsidR="00B462C4" w:rsidRPr="00A616B8" w:rsidRDefault="00B462C4"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c>
      </w:tr>
      <w:tr w:rsidR="00B462C4" w:rsidRPr="00A616B8" w:rsidTr="0080275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462C4" w:rsidRPr="00A616B8" w:rsidRDefault="00B462C4" w:rsidP="00802752">
            <w:pPr>
              <w:spacing w:after="0" w:line="240" w:lineRule="auto"/>
              <w:jc w:val="center"/>
              <w:rPr>
                <w:rFonts w:ascii="Times New Roman" w:eastAsia="Times New Roman" w:hAnsi="Times New Roman" w:cs="Times New Roman"/>
                <w:sz w:val="24"/>
                <w:szCs w:val="24"/>
                <w:lang w:eastAsia="lv-LV"/>
              </w:rPr>
            </w:pPr>
            <w:r w:rsidRPr="00A616B8">
              <w:rPr>
                <w:rFonts w:ascii="Times New Roman" w:eastAsia="Times New Roman" w:hAnsi="Times New Roman" w:cs="Times New Roman"/>
                <w:sz w:val="24"/>
                <w:szCs w:val="24"/>
                <w:lang w:eastAsia="lv-LV"/>
              </w:rPr>
              <w:lastRenderedPageBreak/>
              <w:t>Projekts šo jomu neskar</w:t>
            </w:r>
          </w:p>
          <w:p w:rsidR="00B462C4" w:rsidRPr="00A616B8" w:rsidRDefault="00B462C4" w:rsidP="00802752">
            <w:pPr>
              <w:spacing w:after="0" w:line="240" w:lineRule="auto"/>
              <w:jc w:val="center"/>
              <w:rPr>
                <w:rFonts w:ascii="Times New Roman" w:eastAsia="Times New Roman" w:hAnsi="Times New Roman" w:cs="Times New Roman"/>
                <w:color w:val="414142"/>
                <w:sz w:val="24"/>
                <w:szCs w:val="24"/>
                <w:lang w:eastAsia="lv-LV"/>
              </w:rPr>
            </w:pPr>
          </w:p>
        </w:tc>
      </w:tr>
    </w:tbl>
    <w:p w:rsidR="004D15A9" w:rsidRPr="00A616B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4D15A9" w:rsidRPr="00A616B8"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VI. Sabiedrības līdzdalība un komunikācijas aktivitātes</w:t>
            </w:r>
          </w:p>
        </w:tc>
      </w:tr>
      <w:tr w:rsidR="004D15A9" w:rsidRPr="00A616B8"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616B8" w:rsidRDefault="00B61815" w:rsidP="00C875C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Pēc likumprojekta izsludināšanās valsts sekretāru sanāksmē </w:t>
            </w:r>
            <w:r w:rsidR="00C875C6">
              <w:rPr>
                <w:rFonts w:ascii="Times New Roman" w:eastAsia="Times New Roman" w:hAnsi="Times New Roman" w:cs="Times New Roman"/>
                <w:color w:val="414142"/>
                <w:sz w:val="24"/>
                <w:szCs w:val="24"/>
                <w:lang w:eastAsia="lv-LV"/>
              </w:rPr>
              <w:t>tas tiks</w:t>
            </w:r>
            <w:r>
              <w:rPr>
                <w:rFonts w:ascii="Times New Roman" w:eastAsia="Times New Roman" w:hAnsi="Times New Roman" w:cs="Times New Roman"/>
                <w:color w:val="414142"/>
                <w:sz w:val="24"/>
                <w:szCs w:val="24"/>
                <w:lang w:eastAsia="lv-LV"/>
              </w:rPr>
              <w:t xml:space="preserve"> nosūtīts nozares asociācijām ar lūgumu sniegt viedokli.</w:t>
            </w:r>
          </w:p>
        </w:tc>
      </w:tr>
      <w:tr w:rsidR="004D15A9" w:rsidRPr="00A616B8" w:rsidTr="00BA5153">
        <w:trPr>
          <w:trHeight w:val="2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Pr="00A616B8" w:rsidRDefault="00232E83" w:rsidP="00B61815">
            <w:pPr>
              <w:spacing w:after="0" w:line="240" w:lineRule="auto"/>
              <w:jc w:val="both"/>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sz w:val="24"/>
                <w:szCs w:val="24"/>
                <w:lang w:eastAsia="lv-LV"/>
              </w:rPr>
              <w:t>Projekts skar ļoti specifisku jomu, tādēļ tā izstrādē piedalījās attiecīgās jomas speciālisti un sabiedrīb</w:t>
            </w:r>
            <w:r w:rsidR="00B61815">
              <w:rPr>
                <w:rFonts w:ascii="Times New Roman" w:eastAsia="Times New Roman" w:hAnsi="Times New Roman" w:cs="Times New Roman"/>
                <w:sz w:val="24"/>
                <w:szCs w:val="24"/>
                <w:lang w:eastAsia="lv-LV"/>
              </w:rPr>
              <w:t>as līdzdalība netika veicināta.</w:t>
            </w:r>
          </w:p>
        </w:tc>
      </w:tr>
      <w:tr w:rsidR="004D15A9" w:rsidRPr="00A616B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Pr="00A616B8" w:rsidRDefault="00B61815" w:rsidP="00B6181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4D15A9" w:rsidRPr="00A616B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616B8" w:rsidRDefault="004D15A9" w:rsidP="00DA596D">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616B8" w:rsidRDefault="00FF0271" w:rsidP="00FF0271">
            <w:pPr>
              <w:spacing w:after="0" w:line="240" w:lineRule="auto"/>
              <w:rPr>
                <w:rFonts w:ascii="Times New Roman" w:eastAsia="Times New Roman" w:hAnsi="Times New Roman" w:cs="Times New Roman"/>
                <w:color w:val="414142"/>
                <w:sz w:val="24"/>
                <w:szCs w:val="24"/>
                <w:lang w:eastAsia="lv-LV"/>
              </w:rPr>
            </w:pPr>
            <w:r w:rsidRPr="00A616B8">
              <w:rPr>
                <w:rFonts w:ascii="Times New Roman" w:eastAsia="Times New Roman" w:hAnsi="Times New Roman" w:cs="Times New Roman"/>
                <w:color w:val="414142"/>
                <w:sz w:val="24"/>
                <w:szCs w:val="24"/>
                <w:lang w:eastAsia="lv-LV"/>
              </w:rPr>
              <w:t>Nav.</w:t>
            </w:r>
          </w:p>
        </w:tc>
      </w:tr>
    </w:tbl>
    <w:p w:rsidR="004D15A9" w:rsidRPr="00A616B8" w:rsidRDefault="004D15A9" w:rsidP="00DA596D">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160"/>
      </w:tblGrid>
      <w:tr w:rsidR="004D15A9" w:rsidRPr="00A616B8" w:rsidTr="00802752">
        <w:trPr>
          <w:trHeight w:val="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A616B8"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A616B8">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802752" w:rsidRPr="00A616B8" w:rsidTr="00802752">
        <w:trPr>
          <w:trHeight w:val="457"/>
        </w:trPr>
        <w:tc>
          <w:tcPr>
            <w:tcW w:w="5000" w:type="pct"/>
            <w:tcBorders>
              <w:top w:val="outset" w:sz="6" w:space="0" w:color="414142"/>
              <w:left w:val="outset" w:sz="6" w:space="0" w:color="414142"/>
              <w:right w:val="outset" w:sz="6" w:space="0" w:color="414142"/>
            </w:tcBorders>
            <w:hideMark/>
          </w:tcPr>
          <w:p w:rsidR="00802752" w:rsidRPr="00A616B8" w:rsidRDefault="00802752" w:rsidP="00802752">
            <w:pPr>
              <w:spacing w:after="0" w:line="240" w:lineRule="auto"/>
              <w:jc w:val="center"/>
              <w:rPr>
                <w:rFonts w:ascii="Times New Roman" w:eastAsia="Times New Roman" w:hAnsi="Times New Roman" w:cs="Times New Roman"/>
                <w:sz w:val="24"/>
                <w:szCs w:val="24"/>
                <w:lang w:eastAsia="lv-LV"/>
              </w:rPr>
            </w:pPr>
            <w:r w:rsidRPr="00A616B8">
              <w:rPr>
                <w:rFonts w:ascii="Times New Roman" w:eastAsia="Times New Roman" w:hAnsi="Times New Roman" w:cs="Times New Roman"/>
                <w:sz w:val="24"/>
                <w:szCs w:val="24"/>
                <w:lang w:eastAsia="lv-LV"/>
              </w:rPr>
              <w:t>Projekts šo jomu neskar.</w:t>
            </w:r>
          </w:p>
        </w:tc>
      </w:tr>
    </w:tbl>
    <w:p w:rsidR="004D15A9" w:rsidRPr="00A616B8" w:rsidRDefault="004D15A9" w:rsidP="00BE28A0">
      <w:pPr>
        <w:pStyle w:val="StyleRight"/>
        <w:spacing w:before="240" w:after="0"/>
        <w:ind w:firstLine="0"/>
        <w:jc w:val="both"/>
        <w:rPr>
          <w:color w:val="000000"/>
          <w:sz w:val="24"/>
          <w:szCs w:val="24"/>
        </w:rPr>
      </w:pPr>
      <w:r w:rsidRPr="00A616B8">
        <w:rPr>
          <w:color w:val="000000"/>
          <w:sz w:val="24"/>
          <w:szCs w:val="24"/>
        </w:rPr>
        <w:t>Iesniedzējs:</w:t>
      </w:r>
    </w:p>
    <w:p w:rsidR="004D15A9" w:rsidRPr="00A616B8" w:rsidRDefault="00FE5A45" w:rsidP="00DA596D">
      <w:pPr>
        <w:pStyle w:val="StyleRight"/>
        <w:spacing w:after="0"/>
        <w:ind w:firstLine="0"/>
        <w:jc w:val="both"/>
        <w:rPr>
          <w:sz w:val="24"/>
          <w:szCs w:val="24"/>
        </w:rPr>
      </w:pPr>
      <w:r w:rsidRPr="00A616B8">
        <w:rPr>
          <w:sz w:val="24"/>
          <w:szCs w:val="24"/>
        </w:rPr>
        <w:t>Vides aizsardzības un reģionālās attīstības</w:t>
      </w:r>
      <w:r w:rsidR="00F36345" w:rsidRPr="00A616B8">
        <w:rPr>
          <w:sz w:val="24"/>
          <w:szCs w:val="24"/>
        </w:rPr>
        <w:t xml:space="preserve"> ministrijas valsts </w:t>
      </w:r>
      <w:r w:rsidR="00FF0271" w:rsidRPr="00A616B8">
        <w:rPr>
          <w:sz w:val="24"/>
          <w:szCs w:val="24"/>
        </w:rPr>
        <w:t>sekretārs</w:t>
      </w:r>
      <w:r w:rsidRPr="00A616B8">
        <w:rPr>
          <w:sz w:val="24"/>
          <w:szCs w:val="24"/>
        </w:rPr>
        <w:tab/>
      </w:r>
      <w:r w:rsidRPr="00A616B8">
        <w:rPr>
          <w:sz w:val="24"/>
          <w:szCs w:val="24"/>
        </w:rPr>
        <w:tab/>
        <w:t>G.Puķītis</w:t>
      </w:r>
    </w:p>
    <w:p w:rsidR="00046B81" w:rsidRPr="0057244E" w:rsidRDefault="00BA0B0B" w:rsidP="00BE28A0">
      <w:pPr>
        <w:pStyle w:val="StyleRight"/>
        <w:spacing w:before="1080" w:after="0"/>
        <w:ind w:firstLine="0"/>
        <w:jc w:val="both"/>
        <w:rPr>
          <w:sz w:val="22"/>
          <w:szCs w:val="22"/>
        </w:rPr>
      </w:pPr>
      <w:r>
        <w:rPr>
          <w:sz w:val="22"/>
          <w:szCs w:val="22"/>
        </w:rPr>
        <w:t>02</w:t>
      </w:r>
      <w:r w:rsidR="00E25931">
        <w:rPr>
          <w:sz w:val="22"/>
          <w:szCs w:val="22"/>
        </w:rPr>
        <w:t>.0</w:t>
      </w:r>
      <w:r>
        <w:rPr>
          <w:sz w:val="22"/>
          <w:szCs w:val="22"/>
        </w:rPr>
        <w:t>3</w:t>
      </w:r>
      <w:r w:rsidR="00B43837" w:rsidRPr="00B43837">
        <w:rPr>
          <w:sz w:val="22"/>
          <w:szCs w:val="22"/>
        </w:rPr>
        <w:t>.2014. 1</w:t>
      </w:r>
      <w:r w:rsidR="00EA51CC">
        <w:rPr>
          <w:sz w:val="22"/>
          <w:szCs w:val="22"/>
        </w:rPr>
        <w:t>4</w:t>
      </w:r>
      <w:r w:rsidR="00B43837" w:rsidRPr="00B43837">
        <w:rPr>
          <w:sz w:val="22"/>
          <w:szCs w:val="22"/>
        </w:rPr>
        <w:t>:54</w:t>
      </w:r>
    </w:p>
    <w:p w:rsidR="0057244E" w:rsidRPr="0057244E" w:rsidRDefault="00A315C3" w:rsidP="00C86931">
      <w:pPr>
        <w:pStyle w:val="StyleRight"/>
        <w:spacing w:after="0"/>
        <w:ind w:firstLine="0"/>
        <w:jc w:val="both"/>
        <w:rPr>
          <w:sz w:val="22"/>
          <w:szCs w:val="22"/>
        </w:rPr>
      </w:pPr>
      <w:fldSimple w:instr=" NUMWORDS   \* MERGEFORMAT ">
        <w:r w:rsidR="002A4767" w:rsidRPr="002A4767">
          <w:rPr>
            <w:noProof/>
            <w:sz w:val="22"/>
            <w:szCs w:val="22"/>
          </w:rPr>
          <w:t>2003</w:t>
        </w:r>
      </w:fldSimple>
    </w:p>
    <w:p w:rsidR="008B672F" w:rsidRPr="0057244E" w:rsidRDefault="008B672F" w:rsidP="008B672F">
      <w:pPr>
        <w:pStyle w:val="NoSpacing"/>
        <w:rPr>
          <w:rFonts w:ascii="Times New Roman" w:hAnsi="Times New Roman" w:cs="Times New Roman"/>
        </w:rPr>
      </w:pPr>
      <w:r w:rsidRPr="0057244E">
        <w:rPr>
          <w:rFonts w:ascii="Times New Roman" w:hAnsi="Times New Roman" w:cs="Times New Roman"/>
        </w:rPr>
        <w:t>T. </w:t>
      </w:r>
      <w:proofErr w:type="spellStart"/>
      <w:r w:rsidRPr="0057244E">
        <w:rPr>
          <w:rFonts w:ascii="Times New Roman" w:hAnsi="Times New Roman" w:cs="Times New Roman"/>
        </w:rPr>
        <w:t>Ceļmillers</w:t>
      </w:r>
      <w:proofErr w:type="spellEnd"/>
    </w:p>
    <w:p w:rsidR="008B672F" w:rsidRPr="0057244E" w:rsidRDefault="008B672F" w:rsidP="008B672F">
      <w:pPr>
        <w:pStyle w:val="NoSpacing"/>
        <w:rPr>
          <w:rFonts w:ascii="Times New Roman" w:hAnsi="Times New Roman" w:cs="Times New Roman"/>
        </w:rPr>
      </w:pPr>
      <w:r w:rsidRPr="0057244E">
        <w:rPr>
          <w:rFonts w:ascii="Times New Roman" w:hAnsi="Times New Roman" w:cs="Times New Roman"/>
        </w:rPr>
        <w:t>66016550, toms.celmillers@varam.gov.lv</w:t>
      </w:r>
    </w:p>
    <w:sectPr w:rsidR="008B672F" w:rsidRPr="0057244E" w:rsidSect="00C8693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78" w:rsidRDefault="00376378" w:rsidP="004D15A9">
      <w:pPr>
        <w:spacing w:after="0" w:line="240" w:lineRule="auto"/>
      </w:pPr>
      <w:r>
        <w:separator/>
      </w:r>
    </w:p>
  </w:endnote>
  <w:endnote w:type="continuationSeparator" w:id="0">
    <w:p w:rsidR="00376378" w:rsidRDefault="00376378"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5" w:rsidRPr="004D15A9" w:rsidRDefault="00A315C3" w:rsidP="004D15A9">
    <w:pPr>
      <w:pStyle w:val="Footer"/>
      <w:jc w:val="both"/>
      <w:rPr>
        <w:rFonts w:ascii="Times New Roman" w:hAnsi="Times New Roman" w:cs="Times New Roman"/>
        <w:color w:val="000000" w:themeColor="text1"/>
        <w:sz w:val="20"/>
        <w:szCs w:val="20"/>
      </w:rPr>
    </w:pPr>
    <w:fldSimple w:instr=" FILENAME   \* MERGEFORMAT ">
      <w:r w:rsidR="00BA0B0B" w:rsidRPr="00BA0B0B">
        <w:rPr>
          <w:rFonts w:ascii="Times New Roman" w:hAnsi="Times New Roman" w:cs="Times New Roman"/>
          <w:noProof/>
          <w:color w:val="000000" w:themeColor="text1"/>
          <w:sz w:val="20"/>
          <w:szCs w:val="20"/>
        </w:rPr>
        <w:t>VARAMAnot_020315_IAL</w:t>
      </w:r>
      <w:r w:rsidR="00BA0B0B" w:rsidRPr="00BA0B0B">
        <w:rPr>
          <w:rFonts w:ascii="Times New Roman" w:hAnsi="Times New Roman" w:cs="Times New Roman"/>
          <w:noProof/>
        </w:rPr>
        <w:t>.755</w:t>
      </w:r>
    </w:fldSimple>
    <w:r w:rsidR="004F79E5" w:rsidRPr="00B43837">
      <w:rPr>
        <w:rFonts w:ascii="Times New Roman" w:hAnsi="Times New Roman" w:cs="Times New Roman"/>
        <w:color w:val="000000" w:themeColor="text1"/>
        <w:sz w:val="20"/>
        <w:szCs w:val="20"/>
      </w:rPr>
      <w:t>;</w:t>
    </w:r>
    <w:r w:rsidR="004F79E5">
      <w:rPr>
        <w:rFonts w:ascii="Times New Roman" w:hAnsi="Times New Roman" w:cs="Times New Roman"/>
        <w:color w:val="000000" w:themeColor="text1"/>
        <w:sz w:val="20"/>
        <w:szCs w:val="20"/>
      </w:rPr>
      <w:t xml:space="preserve"> Likumprojekta „Grozījumi Informācijas atklātības likumā”</w:t>
    </w:r>
    <w:r w:rsidR="004F79E5" w:rsidRPr="004D15A9">
      <w:rPr>
        <w:rFonts w:ascii="Times New Roman" w:hAnsi="Times New Roman" w:cs="Times New Roman"/>
        <w:color w:val="000000" w:themeColor="text1"/>
        <w:sz w:val="20"/>
        <w:szCs w:val="20"/>
      </w:rPr>
      <w:t xml:space="preserve"> </w:t>
    </w:r>
    <w:r w:rsidR="004F79E5"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5" w:rsidRPr="00C86931" w:rsidRDefault="00A315C3" w:rsidP="00C86931">
    <w:pPr>
      <w:pStyle w:val="Footer"/>
      <w:jc w:val="both"/>
      <w:rPr>
        <w:rFonts w:ascii="Times New Roman" w:hAnsi="Times New Roman" w:cs="Times New Roman"/>
        <w:color w:val="000000" w:themeColor="text1"/>
        <w:sz w:val="20"/>
        <w:szCs w:val="20"/>
      </w:rPr>
    </w:pPr>
    <w:fldSimple w:instr=" FILENAME   \* MERGEFORMAT ">
      <w:r w:rsidR="000913C7" w:rsidRPr="000913C7">
        <w:rPr>
          <w:rFonts w:ascii="Times New Roman" w:hAnsi="Times New Roman" w:cs="Times New Roman"/>
          <w:noProof/>
          <w:color w:val="000000" w:themeColor="text1"/>
          <w:sz w:val="20"/>
          <w:szCs w:val="20"/>
        </w:rPr>
        <w:t>VARAMAnot_020315_IAL</w:t>
      </w:r>
      <w:r w:rsidR="000913C7" w:rsidRPr="000913C7">
        <w:rPr>
          <w:rFonts w:ascii="Times New Roman" w:hAnsi="Times New Roman" w:cs="Times New Roman"/>
          <w:noProof/>
        </w:rPr>
        <w:t>.755</w:t>
      </w:r>
    </w:fldSimple>
    <w:r w:rsidR="004F79E5" w:rsidRPr="00B43837">
      <w:rPr>
        <w:rFonts w:ascii="Times New Roman" w:hAnsi="Times New Roman" w:cs="Times New Roman"/>
        <w:color w:val="000000" w:themeColor="text1"/>
        <w:sz w:val="20"/>
        <w:szCs w:val="20"/>
      </w:rPr>
      <w:t>;</w:t>
    </w:r>
    <w:r w:rsidR="004F79E5">
      <w:rPr>
        <w:rFonts w:ascii="Times New Roman" w:hAnsi="Times New Roman" w:cs="Times New Roman"/>
        <w:color w:val="000000" w:themeColor="text1"/>
        <w:sz w:val="20"/>
        <w:szCs w:val="20"/>
      </w:rPr>
      <w:t xml:space="preserve"> Likumprojekta „Grozījumi Informācijas atklātības likumā”</w:t>
    </w:r>
    <w:r w:rsidR="004F79E5" w:rsidRPr="004D15A9">
      <w:rPr>
        <w:rFonts w:ascii="Times New Roman" w:hAnsi="Times New Roman" w:cs="Times New Roman"/>
        <w:color w:val="000000" w:themeColor="text1"/>
        <w:sz w:val="20"/>
        <w:szCs w:val="20"/>
      </w:rPr>
      <w:t xml:space="preserve"> </w:t>
    </w:r>
    <w:r w:rsidR="004F79E5"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78" w:rsidRDefault="00376378" w:rsidP="004D15A9">
      <w:pPr>
        <w:spacing w:after="0" w:line="240" w:lineRule="auto"/>
      </w:pPr>
      <w:r>
        <w:separator/>
      </w:r>
    </w:p>
  </w:footnote>
  <w:footnote w:type="continuationSeparator" w:id="0">
    <w:p w:rsidR="00376378" w:rsidRDefault="00376378"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4F79E5" w:rsidRPr="004D15A9" w:rsidRDefault="00A315C3">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F79E5"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30DA8">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4F79E5" w:rsidRDefault="004F7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005"/>
    <w:multiLevelType w:val="hybridMultilevel"/>
    <w:tmpl w:val="98A6B7F0"/>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652AB3"/>
    <w:multiLevelType w:val="hybridMultilevel"/>
    <w:tmpl w:val="809A2F16"/>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357D1A"/>
    <w:multiLevelType w:val="hybridMultilevel"/>
    <w:tmpl w:val="4900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E805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E1672"/>
    <w:multiLevelType w:val="hybridMultilevel"/>
    <w:tmpl w:val="0846AF28"/>
    <w:lvl w:ilvl="0" w:tplc="3466A846">
      <w:start w:val="1"/>
      <w:numFmt w:val="decimal"/>
      <w:lvlText w:val="%1)"/>
      <w:lvlJc w:val="left"/>
      <w:pPr>
        <w:ind w:left="765" w:hanging="40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43C61"/>
    <w:multiLevelType w:val="multilevel"/>
    <w:tmpl w:val="B9D22AC8"/>
    <w:lvl w:ilvl="0">
      <w:start w:val="1"/>
      <w:numFmt w:val="decimal"/>
      <w:lvlText w:val="%1."/>
      <w:lvlJc w:val="left"/>
      <w:pPr>
        <w:ind w:left="960" w:hanging="960"/>
      </w:pPr>
      <w:rPr>
        <w:rFonts w:hint="default"/>
        <w:b/>
      </w:rPr>
    </w:lvl>
    <w:lvl w:ilvl="1">
      <w:start w:val="1"/>
      <w:numFmt w:val="decimal"/>
      <w:lvlText w:val="%1.%2."/>
      <w:lvlJc w:val="left"/>
      <w:pPr>
        <w:ind w:left="1359" w:hanging="960"/>
      </w:pPr>
      <w:rPr>
        <w:rFonts w:hint="default"/>
        <w:b/>
      </w:rPr>
    </w:lvl>
    <w:lvl w:ilvl="2">
      <w:start w:val="1"/>
      <w:numFmt w:val="decimal"/>
      <w:lvlText w:val="%1.%2.%3."/>
      <w:lvlJc w:val="left"/>
      <w:pPr>
        <w:ind w:left="1758" w:hanging="960"/>
      </w:pPr>
      <w:rPr>
        <w:rFonts w:hint="default"/>
        <w:b/>
      </w:rPr>
    </w:lvl>
    <w:lvl w:ilvl="3">
      <w:start w:val="1"/>
      <w:numFmt w:val="decimal"/>
      <w:lvlText w:val="%1.%2.%3.%4."/>
      <w:lvlJc w:val="left"/>
      <w:pPr>
        <w:ind w:left="2157" w:hanging="960"/>
      </w:pPr>
      <w:rPr>
        <w:rFonts w:hint="default"/>
        <w:b/>
      </w:rPr>
    </w:lvl>
    <w:lvl w:ilvl="4">
      <w:start w:val="1"/>
      <w:numFmt w:val="decimal"/>
      <w:lvlText w:val="%1.%2.%3.%4.%5."/>
      <w:lvlJc w:val="left"/>
      <w:pPr>
        <w:ind w:left="2676" w:hanging="1080"/>
      </w:pPr>
      <w:rPr>
        <w:rFonts w:hint="default"/>
        <w:b/>
      </w:rPr>
    </w:lvl>
    <w:lvl w:ilvl="5">
      <w:start w:val="1"/>
      <w:numFmt w:val="decimal"/>
      <w:lvlText w:val="%1.%2.%3.%4.%5.%6."/>
      <w:lvlJc w:val="left"/>
      <w:pPr>
        <w:ind w:left="3075" w:hanging="1080"/>
      </w:pPr>
      <w:rPr>
        <w:rFonts w:hint="default"/>
        <w:b/>
      </w:rPr>
    </w:lvl>
    <w:lvl w:ilvl="6">
      <w:start w:val="1"/>
      <w:numFmt w:val="decimal"/>
      <w:lvlText w:val="%1.%2.%3.%4.%5.%6.%7."/>
      <w:lvlJc w:val="left"/>
      <w:pPr>
        <w:ind w:left="3834" w:hanging="1440"/>
      </w:pPr>
      <w:rPr>
        <w:rFonts w:hint="default"/>
        <w:b/>
      </w:rPr>
    </w:lvl>
    <w:lvl w:ilvl="7">
      <w:start w:val="1"/>
      <w:numFmt w:val="decimal"/>
      <w:lvlText w:val="%1.%2.%3.%4.%5.%6.%7.%8."/>
      <w:lvlJc w:val="left"/>
      <w:pPr>
        <w:ind w:left="4233" w:hanging="1440"/>
      </w:pPr>
      <w:rPr>
        <w:rFonts w:hint="default"/>
        <w:b/>
      </w:rPr>
    </w:lvl>
    <w:lvl w:ilvl="8">
      <w:start w:val="1"/>
      <w:numFmt w:val="decimal"/>
      <w:lvlText w:val="%1.%2.%3.%4.%5.%6.%7.%8.%9."/>
      <w:lvlJc w:val="left"/>
      <w:pPr>
        <w:ind w:left="4992" w:hanging="1800"/>
      </w:pPr>
      <w:rPr>
        <w:rFonts w:hint="default"/>
        <w:b/>
      </w:rPr>
    </w:lvl>
  </w:abstractNum>
  <w:abstractNum w:abstractNumId="6">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EC66E7"/>
    <w:multiLevelType w:val="hybridMultilevel"/>
    <w:tmpl w:val="1CEE5034"/>
    <w:lvl w:ilvl="0" w:tplc="B6F6799E">
      <w:start w:val="1"/>
      <w:numFmt w:val="decimal"/>
      <w:lvlText w:val="%1)"/>
      <w:lvlJc w:val="left"/>
      <w:pPr>
        <w:ind w:left="765" w:hanging="40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107B91"/>
    <w:multiLevelType w:val="hybridMultilevel"/>
    <w:tmpl w:val="6776AD3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A82D6D"/>
    <w:multiLevelType w:val="hybridMultilevel"/>
    <w:tmpl w:val="D6AAC3DE"/>
    <w:lvl w:ilvl="0" w:tplc="04260015">
      <w:start w:val="1"/>
      <w:numFmt w:val="upperLetter"/>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2">
    <w:nsid w:val="63807FEB"/>
    <w:multiLevelType w:val="hybridMultilevel"/>
    <w:tmpl w:val="7130D40A"/>
    <w:lvl w:ilvl="0" w:tplc="B8CACE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
  </w:num>
  <w:num w:numId="11">
    <w:abstractNumId w:val="10"/>
  </w:num>
  <w:num w:numId="12">
    <w:abstractNumId w:val="8"/>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D15A9"/>
    <w:rsid w:val="00004312"/>
    <w:rsid w:val="000160BC"/>
    <w:rsid w:val="00031256"/>
    <w:rsid w:val="0004265D"/>
    <w:rsid w:val="000455DC"/>
    <w:rsid w:val="00046B81"/>
    <w:rsid w:val="0005066F"/>
    <w:rsid w:val="00057CEE"/>
    <w:rsid w:val="00072A45"/>
    <w:rsid w:val="0008157E"/>
    <w:rsid w:val="000913C7"/>
    <w:rsid w:val="00094B2F"/>
    <w:rsid w:val="000B045C"/>
    <w:rsid w:val="000B4126"/>
    <w:rsid w:val="000B62CA"/>
    <w:rsid w:val="000C231B"/>
    <w:rsid w:val="000C287C"/>
    <w:rsid w:val="000D0335"/>
    <w:rsid w:val="000D4BF7"/>
    <w:rsid w:val="000F63D6"/>
    <w:rsid w:val="00101CD5"/>
    <w:rsid w:val="001021F4"/>
    <w:rsid w:val="00112A80"/>
    <w:rsid w:val="0011402B"/>
    <w:rsid w:val="00114B8D"/>
    <w:rsid w:val="001250D4"/>
    <w:rsid w:val="00137734"/>
    <w:rsid w:val="0014189F"/>
    <w:rsid w:val="00143361"/>
    <w:rsid w:val="00146D81"/>
    <w:rsid w:val="00147670"/>
    <w:rsid w:val="00151662"/>
    <w:rsid w:val="0015699C"/>
    <w:rsid w:val="00166925"/>
    <w:rsid w:val="0017152D"/>
    <w:rsid w:val="0017572A"/>
    <w:rsid w:val="001870CB"/>
    <w:rsid w:val="0018799F"/>
    <w:rsid w:val="001A7A9E"/>
    <w:rsid w:val="001E31C7"/>
    <w:rsid w:val="001E6622"/>
    <w:rsid w:val="001F2DFA"/>
    <w:rsid w:val="002000D9"/>
    <w:rsid w:val="00210470"/>
    <w:rsid w:val="00213DBD"/>
    <w:rsid w:val="00216B51"/>
    <w:rsid w:val="00222A49"/>
    <w:rsid w:val="00232E83"/>
    <w:rsid w:val="00247896"/>
    <w:rsid w:val="00271C08"/>
    <w:rsid w:val="00273265"/>
    <w:rsid w:val="00281E78"/>
    <w:rsid w:val="00286995"/>
    <w:rsid w:val="0029096A"/>
    <w:rsid w:val="002A4767"/>
    <w:rsid w:val="002B053C"/>
    <w:rsid w:val="002B430A"/>
    <w:rsid w:val="002B5BAB"/>
    <w:rsid w:val="002C42FF"/>
    <w:rsid w:val="002C66D7"/>
    <w:rsid w:val="002C6CB4"/>
    <w:rsid w:val="002D25A5"/>
    <w:rsid w:val="002E409D"/>
    <w:rsid w:val="002F3C70"/>
    <w:rsid w:val="00300021"/>
    <w:rsid w:val="00305C86"/>
    <w:rsid w:val="00321C58"/>
    <w:rsid w:val="00330DA8"/>
    <w:rsid w:val="00330FC7"/>
    <w:rsid w:val="00332B5B"/>
    <w:rsid w:val="003549B9"/>
    <w:rsid w:val="0036149F"/>
    <w:rsid w:val="00362BA9"/>
    <w:rsid w:val="00363127"/>
    <w:rsid w:val="0036522E"/>
    <w:rsid w:val="00376378"/>
    <w:rsid w:val="00381CD9"/>
    <w:rsid w:val="00384818"/>
    <w:rsid w:val="00385F90"/>
    <w:rsid w:val="003922B0"/>
    <w:rsid w:val="00395A27"/>
    <w:rsid w:val="003A2A0B"/>
    <w:rsid w:val="003A4161"/>
    <w:rsid w:val="003A5684"/>
    <w:rsid w:val="003A56AE"/>
    <w:rsid w:val="003B6B8C"/>
    <w:rsid w:val="003B6FB9"/>
    <w:rsid w:val="003C573E"/>
    <w:rsid w:val="003C579C"/>
    <w:rsid w:val="003E163C"/>
    <w:rsid w:val="003F42D4"/>
    <w:rsid w:val="003F662C"/>
    <w:rsid w:val="0040246C"/>
    <w:rsid w:val="00424A17"/>
    <w:rsid w:val="00426582"/>
    <w:rsid w:val="00427AEB"/>
    <w:rsid w:val="00433A25"/>
    <w:rsid w:val="004423E0"/>
    <w:rsid w:val="004826F3"/>
    <w:rsid w:val="00490059"/>
    <w:rsid w:val="00492DEF"/>
    <w:rsid w:val="004A1F3C"/>
    <w:rsid w:val="004A479C"/>
    <w:rsid w:val="004B1537"/>
    <w:rsid w:val="004B4BB5"/>
    <w:rsid w:val="004B5048"/>
    <w:rsid w:val="004D15A9"/>
    <w:rsid w:val="004E20A3"/>
    <w:rsid w:val="004E27A2"/>
    <w:rsid w:val="004E5681"/>
    <w:rsid w:val="004F5672"/>
    <w:rsid w:val="004F79E5"/>
    <w:rsid w:val="00510966"/>
    <w:rsid w:val="00514EE0"/>
    <w:rsid w:val="00516C0E"/>
    <w:rsid w:val="00522C7E"/>
    <w:rsid w:val="00531E05"/>
    <w:rsid w:val="005423DD"/>
    <w:rsid w:val="0054365E"/>
    <w:rsid w:val="005447C6"/>
    <w:rsid w:val="005572BF"/>
    <w:rsid w:val="005610A7"/>
    <w:rsid w:val="0057244E"/>
    <w:rsid w:val="005738BB"/>
    <w:rsid w:val="0059781E"/>
    <w:rsid w:val="005B079F"/>
    <w:rsid w:val="005C62CB"/>
    <w:rsid w:val="005D4E8A"/>
    <w:rsid w:val="005D5E00"/>
    <w:rsid w:val="005D74F1"/>
    <w:rsid w:val="005D75E3"/>
    <w:rsid w:val="005E40DA"/>
    <w:rsid w:val="005F3D01"/>
    <w:rsid w:val="00602D78"/>
    <w:rsid w:val="00615A48"/>
    <w:rsid w:val="006240D5"/>
    <w:rsid w:val="0064199D"/>
    <w:rsid w:val="006541DF"/>
    <w:rsid w:val="00664888"/>
    <w:rsid w:val="00670A55"/>
    <w:rsid w:val="00674542"/>
    <w:rsid w:val="00684A74"/>
    <w:rsid w:val="0068750B"/>
    <w:rsid w:val="00696F15"/>
    <w:rsid w:val="006A2B26"/>
    <w:rsid w:val="006A65C1"/>
    <w:rsid w:val="006B638D"/>
    <w:rsid w:val="006C28FE"/>
    <w:rsid w:val="006D04E7"/>
    <w:rsid w:val="006D121E"/>
    <w:rsid w:val="006D6439"/>
    <w:rsid w:val="006E047B"/>
    <w:rsid w:val="006E18B1"/>
    <w:rsid w:val="006F2328"/>
    <w:rsid w:val="006F2B25"/>
    <w:rsid w:val="00700628"/>
    <w:rsid w:val="007039B0"/>
    <w:rsid w:val="00704192"/>
    <w:rsid w:val="00721EA9"/>
    <w:rsid w:val="00722C4E"/>
    <w:rsid w:val="0072611D"/>
    <w:rsid w:val="007578E0"/>
    <w:rsid w:val="00761DAD"/>
    <w:rsid w:val="0077206E"/>
    <w:rsid w:val="00772A52"/>
    <w:rsid w:val="007777A9"/>
    <w:rsid w:val="0078067C"/>
    <w:rsid w:val="00782498"/>
    <w:rsid w:val="007901AE"/>
    <w:rsid w:val="00797379"/>
    <w:rsid w:val="007A6CDF"/>
    <w:rsid w:val="007B3F02"/>
    <w:rsid w:val="007B6F29"/>
    <w:rsid w:val="007C7608"/>
    <w:rsid w:val="007C7C4B"/>
    <w:rsid w:val="00802752"/>
    <w:rsid w:val="00807575"/>
    <w:rsid w:val="0081203F"/>
    <w:rsid w:val="00821AD5"/>
    <w:rsid w:val="008259B7"/>
    <w:rsid w:val="00832553"/>
    <w:rsid w:val="0083387E"/>
    <w:rsid w:val="00836018"/>
    <w:rsid w:val="0085138D"/>
    <w:rsid w:val="008515D4"/>
    <w:rsid w:val="00853ABF"/>
    <w:rsid w:val="00877037"/>
    <w:rsid w:val="00883A86"/>
    <w:rsid w:val="0088580C"/>
    <w:rsid w:val="008B1071"/>
    <w:rsid w:val="008B672F"/>
    <w:rsid w:val="008B7FAF"/>
    <w:rsid w:val="008C1C87"/>
    <w:rsid w:val="008C3E42"/>
    <w:rsid w:val="008E266C"/>
    <w:rsid w:val="008E5D5A"/>
    <w:rsid w:val="008F0517"/>
    <w:rsid w:val="008F1897"/>
    <w:rsid w:val="008F531B"/>
    <w:rsid w:val="00906994"/>
    <w:rsid w:val="00911FDF"/>
    <w:rsid w:val="00915493"/>
    <w:rsid w:val="00921F8C"/>
    <w:rsid w:val="00937B02"/>
    <w:rsid w:val="00942D34"/>
    <w:rsid w:val="00945207"/>
    <w:rsid w:val="0096451A"/>
    <w:rsid w:val="00966305"/>
    <w:rsid w:val="00967A7C"/>
    <w:rsid w:val="009763A2"/>
    <w:rsid w:val="00980320"/>
    <w:rsid w:val="0098043F"/>
    <w:rsid w:val="00980968"/>
    <w:rsid w:val="00983D6D"/>
    <w:rsid w:val="009978B9"/>
    <w:rsid w:val="009C658F"/>
    <w:rsid w:val="009D225F"/>
    <w:rsid w:val="009D2C49"/>
    <w:rsid w:val="009F2286"/>
    <w:rsid w:val="009F3839"/>
    <w:rsid w:val="00A0654A"/>
    <w:rsid w:val="00A212C1"/>
    <w:rsid w:val="00A23241"/>
    <w:rsid w:val="00A2619B"/>
    <w:rsid w:val="00A315C3"/>
    <w:rsid w:val="00A44DA8"/>
    <w:rsid w:val="00A50857"/>
    <w:rsid w:val="00A5662B"/>
    <w:rsid w:val="00A616B8"/>
    <w:rsid w:val="00A73CF6"/>
    <w:rsid w:val="00A8631F"/>
    <w:rsid w:val="00A910C9"/>
    <w:rsid w:val="00AA283D"/>
    <w:rsid w:val="00AA702A"/>
    <w:rsid w:val="00AB7FDB"/>
    <w:rsid w:val="00AC7C37"/>
    <w:rsid w:val="00AD4E0F"/>
    <w:rsid w:val="00AD5B9B"/>
    <w:rsid w:val="00AE40BF"/>
    <w:rsid w:val="00AE7CAD"/>
    <w:rsid w:val="00B0268B"/>
    <w:rsid w:val="00B14B98"/>
    <w:rsid w:val="00B23B52"/>
    <w:rsid w:val="00B25A69"/>
    <w:rsid w:val="00B32DAF"/>
    <w:rsid w:val="00B333DE"/>
    <w:rsid w:val="00B36FCF"/>
    <w:rsid w:val="00B41C2E"/>
    <w:rsid w:val="00B41C9D"/>
    <w:rsid w:val="00B42F2E"/>
    <w:rsid w:val="00B43837"/>
    <w:rsid w:val="00B462C4"/>
    <w:rsid w:val="00B56960"/>
    <w:rsid w:val="00B61815"/>
    <w:rsid w:val="00B71B6D"/>
    <w:rsid w:val="00B779D9"/>
    <w:rsid w:val="00B825C9"/>
    <w:rsid w:val="00B92508"/>
    <w:rsid w:val="00B94140"/>
    <w:rsid w:val="00B959A8"/>
    <w:rsid w:val="00BA0B0B"/>
    <w:rsid w:val="00BA5153"/>
    <w:rsid w:val="00BA5E1F"/>
    <w:rsid w:val="00BB1F46"/>
    <w:rsid w:val="00BC7896"/>
    <w:rsid w:val="00BD22ED"/>
    <w:rsid w:val="00BE28A0"/>
    <w:rsid w:val="00BE2C82"/>
    <w:rsid w:val="00BE3F90"/>
    <w:rsid w:val="00BF33EC"/>
    <w:rsid w:val="00C05F24"/>
    <w:rsid w:val="00C0616C"/>
    <w:rsid w:val="00C07ECA"/>
    <w:rsid w:val="00C27F3A"/>
    <w:rsid w:val="00C35ED2"/>
    <w:rsid w:val="00C459C9"/>
    <w:rsid w:val="00C4777A"/>
    <w:rsid w:val="00C503AD"/>
    <w:rsid w:val="00C56017"/>
    <w:rsid w:val="00C5606E"/>
    <w:rsid w:val="00C5706F"/>
    <w:rsid w:val="00C6389D"/>
    <w:rsid w:val="00C64A5E"/>
    <w:rsid w:val="00C70F50"/>
    <w:rsid w:val="00C71991"/>
    <w:rsid w:val="00C86931"/>
    <w:rsid w:val="00C875C6"/>
    <w:rsid w:val="00C92F5B"/>
    <w:rsid w:val="00CA00D3"/>
    <w:rsid w:val="00CA1BD4"/>
    <w:rsid w:val="00CA551B"/>
    <w:rsid w:val="00CB0295"/>
    <w:rsid w:val="00CB3DD7"/>
    <w:rsid w:val="00CC07C7"/>
    <w:rsid w:val="00CC07D0"/>
    <w:rsid w:val="00CC0F2E"/>
    <w:rsid w:val="00CC212E"/>
    <w:rsid w:val="00CC6319"/>
    <w:rsid w:val="00CD657F"/>
    <w:rsid w:val="00CE0DB5"/>
    <w:rsid w:val="00D02066"/>
    <w:rsid w:val="00D157B5"/>
    <w:rsid w:val="00D16374"/>
    <w:rsid w:val="00D16EA8"/>
    <w:rsid w:val="00D20B4A"/>
    <w:rsid w:val="00D265D0"/>
    <w:rsid w:val="00D26EAF"/>
    <w:rsid w:val="00D2770F"/>
    <w:rsid w:val="00D313D5"/>
    <w:rsid w:val="00D31584"/>
    <w:rsid w:val="00D331E0"/>
    <w:rsid w:val="00D45C7F"/>
    <w:rsid w:val="00D56069"/>
    <w:rsid w:val="00D60C58"/>
    <w:rsid w:val="00D60EBE"/>
    <w:rsid w:val="00D650DD"/>
    <w:rsid w:val="00D71F83"/>
    <w:rsid w:val="00D83D85"/>
    <w:rsid w:val="00D87EC8"/>
    <w:rsid w:val="00D92116"/>
    <w:rsid w:val="00D935B3"/>
    <w:rsid w:val="00DA596D"/>
    <w:rsid w:val="00DA78F3"/>
    <w:rsid w:val="00DC717C"/>
    <w:rsid w:val="00DF3843"/>
    <w:rsid w:val="00E10BFC"/>
    <w:rsid w:val="00E1421C"/>
    <w:rsid w:val="00E145C2"/>
    <w:rsid w:val="00E24F47"/>
    <w:rsid w:val="00E25931"/>
    <w:rsid w:val="00E3239A"/>
    <w:rsid w:val="00E3288D"/>
    <w:rsid w:val="00E353DF"/>
    <w:rsid w:val="00E511A4"/>
    <w:rsid w:val="00E5537F"/>
    <w:rsid w:val="00E61060"/>
    <w:rsid w:val="00E65951"/>
    <w:rsid w:val="00E71777"/>
    <w:rsid w:val="00E76A21"/>
    <w:rsid w:val="00E806FC"/>
    <w:rsid w:val="00E91E75"/>
    <w:rsid w:val="00EA51CC"/>
    <w:rsid w:val="00EB03BC"/>
    <w:rsid w:val="00EB3C0F"/>
    <w:rsid w:val="00EC3CD0"/>
    <w:rsid w:val="00EC7688"/>
    <w:rsid w:val="00ED17FC"/>
    <w:rsid w:val="00EE5BB9"/>
    <w:rsid w:val="00EE7810"/>
    <w:rsid w:val="00EF2AF5"/>
    <w:rsid w:val="00EF7E7C"/>
    <w:rsid w:val="00F10315"/>
    <w:rsid w:val="00F273DA"/>
    <w:rsid w:val="00F30E7A"/>
    <w:rsid w:val="00F36345"/>
    <w:rsid w:val="00F370AC"/>
    <w:rsid w:val="00F46478"/>
    <w:rsid w:val="00F46BBE"/>
    <w:rsid w:val="00F55C81"/>
    <w:rsid w:val="00F7059B"/>
    <w:rsid w:val="00FA6EA0"/>
    <w:rsid w:val="00FB4B6A"/>
    <w:rsid w:val="00FD1BA5"/>
    <w:rsid w:val="00FD3D59"/>
    <w:rsid w:val="00FD5030"/>
    <w:rsid w:val="00FE4010"/>
    <w:rsid w:val="00FE5A45"/>
    <w:rsid w:val="00FE7C90"/>
    <w:rsid w:val="00FF0271"/>
    <w:rsid w:val="00FF2208"/>
    <w:rsid w:val="00FF6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paragraph" w:customStyle="1" w:styleId="naisf">
    <w:name w:val="naisf"/>
    <w:basedOn w:val="Normal"/>
    <w:rsid w:val="00CC0F2E"/>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NoSpacing">
    <w:name w:val="No Spacing"/>
    <w:uiPriority w:val="1"/>
    <w:qFormat/>
    <w:rsid w:val="004B1537"/>
    <w:pPr>
      <w:spacing w:after="0" w:line="240" w:lineRule="auto"/>
    </w:pPr>
  </w:style>
  <w:style w:type="character" w:customStyle="1" w:styleId="apple-converted-space">
    <w:name w:val="apple-converted-space"/>
    <w:basedOn w:val="DefaultParagraphFont"/>
    <w:rsid w:val="000C231B"/>
  </w:style>
  <w:style w:type="character" w:styleId="Hyperlink">
    <w:name w:val="Hyperlink"/>
    <w:basedOn w:val="DefaultParagraphFont"/>
    <w:uiPriority w:val="99"/>
    <w:unhideWhenUsed/>
    <w:rsid w:val="00FE4010"/>
    <w:rPr>
      <w:color w:val="0000FF" w:themeColor="hyperlink"/>
      <w:u w:val="single"/>
    </w:rPr>
  </w:style>
  <w:style w:type="character" w:styleId="FollowedHyperlink">
    <w:name w:val="FollowedHyperlink"/>
    <w:basedOn w:val="DefaultParagraphFont"/>
    <w:uiPriority w:val="99"/>
    <w:semiHidden/>
    <w:unhideWhenUsed/>
    <w:rsid w:val="00FE4010"/>
    <w:rPr>
      <w:color w:val="800080" w:themeColor="followedHyperlink"/>
      <w:u w:val="single"/>
    </w:rPr>
  </w:style>
  <w:style w:type="paragraph" w:styleId="Revision">
    <w:name w:val="Revision"/>
    <w:hidden/>
    <w:uiPriority w:val="99"/>
    <w:semiHidden/>
    <w:rsid w:val="008B7FAF"/>
    <w:pPr>
      <w:spacing w:after="0" w:line="240" w:lineRule="auto"/>
    </w:pPr>
  </w:style>
</w:styles>
</file>

<file path=word/webSettings.xml><?xml version="1.0" encoding="utf-8"?>
<w:webSettings xmlns:r="http://schemas.openxmlformats.org/officeDocument/2006/relationships" xmlns:w="http://schemas.openxmlformats.org/wordprocessingml/2006/main">
  <w:divs>
    <w:div w:id="9675752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08147652">
      <w:bodyDiv w:val="1"/>
      <w:marLeft w:val="0"/>
      <w:marRight w:val="0"/>
      <w:marTop w:val="0"/>
      <w:marBottom w:val="0"/>
      <w:divBdr>
        <w:top w:val="none" w:sz="0" w:space="0" w:color="auto"/>
        <w:left w:val="none" w:sz="0" w:space="0" w:color="auto"/>
        <w:bottom w:val="none" w:sz="0" w:space="0" w:color="auto"/>
        <w:right w:val="none" w:sz="0" w:space="0" w:color="auto"/>
      </w:divBdr>
    </w:div>
    <w:div w:id="302546295">
      <w:bodyDiv w:val="1"/>
      <w:marLeft w:val="0"/>
      <w:marRight w:val="0"/>
      <w:marTop w:val="0"/>
      <w:marBottom w:val="0"/>
      <w:divBdr>
        <w:top w:val="none" w:sz="0" w:space="0" w:color="auto"/>
        <w:left w:val="none" w:sz="0" w:space="0" w:color="auto"/>
        <w:bottom w:val="none" w:sz="0" w:space="0" w:color="auto"/>
        <w:right w:val="none" w:sz="0" w:space="0" w:color="auto"/>
      </w:divBdr>
    </w:div>
    <w:div w:id="366151283">
      <w:bodyDiv w:val="1"/>
      <w:marLeft w:val="0"/>
      <w:marRight w:val="0"/>
      <w:marTop w:val="0"/>
      <w:marBottom w:val="0"/>
      <w:divBdr>
        <w:top w:val="none" w:sz="0" w:space="0" w:color="auto"/>
        <w:left w:val="none" w:sz="0" w:space="0" w:color="auto"/>
        <w:bottom w:val="none" w:sz="0" w:space="0" w:color="auto"/>
        <w:right w:val="none" w:sz="0" w:space="0" w:color="auto"/>
      </w:divBdr>
      <w:divsChild>
        <w:div w:id="2131826345">
          <w:marLeft w:val="0"/>
          <w:marRight w:val="0"/>
          <w:marTop w:val="0"/>
          <w:marBottom w:val="0"/>
          <w:divBdr>
            <w:top w:val="none" w:sz="0" w:space="0" w:color="auto"/>
            <w:left w:val="none" w:sz="0" w:space="0" w:color="auto"/>
            <w:bottom w:val="none" w:sz="0" w:space="0" w:color="auto"/>
            <w:right w:val="none" w:sz="0" w:space="0" w:color="auto"/>
          </w:divBdr>
        </w:div>
        <w:div w:id="1540505969">
          <w:marLeft w:val="0"/>
          <w:marRight w:val="0"/>
          <w:marTop w:val="0"/>
          <w:marBottom w:val="0"/>
          <w:divBdr>
            <w:top w:val="none" w:sz="0" w:space="0" w:color="auto"/>
            <w:left w:val="none" w:sz="0" w:space="0" w:color="auto"/>
            <w:bottom w:val="none" w:sz="0" w:space="0" w:color="auto"/>
            <w:right w:val="none" w:sz="0" w:space="0" w:color="auto"/>
          </w:divBdr>
        </w:div>
      </w:divsChild>
    </w:div>
    <w:div w:id="423918903">
      <w:bodyDiv w:val="1"/>
      <w:marLeft w:val="0"/>
      <w:marRight w:val="0"/>
      <w:marTop w:val="0"/>
      <w:marBottom w:val="0"/>
      <w:divBdr>
        <w:top w:val="none" w:sz="0" w:space="0" w:color="auto"/>
        <w:left w:val="none" w:sz="0" w:space="0" w:color="auto"/>
        <w:bottom w:val="none" w:sz="0" w:space="0" w:color="auto"/>
        <w:right w:val="none" w:sz="0" w:space="0" w:color="auto"/>
      </w:divBdr>
    </w:div>
    <w:div w:id="664017064">
      <w:bodyDiv w:val="1"/>
      <w:marLeft w:val="0"/>
      <w:marRight w:val="0"/>
      <w:marTop w:val="0"/>
      <w:marBottom w:val="0"/>
      <w:divBdr>
        <w:top w:val="none" w:sz="0" w:space="0" w:color="auto"/>
        <w:left w:val="none" w:sz="0" w:space="0" w:color="auto"/>
        <w:bottom w:val="none" w:sz="0" w:space="0" w:color="auto"/>
        <w:right w:val="none" w:sz="0" w:space="0" w:color="auto"/>
      </w:divBdr>
    </w:div>
    <w:div w:id="682783071">
      <w:bodyDiv w:val="1"/>
      <w:marLeft w:val="0"/>
      <w:marRight w:val="0"/>
      <w:marTop w:val="0"/>
      <w:marBottom w:val="0"/>
      <w:divBdr>
        <w:top w:val="none" w:sz="0" w:space="0" w:color="auto"/>
        <w:left w:val="none" w:sz="0" w:space="0" w:color="auto"/>
        <w:bottom w:val="none" w:sz="0" w:space="0" w:color="auto"/>
        <w:right w:val="none" w:sz="0" w:space="0" w:color="auto"/>
      </w:divBdr>
    </w:div>
    <w:div w:id="804851882">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028990163">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1351760268">
      <w:bodyDiv w:val="1"/>
      <w:marLeft w:val="0"/>
      <w:marRight w:val="0"/>
      <w:marTop w:val="0"/>
      <w:marBottom w:val="0"/>
      <w:divBdr>
        <w:top w:val="none" w:sz="0" w:space="0" w:color="auto"/>
        <w:left w:val="none" w:sz="0" w:space="0" w:color="auto"/>
        <w:bottom w:val="none" w:sz="0" w:space="0" w:color="auto"/>
        <w:right w:val="none" w:sz="0" w:space="0" w:color="auto"/>
      </w:divBdr>
    </w:div>
    <w:div w:id="1395198492">
      <w:bodyDiv w:val="1"/>
      <w:marLeft w:val="0"/>
      <w:marRight w:val="0"/>
      <w:marTop w:val="0"/>
      <w:marBottom w:val="0"/>
      <w:divBdr>
        <w:top w:val="none" w:sz="0" w:space="0" w:color="auto"/>
        <w:left w:val="none" w:sz="0" w:space="0" w:color="auto"/>
        <w:bottom w:val="none" w:sz="0" w:space="0" w:color="auto"/>
        <w:right w:val="none" w:sz="0" w:space="0" w:color="auto"/>
      </w:divBdr>
    </w:div>
    <w:div w:id="1499152850">
      <w:bodyDiv w:val="1"/>
      <w:marLeft w:val="0"/>
      <w:marRight w:val="0"/>
      <w:marTop w:val="0"/>
      <w:marBottom w:val="0"/>
      <w:divBdr>
        <w:top w:val="none" w:sz="0" w:space="0" w:color="auto"/>
        <w:left w:val="none" w:sz="0" w:space="0" w:color="auto"/>
        <w:bottom w:val="none" w:sz="0" w:space="0" w:color="auto"/>
        <w:right w:val="none" w:sz="0" w:space="0" w:color="auto"/>
      </w:divBdr>
    </w:div>
    <w:div w:id="1531188826">
      <w:bodyDiv w:val="1"/>
      <w:marLeft w:val="0"/>
      <w:marRight w:val="0"/>
      <w:marTop w:val="0"/>
      <w:marBottom w:val="0"/>
      <w:divBdr>
        <w:top w:val="none" w:sz="0" w:space="0" w:color="auto"/>
        <w:left w:val="none" w:sz="0" w:space="0" w:color="auto"/>
        <w:bottom w:val="none" w:sz="0" w:space="0" w:color="auto"/>
        <w:right w:val="none" w:sz="0" w:space="0" w:color="auto"/>
      </w:divBdr>
    </w:div>
    <w:div w:id="1535656234">
      <w:bodyDiv w:val="1"/>
      <w:marLeft w:val="0"/>
      <w:marRight w:val="0"/>
      <w:marTop w:val="0"/>
      <w:marBottom w:val="0"/>
      <w:divBdr>
        <w:top w:val="none" w:sz="0" w:space="0" w:color="auto"/>
        <w:left w:val="none" w:sz="0" w:space="0" w:color="auto"/>
        <w:bottom w:val="none" w:sz="0" w:space="0" w:color="auto"/>
        <w:right w:val="none" w:sz="0" w:space="0" w:color="auto"/>
      </w:divBdr>
    </w:div>
    <w:div w:id="1548882558">
      <w:bodyDiv w:val="1"/>
      <w:marLeft w:val="0"/>
      <w:marRight w:val="0"/>
      <w:marTop w:val="0"/>
      <w:marBottom w:val="0"/>
      <w:divBdr>
        <w:top w:val="none" w:sz="0" w:space="0" w:color="auto"/>
        <w:left w:val="none" w:sz="0" w:space="0" w:color="auto"/>
        <w:bottom w:val="none" w:sz="0" w:space="0" w:color="auto"/>
        <w:right w:val="none" w:sz="0" w:space="0" w:color="auto"/>
      </w:divBdr>
    </w:div>
    <w:div w:id="1596131569">
      <w:bodyDiv w:val="1"/>
      <w:marLeft w:val="0"/>
      <w:marRight w:val="0"/>
      <w:marTop w:val="0"/>
      <w:marBottom w:val="0"/>
      <w:divBdr>
        <w:top w:val="none" w:sz="0" w:space="0" w:color="auto"/>
        <w:left w:val="none" w:sz="0" w:space="0" w:color="auto"/>
        <w:bottom w:val="none" w:sz="0" w:space="0" w:color="auto"/>
        <w:right w:val="none" w:sz="0" w:space="0" w:color="auto"/>
      </w:divBdr>
    </w:div>
    <w:div w:id="1718042900">
      <w:bodyDiv w:val="1"/>
      <w:marLeft w:val="0"/>
      <w:marRight w:val="0"/>
      <w:marTop w:val="0"/>
      <w:marBottom w:val="0"/>
      <w:divBdr>
        <w:top w:val="none" w:sz="0" w:space="0" w:color="auto"/>
        <w:left w:val="none" w:sz="0" w:space="0" w:color="auto"/>
        <w:bottom w:val="none" w:sz="0" w:space="0" w:color="auto"/>
        <w:right w:val="none" w:sz="0" w:space="0" w:color="auto"/>
      </w:divBdr>
    </w:div>
    <w:div w:id="1732386608">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807430706">
      <w:bodyDiv w:val="1"/>
      <w:marLeft w:val="0"/>
      <w:marRight w:val="0"/>
      <w:marTop w:val="0"/>
      <w:marBottom w:val="0"/>
      <w:divBdr>
        <w:top w:val="none" w:sz="0" w:space="0" w:color="auto"/>
        <w:left w:val="none" w:sz="0" w:space="0" w:color="auto"/>
        <w:bottom w:val="none" w:sz="0" w:space="0" w:color="auto"/>
        <w:right w:val="none" w:sz="0" w:space="0" w:color="auto"/>
      </w:divBdr>
    </w:div>
    <w:div w:id="1830827971">
      <w:bodyDiv w:val="1"/>
      <w:marLeft w:val="0"/>
      <w:marRight w:val="0"/>
      <w:marTop w:val="0"/>
      <w:marBottom w:val="0"/>
      <w:divBdr>
        <w:top w:val="none" w:sz="0" w:space="0" w:color="auto"/>
        <w:left w:val="none" w:sz="0" w:space="0" w:color="auto"/>
        <w:bottom w:val="none" w:sz="0" w:space="0" w:color="auto"/>
        <w:right w:val="none" w:sz="0" w:space="0" w:color="auto"/>
      </w:divBdr>
    </w:div>
    <w:div w:id="1874222255">
      <w:bodyDiv w:val="1"/>
      <w:marLeft w:val="0"/>
      <w:marRight w:val="0"/>
      <w:marTop w:val="0"/>
      <w:marBottom w:val="0"/>
      <w:divBdr>
        <w:top w:val="none" w:sz="0" w:space="0" w:color="auto"/>
        <w:left w:val="none" w:sz="0" w:space="0" w:color="auto"/>
        <w:bottom w:val="none" w:sz="0" w:space="0" w:color="auto"/>
        <w:right w:val="none" w:sz="0" w:space="0" w:color="auto"/>
      </w:divBdr>
      <w:divsChild>
        <w:div w:id="1142968216">
          <w:marLeft w:val="0"/>
          <w:marRight w:val="0"/>
          <w:marTop w:val="480"/>
          <w:marBottom w:val="240"/>
          <w:divBdr>
            <w:top w:val="none" w:sz="0" w:space="0" w:color="auto"/>
            <w:left w:val="none" w:sz="0" w:space="0" w:color="auto"/>
            <w:bottom w:val="none" w:sz="0" w:space="0" w:color="auto"/>
            <w:right w:val="none" w:sz="0" w:space="0" w:color="auto"/>
          </w:divBdr>
        </w:div>
        <w:div w:id="504058758">
          <w:marLeft w:val="0"/>
          <w:marRight w:val="0"/>
          <w:marTop w:val="0"/>
          <w:marBottom w:val="567"/>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A32013L0037&amp;qid=13966098582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OJ:C:2014:240: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LV/TXT/?uri=CELEX:32003L0098" TargetMode="External"/><Relationship Id="rId4" Type="http://schemas.openxmlformats.org/officeDocument/2006/relationships/settings" Target="settings.xml"/><Relationship Id="rId9" Type="http://schemas.openxmlformats.org/officeDocument/2006/relationships/hyperlink" Target="http://likumi.lv/doc.php?id=50601"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59F5-BC71-4366-8A5F-967A812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2452</Words>
  <Characters>13979</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informācijas atklātības likumā"</vt:lpstr>
      <vt:lpstr>Likumprojekts „Grozījumi Krimināllikumā”</vt:lpstr>
    </vt:vector>
  </TitlesOfParts>
  <Company>Tieslietu Sektors</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informācijas atklātības likumā"</dc:title>
  <dc:subject>Anotācija</dc:subject>
  <dc:creator>E.Šivare</dc:creator>
  <cp:lastModifiedBy>larisat</cp:lastModifiedBy>
  <cp:revision>50</cp:revision>
  <cp:lastPrinted>2013-12-16T08:57:00Z</cp:lastPrinted>
  <dcterms:created xsi:type="dcterms:W3CDTF">2014-11-13T14:40:00Z</dcterms:created>
  <dcterms:modified xsi:type="dcterms:W3CDTF">2015-03-11T08:39:00Z</dcterms:modified>
</cp:coreProperties>
</file>