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F0" w:rsidRPr="00C0605E" w:rsidRDefault="005919C5" w:rsidP="00BE08F0">
      <w:pPr>
        <w:pStyle w:val="naisnod"/>
        <w:spacing w:before="0" w:after="0"/>
      </w:pPr>
      <w:r>
        <w:rPr>
          <w:bCs w:val="0"/>
        </w:rPr>
        <w:t>Mi</w:t>
      </w:r>
      <w:r w:rsidR="00BE08F0" w:rsidRPr="00C0605E">
        <w:rPr>
          <w:bCs w:val="0"/>
        </w:rPr>
        <w:t>nistru kabineta noteikumu projekt</w:t>
      </w:r>
      <w:r w:rsidR="00BE08F0">
        <w:rPr>
          <w:bCs w:val="0"/>
        </w:rPr>
        <w:t>s</w:t>
      </w:r>
      <w:r w:rsidR="00BE08F0" w:rsidRPr="00C0605E">
        <w:rPr>
          <w:bCs w:val="0"/>
        </w:rPr>
        <w:t xml:space="preserve"> „</w:t>
      </w:r>
      <w:r w:rsidR="0038272F">
        <w:rPr>
          <w:bCs w:val="0"/>
        </w:rPr>
        <w:t>N</w:t>
      </w:r>
      <w:r w:rsidR="00BE08F0">
        <w:t>acionāl</w:t>
      </w:r>
      <w:r w:rsidR="0038272F">
        <w:t>ais</w:t>
      </w:r>
      <w:r w:rsidR="00BE08F0">
        <w:t xml:space="preserve"> numerācijas plān</w:t>
      </w:r>
      <w:r w:rsidR="0038272F">
        <w:t>s</w:t>
      </w:r>
      <w:r w:rsidR="00BE08F0">
        <w:t>”</w:t>
      </w:r>
      <w:r w:rsidR="00BE08F0" w:rsidRPr="00C0605E">
        <w:t xml:space="preserve"> </w:t>
      </w:r>
      <w:r w:rsidR="00BE08F0" w:rsidRPr="00C0605E">
        <w:rPr>
          <w:bCs w:val="0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BE08F0" w:rsidRPr="00C0605E">
          <w:rPr>
            <w:bCs w:val="0"/>
          </w:rPr>
          <w:t>ziņojums</w:t>
        </w:r>
      </w:smartTag>
      <w:r w:rsidR="00BE08F0" w:rsidRPr="00C0605E">
        <w:rPr>
          <w:bCs w:val="0"/>
        </w:rPr>
        <w:t xml:space="preserve"> (anotācija)</w:t>
      </w:r>
    </w:p>
    <w:p w:rsidR="00BE08F0" w:rsidRDefault="00BE08F0" w:rsidP="00BE08F0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1"/>
        <w:gridCol w:w="2875"/>
        <w:gridCol w:w="6034"/>
      </w:tblGrid>
      <w:tr w:rsidR="00BE08F0" w:rsidRPr="00E030F4" w:rsidTr="00046C3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70FA">
              <w:rPr>
                <w:b/>
                <w:bCs/>
              </w:rPr>
              <w:t>I. Tiesību akta projekta izstrādes nepieciešamība</w:t>
            </w:r>
          </w:p>
        </w:tc>
      </w:tr>
      <w:tr w:rsidR="00BE08F0" w:rsidRPr="00E030F4" w:rsidTr="00046C3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CE70FA">
              <w:t>Pamatojums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F9121C" w:rsidRDefault="00BE08F0" w:rsidP="00046C34">
            <w:pPr>
              <w:jc w:val="both"/>
            </w:pPr>
            <w:r w:rsidRPr="00CA06B9">
              <w:t>Elektronisko sakaru likuma 56.pant</w:t>
            </w:r>
            <w:r>
              <w:t>s</w:t>
            </w:r>
            <w:r w:rsidRPr="00CA06B9">
              <w:t>.</w:t>
            </w:r>
          </w:p>
        </w:tc>
      </w:tr>
      <w:tr w:rsidR="00BE08F0" w:rsidRPr="00096A02" w:rsidTr="00046C3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1B7DD1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50FE" w:rsidRDefault="005A50FE" w:rsidP="005A50FE">
            <w:pPr>
              <w:jc w:val="both"/>
            </w:pPr>
            <w:r>
              <w:t xml:space="preserve">Kārtība, ar ko noteikta numura struktūra un formāts tā identifikācijai un maršrutēšanai, numura sastādīšanas procedūras, tās lietošanas mērķi un veidi ietverta </w:t>
            </w:r>
            <w:r w:rsidRPr="00CA06B9">
              <w:t>Ministru kabineta 2008.gada 25.augusta noteikum</w:t>
            </w:r>
            <w:r>
              <w:t>os</w:t>
            </w:r>
            <w:r w:rsidRPr="00CA06B9">
              <w:t xml:space="preserve"> Nr.684 „Noteikumi pa</w:t>
            </w:r>
            <w:r>
              <w:t xml:space="preserve">r nacionālo numerācijas plānu” (turpmāk – Nacionālais numerācijas plāns). </w:t>
            </w:r>
          </w:p>
          <w:p w:rsidR="005A50FE" w:rsidRDefault="005A50FE" w:rsidP="005A50FE">
            <w:pPr>
              <w:jc w:val="both"/>
              <w:rPr>
                <w:iCs/>
              </w:rPr>
            </w:pPr>
          </w:p>
          <w:p w:rsidR="005A50FE" w:rsidRDefault="005A50FE" w:rsidP="005A50FE">
            <w:pPr>
              <w:jc w:val="both"/>
              <w:rPr>
                <w:iCs/>
              </w:rPr>
            </w:pPr>
            <w:r>
              <w:rPr>
                <w:iCs/>
              </w:rPr>
              <w:t>Nacionāl</w:t>
            </w:r>
            <w:r w:rsidR="0064304A">
              <w:rPr>
                <w:iCs/>
              </w:rPr>
              <w:t>ā</w:t>
            </w:r>
            <w:r>
              <w:rPr>
                <w:iCs/>
              </w:rPr>
              <w:t xml:space="preserve"> numerācijas plān</w:t>
            </w:r>
            <w:r w:rsidR="0064304A">
              <w:rPr>
                <w:iCs/>
              </w:rPr>
              <w:t>a izmaiņas</w:t>
            </w:r>
            <w:r>
              <w:rPr>
                <w:iCs/>
              </w:rPr>
              <w:t xml:space="preserve"> paredz atteikties no ģeogrāfiskās numerācijas, </w:t>
            </w:r>
            <w:r w:rsidR="00712F87">
              <w:rPr>
                <w:iCs/>
              </w:rPr>
              <w:t xml:space="preserve">kas nozīmē, ka </w:t>
            </w:r>
            <w:r>
              <w:rPr>
                <w:iCs/>
              </w:rPr>
              <w:t>numuri sākas ar nacionālās numerācijas zonas piekļuves kodu, kas norāda uz nacionālo numerācijas zonu, kurai pieder izsaucamais numurs.</w:t>
            </w:r>
          </w:p>
          <w:p w:rsidR="00BE08F0" w:rsidRDefault="00BE08F0" w:rsidP="00046C34">
            <w:pPr>
              <w:jc w:val="both"/>
            </w:pPr>
            <w:r>
              <w:t>D</w:t>
            </w:r>
            <w:r w:rsidRPr="009760CE">
              <w:t>alījums numerācijas zonās</w:t>
            </w:r>
            <w:r w:rsidR="0064304A">
              <w:t xml:space="preserve"> ir</w:t>
            </w:r>
            <w:r w:rsidR="00656724" w:rsidRPr="009760CE">
              <w:t xml:space="preserve"> veidojies vēsturiski,</w:t>
            </w:r>
            <w:r w:rsidR="00712F87">
              <w:t xml:space="preserve"> un</w:t>
            </w:r>
            <w:r w:rsidR="00656724">
              <w:t>,</w:t>
            </w:r>
            <w:r w:rsidRPr="009760CE">
              <w:t xml:space="preserve"> attīstoties elektronisko sakaru tirgum, zaudējis savu aktualitāti</w:t>
            </w:r>
            <w:r>
              <w:t>. Turpmāk publiskā fiksētā telefonu tīkla numurs ne</w:t>
            </w:r>
            <w:r w:rsidR="0064304A">
              <w:t>saturēs</w:t>
            </w:r>
            <w:r>
              <w:t xml:space="preserve"> ģeogrāfisk</w:t>
            </w:r>
            <w:r w:rsidR="0064304A">
              <w:t xml:space="preserve">u </w:t>
            </w:r>
            <w:r>
              <w:t xml:space="preserve">informāciju, un </w:t>
            </w:r>
            <w:r w:rsidR="0064304A">
              <w:t>to</w:t>
            </w:r>
            <w:r>
              <w:t xml:space="preserve"> raksturos numerācijas </w:t>
            </w:r>
            <w:r w:rsidRPr="005E6186">
              <w:t>indeks</w:t>
            </w:r>
            <w:r>
              <w:t>s</w:t>
            </w:r>
            <w:r w:rsidRPr="005E6186">
              <w:t xml:space="preserve"> „6XXXXXXX”</w:t>
            </w:r>
            <w:r>
              <w:t xml:space="preserve">. </w:t>
            </w:r>
          </w:p>
          <w:p w:rsidR="00BE08F0" w:rsidRDefault="00BE08F0" w:rsidP="00046C34">
            <w:pPr>
              <w:jc w:val="both"/>
            </w:pPr>
          </w:p>
          <w:p w:rsidR="005A50FE" w:rsidRDefault="005A50FE" w:rsidP="005A50FE">
            <w:pPr>
              <w:jc w:val="both"/>
            </w:pPr>
            <w:r>
              <w:t xml:space="preserve">Publiskā telefonu tīkla numuri tiks iedalīti: starptautiskos numuros un nacionālos numuros. Savukārt nacionālie numuri tiks secīgi iedalīti: publiskā fiksētā telefonu tīkla numuros, publiskā mobilā telefonu tīkla numuros un pakalpojumu numuros. </w:t>
            </w:r>
            <w:r>
              <w:rPr>
                <w:iCs/>
              </w:rPr>
              <w:t>Atsakoties no numuru iedalījuma „ģeogrāfiskā numerācija”, zūd vajadzība saglabāt iedalījumu „neģeogrāfiskā numerācija”.</w:t>
            </w:r>
          </w:p>
          <w:p w:rsidR="005A50FE" w:rsidRDefault="005A50FE" w:rsidP="005A50FE">
            <w:pPr>
              <w:jc w:val="both"/>
            </w:pPr>
          </w:p>
          <w:p w:rsidR="005A50FE" w:rsidRDefault="005A50FE" w:rsidP="005A50FE">
            <w:pPr>
              <w:jc w:val="both"/>
            </w:pPr>
            <w:r>
              <w:t xml:space="preserve">Publiskā fiksētā telefonu tīkla numerācijas apvienošana vienotā numerācijas indeksā </w:t>
            </w:r>
            <w:r w:rsidRPr="005E6186">
              <w:t>„6XXXXXXX”</w:t>
            </w:r>
            <w:r>
              <w:t xml:space="preserve"> ietekmēs numuru saglabāšanas pakalpojumu, jo numerācijas zonu likvidēšana ļaus atteikties no pašreiz spēkā esošā ierobežojuma, kas aizliedz pārvietot numurus starp dažādām numerācijas zonām. Izmaiņas ietekmēs sarunu tarifikāciju</w:t>
            </w:r>
            <w:r w:rsidRPr="005E6186">
              <w:t>, jo nebū</w:t>
            </w:r>
            <w:r>
              <w:t>s</w:t>
            </w:r>
            <w:r w:rsidRPr="005E6186">
              <w:t xml:space="preserve"> </w:t>
            </w:r>
            <w:r>
              <w:t xml:space="preserve">vajadzības pēc </w:t>
            </w:r>
            <w:r w:rsidRPr="005E6186">
              <w:t>vietējo sarunu un iekšzemes tālsarunu dalījuma</w:t>
            </w:r>
            <w:r>
              <w:t xml:space="preserve">. </w:t>
            </w:r>
            <w:r w:rsidR="00263DBB">
              <w:t xml:space="preserve">Atbrīvosies </w:t>
            </w:r>
            <w:r w:rsidR="00712F87">
              <w:t xml:space="preserve">arī </w:t>
            </w:r>
            <w:r w:rsidR="00263DBB">
              <w:t xml:space="preserve">numerācijas resursi, kuri tika rezervēti attiecīgajai numerācijas zonai. </w:t>
            </w:r>
          </w:p>
          <w:p w:rsidR="005A50FE" w:rsidRDefault="005A50FE" w:rsidP="005A50FE">
            <w:pPr>
              <w:jc w:val="both"/>
            </w:pPr>
          </w:p>
          <w:p w:rsidR="00BE08F0" w:rsidRDefault="001D0750" w:rsidP="00046C34">
            <w:pPr>
              <w:jc w:val="both"/>
            </w:pPr>
            <w:r>
              <w:t xml:space="preserve">Grozījumi </w:t>
            </w:r>
            <w:r w:rsidR="00BF1C10">
              <w:t xml:space="preserve">noteikumos </w:t>
            </w:r>
            <w:r>
              <w:t xml:space="preserve">pārsniedz pusi no spēkā esošo </w:t>
            </w:r>
            <w:r w:rsidR="00BE08F0" w:rsidRPr="001C45A8">
              <w:t>Nacionālā numerācijas plān</w:t>
            </w:r>
            <w:r w:rsidR="00BE08F0">
              <w:t>a</w:t>
            </w:r>
            <w:r>
              <w:t xml:space="preserve"> apjoma</w:t>
            </w:r>
            <w:r w:rsidR="00047030">
              <w:t xml:space="preserve"> un </w:t>
            </w:r>
            <w:r w:rsidR="00263DBB">
              <w:t>ir</w:t>
            </w:r>
            <w:r w:rsidR="00047030">
              <w:t xml:space="preserve"> izstrādāts jauns projekts. Izmaiņas</w:t>
            </w:r>
            <w:r w:rsidR="00D34CAE">
              <w:t xml:space="preserve"> skar</w:t>
            </w:r>
            <w:r w:rsidR="00BE08F0" w:rsidRPr="001C45A8">
              <w:t>:</w:t>
            </w:r>
          </w:p>
          <w:p w:rsidR="00BE08F0" w:rsidRDefault="00BE08F0" w:rsidP="00046C34">
            <w:pPr>
              <w:jc w:val="both"/>
            </w:pPr>
            <w:r>
              <w:t xml:space="preserve">a) </w:t>
            </w:r>
            <w:r w:rsidRPr="001C45A8">
              <w:t xml:space="preserve">vispārīgo jautājumu sadaļu un terminus, kuros minēta </w:t>
            </w:r>
            <w:r w:rsidRPr="001C45A8">
              <w:lastRenderedPageBreak/>
              <w:t>numerācijas zona, ģeogrāfiskā un neģeogrāfiskā numerācija</w:t>
            </w:r>
            <w:r>
              <w:t xml:space="preserve"> (I un II sadaļa);</w:t>
            </w:r>
          </w:p>
          <w:p w:rsidR="00BE08F0" w:rsidRDefault="00BE08F0" w:rsidP="00046C34">
            <w:pPr>
              <w:jc w:val="both"/>
            </w:pPr>
            <w:r>
              <w:t>b)</w:t>
            </w:r>
            <w:r w:rsidRPr="001C45A8">
              <w:t xml:space="preserve"> numura sastādīšanas </w:t>
            </w:r>
            <w:r>
              <w:t>procedūras (V sadaļa)</w:t>
            </w:r>
            <w:r w:rsidR="00774DB5">
              <w:t>;</w:t>
            </w:r>
            <w:r w:rsidRPr="001C45A8">
              <w:t xml:space="preserve"> </w:t>
            </w:r>
          </w:p>
          <w:p w:rsidR="00D34CAE" w:rsidRDefault="00BE08F0" w:rsidP="00046C34">
            <w:pPr>
              <w:jc w:val="both"/>
            </w:pPr>
            <w:r>
              <w:t xml:space="preserve">c) shematiskos pielikumus: numuru un kodu fomāti (1.pielikums); </w:t>
            </w:r>
          </w:p>
          <w:p w:rsidR="00D34CAE" w:rsidRDefault="00D34CAE" w:rsidP="00046C34">
            <w:pPr>
              <w:jc w:val="both"/>
            </w:pPr>
            <w:r>
              <w:t>d)</w:t>
            </w:r>
            <w:r w:rsidR="00BE08F0">
              <w:t xml:space="preserve">numuru un kodu sadalījums (2.pielikums); </w:t>
            </w:r>
          </w:p>
          <w:p w:rsidR="00D34CAE" w:rsidRDefault="00D34CAE" w:rsidP="00046C34">
            <w:pPr>
              <w:jc w:val="both"/>
            </w:pPr>
            <w:r>
              <w:t>e)</w:t>
            </w:r>
            <w:r w:rsidR="00BE08F0" w:rsidRPr="001C45A8">
              <w:t>ģeogrāfisko numuru sadalījum</w:t>
            </w:r>
            <w:r w:rsidR="00BE08F0">
              <w:t>s</w:t>
            </w:r>
            <w:r w:rsidR="00BE08F0" w:rsidRPr="001C45A8">
              <w:t xml:space="preserve"> 26.numerācijas zonās (3.pielikums)</w:t>
            </w:r>
            <w:r w:rsidR="001D0750">
              <w:t xml:space="preserve"> – pielikums svītrots</w:t>
            </w:r>
            <w:r w:rsidR="00BE08F0">
              <w:t xml:space="preserve">; </w:t>
            </w:r>
          </w:p>
          <w:p w:rsidR="00BE08F0" w:rsidRPr="001C45A8" w:rsidRDefault="00D34CAE" w:rsidP="00046C34">
            <w:pPr>
              <w:jc w:val="both"/>
            </w:pPr>
            <w:r>
              <w:t>f)</w:t>
            </w:r>
            <w:r w:rsidR="00BE08F0">
              <w:t>numuru sastādīšanas procedūru (4.pielikums un 5.pielikums)</w:t>
            </w:r>
            <w:r w:rsidR="00BE08F0" w:rsidRPr="001C45A8">
              <w:t>.</w:t>
            </w:r>
          </w:p>
          <w:p w:rsidR="00BF1C10" w:rsidRDefault="00BF1C10" w:rsidP="00046C34">
            <w:pPr>
              <w:jc w:val="both"/>
            </w:pPr>
          </w:p>
          <w:p w:rsidR="005A50FE" w:rsidRDefault="005A50FE" w:rsidP="005A50FE">
            <w:pPr>
              <w:jc w:val="both"/>
              <w:rPr>
                <w:iCs/>
              </w:rPr>
            </w:pPr>
            <w:r>
              <w:t>Nacionālais numerācijas plāns</w:t>
            </w:r>
            <w:r>
              <w:rPr>
                <w:iCs/>
              </w:rPr>
              <w:t xml:space="preserve"> </w:t>
            </w:r>
            <w:r w:rsidRPr="00067B42">
              <w:rPr>
                <w:iCs/>
              </w:rPr>
              <w:t>stāsies spēkā 2016.gada 1.janvārī</w:t>
            </w:r>
            <w:r w:rsidR="00BE05AA">
              <w:rPr>
                <w:iCs/>
              </w:rPr>
              <w:t xml:space="preserve">. Sagatavošanās laiks nepieciešams, lai </w:t>
            </w:r>
            <w:r w:rsidR="00263DBB">
              <w:rPr>
                <w:iCs/>
              </w:rPr>
              <w:t xml:space="preserve">veiktu </w:t>
            </w:r>
            <w:r w:rsidR="00BE05AA">
              <w:rPr>
                <w:iCs/>
              </w:rPr>
              <w:t>priekšdarbus</w:t>
            </w:r>
            <w:r w:rsidR="00047030">
              <w:rPr>
                <w:iCs/>
              </w:rPr>
              <w:t xml:space="preserve"> </w:t>
            </w:r>
            <w:r w:rsidR="008E5BCE">
              <w:rPr>
                <w:iCs/>
              </w:rPr>
              <w:t xml:space="preserve">numerācijas zonu atcelšanai </w:t>
            </w:r>
            <w:r w:rsidR="00506269">
              <w:rPr>
                <w:iCs/>
              </w:rPr>
              <w:t>un lai</w:t>
            </w:r>
            <w:r w:rsidR="00712F87">
              <w:rPr>
                <w:iCs/>
              </w:rPr>
              <w:t xml:space="preserve"> </w:t>
            </w:r>
            <w:r w:rsidR="005266B0">
              <w:rPr>
                <w:iCs/>
              </w:rPr>
              <w:t xml:space="preserve">veiktu grozījumus </w:t>
            </w:r>
            <w:r w:rsidR="00506269">
              <w:rPr>
                <w:iCs/>
              </w:rPr>
              <w:t>attiecīgajos</w:t>
            </w:r>
            <w:r w:rsidR="005266B0">
              <w:rPr>
                <w:iCs/>
              </w:rPr>
              <w:t xml:space="preserve"> </w:t>
            </w:r>
            <w:r w:rsidR="00712F87">
              <w:rPr>
                <w:iCs/>
              </w:rPr>
              <w:t>normatīvo</w:t>
            </w:r>
            <w:r w:rsidR="005266B0">
              <w:rPr>
                <w:iCs/>
              </w:rPr>
              <w:t>s</w:t>
            </w:r>
            <w:r w:rsidR="00047030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  <w:r w:rsidR="00047030">
              <w:rPr>
                <w:iCs/>
              </w:rPr>
              <w:t xml:space="preserve">Līdz 2016.gada 1.janvārim spēkā </w:t>
            </w:r>
            <w:r w:rsidRPr="00CA06B9">
              <w:t>Ministru kabineta 2008.gada 25.augusta noteikum</w:t>
            </w:r>
            <w:r>
              <w:t>i</w:t>
            </w:r>
            <w:r w:rsidRPr="00CA06B9">
              <w:t xml:space="preserve"> Nr.684 „Noteikumi pa</w:t>
            </w:r>
            <w:r>
              <w:t>r nacionālo numerācijas plānu”</w:t>
            </w:r>
            <w:r w:rsidRPr="00067B42">
              <w:rPr>
                <w:iCs/>
              </w:rPr>
              <w:t>.</w:t>
            </w:r>
          </w:p>
          <w:p w:rsidR="00BE08F0" w:rsidRPr="00A96625" w:rsidRDefault="00BE08F0" w:rsidP="00046C34">
            <w:pPr>
              <w:jc w:val="both"/>
            </w:pPr>
          </w:p>
        </w:tc>
      </w:tr>
      <w:tr w:rsidR="00BE08F0" w:rsidRPr="00E030F4" w:rsidTr="00046C3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lastRenderedPageBreak/>
              <w:t>3.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E70FA" w:rsidRDefault="00BE08F0" w:rsidP="00046C34">
            <w:pPr>
              <w:spacing w:before="100" w:beforeAutospacing="1" w:after="100" w:afterAutospacing="1"/>
            </w:pPr>
            <w:r w:rsidRPr="00CE70FA">
              <w:t>Projekta izstrādē iesaistītās institūcijas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09FC" w:rsidRDefault="00B409FC" w:rsidP="00B409FC">
            <w:pPr>
              <w:jc w:val="both"/>
            </w:pPr>
            <w:r w:rsidRPr="004E79A5">
              <w:t xml:space="preserve">Vides aizsardzības un reģionālās attīstības ministrijas </w:t>
            </w:r>
            <w:r>
              <w:t>(turpmāk – VARAM) N</w:t>
            </w:r>
            <w:r w:rsidRPr="004E79A5">
              <w:t>umerācijas resursu izmantošanas koordinācijas darba grupa</w:t>
            </w:r>
            <w:r>
              <w:t xml:space="preserve">. </w:t>
            </w:r>
          </w:p>
          <w:p w:rsidR="00B409FC" w:rsidRDefault="00B409FC" w:rsidP="00B409FC">
            <w:pPr>
              <w:jc w:val="both"/>
            </w:pPr>
            <w:r>
              <w:t>Sabiedrisko pakalpojumu regulēšanas komisija (turpmāk - SPRK).</w:t>
            </w:r>
          </w:p>
          <w:p w:rsidR="00BE08F0" w:rsidRPr="002015CB" w:rsidRDefault="00BE08F0" w:rsidP="00046C34">
            <w:pPr>
              <w:jc w:val="both"/>
            </w:pPr>
            <w:r w:rsidRPr="008A1E3D">
              <w:t>Elektronisko sakaru komersant</w:t>
            </w:r>
            <w:r>
              <w:t>s</w:t>
            </w:r>
            <w:r w:rsidRPr="008A1E3D">
              <w:t xml:space="preserve"> </w:t>
            </w:r>
            <w:r>
              <w:t>(SIA Lattelecom) organizē projektu</w:t>
            </w:r>
            <w:r w:rsidRPr="008A1E3D">
              <w:t xml:space="preserve"> par vienotās numerācijas ieviešanu</w:t>
            </w:r>
            <w:r>
              <w:t xml:space="preserve"> </w:t>
            </w:r>
            <w:r w:rsidRPr="002015CB">
              <w:t>fiksētajā elektronisko sakaru tīklā (numerācijas zonu likvidēšan</w:t>
            </w:r>
            <w:r>
              <w:t>a</w:t>
            </w:r>
            <w:r w:rsidRPr="002015CB">
              <w:t>)</w:t>
            </w:r>
            <w:r>
              <w:t>,</w:t>
            </w:r>
            <w:r w:rsidRPr="002015CB">
              <w:t xml:space="preserve"> un visu sistēmu sagatavošan</w:t>
            </w:r>
            <w:r>
              <w:t>u</w:t>
            </w:r>
            <w:r w:rsidRPr="002015CB">
              <w:t xml:space="preserve"> jaunu tarifu ieviešanai.  </w:t>
            </w:r>
          </w:p>
          <w:p w:rsidR="00BE08F0" w:rsidRDefault="00263DBB" w:rsidP="00263DBB">
            <w:pPr>
              <w:jc w:val="both"/>
            </w:pPr>
            <w:r>
              <w:t>Ņemot vērā, ka s</w:t>
            </w:r>
            <w:r w:rsidR="002A3706">
              <w:t>arunu i</w:t>
            </w:r>
            <w:r w:rsidR="002A3706" w:rsidRPr="002015CB">
              <w:t xml:space="preserve">edalījums </w:t>
            </w:r>
            <w:r w:rsidR="002A3706">
              <w:t>„</w:t>
            </w:r>
            <w:r w:rsidR="002A3706" w:rsidRPr="002015CB">
              <w:t>vietējās sarun</w:t>
            </w:r>
            <w:r>
              <w:t>ā</w:t>
            </w:r>
            <w:r w:rsidR="002A3706" w:rsidRPr="002015CB">
              <w:t>s</w:t>
            </w:r>
            <w:r w:rsidR="002A3706">
              <w:t>”</w:t>
            </w:r>
            <w:r w:rsidR="002A3706" w:rsidRPr="002015CB">
              <w:t xml:space="preserve"> un </w:t>
            </w:r>
            <w:r w:rsidR="002A3706">
              <w:t>„</w:t>
            </w:r>
            <w:r w:rsidR="002A3706" w:rsidRPr="002015CB">
              <w:t>iekšzemes tālsarun</w:t>
            </w:r>
            <w:r>
              <w:t>ā</w:t>
            </w:r>
            <w:r w:rsidR="002A3706" w:rsidRPr="002015CB">
              <w:t>s</w:t>
            </w:r>
            <w:r w:rsidR="002A3706">
              <w:t xml:space="preserve">”, kas tika </w:t>
            </w:r>
            <w:r>
              <w:t>lietots</w:t>
            </w:r>
            <w:r w:rsidR="002A3706">
              <w:t xml:space="preserve"> numerācijas zonu </w:t>
            </w:r>
            <w:r>
              <w:t>gadījumā,</w:t>
            </w:r>
            <w:r w:rsidR="002A3706" w:rsidRPr="002015CB">
              <w:t xml:space="preserve"> kļūs neaktuāl</w:t>
            </w:r>
            <w:r w:rsidR="002A3706">
              <w:t>a</w:t>
            </w:r>
            <w:r w:rsidR="002A3706" w:rsidRPr="002015CB">
              <w:t>s</w:t>
            </w:r>
            <w:r w:rsidR="002A3706">
              <w:t>,</w:t>
            </w:r>
            <w:r w:rsidR="002A3706" w:rsidRPr="002015CB">
              <w:t xml:space="preserve"> nepieciešam</w:t>
            </w:r>
            <w:r w:rsidR="002A3706">
              <w:t>a</w:t>
            </w:r>
            <w:r w:rsidR="002A3706" w:rsidRPr="002015CB">
              <w:t xml:space="preserve"> jauna tarifu plānu </w:t>
            </w:r>
            <w:r w:rsidR="002A3706">
              <w:t xml:space="preserve">sagatavošana, </w:t>
            </w:r>
            <w:r w:rsidR="002A3706" w:rsidRPr="002015CB">
              <w:t xml:space="preserve">saskaņošana un apstiprināšana </w:t>
            </w:r>
            <w:r w:rsidR="002A3706">
              <w:t>SPRK.</w:t>
            </w:r>
          </w:p>
          <w:p w:rsidR="00263DBB" w:rsidRDefault="00263DBB" w:rsidP="00866F7B">
            <w:pPr>
              <w:jc w:val="both"/>
            </w:pPr>
          </w:p>
        </w:tc>
      </w:tr>
      <w:tr w:rsidR="00C8498C" w:rsidRPr="00C8498C" w:rsidTr="00046C3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4</w:t>
            </w:r>
            <w:r w:rsidRPr="00E030F4"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jc w:val="both"/>
            </w:pPr>
            <w:r w:rsidRPr="003A2ECE">
              <w:t>Izmaiņas neietekmē iedzīvotāju ierasto izsaukumu veikšanas kārtību.</w:t>
            </w:r>
          </w:p>
          <w:p w:rsidR="003A2ECE" w:rsidRPr="003A2ECE" w:rsidRDefault="003A2ECE" w:rsidP="00046C34">
            <w:pPr>
              <w:jc w:val="both"/>
            </w:pPr>
          </w:p>
          <w:p w:rsidR="00C8498C" w:rsidRPr="003A2ECE" w:rsidRDefault="00C8498C" w:rsidP="00866F7B">
            <w:pPr>
              <w:jc w:val="both"/>
            </w:pPr>
            <w:r w:rsidRPr="003A2ECE">
              <w:t xml:space="preserve">Pašlaik </w:t>
            </w:r>
            <w:r w:rsidR="00861380" w:rsidRPr="003A2ECE">
              <w:t xml:space="preserve">speciālo dienestu: Valsts ugunsdzēsības un glābšanas dienests, Valsts policija, Neatliekamās medicīniskās palīdzības dienests, gāzes avārijas dienests, Jūras meklēšanas un glābšanas koordinācijas centrs </w:t>
            </w:r>
            <w:r w:rsidRPr="003A2ECE">
              <w:t>izsaukumi tiek maršrutēti atbilstoši šo dienestu pieprasījumiem un saskaņā ar spēkā esošo reģionālo dalījumu.</w:t>
            </w:r>
          </w:p>
          <w:p w:rsidR="002146E9" w:rsidRPr="003A2ECE" w:rsidRDefault="002146E9" w:rsidP="002146E9">
            <w:pPr>
              <w:jc w:val="both"/>
            </w:pPr>
          </w:p>
          <w:p w:rsidR="00BE08F0" w:rsidRDefault="002146E9" w:rsidP="003A2ECE">
            <w:pPr>
              <w:jc w:val="both"/>
            </w:pPr>
            <w:r w:rsidRPr="003A2ECE">
              <w:t xml:space="preserve">Numerācijas zonu likvidēšana ietekmēs operatīvo dienestu izsaukumu maršrutēšanas ierasto kārtību fiksētajā telefonu </w:t>
            </w:r>
            <w:r w:rsidRPr="003A2ECE">
              <w:lastRenderedPageBreak/>
              <w:t>tīklā.</w:t>
            </w:r>
            <w:r w:rsidR="003A2ECE">
              <w:t xml:space="preserve"> </w:t>
            </w:r>
            <w:r w:rsidR="003A2ECE" w:rsidRPr="003A2ECE">
              <w:t>Opertatīvie dienesti ir informēti par</w:t>
            </w:r>
            <w:r w:rsidR="003A2ECE">
              <w:t xml:space="preserve"> plānotajām</w:t>
            </w:r>
            <w:r w:rsidR="003A2ECE" w:rsidRPr="003A2ECE">
              <w:t xml:space="preserve"> izmaiņām.</w:t>
            </w:r>
          </w:p>
          <w:p w:rsidR="003A2ECE" w:rsidRPr="00C8498C" w:rsidRDefault="003A2ECE" w:rsidP="003A2ECE">
            <w:pPr>
              <w:jc w:val="both"/>
            </w:pPr>
          </w:p>
        </w:tc>
      </w:tr>
    </w:tbl>
    <w:p w:rsidR="00BE08F0" w:rsidRDefault="00BE08F0" w:rsidP="00BE08F0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1"/>
        <w:gridCol w:w="3195"/>
        <w:gridCol w:w="5714"/>
      </w:tblGrid>
      <w:tr w:rsidR="00BE08F0" w:rsidRPr="00E030F4" w:rsidTr="00046C3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II. Tiesību akta projekta ietekme uz sabiedrību</w:t>
            </w:r>
            <w:r>
              <w:rPr>
                <w:b/>
                <w:bCs/>
              </w:rPr>
              <w:t>, tautsaimniecības attīstību un administratīvo slogu</w:t>
            </w:r>
          </w:p>
        </w:tc>
      </w:tr>
      <w:tr w:rsidR="00BE08F0" w:rsidRPr="00E030F4" w:rsidTr="00046C3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CA06B9">
              <w:t>Sabiedrības mērķgrupa</w:t>
            </w:r>
            <w:r>
              <w:t xml:space="preserve">s, </w:t>
            </w:r>
            <w:r w:rsidRPr="00CA06B9">
              <w:t>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7F6CF5" w:rsidRDefault="00BE08F0" w:rsidP="00046C34">
            <w:pPr>
              <w:jc w:val="both"/>
            </w:pPr>
            <w:r w:rsidRPr="00CA06B9">
              <w:t>Elektronisko sakaru komersanti</w:t>
            </w:r>
            <w:r>
              <w:t>.</w:t>
            </w:r>
          </w:p>
        </w:tc>
      </w:tr>
      <w:tr w:rsidR="00BE08F0" w:rsidRPr="00E030F4" w:rsidTr="00046C3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CA06B9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jc w:val="both"/>
            </w:pPr>
            <w:r w:rsidRPr="00CA06B9">
              <w:t xml:space="preserve">Projekts </w:t>
            </w:r>
            <w:r>
              <w:t xml:space="preserve">nerada papildus ietekmi uz administratīvo slogu. </w:t>
            </w:r>
          </w:p>
          <w:p w:rsidR="00BE08F0" w:rsidRPr="00673CBC" w:rsidRDefault="00BE08F0" w:rsidP="00046C34">
            <w:pPr>
              <w:jc w:val="both"/>
            </w:pPr>
          </w:p>
        </w:tc>
      </w:tr>
      <w:tr w:rsidR="00BE08F0" w:rsidRPr="00E030F4" w:rsidTr="00046C3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E70FA" w:rsidRDefault="00BE08F0" w:rsidP="00046C34">
            <w:pPr>
              <w:spacing w:before="100" w:beforeAutospacing="1" w:after="100" w:afterAutospacing="1"/>
            </w:pPr>
            <w:r w:rsidRPr="00CA06B9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 w:rsidRPr="00CA06B9">
              <w:t>Projekts šo jomu neskar</w:t>
            </w:r>
            <w:r>
              <w:t>.</w:t>
            </w:r>
          </w:p>
        </w:tc>
      </w:tr>
      <w:tr w:rsidR="00BE08F0" w:rsidRPr="00E030F4" w:rsidTr="00046C3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4</w:t>
            </w:r>
            <w:r w:rsidRPr="00E030F4">
              <w:t>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D530C0">
            <w:pPr>
              <w:spacing w:before="100" w:beforeAutospacing="1" w:after="100" w:afterAutospacing="1"/>
              <w:jc w:val="both"/>
            </w:pPr>
            <w:r>
              <w:t>Nav</w:t>
            </w:r>
          </w:p>
        </w:tc>
      </w:tr>
    </w:tbl>
    <w:p w:rsidR="00BE08F0" w:rsidRDefault="00BE08F0" w:rsidP="00BE08F0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5"/>
        <w:gridCol w:w="3250"/>
        <w:gridCol w:w="5675"/>
      </w:tblGrid>
      <w:tr w:rsidR="00BE08F0" w:rsidRPr="00CA06B9" w:rsidTr="00046C3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E08F0" w:rsidRPr="00CA06B9" w:rsidTr="00046C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A6317B" w:rsidRDefault="00BE08F0" w:rsidP="00046C34">
            <w:pPr>
              <w:spacing w:before="100" w:beforeAutospacing="1" w:after="100" w:afterAutospacing="1"/>
            </w:pPr>
            <w:r w:rsidRPr="00637113">
              <w:t>Nepieciešamie saistītie tiesību aktu projekti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2143F8" w:rsidRDefault="00BE08F0" w:rsidP="00046C34">
            <w:pPr>
              <w:jc w:val="both"/>
            </w:pPr>
            <w:r>
              <w:t>1</w:t>
            </w:r>
            <w:r w:rsidR="007E6AE8">
              <w:t>.</w:t>
            </w:r>
            <w:r w:rsidRPr="002143F8">
              <w:t>Aktualitāti zaudē termini: ģeogrāfiskais numurs un neģeogrāfiskais numurs, kas definēti Elektronisko sakaru likuma šādos pantos: 1.panta 15.punktā, 24.</w:t>
            </w:r>
            <w:r w:rsidRPr="002143F8">
              <w:rPr>
                <w:vertAlign w:val="superscript"/>
              </w:rPr>
              <w:t>1</w:t>
            </w:r>
            <w:r w:rsidRPr="002143F8">
              <w:t xml:space="preserve">punktā, 27.punktā un 32.punktā kā arī 57.panta pirmajā daļā. Priekšlikumi grozījumiem </w:t>
            </w:r>
            <w:r w:rsidR="00073985">
              <w:t>š.g</w:t>
            </w:r>
            <w:r w:rsidR="007E6AE8" w:rsidRPr="002143F8">
              <w:t>. janvārī</w:t>
            </w:r>
            <w:r w:rsidR="002143F8" w:rsidRPr="002143F8">
              <w:t xml:space="preserve"> iesniegti Satiksmes ministrijā un </w:t>
            </w:r>
            <w:r w:rsidR="00073985">
              <w:t xml:space="preserve">š.g. </w:t>
            </w:r>
            <w:r w:rsidR="001143A9">
              <w:t>aprīlī t</w:t>
            </w:r>
            <w:r w:rsidR="002143F8" w:rsidRPr="002143F8">
              <w:t>iesību akta proj</w:t>
            </w:r>
            <w:r w:rsidR="002143F8">
              <w:t>ekts</w:t>
            </w:r>
            <w:r w:rsidR="002143F8" w:rsidRPr="002143F8">
              <w:t xml:space="preserve"> (</w:t>
            </w:r>
            <w:r w:rsidR="002143F8" w:rsidRPr="005919C5">
              <w:t>TA-511) iesniegts Valsts kancelejā</w:t>
            </w:r>
            <w:r w:rsidR="002143F8" w:rsidRPr="002143F8">
              <w:t xml:space="preserve">. </w:t>
            </w:r>
          </w:p>
          <w:p w:rsidR="00BE08F0" w:rsidRDefault="00BE08F0" w:rsidP="00046C34">
            <w:pPr>
              <w:jc w:val="both"/>
            </w:pPr>
          </w:p>
          <w:p w:rsidR="00BE08F0" w:rsidRDefault="00BE08F0" w:rsidP="00046C34">
            <w:pPr>
              <w:jc w:val="both"/>
            </w:pPr>
            <w:r w:rsidRPr="00637113">
              <w:t>2</w:t>
            </w:r>
            <w:r w:rsidR="007E6AE8">
              <w:t>.</w:t>
            </w:r>
            <w:r>
              <w:t xml:space="preserve">Ņemot vērā izmaiņas terminos, pēc šo noteikumu spēkā stāšanās nepieciešams veikt grozījumus </w:t>
            </w:r>
            <w:r w:rsidR="002143F8">
              <w:t>šādos SPRK</w:t>
            </w:r>
            <w:r>
              <w:t xml:space="preserve"> lēmumos:</w:t>
            </w:r>
          </w:p>
          <w:p w:rsidR="00BE08F0" w:rsidRDefault="002143F8" w:rsidP="00046C34">
            <w:pPr>
              <w:jc w:val="both"/>
            </w:pPr>
            <w:r>
              <w:t>a)</w:t>
            </w:r>
            <w:r w:rsidR="00BE08F0">
              <w:t>2011.gada 16.jūnija lēmums Nr.1/5 “Noteikumi par numerācijas lietošanas tiesībām”;</w:t>
            </w:r>
          </w:p>
          <w:p w:rsidR="00BE08F0" w:rsidRDefault="002143F8" w:rsidP="00046C34">
            <w:pPr>
              <w:jc w:val="both"/>
            </w:pPr>
            <w:r>
              <w:t>b)</w:t>
            </w:r>
            <w:r w:rsidR="00BE08F0">
              <w:t>2011.gada 16.jūnija lēmums Nr.1/6 “Numura saglabāšanas pakalpojuma nodrošināšanas noteikumi”;</w:t>
            </w:r>
          </w:p>
          <w:p w:rsidR="00BE08F0" w:rsidRPr="00E20DB5" w:rsidRDefault="002143F8" w:rsidP="002143F8">
            <w:pPr>
              <w:jc w:val="both"/>
            </w:pPr>
            <w:r>
              <w:t>c)A</w:t>
            </w:r>
            <w:r w:rsidR="00BE08F0">
              <w:t>r Regulatora 2005.gada 30.novembra lēmumu Nr.282 apstiprinātā Elektronisko sakaru pakalpojumu tarifu aprēķināšanas metodika.</w:t>
            </w:r>
          </w:p>
        </w:tc>
      </w:tr>
      <w:tr w:rsidR="00BE08F0" w:rsidRPr="00CA06B9" w:rsidTr="00046C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A6317B" w:rsidRDefault="00BE08F0" w:rsidP="00046C34">
            <w:pPr>
              <w:spacing w:before="100" w:beforeAutospacing="1" w:after="100" w:afterAutospacing="1"/>
            </w:pPr>
            <w:r>
              <w:t>Atbildīgā institūcija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jc w:val="both"/>
            </w:pPr>
            <w:r>
              <w:t>Satiksmes ministrija</w:t>
            </w:r>
            <w:r w:rsidR="008A03D4">
              <w:t xml:space="preserve">; </w:t>
            </w:r>
          </w:p>
          <w:p w:rsidR="00BE08F0" w:rsidRPr="00E20DB5" w:rsidRDefault="00BE08F0" w:rsidP="002143F8">
            <w:pPr>
              <w:jc w:val="both"/>
              <w:rPr>
                <w:bCs/>
              </w:rPr>
            </w:pPr>
            <w:r>
              <w:t>S</w:t>
            </w:r>
            <w:r w:rsidR="002143F8">
              <w:t>PRK</w:t>
            </w:r>
            <w:r w:rsidR="008A03D4">
              <w:t>.</w:t>
            </w:r>
          </w:p>
        </w:tc>
      </w:tr>
      <w:tr w:rsidR="00BE08F0" w:rsidRPr="00CA06B9" w:rsidTr="00046C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>
              <w:t>3</w:t>
            </w:r>
            <w:r w:rsidRPr="00CA06B9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Cita informācija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4CD" w:rsidRDefault="005C2BA9" w:rsidP="00506269">
            <w:pPr>
              <w:spacing w:before="100" w:beforeAutospacing="1" w:after="100" w:afterAutospacing="1" w:line="276" w:lineRule="auto"/>
              <w:jc w:val="both"/>
              <w:rPr>
                <w:bCs/>
                <w:shd w:val="clear" w:color="auto" w:fill="FFFFFF"/>
              </w:rPr>
            </w:pPr>
            <w:r w:rsidRPr="005C2BA9">
              <w:t xml:space="preserve">Tieslietu </w:t>
            </w:r>
            <w:r w:rsidR="007504CD">
              <w:t>ministrija pēc vieno</w:t>
            </w:r>
            <w:r w:rsidRPr="005C2BA9">
              <w:t>šanās ar Iekšlietu ministriju virza Ministru kabineta noteikumu projekt</w:t>
            </w:r>
            <w:r>
              <w:t>u</w:t>
            </w:r>
            <w:r w:rsidRPr="005C2BA9">
              <w:t xml:space="preserve"> „Grozījums Ministru kabineta 2008.gada 25.augusta noteikumos Nr.684 "Noteikumi par nacionālo numerācijas plānu"</w:t>
            </w:r>
            <w:r>
              <w:t xml:space="preserve">, kurā </w:t>
            </w:r>
            <w:r w:rsidR="003B0F26">
              <w:t>tiek plānota</w:t>
            </w:r>
            <w:r>
              <w:t xml:space="preserve"> tālruņa līnijas „116006 Palīdzības </w:t>
            </w:r>
            <w:r>
              <w:lastRenderedPageBreak/>
              <w:t>dienests nozieguma upuriem” atbildīgās iestādes maiņa</w:t>
            </w:r>
            <w:r w:rsidRPr="005C2BA9">
              <w:t xml:space="preserve"> </w:t>
            </w:r>
            <w:r>
              <w:t xml:space="preserve">2015.gada 5.marta </w:t>
            </w:r>
            <w:r w:rsidRPr="005C2BA9">
              <w:t>VSS</w:t>
            </w:r>
            <w:r w:rsidR="00506269">
              <w:t xml:space="preserve"> protoklos Nr.9</w:t>
            </w:r>
            <w:r w:rsidRPr="00D95426">
              <w:t xml:space="preserve">  20</w:t>
            </w:r>
            <w:r w:rsidRPr="00D95426">
              <w:rPr>
                <w:bCs/>
                <w:shd w:val="clear" w:color="auto" w:fill="FFFFFF"/>
              </w:rPr>
              <w:t>§</w:t>
            </w:r>
            <w:r w:rsidR="00506269">
              <w:rPr>
                <w:bCs/>
                <w:shd w:val="clear" w:color="auto" w:fill="FFFFFF"/>
              </w:rPr>
              <w:t xml:space="preserve">; VSS </w:t>
            </w:r>
            <w:r w:rsidR="00506269" w:rsidRPr="005C2BA9">
              <w:t>-</w:t>
            </w:r>
            <w:r w:rsidR="00506269" w:rsidRPr="00D95426">
              <w:t xml:space="preserve"> 205</w:t>
            </w:r>
            <w:r>
              <w:rPr>
                <w:bCs/>
                <w:shd w:val="clear" w:color="auto" w:fill="FFFFFF"/>
              </w:rPr>
              <w:t xml:space="preserve">. </w:t>
            </w:r>
          </w:p>
          <w:p w:rsidR="007504CD" w:rsidRPr="00CA06B9" w:rsidRDefault="006C56A3" w:rsidP="006C56A3">
            <w:pPr>
              <w:spacing w:before="100" w:beforeAutospacing="1" w:after="100" w:afterAutospacing="1" w:line="276" w:lineRule="auto"/>
              <w:jc w:val="both"/>
            </w:pPr>
            <w:r>
              <w:rPr>
                <w:bCs/>
                <w:shd w:val="clear" w:color="auto" w:fill="FFFFFF"/>
              </w:rPr>
              <w:t>A</w:t>
            </w:r>
            <w:r w:rsidR="005C2BA9">
              <w:rPr>
                <w:bCs/>
                <w:shd w:val="clear" w:color="auto" w:fill="FFFFFF"/>
              </w:rPr>
              <w:t xml:space="preserve">tbildīgās iestādes </w:t>
            </w:r>
            <w:r w:rsidR="007504CD">
              <w:rPr>
                <w:bCs/>
                <w:shd w:val="clear" w:color="auto" w:fill="FFFFFF"/>
              </w:rPr>
              <w:t xml:space="preserve">maiņa numuram 116006 </w:t>
            </w:r>
            <w:r w:rsidR="005C2BA9">
              <w:rPr>
                <w:bCs/>
                <w:shd w:val="clear" w:color="auto" w:fill="FFFFFF"/>
              </w:rPr>
              <w:t xml:space="preserve">no </w:t>
            </w:r>
            <w:r w:rsidR="008F7D7F">
              <w:rPr>
                <w:bCs/>
                <w:shd w:val="clear" w:color="auto" w:fill="FFFFFF"/>
              </w:rPr>
              <w:t>Iekšlietu ministrijas uz Tieslietu ministriju</w:t>
            </w:r>
            <w:r w:rsidR="007504CD">
              <w:rPr>
                <w:bCs/>
                <w:shd w:val="clear" w:color="auto" w:fill="FFFFFF"/>
              </w:rPr>
              <w:t xml:space="preserve"> būtu jāņem vērā Nacionālā numerācijas plāna spēkā stāšanās laikā 2016.gada 1.janvārī</w:t>
            </w:r>
            <w:r w:rsidR="0059736D">
              <w:rPr>
                <w:bCs/>
                <w:shd w:val="clear" w:color="auto" w:fill="FFFFFF"/>
              </w:rPr>
              <w:t>,</w:t>
            </w:r>
            <w:r w:rsidR="007504CD">
              <w:rPr>
                <w:bCs/>
                <w:shd w:val="clear" w:color="auto" w:fill="FFFFFF"/>
              </w:rPr>
              <w:t xml:space="preserve"> paredzot attiecīgas izmaiņas noteikumu 2.pielikuma 3.tabulā</w:t>
            </w:r>
            <w:r>
              <w:rPr>
                <w:bCs/>
                <w:shd w:val="clear" w:color="auto" w:fill="FFFFFF"/>
              </w:rPr>
              <w:t xml:space="preserve">,  </w:t>
            </w:r>
            <w:r w:rsidR="007504CD">
              <w:rPr>
                <w:bCs/>
                <w:shd w:val="clear" w:color="auto" w:fill="FFFFFF"/>
              </w:rPr>
              <w:t>lai izvairītos no papildus grozījumu veikšanas.</w:t>
            </w:r>
          </w:p>
        </w:tc>
      </w:tr>
    </w:tbl>
    <w:p w:rsidR="00BE08F0" w:rsidRDefault="00BE08F0" w:rsidP="00BE08F0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"/>
        <w:gridCol w:w="300"/>
        <w:gridCol w:w="1338"/>
        <w:gridCol w:w="203"/>
        <w:gridCol w:w="1526"/>
        <w:gridCol w:w="360"/>
        <w:gridCol w:w="1136"/>
        <w:gridCol w:w="1036"/>
        <w:gridCol w:w="757"/>
        <w:gridCol w:w="2722"/>
      </w:tblGrid>
      <w:tr w:rsidR="00BE08F0" w:rsidRPr="00E030F4" w:rsidTr="00046C34">
        <w:trPr>
          <w:gridBefore w:val="1"/>
          <w:wBefore w:w="22" w:type="pct"/>
        </w:trPr>
        <w:tc>
          <w:tcPr>
            <w:tcW w:w="4978" w:type="pct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BE08F0" w:rsidRPr="00E030F4" w:rsidTr="00046C34">
        <w:trPr>
          <w:gridBefore w:val="1"/>
          <w:wBefore w:w="22" w:type="pct"/>
        </w:trPr>
        <w:tc>
          <w:tcPr>
            <w:tcW w:w="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8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Saistības pret Eiropas Savienību</w:t>
            </w:r>
          </w:p>
        </w:tc>
        <w:tc>
          <w:tcPr>
            <w:tcW w:w="400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pStyle w:val="naiskr"/>
              <w:spacing w:before="0" w:after="0"/>
              <w:jc w:val="both"/>
            </w:pPr>
            <w:r>
              <w:t xml:space="preserve">Ir izvērtētas saistības un </w:t>
            </w:r>
            <w:r w:rsidRPr="00A02142">
              <w:t>tiek pārņemta</w:t>
            </w:r>
            <w:r>
              <w:t xml:space="preserve"> šādu Eiropas Savienības tiesību aktu prasības:</w:t>
            </w:r>
          </w:p>
          <w:p w:rsidR="00BE08F0" w:rsidRDefault="00BE08F0" w:rsidP="00046C34">
            <w:pPr>
              <w:jc w:val="both"/>
            </w:pPr>
            <w:r>
              <w:t xml:space="preserve">1) </w:t>
            </w:r>
            <w:r w:rsidRPr="000F381F">
              <w:t xml:space="preserve">Eiropas Komisijas 2007.gada 15.februāra Lēmums 2007/116/EK par valsts numuru sērijas, kas sākas ar </w:t>
            </w:r>
            <w:r w:rsidR="00C31464">
              <w:t>„</w:t>
            </w:r>
            <w:r w:rsidR="00C31464" w:rsidRPr="000F381F">
              <w:t>116</w:t>
            </w:r>
            <w:r w:rsidR="00C31464">
              <w:t>”</w:t>
            </w:r>
            <w:r w:rsidR="00C31464" w:rsidRPr="000F381F">
              <w:t xml:space="preserve">, </w:t>
            </w:r>
            <w:r w:rsidRPr="000F381F">
              <w:t>rezervēšanu saskaņotajiem numuriem, kuri paredzēti saskaņotajiem pakalpojumiem ar sociālo vērtību</w:t>
            </w:r>
            <w:r>
              <w:t>;</w:t>
            </w:r>
          </w:p>
          <w:p w:rsidR="00BE08F0" w:rsidRPr="007F6CF5" w:rsidRDefault="00BE08F0" w:rsidP="00046C34">
            <w:pPr>
              <w:jc w:val="both"/>
            </w:pPr>
            <w:r>
              <w:t xml:space="preserve">2) </w:t>
            </w:r>
            <w:r w:rsidRPr="000E2B3B">
              <w:t>Eiropas K</w:t>
            </w:r>
            <w:r>
              <w:t>omisijas 2009.gada 30.novembra L</w:t>
            </w:r>
            <w:r w:rsidRPr="000E2B3B">
              <w:t>ēmums 2009/884/EK ar ko groza Lēmumu 2007/116/EK, izveidojot papildu rezervētos numurus, kas sākas ar „116”</w:t>
            </w:r>
            <w:r>
              <w:t>.</w:t>
            </w:r>
          </w:p>
        </w:tc>
      </w:tr>
      <w:tr w:rsidR="00BE08F0" w:rsidRPr="00E030F4" w:rsidTr="00046C34">
        <w:trPr>
          <w:gridBefore w:val="1"/>
          <w:wBefore w:w="22" w:type="pct"/>
        </w:trPr>
        <w:tc>
          <w:tcPr>
            <w:tcW w:w="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8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Citas starptautiskās saistības</w:t>
            </w:r>
          </w:p>
        </w:tc>
        <w:tc>
          <w:tcPr>
            <w:tcW w:w="400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C02D3C" w:rsidP="00046C34">
            <w:pPr>
              <w:jc w:val="both"/>
            </w:pPr>
            <w:r>
              <w:t xml:space="preserve">Ir </w:t>
            </w:r>
            <w:r w:rsidRPr="00E90A98">
              <w:t>izvērtēt</w:t>
            </w:r>
            <w:r>
              <w:t>a</w:t>
            </w:r>
            <w:r w:rsidRPr="00E90A98">
              <w:t>s saistības. Projekts t</w:t>
            </w:r>
            <w:r>
              <w:t>ieši neskar citas starptautiskām saistības</w:t>
            </w:r>
            <w:r w:rsidRPr="00E90A98">
              <w:t>.</w:t>
            </w:r>
          </w:p>
        </w:tc>
      </w:tr>
      <w:tr w:rsidR="00BE08F0" w:rsidRPr="00E030F4" w:rsidTr="00046C34">
        <w:trPr>
          <w:gridBefore w:val="1"/>
          <w:wBefore w:w="22" w:type="pct"/>
        </w:trPr>
        <w:tc>
          <w:tcPr>
            <w:tcW w:w="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3.</w:t>
            </w:r>
          </w:p>
        </w:tc>
        <w:tc>
          <w:tcPr>
            <w:tcW w:w="8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400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D3C" w:rsidRDefault="007F0279" w:rsidP="00C02D3C">
            <w:pPr>
              <w:jc w:val="both"/>
            </w:pPr>
            <w:r>
              <w:t>N</w:t>
            </w:r>
            <w:r w:rsidR="00BE08F0">
              <w:t>acionāl</w:t>
            </w:r>
            <w:r>
              <w:t>ais</w:t>
            </w:r>
            <w:r w:rsidR="00BE08F0">
              <w:t xml:space="preserve"> numerācijas plān</w:t>
            </w:r>
            <w:r>
              <w:t>s</w:t>
            </w:r>
            <w:r w:rsidR="00BE08F0">
              <w:t xml:space="preserve"> sagatavot</w:t>
            </w:r>
            <w:r>
              <w:t>s</w:t>
            </w:r>
            <w:r w:rsidR="00BE08F0">
              <w:t xml:space="preserve"> atbilstoši Starptautiskās Telekomunikāciju savienības (ITU) un Elektronikas komunikāciju komitejas (ECC) ieteikumiem.</w:t>
            </w:r>
            <w:r w:rsidR="00C02D3C">
              <w:t xml:space="preserve"> </w:t>
            </w:r>
          </w:p>
          <w:p w:rsidR="00C02D3C" w:rsidRPr="00913DFF" w:rsidRDefault="00C02D3C" w:rsidP="00C02D3C">
            <w:pPr>
              <w:jc w:val="both"/>
            </w:pPr>
            <w:r w:rsidRPr="00E90A98">
              <w:t>Netieši skar uzskaitītos dokumentus</w:t>
            </w:r>
            <w:r>
              <w:t>:</w:t>
            </w:r>
          </w:p>
          <w:p w:rsidR="00C02D3C" w:rsidRPr="00335818" w:rsidRDefault="00C02D3C" w:rsidP="00C02D3C">
            <w:pPr>
              <w:jc w:val="both"/>
            </w:pPr>
            <w:r>
              <w:t xml:space="preserve">1) 2013.gada 17.aprīļa Elektronikas komunikāciju komitejas </w:t>
            </w:r>
            <w:r w:rsidRPr="00D51D56">
              <w:rPr>
                <w:i/>
              </w:rPr>
              <w:t>ECC (The Electronic Communications Committee)</w:t>
            </w:r>
            <w:r>
              <w:t xml:space="preserve"> ziņojums </w:t>
            </w:r>
            <w:r w:rsidRPr="00D51D56">
              <w:rPr>
                <w:i/>
              </w:rPr>
              <w:t>(Report 194 on Extra-Territorial Use of E.164 Numbers (17.04.2013.))</w:t>
            </w:r>
            <w:r w:rsidRPr="00335818">
              <w:t xml:space="preserve"> – dokuments norāda, ka E.164 numurus nedrīkst lietot ārpus valsts teritorijas (izņemot viesabonēšanu).</w:t>
            </w:r>
          </w:p>
          <w:p w:rsidR="00C02D3C" w:rsidRDefault="00C02D3C" w:rsidP="00C02D3C">
            <w:pPr>
              <w:jc w:val="both"/>
            </w:pPr>
            <w:r>
              <w:t xml:space="preserve">2) </w:t>
            </w:r>
            <w:r w:rsidRPr="00D51D56">
              <w:rPr>
                <w:i/>
              </w:rPr>
              <w:t>ITU</w:t>
            </w:r>
            <w:r w:rsidRPr="00335818">
              <w:t xml:space="preserve"> </w:t>
            </w:r>
            <w:r>
              <w:t>(</w:t>
            </w:r>
            <w:r>
              <w:rPr>
                <w:rStyle w:val="Emphasis"/>
              </w:rPr>
              <w:t>International Telecommunication Union</w:t>
            </w:r>
            <w:r w:rsidRPr="00F42A7D">
              <w:rPr>
                <w:rStyle w:val="Emphasis"/>
              </w:rPr>
              <w:t>)</w:t>
            </w:r>
            <w:r>
              <w:rPr>
                <w:rStyle w:val="Emphasis"/>
              </w:rPr>
              <w:t xml:space="preserve"> </w:t>
            </w:r>
            <w:r w:rsidRPr="00335818">
              <w:t xml:space="preserve">rekomendācija E.164 </w:t>
            </w:r>
            <w:r w:rsidRPr="00DB7CC9">
              <w:rPr>
                <w:i/>
              </w:rPr>
              <w:t>„The international public telecommunication numbering plan</w:t>
            </w:r>
            <w:r w:rsidRPr="001E4462">
              <w:rPr>
                <w:i/>
              </w:rPr>
              <w:t xml:space="preserve">” </w:t>
            </w:r>
            <w:r w:rsidR="001E4462" w:rsidRPr="001E4462">
              <w:rPr>
                <w:i/>
              </w:rPr>
              <w:t>(11/2010)</w:t>
            </w:r>
            <w:r w:rsidRPr="00335818">
              <w:t xml:space="preserve"> nosaka vispārīgo numuru formātu un struktūru.</w:t>
            </w:r>
          </w:p>
          <w:p w:rsidR="00C02D3C" w:rsidRDefault="00C02D3C" w:rsidP="00C02D3C">
            <w:r>
              <w:t xml:space="preserve">3) </w:t>
            </w:r>
            <w:r w:rsidRPr="00D51D56">
              <w:rPr>
                <w:i/>
              </w:rPr>
              <w:t>ITU</w:t>
            </w:r>
            <w:r w:rsidRPr="00335818">
              <w:t xml:space="preserve"> </w:t>
            </w:r>
            <w:r>
              <w:t>(</w:t>
            </w:r>
            <w:r>
              <w:rPr>
                <w:rStyle w:val="Emphasis"/>
              </w:rPr>
              <w:t>International Telecommunication Union</w:t>
            </w:r>
            <w:r w:rsidRPr="00F42A7D">
              <w:rPr>
                <w:rStyle w:val="Emphasis"/>
              </w:rPr>
              <w:t>)</w:t>
            </w:r>
            <w:r>
              <w:rPr>
                <w:rStyle w:val="Emphasis"/>
              </w:rPr>
              <w:t xml:space="preserve"> </w:t>
            </w:r>
            <w:r w:rsidRPr="00335818">
              <w:t xml:space="preserve">rekomendācija E.212 </w:t>
            </w:r>
            <w:r w:rsidRPr="00DB7CC9">
              <w:rPr>
                <w:i/>
              </w:rPr>
              <w:t>„</w:t>
            </w:r>
            <w:r w:rsidR="009F54E0" w:rsidRPr="00780A3E">
              <w:rPr>
                <w:rFonts w:eastAsiaTheme="minorHAnsi"/>
                <w:bCs/>
                <w:i/>
                <w:lang w:eastAsia="en-US"/>
              </w:rPr>
              <w:t>The international identification plan for public networks and subscriptions</w:t>
            </w:r>
            <w:r w:rsidRPr="00DB7CC9">
              <w:rPr>
                <w:i/>
              </w:rPr>
              <w:t>”</w:t>
            </w:r>
            <w:r w:rsidR="001E4462">
              <w:rPr>
                <w:i/>
              </w:rPr>
              <w:t xml:space="preserve">(05/2008) </w:t>
            </w:r>
            <w:r w:rsidR="001E4462" w:rsidRPr="001E4462">
              <w:t>definē</w:t>
            </w:r>
            <w:r w:rsidRPr="001E4462">
              <w:t xml:space="preserve"> </w:t>
            </w:r>
            <w:r w:rsidR="001E4462">
              <w:t>publisko tīklu starptautisko atpazīstamību</w:t>
            </w:r>
            <w:r w:rsidRPr="00335818">
              <w:t>.</w:t>
            </w:r>
          </w:p>
          <w:p w:rsidR="00BE08F0" w:rsidRDefault="00C02D3C" w:rsidP="00501B35">
            <w:pPr>
              <w:spacing w:after="100" w:afterAutospacing="1"/>
              <w:jc w:val="both"/>
            </w:pPr>
            <w:r>
              <w:t xml:space="preserve">4) 2012.gada 11.maija Elektronikas komunikāciju komitejas </w:t>
            </w:r>
            <w:r w:rsidRPr="00D51D56">
              <w:rPr>
                <w:i/>
              </w:rPr>
              <w:t>ECC (The Electronic Communications Committee)</w:t>
            </w:r>
            <w:r>
              <w:t xml:space="preserve"> ziņojums par atvērto un slēgto </w:t>
            </w:r>
            <w:r w:rsidR="00501B35">
              <w:t>numerācijas</w:t>
            </w:r>
            <w:r>
              <w:t xml:space="preserve"> plānu </w:t>
            </w:r>
            <w:r w:rsidRPr="00783A78">
              <w:t>(</w:t>
            </w:r>
            <w:r w:rsidRPr="00D51D56">
              <w:rPr>
                <w:bCs/>
                <w:i/>
              </w:rPr>
              <w:t>ECC Report 178</w:t>
            </w:r>
            <w:r w:rsidRPr="00783A78">
              <w:t>)</w:t>
            </w:r>
            <w:r>
              <w:t>.</w:t>
            </w:r>
          </w:p>
        </w:tc>
      </w:tr>
      <w:tr w:rsidR="00BE08F0" w:rsidRPr="00E030F4" w:rsidTr="00046C34">
        <w:trPr>
          <w:gridBefore w:val="1"/>
          <w:wBefore w:w="22" w:type="pct"/>
        </w:trPr>
        <w:tc>
          <w:tcPr>
            <w:tcW w:w="4978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1.tabula</w:t>
            </w:r>
            <w:r w:rsidRPr="00E030F4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BE08F0" w:rsidRPr="00E030F4" w:rsidTr="00046C34">
        <w:trPr>
          <w:gridBefore w:val="1"/>
          <w:wBefore w:w="22" w:type="pct"/>
        </w:trPr>
        <w:tc>
          <w:tcPr>
            <w:tcW w:w="8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A</w:t>
            </w:r>
          </w:p>
        </w:tc>
        <w:tc>
          <w:tcPr>
            <w:tcW w:w="11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B</w:t>
            </w:r>
          </w:p>
        </w:tc>
        <w:tc>
          <w:tcPr>
            <w:tcW w:w="15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C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D</w:t>
            </w:r>
          </w:p>
        </w:tc>
      </w:tr>
      <w:tr w:rsidR="00BE08F0" w:rsidRPr="00E030F4" w:rsidTr="00046C34">
        <w:trPr>
          <w:gridBefore w:val="1"/>
          <w:wBefore w:w="22" w:type="pct"/>
        </w:trPr>
        <w:tc>
          <w:tcPr>
            <w:tcW w:w="8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lastRenderedPageBreak/>
              <w:t>Attiecīgā ES tiesību akta panta numurs (uzskaitot katru tiesību akta</w:t>
            </w:r>
            <w:r w:rsidRPr="00E030F4">
              <w:br/>
              <w:t>vienību - pantu, daļu, punktu, apakšpunktu)</w:t>
            </w:r>
          </w:p>
        </w:tc>
        <w:tc>
          <w:tcPr>
            <w:tcW w:w="11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Projekta vienība, kas pārņem vai ievieš katru šīs tabulas A ailē minēto ES tiesību akta vienību</w:t>
            </w:r>
          </w:p>
        </w:tc>
        <w:tc>
          <w:tcPr>
            <w:tcW w:w="15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 w:rsidRPr="00E030F4">
              <w:t>Informācija par to, vai šīs tabulas A ailē minētās ES tiesību akta vienības tiek pārņemtas vai ieviestas pilnībā vai daļēji.</w:t>
            </w:r>
            <w:r>
              <w:t xml:space="preserve"> </w:t>
            </w:r>
          </w:p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Norāda institūciju, kas ir atbildīga par šo saistību izpildi pilnībā</w:t>
            </w:r>
            <w:r>
              <w:t>.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Informācija par to, vai šīs tabulas B ailē minētās projekta vienības paredz stingrākas prasības nekā šīs tabulas A ailē minētās ES tiesību akta vienības.</w:t>
            </w:r>
          </w:p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Ja projekts satur stingrākas prasības nekā attiecīgais ES tiesību akts, - norāda pamatojumu un samērīgumu.</w:t>
            </w:r>
          </w:p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  <w:r>
              <w:t>.</w:t>
            </w:r>
          </w:p>
        </w:tc>
      </w:tr>
      <w:tr w:rsidR="00BE08F0" w:rsidRPr="006D10A4" w:rsidTr="00046C34"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3534D" w:rsidRDefault="00BE08F0" w:rsidP="00046C34">
            <w:pPr>
              <w:spacing w:before="100" w:beforeAutospacing="1" w:after="100" w:afterAutospacing="1"/>
            </w:pPr>
            <w:r w:rsidRPr="00C3534D">
              <w:t xml:space="preserve">Eiropas Komisijas 2007.gada 15.februāra Lēmums 2007/116/EK par valsts numuru sērijas, kas sākas ar </w:t>
            </w:r>
            <w:r w:rsidR="00845ECE" w:rsidRPr="00C3534D">
              <w:t>„116”</w:t>
            </w:r>
            <w:r w:rsidRPr="00C3534D">
              <w:t>, rezervēšanu saskaņotajiem numuriem, kuri paredzēti saskaņotajiem pakalpojumiem ar sociālo vērtību</w:t>
            </w:r>
            <w:r w:rsidR="001E4462" w:rsidRPr="00C3534D">
              <w:t>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935BC1">
            <w:pPr>
              <w:spacing w:before="100" w:beforeAutospacing="1" w:after="100" w:afterAutospacing="1"/>
            </w:pPr>
            <w:r w:rsidRPr="006D10A4">
              <w:t>Lēmum</w:t>
            </w:r>
            <w:r>
              <w:t>a</w:t>
            </w:r>
            <w:r w:rsidRPr="006D10A4">
              <w:t xml:space="preserve"> 2007/116/EK </w:t>
            </w:r>
            <w:r w:rsidR="00BE08F0" w:rsidRPr="006D10A4">
              <w:t>2.pants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3534D" w:rsidRDefault="00BE08F0" w:rsidP="00C3534D">
            <w:pPr>
              <w:spacing w:before="100" w:beforeAutospacing="1" w:after="100" w:afterAutospacing="1"/>
            </w:pPr>
            <w:r w:rsidRPr="00C3534D">
              <w:t>2.2</w:t>
            </w:r>
            <w:r w:rsidR="00C3534D" w:rsidRPr="00C3534D">
              <w:t>6</w:t>
            </w:r>
            <w:r w:rsidRPr="00C3534D">
              <w:t>.apakšpunkts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046C34">
            <w:pPr>
              <w:spacing w:before="100" w:beforeAutospacing="1" w:after="100" w:afterAutospacing="1"/>
            </w:pPr>
            <w:r w:rsidRPr="006D10A4">
              <w:t>Lēmum</w:t>
            </w:r>
            <w:r>
              <w:t>a</w:t>
            </w:r>
            <w:r w:rsidRPr="006D10A4">
              <w:t xml:space="preserve"> 2007/116/EK </w:t>
            </w:r>
            <w:r w:rsidR="00BE08F0" w:rsidRPr="006D10A4">
              <w:t>1.pants un 3.panta c) apakšpunkts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2</w:t>
            </w:r>
            <w:r>
              <w:t>1</w:t>
            </w:r>
            <w:r w:rsidRPr="006D10A4">
              <w:t>.1.apakšpunkts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046C34">
            <w:pPr>
              <w:spacing w:before="100" w:beforeAutospacing="1" w:after="100" w:afterAutospacing="1"/>
            </w:pPr>
            <w:r w:rsidRPr="006D10A4">
              <w:t>Lēmum</w:t>
            </w:r>
            <w:r>
              <w:t>a</w:t>
            </w:r>
            <w:r w:rsidRPr="006D10A4">
              <w:t xml:space="preserve"> 2007/116/EK </w:t>
            </w:r>
            <w:r w:rsidR="00BE08F0" w:rsidRPr="006D10A4">
              <w:t>4.panta e) apakšpunkts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2</w:t>
            </w:r>
            <w:r>
              <w:t>1</w:t>
            </w:r>
            <w:r w:rsidRPr="006D10A4">
              <w:t>.2.apakšpunkts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046C34">
            <w:pPr>
              <w:spacing w:before="100" w:beforeAutospacing="1" w:after="100" w:afterAutospacing="1"/>
            </w:pPr>
            <w:r w:rsidRPr="006D10A4">
              <w:t>Lēmum</w:t>
            </w:r>
            <w:r>
              <w:t>a</w:t>
            </w:r>
            <w:r w:rsidRPr="006D10A4">
              <w:t xml:space="preserve"> 2007/116/EK </w:t>
            </w:r>
            <w:r w:rsidR="00BE08F0" w:rsidRPr="006D10A4">
              <w:t>5.panta 3.apakšpunkts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2</w:t>
            </w:r>
            <w:r>
              <w:t>1</w:t>
            </w:r>
            <w:r w:rsidRPr="006D10A4">
              <w:t>.3.apakšpunkts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046C34">
            <w:pPr>
              <w:spacing w:before="100" w:beforeAutospacing="1" w:after="100" w:afterAutospacing="1"/>
            </w:pPr>
            <w:r w:rsidRPr="006D10A4">
              <w:t>Lēmum</w:t>
            </w:r>
            <w:r>
              <w:t>a</w:t>
            </w:r>
            <w:r w:rsidRPr="006D10A4">
              <w:t xml:space="preserve"> 2007/116/EK </w:t>
            </w:r>
            <w:r w:rsidR="00BE08F0" w:rsidRPr="006D10A4">
              <w:t>5.panta 4.apakšpunkts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2</w:t>
            </w:r>
            <w:r>
              <w:t>1</w:t>
            </w:r>
            <w:r w:rsidRPr="006D10A4">
              <w:t>.3.apakšpunkts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046C34">
            <w:pPr>
              <w:spacing w:before="100" w:beforeAutospacing="1" w:after="100" w:afterAutospacing="1"/>
            </w:pPr>
            <w:r w:rsidRPr="006D10A4">
              <w:t>Lēmum</w:t>
            </w:r>
            <w:r>
              <w:t>a</w:t>
            </w:r>
            <w:r w:rsidRPr="006D10A4">
              <w:t xml:space="preserve"> 2007/116/EK </w:t>
            </w:r>
            <w:r w:rsidR="00BE08F0" w:rsidRPr="006D10A4">
              <w:t>5.panta 1.apakšpunkts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2</w:t>
            </w:r>
            <w:r>
              <w:t>1</w:t>
            </w:r>
            <w:r w:rsidRPr="006D10A4">
              <w:t>.8.apakšpunkts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260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Vai starptautiskajā dokumentā paredzētās saistības nav pretrunā ar jau esošajām Latvijas Republikas starptautiskajām saistībām</w:t>
            </w:r>
          </w:p>
        </w:tc>
        <w:tc>
          <w:tcPr>
            <w:tcW w:w="23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 xml:space="preserve">Nav attiecināms. </w:t>
            </w:r>
          </w:p>
        </w:tc>
      </w:tr>
      <w:tr w:rsidR="00BE08F0" w:rsidRPr="006D10A4" w:rsidTr="00046C34">
        <w:trPr>
          <w:trHeight w:val="806"/>
        </w:trPr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Eiropas Komisijas 2009.gada 30.novembra Lēmums 2009/884/EK ar ko groza Lēmumu 2007/116/EK, izveidojot papildu rezervētos numurus, kas sākas ar „116”</w:t>
            </w:r>
            <w:r w:rsidR="001E4462">
              <w:t>.</w:t>
            </w:r>
          </w:p>
        </w:tc>
      </w:tr>
      <w:tr w:rsidR="00BE08F0" w:rsidRPr="006D10A4" w:rsidTr="00046C34">
        <w:tc>
          <w:tcPr>
            <w:tcW w:w="180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935BC1" w:rsidP="00935BC1">
            <w:pPr>
              <w:spacing w:before="100" w:beforeAutospacing="1" w:after="100" w:afterAutospacing="1"/>
            </w:pPr>
            <w:r w:rsidRPr="006D10A4">
              <w:lastRenderedPageBreak/>
              <w:t>Lēmum</w:t>
            </w:r>
            <w:r>
              <w:t>a</w:t>
            </w:r>
            <w:r w:rsidRPr="006D10A4">
              <w:t xml:space="preserve"> 2009/884/EK </w:t>
            </w:r>
            <w:r w:rsidR="00BE08F0" w:rsidRPr="006D10A4">
              <w:t>pielikums</w:t>
            </w:r>
          </w:p>
        </w:tc>
        <w:tc>
          <w:tcPr>
            <w:tcW w:w="13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2.pielikuma 3.tabula</w:t>
            </w:r>
          </w:p>
        </w:tc>
        <w:tc>
          <w:tcPr>
            <w:tcW w:w="1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Neparedz stingrākas prasības.</w:t>
            </w:r>
          </w:p>
        </w:tc>
      </w:tr>
      <w:tr w:rsidR="00BE08F0" w:rsidRPr="006D10A4" w:rsidTr="00046C34">
        <w:tc>
          <w:tcPr>
            <w:tcW w:w="260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>Vai starptautiskajā dokumentā paredzētās saistības nav pretrunā ar jau esošajām Latvijas Republikas starptautiskajām saistībām</w:t>
            </w:r>
          </w:p>
        </w:tc>
        <w:tc>
          <w:tcPr>
            <w:tcW w:w="23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6D10A4" w:rsidRDefault="00BE08F0" w:rsidP="00046C34">
            <w:pPr>
              <w:spacing w:before="100" w:beforeAutospacing="1" w:after="100" w:afterAutospacing="1"/>
            </w:pPr>
            <w:r w:rsidRPr="006D10A4">
              <w:t xml:space="preserve">Nav attiecināms. </w:t>
            </w:r>
          </w:p>
        </w:tc>
      </w:tr>
    </w:tbl>
    <w:p w:rsidR="00BE08F0" w:rsidRDefault="00BE08F0" w:rsidP="00BE08F0"/>
    <w:tbl>
      <w:tblPr>
        <w:tblW w:w="510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78"/>
        <w:gridCol w:w="948"/>
        <w:gridCol w:w="161"/>
        <w:gridCol w:w="1714"/>
        <w:gridCol w:w="1320"/>
        <w:gridCol w:w="3189"/>
      </w:tblGrid>
      <w:tr w:rsidR="00BE08F0" w:rsidRPr="00E030F4" w:rsidTr="00046C34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9C0848" w:rsidP="009C084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08F0" w:rsidRPr="00E030F4">
              <w:rPr>
                <w:b/>
                <w:bCs/>
              </w:rPr>
              <w:t>.tabula</w:t>
            </w:r>
            <w:r w:rsidR="00BE08F0" w:rsidRPr="00E030F4">
              <w:rPr>
                <w:b/>
                <w:bCs/>
              </w:rPr>
              <w:br/>
            </w:r>
            <w:r>
              <w:rPr>
                <w:b/>
                <w:bCs/>
              </w:rPr>
              <w:t>Cita informācija</w:t>
            </w:r>
          </w:p>
        </w:tc>
      </w:tr>
      <w:tr w:rsidR="00BE08F0" w:rsidRPr="00E030F4" w:rsidTr="00EA703F"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81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jc w:val="both"/>
            </w:pPr>
            <w:r>
              <w:t xml:space="preserve">1) 2013.gada 17.aprīļa Elektronikas komunikāciju komitejas </w:t>
            </w:r>
            <w:r w:rsidR="00B460F2">
              <w:t xml:space="preserve">jeb </w:t>
            </w:r>
            <w:r w:rsidRPr="00B460F2">
              <w:rPr>
                <w:i/>
              </w:rPr>
              <w:t>ECC (The Electronic Communications Committee)</w:t>
            </w:r>
            <w:r>
              <w:t xml:space="preserve"> ziņojums </w:t>
            </w:r>
            <w:r w:rsidRPr="00B460F2">
              <w:rPr>
                <w:i/>
              </w:rPr>
              <w:t xml:space="preserve">(Report </w:t>
            </w:r>
            <w:r w:rsidRPr="008A03D4">
              <w:t>194</w:t>
            </w:r>
            <w:r w:rsidRPr="00B460F2">
              <w:rPr>
                <w:i/>
              </w:rPr>
              <w:t xml:space="preserve"> on Extra-Territorial Use of </w:t>
            </w:r>
            <w:r w:rsidRPr="008A03D4">
              <w:t>E.164</w:t>
            </w:r>
            <w:r w:rsidRPr="00B460F2">
              <w:rPr>
                <w:i/>
              </w:rPr>
              <w:t xml:space="preserve"> Numbers (17.04.2013.))</w:t>
            </w:r>
            <w:r>
              <w:t>;</w:t>
            </w:r>
            <w:r w:rsidRPr="00335818">
              <w:t xml:space="preserve"> </w:t>
            </w:r>
          </w:p>
          <w:p w:rsidR="00BE08F0" w:rsidRDefault="00BE08F0" w:rsidP="00046C34">
            <w:pPr>
              <w:jc w:val="both"/>
            </w:pPr>
            <w:r>
              <w:t xml:space="preserve">2) </w:t>
            </w:r>
            <w:r w:rsidRPr="00335818">
              <w:t xml:space="preserve">ITU </w:t>
            </w:r>
            <w:r w:rsidR="00B460F2">
              <w:t>(</w:t>
            </w:r>
            <w:r w:rsidR="00B460F2">
              <w:rPr>
                <w:rStyle w:val="Emphasis"/>
              </w:rPr>
              <w:t>International Telecommunication Union</w:t>
            </w:r>
            <w:r w:rsidR="00B460F2" w:rsidRPr="001B0260">
              <w:rPr>
                <w:rStyle w:val="Emphasis"/>
              </w:rPr>
              <w:t>)</w:t>
            </w:r>
            <w:r w:rsidR="00B460F2">
              <w:t xml:space="preserve"> </w:t>
            </w:r>
            <w:r w:rsidRPr="00335818">
              <w:t xml:space="preserve">rekomendācija E.164 </w:t>
            </w:r>
            <w:r w:rsidRPr="008A03D4">
              <w:rPr>
                <w:i/>
              </w:rPr>
              <w:t>„The international public telecommunication numbering plan”</w:t>
            </w:r>
            <w:r>
              <w:t>;</w:t>
            </w:r>
          </w:p>
          <w:p w:rsidR="00BE08F0" w:rsidRPr="00780A3E" w:rsidRDefault="00BE08F0" w:rsidP="00780A3E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335818">
              <w:t xml:space="preserve">ITU </w:t>
            </w:r>
            <w:r w:rsidR="00B460F2">
              <w:t>(</w:t>
            </w:r>
            <w:r w:rsidR="00B460F2">
              <w:rPr>
                <w:rStyle w:val="Emphasis"/>
              </w:rPr>
              <w:t>International Telecommunication Union</w:t>
            </w:r>
            <w:r w:rsidR="00B460F2" w:rsidRPr="001B0260">
              <w:rPr>
                <w:rStyle w:val="Emphasis"/>
              </w:rPr>
              <w:t>)</w:t>
            </w:r>
            <w:r w:rsidR="00B460F2">
              <w:t xml:space="preserve"> </w:t>
            </w:r>
            <w:r w:rsidR="00301876">
              <w:t>rekomendācija E.212</w:t>
            </w:r>
            <w:r w:rsidR="00780A3E">
              <w:t xml:space="preserve"> </w:t>
            </w:r>
            <w:r w:rsidR="00301876">
              <w:t>“</w:t>
            </w:r>
            <w:r w:rsidR="00780A3E" w:rsidRPr="00780A3E">
              <w:rPr>
                <w:rFonts w:eastAsiaTheme="minorHAnsi"/>
                <w:bCs/>
                <w:i/>
                <w:lang w:eastAsia="en-US"/>
              </w:rPr>
              <w:t>The international identification plan for public networks and subscriptions</w:t>
            </w:r>
            <w:r w:rsidR="00301876">
              <w:rPr>
                <w:rFonts w:eastAsiaTheme="minorHAnsi"/>
                <w:bCs/>
                <w:i/>
                <w:lang w:eastAsia="en-US"/>
              </w:rPr>
              <w:t>”</w:t>
            </w:r>
          </w:p>
          <w:p w:rsidR="00BE08F0" w:rsidRPr="00E030F4" w:rsidRDefault="00BE08F0" w:rsidP="00046C34">
            <w:r>
              <w:t xml:space="preserve">4) 2012.gada 11.maija Elektronikas komunikāciju komitejas </w:t>
            </w:r>
            <w:r w:rsidR="00B460F2">
              <w:t xml:space="preserve">jeb </w:t>
            </w:r>
            <w:r>
              <w:t xml:space="preserve">ECC </w:t>
            </w:r>
            <w:r w:rsidRPr="008A03D4">
              <w:rPr>
                <w:i/>
              </w:rPr>
              <w:t>(The Electronic Communications Committee)</w:t>
            </w:r>
            <w:r>
              <w:t xml:space="preserve"> ziņojums par atvērto un slēgto zvanīšanas plānu </w:t>
            </w:r>
            <w:r w:rsidRPr="008A03D4">
              <w:rPr>
                <w:i/>
              </w:rPr>
              <w:t>(</w:t>
            </w:r>
            <w:r w:rsidRPr="008A03D4">
              <w:rPr>
                <w:bCs/>
                <w:i/>
              </w:rPr>
              <w:t>ECC Report 178</w:t>
            </w:r>
            <w:r w:rsidRPr="008A03D4">
              <w:rPr>
                <w:i/>
              </w:rPr>
              <w:t>)</w:t>
            </w:r>
            <w:r>
              <w:t>.</w:t>
            </w:r>
          </w:p>
        </w:tc>
      </w:tr>
      <w:tr w:rsidR="00BE08F0" w:rsidRPr="00E030F4" w:rsidTr="00EA703F"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A</w:t>
            </w:r>
          </w:p>
        </w:tc>
        <w:tc>
          <w:tcPr>
            <w:tcW w:w="215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B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</w:pPr>
            <w:r w:rsidRPr="00E030F4">
              <w:t>C</w:t>
            </w:r>
          </w:p>
        </w:tc>
      </w:tr>
      <w:tr w:rsidR="00BE08F0" w:rsidRPr="00DB195E" w:rsidTr="00EA703F"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Starptautiskās saistības (pēc būtības), kas izriet no norādītā starptautiskā dokumenta.</w:t>
            </w:r>
          </w:p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Konkrēti veicamie pasākumi vai uzdevumi, kas nepieciešami šo starptautisko saistību izpildei</w:t>
            </w:r>
          </w:p>
        </w:tc>
        <w:tc>
          <w:tcPr>
            <w:tcW w:w="215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Ja pasākumi vai uzdevumi, ar ko tiks izpildītas starptautiskās saistības, tiek noteikti projektā, norāda attiecīgo projekta vienību.</w:t>
            </w:r>
          </w:p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Vai arī norāda dokumentu, kurā sniegts izvērsts skaidrojums, kādā veidā tiks nodrošināta starptautisko saistību izpilde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Informācija par to, vai starptautiskās saistības, kas minētas šīs tabulas A ailē, tiek izpildītas pilnībā vai daļēji.</w:t>
            </w:r>
          </w:p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BE08F0" w:rsidRPr="00DB195E" w:rsidRDefault="00BE08F0" w:rsidP="00046C34">
            <w:pPr>
              <w:spacing w:before="100" w:beforeAutospacing="1" w:after="100" w:afterAutospacing="1"/>
            </w:pPr>
            <w:r w:rsidRPr="00DB195E">
              <w:rPr>
                <w:sz w:val="22"/>
                <w:szCs w:val="22"/>
              </w:rPr>
              <w:t>Norāda institūciju, kas ir atbildīga par šo saistību izpildi pilnībā</w:t>
            </w:r>
            <w:r>
              <w:rPr>
                <w:sz w:val="22"/>
                <w:szCs w:val="22"/>
              </w:rPr>
              <w:t>.</w:t>
            </w:r>
          </w:p>
        </w:tc>
      </w:tr>
      <w:tr w:rsidR="00BE08F0" w:rsidRPr="00DB195E" w:rsidTr="00046C34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DB195E" w:rsidRDefault="00BE08F0" w:rsidP="00046C34">
            <w:pPr>
              <w:spacing w:before="100" w:beforeAutospacing="1" w:after="100" w:afterAutospacing="1"/>
            </w:pPr>
            <w:r>
              <w:t xml:space="preserve">2013.gada 17.aprīļa </w:t>
            </w:r>
            <w:r w:rsidRPr="008765E1">
              <w:t xml:space="preserve">Elektronikas komunikāciju </w:t>
            </w:r>
            <w:r w:rsidRPr="00F22622">
              <w:t xml:space="preserve">komitejas </w:t>
            </w:r>
            <w:r w:rsidR="008A03D4">
              <w:t xml:space="preserve">jeb </w:t>
            </w:r>
            <w:r w:rsidRPr="008A03D4">
              <w:rPr>
                <w:i/>
              </w:rPr>
              <w:t>ECC (The Electronic Communications Committee)</w:t>
            </w:r>
            <w:r w:rsidRPr="00F22622">
              <w:t xml:space="preserve"> ziņojums (Report 194 </w:t>
            </w:r>
            <w:r w:rsidRPr="008A03D4">
              <w:rPr>
                <w:i/>
              </w:rPr>
              <w:t>on Extra-Territorial Use</w:t>
            </w:r>
            <w:r w:rsidRPr="00F22622">
              <w:t xml:space="preserve"> of E.164 </w:t>
            </w:r>
            <w:r w:rsidRPr="008A03D4">
              <w:rPr>
                <w:i/>
              </w:rPr>
              <w:t>Numbers</w:t>
            </w:r>
            <w:r w:rsidRPr="00F22622">
              <w:t xml:space="preserve"> (17.04.2013.))</w:t>
            </w:r>
          </w:p>
        </w:tc>
      </w:tr>
      <w:tr w:rsidR="00BE08F0" w:rsidRPr="00E030F4" w:rsidTr="00EA703F"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 xml:space="preserve">Netieša atbilstība. </w:t>
            </w:r>
          </w:p>
        </w:tc>
        <w:tc>
          <w:tcPr>
            <w:tcW w:w="215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 xml:space="preserve">Netieša atbilstība. </w:t>
            </w:r>
          </w:p>
          <w:p w:rsidR="00BE08F0" w:rsidRPr="00E030F4" w:rsidRDefault="00BE08F0" w:rsidP="00C3534D">
            <w:pPr>
              <w:spacing w:before="100" w:beforeAutospacing="1" w:after="100" w:afterAutospacing="1"/>
            </w:pPr>
            <w:r w:rsidRPr="00C3534D">
              <w:t>2.2</w:t>
            </w:r>
            <w:r w:rsidR="00C3534D" w:rsidRPr="00C3534D">
              <w:t>1</w:t>
            </w:r>
            <w:r w:rsidRPr="00C3534D">
              <w:t>.punkts un 2.2</w:t>
            </w:r>
            <w:r w:rsidR="00C3534D" w:rsidRPr="00C3534D">
              <w:t>2</w:t>
            </w:r>
            <w:r w:rsidRPr="00C3534D">
              <w:t>.punkts</w:t>
            </w:r>
            <w:r>
              <w:t xml:space="preserve"> nosakot „publiskā mobilā elektronisko sakaru tīkla” un „publiskā mobilā telefonu tīkla numura” terminus.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Ziņojums analizē numuru</w:t>
            </w:r>
            <w:r w:rsidRPr="00335818">
              <w:t xml:space="preserve"> </w:t>
            </w:r>
            <w:r>
              <w:t>izmantošanu un nosaka to</w:t>
            </w:r>
            <w:r w:rsidRPr="00335818">
              <w:t xml:space="preserve"> lieto</w:t>
            </w:r>
            <w:r>
              <w:t>šanu valsts teritorijā</w:t>
            </w:r>
            <w:r w:rsidRPr="00335818">
              <w:t xml:space="preserve"> (izņemot viesabonēšanu).</w:t>
            </w:r>
          </w:p>
        </w:tc>
      </w:tr>
      <w:tr w:rsidR="00BE08F0" w:rsidRPr="00E030F4" w:rsidTr="00046C34">
        <w:tc>
          <w:tcPr>
            <w:tcW w:w="265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 xml:space="preserve">Vai starptautiskajā dokumentā paredzētās saistības nav pretrunā ar jau esošajām Latvijas Republikas </w:t>
            </w:r>
            <w:r w:rsidRPr="00E030F4">
              <w:lastRenderedPageBreak/>
              <w:t>starptautiskajām saistībām</w:t>
            </w:r>
          </w:p>
        </w:tc>
        <w:tc>
          <w:tcPr>
            <w:tcW w:w="23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F22622">
              <w:lastRenderedPageBreak/>
              <w:t>Nav attiecināms.</w:t>
            </w:r>
            <w:r>
              <w:t xml:space="preserve"> </w:t>
            </w:r>
          </w:p>
        </w:tc>
      </w:tr>
      <w:tr w:rsidR="00BE08F0" w:rsidRPr="00E030F4" w:rsidTr="00046C34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F22622" w:rsidRDefault="00BE08F0" w:rsidP="00046C34">
            <w:pPr>
              <w:spacing w:before="100" w:beforeAutospacing="1" w:after="100" w:afterAutospacing="1"/>
            </w:pPr>
            <w:r w:rsidRPr="00FF7422">
              <w:lastRenderedPageBreak/>
              <w:t xml:space="preserve">ITU </w:t>
            </w:r>
            <w:r w:rsidR="008A03D4">
              <w:t>(</w:t>
            </w:r>
            <w:r w:rsidR="008A03D4">
              <w:rPr>
                <w:rStyle w:val="Emphasis"/>
              </w:rPr>
              <w:t>International Telecommunication Union)</w:t>
            </w:r>
            <w:r w:rsidR="008A03D4" w:rsidRPr="00FF7422">
              <w:t xml:space="preserve"> </w:t>
            </w:r>
            <w:r w:rsidRPr="00FF7422">
              <w:t xml:space="preserve">rekomendācija E.164 </w:t>
            </w:r>
            <w:r w:rsidRPr="008A03D4">
              <w:rPr>
                <w:i/>
              </w:rPr>
              <w:t>„The international public telecommunication numbering plan”</w:t>
            </w:r>
          </w:p>
        </w:tc>
      </w:tr>
      <w:tr w:rsidR="00BE08F0" w:rsidRPr="00E030F4" w:rsidTr="00046C34">
        <w:tc>
          <w:tcPr>
            <w:tcW w:w="1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04312E" w:rsidRDefault="00BE08F0" w:rsidP="00046C34">
            <w:pPr>
              <w:spacing w:before="100" w:beforeAutospacing="1" w:after="100" w:afterAutospacing="1"/>
            </w:pPr>
            <w:r w:rsidRPr="0004312E">
              <w:t>6.2.1. apakšpunkts (starptautiskā izsaukuma numura struktūra)</w:t>
            </w:r>
          </w:p>
        </w:tc>
        <w:tc>
          <w:tcPr>
            <w:tcW w:w="16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10.punkts, 29.1.apakšpunkts, 3.pielikums 1.1.apakšpunkts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N</w:t>
            </w:r>
            <w:r w:rsidRPr="00335818">
              <w:t>osa</w:t>
            </w:r>
            <w:r>
              <w:t xml:space="preserve">ka vispārīgo numuru formātu un </w:t>
            </w:r>
            <w:r w:rsidRPr="00335818">
              <w:t>struktūru.</w:t>
            </w:r>
          </w:p>
        </w:tc>
      </w:tr>
      <w:tr w:rsidR="00BE08F0" w:rsidRPr="00E030F4" w:rsidTr="00046C34">
        <w:tc>
          <w:tcPr>
            <w:tcW w:w="1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04312E" w:rsidRDefault="00BE08F0" w:rsidP="00046C34">
            <w:pPr>
              <w:spacing w:before="100" w:beforeAutospacing="1" w:after="100" w:afterAutospacing="1"/>
            </w:pPr>
            <w:r w:rsidRPr="0004312E">
              <w:rPr>
                <w:bCs/>
                <w:lang w:val="en-US" w:eastAsia="en-US"/>
              </w:rPr>
              <w:t xml:space="preserve">4.12 </w:t>
            </w:r>
            <w:proofErr w:type="spellStart"/>
            <w:r w:rsidRPr="0004312E">
              <w:rPr>
                <w:bCs/>
                <w:lang w:val="en-US" w:eastAsia="en-US"/>
              </w:rPr>
              <w:t>apakšpunkts</w:t>
            </w:r>
            <w:proofErr w:type="spellEnd"/>
            <w:r w:rsidRPr="0004312E">
              <w:rPr>
                <w:bCs/>
                <w:lang w:val="en-US" w:eastAsia="en-US"/>
              </w:rPr>
              <w:t xml:space="preserve"> (</w:t>
            </w:r>
            <w:proofErr w:type="spellStart"/>
            <w:r w:rsidRPr="0004312E">
              <w:rPr>
                <w:bCs/>
                <w:lang w:val="en-US" w:eastAsia="en-US"/>
              </w:rPr>
              <w:t>identifikācijas</w:t>
            </w:r>
            <w:proofErr w:type="spellEnd"/>
            <w:r w:rsidRPr="0004312E">
              <w:rPr>
                <w:bCs/>
                <w:lang w:val="en-US" w:eastAsia="en-US"/>
              </w:rPr>
              <w:t xml:space="preserve"> </w:t>
            </w:r>
            <w:proofErr w:type="spellStart"/>
            <w:r w:rsidRPr="0004312E">
              <w:rPr>
                <w:bCs/>
                <w:lang w:val="en-US" w:eastAsia="en-US"/>
              </w:rPr>
              <w:t>kods</w:t>
            </w:r>
            <w:proofErr w:type="spellEnd"/>
            <w:r>
              <w:rPr>
                <w:bCs/>
                <w:lang w:val="en-US" w:eastAsia="en-US"/>
              </w:rPr>
              <w:t xml:space="preserve"> (IC)</w:t>
            </w:r>
            <w:r w:rsidRPr="0004312E">
              <w:rPr>
                <w:bCs/>
                <w:lang w:val="en-US" w:eastAsia="en-US"/>
              </w:rPr>
              <w:t xml:space="preserve">) </w:t>
            </w:r>
          </w:p>
        </w:tc>
        <w:tc>
          <w:tcPr>
            <w:tcW w:w="16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>2.5.apakšpunkts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335818" w:rsidRDefault="00BE08F0" w:rsidP="00046C34">
            <w:pPr>
              <w:spacing w:before="100" w:beforeAutospacing="1" w:after="100" w:afterAutospacing="1"/>
            </w:pPr>
            <w:r>
              <w:t>N</w:t>
            </w:r>
            <w:r w:rsidRPr="00335818">
              <w:t>osa</w:t>
            </w:r>
            <w:r>
              <w:t xml:space="preserve">ka vispārīgo numuru formātu un </w:t>
            </w:r>
            <w:r w:rsidRPr="00335818">
              <w:t>struktūru.</w:t>
            </w:r>
          </w:p>
        </w:tc>
      </w:tr>
      <w:tr w:rsidR="00BE08F0" w:rsidRPr="00E030F4" w:rsidTr="00046C34">
        <w:tc>
          <w:tcPr>
            <w:tcW w:w="1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04312E" w:rsidRDefault="00BE08F0" w:rsidP="00046C34">
            <w:pPr>
              <w:spacing w:before="100" w:beforeAutospacing="1" w:after="100" w:afterAutospacing="1"/>
            </w:pPr>
            <w:r w:rsidRPr="0004312E">
              <w:rPr>
                <w:bCs/>
                <w:lang w:val="en-US" w:eastAsia="en-US"/>
              </w:rPr>
              <w:t xml:space="preserve">4.1 </w:t>
            </w:r>
            <w:proofErr w:type="spellStart"/>
            <w:r w:rsidRPr="0004312E">
              <w:rPr>
                <w:bCs/>
                <w:lang w:val="en-US" w:eastAsia="en-US"/>
              </w:rPr>
              <w:t>apakšpunkts</w:t>
            </w:r>
            <w:proofErr w:type="spellEnd"/>
            <w:r w:rsidRPr="0004312E">
              <w:rPr>
                <w:bCs/>
                <w:lang w:val="en-US" w:eastAsia="en-US"/>
              </w:rPr>
              <w:t xml:space="preserve"> (valsts </w:t>
            </w:r>
            <w:proofErr w:type="spellStart"/>
            <w:r w:rsidRPr="0004312E">
              <w:rPr>
                <w:bCs/>
                <w:lang w:val="en-US" w:eastAsia="en-US"/>
              </w:rPr>
              <w:t>kods</w:t>
            </w:r>
            <w:proofErr w:type="spellEnd"/>
            <w:r>
              <w:rPr>
                <w:bCs/>
                <w:lang w:val="en-US" w:eastAsia="en-US"/>
              </w:rPr>
              <w:t xml:space="preserve"> (CC)</w:t>
            </w:r>
            <w:r w:rsidRPr="0004312E">
              <w:rPr>
                <w:bCs/>
                <w:lang w:val="en-US" w:eastAsia="en-US"/>
              </w:rPr>
              <w:t>)</w:t>
            </w:r>
          </w:p>
        </w:tc>
        <w:tc>
          <w:tcPr>
            <w:tcW w:w="16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DF4CBA">
            <w:pPr>
              <w:spacing w:before="100" w:beforeAutospacing="1" w:after="100" w:afterAutospacing="1"/>
            </w:pPr>
            <w:r>
              <w:t>2.3</w:t>
            </w:r>
            <w:r w:rsidR="00DF4CBA">
              <w:t>3</w:t>
            </w:r>
            <w:r>
              <w:t>.apakšpunkts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335818" w:rsidRDefault="00BE08F0" w:rsidP="00046C34">
            <w:pPr>
              <w:spacing w:before="100" w:beforeAutospacing="1" w:after="100" w:afterAutospacing="1"/>
            </w:pPr>
            <w:r>
              <w:t>N</w:t>
            </w:r>
            <w:r w:rsidRPr="00335818">
              <w:t>osa</w:t>
            </w:r>
            <w:r>
              <w:t xml:space="preserve">ka vispārīgo numuru formātu un </w:t>
            </w:r>
            <w:r w:rsidRPr="00335818">
              <w:t>struktūru.</w:t>
            </w:r>
          </w:p>
        </w:tc>
      </w:tr>
      <w:tr w:rsidR="00BE08F0" w:rsidRPr="00E030F4" w:rsidTr="00046C34">
        <w:tc>
          <w:tcPr>
            <w:tcW w:w="265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Vai starptautiskajā dokumentā paredzētās saistības nav pretrunā ar jau esošajām Latvijas Republikas starptautiskajām saistībām</w:t>
            </w:r>
          </w:p>
        </w:tc>
        <w:tc>
          <w:tcPr>
            <w:tcW w:w="23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F22622">
              <w:t>Nav attiecināms.</w:t>
            </w:r>
            <w:r>
              <w:t xml:space="preserve"> </w:t>
            </w:r>
          </w:p>
        </w:tc>
      </w:tr>
      <w:tr w:rsidR="00BE08F0" w:rsidRPr="00E030F4" w:rsidTr="00046C34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DB195E" w:rsidRDefault="00BE08F0" w:rsidP="00046C34">
            <w:pPr>
              <w:spacing w:before="100" w:beforeAutospacing="1" w:after="100" w:afterAutospacing="1"/>
              <w:rPr>
                <w:highlight w:val="yellow"/>
              </w:rPr>
            </w:pPr>
            <w:r w:rsidRPr="00510E3E">
              <w:t xml:space="preserve">ITU </w:t>
            </w:r>
            <w:r w:rsidR="008A03D4">
              <w:t>(</w:t>
            </w:r>
            <w:r w:rsidR="008A03D4">
              <w:rPr>
                <w:rStyle w:val="Emphasis"/>
              </w:rPr>
              <w:t>International Telecommunication Union)</w:t>
            </w:r>
            <w:r w:rsidR="008A03D4" w:rsidRPr="00FF7422">
              <w:t xml:space="preserve"> </w:t>
            </w:r>
            <w:r w:rsidRPr="00301876">
              <w:t xml:space="preserve">rekomendācija E.212 </w:t>
            </w:r>
            <w:r w:rsidRPr="00301876">
              <w:rPr>
                <w:i/>
              </w:rPr>
              <w:t>„</w:t>
            </w:r>
            <w:r w:rsidR="00301876" w:rsidRPr="00301876">
              <w:rPr>
                <w:rFonts w:eastAsiaTheme="minorHAnsi"/>
                <w:bCs/>
                <w:i/>
                <w:lang w:eastAsia="en-US"/>
              </w:rPr>
              <w:t xml:space="preserve"> The international identification plan for public networks and subscriptions</w:t>
            </w:r>
            <w:r w:rsidRPr="00301876">
              <w:rPr>
                <w:i/>
              </w:rPr>
              <w:t>”</w:t>
            </w:r>
          </w:p>
        </w:tc>
      </w:tr>
      <w:tr w:rsidR="00BE08F0" w:rsidRPr="00E030F4" w:rsidTr="00046C34">
        <w:tc>
          <w:tcPr>
            <w:tcW w:w="17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3.2. apakšpunkts “</w:t>
            </w:r>
            <w:r w:rsidRPr="00DD781D">
              <w:rPr>
                <w:bCs/>
              </w:rPr>
              <w:t>publiskā mobilā telefonu tīkla lietotāja identifikācijas numur</w:t>
            </w:r>
            <w:r>
              <w:rPr>
                <w:bCs/>
              </w:rPr>
              <w:t>s</w:t>
            </w:r>
            <w:r w:rsidRPr="00DD781D">
              <w:rPr>
                <w:bCs/>
              </w:rPr>
              <w:t xml:space="preserve"> </w:t>
            </w:r>
            <w:r>
              <w:rPr>
                <w:bCs/>
              </w:rPr>
              <w:t>(IMSI)”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C76D77">
            <w:pPr>
              <w:spacing w:before="100" w:beforeAutospacing="1" w:after="100" w:afterAutospacing="1"/>
            </w:pPr>
            <w:r>
              <w:t>2.2</w:t>
            </w:r>
            <w:r w:rsidR="00C76D77">
              <w:t>3</w:t>
            </w:r>
            <w:r>
              <w:t xml:space="preserve">. apakšpunkts, 27.punkts 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F22622">
              <w:t>Nav attiecināms</w:t>
            </w:r>
            <w:r w:rsidR="007F0279">
              <w:t>.</w:t>
            </w:r>
          </w:p>
        </w:tc>
      </w:tr>
      <w:tr w:rsidR="00BE08F0" w:rsidRPr="00E030F4" w:rsidTr="00046C34">
        <w:tc>
          <w:tcPr>
            <w:tcW w:w="17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>3.3.apakšpunkts „mobile country code (MCC)”</w:t>
            </w:r>
          </w:p>
          <w:p w:rsidR="00BE08F0" w:rsidRDefault="00BE08F0" w:rsidP="00046C34">
            <w:pPr>
              <w:spacing w:before="100" w:beforeAutospacing="1" w:after="100" w:afterAutospacing="1"/>
            </w:pP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C76D77">
            <w:pPr>
              <w:spacing w:before="100" w:beforeAutospacing="1" w:after="100" w:afterAutospacing="1"/>
            </w:pPr>
            <w:r>
              <w:t>2.2</w:t>
            </w:r>
            <w:r w:rsidR="00C76D77">
              <w:t>4</w:t>
            </w:r>
            <w:r>
              <w:t>.apakšpunkts „publiskā mobilā telefonu tīkla valsts kods”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F22622" w:rsidRDefault="00BE08F0" w:rsidP="00046C34">
            <w:pPr>
              <w:spacing w:before="100" w:beforeAutospacing="1" w:after="100" w:afterAutospacing="1"/>
            </w:pPr>
            <w:r w:rsidRPr="00F22622">
              <w:t>Nav attiecināms</w:t>
            </w:r>
            <w:r>
              <w:t>.</w:t>
            </w:r>
          </w:p>
        </w:tc>
      </w:tr>
      <w:tr w:rsidR="00BE08F0" w:rsidRPr="00E030F4" w:rsidTr="00046C34">
        <w:tc>
          <w:tcPr>
            <w:tcW w:w="17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>3.4.apakšpunkts „mobile network code (MNC)”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C76D77">
            <w:pPr>
              <w:spacing w:before="100" w:beforeAutospacing="1" w:after="100" w:afterAutospacing="1"/>
            </w:pPr>
            <w:r>
              <w:t>2.1</w:t>
            </w:r>
            <w:r w:rsidR="00C76D77">
              <w:t>5</w:t>
            </w:r>
            <w:r>
              <w:t>. apakšpunkts „publiskā mobilā telefonu tīkla kods”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F22622">
              <w:t>Nav attiecināms.</w:t>
            </w:r>
          </w:p>
        </w:tc>
      </w:tr>
      <w:tr w:rsidR="00BE08F0" w:rsidRPr="00E030F4" w:rsidTr="00046C34">
        <w:tc>
          <w:tcPr>
            <w:tcW w:w="17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>3.5.apakšpunkts „mobile subscription identification number (MSIN)”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>2.9. apakšpunkts „publiskā mobilā telefonu tīkla lietotāja identifikācijas numurs”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F22622">
              <w:t>Nav attiecināms.</w:t>
            </w:r>
          </w:p>
        </w:tc>
      </w:tr>
      <w:tr w:rsidR="00BE08F0" w:rsidRPr="00E030F4" w:rsidTr="00046C34">
        <w:tc>
          <w:tcPr>
            <w:tcW w:w="17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 xml:space="preserve">6.1. </w:t>
            </w:r>
            <w:r w:rsidRPr="00DD781D">
              <w:t xml:space="preserve">apakšpunkts </w:t>
            </w:r>
            <w:r>
              <w:t>“</w:t>
            </w:r>
            <w:r w:rsidRPr="00DD781D">
              <w:rPr>
                <w:bCs/>
              </w:rPr>
              <w:t xml:space="preserve">publiskā mobilā telefonu tīkla lietotāja identifikācijas numura </w:t>
            </w:r>
            <w:r>
              <w:rPr>
                <w:bCs/>
              </w:rPr>
              <w:t xml:space="preserve">(IMSI) </w:t>
            </w:r>
            <w:r w:rsidRPr="00DD781D">
              <w:rPr>
                <w:bCs/>
              </w:rPr>
              <w:t>struktūra</w:t>
            </w:r>
            <w:r>
              <w:rPr>
                <w:bCs/>
              </w:rPr>
              <w:t>”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spacing w:before="100" w:beforeAutospacing="1" w:after="100" w:afterAutospacing="1"/>
            </w:pPr>
            <w:r>
              <w:t>1.pielikuma 5.tabula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F22622" w:rsidRDefault="00BE08F0" w:rsidP="00046C34">
            <w:pPr>
              <w:spacing w:before="100" w:beforeAutospacing="1" w:after="100" w:afterAutospacing="1"/>
            </w:pPr>
            <w:r w:rsidRPr="00F22622">
              <w:t>Nav attiecināms.</w:t>
            </w:r>
          </w:p>
        </w:tc>
      </w:tr>
      <w:tr w:rsidR="00BE08F0" w:rsidRPr="00E030F4" w:rsidTr="00046C34">
        <w:tc>
          <w:tcPr>
            <w:tcW w:w="265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Vai starptautiskajā dokumentā paredzētās saistības nav pretrunā ar jau esošajām Latvijas Republikas starptautiskajām saistībām</w:t>
            </w:r>
          </w:p>
        </w:tc>
        <w:tc>
          <w:tcPr>
            <w:tcW w:w="23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510E3E">
              <w:t>Nav attiecināms.</w:t>
            </w:r>
            <w:r>
              <w:t xml:space="preserve"> </w:t>
            </w:r>
          </w:p>
        </w:tc>
      </w:tr>
      <w:tr w:rsidR="00BE08F0" w:rsidRPr="00E030F4" w:rsidTr="000B60C6">
        <w:tc>
          <w:tcPr>
            <w:tcW w:w="17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8A03D4" w:rsidRDefault="00BE08F0" w:rsidP="00046C34">
            <w:pPr>
              <w:rPr>
                <w:i/>
              </w:rPr>
            </w:pPr>
            <w:r>
              <w:t xml:space="preserve">2012.gada 11.maija Elektronikas komunikāciju komitejas </w:t>
            </w:r>
            <w:r w:rsidR="008A03D4">
              <w:t xml:space="preserve">jeb </w:t>
            </w:r>
            <w:r>
              <w:t xml:space="preserve">ECC </w:t>
            </w:r>
            <w:r w:rsidRPr="008A03D4">
              <w:rPr>
                <w:i/>
              </w:rPr>
              <w:t>(The Electronic Communications Committee)</w:t>
            </w:r>
            <w:r>
              <w:t xml:space="preserve"> ziņojums par atvērto un slēgto zvanīšanas plānu </w:t>
            </w:r>
            <w:r w:rsidRPr="008A03D4">
              <w:rPr>
                <w:i/>
              </w:rPr>
              <w:t>(</w:t>
            </w:r>
            <w:r w:rsidRPr="008A03D4">
              <w:rPr>
                <w:bCs/>
                <w:i/>
              </w:rPr>
              <w:t>ECC Report 178</w:t>
            </w:r>
            <w:r w:rsidRPr="008A03D4">
              <w:rPr>
                <w:i/>
              </w:rPr>
              <w:t>)</w:t>
            </w:r>
          </w:p>
          <w:p w:rsidR="00BE08F0" w:rsidRDefault="00BE08F0" w:rsidP="00046C34"/>
          <w:p w:rsidR="00BE08F0" w:rsidRPr="00E030F4" w:rsidRDefault="00BE08F0" w:rsidP="008A03D4">
            <w:r>
              <w:t xml:space="preserve">Netieši atbilst 4.3.apakšpunktam </w:t>
            </w:r>
            <w:r w:rsidRPr="008A03D4">
              <w:rPr>
                <w:i/>
              </w:rPr>
              <w:t>„closed dialling plan”</w:t>
            </w:r>
            <w:r>
              <w:t xml:space="preserve"> (</w:t>
            </w:r>
            <w:r w:rsidR="008A03D4">
              <w:t>s</w:t>
            </w:r>
            <w:r>
              <w:t xml:space="preserve">lēgtais </w:t>
            </w:r>
            <w:r>
              <w:lastRenderedPageBreak/>
              <w:t>zvanīšanas plāns)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Default="00BE08F0" w:rsidP="00046C34">
            <w:r>
              <w:lastRenderedPageBreak/>
              <w:t>Netieša atbilstība.</w:t>
            </w:r>
          </w:p>
          <w:p w:rsidR="00BE08F0" w:rsidRDefault="00BE08F0" w:rsidP="00046C34"/>
          <w:p w:rsidR="00BE08F0" w:rsidRDefault="00BE08F0" w:rsidP="00046C34">
            <w:r>
              <w:t>2.13.apakšpunkts, 4.punkts</w:t>
            </w:r>
          </w:p>
          <w:p w:rsidR="00BE08F0" w:rsidRPr="00E030F4" w:rsidRDefault="00BE08F0" w:rsidP="00046C34">
            <w:pPr>
              <w:spacing w:line="360" w:lineRule="auto"/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r>
              <w:t>Ziņojums skaidro atvērtā un slēgtā zvanīšanas plāna principus. Valstis izvēlas sev piemērotāko numura sastādīšanas procedūru.</w:t>
            </w:r>
          </w:p>
        </w:tc>
      </w:tr>
      <w:tr w:rsidR="00BE08F0" w:rsidRPr="00E030F4" w:rsidTr="00046C34">
        <w:tc>
          <w:tcPr>
            <w:tcW w:w="265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23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C6421C">
              <w:t>Nav attiecināms.</w:t>
            </w:r>
            <w:r>
              <w:t xml:space="preserve"> </w:t>
            </w:r>
          </w:p>
        </w:tc>
      </w:tr>
      <w:tr w:rsidR="00BE08F0" w:rsidRPr="00E030F4" w:rsidTr="00046C34">
        <w:tc>
          <w:tcPr>
            <w:tcW w:w="265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3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7F0279">
            <w:pPr>
              <w:spacing w:before="100" w:beforeAutospacing="1" w:after="100" w:afterAutospacing="1"/>
            </w:pPr>
            <w:r w:rsidRPr="00E030F4">
              <w:t>Nav</w:t>
            </w:r>
          </w:p>
        </w:tc>
      </w:tr>
    </w:tbl>
    <w:p w:rsidR="00BE08F0" w:rsidRDefault="00BE08F0" w:rsidP="00BE08F0"/>
    <w:tbl>
      <w:tblPr>
        <w:tblW w:w="504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1"/>
        <w:gridCol w:w="3406"/>
        <w:gridCol w:w="5766"/>
      </w:tblGrid>
      <w:tr w:rsidR="00BE08F0" w:rsidRPr="00CA06B9" w:rsidTr="00046C3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VI. Sabiedrības līdzdalība un šīs līdzdalības rezultāti</w:t>
            </w:r>
          </w:p>
        </w:tc>
      </w:tr>
      <w:tr w:rsidR="00BE08F0" w:rsidRPr="00CA06B9" w:rsidTr="00046C3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1.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Sabiedrības informēšana par projekta izstrādes uzsākšanu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  <w:jc w:val="both"/>
            </w:pPr>
            <w:r>
              <w:t>Ī</w:t>
            </w:r>
            <w:r w:rsidRPr="00FA75B1">
              <w:t xml:space="preserve">pašas sabiedrības līdzdalības un komunikācijas aktivitātes </w:t>
            </w:r>
            <w:r>
              <w:t>n</w:t>
            </w:r>
            <w:r w:rsidRPr="00FA75B1">
              <w:t>av plānotas.</w:t>
            </w:r>
          </w:p>
        </w:tc>
      </w:tr>
      <w:tr w:rsidR="00BE08F0" w:rsidRPr="00CA06B9" w:rsidTr="00046C3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2.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Sabiedrības līdzdalība projekta izstrādē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AF2755">
            <w:pPr>
              <w:jc w:val="both"/>
            </w:pPr>
            <w:r w:rsidRPr="00542AFF">
              <w:t xml:space="preserve">Lai informētu sabiedrību par tiesību akta projektu un dotu iespēju izteikt par to viedokļus, </w:t>
            </w:r>
            <w:r w:rsidR="00AF2755" w:rsidRPr="00542AFF">
              <w:t xml:space="preserve">2015.gada </w:t>
            </w:r>
            <w:r w:rsidR="00AF2755">
              <w:t>9</w:t>
            </w:r>
            <w:r w:rsidR="00AF2755" w:rsidRPr="00542AFF">
              <w:t>.</w:t>
            </w:r>
            <w:r w:rsidR="00AF2755">
              <w:t>martā</w:t>
            </w:r>
            <w:r w:rsidR="00AF2755" w:rsidRPr="00542AFF">
              <w:t xml:space="preserve"> </w:t>
            </w:r>
            <w:r>
              <w:t xml:space="preserve">informācija par </w:t>
            </w:r>
            <w:r w:rsidR="00AF2755">
              <w:t>projekta</w:t>
            </w:r>
            <w:r>
              <w:t xml:space="preserve"> izstrādi </w:t>
            </w:r>
            <w:r w:rsidR="00AF2755">
              <w:t>(</w:t>
            </w:r>
            <w:r w:rsidRPr="00542AFF">
              <w:t>saskaņā ar Ministru kabineta 2009.gada 25.augusta noteikumiem Nr.970 „</w:t>
            </w:r>
            <w:r w:rsidRPr="00542AFF">
              <w:rPr>
                <w:bCs/>
              </w:rPr>
              <w:t>Sabiedrības līdzdalības kārtība attīstības plānošanas procesā”</w:t>
            </w:r>
            <w:r w:rsidR="00AF2755">
              <w:rPr>
                <w:bCs/>
              </w:rPr>
              <w:t>) VARAM</w:t>
            </w:r>
            <w:r w:rsidRPr="00542AFF">
              <w:t xml:space="preserve"> interneta mājas lapā sadaļā „Sabiedrības līdzdalība”.</w:t>
            </w:r>
          </w:p>
        </w:tc>
      </w:tr>
      <w:tr w:rsidR="00BE08F0" w:rsidRPr="00CA06B9" w:rsidTr="00046C3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3.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Sabiedrības līdzdalības rezultāti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2755" w:rsidRDefault="00AF2755" w:rsidP="00046C34">
            <w:pPr>
              <w:jc w:val="both"/>
            </w:pPr>
            <w:r>
              <w:t xml:space="preserve">Pēc publicēšanas VARAM </w:t>
            </w:r>
            <w:r w:rsidR="001C6176">
              <w:t>mājaslapā</w:t>
            </w:r>
            <w:r>
              <w:t xml:space="preserve"> n</w:t>
            </w:r>
            <w:r w:rsidR="00BE08F0" w:rsidRPr="00542AFF">
              <w:t>etika saņemts neviens viedoklis</w:t>
            </w:r>
            <w:r w:rsidR="00BE08F0" w:rsidRPr="00CA06B9">
              <w:t>.</w:t>
            </w:r>
            <w:r>
              <w:t xml:space="preserve"> Projekts sagatavots, sadarbojoties ar elektronisko sakaru nozares pārstāvjiem Numerācijas resursu </w:t>
            </w:r>
            <w:r w:rsidRPr="004E79A5">
              <w:t xml:space="preserve">izmantošanas </w:t>
            </w:r>
            <w:r>
              <w:t xml:space="preserve">koordinācijas darba grupas ietvaros, iesaistoties </w:t>
            </w:r>
            <w:r w:rsidRPr="00490C6F">
              <w:t xml:space="preserve">Latvijas </w:t>
            </w:r>
            <w:r w:rsidRPr="00A67B56">
              <w:t>Telekomunikāciju asociācijas</w:t>
            </w:r>
            <w:r>
              <w:t xml:space="preserve"> (LTA) un </w:t>
            </w:r>
            <w:r w:rsidRPr="00A67B56">
              <w:t xml:space="preserve">Latvijas Informācijas un komunikācijas tehnoloģijas asociācijas </w:t>
            </w:r>
            <w:r>
              <w:t>(LIKTA)</w:t>
            </w:r>
            <w:r w:rsidRPr="00A67B56">
              <w:t xml:space="preserve"> pārstāv</w:t>
            </w:r>
            <w:r>
              <w:t>jiem.</w:t>
            </w:r>
          </w:p>
          <w:p w:rsidR="00AF2755" w:rsidRPr="00CA06B9" w:rsidRDefault="00AF2755" w:rsidP="00AF2755">
            <w:pPr>
              <w:jc w:val="both"/>
            </w:pPr>
          </w:p>
        </w:tc>
      </w:tr>
      <w:tr w:rsidR="00BE08F0" w:rsidRPr="00CA06B9" w:rsidTr="00046C3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5.</w:t>
            </w:r>
          </w:p>
        </w:tc>
        <w:tc>
          <w:tcPr>
            <w:tcW w:w="1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046C34">
            <w:pPr>
              <w:spacing w:before="100" w:beforeAutospacing="1" w:after="100" w:afterAutospacing="1"/>
            </w:pPr>
            <w:r w:rsidRPr="00CA06B9">
              <w:t>Cita informācija</w:t>
            </w:r>
          </w:p>
        </w:tc>
        <w:tc>
          <w:tcPr>
            <w:tcW w:w="3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CA06B9" w:rsidRDefault="00BE08F0" w:rsidP="007F0279">
            <w:pPr>
              <w:spacing w:before="100" w:beforeAutospacing="1" w:after="100" w:afterAutospacing="1"/>
            </w:pPr>
            <w:r w:rsidRPr="00CA06B9">
              <w:t xml:space="preserve">Nav </w:t>
            </w:r>
          </w:p>
        </w:tc>
      </w:tr>
    </w:tbl>
    <w:p w:rsidR="00BE08F0" w:rsidRPr="00CA06B9" w:rsidRDefault="00BE08F0" w:rsidP="00BE08F0">
      <w:r w:rsidRPr="00CA06B9">
        <w:t> </w:t>
      </w:r>
    </w:p>
    <w:p w:rsidR="00BE08F0" w:rsidRDefault="00BE08F0" w:rsidP="00BE08F0">
      <w:pPr>
        <w:pStyle w:val="naisc"/>
        <w:spacing w:before="0" w:after="0"/>
      </w:pPr>
    </w:p>
    <w:tbl>
      <w:tblPr>
        <w:tblW w:w="9505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1"/>
        <w:gridCol w:w="2835"/>
        <w:gridCol w:w="6199"/>
      </w:tblGrid>
      <w:tr w:rsidR="00BE08F0" w:rsidRPr="00E030F4" w:rsidTr="00091E6A">
        <w:tc>
          <w:tcPr>
            <w:tcW w:w="9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E08F0" w:rsidRPr="00E030F4" w:rsidTr="00091E6A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Projekta izpildē iesaistītās institūcijas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2821DE" w:rsidRDefault="00BE08F0" w:rsidP="00DE1B59">
            <w:pPr>
              <w:spacing w:after="100" w:afterAutospacing="1"/>
            </w:pPr>
            <w:r w:rsidRPr="00EC29D9">
              <w:t>S</w:t>
            </w:r>
            <w:r w:rsidR="00DE1B59">
              <w:t>PRK un v</w:t>
            </w:r>
            <w:r w:rsidRPr="00E8584F">
              <w:rPr>
                <w:rFonts w:eastAsia="Calibri"/>
                <w:lang w:eastAsia="en-US"/>
              </w:rPr>
              <w:t>alsts akciju sabiedrība „Elektroniskie sakari”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E08F0" w:rsidRPr="00E030F4" w:rsidTr="00091E6A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r w:rsidRPr="00E030F4">
              <w:t>2.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r w:rsidRPr="00E030F4">
              <w:t>Projekta izpildes ietekme uz pārvaldes funkcijām</w:t>
            </w:r>
            <w:r>
              <w:t xml:space="preserve"> un </w:t>
            </w:r>
            <w:r w:rsidRPr="00E030F4">
              <w:t>institucionālo struktūru</w:t>
            </w:r>
            <w:r>
              <w:t xml:space="preserve">. </w:t>
            </w:r>
          </w:p>
          <w:p w:rsidR="00BE08F0" w:rsidRPr="00E030F4" w:rsidRDefault="00BE08F0" w:rsidP="00046C34">
            <w:r w:rsidRPr="00E030F4">
              <w:t>Jaunu institūciju izveide</w:t>
            </w:r>
            <w:r>
              <w:t>, e</w:t>
            </w:r>
            <w:r w:rsidRPr="00E030F4">
              <w:t>sošu institūciju likvidācija</w:t>
            </w:r>
            <w:r>
              <w:t xml:space="preserve"> vai reorganizācija, to ietekme uz institūcijas cilvēkresursiem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Default="00BE08F0" w:rsidP="00046C34">
            <w:pPr>
              <w:rPr>
                <w:color w:val="000000"/>
              </w:rPr>
            </w:pPr>
          </w:p>
          <w:p w:rsidR="00BE08F0" w:rsidRDefault="00BE08F0" w:rsidP="00046C34">
            <w:pPr>
              <w:rPr>
                <w:color w:val="000000"/>
              </w:rPr>
            </w:pPr>
            <w:r>
              <w:rPr>
                <w:color w:val="000000"/>
              </w:rPr>
              <w:t>Nav ietekmes.</w:t>
            </w:r>
          </w:p>
          <w:p w:rsidR="00BE08F0" w:rsidRPr="002821DE" w:rsidRDefault="00BE08F0" w:rsidP="00046C34">
            <w:r w:rsidRPr="002821DE">
              <w:rPr>
                <w:color w:val="000000"/>
              </w:rPr>
              <w:t>Projekts nemaina iesaistīto institūciju kompetenci</w:t>
            </w:r>
            <w:r w:rsidRPr="002821DE">
              <w:t>.</w:t>
            </w:r>
            <w:r w:rsidRPr="002821DE">
              <w:rPr>
                <w:color w:val="000000"/>
              </w:rPr>
              <w:t xml:space="preserve"> Institūcijas netiek likvidētas</w:t>
            </w:r>
            <w:r>
              <w:rPr>
                <w:color w:val="000000"/>
              </w:rPr>
              <w:t xml:space="preserve"> vai</w:t>
            </w:r>
            <w:r w:rsidRPr="002821DE">
              <w:rPr>
                <w:color w:val="000000"/>
              </w:rPr>
              <w:t xml:space="preserve"> reorganizētas.</w:t>
            </w:r>
          </w:p>
        </w:tc>
      </w:tr>
      <w:tr w:rsidR="00BE08F0" w:rsidRPr="00E030F4" w:rsidTr="00091E6A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>
              <w:t>3</w:t>
            </w:r>
            <w:r w:rsidRPr="00E030F4"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E030F4" w:rsidRDefault="00BE08F0" w:rsidP="00046C34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8F0" w:rsidRPr="002821DE" w:rsidRDefault="00BE08F0" w:rsidP="007F0279">
            <w:pPr>
              <w:spacing w:before="100" w:beforeAutospacing="1" w:after="100" w:afterAutospacing="1"/>
            </w:pPr>
            <w:r w:rsidRPr="002821DE">
              <w:t>Nav</w:t>
            </w:r>
          </w:p>
        </w:tc>
      </w:tr>
    </w:tbl>
    <w:p w:rsidR="00BE08F0" w:rsidRDefault="00BE08F0" w:rsidP="00BE08F0">
      <w:pPr>
        <w:tabs>
          <w:tab w:val="right" w:pos="8306"/>
        </w:tabs>
      </w:pPr>
    </w:p>
    <w:p w:rsidR="00BE08F0" w:rsidRDefault="00BE08F0" w:rsidP="00BE08F0">
      <w:pPr>
        <w:tabs>
          <w:tab w:val="right" w:pos="8306"/>
        </w:tabs>
      </w:pPr>
      <w:r w:rsidRPr="00CE70FA">
        <w:t xml:space="preserve">Anotācijas </w:t>
      </w:r>
      <w:r>
        <w:t>III</w:t>
      </w:r>
      <w:r w:rsidR="007F0279">
        <w:t>.</w:t>
      </w:r>
      <w:r>
        <w:t xml:space="preserve"> </w:t>
      </w:r>
      <w:r w:rsidRPr="00CE70FA">
        <w:t>sadaļa – projekts šīs jomas neskar.</w:t>
      </w:r>
    </w:p>
    <w:p w:rsidR="00BE08F0" w:rsidRPr="00103374" w:rsidRDefault="00BE08F0" w:rsidP="00BE08F0">
      <w:pPr>
        <w:pStyle w:val="naisf"/>
        <w:spacing w:before="0" w:after="0"/>
        <w:ind w:firstLine="0"/>
      </w:pPr>
    </w:p>
    <w:p w:rsidR="00BE08F0" w:rsidRPr="00103374" w:rsidRDefault="00BE08F0" w:rsidP="00BE08F0">
      <w:pPr>
        <w:tabs>
          <w:tab w:val="right" w:pos="8306"/>
        </w:tabs>
        <w:suppressAutoHyphens/>
        <w:jc w:val="both"/>
        <w:rPr>
          <w:lang w:eastAsia="ar-SA"/>
        </w:rPr>
      </w:pPr>
      <w:r w:rsidRPr="00103374">
        <w:rPr>
          <w:lang w:eastAsia="ar-SA"/>
        </w:rPr>
        <w:lastRenderedPageBreak/>
        <w:t xml:space="preserve">Vides aizsardzības </w:t>
      </w:r>
      <w:r>
        <w:rPr>
          <w:lang w:eastAsia="ar-SA"/>
        </w:rPr>
        <w:tab/>
      </w:r>
    </w:p>
    <w:p w:rsidR="00BE08F0" w:rsidRDefault="00BE08F0" w:rsidP="00BE08F0">
      <w:pPr>
        <w:tabs>
          <w:tab w:val="left" w:pos="6804"/>
        </w:tabs>
        <w:suppressAutoHyphens/>
        <w:jc w:val="both"/>
        <w:rPr>
          <w:lang w:eastAsia="ar-SA"/>
        </w:rPr>
      </w:pPr>
      <w:r w:rsidRPr="00103374">
        <w:rPr>
          <w:lang w:eastAsia="ar-SA"/>
        </w:rPr>
        <w:t>un</w:t>
      </w:r>
      <w:r>
        <w:rPr>
          <w:lang w:eastAsia="ar-SA"/>
        </w:rPr>
        <w:t xml:space="preserve"> reģionālās attīstības ministrs</w:t>
      </w:r>
    </w:p>
    <w:p w:rsidR="00BE08F0" w:rsidRPr="00103374" w:rsidRDefault="00BE08F0" w:rsidP="00BE08F0">
      <w:pPr>
        <w:tabs>
          <w:tab w:val="left" w:pos="6804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>K</w:t>
      </w:r>
      <w:r w:rsidRPr="00103374">
        <w:rPr>
          <w:lang w:eastAsia="ar-SA"/>
        </w:rPr>
        <w:t>.</w:t>
      </w:r>
      <w:r>
        <w:rPr>
          <w:lang w:eastAsia="ar-SA"/>
        </w:rPr>
        <w:t>Gerhards</w:t>
      </w:r>
    </w:p>
    <w:p w:rsidR="00BE08F0" w:rsidRPr="00CE70FA" w:rsidRDefault="00BE08F0" w:rsidP="00BE08F0">
      <w:r w:rsidRPr="00CE70FA">
        <w:t>Vīza:</w:t>
      </w:r>
    </w:p>
    <w:p w:rsidR="00BE08F0" w:rsidRPr="00CE70FA" w:rsidRDefault="00BE08F0" w:rsidP="00BE08F0">
      <w:pPr>
        <w:tabs>
          <w:tab w:val="left" w:pos="6804"/>
        </w:tabs>
        <w:jc w:val="both"/>
      </w:pPr>
      <w:r>
        <w:t>valsts sekretārs</w:t>
      </w:r>
      <w:r>
        <w:tab/>
        <w:t>G</w:t>
      </w:r>
      <w:r w:rsidRPr="00CE70FA">
        <w:t>.</w:t>
      </w:r>
      <w:r>
        <w:t>Puķītis</w:t>
      </w:r>
    </w:p>
    <w:p w:rsidR="00BE08F0" w:rsidRDefault="00BE08F0" w:rsidP="00BE08F0">
      <w:pPr>
        <w:tabs>
          <w:tab w:val="left" w:pos="2880"/>
        </w:tabs>
        <w:rPr>
          <w:iCs/>
          <w:sz w:val="20"/>
        </w:rPr>
      </w:pPr>
    </w:p>
    <w:p w:rsidR="00BE08F0" w:rsidRPr="003B20E1" w:rsidRDefault="001C6176" w:rsidP="00BE08F0">
      <w:pPr>
        <w:tabs>
          <w:tab w:val="left" w:pos="2880"/>
        </w:tabs>
        <w:rPr>
          <w:iCs/>
          <w:sz w:val="20"/>
        </w:rPr>
      </w:pPr>
      <w:r>
        <w:rPr>
          <w:iCs/>
          <w:sz w:val="20"/>
        </w:rPr>
        <w:t>2</w:t>
      </w:r>
      <w:r w:rsidR="00CA402E">
        <w:rPr>
          <w:iCs/>
          <w:sz w:val="20"/>
        </w:rPr>
        <w:t>9</w:t>
      </w:r>
      <w:r w:rsidR="00BE08F0" w:rsidRPr="003B20E1">
        <w:rPr>
          <w:iCs/>
          <w:sz w:val="20"/>
        </w:rPr>
        <w:t>.0</w:t>
      </w:r>
      <w:r w:rsidR="00513BE2">
        <w:rPr>
          <w:iCs/>
          <w:sz w:val="20"/>
        </w:rPr>
        <w:t>5</w:t>
      </w:r>
      <w:r w:rsidR="00BE08F0" w:rsidRPr="003B20E1">
        <w:rPr>
          <w:iCs/>
          <w:sz w:val="20"/>
        </w:rPr>
        <w:t>.201</w:t>
      </w:r>
      <w:r w:rsidR="00BE08F0">
        <w:rPr>
          <w:iCs/>
          <w:sz w:val="20"/>
        </w:rPr>
        <w:t>5</w:t>
      </w:r>
      <w:r w:rsidR="00BE08F0" w:rsidRPr="003B20E1">
        <w:rPr>
          <w:iCs/>
          <w:sz w:val="20"/>
        </w:rPr>
        <w:t xml:space="preserve">. </w:t>
      </w:r>
    </w:p>
    <w:p w:rsidR="00BE08F0" w:rsidRDefault="008058D3" w:rsidP="00BE08F0">
      <w:pPr>
        <w:tabs>
          <w:tab w:val="left" w:pos="2880"/>
        </w:tabs>
        <w:rPr>
          <w:iCs/>
          <w:sz w:val="20"/>
        </w:rPr>
      </w:pPr>
      <w:fldSimple w:instr=" NUMWORDS   \* MERGEFORMAT ">
        <w:r w:rsidR="00077062">
          <w:rPr>
            <w:iCs/>
            <w:noProof/>
            <w:sz w:val="20"/>
          </w:rPr>
          <w:t>1951</w:t>
        </w:r>
      </w:fldSimple>
    </w:p>
    <w:p w:rsidR="00BE08F0" w:rsidRPr="00F50093" w:rsidRDefault="00BE08F0" w:rsidP="00BE08F0">
      <w:pPr>
        <w:tabs>
          <w:tab w:val="left" w:pos="3301"/>
        </w:tabs>
        <w:rPr>
          <w:iCs/>
          <w:sz w:val="20"/>
        </w:rPr>
      </w:pPr>
      <w:r>
        <w:rPr>
          <w:iCs/>
          <w:sz w:val="20"/>
        </w:rPr>
        <w:t>A</w:t>
      </w:r>
      <w:r w:rsidRPr="00F50093">
        <w:rPr>
          <w:iCs/>
          <w:sz w:val="20"/>
        </w:rPr>
        <w:t>.</w:t>
      </w:r>
      <w:r>
        <w:rPr>
          <w:iCs/>
          <w:sz w:val="20"/>
        </w:rPr>
        <w:t>Vāvere</w:t>
      </w:r>
      <w:r>
        <w:rPr>
          <w:iCs/>
          <w:sz w:val="20"/>
        </w:rPr>
        <w:tab/>
      </w:r>
    </w:p>
    <w:p w:rsidR="00BE08F0" w:rsidRDefault="00BE08F0" w:rsidP="00BE08F0">
      <w:pPr>
        <w:tabs>
          <w:tab w:val="left" w:pos="2880"/>
        </w:tabs>
        <w:rPr>
          <w:iCs/>
          <w:sz w:val="20"/>
        </w:rPr>
      </w:pPr>
      <w:r w:rsidRPr="00F50093">
        <w:rPr>
          <w:iCs/>
          <w:sz w:val="20"/>
        </w:rPr>
        <w:t>6</w:t>
      </w:r>
      <w:r>
        <w:rPr>
          <w:iCs/>
          <w:sz w:val="20"/>
        </w:rPr>
        <w:t xml:space="preserve">6016536, </w:t>
      </w:r>
      <w:hyperlink r:id="rId6" w:history="1">
        <w:r w:rsidRPr="00BA75D1">
          <w:rPr>
            <w:rStyle w:val="Hyperlink"/>
            <w:iCs/>
            <w:sz w:val="20"/>
          </w:rPr>
          <w:t>aija.vavere@varam.gov.lv</w:t>
        </w:r>
      </w:hyperlink>
    </w:p>
    <w:p w:rsidR="00BE08F0" w:rsidRDefault="00BE08F0">
      <w:bookmarkStart w:id="0" w:name="_GoBack"/>
      <w:bookmarkEnd w:id="0"/>
    </w:p>
    <w:sectPr w:rsidR="00BE08F0" w:rsidSect="00F619B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2F" w:rsidRDefault="001E4D2F" w:rsidP="00F619BF">
      <w:r>
        <w:separator/>
      </w:r>
    </w:p>
  </w:endnote>
  <w:endnote w:type="continuationSeparator" w:id="0">
    <w:p w:rsidR="001E4D2F" w:rsidRDefault="001E4D2F" w:rsidP="00F6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29" w:rsidRPr="00895B43" w:rsidRDefault="008058D3" w:rsidP="00096829">
    <w:pPr>
      <w:pStyle w:val="naisc"/>
      <w:jc w:val="both"/>
      <w:rPr>
        <w:sz w:val="20"/>
        <w:szCs w:val="20"/>
      </w:rPr>
    </w:pPr>
    <w:fldSimple w:instr=" FILENAME   \* MERGEFORMAT ">
      <w:r w:rsidR="00CA402E">
        <w:rPr>
          <w:noProof/>
          <w:sz w:val="20"/>
          <w:szCs w:val="20"/>
        </w:rPr>
        <w:t>VARAManot_290515_NumerPlāns</w:t>
      </w:r>
    </w:fldSimple>
    <w:r w:rsidR="00F619BF" w:rsidRPr="001F7E0A">
      <w:rPr>
        <w:sz w:val="20"/>
        <w:szCs w:val="20"/>
      </w:rPr>
      <w:t xml:space="preserve">; </w:t>
    </w:r>
    <w:r w:rsidR="00096829" w:rsidRPr="001F7E0A">
      <w:rPr>
        <w:sz w:val="20"/>
        <w:szCs w:val="20"/>
      </w:rPr>
      <w:t>Ministru kabineta noteikumu projekt</w:t>
    </w:r>
    <w:r w:rsidR="00096829">
      <w:rPr>
        <w:sz w:val="20"/>
        <w:szCs w:val="20"/>
      </w:rPr>
      <w:t>a</w:t>
    </w:r>
    <w:r w:rsidR="00096829" w:rsidRPr="001F7E0A">
      <w:rPr>
        <w:sz w:val="20"/>
        <w:szCs w:val="20"/>
      </w:rPr>
      <w:t xml:space="preserve"> „</w:t>
    </w:r>
    <w:r w:rsidR="0038272F">
      <w:rPr>
        <w:sz w:val="20"/>
        <w:szCs w:val="20"/>
      </w:rPr>
      <w:t>N</w:t>
    </w:r>
    <w:r w:rsidR="00096829" w:rsidRPr="001F7E0A">
      <w:rPr>
        <w:sz w:val="20"/>
        <w:szCs w:val="20"/>
      </w:rPr>
      <w:t>acionāl</w:t>
    </w:r>
    <w:r w:rsidR="0038272F">
      <w:rPr>
        <w:sz w:val="20"/>
        <w:szCs w:val="20"/>
      </w:rPr>
      <w:t>ais</w:t>
    </w:r>
    <w:r w:rsidR="00096829" w:rsidRPr="001F7E0A">
      <w:rPr>
        <w:sz w:val="20"/>
        <w:szCs w:val="20"/>
      </w:rPr>
      <w:t xml:space="preserve"> numerācijas plān</w:t>
    </w:r>
    <w:r w:rsidR="0038272F">
      <w:rPr>
        <w:sz w:val="20"/>
        <w:szCs w:val="20"/>
      </w:rPr>
      <w:t>s</w:t>
    </w:r>
    <w:r w:rsidR="00096829" w:rsidRPr="001F7E0A">
      <w:rPr>
        <w:sz w:val="20"/>
        <w:szCs w:val="20"/>
      </w:rPr>
      <w:t>”</w:t>
    </w:r>
    <w:r w:rsidR="00096829">
      <w:rPr>
        <w:sz w:val="20"/>
        <w:szCs w:val="20"/>
      </w:rPr>
      <w:t xml:space="preserve"> </w:t>
    </w:r>
    <w:r w:rsidR="00096829" w:rsidRPr="00895B43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096829" w:rsidRPr="00895B43">
        <w:rPr>
          <w:sz w:val="20"/>
          <w:szCs w:val="20"/>
        </w:rPr>
        <w:t>ziņojums</w:t>
      </w:r>
    </w:smartTag>
    <w:r w:rsidR="00096829" w:rsidRPr="00895B43">
      <w:rPr>
        <w:sz w:val="20"/>
        <w:szCs w:val="20"/>
      </w:rPr>
      <w:t xml:space="preserve"> (anotācija)</w:t>
    </w:r>
  </w:p>
  <w:p w:rsidR="00F619BF" w:rsidRDefault="00F619BF" w:rsidP="00096829">
    <w:pPr>
      <w:pStyle w:val="naisc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29" w:rsidRPr="00895B43" w:rsidRDefault="008058D3" w:rsidP="00096829">
    <w:pPr>
      <w:pStyle w:val="naisc"/>
      <w:jc w:val="both"/>
      <w:rPr>
        <w:sz w:val="20"/>
        <w:szCs w:val="20"/>
      </w:rPr>
    </w:pPr>
    <w:fldSimple w:instr=" FILENAME   \* MERGEFORMAT ">
      <w:r w:rsidR="00CA402E">
        <w:rPr>
          <w:noProof/>
          <w:sz w:val="20"/>
          <w:szCs w:val="20"/>
        </w:rPr>
        <w:t>VARAManot_290515_NumerPlāns</w:t>
      </w:r>
    </w:fldSimple>
    <w:r w:rsidR="00096829" w:rsidRPr="001F7E0A">
      <w:rPr>
        <w:sz w:val="20"/>
        <w:szCs w:val="20"/>
      </w:rPr>
      <w:t>;</w:t>
    </w:r>
    <w:r w:rsidR="00096829">
      <w:rPr>
        <w:sz w:val="20"/>
        <w:szCs w:val="20"/>
      </w:rPr>
      <w:t xml:space="preserve"> </w:t>
    </w:r>
    <w:r w:rsidR="00096829" w:rsidRPr="001F7E0A">
      <w:rPr>
        <w:sz w:val="20"/>
        <w:szCs w:val="20"/>
      </w:rPr>
      <w:t>Ministru kabineta noteikumu projekt</w:t>
    </w:r>
    <w:r w:rsidR="00096829">
      <w:rPr>
        <w:sz w:val="20"/>
        <w:szCs w:val="20"/>
      </w:rPr>
      <w:t>a</w:t>
    </w:r>
    <w:r w:rsidR="00096829" w:rsidRPr="001F7E0A">
      <w:rPr>
        <w:sz w:val="20"/>
        <w:szCs w:val="20"/>
      </w:rPr>
      <w:t xml:space="preserve"> „</w:t>
    </w:r>
    <w:r w:rsidR="0038272F">
      <w:rPr>
        <w:sz w:val="20"/>
        <w:szCs w:val="20"/>
      </w:rPr>
      <w:t>N</w:t>
    </w:r>
    <w:r w:rsidR="00096829" w:rsidRPr="001F7E0A">
      <w:rPr>
        <w:sz w:val="20"/>
        <w:szCs w:val="20"/>
      </w:rPr>
      <w:t>acionāl</w:t>
    </w:r>
    <w:r w:rsidR="0038272F">
      <w:rPr>
        <w:sz w:val="20"/>
        <w:szCs w:val="20"/>
      </w:rPr>
      <w:t>ais</w:t>
    </w:r>
    <w:r w:rsidR="00096829" w:rsidRPr="001F7E0A">
      <w:rPr>
        <w:sz w:val="20"/>
        <w:szCs w:val="20"/>
      </w:rPr>
      <w:t xml:space="preserve"> numerācijas plān</w:t>
    </w:r>
    <w:r w:rsidR="0038272F">
      <w:rPr>
        <w:sz w:val="20"/>
        <w:szCs w:val="20"/>
      </w:rPr>
      <w:t>s</w:t>
    </w:r>
    <w:r w:rsidR="00096829" w:rsidRPr="001F7E0A">
      <w:rPr>
        <w:sz w:val="20"/>
        <w:szCs w:val="20"/>
      </w:rPr>
      <w:t>”</w:t>
    </w:r>
    <w:r w:rsidR="00096829">
      <w:rPr>
        <w:sz w:val="20"/>
        <w:szCs w:val="20"/>
      </w:rPr>
      <w:t xml:space="preserve"> </w:t>
    </w:r>
    <w:r w:rsidR="00096829" w:rsidRPr="00895B43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096829" w:rsidRPr="00895B43">
        <w:rPr>
          <w:sz w:val="20"/>
          <w:szCs w:val="20"/>
        </w:rPr>
        <w:t>ziņojums</w:t>
      </w:r>
    </w:smartTag>
    <w:r w:rsidR="00096829" w:rsidRPr="00895B43">
      <w:rPr>
        <w:sz w:val="20"/>
        <w:szCs w:val="20"/>
      </w:rPr>
      <w:t xml:space="preserve"> (anotācija)</w:t>
    </w:r>
  </w:p>
  <w:p w:rsidR="00096829" w:rsidRDefault="00096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2F" w:rsidRDefault="001E4D2F" w:rsidP="00F619BF">
      <w:r>
        <w:separator/>
      </w:r>
    </w:p>
  </w:footnote>
  <w:footnote w:type="continuationSeparator" w:id="0">
    <w:p w:rsidR="001E4D2F" w:rsidRDefault="001E4D2F" w:rsidP="00F6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78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19BF" w:rsidRDefault="008058D3">
        <w:pPr>
          <w:pStyle w:val="Header"/>
          <w:jc w:val="center"/>
        </w:pPr>
        <w:r>
          <w:fldChar w:fldCharType="begin"/>
        </w:r>
        <w:r w:rsidR="00F619BF">
          <w:instrText xml:space="preserve"> PAGE   \* MERGEFORMAT </w:instrText>
        </w:r>
        <w:r>
          <w:fldChar w:fldCharType="separate"/>
        </w:r>
        <w:r w:rsidR="005919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19BF" w:rsidRDefault="00F619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A3"/>
    <w:rsid w:val="00000023"/>
    <w:rsid w:val="00013A70"/>
    <w:rsid w:val="00047030"/>
    <w:rsid w:val="00073985"/>
    <w:rsid w:val="00077062"/>
    <w:rsid w:val="00091E6A"/>
    <w:rsid w:val="00096829"/>
    <w:rsid w:val="000B60C6"/>
    <w:rsid w:val="001143A9"/>
    <w:rsid w:val="001C6176"/>
    <w:rsid w:val="001D0750"/>
    <w:rsid w:val="001E42DD"/>
    <w:rsid w:val="001E4462"/>
    <w:rsid w:val="001E4D2F"/>
    <w:rsid w:val="002143F8"/>
    <w:rsid w:val="002146E9"/>
    <w:rsid w:val="00263DBB"/>
    <w:rsid w:val="0027476B"/>
    <w:rsid w:val="002A3706"/>
    <w:rsid w:val="002A6EE9"/>
    <w:rsid w:val="002D127E"/>
    <w:rsid w:val="00301876"/>
    <w:rsid w:val="0037167C"/>
    <w:rsid w:val="003771F3"/>
    <w:rsid w:val="0038272F"/>
    <w:rsid w:val="003A2ECE"/>
    <w:rsid w:val="003B0F26"/>
    <w:rsid w:val="003F0C4B"/>
    <w:rsid w:val="004111E7"/>
    <w:rsid w:val="00444768"/>
    <w:rsid w:val="00466400"/>
    <w:rsid w:val="004713A3"/>
    <w:rsid w:val="00501B35"/>
    <w:rsid w:val="00506269"/>
    <w:rsid w:val="00513BE2"/>
    <w:rsid w:val="005266B0"/>
    <w:rsid w:val="005919C5"/>
    <w:rsid w:val="0059736D"/>
    <w:rsid w:val="005A50FE"/>
    <w:rsid w:val="005C2BA9"/>
    <w:rsid w:val="0064304A"/>
    <w:rsid w:val="00656724"/>
    <w:rsid w:val="006C56A3"/>
    <w:rsid w:val="00712F87"/>
    <w:rsid w:val="007504CD"/>
    <w:rsid w:val="007739CD"/>
    <w:rsid w:val="00774DB5"/>
    <w:rsid w:val="00780A3E"/>
    <w:rsid w:val="007E6AE8"/>
    <w:rsid w:val="007F0279"/>
    <w:rsid w:val="008058D3"/>
    <w:rsid w:val="00833F64"/>
    <w:rsid w:val="00842DF7"/>
    <w:rsid w:val="00845ECE"/>
    <w:rsid w:val="00861380"/>
    <w:rsid w:val="00866F7B"/>
    <w:rsid w:val="008A03D4"/>
    <w:rsid w:val="008E5BCE"/>
    <w:rsid w:val="008F7D7F"/>
    <w:rsid w:val="00935BC1"/>
    <w:rsid w:val="00986EC3"/>
    <w:rsid w:val="009C0848"/>
    <w:rsid w:val="009F54E0"/>
    <w:rsid w:val="00A42847"/>
    <w:rsid w:val="00A57AD2"/>
    <w:rsid w:val="00AF2755"/>
    <w:rsid w:val="00B409FC"/>
    <w:rsid w:val="00B460F2"/>
    <w:rsid w:val="00BD42BE"/>
    <w:rsid w:val="00BE05AA"/>
    <w:rsid w:val="00BE08F0"/>
    <w:rsid w:val="00BF1C10"/>
    <w:rsid w:val="00C02D3C"/>
    <w:rsid w:val="00C31464"/>
    <w:rsid w:val="00C3534D"/>
    <w:rsid w:val="00C37184"/>
    <w:rsid w:val="00C70EE1"/>
    <w:rsid w:val="00C76D77"/>
    <w:rsid w:val="00C8498C"/>
    <w:rsid w:val="00CA402E"/>
    <w:rsid w:val="00D02ED2"/>
    <w:rsid w:val="00D34CAE"/>
    <w:rsid w:val="00D51D56"/>
    <w:rsid w:val="00D530C0"/>
    <w:rsid w:val="00DB7CC9"/>
    <w:rsid w:val="00DE1B59"/>
    <w:rsid w:val="00DF4CBA"/>
    <w:rsid w:val="00E74C2B"/>
    <w:rsid w:val="00EA703F"/>
    <w:rsid w:val="00F6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E08F0"/>
    <w:pPr>
      <w:spacing w:before="58" w:after="58"/>
      <w:ind w:firstLine="288"/>
      <w:jc w:val="both"/>
    </w:pPr>
  </w:style>
  <w:style w:type="paragraph" w:customStyle="1" w:styleId="naisnod">
    <w:name w:val="naisnod"/>
    <w:basedOn w:val="Normal"/>
    <w:rsid w:val="00BE08F0"/>
    <w:pPr>
      <w:spacing w:before="115" w:after="115"/>
      <w:jc w:val="center"/>
    </w:pPr>
    <w:rPr>
      <w:b/>
      <w:bCs/>
    </w:rPr>
  </w:style>
  <w:style w:type="paragraph" w:customStyle="1" w:styleId="naiskr">
    <w:name w:val="naiskr"/>
    <w:basedOn w:val="Normal"/>
    <w:rsid w:val="00BE08F0"/>
    <w:pPr>
      <w:spacing w:before="58" w:after="58"/>
    </w:pPr>
  </w:style>
  <w:style w:type="paragraph" w:customStyle="1" w:styleId="naisc">
    <w:name w:val="naisc"/>
    <w:basedOn w:val="Normal"/>
    <w:rsid w:val="00BE08F0"/>
    <w:pPr>
      <w:spacing w:before="58" w:after="58"/>
      <w:jc w:val="center"/>
    </w:pPr>
  </w:style>
  <w:style w:type="character" w:styleId="Hyperlink">
    <w:name w:val="Hyperlink"/>
    <w:rsid w:val="00BE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9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B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619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B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D51D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E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ja.vaver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larisat</cp:lastModifiedBy>
  <cp:revision>46</cp:revision>
  <cp:lastPrinted>2015-05-19T09:29:00Z</cp:lastPrinted>
  <dcterms:created xsi:type="dcterms:W3CDTF">2015-05-08T07:25:00Z</dcterms:created>
  <dcterms:modified xsi:type="dcterms:W3CDTF">2015-06-12T07:48:00Z</dcterms:modified>
</cp:coreProperties>
</file>