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260" w:rsidRPr="00F14F63" w:rsidRDefault="00683260" w:rsidP="00683260">
      <w:pPr>
        <w:jc w:val="center"/>
        <w:rPr>
          <w:b/>
          <w:bCs/>
          <w:lang w:val="lv-LV" w:eastAsia="lv-LV"/>
        </w:rPr>
      </w:pPr>
      <w:bookmarkStart w:id="0" w:name="OLE_LINK7"/>
      <w:bookmarkStart w:id="1" w:name="OLE_LINK8"/>
      <w:r w:rsidRPr="00F14F63">
        <w:rPr>
          <w:b/>
          <w:lang w:val="lv-LV" w:eastAsia="lv-LV"/>
        </w:rPr>
        <w:t xml:space="preserve">Ministru kabineta </w:t>
      </w:r>
      <w:r w:rsidR="002153BF" w:rsidRPr="00F14F63">
        <w:rPr>
          <w:b/>
          <w:lang w:val="lv-LV" w:eastAsia="lv-LV"/>
        </w:rPr>
        <w:t>noteikumu</w:t>
      </w:r>
      <w:r w:rsidRPr="00F14F63">
        <w:rPr>
          <w:b/>
          <w:lang w:val="lv-LV" w:eastAsia="lv-LV"/>
        </w:rPr>
        <w:t xml:space="preserve"> projekta </w:t>
      </w:r>
      <w:r w:rsidRPr="00F14F63">
        <w:rPr>
          <w:b/>
          <w:bCs/>
          <w:lang w:val="lv-LV" w:eastAsia="lv-LV"/>
        </w:rPr>
        <w:t>„Grozījum</w:t>
      </w:r>
      <w:r w:rsidR="00F42363" w:rsidRPr="00F14F63">
        <w:rPr>
          <w:b/>
          <w:bCs/>
          <w:lang w:val="lv-LV" w:eastAsia="lv-LV"/>
        </w:rPr>
        <w:t>s</w:t>
      </w:r>
      <w:r w:rsidRPr="00F14F63">
        <w:rPr>
          <w:b/>
          <w:bCs/>
          <w:lang w:val="lv-LV" w:eastAsia="lv-LV"/>
        </w:rPr>
        <w:t xml:space="preserve"> Ministru kabineta </w:t>
      </w:r>
      <w:proofErr w:type="gramStart"/>
      <w:r w:rsidRPr="00F14F63">
        <w:rPr>
          <w:b/>
          <w:bCs/>
          <w:lang w:val="lv-LV" w:eastAsia="lv-LV"/>
        </w:rPr>
        <w:t>201</w:t>
      </w:r>
      <w:r w:rsidR="002153BF" w:rsidRPr="00F14F63">
        <w:rPr>
          <w:b/>
          <w:bCs/>
          <w:lang w:val="lv-LV" w:eastAsia="lv-LV"/>
        </w:rPr>
        <w:t>1</w:t>
      </w:r>
      <w:r w:rsidRPr="00F14F63">
        <w:rPr>
          <w:b/>
          <w:bCs/>
          <w:lang w:val="lv-LV" w:eastAsia="lv-LV"/>
        </w:rPr>
        <w:t>.gada</w:t>
      </w:r>
      <w:proofErr w:type="gramEnd"/>
      <w:r w:rsidRPr="00F14F63">
        <w:rPr>
          <w:b/>
          <w:bCs/>
          <w:lang w:val="lv-LV" w:eastAsia="lv-LV"/>
        </w:rPr>
        <w:t xml:space="preserve"> </w:t>
      </w:r>
      <w:r w:rsidR="002153BF" w:rsidRPr="00F14F63">
        <w:rPr>
          <w:b/>
          <w:bCs/>
          <w:lang w:val="lv-LV" w:eastAsia="lv-LV"/>
        </w:rPr>
        <w:t>1</w:t>
      </w:r>
      <w:r w:rsidRPr="00F14F63">
        <w:rPr>
          <w:b/>
          <w:bCs/>
          <w:lang w:val="lv-LV" w:eastAsia="lv-LV"/>
        </w:rPr>
        <w:t>.</w:t>
      </w:r>
      <w:r w:rsidR="002153BF" w:rsidRPr="00F14F63">
        <w:rPr>
          <w:b/>
          <w:bCs/>
          <w:lang w:val="lv-LV" w:eastAsia="lv-LV"/>
        </w:rPr>
        <w:t>februāra noteikumos</w:t>
      </w:r>
      <w:r w:rsidRPr="00F14F63">
        <w:rPr>
          <w:b/>
          <w:bCs/>
          <w:lang w:val="lv-LV" w:eastAsia="lv-LV"/>
        </w:rPr>
        <w:t xml:space="preserve"> Nr.</w:t>
      </w:r>
      <w:r w:rsidR="002153BF" w:rsidRPr="00F14F63">
        <w:rPr>
          <w:b/>
          <w:bCs/>
          <w:lang w:val="lv-LV" w:eastAsia="lv-LV"/>
        </w:rPr>
        <w:t>106</w:t>
      </w:r>
      <w:r w:rsidRPr="00F14F63">
        <w:rPr>
          <w:b/>
          <w:bCs/>
          <w:lang w:val="lv-LV" w:eastAsia="lv-LV"/>
        </w:rPr>
        <w:t xml:space="preserve"> „</w:t>
      </w:r>
      <w:r w:rsidR="002153BF" w:rsidRPr="00F14F63">
        <w:rPr>
          <w:b/>
          <w:lang w:val="lv-LV" w:eastAsia="lv-LV"/>
        </w:rPr>
        <w:t>Kārtība, kādā piešķir, administrē un uzrauga valsts un Eiropas Savienības atbalstu piena produktu piegādei izglītojamiem vispārējās izglītības iestādēs</w:t>
      </w:r>
      <w:r w:rsidRPr="00F14F63">
        <w:rPr>
          <w:b/>
          <w:bCs/>
          <w:lang w:val="lv-LV" w:eastAsia="lv-LV"/>
        </w:rPr>
        <w:t>”</w:t>
      </w:r>
      <w:r w:rsidR="006F4D57" w:rsidRPr="00F14F63">
        <w:rPr>
          <w:b/>
          <w:bCs/>
          <w:lang w:val="lv-LV" w:eastAsia="lv-LV"/>
        </w:rPr>
        <w:t>”</w:t>
      </w:r>
      <w:r w:rsidRPr="00F14F63">
        <w:rPr>
          <w:b/>
          <w:bCs/>
          <w:lang w:val="lv-LV" w:eastAsia="lv-LV"/>
        </w:rPr>
        <w:t xml:space="preserve"> sākotnējās ietekmes novērtējuma ziņojums (anotācija)</w:t>
      </w:r>
    </w:p>
    <w:p w:rsidR="00683260" w:rsidRPr="00F14F63" w:rsidRDefault="00683260" w:rsidP="00683260">
      <w:pPr>
        <w:widowControl w:val="0"/>
        <w:jc w:val="center"/>
        <w:rPr>
          <w:b/>
          <w:bCs/>
          <w:lang w:val="lv-LV" w:eastAsia="lv-LV"/>
        </w:rPr>
      </w:pPr>
    </w:p>
    <w:tbl>
      <w:tblPr>
        <w:tblW w:w="4913" w:type="pct"/>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578"/>
        <w:gridCol w:w="1811"/>
        <w:gridCol w:w="1806"/>
        <w:gridCol w:w="4708"/>
      </w:tblGrid>
      <w:tr w:rsidR="009A332E" w:rsidRPr="00F14F63" w:rsidTr="00517BC0">
        <w:tc>
          <w:tcPr>
            <w:tcW w:w="5000" w:type="pct"/>
            <w:gridSpan w:val="4"/>
            <w:vAlign w:val="center"/>
          </w:tcPr>
          <w:p w:rsidR="00683260" w:rsidRPr="00F14F63" w:rsidRDefault="00683260" w:rsidP="007C39A4">
            <w:pPr>
              <w:pStyle w:val="naisf"/>
              <w:jc w:val="center"/>
              <w:rPr>
                <w:b/>
                <w:bCs/>
                <w:lang w:val="lv-LV"/>
              </w:rPr>
            </w:pPr>
            <w:r w:rsidRPr="00F14F63">
              <w:rPr>
                <w:b/>
                <w:bCs/>
                <w:lang w:val="lv-LV"/>
              </w:rPr>
              <w:t>I. Tiesību akta projekta izstrādes nepieciešamība</w:t>
            </w:r>
          </w:p>
        </w:tc>
      </w:tr>
      <w:tr w:rsidR="004E6A12" w:rsidRPr="00F14F63" w:rsidTr="00517BC0">
        <w:tc>
          <w:tcPr>
            <w:tcW w:w="325" w:type="pct"/>
          </w:tcPr>
          <w:p w:rsidR="00683260" w:rsidRPr="00F14F63" w:rsidRDefault="00683260" w:rsidP="00736A8F">
            <w:pPr>
              <w:pStyle w:val="naisf"/>
              <w:rPr>
                <w:lang w:val="lv-LV"/>
              </w:rPr>
            </w:pPr>
            <w:r w:rsidRPr="00F14F63">
              <w:rPr>
                <w:lang w:val="lv-LV"/>
              </w:rPr>
              <w:t>1.</w:t>
            </w:r>
          </w:p>
        </w:tc>
        <w:tc>
          <w:tcPr>
            <w:tcW w:w="2031" w:type="pct"/>
            <w:gridSpan w:val="2"/>
          </w:tcPr>
          <w:p w:rsidR="00683260" w:rsidRPr="00F14F63" w:rsidRDefault="00683260" w:rsidP="00736A8F">
            <w:pPr>
              <w:pStyle w:val="naisf"/>
              <w:rPr>
                <w:lang w:val="lv-LV"/>
              </w:rPr>
            </w:pPr>
            <w:r w:rsidRPr="00F14F63">
              <w:rPr>
                <w:lang w:val="lv-LV"/>
              </w:rPr>
              <w:t>Pamatojums</w:t>
            </w:r>
          </w:p>
        </w:tc>
        <w:tc>
          <w:tcPr>
            <w:tcW w:w="2644" w:type="pct"/>
          </w:tcPr>
          <w:p w:rsidR="00683260" w:rsidRPr="00F14F63" w:rsidRDefault="00406F79" w:rsidP="00DD010C">
            <w:pPr>
              <w:pStyle w:val="naisf"/>
              <w:rPr>
                <w:lang w:val="lv-LV"/>
              </w:rPr>
            </w:pPr>
            <w:r w:rsidRPr="00F14F63">
              <w:rPr>
                <w:lang w:val="lv-LV"/>
              </w:rPr>
              <w:t xml:space="preserve">Lauksaimniecības un lauku attīstības likuma </w:t>
            </w:r>
            <w:proofErr w:type="gramStart"/>
            <w:r w:rsidRPr="00F14F63">
              <w:rPr>
                <w:lang w:val="lv-LV"/>
              </w:rPr>
              <w:t>5.panta</w:t>
            </w:r>
            <w:proofErr w:type="gramEnd"/>
            <w:r w:rsidRPr="00F14F63">
              <w:rPr>
                <w:lang w:val="lv-LV"/>
              </w:rPr>
              <w:t xml:space="preserve"> ceturt</w:t>
            </w:r>
            <w:r w:rsidR="00DD010C" w:rsidRPr="00F14F63">
              <w:rPr>
                <w:lang w:val="lv-LV"/>
              </w:rPr>
              <w:t>ā</w:t>
            </w:r>
            <w:r w:rsidRPr="00F14F63">
              <w:rPr>
                <w:lang w:val="lv-LV"/>
              </w:rPr>
              <w:t xml:space="preserve"> un septīt</w:t>
            </w:r>
            <w:r w:rsidR="00DD010C" w:rsidRPr="00F14F63">
              <w:rPr>
                <w:lang w:val="lv-LV"/>
              </w:rPr>
              <w:t>ā</w:t>
            </w:r>
            <w:r w:rsidRPr="00F14F63">
              <w:rPr>
                <w:lang w:val="lv-LV"/>
              </w:rPr>
              <w:t xml:space="preserve"> daļ</w:t>
            </w:r>
            <w:r w:rsidR="00DD010C" w:rsidRPr="00F14F63">
              <w:rPr>
                <w:lang w:val="lv-LV"/>
              </w:rPr>
              <w:t>a</w:t>
            </w:r>
          </w:p>
        </w:tc>
      </w:tr>
      <w:tr w:rsidR="004E6A12" w:rsidRPr="00F14F63" w:rsidTr="00517BC0">
        <w:tc>
          <w:tcPr>
            <w:tcW w:w="325" w:type="pct"/>
          </w:tcPr>
          <w:p w:rsidR="00683260" w:rsidRPr="00F14F63" w:rsidRDefault="00683260" w:rsidP="00736A8F">
            <w:pPr>
              <w:pStyle w:val="naisf"/>
              <w:rPr>
                <w:lang w:val="lv-LV"/>
              </w:rPr>
            </w:pPr>
            <w:r w:rsidRPr="00F14F63">
              <w:rPr>
                <w:lang w:val="lv-LV"/>
              </w:rPr>
              <w:t>2.</w:t>
            </w:r>
          </w:p>
        </w:tc>
        <w:tc>
          <w:tcPr>
            <w:tcW w:w="2031" w:type="pct"/>
            <w:gridSpan w:val="2"/>
          </w:tcPr>
          <w:p w:rsidR="00594ED5" w:rsidRPr="00F14F63" w:rsidRDefault="00683260" w:rsidP="00736A8F">
            <w:pPr>
              <w:pStyle w:val="naisf"/>
              <w:rPr>
                <w:lang w:val="lv-LV"/>
              </w:rPr>
            </w:pPr>
            <w:r w:rsidRPr="00F14F63">
              <w:rPr>
                <w:lang w:val="lv-LV"/>
              </w:rPr>
              <w:t>Pašreizējā situācija un problēmas, kuru risināšanai tiesību akta projekts izstrādāts, tiesiskā regulējuma mērķis un būtība</w:t>
            </w:r>
          </w:p>
          <w:p w:rsidR="00594ED5" w:rsidRPr="00F14F63" w:rsidRDefault="00594ED5" w:rsidP="00594ED5">
            <w:pPr>
              <w:rPr>
                <w:lang w:val="lv-LV"/>
              </w:rPr>
            </w:pPr>
          </w:p>
          <w:p w:rsidR="00594ED5" w:rsidRPr="00F14F63" w:rsidRDefault="00594ED5" w:rsidP="00594ED5">
            <w:pPr>
              <w:rPr>
                <w:lang w:val="lv-LV"/>
              </w:rPr>
            </w:pPr>
          </w:p>
          <w:p w:rsidR="00594ED5" w:rsidRPr="00F14F63" w:rsidRDefault="00594ED5" w:rsidP="00594ED5">
            <w:pPr>
              <w:rPr>
                <w:lang w:val="lv-LV"/>
              </w:rPr>
            </w:pPr>
          </w:p>
          <w:p w:rsidR="00594ED5" w:rsidRPr="00F14F63" w:rsidRDefault="00594ED5" w:rsidP="00594ED5">
            <w:pPr>
              <w:rPr>
                <w:lang w:val="lv-LV"/>
              </w:rPr>
            </w:pPr>
          </w:p>
          <w:p w:rsidR="00594ED5" w:rsidRPr="00F14F63" w:rsidRDefault="00594ED5" w:rsidP="00594ED5">
            <w:pPr>
              <w:rPr>
                <w:lang w:val="lv-LV"/>
              </w:rPr>
            </w:pPr>
          </w:p>
          <w:p w:rsidR="00594ED5" w:rsidRPr="00F14F63" w:rsidRDefault="00594ED5" w:rsidP="00594ED5">
            <w:pPr>
              <w:rPr>
                <w:lang w:val="lv-LV"/>
              </w:rPr>
            </w:pPr>
          </w:p>
          <w:p w:rsidR="00594ED5" w:rsidRPr="00F14F63" w:rsidRDefault="00594ED5" w:rsidP="00594ED5">
            <w:pPr>
              <w:rPr>
                <w:lang w:val="lv-LV"/>
              </w:rPr>
            </w:pPr>
          </w:p>
          <w:p w:rsidR="00594ED5" w:rsidRPr="00F14F63" w:rsidRDefault="00594ED5" w:rsidP="00594ED5">
            <w:pPr>
              <w:rPr>
                <w:lang w:val="lv-LV"/>
              </w:rPr>
            </w:pPr>
          </w:p>
          <w:p w:rsidR="00594ED5" w:rsidRPr="00F14F63" w:rsidRDefault="00594ED5" w:rsidP="00594ED5">
            <w:pPr>
              <w:rPr>
                <w:lang w:val="lv-LV"/>
              </w:rPr>
            </w:pPr>
          </w:p>
          <w:p w:rsidR="00594ED5" w:rsidRPr="00F14F63" w:rsidRDefault="00594ED5" w:rsidP="00594ED5">
            <w:pPr>
              <w:rPr>
                <w:lang w:val="lv-LV"/>
              </w:rPr>
            </w:pPr>
          </w:p>
          <w:p w:rsidR="00594ED5" w:rsidRPr="00F14F63" w:rsidRDefault="00594ED5" w:rsidP="00594ED5">
            <w:pPr>
              <w:rPr>
                <w:lang w:val="lv-LV"/>
              </w:rPr>
            </w:pPr>
          </w:p>
          <w:p w:rsidR="00594ED5" w:rsidRPr="00F14F63" w:rsidRDefault="00594ED5" w:rsidP="00594ED5">
            <w:pPr>
              <w:rPr>
                <w:lang w:val="lv-LV"/>
              </w:rPr>
            </w:pPr>
          </w:p>
          <w:p w:rsidR="00594ED5" w:rsidRPr="00F14F63" w:rsidRDefault="00594ED5" w:rsidP="00594ED5">
            <w:pPr>
              <w:rPr>
                <w:lang w:val="lv-LV"/>
              </w:rPr>
            </w:pPr>
          </w:p>
          <w:p w:rsidR="00683260" w:rsidRPr="00F14F63" w:rsidRDefault="00683260" w:rsidP="00594ED5">
            <w:pPr>
              <w:rPr>
                <w:lang w:val="lv-LV"/>
              </w:rPr>
            </w:pPr>
          </w:p>
        </w:tc>
        <w:tc>
          <w:tcPr>
            <w:tcW w:w="2644" w:type="pct"/>
          </w:tcPr>
          <w:p w:rsidR="001F090F" w:rsidRPr="00F14F63" w:rsidRDefault="001F090F" w:rsidP="004E6A12">
            <w:pPr>
              <w:ind w:left="49" w:right="142"/>
              <w:jc w:val="both"/>
              <w:rPr>
                <w:rFonts w:eastAsia="Arial Unicode MS"/>
                <w:lang w:val="lv-LV"/>
              </w:rPr>
            </w:pPr>
            <w:proofErr w:type="gramStart"/>
            <w:r w:rsidRPr="00F14F63">
              <w:rPr>
                <w:rFonts w:eastAsia="Arial Unicode MS"/>
                <w:lang w:val="lv-LV"/>
              </w:rPr>
              <w:t>2015.gada</w:t>
            </w:r>
            <w:proofErr w:type="gramEnd"/>
            <w:r w:rsidRPr="00F14F63">
              <w:rPr>
                <w:rFonts w:eastAsia="Arial Unicode MS"/>
                <w:lang w:val="lv-LV"/>
              </w:rPr>
              <w:t xml:space="preserve"> 22.janvārī stājās </w:t>
            </w:r>
            <w:r w:rsidR="00F42363" w:rsidRPr="00F14F63">
              <w:rPr>
                <w:rFonts w:eastAsia="Arial Unicode MS"/>
                <w:lang w:val="lv-LV"/>
              </w:rPr>
              <w:t xml:space="preserve">spēkā </w:t>
            </w:r>
            <w:r w:rsidRPr="00F14F63">
              <w:rPr>
                <w:rFonts w:eastAsia="Arial Unicode MS"/>
                <w:lang w:val="lv-LV"/>
              </w:rPr>
              <w:t>Ministru kabineta 2015.gada 13.janvāra noteikumi Nr.19 “Grozījumi Ministru kabineta 2011.gada 1.februāra noteikumos Nr.106 „Kārtība, kādā piešķir, administrē un uzrauga valsts un Eiropas Savienības atbalstu piena produktu piegādei izglītojamiem vispārējās izglītības iestādēs”</w:t>
            </w:r>
            <w:r w:rsidR="009267A0" w:rsidRPr="00F14F63">
              <w:rPr>
                <w:rFonts w:eastAsia="Arial Unicode MS"/>
                <w:lang w:val="lv-LV"/>
              </w:rPr>
              <w:t>”</w:t>
            </w:r>
            <w:r w:rsidR="00F42363" w:rsidRPr="00F14F63">
              <w:rPr>
                <w:rFonts w:eastAsia="Arial Unicode MS"/>
                <w:lang w:val="lv-LV"/>
              </w:rPr>
              <w:t xml:space="preserve">, nosakot </w:t>
            </w:r>
            <w:r w:rsidRPr="00F14F63">
              <w:rPr>
                <w:rFonts w:eastAsia="Arial Unicode MS"/>
                <w:lang w:val="lv-LV"/>
              </w:rPr>
              <w:t xml:space="preserve">papildu prasības attiecībā uz </w:t>
            </w:r>
            <w:r w:rsidR="009267A0" w:rsidRPr="00F14F63">
              <w:rPr>
                <w:rFonts w:eastAsia="Arial Unicode MS"/>
                <w:lang w:val="lv-LV"/>
              </w:rPr>
              <w:t xml:space="preserve">tiem piena produktiem, par kuru piegādi saskaņā ar Skolas piena programmas nosacījumiem var saņemt valsts līdzfinansējumu, lai atbalsta pretendentam tiktu segta piena realizācijas cena un tādējādi pienu konkrētai izglītojamo grupai varētu izsniegt bez maksas. Minētie grozījumi attiecas uz piena </w:t>
            </w:r>
            <w:r w:rsidRPr="00F14F63">
              <w:rPr>
                <w:rFonts w:eastAsia="Arial Unicode MS"/>
                <w:lang w:val="lv-LV"/>
              </w:rPr>
              <w:t xml:space="preserve">maksimālo transportēšanas attālumu un atbilstību pārtikas kvalitātes shēmu </w:t>
            </w:r>
            <w:r w:rsidR="00AC57AB" w:rsidRPr="00F14F63">
              <w:rPr>
                <w:rFonts w:eastAsia="Arial Unicode MS"/>
                <w:lang w:val="lv-LV"/>
              </w:rPr>
              <w:t xml:space="preserve">(t.i., bioloģiskās lauksaimniecības shēmas vai nacionālās pārtikas kvalitātes shēmas) </w:t>
            </w:r>
            <w:r w:rsidRPr="00F14F63">
              <w:rPr>
                <w:rFonts w:eastAsia="Arial Unicode MS"/>
                <w:lang w:val="lv-LV"/>
              </w:rPr>
              <w:t>prasībām</w:t>
            </w:r>
            <w:r w:rsidR="009267A0" w:rsidRPr="00F14F63">
              <w:rPr>
                <w:rFonts w:eastAsia="Arial Unicode MS"/>
                <w:lang w:val="lv-LV"/>
              </w:rPr>
              <w:t>.</w:t>
            </w:r>
            <w:r w:rsidRPr="00F14F63">
              <w:rPr>
                <w:rFonts w:eastAsia="Arial Unicode MS"/>
                <w:lang w:val="lv-LV"/>
              </w:rPr>
              <w:t xml:space="preserve"> </w:t>
            </w:r>
          </w:p>
          <w:p w:rsidR="00606A62" w:rsidRPr="00F14F63" w:rsidRDefault="009267A0" w:rsidP="00606A62">
            <w:pPr>
              <w:ind w:left="49" w:right="142"/>
              <w:jc w:val="both"/>
              <w:rPr>
                <w:rFonts w:eastAsia="Arial Unicode MS"/>
                <w:lang w:val="lv-LV"/>
              </w:rPr>
            </w:pPr>
            <w:r w:rsidRPr="00F14F63">
              <w:rPr>
                <w:rFonts w:eastAsia="Arial Unicode MS"/>
                <w:lang w:val="lv-LV"/>
              </w:rPr>
              <w:t>L</w:t>
            </w:r>
            <w:r w:rsidR="00606A62" w:rsidRPr="00F14F63">
              <w:rPr>
                <w:rFonts w:eastAsia="Arial Unicode MS"/>
                <w:lang w:val="lv-LV"/>
              </w:rPr>
              <w:t>īdzšinējo praks</w:t>
            </w:r>
            <w:r w:rsidRPr="00F14F63">
              <w:rPr>
                <w:rFonts w:eastAsia="Arial Unicode MS"/>
                <w:lang w:val="lv-LV"/>
              </w:rPr>
              <w:t>e</w:t>
            </w:r>
            <w:r w:rsidR="00606A62" w:rsidRPr="00F14F63">
              <w:rPr>
                <w:rFonts w:eastAsia="Arial Unicode MS"/>
                <w:lang w:val="lv-LV"/>
              </w:rPr>
              <w:t xml:space="preserve"> Skolas piena programm</w:t>
            </w:r>
            <w:r w:rsidRPr="00F14F63">
              <w:rPr>
                <w:rFonts w:eastAsia="Arial Unicode MS"/>
                <w:lang w:val="lv-LV"/>
              </w:rPr>
              <w:t>as īstenošanā liecina</w:t>
            </w:r>
            <w:r w:rsidR="00606A62" w:rsidRPr="00F14F63">
              <w:rPr>
                <w:rFonts w:eastAsia="Arial Unicode MS"/>
                <w:lang w:val="lv-LV"/>
              </w:rPr>
              <w:t xml:space="preserve">, </w:t>
            </w:r>
            <w:r w:rsidRPr="00F14F63">
              <w:rPr>
                <w:rFonts w:eastAsia="Arial Unicode MS"/>
                <w:lang w:val="lv-LV"/>
              </w:rPr>
              <w:t>ka pienu</w:t>
            </w:r>
            <w:r w:rsidR="00606A62" w:rsidRPr="00F14F63">
              <w:rPr>
                <w:rFonts w:eastAsia="Arial Unicode MS"/>
                <w:lang w:val="lv-LV"/>
              </w:rPr>
              <w:t xml:space="preserve"> </w:t>
            </w:r>
            <w:r w:rsidR="009A13DF" w:rsidRPr="00F14F63">
              <w:rPr>
                <w:rFonts w:eastAsia="Arial Unicode MS"/>
                <w:lang w:val="lv-LV"/>
              </w:rPr>
              <w:t xml:space="preserve">skolām </w:t>
            </w:r>
            <w:r w:rsidRPr="00F14F63">
              <w:rPr>
                <w:rFonts w:eastAsia="Arial Unicode MS"/>
                <w:lang w:val="lv-LV"/>
              </w:rPr>
              <w:t xml:space="preserve">lielākoties </w:t>
            </w:r>
            <w:r w:rsidR="009A13DF" w:rsidRPr="00F14F63">
              <w:rPr>
                <w:rFonts w:eastAsia="Arial Unicode MS"/>
                <w:lang w:val="lv-LV"/>
              </w:rPr>
              <w:t xml:space="preserve">piegādā tie paši uzņēmumi, kas nodrošina </w:t>
            </w:r>
            <w:r w:rsidR="00606A62" w:rsidRPr="00F14F63">
              <w:rPr>
                <w:rFonts w:eastAsia="Arial Unicode MS"/>
                <w:lang w:val="lv-LV"/>
              </w:rPr>
              <w:t xml:space="preserve">arī </w:t>
            </w:r>
            <w:r w:rsidR="009A13DF" w:rsidRPr="00F14F63">
              <w:rPr>
                <w:rFonts w:eastAsia="Arial Unicode MS"/>
                <w:lang w:val="lv-LV"/>
              </w:rPr>
              <w:t>izglītojamo ikdienas ēdināšanai nepiecie</w:t>
            </w:r>
            <w:r w:rsidR="00606A62" w:rsidRPr="00F14F63">
              <w:rPr>
                <w:rFonts w:eastAsia="Arial Unicode MS"/>
                <w:lang w:val="lv-LV"/>
              </w:rPr>
              <w:t xml:space="preserve">šamos piena produktus. Tas nozīmē, ka šādi piegādes līgumi tiek noslēgti uz visu mācību gadu un pašreizējie piegādes līgumi par piegādi 2014./2015.mācību gadā tika noslēgti, pirms stājās spēkā </w:t>
            </w:r>
            <w:r w:rsidRPr="00F14F63">
              <w:rPr>
                <w:rFonts w:eastAsia="Arial Unicode MS"/>
                <w:lang w:val="lv-LV"/>
              </w:rPr>
              <w:t xml:space="preserve">iepriekšminētās </w:t>
            </w:r>
            <w:r w:rsidR="00606A62" w:rsidRPr="00F14F63">
              <w:rPr>
                <w:rFonts w:eastAsia="Arial Unicode MS"/>
                <w:lang w:val="lv-LV"/>
              </w:rPr>
              <w:t>papildu prasības</w:t>
            </w:r>
            <w:r w:rsidRPr="00F14F63">
              <w:rPr>
                <w:rFonts w:eastAsia="Arial Unicode MS"/>
                <w:lang w:val="lv-LV"/>
              </w:rPr>
              <w:t xml:space="preserve"> par piena piegādi</w:t>
            </w:r>
            <w:r w:rsidR="00606A62" w:rsidRPr="00F14F63">
              <w:rPr>
                <w:rFonts w:eastAsia="Arial Unicode MS"/>
                <w:lang w:val="lv-LV"/>
              </w:rPr>
              <w:t xml:space="preserve">. </w:t>
            </w:r>
          </w:p>
          <w:p w:rsidR="00A84E29" w:rsidRPr="00F14F63" w:rsidRDefault="00606A62" w:rsidP="00A84E29">
            <w:pPr>
              <w:ind w:left="49" w:right="142"/>
              <w:jc w:val="both"/>
              <w:rPr>
                <w:rFonts w:eastAsia="Arial Unicode MS"/>
                <w:lang w:val="lv-LV"/>
              </w:rPr>
            </w:pPr>
            <w:r w:rsidRPr="00F14F63">
              <w:rPr>
                <w:rFonts w:eastAsia="Arial Unicode MS"/>
                <w:lang w:val="lv-LV"/>
              </w:rPr>
              <w:t xml:space="preserve">Tādējādi </w:t>
            </w:r>
            <w:r w:rsidR="009267A0" w:rsidRPr="00F14F63">
              <w:rPr>
                <w:rFonts w:eastAsia="Arial Unicode MS"/>
                <w:lang w:val="lv-LV"/>
              </w:rPr>
              <w:t>ir</w:t>
            </w:r>
            <w:r w:rsidRPr="00F14F63">
              <w:rPr>
                <w:rFonts w:eastAsia="Arial Unicode MS"/>
                <w:lang w:val="lv-LV"/>
              </w:rPr>
              <w:t xml:space="preserve"> izveidojusies situācija, kad noslēgtie līgumi par piena produktu piegādi </w:t>
            </w:r>
            <w:r w:rsidR="00A84E29" w:rsidRPr="00F14F63">
              <w:rPr>
                <w:rFonts w:eastAsia="Arial Unicode MS"/>
                <w:lang w:val="lv-LV"/>
              </w:rPr>
              <w:t>Skolas piena programmā neatbilst nosacījumiem, k</w:t>
            </w:r>
            <w:r w:rsidR="009267A0" w:rsidRPr="00F14F63">
              <w:rPr>
                <w:rFonts w:eastAsia="Arial Unicode MS"/>
                <w:lang w:val="lv-LV"/>
              </w:rPr>
              <w:t>o</w:t>
            </w:r>
            <w:r w:rsidR="00A84E29" w:rsidRPr="00F14F63">
              <w:rPr>
                <w:rFonts w:eastAsia="Arial Unicode MS"/>
                <w:lang w:val="lv-LV"/>
              </w:rPr>
              <w:t xml:space="preserve"> </w:t>
            </w:r>
            <w:r w:rsidR="009267A0" w:rsidRPr="00F14F63">
              <w:rPr>
                <w:rFonts w:eastAsia="Arial Unicode MS"/>
                <w:lang w:val="lv-LV"/>
              </w:rPr>
              <w:t xml:space="preserve">paredz </w:t>
            </w:r>
            <w:r w:rsidR="00A84E29" w:rsidRPr="00F14F63">
              <w:rPr>
                <w:rFonts w:eastAsia="Arial Unicode MS"/>
                <w:lang w:val="lv-LV"/>
              </w:rPr>
              <w:t xml:space="preserve">Ministru kabineta </w:t>
            </w:r>
            <w:proofErr w:type="gramStart"/>
            <w:r w:rsidR="00A84E29" w:rsidRPr="00F14F63">
              <w:rPr>
                <w:rFonts w:eastAsia="Arial Unicode MS"/>
                <w:lang w:val="lv-LV"/>
              </w:rPr>
              <w:t>2011.gada</w:t>
            </w:r>
            <w:proofErr w:type="gramEnd"/>
            <w:r w:rsidR="00A84E29" w:rsidRPr="00F14F63">
              <w:rPr>
                <w:rFonts w:eastAsia="Arial Unicode MS"/>
                <w:lang w:val="lv-LV"/>
              </w:rPr>
              <w:t xml:space="preserve"> 1.februāra noteikumi Nr.106 „Kārtība, kādā piešķir, administrē un uzrauga valsts un Eiropas Savienības atbalstu piena produktu piegādei izglītojamiem vispārējās izglītības iestādēs” (turpmāk – noteikumi Nr.106), jo</w:t>
            </w:r>
            <w:r w:rsidR="009267A0" w:rsidRPr="00F14F63">
              <w:rPr>
                <w:rFonts w:eastAsia="Arial Unicode MS"/>
                <w:lang w:val="lv-LV"/>
              </w:rPr>
              <w:t xml:space="preserve"> saistībā ar</w:t>
            </w:r>
            <w:r w:rsidR="00A84E29" w:rsidRPr="00F14F63">
              <w:rPr>
                <w:rFonts w:eastAsia="Arial Unicode MS"/>
                <w:lang w:val="lv-LV"/>
              </w:rPr>
              <w:t xml:space="preserve"> programm</w:t>
            </w:r>
            <w:r w:rsidR="009267A0" w:rsidRPr="00F14F63">
              <w:rPr>
                <w:rFonts w:eastAsia="Arial Unicode MS"/>
                <w:lang w:val="lv-LV"/>
              </w:rPr>
              <w:t>u</w:t>
            </w:r>
            <w:r w:rsidR="00A84E29" w:rsidRPr="00F14F63">
              <w:rPr>
                <w:rFonts w:eastAsia="Arial Unicode MS"/>
                <w:lang w:val="lv-LV"/>
              </w:rPr>
              <w:t xml:space="preserve"> </w:t>
            </w:r>
            <w:r w:rsidR="00A84E29" w:rsidRPr="00F14F63">
              <w:rPr>
                <w:rFonts w:eastAsia="Arial Unicode MS"/>
                <w:lang w:val="lv-LV"/>
              </w:rPr>
              <w:lastRenderedPageBreak/>
              <w:t>piegādātajam pasterizētajam pienam 2015.gada 22.janvār</w:t>
            </w:r>
            <w:r w:rsidR="009267A0" w:rsidRPr="00F14F63">
              <w:rPr>
                <w:rFonts w:eastAsia="Arial Unicode MS"/>
                <w:lang w:val="lv-LV"/>
              </w:rPr>
              <w:t>ī</w:t>
            </w:r>
            <w:r w:rsidR="00A84E29" w:rsidRPr="00F14F63">
              <w:rPr>
                <w:rFonts w:eastAsia="Arial Unicode MS"/>
                <w:lang w:val="lv-LV"/>
              </w:rPr>
              <w:t xml:space="preserve"> nebija piešķirts sertifikāts par atbilstību pārtikas kvalitātes shēmas prasībām. </w:t>
            </w:r>
          </w:p>
          <w:p w:rsidR="003F6BF2" w:rsidRPr="00F14F63" w:rsidRDefault="00AC57AB" w:rsidP="003F6BF2">
            <w:pPr>
              <w:ind w:left="49" w:right="142"/>
              <w:jc w:val="both"/>
              <w:rPr>
                <w:rFonts w:eastAsia="Arial Unicode MS"/>
                <w:lang w:val="lv-LV"/>
              </w:rPr>
            </w:pPr>
            <w:r w:rsidRPr="00F14F63">
              <w:rPr>
                <w:rFonts w:eastAsia="Arial Unicode MS"/>
                <w:lang w:val="lv-LV"/>
              </w:rPr>
              <w:t>Tas nozīmē, ka par Skolas piena programm</w:t>
            </w:r>
            <w:r w:rsidR="00853200" w:rsidRPr="00F14F63">
              <w:rPr>
                <w:rFonts w:eastAsia="Arial Unicode MS"/>
                <w:lang w:val="lv-LV"/>
              </w:rPr>
              <w:t>ā</w:t>
            </w:r>
            <w:r w:rsidRPr="00F14F63">
              <w:rPr>
                <w:rFonts w:eastAsia="Arial Unicode MS"/>
                <w:lang w:val="lv-LV"/>
              </w:rPr>
              <w:t xml:space="preserve"> piegādāto pienu n</w:t>
            </w:r>
            <w:r w:rsidR="002270A9" w:rsidRPr="00F14F63">
              <w:rPr>
                <w:rFonts w:eastAsia="Arial Unicode MS"/>
                <w:lang w:val="lv-LV"/>
              </w:rPr>
              <w:t>av iespējams saņemt</w:t>
            </w:r>
            <w:r w:rsidRPr="00F14F63">
              <w:rPr>
                <w:rFonts w:eastAsia="Arial Unicode MS"/>
                <w:lang w:val="lv-LV"/>
              </w:rPr>
              <w:t xml:space="preserve"> valsts </w:t>
            </w:r>
            <w:r w:rsidR="000518DD" w:rsidRPr="00F14F63">
              <w:rPr>
                <w:rFonts w:eastAsia="Arial Unicode MS"/>
                <w:lang w:val="lv-LV"/>
              </w:rPr>
              <w:t xml:space="preserve">līdzfinansējumu </w:t>
            </w:r>
            <w:r w:rsidR="002270A9" w:rsidRPr="00F14F63">
              <w:rPr>
                <w:rFonts w:eastAsia="Arial Unicode MS"/>
                <w:lang w:val="lv-LV"/>
              </w:rPr>
              <w:t xml:space="preserve">un </w:t>
            </w:r>
            <w:r w:rsidR="003F6BF2" w:rsidRPr="00F14F63">
              <w:rPr>
                <w:rFonts w:eastAsia="Arial Unicode MS"/>
                <w:lang w:val="lv-LV"/>
              </w:rPr>
              <w:t>līgum</w:t>
            </w:r>
            <w:r w:rsidR="002270A9" w:rsidRPr="00F14F63">
              <w:rPr>
                <w:rFonts w:eastAsia="Arial Unicode MS"/>
                <w:lang w:val="lv-LV"/>
              </w:rPr>
              <w:t>saistību</w:t>
            </w:r>
            <w:r w:rsidR="003F6BF2" w:rsidRPr="00F14F63">
              <w:rPr>
                <w:rFonts w:eastAsia="Arial Unicode MS"/>
                <w:lang w:val="lv-LV"/>
              </w:rPr>
              <w:t xml:space="preserve"> t</w:t>
            </w:r>
            <w:r w:rsidR="002270A9" w:rsidRPr="00F14F63">
              <w:rPr>
                <w:rFonts w:eastAsia="Arial Unicode MS"/>
                <w:lang w:val="lv-LV"/>
              </w:rPr>
              <w:t>urpmākā</w:t>
            </w:r>
            <w:r w:rsidR="003F6BF2" w:rsidRPr="00F14F63">
              <w:rPr>
                <w:rFonts w:eastAsia="Arial Unicode MS"/>
                <w:lang w:val="lv-LV"/>
              </w:rPr>
              <w:t xml:space="preserve"> izpilde (t.i., piena produktu </w:t>
            </w:r>
            <w:proofErr w:type="gramStart"/>
            <w:r w:rsidR="003F6BF2" w:rsidRPr="00F14F63">
              <w:rPr>
                <w:rFonts w:eastAsia="Arial Unicode MS"/>
                <w:lang w:val="lv-LV"/>
              </w:rPr>
              <w:t>piegāde izglītojamiem</w:t>
            </w:r>
            <w:proofErr w:type="gramEnd"/>
            <w:r w:rsidR="003F6BF2" w:rsidRPr="00F14F63">
              <w:rPr>
                <w:rFonts w:eastAsia="Arial Unicode MS"/>
                <w:lang w:val="lv-LV"/>
              </w:rPr>
              <w:t xml:space="preserve"> bez maksas) notik</w:t>
            </w:r>
            <w:r w:rsidR="002270A9" w:rsidRPr="00F14F63">
              <w:rPr>
                <w:rFonts w:eastAsia="Arial Unicode MS"/>
                <w:lang w:val="lv-LV"/>
              </w:rPr>
              <w:t>s</w:t>
            </w:r>
            <w:r w:rsidR="003F6BF2" w:rsidRPr="00F14F63">
              <w:rPr>
                <w:rFonts w:eastAsia="Arial Unicode MS"/>
                <w:lang w:val="lv-LV"/>
              </w:rPr>
              <w:t xml:space="preserve"> uz atbalsta pretendenta vai piena produktu ražošanas uzņēmuma rēķina. Šāda situācija </w:t>
            </w:r>
            <w:r w:rsidR="002270A9" w:rsidRPr="00F14F63">
              <w:rPr>
                <w:rFonts w:eastAsia="Arial Unicode MS"/>
                <w:lang w:val="lv-LV"/>
              </w:rPr>
              <w:t>savukārt rosinās</w:t>
            </w:r>
            <w:r w:rsidR="003F6BF2" w:rsidRPr="00F14F63">
              <w:rPr>
                <w:rFonts w:eastAsia="Arial Unicode MS"/>
                <w:lang w:val="lv-LV"/>
              </w:rPr>
              <w:t xml:space="preserve"> piena produktu ražošanas uzņēmumus pārtraukt dalību Skolas piena programmā, laužot attiecīgos piegādes līgumus ar skolu ēdinātājiem. </w:t>
            </w:r>
            <w:r w:rsidR="002270A9" w:rsidRPr="00F14F63">
              <w:rPr>
                <w:rFonts w:eastAsia="Arial Unicode MS"/>
                <w:lang w:val="lv-LV"/>
              </w:rPr>
              <w:t xml:space="preserve">Pēc tam varētu būt gaidāma gan </w:t>
            </w:r>
            <w:r w:rsidR="003F6BF2" w:rsidRPr="00F14F63">
              <w:rPr>
                <w:rFonts w:eastAsia="Arial Unicode MS"/>
                <w:lang w:val="lv-LV"/>
              </w:rPr>
              <w:t>Skolas piena programmas būtisk</w:t>
            </w:r>
            <w:r w:rsidR="002270A9" w:rsidRPr="00F14F63">
              <w:rPr>
                <w:rFonts w:eastAsia="Arial Unicode MS"/>
                <w:lang w:val="lv-LV"/>
              </w:rPr>
              <w:t>a</w:t>
            </w:r>
            <w:r w:rsidR="003F6BF2" w:rsidRPr="00F14F63">
              <w:rPr>
                <w:rFonts w:eastAsia="Arial Unicode MS"/>
                <w:lang w:val="lv-LV"/>
              </w:rPr>
              <w:t xml:space="preserve"> </w:t>
            </w:r>
            <w:r w:rsidR="002270A9" w:rsidRPr="00F14F63">
              <w:rPr>
                <w:rFonts w:eastAsia="Arial Unicode MS"/>
                <w:lang w:val="lv-LV"/>
              </w:rPr>
              <w:t>ierobežošana, gan</w:t>
            </w:r>
            <w:r w:rsidR="003F6BF2" w:rsidRPr="00F14F63">
              <w:rPr>
                <w:rFonts w:eastAsia="Arial Unicode MS"/>
                <w:lang w:val="lv-LV"/>
              </w:rPr>
              <w:t xml:space="preserve"> iespējamas soda sankcijas ražotājiem par līguma laušanu. </w:t>
            </w:r>
          </w:p>
          <w:p w:rsidR="00D5687F" w:rsidRPr="00F14F63" w:rsidRDefault="00D5687F" w:rsidP="00D5687F">
            <w:pPr>
              <w:ind w:left="49" w:right="142"/>
              <w:jc w:val="both"/>
              <w:rPr>
                <w:rFonts w:eastAsia="Arial Unicode MS"/>
                <w:lang w:val="lv-LV"/>
              </w:rPr>
            </w:pPr>
            <w:r w:rsidRPr="00F14F63">
              <w:rPr>
                <w:rFonts w:eastAsia="Arial Unicode MS"/>
                <w:lang w:val="lv-LV"/>
              </w:rPr>
              <w:t xml:space="preserve">Līdzīga situācija veidojas arī attiecībā uz prasību par maksimālo produkta transportēšanas attālumu </w:t>
            </w:r>
            <w:r w:rsidR="002270A9" w:rsidRPr="00F14F63">
              <w:rPr>
                <w:rFonts w:eastAsia="Arial Unicode MS"/>
                <w:lang w:val="lv-LV"/>
              </w:rPr>
              <w:t>(</w:t>
            </w:r>
            <w:r w:rsidRPr="00F14F63">
              <w:rPr>
                <w:rFonts w:eastAsia="Arial Unicode MS"/>
                <w:lang w:val="lv-LV"/>
              </w:rPr>
              <w:t>250 km</w:t>
            </w:r>
            <w:r w:rsidR="002270A9" w:rsidRPr="00F14F63">
              <w:rPr>
                <w:rFonts w:eastAsia="Arial Unicode MS"/>
                <w:lang w:val="lv-LV"/>
              </w:rPr>
              <w:t>)</w:t>
            </w:r>
            <w:r w:rsidRPr="00F14F63">
              <w:rPr>
                <w:rFonts w:eastAsia="Arial Unicode MS"/>
                <w:lang w:val="lv-LV"/>
              </w:rPr>
              <w:t xml:space="preserve"> no ražošanas uzņēmuma līdz izglītības iestādei, jo arī šī prasība nebija ņemta vērā, slēdzot piegādes līgumus Skolas piena programm</w:t>
            </w:r>
            <w:r w:rsidR="002270A9" w:rsidRPr="00F14F63">
              <w:rPr>
                <w:rFonts w:eastAsia="Arial Unicode MS"/>
                <w:lang w:val="lv-LV"/>
              </w:rPr>
              <w:t>ā</w:t>
            </w:r>
            <w:r w:rsidRPr="00F14F63">
              <w:rPr>
                <w:rFonts w:eastAsia="Arial Unicode MS"/>
                <w:lang w:val="lv-LV"/>
              </w:rPr>
              <w:t xml:space="preserve"> par 2014./2015.mācību gadu.</w:t>
            </w:r>
          </w:p>
          <w:p w:rsidR="00AC57AB" w:rsidRPr="00F14F63" w:rsidRDefault="002270A9" w:rsidP="00D5687F">
            <w:pPr>
              <w:ind w:left="49" w:right="142"/>
              <w:jc w:val="both"/>
              <w:rPr>
                <w:rFonts w:eastAsia="Arial Unicode MS"/>
                <w:lang w:val="lv-LV"/>
              </w:rPr>
            </w:pPr>
            <w:r w:rsidRPr="00F14F63">
              <w:rPr>
                <w:rFonts w:eastAsia="Arial Unicode MS"/>
                <w:lang w:val="lv-LV"/>
              </w:rPr>
              <w:t xml:space="preserve">Minēto iemeslu </w:t>
            </w:r>
            <w:r w:rsidR="003F6BF2" w:rsidRPr="00F14F63">
              <w:rPr>
                <w:rFonts w:eastAsia="Arial Unicode MS"/>
                <w:lang w:val="lv-LV"/>
              </w:rPr>
              <w:t xml:space="preserve">dēļ, kā arī </w:t>
            </w:r>
            <w:r w:rsidR="00AC57AB" w:rsidRPr="00F14F63">
              <w:rPr>
                <w:rFonts w:eastAsia="Arial Unicode MS"/>
                <w:lang w:val="lv-LV"/>
              </w:rPr>
              <w:t>ņemot vēr</w:t>
            </w:r>
            <w:r w:rsidRPr="00F14F63">
              <w:rPr>
                <w:rFonts w:eastAsia="Arial Unicode MS"/>
                <w:lang w:val="lv-LV"/>
              </w:rPr>
              <w:t>ā</w:t>
            </w:r>
            <w:r w:rsidR="00AC57AB" w:rsidRPr="00F14F63">
              <w:rPr>
                <w:rFonts w:eastAsia="Arial Unicode MS"/>
                <w:lang w:val="lv-LV"/>
              </w:rPr>
              <w:t xml:space="preserve"> tiesiskās paļāvības principu, būtu jāļauj spēkā esošos līgumus par piena produktu piegādi Skolas piena programmā izpildīt līdz 2014./2015.mācību gada beigām, neattiecinot uz tiem prasības, kas stājās spēkā š.g. </w:t>
            </w:r>
            <w:proofErr w:type="gramStart"/>
            <w:r w:rsidR="00AC57AB" w:rsidRPr="00F14F63">
              <w:rPr>
                <w:rFonts w:eastAsia="Arial Unicode MS"/>
                <w:lang w:val="lv-LV"/>
              </w:rPr>
              <w:t>22.janvārī</w:t>
            </w:r>
            <w:proofErr w:type="gramEnd"/>
            <w:r w:rsidR="00AC57AB" w:rsidRPr="00F14F63">
              <w:rPr>
                <w:rFonts w:eastAsia="Arial Unicode MS"/>
                <w:lang w:val="lv-LV"/>
              </w:rPr>
              <w:t xml:space="preserve">. </w:t>
            </w:r>
          </w:p>
          <w:p w:rsidR="00AC57AB" w:rsidRPr="00F14F63" w:rsidRDefault="002270A9" w:rsidP="00A84E29">
            <w:pPr>
              <w:ind w:left="49" w:right="142"/>
              <w:jc w:val="both"/>
              <w:rPr>
                <w:rFonts w:eastAsia="Arial Unicode MS"/>
                <w:lang w:val="lv-LV"/>
              </w:rPr>
            </w:pPr>
            <w:r w:rsidRPr="00F14F63">
              <w:rPr>
                <w:rFonts w:eastAsia="Arial Unicode MS"/>
                <w:lang w:val="lv-LV"/>
              </w:rPr>
              <w:t>Turklāt, lai iegūtu</w:t>
            </w:r>
            <w:r w:rsidR="00AC57AB" w:rsidRPr="00F14F63">
              <w:rPr>
                <w:rFonts w:eastAsia="Arial Unicode MS"/>
                <w:lang w:val="lv-LV"/>
              </w:rPr>
              <w:t xml:space="preserve"> sertifikāt</w:t>
            </w:r>
            <w:r w:rsidRPr="00F14F63">
              <w:rPr>
                <w:rFonts w:eastAsia="Arial Unicode MS"/>
                <w:lang w:val="lv-LV"/>
              </w:rPr>
              <w:t>u</w:t>
            </w:r>
            <w:r w:rsidR="00AC57AB" w:rsidRPr="00F14F63">
              <w:rPr>
                <w:rFonts w:eastAsia="Arial Unicode MS"/>
                <w:lang w:val="lv-LV"/>
              </w:rPr>
              <w:t xml:space="preserve"> par atbilstību pārtikas kvalitātes shēmas prasībām</w:t>
            </w:r>
            <w:r w:rsidRPr="00F14F63">
              <w:rPr>
                <w:rFonts w:eastAsia="Arial Unicode MS"/>
                <w:lang w:val="lv-LV"/>
              </w:rPr>
              <w:t>,</w:t>
            </w:r>
            <w:r w:rsidR="00AC57AB" w:rsidRPr="00F14F63">
              <w:rPr>
                <w:rFonts w:eastAsia="Arial Unicode MS"/>
                <w:lang w:val="lv-LV"/>
              </w:rPr>
              <w:t xml:space="preserve"> </w:t>
            </w:r>
            <w:r w:rsidRPr="00F14F63">
              <w:rPr>
                <w:rFonts w:eastAsia="Arial Unicode MS"/>
                <w:lang w:val="lv-LV"/>
              </w:rPr>
              <w:t>nepieciešams noteikts</w:t>
            </w:r>
            <w:r w:rsidR="00AC57AB" w:rsidRPr="00F14F63">
              <w:rPr>
                <w:rFonts w:eastAsia="Arial Unicode MS"/>
                <w:lang w:val="lv-LV"/>
              </w:rPr>
              <w:t xml:space="preserve"> laik</w:t>
            </w:r>
            <w:r w:rsidRPr="00F14F63">
              <w:rPr>
                <w:rFonts w:eastAsia="Arial Unicode MS"/>
                <w:lang w:val="lv-LV"/>
              </w:rPr>
              <w:t>s</w:t>
            </w:r>
            <w:r w:rsidR="00AC57AB" w:rsidRPr="00F14F63">
              <w:rPr>
                <w:rFonts w:eastAsia="Arial Unicode MS"/>
                <w:lang w:val="lv-LV"/>
              </w:rPr>
              <w:t xml:space="preserve">, </w:t>
            </w:r>
            <w:r w:rsidRPr="00F14F63">
              <w:rPr>
                <w:rFonts w:eastAsia="Arial Unicode MS"/>
                <w:lang w:val="lv-LV"/>
              </w:rPr>
              <w:t>tāpēc ir likumsakarīgi</w:t>
            </w:r>
            <w:r w:rsidR="00AC57AB" w:rsidRPr="00F14F63">
              <w:rPr>
                <w:rFonts w:eastAsia="Arial Unicode MS"/>
                <w:lang w:val="lv-LV"/>
              </w:rPr>
              <w:t xml:space="preserve"> </w:t>
            </w:r>
            <w:r w:rsidRPr="00F14F63">
              <w:rPr>
                <w:rFonts w:eastAsia="Arial Unicode MS"/>
                <w:lang w:val="lv-LV"/>
              </w:rPr>
              <w:t xml:space="preserve">noteikt </w:t>
            </w:r>
            <w:r w:rsidR="00AC57AB" w:rsidRPr="00F14F63">
              <w:rPr>
                <w:rFonts w:eastAsia="Arial Unicode MS"/>
                <w:lang w:val="lv-LV"/>
              </w:rPr>
              <w:t>pārejas period</w:t>
            </w:r>
            <w:r w:rsidRPr="00F14F63">
              <w:rPr>
                <w:rFonts w:eastAsia="Arial Unicode MS"/>
                <w:lang w:val="lv-LV"/>
              </w:rPr>
              <w:t>u</w:t>
            </w:r>
            <w:r w:rsidR="00AC57AB" w:rsidRPr="00F14F63">
              <w:rPr>
                <w:rFonts w:eastAsia="Arial Unicode MS"/>
                <w:lang w:val="lv-LV"/>
              </w:rPr>
              <w:t xml:space="preserve">. </w:t>
            </w:r>
          </w:p>
          <w:p w:rsidR="00D5687F" w:rsidRPr="00F14F63" w:rsidRDefault="003F6BF2" w:rsidP="004E6A12">
            <w:pPr>
              <w:ind w:left="49" w:right="142"/>
              <w:jc w:val="both"/>
              <w:rPr>
                <w:rFonts w:eastAsia="Arial Unicode MS"/>
                <w:lang w:val="lv-LV"/>
              </w:rPr>
            </w:pPr>
            <w:r w:rsidRPr="00F14F63">
              <w:rPr>
                <w:rFonts w:eastAsia="Arial Unicode MS"/>
                <w:lang w:val="lv-LV"/>
              </w:rPr>
              <w:t>Tādēļ t</w:t>
            </w:r>
            <w:r w:rsidR="00497DA6" w:rsidRPr="00F14F63">
              <w:rPr>
                <w:rFonts w:eastAsia="Arial Unicode MS"/>
                <w:lang w:val="lv-LV"/>
              </w:rPr>
              <w:t xml:space="preserve">iesiskā regulējuma mērķis ir noteikt </w:t>
            </w:r>
            <w:r w:rsidR="001D7C8E" w:rsidRPr="00F14F63">
              <w:rPr>
                <w:rFonts w:eastAsia="Arial Unicode MS"/>
                <w:lang w:val="lv-LV"/>
              </w:rPr>
              <w:t>pārejas periodu, kur</w:t>
            </w:r>
            <w:r w:rsidR="00D53136" w:rsidRPr="00F14F63">
              <w:rPr>
                <w:rFonts w:eastAsia="Arial Unicode MS"/>
                <w:lang w:val="lv-LV"/>
              </w:rPr>
              <w:t>ā</w:t>
            </w:r>
            <w:r w:rsidR="001D7C8E" w:rsidRPr="00F14F63">
              <w:rPr>
                <w:rFonts w:eastAsia="Arial Unicode MS"/>
                <w:lang w:val="lv-LV"/>
              </w:rPr>
              <w:t xml:space="preserve"> </w:t>
            </w:r>
            <w:r w:rsidRPr="00F14F63">
              <w:rPr>
                <w:rFonts w:eastAsia="Arial Unicode MS"/>
                <w:lang w:val="lv-LV"/>
              </w:rPr>
              <w:t>Skolas piena programmā piegādātiem piena produktiem</w:t>
            </w:r>
            <w:r w:rsidR="00D5687F" w:rsidRPr="00F14F63">
              <w:rPr>
                <w:rFonts w:eastAsia="Arial Unicode MS"/>
                <w:lang w:val="lv-LV"/>
              </w:rPr>
              <w:t xml:space="preserve"> netiek piemērot</w:t>
            </w:r>
            <w:r w:rsidR="002270A9" w:rsidRPr="00F14F63">
              <w:rPr>
                <w:rFonts w:eastAsia="Arial Unicode MS"/>
                <w:lang w:val="lv-LV"/>
              </w:rPr>
              <w:t>s</w:t>
            </w:r>
            <w:r w:rsidR="00D5687F" w:rsidRPr="00F14F63">
              <w:rPr>
                <w:rFonts w:eastAsia="Arial Unicode MS"/>
                <w:lang w:val="lv-LV"/>
              </w:rPr>
              <w:t xml:space="preserve"> </w:t>
            </w:r>
            <w:r w:rsidR="002270A9" w:rsidRPr="00F14F63">
              <w:rPr>
                <w:rFonts w:eastAsia="Arial Unicode MS"/>
                <w:lang w:val="lv-LV"/>
              </w:rPr>
              <w:t>nosacījums</w:t>
            </w:r>
            <w:r w:rsidR="00D5687F" w:rsidRPr="00F14F63">
              <w:rPr>
                <w:rFonts w:eastAsia="Arial Unicode MS"/>
                <w:lang w:val="lv-LV"/>
              </w:rPr>
              <w:t xml:space="preserve"> par maksimālo transportēšanas attālumu un atbilstību pārtikas kvalitātes shēmas prasībām. </w:t>
            </w:r>
          </w:p>
          <w:p w:rsidR="00C7304B" w:rsidRPr="00F14F63" w:rsidRDefault="00016F1C" w:rsidP="00ED57E5">
            <w:pPr>
              <w:pStyle w:val="naisf"/>
              <w:spacing w:before="0" w:beforeAutospacing="0" w:after="0" w:afterAutospacing="0"/>
              <w:rPr>
                <w:lang w:val="lv-LV"/>
              </w:rPr>
            </w:pPr>
            <w:r w:rsidRPr="00F14F63">
              <w:rPr>
                <w:lang w:val="lv-LV"/>
              </w:rPr>
              <w:t xml:space="preserve"> </w:t>
            </w:r>
            <w:r w:rsidR="00EA2C5D" w:rsidRPr="00F14F63">
              <w:rPr>
                <w:lang w:val="lv-LV" w:eastAsia="lv-LV"/>
              </w:rPr>
              <w:t xml:space="preserve">  </w:t>
            </w:r>
          </w:p>
        </w:tc>
      </w:tr>
      <w:tr w:rsidR="004E6A12" w:rsidRPr="00F14F63" w:rsidTr="00517BC0">
        <w:tc>
          <w:tcPr>
            <w:tcW w:w="325" w:type="pct"/>
          </w:tcPr>
          <w:p w:rsidR="00683260" w:rsidRPr="00F14F63" w:rsidRDefault="00683260" w:rsidP="00736A8F">
            <w:pPr>
              <w:pStyle w:val="naisf"/>
              <w:rPr>
                <w:lang w:val="lv-LV"/>
              </w:rPr>
            </w:pPr>
            <w:r w:rsidRPr="00F14F63">
              <w:rPr>
                <w:lang w:val="lv-LV"/>
              </w:rPr>
              <w:lastRenderedPageBreak/>
              <w:t>3.</w:t>
            </w:r>
          </w:p>
        </w:tc>
        <w:tc>
          <w:tcPr>
            <w:tcW w:w="2031" w:type="pct"/>
            <w:gridSpan w:val="2"/>
          </w:tcPr>
          <w:p w:rsidR="00683260" w:rsidRPr="00F14F63" w:rsidRDefault="00683260" w:rsidP="00736A8F">
            <w:pPr>
              <w:pStyle w:val="naisf"/>
              <w:rPr>
                <w:lang w:val="lv-LV"/>
              </w:rPr>
            </w:pPr>
            <w:r w:rsidRPr="00F14F63">
              <w:rPr>
                <w:lang w:val="lv-LV"/>
              </w:rPr>
              <w:t>Projekta izstrādē iesaistītās institūcijas</w:t>
            </w:r>
          </w:p>
        </w:tc>
        <w:tc>
          <w:tcPr>
            <w:tcW w:w="2644" w:type="pct"/>
          </w:tcPr>
          <w:p w:rsidR="00683260" w:rsidRPr="00F14F63" w:rsidRDefault="00406F79" w:rsidP="004E6A12">
            <w:pPr>
              <w:pStyle w:val="naisf"/>
              <w:rPr>
                <w:lang w:val="lv-LV"/>
              </w:rPr>
            </w:pPr>
            <w:r w:rsidRPr="00F14F63">
              <w:rPr>
                <w:lang w:val="lv-LV"/>
              </w:rPr>
              <w:t>Lauku atbalsta dienests (</w:t>
            </w:r>
            <w:r w:rsidR="00533138" w:rsidRPr="00F14F63">
              <w:rPr>
                <w:lang w:val="lv-LV"/>
              </w:rPr>
              <w:t xml:space="preserve">turpmāk – </w:t>
            </w:r>
            <w:r w:rsidRPr="00F14F63">
              <w:rPr>
                <w:lang w:val="lv-LV"/>
              </w:rPr>
              <w:t>LAD)</w:t>
            </w:r>
            <w:r w:rsidR="00533138" w:rsidRPr="00F14F63">
              <w:rPr>
                <w:lang w:val="lv-LV"/>
              </w:rPr>
              <w:t xml:space="preserve"> un</w:t>
            </w:r>
            <w:r w:rsidR="009A332E" w:rsidRPr="00F14F63">
              <w:rPr>
                <w:lang w:val="lv-LV"/>
              </w:rPr>
              <w:t xml:space="preserve"> </w:t>
            </w:r>
            <w:r w:rsidR="00ED57E5" w:rsidRPr="00F14F63">
              <w:rPr>
                <w:lang w:val="lv-LV"/>
              </w:rPr>
              <w:t>Pārtikas un veterinārais dienests (</w:t>
            </w:r>
            <w:r w:rsidR="00533138" w:rsidRPr="00F14F63">
              <w:rPr>
                <w:lang w:val="lv-LV"/>
              </w:rPr>
              <w:t xml:space="preserve">turpmāk – </w:t>
            </w:r>
            <w:r w:rsidR="009A332E" w:rsidRPr="00F14F63">
              <w:rPr>
                <w:lang w:val="lv-LV"/>
              </w:rPr>
              <w:t>PVD</w:t>
            </w:r>
            <w:r w:rsidR="00ED57E5" w:rsidRPr="00F14F63">
              <w:rPr>
                <w:lang w:val="lv-LV"/>
              </w:rPr>
              <w:t>)</w:t>
            </w:r>
            <w:r w:rsidR="000D58FB" w:rsidRPr="00F14F63">
              <w:rPr>
                <w:lang w:val="lv-LV"/>
              </w:rPr>
              <w:t>.</w:t>
            </w:r>
          </w:p>
        </w:tc>
      </w:tr>
      <w:tr w:rsidR="004E6A12" w:rsidRPr="00F14F63" w:rsidTr="00517BC0">
        <w:tc>
          <w:tcPr>
            <w:tcW w:w="325" w:type="pct"/>
          </w:tcPr>
          <w:p w:rsidR="00683260" w:rsidRPr="00F14F63" w:rsidRDefault="00683260" w:rsidP="00736A8F">
            <w:pPr>
              <w:pStyle w:val="naisf"/>
              <w:rPr>
                <w:lang w:val="lv-LV"/>
              </w:rPr>
            </w:pPr>
            <w:r w:rsidRPr="00F14F63">
              <w:rPr>
                <w:lang w:val="lv-LV"/>
              </w:rPr>
              <w:t>4.</w:t>
            </w:r>
          </w:p>
        </w:tc>
        <w:tc>
          <w:tcPr>
            <w:tcW w:w="2031" w:type="pct"/>
            <w:gridSpan w:val="2"/>
          </w:tcPr>
          <w:p w:rsidR="00683260" w:rsidRPr="00F14F63" w:rsidRDefault="00683260" w:rsidP="00736A8F">
            <w:pPr>
              <w:pStyle w:val="naisf"/>
              <w:rPr>
                <w:lang w:val="lv-LV"/>
              </w:rPr>
            </w:pPr>
            <w:r w:rsidRPr="00F14F63">
              <w:rPr>
                <w:lang w:val="lv-LV"/>
              </w:rPr>
              <w:t>Cita informācija</w:t>
            </w:r>
          </w:p>
        </w:tc>
        <w:tc>
          <w:tcPr>
            <w:tcW w:w="2644" w:type="pct"/>
          </w:tcPr>
          <w:p w:rsidR="00683260" w:rsidRPr="00F14F63" w:rsidRDefault="006C3DF7" w:rsidP="00736A8F">
            <w:pPr>
              <w:pStyle w:val="naisf"/>
              <w:rPr>
                <w:lang w:val="lv-LV"/>
              </w:rPr>
            </w:pPr>
            <w:r w:rsidRPr="00F14F63">
              <w:rPr>
                <w:lang w:val="lv-LV"/>
              </w:rPr>
              <w:t>Nav</w:t>
            </w:r>
          </w:p>
        </w:tc>
      </w:tr>
      <w:tr w:rsidR="009A332E" w:rsidRPr="00F14F63" w:rsidTr="00517BC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5000" w:type="pct"/>
            <w:gridSpan w:val="4"/>
            <w:tcBorders>
              <w:top w:val="outset" w:sz="6" w:space="0" w:color="auto"/>
              <w:left w:val="outset" w:sz="6" w:space="0" w:color="auto"/>
              <w:bottom w:val="outset" w:sz="6" w:space="0" w:color="auto"/>
              <w:right w:val="outset" w:sz="6" w:space="0" w:color="auto"/>
            </w:tcBorders>
          </w:tcPr>
          <w:p w:rsidR="00683260" w:rsidRPr="00F14F63" w:rsidRDefault="00683260" w:rsidP="00736A8F">
            <w:pPr>
              <w:pStyle w:val="naisf"/>
              <w:rPr>
                <w:b/>
                <w:lang w:val="lv-LV"/>
              </w:rPr>
            </w:pPr>
            <w:r w:rsidRPr="00F14F63">
              <w:rPr>
                <w:b/>
                <w:lang w:val="lv-LV"/>
              </w:rPr>
              <w:t>II. Tiesību akta projekta ietekme uz sabiedrību,</w:t>
            </w:r>
            <w:r w:rsidRPr="00F14F63">
              <w:rPr>
                <w:b/>
                <w:bCs/>
                <w:lang w:val="lv-LV"/>
              </w:rPr>
              <w:t xml:space="preserve"> tautsaimniecības attīstību un administratīvo slogu</w:t>
            </w:r>
          </w:p>
        </w:tc>
      </w:tr>
      <w:tr w:rsidR="009A332E" w:rsidRPr="00F14F63" w:rsidTr="00517BC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325" w:type="pct"/>
            <w:tcBorders>
              <w:top w:val="outset" w:sz="6" w:space="0" w:color="auto"/>
              <w:left w:val="outset" w:sz="6" w:space="0" w:color="auto"/>
              <w:right w:val="outset" w:sz="6" w:space="0" w:color="auto"/>
            </w:tcBorders>
          </w:tcPr>
          <w:p w:rsidR="00683260" w:rsidRPr="00F14F63" w:rsidRDefault="00683260" w:rsidP="00736A8F">
            <w:pPr>
              <w:pStyle w:val="naisf"/>
              <w:rPr>
                <w:lang w:val="lv-LV"/>
              </w:rPr>
            </w:pPr>
            <w:r w:rsidRPr="00F14F63">
              <w:rPr>
                <w:lang w:val="lv-LV"/>
              </w:rPr>
              <w:lastRenderedPageBreak/>
              <w:t>1.</w:t>
            </w:r>
          </w:p>
        </w:tc>
        <w:tc>
          <w:tcPr>
            <w:tcW w:w="1017" w:type="pct"/>
            <w:tcBorders>
              <w:top w:val="outset" w:sz="6" w:space="0" w:color="auto"/>
              <w:left w:val="outset" w:sz="6" w:space="0" w:color="auto"/>
              <w:right w:val="outset" w:sz="6" w:space="0" w:color="auto"/>
            </w:tcBorders>
          </w:tcPr>
          <w:p w:rsidR="00683260" w:rsidRPr="00F14F63" w:rsidRDefault="00683260" w:rsidP="00736A8F">
            <w:pPr>
              <w:pStyle w:val="naisf"/>
              <w:rPr>
                <w:lang w:val="lv-LV"/>
              </w:rPr>
            </w:pPr>
            <w:r w:rsidRPr="00F14F63">
              <w:rPr>
                <w:lang w:val="lv-LV"/>
              </w:rPr>
              <w:t>Sabiedrības mērķ</w:t>
            </w:r>
            <w:r w:rsidR="000D58FB" w:rsidRPr="00F14F63">
              <w:rPr>
                <w:lang w:val="lv-LV"/>
              </w:rPr>
              <w:t xml:space="preserve">a </w:t>
            </w:r>
            <w:r w:rsidRPr="00F14F63">
              <w:rPr>
                <w:lang w:val="lv-LV"/>
              </w:rPr>
              <w:t>grupas, kuras tiesiskais regulējums ietekmē vai varētu ietekmēt</w:t>
            </w:r>
          </w:p>
        </w:tc>
        <w:tc>
          <w:tcPr>
            <w:tcW w:w="3658" w:type="pct"/>
            <w:gridSpan w:val="2"/>
            <w:tcBorders>
              <w:top w:val="outset" w:sz="6" w:space="0" w:color="auto"/>
              <w:left w:val="outset" w:sz="6" w:space="0" w:color="auto"/>
              <w:right w:val="outset" w:sz="6" w:space="0" w:color="auto"/>
            </w:tcBorders>
          </w:tcPr>
          <w:p w:rsidR="00EB36FD" w:rsidRPr="00F14F63" w:rsidRDefault="00EB36FD" w:rsidP="00EB36FD">
            <w:pPr>
              <w:pStyle w:val="naiskr"/>
              <w:spacing w:before="0" w:after="0"/>
              <w:ind w:hanging="57"/>
              <w:jc w:val="both"/>
              <w:rPr>
                <w:iCs/>
              </w:rPr>
            </w:pPr>
            <w:r w:rsidRPr="00F14F63">
              <w:rPr>
                <w:iCs/>
              </w:rPr>
              <w:t>Projekta tiesiskais regulējums skar šādas mērķa grupas:</w:t>
            </w:r>
          </w:p>
          <w:p w:rsidR="00EB36FD" w:rsidRPr="00F14F63" w:rsidRDefault="00EB36FD" w:rsidP="00EB36FD">
            <w:pPr>
              <w:pStyle w:val="naiskr"/>
              <w:spacing w:before="0" w:after="0"/>
              <w:ind w:left="3"/>
              <w:jc w:val="both"/>
              <w:rPr>
                <w:iCs/>
              </w:rPr>
            </w:pPr>
            <w:r w:rsidRPr="00F14F63">
              <w:rPr>
                <w:b/>
                <w:iCs/>
              </w:rPr>
              <w:t>1) piena produktu ražotājus –</w:t>
            </w:r>
            <w:r w:rsidRPr="00F14F63">
              <w:rPr>
                <w:iCs/>
              </w:rPr>
              <w:t xml:space="preserve"> atbalsta pretendenti, kas piegādā piena produktus izglītības iestādēm;</w:t>
            </w:r>
          </w:p>
          <w:p w:rsidR="00EB36FD" w:rsidRPr="00F14F63" w:rsidRDefault="00EB36FD" w:rsidP="00EB36FD">
            <w:pPr>
              <w:pStyle w:val="naiskr"/>
              <w:spacing w:before="0" w:after="0"/>
              <w:ind w:left="3"/>
              <w:jc w:val="both"/>
              <w:rPr>
                <w:iCs/>
              </w:rPr>
            </w:pPr>
            <w:r w:rsidRPr="00F14F63">
              <w:rPr>
                <w:b/>
                <w:iCs/>
              </w:rPr>
              <w:t>2) pašvaldības –</w:t>
            </w:r>
            <w:r w:rsidRPr="00F14F63">
              <w:rPr>
                <w:iCs/>
              </w:rPr>
              <w:t xml:space="preserve"> atbalsta pretendenti, kas organizē piena produktu piegādi savā pārziņā esošām izglītības iestādēm;</w:t>
            </w:r>
          </w:p>
          <w:p w:rsidR="00EB36FD" w:rsidRPr="00F14F63" w:rsidRDefault="00EB36FD" w:rsidP="00EB36FD">
            <w:pPr>
              <w:pStyle w:val="naiskr"/>
              <w:spacing w:before="0" w:after="0"/>
              <w:ind w:left="3"/>
              <w:jc w:val="both"/>
              <w:rPr>
                <w:b/>
                <w:iCs/>
              </w:rPr>
            </w:pPr>
            <w:r w:rsidRPr="00F14F63">
              <w:rPr>
                <w:b/>
                <w:iCs/>
              </w:rPr>
              <w:t>3)</w:t>
            </w:r>
            <w:r w:rsidRPr="00F14F63">
              <w:rPr>
                <w:iCs/>
              </w:rPr>
              <w:t xml:space="preserve"> </w:t>
            </w:r>
            <w:r w:rsidRPr="00F14F63">
              <w:rPr>
                <w:b/>
                <w:iCs/>
              </w:rPr>
              <w:t>Latvijas vispārējās izglītības iestādes (arī pirmsskolas) –</w:t>
            </w:r>
            <w:r w:rsidRPr="00F14F63">
              <w:rPr>
                <w:iCs/>
              </w:rPr>
              <w:t xml:space="preserve"> atbalsta pretendenti un atbalsta produktu realizācijas vietas</w:t>
            </w:r>
            <w:r w:rsidRPr="00F14F63">
              <w:rPr>
                <w:b/>
                <w:iCs/>
              </w:rPr>
              <w:t>;</w:t>
            </w:r>
          </w:p>
          <w:p w:rsidR="00EB36FD" w:rsidRPr="00F14F63" w:rsidRDefault="00EB36FD" w:rsidP="00EB36FD">
            <w:pPr>
              <w:pStyle w:val="naiskr"/>
              <w:spacing w:before="0" w:after="0"/>
              <w:ind w:left="3"/>
              <w:jc w:val="both"/>
              <w:rPr>
                <w:iCs/>
              </w:rPr>
            </w:pPr>
            <w:r w:rsidRPr="00F14F63">
              <w:rPr>
                <w:b/>
                <w:iCs/>
              </w:rPr>
              <w:t>4) Latvijas pirmskolas un vispārējās izglītības iestāžu 1.–</w:t>
            </w:r>
            <w:proofErr w:type="gramStart"/>
            <w:r w:rsidRPr="00F14F63">
              <w:rPr>
                <w:b/>
                <w:iCs/>
              </w:rPr>
              <w:t>9.klases</w:t>
            </w:r>
            <w:proofErr w:type="gramEnd"/>
            <w:r w:rsidRPr="00F14F63">
              <w:rPr>
                <w:b/>
                <w:iCs/>
              </w:rPr>
              <w:t xml:space="preserve"> izglītojamos</w:t>
            </w:r>
            <w:r w:rsidRPr="00F14F63">
              <w:rPr>
                <w:iCs/>
              </w:rPr>
              <w:t xml:space="preserve">, kas saskaņā ar </w:t>
            </w:r>
            <w:r w:rsidRPr="00F14F63">
              <w:t xml:space="preserve">regulas Nr.657/2008 </w:t>
            </w:r>
            <w:r w:rsidRPr="00F14F63">
              <w:rPr>
                <w:iCs/>
              </w:rPr>
              <w:t xml:space="preserve">2.panta un noteikumu Nr.106 3.punkta nosacījumiem ir valsts un Eiropas Savienības atbalsta valsts līdzfinansējuma daļas labuma guvēji, katru mācību dienu bez maksas saņemot līdz 250 ml pasterizēta piena. </w:t>
            </w:r>
          </w:p>
          <w:p w:rsidR="00EB36FD" w:rsidRPr="00F14F63" w:rsidRDefault="00EB36FD" w:rsidP="00EB36FD">
            <w:pPr>
              <w:pStyle w:val="naiskr"/>
              <w:spacing w:before="0" w:after="0"/>
              <w:ind w:left="3"/>
              <w:jc w:val="both"/>
              <w:rPr>
                <w:iCs/>
              </w:rPr>
            </w:pPr>
          </w:p>
          <w:p w:rsidR="00EB36FD" w:rsidRPr="00F14F63" w:rsidRDefault="00EB36FD" w:rsidP="00EB36FD">
            <w:pPr>
              <w:pStyle w:val="naiskr"/>
              <w:spacing w:before="0" w:after="0"/>
              <w:ind w:left="3"/>
              <w:jc w:val="both"/>
              <w:rPr>
                <w:iCs/>
              </w:rPr>
            </w:pPr>
            <w:r w:rsidRPr="00F14F63">
              <w:rPr>
                <w:iCs/>
              </w:rPr>
              <w:t>Pēc LAD informācijas, 2013./2014.mācību gadā atbalsta programmā piedalījās 192,4 tūkstoši pirmsskolas un 1.–</w:t>
            </w:r>
            <w:proofErr w:type="gramStart"/>
            <w:r w:rsidRPr="00F14F63">
              <w:rPr>
                <w:iCs/>
              </w:rPr>
              <w:t>12.klases</w:t>
            </w:r>
            <w:proofErr w:type="gramEnd"/>
            <w:r w:rsidRPr="00F14F63">
              <w:rPr>
                <w:iCs/>
              </w:rPr>
              <w:t xml:space="preserve"> izglītojamo 897 izglītības iestādēs. Apmēram 99% no šiem izglītojamiem saņēma bezmaksas pienu. </w:t>
            </w:r>
            <w:proofErr w:type="gramStart"/>
            <w:r w:rsidRPr="00F14F63">
              <w:rPr>
                <w:iCs/>
              </w:rPr>
              <w:t>Turklāt programmā kopumā piedalījās</w:t>
            </w:r>
            <w:proofErr w:type="gramEnd"/>
            <w:r w:rsidRPr="00F14F63">
              <w:rPr>
                <w:iCs/>
              </w:rPr>
              <w:t xml:space="preserve"> 117 atbalsta pretendentu. </w:t>
            </w:r>
          </w:p>
          <w:p w:rsidR="00EB36FD" w:rsidRPr="00F14F63" w:rsidRDefault="00EB36FD" w:rsidP="00EB36FD">
            <w:pPr>
              <w:pStyle w:val="naiskr"/>
              <w:spacing w:before="0" w:after="0"/>
              <w:ind w:left="3"/>
              <w:jc w:val="both"/>
              <w:rPr>
                <w:iCs/>
              </w:rPr>
            </w:pPr>
            <w:r w:rsidRPr="00F14F63">
              <w:rPr>
                <w:iCs/>
              </w:rPr>
              <w:t>Pēc Izglītības un zinātnes ministrijas tīmekļa vietnē ievietotās informācijas 2013./2014.mācību gadā Latvijas pirmsskolas un vispārējās izglītības iestāžu 1.–</w:t>
            </w:r>
            <w:proofErr w:type="gramStart"/>
            <w:r w:rsidRPr="00F14F63">
              <w:rPr>
                <w:iCs/>
              </w:rPr>
              <w:t>9.klases</w:t>
            </w:r>
            <w:proofErr w:type="gramEnd"/>
            <w:r w:rsidRPr="00F14F63">
              <w:rPr>
                <w:iCs/>
              </w:rPr>
              <w:t xml:space="preserve"> izglītojamo kopējais skaits bija 246,6 tūkstoši, tātad bezmaksas pienu saņēma aptuveni 78% izglītojamo. </w:t>
            </w:r>
          </w:p>
          <w:p w:rsidR="002B745B" w:rsidRPr="00F14F63" w:rsidRDefault="002B745B" w:rsidP="002B745B">
            <w:pPr>
              <w:pStyle w:val="naiskr"/>
              <w:spacing w:before="0" w:after="0"/>
              <w:ind w:left="3"/>
              <w:jc w:val="both"/>
              <w:rPr>
                <w:iCs/>
              </w:rPr>
            </w:pPr>
          </w:p>
          <w:p w:rsidR="00D53136" w:rsidRPr="00F14F63" w:rsidRDefault="00D5687F" w:rsidP="00497DA6">
            <w:pPr>
              <w:pStyle w:val="naiskr"/>
              <w:spacing w:before="0" w:after="0"/>
              <w:ind w:left="3"/>
              <w:jc w:val="both"/>
              <w:rPr>
                <w:iCs/>
              </w:rPr>
            </w:pPr>
            <w:r w:rsidRPr="00F14F63">
              <w:rPr>
                <w:iCs/>
              </w:rPr>
              <w:t xml:space="preserve">Pēc LAD datiem, </w:t>
            </w:r>
            <w:r w:rsidR="002270A9" w:rsidRPr="00F14F63">
              <w:rPr>
                <w:iCs/>
              </w:rPr>
              <w:t>patlaban</w:t>
            </w:r>
            <w:r w:rsidRPr="00F14F63">
              <w:rPr>
                <w:iCs/>
              </w:rPr>
              <w:t xml:space="preserve"> Skolas piena programmā ar valsts līdzfinansējumu tiek piegādāts piens no 13 Latvijas piena pārstrādes uzņēmumiem. Pēc </w:t>
            </w:r>
            <w:r w:rsidR="002270A9" w:rsidRPr="00F14F63">
              <w:rPr>
                <w:iCs/>
              </w:rPr>
              <w:t xml:space="preserve">PVD </w:t>
            </w:r>
            <w:r w:rsidRPr="00F14F63">
              <w:rPr>
                <w:iCs/>
              </w:rPr>
              <w:t>datiem</w:t>
            </w:r>
            <w:r w:rsidR="00853200" w:rsidRPr="00F14F63">
              <w:rPr>
                <w:iCs/>
              </w:rPr>
              <w:t xml:space="preserve">, tikai </w:t>
            </w:r>
            <w:r w:rsidR="002270A9" w:rsidRPr="00F14F63">
              <w:rPr>
                <w:iCs/>
              </w:rPr>
              <w:t>trīs</w:t>
            </w:r>
            <w:r w:rsidR="00853200" w:rsidRPr="00F14F63">
              <w:rPr>
                <w:iCs/>
              </w:rPr>
              <w:t xml:space="preserve"> uzņēmumu ražotajam pasterizētam pienam </w:t>
            </w:r>
            <w:r w:rsidR="002270A9" w:rsidRPr="00F14F63">
              <w:rPr>
                <w:iCs/>
              </w:rPr>
              <w:t xml:space="preserve">pagaidām </w:t>
            </w:r>
            <w:r w:rsidRPr="00F14F63">
              <w:rPr>
                <w:iCs/>
              </w:rPr>
              <w:t xml:space="preserve">ir piešķirts sertifikāts par atbilstību pārtikas kvalitātes shēmas (t.i., vai nu bioloģiskās lauksaimniecības shēmas, vai nacionālās pārtikas kvalitātes shēmas) prasībām.  </w:t>
            </w:r>
          </w:p>
          <w:p w:rsidR="00D5687F" w:rsidRPr="00F14F63" w:rsidRDefault="00D5687F" w:rsidP="00497DA6">
            <w:pPr>
              <w:pStyle w:val="naiskr"/>
              <w:spacing w:before="0" w:after="0"/>
              <w:ind w:left="3"/>
              <w:jc w:val="both"/>
              <w:rPr>
                <w:iCs/>
              </w:rPr>
            </w:pPr>
            <w:r w:rsidRPr="00F14F63">
              <w:rPr>
                <w:iCs/>
              </w:rPr>
              <w:t xml:space="preserve">Tādējādi </w:t>
            </w:r>
            <w:r w:rsidR="00853200" w:rsidRPr="00F14F63">
              <w:rPr>
                <w:iCs/>
              </w:rPr>
              <w:t>10</w:t>
            </w:r>
            <w:r w:rsidRPr="00F14F63">
              <w:rPr>
                <w:iCs/>
              </w:rPr>
              <w:t xml:space="preserve"> uzņēmumi ir tiesiskā regulējuma tiešā mērķgrupa. </w:t>
            </w:r>
          </w:p>
          <w:p w:rsidR="00DB2017" w:rsidRPr="00F14F63" w:rsidRDefault="00DB2017" w:rsidP="00D5687F">
            <w:pPr>
              <w:pStyle w:val="naiskr"/>
              <w:spacing w:before="0" w:after="0"/>
              <w:ind w:left="3"/>
              <w:jc w:val="both"/>
              <w:rPr>
                <w:iCs/>
              </w:rPr>
            </w:pPr>
          </w:p>
        </w:tc>
      </w:tr>
      <w:tr w:rsidR="009A332E" w:rsidRPr="00F14F63" w:rsidTr="00517BC0">
        <w:tblPrEx>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PrEx>
        <w:trPr>
          <w:trHeight w:val="1859"/>
        </w:trPr>
        <w:tc>
          <w:tcPr>
            <w:tcW w:w="325" w:type="pct"/>
            <w:tcBorders>
              <w:top w:val="outset" w:sz="6" w:space="0" w:color="auto"/>
              <w:left w:val="outset" w:sz="6" w:space="0" w:color="auto"/>
              <w:right w:val="outset" w:sz="6" w:space="0" w:color="auto"/>
            </w:tcBorders>
          </w:tcPr>
          <w:p w:rsidR="00683260" w:rsidRPr="00F14F63" w:rsidRDefault="00683260" w:rsidP="00736A8F">
            <w:pPr>
              <w:pStyle w:val="naisf"/>
              <w:rPr>
                <w:lang w:val="lv-LV"/>
              </w:rPr>
            </w:pPr>
            <w:r w:rsidRPr="00F14F63">
              <w:rPr>
                <w:lang w:val="lv-LV"/>
              </w:rPr>
              <w:t>2.</w:t>
            </w:r>
          </w:p>
        </w:tc>
        <w:tc>
          <w:tcPr>
            <w:tcW w:w="1017" w:type="pct"/>
            <w:tcBorders>
              <w:top w:val="outset" w:sz="6" w:space="0" w:color="auto"/>
              <w:left w:val="outset" w:sz="6" w:space="0" w:color="auto"/>
              <w:right w:val="outset" w:sz="6" w:space="0" w:color="auto"/>
            </w:tcBorders>
          </w:tcPr>
          <w:p w:rsidR="00683260" w:rsidRPr="00F14F63" w:rsidRDefault="00683260" w:rsidP="00736A8F">
            <w:pPr>
              <w:pStyle w:val="naisf"/>
              <w:rPr>
                <w:lang w:val="lv-LV"/>
              </w:rPr>
            </w:pPr>
            <w:r w:rsidRPr="00F14F63">
              <w:rPr>
                <w:lang w:val="lv-LV"/>
              </w:rPr>
              <w:t>Tiesiskā regulējuma ietekme uz tautsaimniecību un administratīvo slogu</w:t>
            </w:r>
          </w:p>
        </w:tc>
        <w:tc>
          <w:tcPr>
            <w:tcW w:w="3658" w:type="pct"/>
            <w:gridSpan w:val="2"/>
            <w:tcBorders>
              <w:top w:val="outset" w:sz="6" w:space="0" w:color="auto"/>
              <w:left w:val="outset" w:sz="6" w:space="0" w:color="auto"/>
              <w:right w:val="outset" w:sz="6" w:space="0" w:color="auto"/>
            </w:tcBorders>
          </w:tcPr>
          <w:p w:rsidR="00B31248" w:rsidRPr="00F14F63" w:rsidRDefault="00B31248" w:rsidP="00DE4A1C">
            <w:pPr>
              <w:pStyle w:val="naisf"/>
              <w:rPr>
                <w:lang w:val="lv-LV"/>
              </w:rPr>
            </w:pPr>
            <w:r w:rsidRPr="00F14F63">
              <w:rPr>
                <w:lang w:val="lv-LV"/>
              </w:rPr>
              <w:t xml:space="preserve">Sabiedrības grupām un institūcijām projekta tiesiskais regulējums nemaina tiesības un pienākumus, </w:t>
            </w:r>
            <w:r w:rsidR="002270A9" w:rsidRPr="00F14F63">
              <w:rPr>
                <w:lang w:val="lv-LV"/>
              </w:rPr>
              <w:t>ne</w:t>
            </w:r>
            <w:r w:rsidRPr="00F14F63">
              <w:rPr>
                <w:lang w:val="lv-LV"/>
              </w:rPr>
              <w:t xml:space="preserve"> arī veicamās darbības.</w:t>
            </w:r>
          </w:p>
          <w:p w:rsidR="00773A3D" w:rsidRPr="00F14F63" w:rsidRDefault="00773A3D" w:rsidP="00497A95">
            <w:pPr>
              <w:pStyle w:val="naisf"/>
              <w:rPr>
                <w:lang w:val="lv-LV"/>
              </w:rPr>
            </w:pPr>
          </w:p>
        </w:tc>
      </w:tr>
      <w:tr w:rsidR="009A332E" w:rsidRPr="00F14F63" w:rsidTr="00517BC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325" w:type="pct"/>
            <w:tcBorders>
              <w:top w:val="outset" w:sz="6" w:space="0" w:color="auto"/>
              <w:left w:val="outset" w:sz="6" w:space="0" w:color="auto"/>
              <w:right w:val="outset" w:sz="6" w:space="0" w:color="auto"/>
            </w:tcBorders>
          </w:tcPr>
          <w:p w:rsidR="00683260" w:rsidRPr="00F14F63" w:rsidRDefault="00683260" w:rsidP="00736A8F">
            <w:pPr>
              <w:pStyle w:val="naisf"/>
              <w:rPr>
                <w:lang w:val="lv-LV"/>
              </w:rPr>
            </w:pPr>
            <w:r w:rsidRPr="00F14F63">
              <w:rPr>
                <w:lang w:val="lv-LV"/>
              </w:rPr>
              <w:t>3.</w:t>
            </w:r>
          </w:p>
        </w:tc>
        <w:tc>
          <w:tcPr>
            <w:tcW w:w="1017" w:type="pct"/>
            <w:tcBorders>
              <w:top w:val="outset" w:sz="6" w:space="0" w:color="auto"/>
              <w:left w:val="outset" w:sz="6" w:space="0" w:color="auto"/>
              <w:right w:val="outset" w:sz="6" w:space="0" w:color="auto"/>
            </w:tcBorders>
          </w:tcPr>
          <w:p w:rsidR="00683260" w:rsidRPr="00F14F63" w:rsidRDefault="00683260" w:rsidP="00736A8F">
            <w:pPr>
              <w:pStyle w:val="naisf"/>
              <w:rPr>
                <w:lang w:val="lv-LV"/>
              </w:rPr>
            </w:pPr>
            <w:r w:rsidRPr="00F14F63">
              <w:rPr>
                <w:lang w:val="lv-LV"/>
              </w:rPr>
              <w:t>Administratīvo izmaksu monetārs novērtējums</w:t>
            </w:r>
          </w:p>
        </w:tc>
        <w:tc>
          <w:tcPr>
            <w:tcW w:w="3658" w:type="pct"/>
            <w:gridSpan w:val="2"/>
            <w:tcBorders>
              <w:top w:val="outset" w:sz="6" w:space="0" w:color="auto"/>
              <w:left w:val="outset" w:sz="6" w:space="0" w:color="auto"/>
              <w:right w:val="outset" w:sz="6" w:space="0" w:color="auto"/>
            </w:tcBorders>
          </w:tcPr>
          <w:p w:rsidR="00683260" w:rsidRPr="00F14F63" w:rsidRDefault="00B31248" w:rsidP="00736A8F">
            <w:pPr>
              <w:pStyle w:val="naisf"/>
              <w:rPr>
                <w:lang w:val="lv-LV"/>
              </w:rPr>
            </w:pPr>
            <w:r w:rsidRPr="00F14F63">
              <w:rPr>
                <w:lang w:val="lv-LV"/>
              </w:rPr>
              <w:t>Projekts šo jomu neskar.</w:t>
            </w:r>
          </w:p>
        </w:tc>
      </w:tr>
      <w:tr w:rsidR="009A332E" w:rsidRPr="00F14F63" w:rsidTr="00517BC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325" w:type="pct"/>
            <w:tcBorders>
              <w:top w:val="outset" w:sz="6" w:space="0" w:color="auto"/>
              <w:left w:val="outset" w:sz="6" w:space="0" w:color="auto"/>
              <w:right w:val="outset" w:sz="6" w:space="0" w:color="auto"/>
            </w:tcBorders>
          </w:tcPr>
          <w:p w:rsidR="00683260" w:rsidRPr="00F14F63" w:rsidRDefault="00683260" w:rsidP="00736A8F">
            <w:pPr>
              <w:pStyle w:val="naisf"/>
              <w:rPr>
                <w:lang w:val="lv-LV"/>
              </w:rPr>
            </w:pPr>
            <w:r w:rsidRPr="00F14F63">
              <w:rPr>
                <w:lang w:val="lv-LV"/>
              </w:rPr>
              <w:t>4.</w:t>
            </w:r>
          </w:p>
        </w:tc>
        <w:tc>
          <w:tcPr>
            <w:tcW w:w="1017" w:type="pct"/>
            <w:tcBorders>
              <w:top w:val="outset" w:sz="6" w:space="0" w:color="auto"/>
              <w:left w:val="outset" w:sz="6" w:space="0" w:color="auto"/>
              <w:right w:val="outset" w:sz="6" w:space="0" w:color="auto"/>
            </w:tcBorders>
          </w:tcPr>
          <w:p w:rsidR="00683260" w:rsidRPr="00F14F63" w:rsidRDefault="00683260" w:rsidP="00736A8F">
            <w:pPr>
              <w:pStyle w:val="naisf"/>
              <w:rPr>
                <w:lang w:val="lv-LV"/>
              </w:rPr>
            </w:pPr>
            <w:r w:rsidRPr="00F14F63">
              <w:rPr>
                <w:lang w:val="lv-LV"/>
              </w:rPr>
              <w:t>Cita informācija</w:t>
            </w:r>
          </w:p>
        </w:tc>
        <w:tc>
          <w:tcPr>
            <w:tcW w:w="3658" w:type="pct"/>
            <w:gridSpan w:val="2"/>
            <w:tcBorders>
              <w:top w:val="outset" w:sz="6" w:space="0" w:color="auto"/>
              <w:left w:val="outset" w:sz="6" w:space="0" w:color="auto"/>
              <w:right w:val="outset" w:sz="6" w:space="0" w:color="auto"/>
            </w:tcBorders>
            <w:shd w:val="clear" w:color="auto" w:fill="auto"/>
          </w:tcPr>
          <w:p w:rsidR="00683260" w:rsidRPr="00F14F63" w:rsidRDefault="006C3DF7" w:rsidP="00736A8F">
            <w:pPr>
              <w:pStyle w:val="naisf"/>
              <w:rPr>
                <w:lang w:val="lv-LV"/>
              </w:rPr>
            </w:pPr>
            <w:r w:rsidRPr="00F14F63">
              <w:rPr>
                <w:lang w:val="lv-LV"/>
              </w:rPr>
              <w:t>Nav</w:t>
            </w:r>
          </w:p>
        </w:tc>
      </w:tr>
    </w:tbl>
    <w:p w:rsidR="00683260" w:rsidRPr="00EA2C5D" w:rsidRDefault="00683260" w:rsidP="00683260">
      <w:pPr>
        <w:pStyle w:val="naisf"/>
        <w:spacing w:before="0" w:beforeAutospacing="0" w:after="0" w:afterAutospacing="0"/>
        <w:rPr>
          <w:i/>
          <w:lang w:val="lv-LV"/>
        </w:rPr>
      </w:pPr>
    </w:p>
    <w:p w:rsidR="009B0DF3" w:rsidRPr="00EA2C5D" w:rsidRDefault="009B0DF3" w:rsidP="00683260">
      <w:pPr>
        <w:pStyle w:val="naisf"/>
        <w:spacing w:before="0" w:beforeAutospacing="0" w:after="0" w:afterAutospacing="0"/>
        <w:rPr>
          <w:i/>
          <w:lang w:val="lv-LV"/>
        </w:rPr>
      </w:pPr>
      <w:r w:rsidRPr="00EA2C5D">
        <w:rPr>
          <w:i/>
          <w:lang w:val="lv-LV"/>
        </w:rPr>
        <w:lastRenderedPageBreak/>
        <w:t xml:space="preserve">Anotācijas III, IV </w:t>
      </w:r>
      <w:r w:rsidR="00922BE6">
        <w:rPr>
          <w:i/>
          <w:lang w:val="lv-LV"/>
        </w:rPr>
        <w:t xml:space="preserve">un V </w:t>
      </w:r>
      <w:r w:rsidRPr="00EA2C5D">
        <w:rPr>
          <w:i/>
          <w:lang w:val="lv-LV"/>
        </w:rPr>
        <w:t>sadaļa</w:t>
      </w:r>
      <w:r w:rsidR="00FB48CA">
        <w:rPr>
          <w:i/>
          <w:lang w:val="lv-LV"/>
        </w:rPr>
        <w:t xml:space="preserve"> </w:t>
      </w:r>
      <w:r w:rsidR="002270A9">
        <w:rPr>
          <w:i/>
          <w:lang w:val="lv-LV"/>
        </w:rPr>
        <w:t>–</w:t>
      </w:r>
      <w:r w:rsidR="00FB48CA">
        <w:rPr>
          <w:i/>
          <w:lang w:val="lv-LV"/>
        </w:rPr>
        <w:t xml:space="preserve"> noteikumu</w:t>
      </w:r>
      <w:r w:rsidRPr="00EA2C5D">
        <w:rPr>
          <w:i/>
          <w:lang w:val="lv-LV"/>
        </w:rPr>
        <w:t xml:space="preserve"> projekts šo jomu neskar</w:t>
      </w:r>
      <w:r w:rsidR="00922BE6">
        <w:rPr>
          <w:i/>
          <w:lang w:val="lv-LV"/>
        </w:rPr>
        <w:t>.</w:t>
      </w:r>
    </w:p>
    <w:p w:rsidR="009B0DF3" w:rsidRPr="00EA2C5D" w:rsidRDefault="009B0DF3" w:rsidP="00683260">
      <w:pPr>
        <w:pStyle w:val="naisf"/>
        <w:spacing w:before="0" w:beforeAutospacing="0" w:after="0" w:afterAutospacing="0"/>
        <w:rPr>
          <w:i/>
          <w:lang w:val="lv-LV"/>
        </w:rPr>
      </w:pPr>
    </w:p>
    <w:p w:rsidR="0036615E" w:rsidRPr="00497DA6" w:rsidRDefault="0036615E" w:rsidP="00683260">
      <w:pPr>
        <w:pStyle w:val="naisf"/>
        <w:spacing w:before="0" w:beforeAutospacing="0" w:after="0" w:afterAutospacing="0"/>
        <w:rPr>
          <w:lang w:val="lv-LV"/>
        </w:rPr>
      </w:pPr>
    </w:p>
    <w:tbl>
      <w:tblPr>
        <w:tblW w:w="4813" w:type="pct"/>
        <w:tblInd w:w="17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63"/>
        <w:gridCol w:w="2352"/>
        <w:gridCol w:w="5801"/>
      </w:tblGrid>
      <w:tr w:rsidR="009A332E" w:rsidRPr="00F14F63" w:rsidTr="002959A3">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rsidR="009A332E" w:rsidRPr="00EA2C5D" w:rsidRDefault="009A332E" w:rsidP="00497DA6">
            <w:pPr>
              <w:pStyle w:val="naisf"/>
              <w:jc w:val="center"/>
              <w:rPr>
                <w:b/>
                <w:bCs/>
                <w:lang w:val="lv-LV"/>
              </w:rPr>
            </w:pPr>
            <w:r w:rsidRPr="00497DA6">
              <w:rPr>
                <w:b/>
                <w:bCs/>
                <w:lang w:val="lv-LV"/>
              </w:rPr>
              <w:t>VI. Sabiedrības līdzdalība un komunikācijas aktivitātes</w:t>
            </w:r>
          </w:p>
        </w:tc>
      </w:tr>
      <w:tr w:rsidR="009A332E" w:rsidRPr="00C24457" w:rsidTr="002959A3">
        <w:tc>
          <w:tcPr>
            <w:tcW w:w="323" w:type="pct"/>
            <w:tcBorders>
              <w:top w:val="outset" w:sz="6" w:space="0" w:color="000000"/>
              <w:left w:val="outset" w:sz="6" w:space="0" w:color="000000"/>
              <w:bottom w:val="outset" w:sz="6" w:space="0" w:color="000000"/>
              <w:right w:val="outset" w:sz="6" w:space="0" w:color="000000"/>
            </w:tcBorders>
          </w:tcPr>
          <w:p w:rsidR="009A332E" w:rsidRPr="00EA2C5D" w:rsidRDefault="009A332E" w:rsidP="002959A3">
            <w:pPr>
              <w:pStyle w:val="naisf"/>
              <w:rPr>
                <w:lang w:val="lv-LV"/>
              </w:rPr>
            </w:pPr>
            <w:r w:rsidRPr="00EA2C5D">
              <w:rPr>
                <w:lang w:val="lv-LV"/>
              </w:rPr>
              <w:t>1.</w:t>
            </w:r>
          </w:p>
        </w:tc>
        <w:tc>
          <w:tcPr>
            <w:tcW w:w="1349" w:type="pct"/>
            <w:tcBorders>
              <w:top w:val="outset" w:sz="6" w:space="0" w:color="000000"/>
              <w:left w:val="outset" w:sz="6" w:space="0" w:color="000000"/>
              <w:bottom w:val="outset" w:sz="6" w:space="0" w:color="000000"/>
              <w:right w:val="outset" w:sz="6" w:space="0" w:color="000000"/>
            </w:tcBorders>
          </w:tcPr>
          <w:p w:rsidR="009A332E" w:rsidRPr="00EA2C5D" w:rsidRDefault="009A332E" w:rsidP="002959A3">
            <w:pPr>
              <w:pStyle w:val="naisf"/>
              <w:rPr>
                <w:lang w:val="lv-LV"/>
              </w:rPr>
            </w:pPr>
            <w:r w:rsidRPr="00497DA6">
              <w:rPr>
                <w:lang w:val="lv-LV"/>
              </w:rPr>
              <w:t>Plānotās sabiedrības līdzdalības un komunikācijas aktivitātes saistībā ar projektu</w:t>
            </w:r>
          </w:p>
        </w:tc>
        <w:tc>
          <w:tcPr>
            <w:tcW w:w="3328" w:type="pct"/>
            <w:tcBorders>
              <w:top w:val="outset" w:sz="6" w:space="0" w:color="000000"/>
              <w:left w:val="outset" w:sz="6" w:space="0" w:color="000000"/>
              <w:bottom w:val="outset" w:sz="6" w:space="0" w:color="000000"/>
              <w:right w:val="outset" w:sz="6" w:space="0" w:color="000000"/>
            </w:tcBorders>
          </w:tcPr>
          <w:p w:rsidR="009A332E" w:rsidRPr="00EA2C5D" w:rsidRDefault="00853200" w:rsidP="00853200">
            <w:pPr>
              <w:pStyle w:val="naisf"/>
              <w:rPr>
                <w:lang w:val="lv-LV"/>
              </w:rPr>
            </w:pPr>
            <w:r>
              <w:rPr>
                <w:lang w:val="lv-LV"/>
              </w:rPr>
              <w:t>Nav attiecināms</w:t>
            </w:r>
          </w:p>
        </w:tc>
      </w:tr>
      <w:tr w:rsidR="00853200" w:rsidRPr="00F14F63" w:rsidTr="002959A3">
        <w:tc>
          <w:tcPr>
            <w:tcW w:w="323" w:type="pct"/>
            <w:tcBorders>
              <w:top w:val="outset" w:sz="6" w:space="0" w:color="000000"/>
              <w:left w:val="outset" w:sz="6" w:space="0" w:color="000000"/>
              <w:bottom w:val="outset" w:sz="6" w:space="0" w:color="000000"/>
              <w:right w:val="outset" w:sz="6" w:space="0" w:color="000000"/>
            </w:tcBorders>
          </w:tcPr>
          <w:p w:rsidR="00853200" w:rsidRPr="00EA2C5D" w:rsidRDefault="00853200" w:rsidP="00853200">
            <w:pPr>
              <w:pStyle w:val="naisf"/>
              <w:rPr>
                <w:lang w:val="lv-LV"/>
              </w:rPr>
            </w:pPr>
            <w:r w:rsidRPr="00EA2C5D">
              <w:rPr>
                <w:lang w:val="lv-LV"/>
              </w:rPr>
              <w:t>2.</w:t>
            </w:r>
          </w:p>
        </w:tc>
        <w:tc>
          <w:tcPr>
            <w:tcW w:w="1349" w:type="pct"/>
            <w:tcBorders>
              <w:top w:val="outset" w:sz="6" w:space="0" w:color="000000"/>
              <w:left w:val="outset" w:sz="6" w:space="0" w:color="000000"/>
              <w:bottom w:val="outset" w:sz="6" w:space="0" w:color="000000"/>
              <w:right w:val="outset" w:sz="6" w:space="0" w:color="000000"/>
            </w:tcBorders>
          </w:tcPr>
          <w:p w:rsidR="00853200" w:rsidRPr="00EA2C5D" w:rsidRDefault="00853200" w:rsidP="00853200">
            <w:pPr>
              <w:pStyle w:val="naisf"/>
              <w:rPr>
                <w:lang w:val="lv-LV"/>
              </w:rPr>
            </w:pPr>
            <w:proofErr w:type="spellStart"/>
            <w:r w:rsidRPr="00443949">
              <w:t>Sabiedrības</w:t>
            </w:r>
            <w:proofErr w:type="spellEnd"/>
            <w:r w:rsidRPr="00443949">
              <w:t xml:space="preserve"> </w:t>
            </w:r>
            <w:proofErr w:type="spellStart"/>
            <w:r w:rsidRPr="00443949">
              <w:t>līdzdalība</w:t>
            </w:r>
            <w:proofErr w:type="spellEnd"/>
            <w:r w:rsidRPr="00443949">
              <w:t xml:space="preserve"> </w:t>
            </w:r>
            <w:proofErr w:type="spellStart"/>
            <w:r w:rsidRPr="00443949">
              <w:t>projekta</w:t>
            </w:r>
            <w:proofErr w:type="spellEnd"/>
            <w:r w:rsidRPr="00443949">
              <w:t xml:space="preserve"> </w:t>
            </w:r>
            <w:proofErr w:type="spellStart"/>
            <w:r w:rsidRPr="00443949">
              <w:t>izstrādē</w:t>
            </w:r>
            <w:proofErr w:type="spellEnd"/>
          </w:p>
        </w:tc>
        <w:tc>
          <w:tcPr>
            <w:tcW w:w="3328" w:type="pct"/>
            <w:tcBorders>
              <w:top w:val="outset" w:sz="6" w:space="0" w:color="000000"/>
              <w:left w:val="outset" w:sz="6" w:space="0" w:color="000000"/>
              <w:bottom w:val="outset" w:sz="6" w:space="0" w:color="000000"/>
              <w:right w:val="outset" w:sz="6" w:space="0" w:color="000000"/>
            </w:tcBorders>
          </w:tcPr>
          <w:p w:rsidR="00853200" w:rsidRPr="00EA2C5D" w:rsidRDefault="00853200" w:rsidP="00FB48CA">
            <w:pPr>
              <w:pStyle w:val="naisf"/>
              <w:rPr>
                <w:lang w:val="lv-LV"/>
              </w:rPr>
            </w:pPr>
            <w:r>
              <w:rPr>
                <w:lang w:val="lv-LV"/>
              </w:rPr>
              <w:t xml:space="preserve">Skolas piena programmā iesaistītie piena pārstrādes uzņēmumi norādīja, ka prasība par </w:t>
            </w:r>
            <w:r w:rsidR="00FB48CA">
              <w:rPr>
                <w:lang w:val="lv-LV"/>
              </w:rPr>
              <w:t>atbilstību pārtikas kvalitātes shēmu (t.i., vai nu bioloģiskās lauksaimniecības shēmas</w:t>
            </w:r>
            <w:r w:rsidR="002270A9">
              <w:rPr>
                <w:lang w:val="lv-LV"/>
              </w:rPr>
              <w:t>,</w:t>
            </w:r>
            <w:r w:rsidR="00FB48CA">
              <w:rPr>
                <w:lang w:val="lv-LV"/>
              </w:rPr>
              <w:t xml:space="preserve"> vai nacionālās pārtikas kvalitātes shēmas) prasībām apgrūtinās viņu saistošo līgumu nosacījumu izpildi par piena piegādi izglītojamiem bez maksas, jo lielākai daļai uzņēmumu vēl nav sertifikāta par atbilstību šīm prasībām</w:t>
            </w:r>
            <w:r>
              <w:rPr>
                <w:lang w:val="lv-LV"/>
              </w:rPr>
              <w:t xml:space="preserve">. </w:t>
            </w:r>
          </w:p>
        </w:tc>
      </w:tr>
      <w:tr w:rsidR="00853200" w:rsidRPr="00497DA6" w:rsidTr="002959A3">
        <w:tc>
          <w:tcPr>
            <w:tcW w:w="323" w:type="pct"/>
            <w:tcBorders>
              <w:top w:val="outset" w:sz="6" w:space="0" w:color="000000"/>
              <w:left w:val="outset" w:sz="6" w:space="0" w:color="000000"/>
              <w:bottom w:val="outset" w:sz="6" w:space="0" w:color="000000"/>
              <w:right w:val="outset" w:sz="6" w:space="0" w:color="000000"/>
            </w:tcBorders>
          </w:tcPr>
          <w:p w:rsidR="00853200" w:rsidRPr="00EA2C5D" w:rsidRDefault="00853200" w:rsidP="00853200">
            <w:pPr>
              <w:pStyle w:val="naisf"/>
              <w:rPr>
                <w:lang w:val="lv-LV"/>
              </w:rPr>
            </w:pPr>
            <w:r w:rsidRPr="00EA2C5D">
              <w:rPr>
                <w:lang w:val="lv-LV"/>
              </w:rPr>
              <w:t>3.</w:t>
            </w:r>
          </w:p>
        </w:tc>
        <w:tc>
          <w:tcPr>
            <w:tcW w:w="1349" w:type="pct"/>
            <w:tcBorders>
              <w:top w:val="outset" w:sz="6" w:space="0" w:color="000000"/>
              <w:left w:val="outset" w:sz="6" w:space="0" w:color="000000"/>
              <w:bottom w:val="outset" w:sz="6" w:space="0" w:color="000000"/>
              <w:right w:val="outset" w:sz="6" w:space="0" w:color="000000"/>
            </w:tcBorders>
          </w:tcPr>
          <w:p w:rsidR="00853200" w:rsidRPr="00EA2C5D" w:rsidRDefault="00853200" w:rsidP="00853200">
            <w:pPr>
              <w:pStyle w:val="naisf"/>
              <w:rPr>
                <w:lang w:val="lv-LV"/>
              </w:rPr>
            </w:pPr>
            <w:proofErr w:type="spellStart"/>
            <w:r w:rsidRPr="00443949">
              <w:t>Sabiedrības</w:t>
            </w:r>
            <w:proofErr w:type="spellEnd"/>
            <w:r w:rsidRPr="00443949">
              <w:t xml:space="preserve"> </w:t>
            </w:r>
            <w:proofErr w:type="spellStart"/>
            <w:r w:rsidRPr="00443949">
              <w:t>līdzdalības</w:t>
            </w:r>
            <w:proofErr w:type="spellEnd"/>
            <w:r w:rsidRPr="00443949">
              <w:t xml:space="preserve"> </w:t>
            </w:r>
            <w:proofErr w:type="spellStart"/>
            <w:r w:rsidRPr="00443949">
              <w:t>rezultāti</w:t>
            </w:r>
            <w:proofErr w:type="spellEnd"/>
          </w:p>
        </w:tc>
        <w:tc>
          <w:tcPr>
            <w:tcW w:w="3328" w:type="pct"/>
            <w:tcBorders>
              <w:top w:val="outset" w:sz="6" w:space="0" w:color="000000"/>
              <w:left w:val="outset" w:sz="6" w:space="0" w:color="000000"/>
              <w:bottom w:val="outset" w:sz="6" w:space="0" w:color="000000"/>
              <w:right w:val="outset" w:sz="6" w:space="0" w:color="000000"/>
            </w:tcBorders>
          </w:tcPr>
          <w:p w:rsidR="00853200" w:rsidRPr="00EA2C5D" w:rsidRDefault="00FB48CA" w:rsidP="00853200">
            <w:pPr>
              <w:pStyle w:val="naisf"/>
              <w:rPr>
                <w:lang w:val="lv-LV"/>
              </w:rPr>
            </w:pPr>
            <w:r>
              <w:rPr>
                <w:lang w:val="lv-LV"/>
              </w:rPr>
              <w:t>Noteikumu projekts paredz noteikt pārejas periodu prasību piemērošanai.</w:t>
            </w:r>
          </w:p>
        </w:tc>
      </w:tr>
      <w:tr w:rsidR="00853200" w:rsidRPr="00EA2C5D" w:rsidTr="002959A3">
        <w:tc>
          <w:tcPr>
            <w:tcW w:w="323" w:type="pct"/>
            <w:tcBorders>
              <w:top w:val="outset" w:sz="6" w:space="0" w:color="000000"/>
              <w:left w:val="outset" w:sz="6" w:space="0" w:color="000000"/>
              <w:bottom w:val="outset" w:sz="6" w:space="0" w:color="000000"/>
              <w:right w:val="outset" w:sz="6" w:space="0" w:color="000000"/>
            </w:tcBorders>
          </w:tcPr>
          <w:p w:rsidR="00853200" w:rsidRPr="00EA2C5D" w:rsidRDefault="00853200" w:rsidP="00853200">
            <w:pPr>
              <w:pStyle w:val="naisf"/>
              <w:rPr>
                <w:lang w:val="lv-LV"/>
              </w:rPr>
            </w:pPr>
            <w:r w:rsidRPr="00EA2C5D">
              <w:rPr>
                <w:lang w:val="lv-LV"/>
              </w:rPr>
              <w:t>4.</w:t>
            </w:r>
          </w:p>
        </w:tc>
        <w:tc>
          <w:tcPr>
            <w:tcW w:w="1349" w:type="pct"/>
            <w:tcBorders>
              <w:top w:val="outset" w:sz="6" w:space="0" w:color="000000"/>
              <w:left w:val="outset" w:sz="6" w:space="0" w:color="000000"/>
              <w:bottom w:val="outset" w:sz="6" w:space="0" w:color="000000"/>
              <w:right w:val="outset" w:sz="6" w:space="0" w:color="000000"/>
            </w:tcBorders>
          </w:tcPr>
          <w:p w:rsidR="00853200" w:rsidRPr="00443949" w:rsidRDefault="00853200" w:rsidP="00853200">
            <w:pPr>
              <w:pStyle w:val="naisf"/>
              <w:rPr>
                <w:lang w:val="lv-LV"/>
              </w:rPr>
            </w:pPr>
            <w:r w:rsidRPr="00443949">
              <w:rPr>
                <w:lang w:val="lv-LV"/>
              </w:rPr>
              <w:t>Cita informācija</w:t>
            </w:r>
          </w:p>
        </w:tc>
        <w:tc>
          <w:tcPr>
            <w:tcW w:w="3328" w:type="pct"/>
            <w:tcBorders>
              <w:top w:val="outset" w:sz="6" w:space="0" w:color="000000"/>
              <w:left w:val="outset" w:sz="6" w:space="0" w:color="000000"/>
              <w:bottom w:val="outset" w:sz="6" w:space="0" w:color="000000"/>
              <w:right w:val="outset" w:sz="6" w:space="0" w:color="000000"/>
            </w:tcBorders>
          </w:tcPr>
          <w:p w:rsidR="00853200" w:rsidRPr="00EA2C5D" w:rsidRDefault="00853200" w:rsidP="00853200">
            <w:pPr>
              <w:pStyle w:val="naisf"/>
              <w:rPr>
                <w:lang w:val="lv-LV"/>
              </w:rPr>
            </w:pPr>
            <w:r w:rsidRPr="00EA2C5D">
              <w:t>Nav</w:t>
            </w:r>
            <w:r w:rsidR="002270A9">
              <w:t>.</w:t>
            </w:r>
          </w:p>
        </w:tc>
      </w:tr>
    </w:tbl>
    <w:p w:rsidR="009A332E" w:rsidRPr="00497DA6" w:rsidRDefault="009A332E" w:rsidP="00683260">
      <w:pPr>
        <w:pStyle w:val="naisf"/>
        <w:spacing w:before="0" w:beforeAutospacing="0" w:after="0" w:afterAutospacing="0"/>
        <w:rPr>
          <w:lang w:val="lv-LV"/>
        </w:rPr>
      </w:pPr>
    </w:p>
    <w:p w:rsidR="009A332E" w:rsidRPr="00497DA6" w:rsidRDefault="009A332E" w:rsidP="00683260">
      <w:pPr>
        <w:pStyle w:val="naisf"/>
        <w:spacing w:before="0" w:beforeAutospacing="0" w:after="0" w:afterAutospacing="0"/>
        <w:rPr>
          <w:lang w:val="lv-LV"/>
        </w:rPr>
      </w:pPr>
    </w:p>
    <w:tbl>
      <w:tblPr>
        <w:tblW w:w="4813" w:type="pct"/>
        <w:tblInd w:w="17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63"/>
        <w:gridCol w:w="2352"/>
        <w:gridCol w:w="5801"/>
      </w:tblGrid>
      <w:tr w:rsidR="009A332E" w:rsidRPr="00F14F63" w:rsidTr="002959A3">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rsidR="009A332E" w:rsidRPr="00443949" w:rsidRDefault="009A332E" w:rsidP="002959A3">
            <w:pPr>
              <w:pStyle w:val="naisf"/>
              <w:rPr>
                <w:b/>
                <w:bCs/>
                <w:lang w:val="lv-LV"/>
              </w:rPr>
            </w:pPr>
            <w:r w:rsidRPr="00443949">
              <w:rPr>
                <w:b/>
                <w:bCs/>
                <w:lang w:val="lv-LV"/>
              </w:rPr>
              <w:t>VII. Tiesību akta projekta izpildes nodrošināšana un tās ietekme uz institūcijām</w:t>
            </w:r>
          </w:p>
        </w:tc>
      </w:tr>
      <w:tr w:rsidR="009A332E" w:rsidRPr="00EA2C5D" w:rsidTr="002959A3">
        <w:tc>
          <w:tcPr>
            <w:tcW w:w="323" w:type="pct"/>
            <w:tcBorders>
              <w:top w:val="outset" w:sz="6" w:space="0" w:color="000000"/>
              <w:left w:val="outset" w:sz="6" w:space="0" w:color="000000"/>
              <w:bottom w:val="outset" w:sz="6" w:space="0" w:color="000000"/>
              <w:right w:val="outset" w:sz="6" w:space="0" w:color="000000"/>
            </w:tcBorders>
          </w:tcPr>
          <w:p w:rsidR="009A332E" w:rsidRPr="00EA2C5D" w:rsidRDefault="009A332E" w:rsidP="002959A3">
            <w:pPr>
              <w:pStyle w:val="naisf"/>
              <w:rPr>
                <w:lang w:val="lv-LV"/>
              </w:rPr>
            </w:pPr>
            <w:r w:rsidRPr="00EA2C5D">
              <w:rPr>
                <w:lang w:val="lv-LV"/>
              </w:rPr>
              <w:t>1.</w:t>
            </w:r>
          </w:p>
        </w:tc>
        <w:tc>
          <w:tcPr>
            <w:tcW w:w="1349" w:type="pct"/>
            <w:tcBorders>
              <w:top w:val="outset" w:sz="6" w:space="0" w:color="000000"/>
              <w:left w:val="outset" w:sz="6" w:space="0" w:color="000000"/>
              <w:bottom w:val="outset" w:sz="6" w:space="0" w:color="000000"/>
              <w:right w:val="outset" w:sz="6" w:space="0" w:color="000000"/>
            </w:tcBorders>
          </w:tcPr>
          <w:p w:rsidR="009A332E" w:rsidRPr="00EA2C5D" w:rsidRDefault="009A332E" w:rsidP="002959A3">
            <w:pPr>
              <w:pStyle w:val="naisf"/>
              <w:rPr>
                <w:lang w:val="lv-LV"/>
              </w:rPr>
            </w:pPr>
            <w:r w:rsidRPr="00443949">
              <w:rPr>
                <w:lang w:val="lv-LV"/>
              </w:rPr>
              <w:t>Projekta izpildē iesaistītās institūcijas</w:t>
            </w:r>
          </w:p>
        </w:tc>
        <w:tc>
          <w:tcPr>
            <w:tcW w:w="3328" w:type="pct"/>
            <w:tcBorders>
              <w:top w:val="outset" w:sz="6" w:space="0" w:color="000000"/>
              <w:left w:val="outset" w:sz="6" w:space="0" w:color="000000"/>
              <w:bottom w:val="outset" w:sz="6" w:space="0" w:color="000000"/>
              <w:right w:val="outset" w:sz="6" w:space="0" w:color="000000"/>
            </w:tcBorders>
          </w:tcPr>
          <w:p w:rsidR="009A332E" w:rsidRPr="00EA2C5D" w:rsidRDefault="00533138" w:rsidP="00922BE6">
            <w:pPr>
              <w:pStyle w:val="naisf"/>
              <w:rPr>
                <w:lang w:val="lv-LV"/>
              </w:rPr>
            </w:pPr>
            <w:r>
              <w:rPr>
                <w:lang w:val="lv-LV"/>
              </w:rPr>
              <w:t>LAD un PVD</w:t>
            </w:r>
          </w:p>
        </w:tc>
      </w:tr>
      <w:tr w:rsidR="009A332E" w:rsidRPr="00EA2C5D" w:rsidTr="002959A3">
        <w:tc>
          <w:tcPr>
            <w:tcW w:w="323" w:type="pct"/>
            <w:tcBorders>
              <w:top w:val="outset" w:sz="6" w:space="0" w:color="000000"/>
              <w:left w:val="outset" w:sz="6" w:space="0" w:color="000000"/>
              <w:bottom w:val="outset" w:sz="6" w:space="0" w:color="000000"/>
              <w:right w:val="outset" w:sz="6" w:space="0" w:color="000000"/>
            </w:tcBorders>
          </w:tcPr>
          <w:p w:rsidR="009A332E" w:rsidRPr="00EA2C5D" w:rsidRDefault="009A332E" w:rsidP="002959A3">
            <w:pPr>
              <w:pStyle w:val="naisf"/>
              <w:rPr>
                <w:lang w:val="lv-LV"/>
              </w:rPr>
            </w:pPr>
            <w:r w:rsidRPr="00EA2C5D">
              <w:rPr>
                <w:lang w:val="lv-LV"/>
              </w:rPr>
              <w:t>2.</w:t>
            </w:r>
          </w:p>
        </w:tc>
        <w:tc>
          <w:tcPr>
            <w:tcW w:w="1349" w:type="pct"/>
            <w:tcBorders>
              <w:top w:val="outset" w:sz="6" w:space="0" w:color="000000"/>
              <w:left w:val="outset" w:sz="6" w:space="0" w:color="000000"/>
              <w:bottom w:val="outset" w:sz="6" w:space="0" w:color="000000"/>
              <w:right w:val="outset" w:sz="6" w:space="0" w:color="000000"/>
            </w:tcBorders>
          </w:tcPr>
          <w:p w:rsidR="009A332E" w:rsidRPr="00EA2C5D" w:rsidRDefault="009A332E" w:rsidP="002959A3">
            <w:pPr>
              <w:pStyle w:val="naisf"/>
              <w:rPr>
                <w:lang w:val="lv-LV"/>
              </w:rPr>
            </w:pPr>
            <w:r w:rsidRPr="00EA2C5D">
              <w:rPr>
                <w:lang w:val="lv-LV"/>
              </w:rPr>
              <w:t xml:space="preserve">Projekta izpildes ietekme uz pārvaldes funkcijām un institucionālo struktūru. </w:t>
            </w:r>
          </w:p>
          <w:p w:rsidR="009A332E" w:rsidRPr="00EA2C5D" w:rsidRDefault="009A332E" w:rsidP="002959A3">
            <w:pPr>
              <w:pStyle w:val="naisf"/>
              <w:rPr>
                <w:lang w:val="lv-LV"/>
              </w:rPr>
            </w:pPr>
            <w:r w:rsidRPr="00EA2C5D">
              <w:rPr>
                <w:lang w:val="lv-LV"/>
              </w:rPr>
              <w:t>Jaunu institūciju izveide, esošu institūciju likvidācija vai reorganizācija, to ietekme uz institūcijas cilvēkresursiem</w:t>
            </w:r>
          </w:p>
        </w:tc>
        <w:tc>
          <w:tcPr>
            <w:tcW w:w="3328" w:type="pct"/>
            <w:tcBorders>
              <w:top w:val="outset" w:sz="6" w:space="0" w:color="000000"/>
              <w:left w:val="outset" w:sz="6" w:space="0" w:color="000000"/>
              <w:bottom w:val="outset" w:sz="6" w:space="0" w:color="000000"/>
              <w:right w:val="outset" w:sz="6" w:space="0" w:color="000000"/>
            </w:tcBorders>
          </w:tcPr>
          <w:p w:rsidR="009A332E" w:rsidRPr="00EA2C5D" w:rsidRDefault="009A332E" w:rsidP="002959A3">
            <w:pPr>
              <w:pStyle w:val="naisf"/>
              <w:rPr>
                <w:lang w:val="lv-LV"/>
              </w:rPr>
            </w:pPr>
            <w:r w:rsidRPr="00EA2C5D">
              <w:rPr>
                <w:lang w:val="lv-LV"/>
              </w:rPr>
              <w:t>Projekts šo jomu neskar.</w:t>
            </w:r>
          </w:p>
        </w:tc>
      </w:tr>
      <w:tr w:rsidR="009A332E" w:rsidRPr="00EA2C5D" w:rsidTr="002959A3">
        <w:tc>
          <w:tcPr>
            <w:tcW w:w="323" w:type="pct"/>
            <w:tcBorders>
              <w:top w:val="outset" w:sz="6" w:space="0" w:color="000000"/>
              <w:left w:val="outset" w:sz="6" w:space="0" w:color="000000"/>
              <w:bottom w:val="outset" w:sz="6" w:space="0" w:color="000000"/>
              <w:right w:val="outset" w:sz="6" w:space="0" w:color="000000"/>
            </w:tcBorders>
          </w:tcPr>
          <w:p w:rsidR="009A332E" w:rsidRPr="00EA2C5D" w:rsidRDefault="009A332E" w:rsidP="002959A3">
            <w:pPr>
              <w:pStyle w:val="naisf"/>
              <w:rPr>
                <w:lang w:val="lv-LV"/>
              </w:rPr>
            </w:pPr>
            <w:r w:rsidRPr="00EA2C5D">
              <w:rPr>
                <w:lang w:val="lv-LV"/>
              </w:rPr>
              <w:t>3.</w:t>
            </w:r>
          </w:p>
        </w:tc>
        <w:tc>
          <w:tcPr>
            <w:tcW w:w="1349" w:type="pct"/>
            <w:tcBorders>
              <w:top w:val="outset" w:sz="6" w:space="0" w:color="000000"/>
              <w:left w:val="outset" w:sz="6" w:space="0" w:color="000000"/>
              <w:bottom w:val="outset" w:sz="6" w:space="0" w:color="000000"/>
              <w:right w:val="outset" w:sz="6" w:space="0" w:color="000000"/>
            </w:tcBorders>
          </w:tcPr>
          <w:p w:rsidR="009A332E" w:rsidRPr="00EA2C5D" w:rsidRDefault="009A332E" w:rsidP="002959A3">
            <w:pPr>
              <w:pStyle w:val="naisf"/>
              <w:rPr>
                <w:lang w:val="lv-LV"/>
              </w:rPr>
            </w:pPr>
            <w:r w:rsidRPr="00EA2C5D">
              <w:rPr>
                <w:lang w:val="lv-LV"/>
              </w:rPr>
              <w:t>Cita informācija</w:t>
            </w:r>
          </w:p>
        </w:tc>
        <w:tc>
          <w:tcPr>
            <w:tcW w:w="3328" w:type="pct"/>
            <w:tcBorders>
              <w:top w:val="outset" w:sz="6" w:space="0" w:color="000000"/>
              <w:left w:val="outset" w:sz="6" w:space="0" w:color="000000"/>
              <w:bottom w:val="outset" w:sz="6" w:space="0" w:color="000000"/>
              <w:right w:val="outset" w:sz="6" w:space="0" w:color="000000"/>
            </w:tcBorders>
          </w:tcPr>
          <w:p w:rsidR="009A332E" w:rsidRPr="00EA2C5D" w:rsidRDefault="009A332E" w:rsidP="002959A3">
            <w:pPr>
              <w:pStyle w:val="naisf"/>
              <w:rPr>
                <w:lang w:val="lv-LV"/>
              </w:rPr>
            </w:pPr>
            <w:r w:rsidRPr="00EA2C5D">
              <w:rPr>
                <w:lang w:val="lv-LV"/>
              </w:rPr>
              <w:t>Nav.</w:t>
            </w:r>
          </w:p>
        </w:tc>
      </w:tr>
    </w:tbl>
    <w:p w:rsidR="007C39A4" w:rsidRPr="00497DA6" w:rsidRDefault="007C39A4" w:rsidP="00683260">
      <w:pPr>
        <w:pStyle w:val="naisf"/>
        <w:spacing w:before="0" w:beforeAutospacing="0" w:after="0" w:afterAutospacing="0"/>
        <w:rPr>
          <w:lang w:val="lv-LV"/>
        </w:rPr>
      </w:pPr>
    </w:p>
    <w:p w:rsidR="00EA2C5D" w:rsidRDefault="00EA2C5D" w:rsidP="00683260">
      <w:pPr>
        <w:pStyle w:val="naisf"/>
        <w:spacing w:before="0" w:beforeAutospacing="0" w:after="0" w:afterAutospacing="0"/>
        <w:rPr>
          <w:lang w:val="lv-LV"/>
        </w:rPr>
      </w:pPr>
    </w:p>
    <w:p w:rsidR="00EA2C5D" w:rsidRPr="00497DA6" w:rsidRDefault="00EA2C5D" w:rsidP="00683260">
      <w:pPr>
        <w:pStyle w:val="naisf"/>
        <w:spacing w:before="0" w:beforeAutospacing="0" w:after="0" w:afterAutospacing="0"/>
        <w:rPr>
          <w:lang w:val="lv-LV"/>
        </w:rPr>
      </w:pPr>
    </w:p>
    <w:p w:rsidR="00683260" w:rsidRPr="00F14F63" w:rsidRDefault="00683260" w:rsidP="00683260">
      <w:pPr>
        <w:pStyle w:val="naisf"/>
        <w:spacing w:before="0" w:beforeAutospacing="0" w:after="0" w:afterAutospacing="0"/>
        <w:rPr>
          <w:lang w:val="lv-LV"/>
        </w:rPr>
      </w:pPr>
      <w:r w:rsidRPr="00F14F63">
        <w:rPr>
          <w:lang w:val="lv-LV"/>
        </w:rPr>
        <w:tab/>
        <w:t>Zemkopības ministrs</w:t>
      </w:r>
      <w:r w:rsidRPr="00F14F63">
        <w:rPr>
          <w:lang w:val="lv-LV"/>
        </w:rPr>
        <w:tab/>
      </w:r>
      <w:r w:rsidRPr="00F14F63">
        <w:rPr>
          <w:lang w:val="lv-LV"/>
        </w:rPr>
        <w:tab/>
      </w:r>
      <w:r w:rsidRPr="00F14F63">
        <w:rPr>
          <w:lang w:val="lv-LV"/>
        </w:rPr>
        <w:tab/>
      </w:r>
      <w:r w:rsidRPr="00F14F63">
        <w:rPr>
          <w:lang w:val="lv-LV"/>
        </w:rPr>
        <w:tab/>
      </w:r>
      <w:r w:rsidRPr="00F14F63">
        <w:rPr>
          <w:lang w:val="lv-LV"/>
        </w:rPr>
        <w:tab/>
      </w:r>
      <w:r w:rsidRPr="00F14F63">
        <w:rPr>
          <w:lang w:val="lv-LV"/>
        </w:rPr>
        <w:tab/>
      </w:r>
      <w:proofErr w:type="spellStart"/>
      <w:r w:rsidRPr="00F14F63">
        <w:rPr>
          <w:lang w:val="lv-LV"/>
        </w:rPr>
        <w:t>J.Dūklavs</w:t>
      </w:r>
      <w:proofErr w:type="spellEnd"/>
    </w:p>
    <w:p w:rsidR="00683260" w:rsidRDefault="00683260" w:rsidP="00683260">
      <w:pPr>
        <w:pStyle w:val="naisf"/>
        <w:spacing w:before="0" w:beforeAutospacing="0" w:after="0" w:afterAutospacing="0"/>
        <w:rPr>
          <w:lang w:val="lv-LV"/>
        </w:rPr>
      </w:pPr>
    </w:p>
    <w:p w:rsidR="00F14F63" w:rsidRDefault="00F14F63" w:rsidP="00683260">
      <w:pPr>
        <w:pStyle w:val="naisf"/>
        <w:spacing w:before="0" w:beforeAutospacing="0" w:after="0" w:afterAutospacing="0"/>
        <w:rPr>
          <w:lang w:val="lv-LV"/>
        </w:rPr>
      </w:pPr>
    </w:p>
    <w:p w:rsidR="00F14F63" w:rsidRPr="00497DA6" w:rsidRDefault="00F14F63" w:rsidP="00683260">
      <w:pPr>
        <w:pStyle w:val="naisf"/>
        <w:spacing w:before="0" w:beforeAutospacing="0" w:after="0" w:afterAutospacing="0"/>
        <w:rPr>
          <w:lang w:val="lv-LV"/>
        </w:rPr>
      </w:pPr>
    </w:p>
    <w:p w:rsidR="00F14F63" w:rsidRDefault="00F14F63" w:rsidP="004242BE">
      <w:pPr>
        <w:pStyle w:val="naisf"/>
        <w:spacing w:before="0" w:beforeAutospacing="0" w:after="0" w:afterAutospacing="0"/>
        <w:rPr>
          <w:sz w:val="20"/>
          <w:szCs w:val="20"/>
          <w:lang w:val="lv-LV"/>
        </w:rPr>
      </w:pPr>
      <w:r>
        <w:rPr>
          <w:sz w:val="20"/>
          <w:szCs w:val="20"/>
          <w:lang w:val="lv-LV"/>
        </w:rPr>
        <w:t>03.02.2015. 10:08</w:t>
      </w:r>
    </w:p>
    <w:p w:rsidR="00814AE3" w:rsidRDefault="00814AE3" w:rsidP="004242BE">
      <w:pPr>
        <w:pStyle w:val="naisf"/>
        <w:spacing w:before="0" w:beforeAutospacing="0" w:after="0" w:afterAutospacing="0"/>
        <w:rPr>
          <w:sz w:val="20"/>
          <w:szCs w:val="20"/>
          <w:lang w:val="lv-LV"/>
        </w:rPr>
      </w:pPr>
      <w:r>
        <w:rPr>
          <w:sz w:val="20"/>
          <w:szCs w:val="20"/>
          <w:lang w:val="lv-LV"/>
        </w:rPr>
        <w:fldChar w:fldCharType="begin"/>
      </w:r>
      <w:r>
        <w:rPr>
          <w:sz w:val="20"/>
          <w:szCs w:val="20"/>
          <w:lang w:val="lv-LV"/>
        </w:rPr>
        <w:instrText xml:space="preserve"> NUMWORDS   \* MERGEFORMAT </w:instrText>
      </w:r>
      <w:r>
        <w:rPr>
          <w:sz w:val="20"/>
          <w:szCs w:val="20"/>
          <w:lang w:val="lv-LV"/>
        </w:rPr>
        <w:fldChar w:fldCharType="separate"/>
      </w:r>
      <w:r>
        <w:rPr>
          <w:noProof/>
          <w:sz w:val="20"/>
          <w:szCs w:val="20"/>
          <w:lang w:val="lv-LV"/>
        </w:rPr>
        <w:t>927</w:t>
      </w:r>
      <w:r>
        <w:rPr>
          <w:sz w:val="20"/>
          <w:szCs w:val="20"/>
          <w:lang w:val="lv-LV"/>
        </w:rPr>
        <w:fldChar w:fldCharType="end"/>
      </w:r>
    </w:p>
    <w:p w:rsidR="004242BE" w:rsidRPr="00C24457" w:rsidRDefault="00497DA6" w:rsidP="004242BE">
      <w:pPr>
        <w:pStyle w:val="naisf"/>
        <w:spacing w:before="0" w:beforeAutospacing="0" w:after="0" w:afterAutospacing="0"/>
        <w:rPr>
          <w:sz w:val="20"/>
          <w:szCs w:val="20"/>
          <w:lang w:val="lv-LV"/>
        </w:rPr>
      </w:pPr>
      <w:bookmarkStart w:id="2" w:name="_GoBack"/>
      <w:bookmarkEnd w:id="2"/>
      <w:r w:rsidRPr="00C24457">
        <w:rPr>
          <w:sz w:val="20"/>
          <w:szCs w:val="20"/>
          <w:lang w:val="lv-LV"/>
        </w:rPr>
        <w:t>I.Orlova</w:t>
      </w:r>
    </w:p>
    <w:p w:rsidR="004242BE" w:rsidRPr="00C24457" w:rsidRDefault="00497DA6" w:rsidP="004242BE">
      <w:pPr>
        <w:pStyle w:val="naisf"/>
        <w:spacing w:before="0" w:beforeAutospacing="0" w:after="0" w:afterAutospacing="0"/>
        <w:rPr>
          <w:sz w:val="20"/>
          <w:szCs w:val="20"/>
          <w:lang w:val="lv-LV"/>
        </w:rPr>
      </w:pPr>
      <w:r w:rsidRPr="00C24457">
        <w:rPr>
          <w:sz w:val="20"/>
          <w:szCs w:val="20"/>
          <w:lang w:val="lv-LV"/>
        </w:rPr>
        <w:t>67027376</w:t>
      </w:r>
      <w:r w:rsidR="004242BE" w:rsidRPr="00C24457">
        <w:rPr>
          <w:sz w:val="20"/>
          <w:szCs w:val="20"/>
          <w:lang w:val="lv-LV"/>
        </w:rPr>
        <w:t xml:space="preserve">, </w:t>
      </w:r>
      <w:r w:rsidRPr="00C24457">
        <w:rPr>
          <w:sz w:val="20"/>
          <w:szCs w:val="20"/>
          <w:lang w:val="lv-LV"/>
        </w:rPr>
        <w:t>Inga.Orlova</w:t>
      </w:r>
      <w:r w:rsidR="00ED5261" w:rsidRPr="00C24457">
        <w:rPr>
          <w:sz w:val="20"/>
          <w:szCs w:val="20"/>
          <w:lang w:val="lv-LV"/>
        </w:rPr>
        <w:t>@zm.gov.lv</w:t>
      </w:r>
      <w:bookmarkEnd w:id="0"/>
      <w:bookmarkEnd w:id="1"/>
    </w:p>
    <w:sectPr w:rsidR="004242BE" w:rsidRPr="00C24457" w:rsidSect="00C7304B">
      <w:headerReference w:type="even" r:id="rId7"/>
      <w:headerReference w:type="default" r:id="rId8"/>
      <w:footerReference w:type="default" r:id="rId9"/>
      <w:footerReference w:type="first" r:id="rId10"/>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2B6" w:rsidRDefault="00D332B6" w:rsidP="002232F9">
      <w:r>
        <w:separator/>
      </w:r>
    </w:p>
  </w:endnote>
  <w:endnote w:type="continuationSeparator" w:id="0">
    <w:p w:rsidR="00D332B6" w:rsidRDefault="00D332B6" w:rsidP="00223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B07" w:rsidRPr="002232F9" w:rsidRDefault="00DE4A1C" w:rsidP="002232F9">
    <w:pPr>
      <w:pStyle w:val="Bezatstarpm"/>
      <w:jc w:val="both"/>
      <w:rPr>
        <w:sz w:val="20"/>
        <w:szCs w:val="20"/>
        <w:lang w:val="lv-LV"/>
      </w:rPr>
    </w:pPr>
    <w:r>
      <w:rPr>
        <w:sz w:val="20"/>
        <w:szCs w:val="20"/>
        <w:lang w:val="lv-LV"/>
      </w:rPr>
      <w:t>ZMAnot_</w:t>
    </w:r>
    <w:r w:rsidR="00262738">
      <w:rPr>
        <w:sz w:val="20"/>
        <w:szCs w:val="20"/>
        <w:lang w:val="lv-LV"/>
      </w:rPr>
      <w:t>030215</w:t>
    </w:r>
    <w:r>
      <w:rPr>
        <w:sz w:val="20"/>
        <w:szCs w:val="20"/>
        <w:lang w:val="lv-LV"/>
      </w:rPr>
      <w:t xml:space="preserve">_Skolaspiens; </w:t>
    </w:r>
    <w:r w:rsidRPr="002232F9">
      <w:rPr>
        <w:bCs/>
        <w:sz w:val="20"/>
        <w:szCs w:val="20"/>
        <w:lang w:val="lv-LV" w:eastAsia="lv-LV"/>
      </w:rPr>
      <w:t>Grozījum</w:t>
    </w:r>
    <w:r w:rsidR="00025CF2">
      <w:rPr>
        <w:bCs/>
        <w:sz w:val="20"/>
        <w:szCs w:val="20"/>
        <w:lang w:val="lv-LV" w:eastAsia="lv-LV"/>
      </w:rPr>
      <w:t>s</w:t>
    </w:r>
    <w:r w:rsidRPr="002232F9">
      <w:rPr>
        <w:bCs/>
        <w:sz w:val="20"/>
        <w:szCs w:val="20"/>
        <w:lang w:val="lv-LV" w:eastAsia="lv-LV"/>
      </w:rPr>
      <w:t xml:space="preserve"> Ministru kabineta </w:t>
    </w:r>
    <w:proofErr w:type="gramStart"/>
    <w:r w:rsidRPr="002232F9">
      <w:rPr>
        <w:bCs/>
        <w:sz w:val="20"/>
        <w:szCs w:val="20"/>
        <w:lang w:val="lv-LV" w:eastAsia="lv-LV"/>
      </w:rPr>
      <w:t>201</w:t>
    </w:r>
    <w:r>
      <w:rPr>
        <w:bCs/>
        <w:sz w:val="20"/>
        <w:szCs w:val="20"/>
        <w:lang w:val="lv-LV" w:eastAsia="lv-LV"/>
      </w:rPr>
      <w:t>1</w:t>
    </w:r>
    <w:r w:rsidRPr="002232F9">
      <w:rPr>
        <w:bCs/>
        <w:sz w:val="20"/>
        <w:szCs w:val="20"/>
        <w:lang w:val="lv-LV" w:eastAsia="lv-LV"/>
      </w:rPr>
      <w:t>.gada</w:t>
    </w:r>
    <w:proofErr w:type="gramEnd"/>
    <w:r w:rsidRPr="002232F9">
      <w:rPr>
        <w:bCs/>
        <w:sz w:val="20"/>
        <w:szCs w:val="20"/>
        <w:lang w:val="lv-LV" w:eastAsia="lv-LV"/>
      </w:rPr>
      <w:t xml:space="preserve"> </w:t>
    </w:r>
    <w:r>
      <w:rPr>
        <w:bCs/>
        <w:sz w:val="20"/>
        <w:szCs w:val="20"/>
        <w:lang w:val="lv-LV" w:eastAsia="lv-LV"/>
      </w:rPr>
      <w:t>1.februāra noteikumos</w:t>
    </w:r>
    <w:r w:rsidRPr="002232F9">
      <w:rPr>
        <w:bCs/>
        <w:sz w:val="20"/>
        <w:szCs w:val="20"/>
        <w:lang w:val="lv-LV" w:eastAsia="lv-LV"/>
      </w:rPr>
      <w:t xml:space="preserve"> Nr.</w:t>
    </w:r>
    <w:r>
      <w:rPr>
        <w:bCs/>
        <w:sz w:val="20"/>
        <w:szCs w:val="20"/>
        <w:lang w:val="lv-LV" w:eastAsia="lv-LV"/>
      </w:rPr>
      <w:t>106</w:t>
    </w:r>
    <w:r w:rsidRPr="002232F9">
      <w:rPr>
        <w:bCs/>
        <w:sz w:val="20"/>
        <w:szCs w:val="20"/>
        <w:lang w:val="lv-LV" w:eastAsia="lv-LV"/>
      </w:rPr>
      <w:t xml:space="preserve"> „</w:t>
    </w:r>
    <w:r w:rsidRPr="006C3DF7">
      <w:rPr>
        <w:sz w:val="20"/>
        <w:szCs w:val="20"/>
        <w:lang w:val="lv-LV" w:eastAsia="lv-LV"/>
      </w:rPr>
      <w:t>Kārtība, kādā piešķir, administrē un uzrauga valsts un Eiropas Savienības atbalstu piena produktu piegādei izglītojamiem vispārējās izglītības iestādēs</w:t>
    </w:r>
    <w:r w:rsidRPr="002232F9">
      <w:rPr>
        <w:bCs/>
        <w:sz w:val="20"/>
        <w:szCs w:val="20"/>
        <w:lang w:val="lv-LV" w:eastAsia="lv-LV"/>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B07" w:rsidRPr="002232F9" w:rsidRDefault="00DE4A1C" w:rsidP="006C3DF7">
    <w:pPr>
      <w:pStyle w:val="Bezatstarpm"/>
      <w:jc w:val="both"/>
      <w:rPr>
        <w:sz w:val="20"/>
        <w:szCs w:val="20"/>
        <w:lang w:val="lv-LV"/>
      </w:rPr>
    </w:pPr>
    <w:r>
      <w:rPr>
        <w:sz w:val="20"/>
        <w:szCs w:val="20"/>
        <w:lang w:val="lv-LV"/>
      </w:rPr>
      <w:t>ZMAnot_</w:t>
    </w:r>
    <w:r w:rsidR="00262738">
      <w:rPr>
        <w:sz w:val="20"/>
        <w:szCs w:val="20"/>
        <w:lang w:val="lv-LV"/>
      </w:rPr>
      <w:t>030215</w:t>
    </w:r>
    <w:r>
      <w:rPr>
        <w:sz w:val="20"/>
        <w:szCs w:val="20"/>
        <w:lang w:val="lv-LV"/>
      </w:rPr>
      <w:t xml:space="preserve">_Skolaspiens; </w:t>
    </w:r>
    <w:r w:rsidR="00984B07" w:rsidRPr="002232F9">
      <w:rPr>
        <w:bCs/>
        <w:sz w:val="20"/>
        <w:szCs w:val="20"/>
        <w:lang w:val="lv-LV" w:eastAsia="lv-LV"/>
      </w:rPr>
      <w:t>Grozījum</w:t>
    </w:r>
    <w:r w:rsidR="00025CF2">
      <w:rPr>
        <w:bCs/>
        <w:sz w:val="20"/>
        <w:szCs w:val="20"/>
        <w:lang w:val="lv-LV" w:eastAsia="lv-LV"/>
      </w:rPr>
      <w:t>s</w:t>
    </w:r>
    <w:r w:rsidR="00984B07" w:rsidRPr="002232F9">
      <w:rPr>
        <w:bCs/>
        <w:sz w:val="20"/>
        <w:szCs w:val="20"/>
        <w:lang w:val="lv-LV" w:eastAsia="lv-LV"/>
      </w:rPr>
      <w:t xml:space="preserve"> Ministru kabineta </w:t>
    </w:r>
    <w:proofErr w:type="gramStart"/>
    <w:r w:rsidR="00984B07" w:rsidRPr="002232F9">
      <w:rPr>
        <w:bCs/>
        <w:sz w:val="20"/>
        <w:szCs w:val="20"/>
        <w:lang w:val="lv-LV" w:eastAsia="lv-LV"/>
      </w:rPr>
      <w:t>201</w:t>
    </w:r>
    <w:r w:rsidR="00984B07">
      <w:rPr>
        <w:bCs/>
        <w:sz w:val="20"/>
        <w:szCs w:val="20"/>
        <w:lang w:val="lv-LV" w:eastAsia="lv-LV"/>
      </w:rPr>
      <w:t>1</w:t>
    </w:r>
    <w:r w:rsidR="00984B07" w:rsidRPr="002232F9">
      <w:rPr>
        <w:bCs/>
        <w:sz w:val="20"/>
        <w:szCs w:val="20"/>
        <w:lang w:val="lv-LV" w:eastAsia="lv-LV"/>
      </w:rPr>
      <w:t>.gada</w:t>
    </w:r>
    <w:proofErr w:type="gramEnd"/>
    <w:r w:rsidR="00984B07" w:rsidRPr="002232F9">
      <w:rPr>
        <w:bCs/>
        <w:sz w:val="20"/>
        <w:szCs w:val="20"/>
        <w:lang w:val="lv-LV" w:eastAsia="lv-LV"/>
      </w:rPr>
      <w:t xml:space="preserve"> </w:t>
    </w:r>
    <w:r w:rsidR="00984B07">
      <w:rPr>
        <w:bCs/>
        <w:sz w:val="20"/>
        <w:szCs w:val="20"/>
        <w:lang w:val="lv-LV" w:eastAsia="lv-LV"/>
      </w:rPr>
      <w:t>1.februāra noteikumos</w:t>
    </w:r>
    <w:r w:rsidR="00984B07" w:rsidRPr="002232F9">
      <w:rPr>
        <w:bCs/>
        <w:sz w:val="20"/>
        <w:szCs w:val="20"/>
        <w:lang w:val="lv-LV" w:eastAsia="lv-LV"/>
      </w:rPr>
      <w:t xml:space="preserve"> Nr.</w:t>
    </w:r>
    <w:r w:rsidR="00984B07">
      <w:rPr>
        <w:bCs/>
        <w:sz w:val="20"/>
        <w:szCs w:val="20"/>
        <w:lang w:val="lv-LV" w:eastAsia="lv-LV"/>
      </w:rPr>
      <w:t>106</w:t>
    </w:r>
    <w:r w:rsidR="00984B07" w:rsidRPr="002232F9">
      <w:rPr>
        <w:bCs/>
        <w:sz w:val="20"/>
        <w:szCs w:val="20"/>
        <w:lang w:val="lv-LV" w:eastAsia="lv-LV"/>
      </w:rPr>
      <w:t xml:space="preserve"> „</w:t>
    </w:r>
    <w:r w:rsidR="00984B07" w:rsidRPr="006C3DF7">
      <w:rPr>
        <w:sz w:val="20"/>
        <w:szCs w:val="20"/>
        <w:lang w:val="lv-LV" w:eastAsia="lv-LV"/>
      </w:rPr>
      <w:t>Kārtība, kādā piešķir, administrē un uzrauga valsts un Eiropas Savienības atbalstu piena produktu piegādei izglītojamiem vispārējās izglītības iestādēs</w:t>
    </w:r>
    <w:r w:rsidR="00984B07" w:rsidRPr="002232F9">
      <w:rPr>
        <w:bCs/>
        <w:sz w:val="20"/>
        <w:szCs w:val="20"/>
        <w:lang w:val="lv-LV" w:eastAsia="lv-LV"/>
      </w:rPr>
      <w:t>”</w:t>
    </w:r>
  </w:p>
  <w:p w:rsidR="00984B07" w:rsidRPr="006C3DF7" w:rsidRDefault="00984B07" w:rsidP="006C3DF7">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2B6" w:rsidRDefault="00D332B6" w:rsidP="002232F9">
      <w:r>
        <w:separator/>
      </w:r>
    </w:p>
  </w:footnote>
  <w:footnote w:type="continuationSeparator" w:id="0">
    <w:p w:rsidR="00D332B6" w:rsidRDefault="00D332B6" w:rsidP="002232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B07" w:rsidRDefault="00984B0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84B07" w:rsidRDefault="00984B07">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B07" w:rsidRDefault="00984B0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814AE3">
      <w:rPr>
        <w:rStyle w:val="Lappusesnumurs"/>
        <w:noProof/>
      </w:rPr>
      <w:t>4</w:t>
    </w:r>
    <w:r>
      <w:rPr>
        <w:rStyle w:val="Lappusesnumurs"/>
      </w:rPr>
      <w:fldChar w:fldCharType="end"/>
    </w:r>
  </w:p>
  <w:p w:rsidR="00984B07" w:rsidRDefault="00984B0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AF5B42"/>
    <w:multiLevelType w:val="hybridMultilevel"/>
    <w:tmpl w:val="A8740D16"/>
    <w:lvl w:ilvl="0" w:tplc="4FBE987E">
      <w:start w:val="3"/>
      <w:numFmt w:val="bullet"/>
      <w:lvlText w:val="-"/>
      <w:lvlJc w:val="left"/>
      <w:pPr>
        <w:ind w:left="502" w:hanging="360"/>
      </w:pPr>
      <w:rPr>
        <w:rFonts w:ascii="Times New Roman" w:eastAsia="Times New Roman" w:hAnsi="Times New Roman" w:hint="default"/>
      </w:rPr>
    </w:lvl>
    <w:lvl w:ilvl="1" w:tplc="04260003" w:tentative="1">
      <w:start w:val="1"/>
      <w:numFmt w:val="bullet"/>
      <w:lvlText w:val="o"/>
      <w:lvlJc w:val="left"/>
      <w:pPr>
        <w:ind w:left="1222" w:hanging="360"/>
      </w:pPr>
      <w:rPr>
        <w:rFonts w:ascii="Courier New" w:hAnsi="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
    <w:nsid w:val="57C44919"/>
    <w:multiLevelType w:val="hybridMultilevel"/>
    <w:tmpl w:val="879AB164"/>
    <w:lvl w:ilvl="0" w:tplc="149E6860">
      <w:start w:val="1"/>
      <w:numFmt w:val="decimal"/>
      <w:lvlText w:val="%1)"/>
      <w:lvlJc w:val="left"/>
      <w:pPr>
        <w:ind w:left="409" w:hanging="360"/>
      </w:pPr>
      <w:rPr>
        <w:rFonts w:hint="default"/>
      </w:rPr>
    </w:lvl>
    <w:lvl w:ilvl="1" w:tplc="04260019" w:tentative="1">
      <w:start w:val="1"/>
      <w:numFmt w:val="lowerLetter"/>
      <w:lvlText w:val="%2."/>
      <w:lvlJc w:val="left"/>
      <w:pPr>
        <w:ind w:left="1129" w:hanging="360"/>
      </w:pPr>
    </w:lvl>
    <w:lvl w:ilvl="2" w:tplc="0426001B" w:tentative="1">
      <w:start w:val="1"/>
      <w:numFmt w:val="lowerRoman"/>
      <w:lvlText w:val="%3."/>
      <w:lvlJc w:val="right"/>
      <w:pPr>
        <w:ind w:left="1849" w:hanging="180"/>
      </w:pPr>
    </w:lvl>
    <w:lvl w:ilvl="3" w:tplc="0426000F" w:tentative="1">
      <w:start w:val="1"/>
      <w:numFmt w:val="decimal"/>
      <w:lvlText w:val="%4."/>
      <w:lvlJc w:val="left"/>
      <w:pPr>
        <w:ind w:left="2569" w:hanging="360"/>
      </w:pPr>
    </w:lvl>
    <w:lvl w:ilvl="4" w:tplc="04260019" w:tentative="1">
      <w:start w:val="1"/>
      <w:numFmt w:val="lowerLetter"/>
      <w:lvlText w:val="%5."/>
      <w:lvlJc w:val="left"/>
      <w:pPr>
        <w:ind w:left="3289" w:hanging="360"/>
      </w:pPr>
    </w:lvl>
    <w:lvl w:ilvl="5" w:tplc="0426001B" w:tentative="1">
      <w:start w:val="1"/>
      <w:numFmt w:val="lowerRoman"/>
      <w:lvlText w:val="%6."/>
      <w:lvlJc w:val="right"/>
      <w:pPr>
        <w:ind w:left="4009" w:hanging="180"/>
      </w:pPr>
    </w:lvl>
    <w:lvl w:ilvl="6" w:tplc="0426000F" w:tentative="1">
      <w:start w:val="1"/>
      <w:numFmt w:val="decimal"/>
      <w:lvlText w:val="%7."/>
      <w:lvlJc w:val="left"/>
      <w:pPr>
        <w:ind w:left="4729" w:hanging="360"/>
      </w:pPr>
    </w:lvl>
    <w:lvl w:ilvl="7" w:tplc="04260019" w:tentative="1">
      <w:start w:val="1"/>
      <w:numFmt w:val="lowerLetter"/>
      <w:lvlText w:val="%8."/>
      <w:lvlJc w:val="left"/>
      <w:pPr>
        <w:ind w:left="5449" w:hanging="360"/>
      </w:pPr>
    </w:lvl>
    <w:lvl w:ilvl="8" w:tplc="0426001B" w:tentative="1">
      <w:start w:val="1"/>
      <w:numFmt w:val="lowerRoman"/>
      <w:lvlText w:val="%9."/>
      <w:lvlJc w:val="right"/>
      <w:pPr>
        <w:ind w:left="616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260"/>
    <w:rsid w:val="00006C0F"/>
    <w:rsid w:val="00016F1C"/>
    <w:rsid w:val="00025CF2"/>
    <w:rsid w:val="000518DD"/>
    <w:rsid w:val="000769AC"/>
    <w:rsid w:val="00097F5D"/>
    <w:rsid w:val="000D58FB"/>
    <w:rsid w:val="000F0DC0"/>
    <w:rsid w:val="00133B13"/>
    <w:rsid w:val="001A6974"/>
    <w:rsid w:val="001D7C8E"/>
    <w:rsid w:val="001F090F"/>
    <w:rsid w:val="002153BF"/>
    <w:rsid w:val="002232F9"/>
    <w:rsid w:val="002270A9"/>
    <w:rsid w:val="00254168"/>
    <w:rsid w:val="00262738"/>
    <w:rsid w:val="00281417"/>
    <w:rsid w:val="002A27EA"/>
    <w:rsid w:val="002B4679"/>
    <w:rsid w:val="002B745B"/>
    <w:rsid w:val="002D57AA"/>
    <w:rsid w:val="0036615E"/>
    <w:rsid w:val="003E2DCB"/>
    <w:rsid w:val="003F6BF2"/>
    <w:rsid w:val="00402230"/>
    <w:rsid w:val="00406F79"/>
    <w:rsid w:val="004242BE"/>
    <w:rsid w:val="00443949"/>
    <w:rsid w:val="004518D1"/>
    <w:rsid w:val="00497A95"/>
    <w:rsid w:val="00497DA6"/>
    <w:rsid w:val="004D22A8"/>
    <w:rsid w:val="004E6A12"/>
    <w:rsid w:val="004F79DD"/>
    <w:rsid w:val="00506D8F"/>
    <w:rsid w:val="00515ACE"/>
    <w:rsid w:val="00517BC0"/>
    <w:rsid w:val="005202F7"/>
    <w:rsid w:val="00533138"/>
    <w:rsid w:val="00564D50"/>
    <w:rsid w:val="005737E5"/>
    <w:rsid w:val="00594ED5"/>
    <w:rsid w:val="005B5C0A"/>
    <w:rsid w:val="005C7EC1"/>
    <w:rsid w:val="005D0EDC"/>
    <w:rsid w:val="005D71E0"/>
    <w:rsid w:val="005E707F"/>
    <w:rsid w:val="00606A62"/>
    <w:rsid w:val="0061283F"/>
    <w:rsid w:val="00683260"/>
    <w:rsid w:val="006C3DF7"/>
    <w:rsid w:val="006D3940"/>
    <w:rsid w:val="006F4D57"/>
    <w:rsid w:val="00736A8F"/>
    <w:rsid w:val="007408EC"/>
    <w:rsid w:val="00757679"/>
    <w:rsid w:val="00773A3D"/>
    <w:rsid w:val="007A7F3A"/>
    <w:rsid w:val="007C39A4"/>
    <w:rsid w:val="007E1ED1"/>
    <w:rsid w:val="0080282B"/>
    <w:rsid w:val="00814AE3"/>
    <w:rsid w:val="00853200"/>
    <w:rsid w:val="008939F2"/>
    <w:rsid w:val="008F32CB"/>
    <w:rsid w:val="00922BE6"/>
    <w:rsid w:val="009267A0"/>
    <w:rsid w:val="00947A6E"/>
    <w:rsid w:val="00961679"/>
    <w:rsid w:val="00984B07"/>
    <w:rsid w:val="009A13DF"/>
    <w:rsid w:val="009A332E"/>
    <w:rsid w:val="009B0DF3"/>
    <w:rsid w:val="009C0031"/>
    <w:rsid w:val="009E6239"/>
    <w:rsid w:val="00A477F5"/>
    <w:rsid w:val="00A52509"/>
    <w:rsid w:val="00A84E29"/>
    <w:rsid w:val="00A9009E"/>
    <w:rsid w:val="00A932F0"/>
    <w:rsid w:val="00AC57AB"/>
    <w:rsid w:val="00B31248"/>
    <w:rsid w:val="00B7421C"/>
    <w:rsid w:val="00BF551E"/>
    <w:rsid w:val="00C24457"/>
    <w:rsid w:val="00C3320F"/>
    <w:rsid w:val="00C4068C"/>
    <w:rsid w:val="00C642A2"/>
    <w:rsid w:val="00C71980"/>
    <w:rsid w:val="00C7304B"/>
    <w:rsid w:val="00C841BE"/>
    <w:rsid w:val="00CF3BD2"/>
    <w:rsid w:val="00D01D35"/>
    <w:rsid w:val="00D332B6"/>
    <w:rsid w:val="00D53136"/>
    <w:rsid w:val="00D5687F"/>
    <w:rsid w:val="00D677EF"/>
    <w:rsid w:val="00D950A3"/>
    <w:rsid w:val="00D97D1B"/>
    <w:rsid w:val="00DB2017"/>
    <w:rsid w:val="00DD010C"/>
    <w:rsid w:val="00DD51F0"/>
    <w:rsid w:val="00DE4A1C"/>
    <w:rsid w:val="00E3614F"/>
    <w:rsid w:val="00E9766E"/>
    <w:rsid w:val="00EA2C5D"/>
    <w:rsid w:val="00EB36FD"/>
    <w:rsid w:val="00ED5261"/>
    <w:rsid w:val="00ED57E5"/>
    <w:rsid w:val="00F075B1"/>
    <w:rsid w:val="00F14F63"/>
    <w:rsid w:val="00F40411"/>
    <w:rsid w:val="00F40CB6"/>
    <w:rsid w:val="00F42363"/>
    <w:rsid w:val="00F562EC"/>
    <w:rsid w:val="00FB48CA"/>
    <w:rsid w:val="00FE7B78"/>
    <w:rsid w:val="00FF1B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480CB3A-7A7B-4BB8-8CD3-DF710C338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83260"/>
    <w:pPr>
      <w:spacing w:after="0" w:line="240" w:lineRule="auto"/>
    </w:pPr>
    <w:rPr>
      <w:rFonts w:ascii="Times New Roman" w:eastAsia="Times New Roman" w:hAnsi="Times New Roman" w:cs="Times New Roman"/>
      <w:sz w:val="24"/>
      <w:szCs w:val="24"/>
      <w:lang w:val="en-GB"/>
    </w:rPr>
  </w:style>
  <w:style w:type="paragraph" w:styleId="Virsraksts3">
    <w:name w:val="heading 3"/>
    <w:basedOn w:val="Parasts"/>
    <w:link w:val="Virsraksts3Rakstz"/>
    <w:uiPriority w:val="9"/>
    <w:qFormat/>
    <w:rsid w:val="00C7304B"/>
    <w:pPr>
      <w:spacing w:before="100" w:beforeAutospacing="1" w:after="100" w:afterAutospacing="1"/>
      <w:outlineLvl w:val="2"/>
    </w:pPr>
    <w:rPr>
      <w:b/>
      <w:bCs/>
      <w:sz w:val="27"/>
      <w:szCs w:val="27"/>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683260"/>
    <w:pPr>
      <w:spacing w:before="100" w:beforeAutospacing="1" w:after="100" w:afterAutospacing="1"/>
      <w:jc w:val="both"/>
    </w:pPr>
    <w:rPr>
      <w:rFonts w:eastAsia="Arial Unicode MS"/>
    </w:rPr>
  </w:style>
  <w:style w:type="paragraph" w:styleId="Kjene">
    <w:name w:val="footer"/>
    <w:basedOn w:val="Parasts"/>
    <w:link w:val="KjeneRakstz"/>
    <w:rsid w:val="00683260"/>
    <w:pPr>
      <w:tabs>
        <w:tab w:val="center" w:pos="4153"/>
        <w:tab w:val="right" w:pos="8306"/>
      </w:tabs>
      <w:snapToGrid w:val="0"/>
    </w:pPr>
    <w:rPr>
      <w:rFonts w:ascii="RimTimes" w:hAnsi="RimTimes"/>
      <w:sz w:val="28"/>
      <w:szCs w:val="20"/>
      <w:lang w:val="lv-LV"/>
    </w:rPr>
  </w:style>
  <w:style w:type="character" w:customStyle="1" w:styleId="KjeneRakstz">
    <w:name w:val="Kājene Rakstz."/>
    <w:basedOn w:val="Noklusjumarindkopasfonts"/>
    <w:link w:val="Kjene"/>
    <w:rsid w:val="00683260"/>
    <w:rPr>
      <w:rFonts w:ascii="RimTimes" w:eastAsia="Times New Roman" w:hAnsi="RimTimes" w:cs="Times New Roman"/>
      <w:sz w:val="28"/>
      <w:szCs w:val="20"/>
    </w:rPr>
  </w:style>
  <w:style w:type="paragraph" w:styleId="Galvene">
    <w:name w:val="header"/>
    <w:basedOn w:val="Parasts"/>
    <w:link w:val="GalveneRakstz"/>
    <w:uiPriority w:val="99"/>
    <w:rsid w:val="00683260"/>
    <w:pPr>
      <w:tabs>
        <w:tab w:val="center" w:pos="4153"/>
        <w:tab w:val="right" w:pos="8306"/>
      </w:tabs>
    </w:pPr>
  </w:style>
  <w:style w:type="character" w:customStyle="1" w:styleId="GalveneRakstz">
    <w:name w:val="Galvene Rakstz."/>
    <w:basedOn w:val="Noklusjumarindkopasfonts"/>
    <w:link w:val="Galvene"/>
    <w:uiPriority w:val="99"/>
    <w:rsid w:val="00683260"/>
    <w:rPr>
      <w:rFonts w:ascii="Times New Roman" w:eastAsia="Times New Roman" w:hAnsi="Times New Roman" w:cs="Times New Roman"/>
      <w:sz w:val="24"/>
      <w:szCs w:val="24"/>
      <w:lang w:val="en-GB"/>
    </w:rPr>
  </w:style>
  <w:style w:type="character" w:styleId="Lappusesnumurs">
    <w:name w:val="page number"/>
    <w:basedOn w:val="Noklusjumarindkopasfonts"/>
    <w:rsid w:val="00683260"/>
  </w:style>
  <w:style w:type="character" w:styleId="Hipersaite">
    <w:name w:val="Hyperlink"/>
    <w:basedOn w:val="Noklusjumarindkopasfonts"/>
    <w:uiPriority w:val="99"/>
    <w:unhideWhenUsed/>
    <w:rsid w:val="002232F9"/>
    <w:rPr>
      <w:color w:val="0000FF" w:themeColor="hyperlink"/>
      <w:u w:val="single"/>
    </w:rPr>
  </w:style>
  <w:style w:type="paragraph" w:styleId="Bezatstarpm">
    <w:name w:val="No Spacing"/>
    <w:uiPriority w:val="1"/>
    <w:qFormat/>
    <w:rsid w:val="002232F9"/>
    <w:pPr>
      <w:spacing w:after="0" w:line="240" w:lineRule="auto"/>
    </w:pPr>
    <w:rPr>
      <w:rFonts w:ascii="Times New Roman" w:eastAsia="Times New Roman" w:hAnsi="Times New Roman" w:cs="Times New Roman"/>
      <w:sz w:val="24"/>
      <w:szCs w:val="24"/>
      <w:lang w:val="en-GB"/>
    </w:rPr>
  </w:style>
  <w:style w:type="paragraph" w:styleId="Sarakstarindkopa">
    <w:name w:val="List Paragraph"/>
    <w:basedOn w:val="Parasts"/>
    <w:uiPriority w:val="99"/>
    <w:qFormat/>
    <w:rsid w:val="004E6A12"/>
    <w:pPr>
      <w:ind w:left="720"/>
    </w:pPr>
    <w:rPr>
      <w:lang w:val="lv-LV" w:eastAsia="lv-LV"/>
    </w:rPr>
  </w:style>
  <w:style w:type="paragraph" w:styleId="Balonteksts">
    <w:name w:val="Balloon Text"/>
    <w:basedOn w:val="Parasts"/>
    <w:link w:val="BalontekstsRakstz"/>
    <w:uiPriority w:val="99"/>
    <w:semiHidden/>
    <w:unhideWhenUsed/>
    <w:rsid w:val="004E6A1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E6A12"/>
    <w:rPr>
      <w:rFonts w:ascii="Tahoma" w:eastAsia="Times New Roman" w:hAnsi="Tahoma" w:cs="Tahoma"/>
      <w:sz w:val="16"/>
      <w:szCs w:val="16"/>
      <w:lang w:val="en-GB"/>
    </w:rPr>
  </w:style>
  <w:style w:type="paragraph" w:customStyle="1" w:styleId="naiskr">
    <w:name w:val="naiskr"/>
    <w:basedOn w:val="Parasts"/>
    <w:rsid w:val="009A332E"/>
    <w:pPr>
      <w:spacing w:before="75" w:after="75"/>
    </w:pPr>
    <w:rPr>
      <w:lang w:val="lv-LV" w:eastAsia="lv-LV"/>
    </w:rPr>
  </w:style>
  <w:style w:type="paragraph" w:customStyle="1" w:styleId="tvhtml">
    <w:name w:val="tv_html"/>
    <w:basedOn w:val="Parasts"/>
    <w:rsid w:val="009A332E"/>
    <w:pPr>
      <w:spacing w:before="100" w:beforeAutospacing="1" w:after="100" w:afterAutospacing="1"/>
    </w:pPr>
    <w:rPr>
      <w:lang w:val="lv-LV" w:eastAsia="lv-LV"/>
    </w:rPr>
  </w:style>
  <w:style w:type="character" w:styleId="Komentraatsauce">
    <w:name w:val="annotation reference"/>
    <w:basedOn w:val="Noklusjumarindkopasfonts"/>
    <w:uiPriority w:val="99"/>
    <w:semiHidden/>
    <w:unhideWhenUsed/>
    <w:rsid w:val="00BF551E"/>
    <w:rPr>
      <w:sz w:val="16"/>
      <w:szCs w:val="16"/>
    </w:rPr>
  </w:style>
  <w:style w:type="paragraph" w:styleId="Komentrateksts">
    <w:name w:val="annotation text"/>
    <w:basedOn w:val="Parasts"/>
    <w:link w:val="KomentratekstsRakstz"/>
    <w:uiPriority w:val="99"/>
    <w:semiHidden/>
    <w:unhideWhenUsed/>
    <w:rsid w:val="00BF551E"/>
    <w:rPr>
      <w:sz w:val="20"/>
      <w:szCs w:val="20"/>
    </w:rPr>
  </w:style>
  <w:style w:type="character" w:customStyle="1" w:styleId="KomentratekstsRakstz">
    <w:name w:val="Komentāra teksts Rakstz."/>
    <w:basedOn w:val="Noklusjumarindkopasfonts"/>
    <w:link w:val="Komentrateksts"/>
    <w:uiPriority w:val="99"/>
    <w:semiHidden/>
    <w:rsid w:val="00BF551E"/>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BF551E"/>
    <w:rPr>
      <w:b/>
      <w:bCs/>
    </w:rPr>
  </w:style>
  <w:style w:type="character" w:customStyle="1" w:styleId="KomentratmaRakstz">
    <w:name w:val="Komentāra tēma Rakstz."/>
    <w:basedOn w:val="KomentratekstsRakstz"/>
    <w:link w:val="Komentratma"/>
    <w:uiPriority w:val="99"/>
    <w:semiHidden/>
    <w:rsid w:val="00BF551E"/>
    <w:rPr>
      <w:rFonts w:ascii="Times New Roman" w:eastAsia="Times New Roman" w:hAnsi="Times New Roman" w:cs="Times New Roman"/>
      <w:b/>
      <w:bCs/>
      <w:sz w:val="20"/>
      <w:szCs w:val="20"/>
      <w:lang w:val="en-GB"/>
    </w:rPr>
  </w:style>
  <w:style w:type="character" w:customStyle="1" w:styleId="Virsraksts3Rakstz">
    <w:name w:val="Virsraksts 3 Rakstz."/>
    <w:basedOn w:val="Noklusjumarindkopasfonts"/>
    <w:link w:val="Virsraksts3"/>
    <w:uiPriority w:val="9"/>
    <w:rsid w:val="00C7304B"/>
    <w:rPr>
      <w:rFonts w:ascii="Times New Roman" w:eastAsia="Times New Roman" w:hAnsi="Times New Roman" w:cs="Times New Roman"/>
      <w:b/>
      <w:bCs/>
      <w:sz w:val="27"/>
      <w:szCs w:val="27"/>
      <w:lang w:val="en-US"/>
    </w:rPr>
  </w:style>
  <w:style w:type="paragraph" w:styleId="Prskatjums">
    <w:name w:val="Revision"/>
    <w:hidden/>
    <w:uiPriority w:val="99"/>
    <w:semiHidden/>
    <w:rsid w:val="00DE4A1C"/>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313448">
      <w:bodyDiv w:val="1"/>
      <w:marLeft w:val="0"/>
      <w:marRight w:val="0"/>
      <w:marTop w:val="0"/>
      <w:marBottom w:val="0"/>
      <w:divBdr>
        <w:top w:val="none" w:sz="0" w:space="0" w:color="auto"/>
        <w:left w:val="none" w:sz="0" w:space="0" w:color="auto"/>
        <w:bottom w:val="none" w:sz="0" w:space="0" w:color="auto"/>
        <w:right w:val="none" w:sz="0" w:space="0" w:color="auto"/>
      </w:divBdr>
    </w:div>
    <w:div w:id="1022125257">
      <w:bodyDiv w:val="1"/>
      <w:marLeft w:val="0"/>
      <w:marRight w:val="0"/>
      <w:marTop w:val="0"/>
      <w:marBottom w:val="0"/>
      <w:divBdr>
        <w:top w:val="none" w:sz="0" w:space="0" w:color="auto"/>
        <w:left w:val="none" w:sz="0" w:space="0" w:color="auto"/>
        <w:bottom w:val="none" w:sz="0" w:space="0" w:color="auto"/>
        <w:right w:val="none" w:sz="0" w:space="0" w:color="auto"/>
      </w:divBdr>
    </w:div>
    <w:div w:id="171149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942</Words>
  <Characters>6660</Characters>
  <Application>Microsoft Office Word</Application>
  <DocSecurity>0</DocSecurity>
  <Lines>256</Lines>
  <Paragraphs>81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2014.gada 2.jūlija rīkojumā Nr.322 Par ārkārtējās situācijas izsludināšanu</vt:lpstr>
      <vt:lpstr>Grozījumi Ministru kabineta 2014.gada 2.jūlija rīkojumā Nr.322 Par ārkārtējās situācijas izsludināšanu</vt:lpstr>
    </vt:vector>
  </TitlesOfParts>
  <Manager>Veterinārais un pārtikas departaments</Manager>
  <Company>Zemkopības Ministrija</Company>
  <LinksUpToDate>false</LinksUpToDate>
  <CharactersWithSpaces>7521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2014.gada 2.jūlija rīkojumā Nr.322 Par ārkārtējās situācijas izsludināšanu</dc:title>
  <dc:subject>MK rīkojuma anotācija</dc:subject>
  <dc:creator>Sanita Vanaga, Linda Gurecka</dc:creator>
  <dc:description>Sanita.Vanaga@zm.gov.lv, 67027363,
Linda.Gurecka@zm.gov.lv, 67027063</dc:description>
  <cp:lastModifiedBy>Renārs Žagars</cp:lastModifiedBy>
  <cp:revision>10</cp:revision>
  <cp:lastPrinted>2014-12-16T08:33:00Z</cp:lastPrinted>
  <dcterms:created xsi:type="dcterms:W3CDTF">2015-02-02T15:10:00Z</dcterms:created>
  <dcterms:modified xsi:type="dcterms:W3CDTF">2015-02-03T08:08:00Z</dcterms:modified>
</cp:coreProperties>
</file>