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1B58" w:rsidRPr="007E48B7" w:rsidRDefault="004C41BA" w:rsidP="00FF42DD">
      <w:pPr>
        <w:pStyle w:val="Parastais"/>
        <w:jc w:val="center"/>
        <w:rPr>
          <w:b/>
        </w:rPr>
      </w:pPr>
      <w:bookmarkStart w:id="0" w:name="OLE_LINK1"/>
      <w:bookmarkStart w:id="1" w:name="OLE_LINK2"/>
      <w:bookmarkStart w:id="2" w:name="OLE_LINK3"/>
      <w:bookmarkStart w:id="3" w:name="OLE_LINK4"/>
      <w:r w:rsidRPr="007E48B7">
        <w:rPr>
          <w:rStyle w:val="Izteiksmgs"/>
          <w:bCs w:val="0"/>
        </w:rPr>
        <w:t>Ministru kabineta noteikumu projekta</w:t>
      </w:r>
      <w:r w:rsidR="00422114" w:rsidRPr="007E48B7">
        <w:rPr>
          <w:b/>
        </w:rPr>
        <w:t xml:space="preserve"> </w:t>
      </w:r>
      <w:r w:rsidR="00F5710D">
        <w:rPr>
          <w:b/>
        </w:rPr>
        <w:t>“</w:t>
      </w:r>
      <w:r w:rsidR="00F5710D" w:rsidRPr="00E63FE2">
        <w:rPr>
          <w:b/>
        </w:rPr>
        <w:t>Noteikumi par valsts un Eiropas Savienības atbalsta piešķiršanas kārtību pasākumam “Dabas katastrofās un katastrofālos notikumos cietušā lauksaimniecības ražošanas potenciāla atjaunošana un piemērotu profilaktisko pasākumu ieviešana”</w:t>
      </w:r>
      <w:r w:rsidR="00F5710D">
        <w:rPr>
          <w:b/>
        </w:rPr>
        <w:t xml:space="preserve">” </w:t>
      </w:r>
      <w:r w:rsidR="001F1B58" w:rsidRPr="007E48B7">
        <w:rPr>
          <w:b/>
        </w:rPr>
        <w:t>sākotnējās ietekmes novērtējuma ziņojums (anotācija)</w:t>
      </w:r>
    </w:p>
    <w:p w:rsidR="003B155C" w:rsidRPr="007E48B7" w:rsidRDefault="003B155C" w:rsidP="001F1B58">
      <w:pPr>
        <w:pStyle w:val="naislab"/>
        <w:spacing w:before="0" w:after="0"/>
        <w:jc w:val="center"/>
        <w:outlineLvl w:val="0"/>
        <w:rPr>
          <w:b/>
        </w:rPr>
      </w:pPr>
    </w:p>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1692"/>
        <w:gridCol w:w="7478"/>
      </w:tblGrid>
      <w:tr w:rsidR="008B61B7" w:rsidRPr="007E48B7" w:rsidTr="001F7954">
        <w:tc>
          <w:tcPr>
            <w:tcW w:w="9463" w:type="dxa"/>
            <w:gridSpan w:val="3"/>
          </w:tcPr>
          <w:bookmarkEnd w:id="0"/>
          <w:bookmarkEnd w:id="1"/>
          <w:bookmarkEnd w:id="2"/>
          <w:bookmarkEnd w:id="3"/>
          <w:p w:rsidR="00BE1C3C" w:rsidRPr="007E48B7" w:rsidRDefault="00BE1C3C" w:rsidP="00BE1C3C">
            <w:pPr>
              <w:snapToGrid w:val="0"/>
              <w:jc w:val="center"/>
            </w:pPr>
            <w:r w:rsidRPr="007E48B7">
              <w:rPr>
                <w:b/>
                <w:bCs/>
              </w:rPr>
              <w:t>I. Tiesību akta projekta izstrādes nepieciešamība</w:t>
            </w:r>
          </w:p>
        </w:tc>
      </w:tr>
      <w:tr w:rsidR="008B61B7" w:rsidRPr="007E48B7" w:rsidTr="001F7954">
        <w:trPr>
          <w:trHeight w:val="495"/>
        </w:trPr>
        <w:tc>
          <w:tcPr>
            <w:tcW w:w="293" w:type="dxa"/>
          </w:tcPr>
          <w:p w:rsidR="00E3225D" w:rsidRPr="007E48B7" w:rsidRDefault="00E3225D">
            <w:pPr>
              <w:snapToGrid w:val="0"/>
              <w:jc w:val="both"/>
            </w:pPr>
            <w:r w:rsidRPr="007E48B7">
              <w:t>1.</w:t>
            </w:r>
          </w:p>
        </w:tc>
        <w:tc>
          <w:tcPr>
            <w:tcW w:w="1692" w:type="dxa"/>
          </w:tcPr>
          <w:p w:rsidR="00E3225D" w:rsidRPr="007E48B7" w:rsidRDefault="00E3225D">
            <w:pPr>
              <w:snapToGrid w:val="0"/>
              <w:jc w:val="both"/>
            </w:pPr>
            <w:r w:rsidRPr="007E48B7">
              <w:t>Pamatojums</w:t>
            </w:r>
          </w:p>
        </w:tc>
        <w:tc>
          <w:tcPr>
            <w:tcW w:w="7478" w:type="dxa"/>
          </w:tcPr>
          <w:p w:rsidR="000C1DA0" w:rsidRPr="007E48B7" w:rsidRDefault="000C1DA0" w:rsidP="009D408F">
            <w:pPr>
              <w:pStyle w:val="Nosaukums"/>
              <w:ind w:left="0" w:firstLine="0"/>
              <w:jc w:val="both"/>
              <w:rPr>
                <w:sz w:val="24"/>
                <w:szCs w:val="24"/>
              </w:rPr>
            </w:pPr>
            <w:r w:rsidRPr="007E48B7">
              <w:rPr>
                <w:b w:val="0"/>
                <w:sz w:val="24"/>
                <w:szCs w:val="24"/>
              </w:rPr>
              <w:t xml:space="preserve">Normatīvā akta projekts izstrādāts, pamatojoties uz </w:t>
            </w:r>
            <w:r w:rsidRPr="007E48B7">
              <w:rPr>
                <w:b w:val="0"/>
                <w:bCs/>
                <w:sz w:val="24"/>
                <w:szCs w:val="24"/>
              </w:rPr>
              <w:t>Lauksaimniecības un lauku attīstības likuma 5.panta ceturto daļu</w:t>
            </w:r>
            <w:r w:rsidR="009D408F" w:rsidRPr="007E48B7">
              <w:rPr>
                <w:b w:val="0"/>
                <w:bCs/>
                <w:sz w:val="24"/>
                <w:szCs w:val="24"/>
              </w:rPr>
              <w:t>, kā arī</w:t>
            </w:r>
            <w:r w:rsidRPr="007E48B7">
              <w:rPr>
                <w:b w:val="0"/>
                <w:bCs/>
                <w:sz w:val="24"/>
                <w:szCs w:val="24"/>
              </w:rPr>
              <w:t xml:space="preserve"> uz </w:t>
            </w:r>
            <w:r w:rsidRPr="007E48B7">
              <w:rPr>
                <w:b w:val="0"/>
                <w:sz w:val="24"/>
                <w:szCs w:val="24"/>
              </w:rPr>
              <w:t>Latvijas Lauku attīstības programmu 2014.–2020.</w:t>
            </w:r>
            <w:r w:rsidR="00DB3307" w:rsidRPr="007E48B7">
              <w:rPr>
                <w:b w:val="0"/>
                <w:sz w:val="24"/>
                <w:szCs w:val="24"/>
              </w:rPr>
              <w:t xml:space="preserve"> </w:t>
            </w:r>
            <w:r w:rsidRPr="007E48B7">
              <w:rPr>
                <w:b w:val="0"/>
                <w:sz w:val="24"/>
                <w:szCs w:val="24"/>
              </w:rPr>
              <w:t>gadam (turpmāk – LAP (2014</w:t>
            </w:r>
            <w:r w:rsidR="009D408F" w:rsidRPr="007E48B7">
              <w:rPr>
                <w:b w:val="0"/>
                <w:sz w:val="24"/>
                <w:szCs w:val="24"/>
              </w:rPr>
              <w:t>–</w:t>
            </w:r>
            <w:r w:rsidRPr="007E48B7">
              <w:rPr>
                <w:b w:val="0"/>
                <w:sz w:val="24"/>
                <w:szCs w:val="24"/>
              </w:rPr>
              <w:t>2020))</w:t>
            </w:r>
            <w:r w:rsidR="009D408F" w:rsidRPr="007E48B7">
              <w:rPr>
                <w:b w:val="0"/>
                <w:sz w:val="24"/>
                <w:szCs w:val="24"/>
              </w:rPr>
              <w:t>.</w:t>
            </w:r>
            <w:r w:rsidRPr="007E48B7">
              <w:rPr>
                <w:b w:val="0"/>
                <w:sz w:val="24"/>
                <w:szCs w:val="24"/>
              </w:rPr>
              <w:t xml:space="preserve"> </w:t>
            </w:r>
            <w:r w:rsidR="009D408F" w:rsidRPr="007E48B7">
              <w:rPr>
                <w:b w:val="0"/>
                <w:sz w:val="24"/>
                <w:szCs w:val="24"/>
              </w:rPr>
              <w:t>Minētā programma</w:t>
            </w:r>
            <w:r w:rsidRPr="007E48B7">
              <w:rPr>
                <w:b w:val="0"/>
                <w:sz w:val="24"/>
                <w:szCs w:val="24"/>
              </w:rPr>
              <w:t xml:space="preserve"> ir vidēja termiņa politikas plānošanas dokuments, kas nosaka lauksaimniecības attīstības mērķus un attīstības virzienus, kā arī to sasniegšanas veidu.</w:t>
            </w:r>
          </w:p>
        </w:tc>
      </w:tr>
      <w:tr w:rsidR="008B61B7" w:rsidRPr="007E48B7" w:rsidTr="001F7954">
        <w:trPr>
          <w:trHeight w:val="809"/>
        </w:trPr>
        <w:tc>
          <w:tcPr>
            <w:tcW w:w="293" w:type="dxa"/>
          </w:tcPr>
          <w:p w:rsidR="00E3225D" w:rsidRPr="007E48B7" w:rsidRDefault="00E3225D">
            <w:pPr>
              <w:snapToGrid w:val="0"/>
              <w:jc w:val="both"/>
            </w:pPr>
            <w:r w:rsidRPr="007E48B7">
              <w:t>2.</w:t>
            </w:r>
          </w:p>
        </w:tc>
        <w:tc>
          <w:tcPr>
            <w:tcW w:w="1692" w:type="dxa"/>
          </w:tcPr>
          <w:p w:rsidR="006132C0" w:rsidRPr="007E48B7" w:rsidRDefault="006132C0" w:rsidP="00AE77F3">
            <w:pPr>
              <w:snapToGrid w:val="0"/>
            </w:pPr>
            <w:r w:rsidRPr="007E48B7">
              <w:t>Pašreizējā situācija un problēmas, kuru risināšanai tiesību akta projekts izstrādāts, tiesiskā regulējuma mērķis un būtība</w:t>
            </w:r>
          </w:p>
        </w:tc>
        <w:tc>
          <w:tcPr>
            <w:tcW w:w="7478" w:type="dxa"/>
          </w:tcPr>
          <w:p w:rsidR="00333D4B" w:rsidRDefault="00F5710D" w:rsidP="00E27FF3">
            <w:pPr>
              <w:pStyle w:val="Default"/>
              <w:jc w:val="both"/>
            </w:pPr>
            <w:r w:rsidRPr="005111EE">
              <w:t>Dzīvniek</w:t>
            </w:r>
            <w:r w:rsidR="00333D4B">
              <w:t>iem</w:t>
            </w:r>
            <w:r w:rsidRPr="005111EE">
              <w:t xml:space="preserve"> sevišķi bīstamām infekcijas slimībām (</w:t>
            </w:r>
            <w:proofErr w:type="spellStart"/>
            <w:r w:rsidRPr="005111EE">
              <w:t>epizootijām</w:t>
            </w:r>
            <w:proofErr w:type="spellEnd"/>
            <w:r w:rsidRPr="005111EE">
              <w:t>) ir raksturīga strauja izplatība un dzīvnieku masveida saslimšana</w:t>
            </w:r>
            <w:r w:rsidR="00333D4B">
              <w:t>,</w:t>
            </w:r>
            <w:r w:rsidRPr="005111EE">
              <w:t xml:space="preserve"> </w:t>
            </w:r>
            <w:r w:rsidR="00333D4B">
              <w:t>Tāpat</w:t>
            </w:r>
            <w:r w:rsidRPr="005111EE">
              <w:t xml:space="preserve"> arī jaunu karantīnas organismu (</w:t>
            </w:r>
            <w:proofErr w:type="spellStart"/>
            <w:r w:rsidRPr="005111EE">
              <w:t>epifitotijas</w:t>
            </w:r>
            <w:proofErr w:type="spellEnd"/>
            <w:r w:rsidRPr="005111EE">
              <w:t>) parādīšanos un izplatīšanos valstī ir grūti prognozēt, bet, tos konstatē</w:t>
            </w:r>
            <w:r w:rsidR="00333D4B">
              <w:t>jot, ir</w:t>
            </w:r>
            <w:r w:rsidRPr="005111EE">
              <w:t xml:space="preserve"> svarīgi nekavējoties piemērot fitosanitāros pasākumus, k</w:t>
            </w:r>
            <w:r w:rsidR="00333D4B">
              <w:t>as</w:t>
            </w:r>
            <w:r w:rsidRPr="005111EE">
              <w:t xml:space="preserve"> vērsti uz to, lai pēc iespējas ātrāk ierobežotu organismu izplatīšanos vai pilnībā tos iznīcinātu. Šādas ārkārtas situācijas būtiski ietekmē lauksaimniecības nozari, tās attīstību, starptautisko tirdzniecību un valsts ekonomiku, kā arī rada ietekmi uz dzīvnieku un cilvēku veselību. </w:t>
            </w:r>
            <w:r w:rsidR="005111EE" w:rsidRPr="005111EE">
              <w:t>Ja ir iestājusies ārkārtas situācija, lai novērstu epizootij</w:t>
            </w:r>
            <w:r w:rsidR="00333D4B">
              <w:t>as</w:t>
            </w:r>
            <w:r w:rsidR="005111EE" w:rsidRPr="005111EE">
              <w:t xml:space="preserve"> </w:t>
            </w:r>
            <w:r w:rsidR="00333D4B">
              <w:t xml:space="preserve">vai </w:t>
            </w:r>
            <w:proofErr w:type="spellStart"/>
            <w:r w:rsidR="00333D4B" w:rsidRPr="005111EE">
              <w:t>epifitotijas</w:t>
            </w:r>
            <w:proofErr w:type="spellEnd"/>
            <w:r w:rsidR="00333D4B" w:rsidRPr="005111EE" w:rsidDel="00333D4B">
              <w:t xml:space="preserve"> </w:t>
            </w:r>
            <w:r w:rsidR="005111EE" w:rsidRPr="005111EE">
              <w:t xml:space="preserve">izplatību, ir jāveic </w:t>
            </w:r>
            <w:r w:rsidR="00333D4B">
              <w:t xml:space="preserve">tādi </w:t>
            </w:r>
            <w:r w:rsidR="005111EE" w:rsidRPr="005111EE">
              <w:t>pasākumi kā ganāmpulka izkaušana un nokauto dzīvnieku pilnīga utilizācija</w:t>
            </w:r>
            <w:r w:rsidR="00333D4B">
              <w:t xml:space="preserve"> vai </w:t>
            </w:r>
            <w:r w:rsidR="00333D4B" w:rsidRPr="005111EE">
              <w:t xml:space="preserve">pilnīga </w:t>
            </w:r>
            <w:r w:rsidR="005111EE" w:rsidRPr="005111EE">
              <w:t xml:space="preserve">stādījumu vai augu iznīcināšana. </w:t>
            </w:r>
            <w:r w:rsidR="00333D4B">
              <w:t>Šādā situācijā</w:t>
            </w:r>
            <w:r w:rsidR="005111EE" w:rsidRPr="005111EE">
              <w:t xml:space="preserve"> saimniecībām nav pietiekami pašu līdzekļi vai nav iespējams pierādīt bank</w:t>
            </w:r>
            <w:r w:rsidR="00333D4B">
              <w:t>ai</w:t>
            </w:r>
            <w:r w:rsidR="005111EE" w:rsidRPr="005111EE">
              <w:t xml:space="preserve"> saimniecības dzīvotspēju savas darbības pārstrukturēšanai vai esošā ražošanas profila atjaunošanai pēc epizootijas vai </w:t>
            </w:r>
            <w:proofErr w:type="spellStart"/>
            <w:r w:rsidR="005111EE" w:rsidRPr="005111EE">
              <w:t>epifitotijas</w:t>
            </w:r>
            <w:proofErr w:type="spellEnd"/>
            <w:r w:rsidR="005111EE" w:rsidRPr="005111EE">
              <w:t xml:space="preserve"> seku novēršanas. Savukārt saimniecības darbības pārtraukšana </w:t>
            </w:r>
            <w:r w:rsidR="00333D4B">
              <w:t>atstāj</w:t>
            </w:r>
            <w:r w:rsidR="005111EE" w:rsidRPr="005111EE">
              <w:t xml:space="preserve"> negatīvu ietekmi uz attiecīgās pašvaldības, kā arī uz valsts ekonomiku un nodarbinātību kopumā teritorijā. Saskaņā ar </w:t>
            </w:r>
            <w:r w:rsidR="00333D4B" w:rsidRPr="007E48B7">
              <w:t>LAP (2014–2020)</w:t>
            </w:r>
            <w:r w:rsidR="005111EE" w:rsidRPr="005111EE">
              <w:t xml:space="preserve"> un Padomes 2013. gada 17. decembra Regulas (EK) Nr.1305/2013 par atbalstu lauku attīstībai no Eiropas Lauksaimniecības fonda lauku attīstībai (ELFLA) un ar ko atceļ Padomes regulu (EK) Nr.1698/2005 (turpmāk – Regula Nr.1305/2013) </w:t>
            </w:r>
            <w:proofErr w:type="gramStart"/>
            <w:r w:rsidR="005111EE" w:rsidRPr="005111EE">
              <w:t>18.pantu</w:t>
            </w:r>
            <w:proofErr w:type="gramEnd"/>
            <w:r w:rsidR="005111EE" w:rsidRPr="005111EE">
              <w:t xml:space="preserve"> pasākumam “Dabas katastrofās un katastrofālos notikumos cietušā lauksaimniecības ražošanas potenciāla atjaunošana un piemērotu profilaktisko pasākumu ieviešana” paredzēts E</w:t>
            </w:r>
            <w:r w:rsidR="00333D4B">
              <w:t xml:space="preserve">iropas </w:t>
            </w:r>
            <w:r w:rsidR="005111EE" w:rsidRPr="005111EE">
              <w:t>S</w:t>
            </w:r>
            <w:r w:rsidR="00333D4B">
              <w:t>avienības</w:t>
            </w:r>
            <w:r w:rsidR="005111EE" w:rsidRPr="005111EE">
              <w:t xml:space="preserve"> atbalsts.</w:t>
            </w:r>
            <w:r w:rsidR="005111EE" w:rsidRPr="005111EE">
              <w:rPr>
                <w:bCs/>
              </w:rPr>
              <w:t xml:space="preserve"> </w:t>
            </w:r>
            <w:r w:rsidR="005111EE" w:rsidRPr="005111EE">
              <w:t>Atbalsta mē</w:t>
            </w:r>
            <w:r w:rsidR="00D5605E">
              <w:t>rķ</w:t>
            </w:r>
            <w:r w:rsidR="005111EE" w:rsidRPr="005111EE">
              <w:t>is ir sniegt atbalstu dzīvniek</w:t>
            </w:r>
            <w:r w:rsidR="00333D4B">
              <w:t>iem</w:t>
            </w:r>
            <w:r w:rsidR="005111EE" w:rsidRPr="005111EE">
              <w:t xml:space="preserve"> sevišķi bīstamo infekcijas slimību (epizootiju) un augu karantīnas organismu (</w:t>
            </w:r>
            <w:proofErr w:type="spellStart"/>
            <w:r w:rsidR="005111EE" w:rsidRPr="005111EE">
              <w:t>epifitotiju</w:t>
            </w:r>
            <w:proofErr w:type="spellEnd"/>
            <w:r w:rsidR="005111EE" w:rsidRPr="005111EE">
              <w:t xml:space="preserve">) riska mazināšanai, paredzot preventīvo pasākumu ieviešanu </w:t>
            </w:r>
            <w:r w:rsidR="00336695">
              <w:t>novietnēs</w:t>
            </w:r>
            <w:r w:rsidR="005111EE" w:rsidRPr="005111EE">
              <w:t xml:space="preserve">, kurās </w:t>
            </w:r>
            <w:r w:rsidR="00333D4B">
              <w:t xml:space="preserve">slimība </w:t>
            </w:r>
            <w:r w:rsidR="005111EE" w:rsidRPr="005111EE">
              <w:t xml:space="preserve">jau ir konstatēta, kā arī profilaktisko pasākumu ieviešanai ārpus epizootijas vai </w:t>
            </w:r>
            <w:proofErr w:type="spellStart"/>
            <w:r w:rsidR="005111EE" w:rsidRPr="005111EE">
              <w:t>epifitotijas</w:t>
            </w:r>
            <w:proofErr w:type="spellEnd"/>
            <w:r w:rsidR="005111EE" w:rsidRPr="005111EE">
              <w:t xml:space="preserve"> </w:t>
            </w:r>
            <w:r w:rsidR="00336695">
              <w:t>zonas</w:t>
            </w:r>
            <w:r w:rsidR="005111EE" w:rsidRPr="005111EE">
              <w:t xml:space="preserve"> esošām saimniecībām, lai mazinātu epizootijas vai </w:t>
            </w:r>
            <w:proofErr w:type="spellStart"/>
            <w:r w:rsidR="005111EE" w:rsidRPr="005111EE">
              <w:t>epifitotijas</w:t>
            </w:r>
            <w:proofErr w:type="spellEnd"/>
            <w:r w:rsidR="005111EE" w:rsidRPr="005111EE">
              <w:t xml:space="preserve"> strauja</w:t>
            </w:r>
            <w:r w:rsidR="00333D4B">
              <w:t>s</w:t>
            </w:r>
            <w:r w:rsidR="005111EE" w:rsidRPr="005111EE">
              <w:t xml:space="preserve"> izplatība</w:t>
            </w:r>
            <w:r w:rsidR="00333D4B">
              <w:t>s risku</w:t>
            </w:r>
            <w:r w:rsidR="005111EE" w:rsidRPr="005111EE">
              <w:t xml:space="preserve"> citās </w:t>
            </w:r>
            <w:r w:rsidR="00336695">
              <w:t>teritorijās</w:t>
            </w:r>
            <w:r w:rsidR="005111EE" w:rsidRPr="005111EE">
              <w:t>.</w:t>
            </w:r>
          </w:p>
          <w:p w:rsidR="00511F91" w:rsidRDefault="005111EE" w:rsidP="00E27FF3">
            <w:pPr>
              <w:pStyle w:val="Default"/>
              <w:jc w:val="both"/>
            </w:pPr>
            <w:r w:rsidRPr="005111EE">
              <w:t>Noteikum</w:t>
            </w:r>
            <w:r w:rsidR="00333D4B">
              <w:t xml:space="preserve">u projekts </w:t>
            </w:r>
            <w:r w:rsidR="00333D4B" w:rsidRPr="00883DB9">
              <w:t>“Noteikumi par valsts un Eiropas Savienības atbalsta piešķiršanas kārtību pasākumam “Dabas katastrofās un katastrofālos notikumos cietušā lauksaimniecības ražošanas potenciāla atjaunošana un piemērotu profilaktisko pasākumu ieviešana””</w:t>
            </w:r>
            <w:r w:rsidRPr="00333D4B">
              <w:t xml:space="preserve"> </w:t>
            </w:r>
            <w:r w:rsidR="00333D4B">
              <w:t xml:space="preserve">(turpmāk – noteikumu projekts) </w:t>
            </w:r>
            <w:r w:rsidRPr="005111EE">
              <w:t>nosaka kārtību, kādā piešķir valsts un Eiropas Savienības atbalstu pasākumam</w:t>
            </w:r>
            <w:r w:rsidRPr="00333D4B">
              <w:t xml:space="preserve"> </w:t>
            </w:r>
            <w:r w:rsidRPr="00883DB9">
              <w:t>“</w:t>
            </w:r>
            <w:r w:rsidRPr="005111EE">
              <w:t xml:space="preserve">Dabas katastrofās un katastrofālos notikumos cietušā </w:t>
            </w:r>
            <w:r w:rsidRPr="005111EE">
              <w:lastRenderedPageBreak/>
              <w:t xml:space="preserve">lauksaimniecības ražošanas potenciāla atjaunošana un piemērotu profilaktisko pasākumu ieviešana”. Noteikumu projekts nosaka </w:t>
            </w:r>
            <w:r w:rsidR="00333D4B">
              <w:t xml:space="preserve">arī </w:t>
            </w:r>
            <w:r w:rsidRPr="005111EE">
              <w:t>atbalsta pretendentus, atbalsta saņemšanas nosacījumus, atbalsta apmēru un intensitāti, atbalsta attiecināmas izmaksas, atbalsta piešķiršanas</w:t>
            </w:r>
            <w:r w:rsidR="00333D4B">
              <w:t xml:space="preserve"> un</w:t>
            </w:r>
            <w:r w:rsidRPr="005111EE">
              <w:t xml:space="preserve"> pieteikšanās kārtību un iesniedzamos dokumentus. Noteikumu projekts paredz, ka </w:t>
            </w:r>
            <w:r w:rsidR="00E27FF3">
              <w:t>pasākum</w:t>
            </w:r>
            <w:r w:rsidR="00333D4B">
              <w:t>ā</w:t>
            </w:r>
            <w:r w:rsidR="00E27FF3">
              <w:t xml:space="preserve"> atbalstu piešķirs </w:t>
            </w:r>
            <w:proofErr w:type="spellStart"/>
            <w:r w:rsidR="00E27FF3">
              <w:t>apakšpasākumiem</w:t>
            </w:r>
            <w:proofErr w:type="spellEnd"/>
            <w:r w:rsidR="00E27FF3" w:rsidRPr="00E63FE2">
              <w:t xml:space="preserve"> </w:t>
            </w:r>
            <w:r w:rsidR="00E27FF3">
              <w:t xml:space="preserve">“Atbalsts profilaktiskajiem pasākumiem, lai mazinātu epizootiju un </w:t>
            </w:r>
            <w:proofErr w:type="spellStart"/>
            <w:r w:rsidR="00E27FF3">
              <w:t>epifitotiju</w:t>
            </w:r>
            <w:proofErr w:type="spellEnd"/>
            <w:r w:rsidR="00E27FF3">
              <w:t xml:space="preserve"> iespējamās sekas” un “Atbalsts ieguldījumiem </w:t>
            </w:r>
            <w:r w:rsidR="00333D4B">
              <w:t xml:space="preserve">no </w:t>
            </w:r>
            <w:r w:rsidR="00E27FF3">
              <w:t>epizootij</w:t>
            </w:r>
            <w:r w:rsidR="00333D4B">
              <w:t>as</w:t>
            </w:r>
            <w:r w:rsidR="00E27FF3">
              <w:t xml:space="preserve"> un </w:t>
            </w:r>
            <w:proofErr w:type="spellStart"/>
            <w:r w:rsidR="00E27FF3">
              <w:t>epifitotij</w:t>
            </w:r>
            <w:r w:rsidR="00333D4B">
              <w:t>as</w:t>
            </w:r>
            <w:proofErr w:type="spellEnd"/>
            <w:r w:rsidR="00E27FF3">
              <w:t xml:space="preserve"> </w:t>
            </w:r>
            <w:r w:rsidR="00E27FF3" w:rsidRPr="00454495">
              <w:t>cietuš</w:t>
            </w:r>
            <w:r w:rsidR="00E27FF3">
              <w:t>o</w:t>
            </w:r>
            <w:r w:rsidR="00E27FF3" w:rsidRPr="00454495">
              <w:t xml:space="preserve"> </w:t>
            </w:r>
            <w:r w:rsidR="00E27FF3">
              <w:t xml:space="preserve">lauku saimniecību </w:t>
            </w:r>
            <w:r w:rsidR="00E27FF3" w:rsidRPr="00454495">
              <w:t>ražošanas potenciāla atjaunošan</w:t>
            </w:r>
            <w:r w:rsidR="00E27FF3">
              <w:t>ā”.</w:t>
            </w:r>
            <w:r w:rsidR="00E27FF3" w:rsidRPr="00454495">
              <w:t xml:space="preserve"> </w:t>
            </w:r>
            <w:r w:rsidR="00E27FF3">
              <w:t xml:space="preserve">Epizootija un </w:t>
            </w:r>
            <w:proofErr w:type="spellStart"/>
            <w:r w:rsidR="00E27FF3">
              <w:t>epifitotija</w:t>
            </w:r>
            <w:proofErr w:type="spellEnd"/>
            <w:r w:rsidR="00E27FF3">
              <w:t xml:space="preserve"> ir </w:t>
            </w:r>
            <w:r w:rsidRPr="005111EE">
              <w:rPr>
                <w:color w:val="auto"/>
              </w:rPr>
              <w:t>katastrofāl</w:t>
            </w:r>
            <w:r w:rsidR="00E27FF3">
              <w:rPr>
                <w:color w:val="auto"/>
              </w:rPr>
              <w:t>s</w:t>
            </w:r>
            <w:r w:rsidRPr="005111EE">
              <w:rPr>
                <w:color w:val="auto"/>
              </w:rPr>
              <w:t xml:space="preserve"> notikum</w:t>
            </w:r>
            <w:r w:rsidR="00E27FF3">
              <w:rPr>
                <w:color w:val="auto"/>
              </w:rPr>
              <w:t>s</w:t>
            </w:r>
            <w:r w:rsidRPr="005111EE">
              <w:rPr>
                <w:color w:val="auto"/>
              </w:rPr>
              <w:t xml:space="preserve"> Regulas Nr.1305/2013 </w:t>
            </w:r>
            <w:proofErr w:type="gramStart"/>
            <w:r w:rsidRPr="005111EE">
              <w:rPr>
                <w:color w:val="auto"/>
              </w:rPr>
              <w:t>2.panta</w:t>
            </w:r>
            <w:proofErr w:type="gramEnd"/>
            <w:r w:rsidRPr="005111EE">
              <w:rPr>
                <w:color w:val="auto"/>
              </w:rPr>
              <w:t xml:space="preserve"> </w:t>
            </w:r>
            <w:r w:rsidR="006A320D">
              <w:rPr>
                <w:color w:val="auto"/>
              </w:rPr>
              <w:t>l</w:t>
            </w:r>
            <w:r w:rsidR="00333D4B">
              <w:rPr>
                <w:color w:val="auto"/>
              </w:rPr>
              <w:t>. </w:t>
            </w:r>
            <w:r w:rsidR="00D5605E">
              <w:rPr>
                <w:color w:val="auto"/>
              </w:rPr>
              <w:t xml:space="preserve">punkta </w:t>
            </w:r>
            <w:r w:rsidRPr="005111EE">
              <w:rPr>
                <w:color w:val="auto"/>
              </w:rPr>
              <w:t>izpratnē. Atbils</w:t>
            </w:r>
            <w:r w:rsidR="00D5605E">
              <w:rPr>
                <w:color w:val="auto"/>
              </w:rPr>
              <w:t xml:space="preserve">toši Regulas 1305/2013/ </w:t>
            </w:r>
            <w:proofErr w:type="gramStart"/>
            <w:r w:rsidR="00D5605E">
              <w:rPr>
                <w:color w:val="auto"/>
              </w:rPr>
              <w:t>2.panta</w:t>
            </w:r>
            <w:proofErr w:type="gramEnd"/>
            <w:r w:rsidR="00D5605E">
              <w:rPr>
                <w:color w:val="auto"/>
              </w:rPr>
              <w:t xml:space="preserve"> </w:t>
            </w:r>
            <w:r w:rsidR="006A320D">
              <w:rPr>
                <w:color w:val="auto"/>
              </w:rPr>
              <w:t>l</w:t>
            </w:r>
            <w:r w:rsidR="00333D4B">
              <w:rPr>
                <w:color w:val="auto"/>
              </w:rPr>
              <w:t>. </w:t>
            </w:r>
            <w:r w:rsidR="00D5605E">
              <w:rPr>
                <w:color w:val="auto"/>
              </w:rPr>
              <w:t>punktam šo noteikumu izpratnē</w:t>
            </w:r>
            <w:r w:rsidRPr="004172E5">
              <w:rPr>
                <w:color w:val="auto"/>
              </w:rPr>
              <w:t xml:space="preserve"> </w:t>
            </w:r>
            <w:r w:rsidRPr="005111EE">
              <w:rPr>
                <w:color w:val="auto"/>
              </w:rPr>
              <w:t xml:space="preserve">katastrofāls notikums ir neparedzēts biotisks vai abiotisks notikums, kuru izraisījusi cilvēka darbība un kura </w:t>
            </w:r>
            <w:r w:rsidR="00333D4B">
              <w:rPr>
                <w:color w:val="auto"/>
              </w:rPr>
              <w:t>dēļ</w:t>
            </w:r>
            <w:r w:rsidRPr="005111EE">
              <w:rPr>
                <w:color w:val="auto"/>
              </w:rPr>
              <w:t xml:space="preserve"> tiek ievērojami traucētas lauksaimnieciskās ražošanas sistēmas vai meža struktūras, un kurš varētu nodarīt būtisku ekonomisku kaitējumu lauksaimniecības vai mežsaimniecības nozarei</w:t>
            </w:r>
            <w:r>
              <w:t>.</w:t>
            </w:r>
            <w:r w:rsidR="00701938">
              <w:t xml:space="preserve"> </w:t>
            </w:r>
          </w:p>
          <w:p w:rsidR="00333D4B" w:rsidRDefault="00511F91" w:rsidP="00E27FF3">
            <w:pPr>
              <w:pStyle w:val="Default"/>
              <w:jc w:val="both"/>
            </w:pPr>
            <w:r w:rsidRPr="0000003F">
              <w:t xml:space="preserve">Lauksaimniecības ražošanas potenciāls šo noteikumu izpratnē ir </w:t>
            </w:r>
            <w:r w:rsidRPr="0000003F">
              <w:rPr>
                <w:rFonts w:eastAsia="EUAlbertina-Regular-Identity-H"/>
              </w:rPr>
              <w:t xml:space="preserve">saimniecībā esošie </w:t>
            </w:r>
            <w:r w:rsidRPr="0000003F">
              <w:t>dzīvnieki</w:t>
            </w:r>
            <w:r w:rsidRPr="003542E4">
              <w:t>, kas reģistrēti saskaņā ar normatīvajiem aktiem par lauksaimniecības un akvakultūras dzīvnieku, to ganāmpulku un novietņu reģistrēšanas kārtību</w:t>
            </w:r>
            <w:r w:rsidRPr="00100268">
              <w:t>, un ilggadīgie augi,</w:t>
            </w:r>
            <w:r w:rsidRPr="00100268">
              <w:rPr>
                <w:rFonts w:eastAsia="EUAlbertina-Regular-Identity-H"/>
              </w:rPr>
              <w:t xml:space="preserve"> kas ir nepieciešami </w:t>
            </w:r>
            <w:r w:rsidRPr="00100268">
              <w:t>Līguma par Eiropas Savienības darbību I</w:t>
            </w:r>
            <w:r w:rsidRPr="00EF372A">
              <w:t xml:space="preserve"> pielikumā minētās </w:t>
            </w:r>
            <w:r w:rsidRPr="00EF372A">
              <w:rPr>
                <w:rFonts w:eastAsia="EUAlbertina-Regular-Identity-H"/>
              </w:rPr>
              <w:t>primārās lauksaimniecības produkcijas ražošanai</w:t>
            </w:r>
            <w:r w:rsidRPr="0000003F">
              <w:t>, kā arī saimniec</w:t>
            </w:r>
            <w:r w:rsidR="00DB28EA">
              <w:t>ībā reģistrēto dzīvnieku barība</w:t>
            </w:r>
            <w:r w:rsidRPr="0000003F">
              <w:t xml:space="preserve">. </w:t>
            </w:r>
            <w:r w:rsidR="00116035" w:rsidRPr="005111EE">
              <w:t>Noteikumu projekts paredz, ka uz atbalstu varēs pretendēt fiziska</w:t>
            </w:r>
            <w:r w:rsidR="0085756D">
              <w:t>,</w:t>
            </w:r>
            <w:r w:rsidR="00116035" w:rsidRPr="005111EE">
              <w:t xml:space="preserve"> juridiska persona</w:t>
            </w:r>
            <w:r w:rsidR="0085756D">
              <w:t xml:space="preserve"> vai lauksaimnieku grupa</w:t>
            </w:r>
            <w:r w:rsidR="00DF0F14">
              <w:t xml:space="preserve"> (profilaktisko pasākumu gadījumā)</w:t>
            </w:r>
            <w:r w:rsidR="00116035" w:rsidRPr="005111EE">
              <w:t>, k</w:t>
            </w:r>
            <w:r w:rsidR="00333D4B">
              <w:t>as</w:t>
            </w:r>
            <w:r w:rsidR="00116035" w:rsidRPr="005111EE">
              <w:t xml:space="preserve"> nodarbojas ar</w:t>
            </w:r>
            <w:r w:rsidR="00DF0F14">
              <w:t xml:space="preserve"> primārās lauksaimniecības</w:t>
            </w:r>
            <w:r w:rsidR="00116035" w:rsidRPr="005111EE">
              <w:t xml:space="preserve"> produkcijas ražošanu un k</w:t>
            </w:r>
            <w:r w:rsidR="00333D4B">
              <w:t>as</w:t>
            </w:r>
            <w:r w:rsidR="00D5605E">
              <w:t xml:space="preserve"> lauksaimniecības potenciāla atjaunošana</w:t>
            </w:r>
            <w:r w:rsidR="00333D4B">
              <w:t>i</w:t>
            </w:r>
            <w:r w:rsidR="00D5605E">
              <w:t xml:space="preserve"> </w:t>
            </w:r>
            <w:r w:rsidR="00116035" w:rsidRPr="005111EE">
              <w:t xml:space="preserve">ir saņēmusi </w:t>
            </w:r>
            <w:proofErr w:type="gramStart"/>
            <w:r w:rsidR="00116035" w:rsidRPr="005111EE">
              <w:t>Pārtikas un veterinārā dienesta vai Valsts augu aizsardzības dienesta</w:t>
            </w:r>
            <w:proofErr w:type="gramEnd"/>
            <w:r w:rsidR="00116035" w:rsidRPr="005111EE">
              <w:t xml:space="preserve"> (turpmāk </w:t>
            </w:r>
            <w:r w:rsidR="00333D4B">
              <w:t>–</w:t>
            </w:r>
            <w:r w:rsidR="00116035" w:rsidRPr="005111EE">
              <w:t xml:space="preserve"> </w:t>
            </w:r>
            <w:r w:rsidR="00333D4B">
              <w:t>k</w:t>
            </w:r>
            <w:r w:rsidR="00116035" w:rsidRPr="005111EE">
              <w:t>ompetentā iestāde) oficiālu atzinumu par to, ka</w:t>
            </w:r>
            <w:r w:rsidR="006A320D" w:rsidRPr="005111EE">
              <w:t xml:space="preserve"> </w:t>
            </w:r>
            <w:r w:rsidR="00333D4B" w:rsidRPr="005111EE">
              <w:t xml:space="preserve">ir notikusi </w:t>
            </w:r>
            <w:r w:rsidR="00116035" w:rsidRPr="005111EE">
              <w:t xml:space="preserve">epizootija un </w:t>
            </w:r>
            <w:proofErr w:type="spellStart"/>
            <w:r w:rsidR="00116035" w:rsidRPr="005111EE">
              <w:t>epifitotija</w:t>
            </w:r>
            <w:proofErr w:type="spellEnd"/>
            <w:r w:rsidR="00333D4B">
              <w:t>, saimniecībā</w:t>
            </w:r>
            <w:r w:rsidR="00333D4B" w:rsidRPr="005111EE">
              <w:t xml:space="preserve"> </w:t>
            </w:r>
            <w:r w:rsidR="00116035" w:rsidRPr="005111EE">
              <w:t>attiecīg</w:t>
            </w:r>
            <w:r w:rsidR="00333D4B">
              <w:t>o</w:t>
            </w:r>
            <w:r w:rsidR="00116035" w:rsidRPr="005111EE">
              <w:t xml:space="preserve"> lauksaimniecības potenciāla iznīcin</w:t>
            </w:r>
            <w:r w:rsidR="00333D4B">
              <w:t>ot</w:t>
            </w:r>
            <w:r w:rsidR="00116035" w:rsidRPr="005111EE">
              <w:t xml:space="preserve"> vismaz 30 % ap</w:t>
            </w:r>
            <w:r w:rsidR="00333D4B">
              <w:t>jomā</w:t>
            </w:r>
            <w:r w:rsidR="00D5605E" w:rsidRPr="00930CE8">
              <w:t>.</w:t>
            </w:r>
          </w:p>
          <w:p w:rsidR="00D73449" w:rsidRDefault="00DF0F14" w:rsidP="00E27FF3">
            <w:pPr>
              <w:pStyle w:val="Default"/>
              <w:jc w:val="both"/>
            </w:pPr>
            <w:r w:rsidRPr="00930CE8">
              <w:t>Šo noteikumu izpratnē primārā lauksaimniecības ražošana ir Līguma par Eiropas Savienības darbību I pielikumā minēto nepārstrādāto lauksaimniecības produktu un lopkopības produktu ražošana, neveicot nekādas papildu darbības, kas mainītu šādu produktu iedabu. Eiropas Parlamenta un Padomes Regulas (EK) Nr. 178/2002 (turpmāk – Regula Nr.178/2002), ar ko paredz pārtikas aprites tiesību aktu vispārīgus principus un prasības, izveido Eiropas Pārtikas nekaitīguma iestādi un paredz procedūras saistībā ar pārtikas nekaitīgumu</w:t>
            </w:r>
            <w:r w:rsidR="00333D4B">
              <w:t>,</w:t>
            </w:r>
            <w:r w:rsidRPr="00930CE8">
              <w:t xml:space="preserve"> </w:t>
            </w:r>
            <w:proofErr w:type="gramStart"/>
            <w:r w:rsidRPr="00930CE8">
              <w:t>3.panta</w:t>
            </w:r>
            <w:proofErr w:type="gramEnd"/>
            <w:r w:rsidRPr="00930CE8">
              <w:t xml:space="preserve"> 17.punktā noteikts, ka </w:t>
            </w:r>
            <w:r w:rsidRPr="00930CE8">
              <w:rPr>
                <w:rFonts w:eastAsia="EUAlbertina-Regular-Identity-H"/>
              </w:rPr>
              <w:t xml:space="preserve">primārā ražošana ir primāro produktu ražošana vai audzēšana, tostarp ražas novākšana, slaukšana un saimniecībā audzētu dzīvnieku ražošana pirms nokaušanas. Savukārt </w:t>
            </w:r>
            <w:r w:rsidRPr="00930CE8">
              <w:t xml:space="preserve">Eiropas Parlamenta un Padomes Regulas (EK) Nr. 852/2004 par pārtikas produktu higiēnu (turpmāk – Regula Nr.852/2004) 2. panta 1.punkta </w:t>
            </w:r>
            <w:r w:rsidR="00333D4B">
              <w:t>„</w:t>
            </w:r>
            <w:r w:rsidRPr="00930CE8">
              <w:t>m</w:t>
            </w:r>
            <w:r w:rsidR="00333D4B">
              <w:t>”</w:t>
            </w:r>
            <w:r w:rsidRPr="00930CE8">
              <w:t xml:space="preserve"> apakšpunkt</w:t>
            </w:r>
            <w:r w:rsidR="00333D4B">
              <w:t>ā</w:t>
            </w:r>
            <w:r w:rsidRPr="00930CE8">
              <w:t xml:space="preserve"> no</w:t>
            </w:r>
            <w:r w:rsidR="00333D4B">
              <w:t>teikts</w:t>
            </w:r>
            <w:r w:rsidRPr="00930CE8">
              <w:rPr>
                <w:rFonts w:eastAsia="EUAlbertina-Regular-Identity-H"/>
              </w:rPr>
              <w:t xml:space="preserve">, ka pārstrāde ir jebkura darbība, tostarp karsēšana, kūpināšana, konservēšana, nogatavināšana, žāvēšana, marinēšana, ekstrakcija, </w:t>
            </w:r>
            <w:proofErr w:type="spellStart"/>
            <w:r w:rsidRPr="00930CE8">
              <w:rPr>
                <w:rFonts w:eastAsia="EUAlbertina-Regular-Identity-H"/>
              </w:rPr>
              <w:t>ekstrūzija</w:t>
            </w:r>
            <w:proofErr w:type="spellEnd"/>
            <w:r w:rsidRPr="00930CE8">
              <w:rPr>
                <w:rFonts w:eastAsia="EUAlbertina-Regular-Identity-H"/>
              </w:rPr>
              <w:t xml:space="preserve"> vai vairāki šie procesi kopā, kas būtiski maina sākotnējo produktu. </w:t>
            </w:r>
            <w:r w:rsidRPr="00930CE8">
              <w:t>Par pārstrādi uzskatāma arī dzīvnieku kaušana</w:t>
            </w:r>
            <w:r w:rsidRPr="00930CE8">
              <w:rPr>
                <w:color w:val="414142"/>
              </w:rPr>
              <w:t>.</w:t>
            </w:r>
            <w:r w:rsidR="00930CE8">
              <w:rPr>
                <w:color w:val="414142"/>
              </w:rPr>
              <w:t xml:space="preserve"> </w:t>
            </w:r>
            <w:r w:rsidR="00116035" w:rsidRPr="00930CE8">
              <w:t xml:space="preserve">Noteikumu projekts paredz, ka pretendentam ir jāsagatavo </w:t>
            </w:r>
            <w:r w:rsidR="00D5605E" w:rsidRPr="00930CE8">
              <w:t xml:space="preserve">biodrošības </w:t>
            </w:r>
            <w:r w:rsidR="00DB28EA">
              <w:t xml:space="preserve">vai fitosanitāro </w:t>
            </w:r>
            <w:r w:rsidR="00116035" w:rsidRPr="00930CE8">
              <w:t>pasākumu ieviešanas</w:t>
            </w:r>
            <w:r w:rsidR="00DB28EA">
              <w:t>,</w:t>
            </w:r>
            <w:r w:rsidR="00116035" w:rsidRPr="00930CE8">
              <w:t xml:space="preserve"> vai lauksaimniecības ražošana</w:t>
            </w:r>
            <w:r w:rsidRPr="00930CE8">
              <w:t>s potenciāla atjaunošanas plāns</w:t>
            </w:r>
            <w:r w:rsidR="00D5605E" w:rsidRPr="00930CE8">
              <w:t>.</w:t>
            </w:r>
            <w:r w:rsidR="00116035" w:rsidRPr="00930CE8">
              <w:t xml:space="preserve"> Noteikumu projekts</w:t>
            </w:r>
            <w:r w:rsidR="00DB69F9" w:rsidRPr="00930CE8">
              <w:t xml:space="preserve"> nosaka </w:t>
            </w:r>
            <w:r w:rsidR="008B1138" w:rsidRPr="00930CE8">
              <w:t>attiecināmās</w:t>
            </w:r>
            <w:r w:rsidR="008B1138" w:rsidRPr="005111EE">
              <w:t xml:space="preserve"> izmaksas</w:t>
            </w:r>
            <w:r w:rsidR="003542E4">
              <w:t xml:space="preserve">. </w:t>
            </w:r>
          </w:p>
          <w:p w:rsidR="00306720" w:rsidRDefault="00D73449" w:rsidP="00850840">
            <w:pPr>
              <w:jc w:val="both"/>
            </w:pPr>
            <w:r>
              <w:t>Noteikumu projekts paredz, ka atbalsta noteikšanai jāveic aprēķins, lai novērtētu epizootijas vai</w:t>
            </w:r>
            <w:r w:rsidRPr="00371AFF">
              <w:t xml:space="preserve"> </w:t>
            </w:r>
            <w:proofErr w:type="spellStart"/>
            <w:r w:rsidRPr="007145AE">
              <w:t>epifitotij</w:t>
            </w:r>
            <w:r>
              <w:t>as</w:t>
            </w:r>
            <w:proofErr w:type="spellEnd"/>
            <w:r>
              <w:t xml:space="preserve"> dēļ</w:t>
            </w:r>
            <w:r w:rsidRPr="007145AE">
              <w:t xml:space="preserve"> </w:t>
            </w:r>
            <w:r w:rsidRPr="002555D0">
              <w:t>saimniecībai rad</w:t>
            </w:r>
            <w:r>
              <w:t>īto</w:t>
            </w:r>
            <w:r w:rsidR="001C42BA">
              <w:t>s</w:t>
            </w:r>
            <w:r w:rsidRPr="002555D0">
              <w:t xml:space="preserve"> </w:t>
            </w:r>
            <w:r w:rsidR="001C42BA" w:rsidRPr="00850840">
              <w:t xml:space="preserve">lauksaimniecības </w:t>
            </w:r>
            <w:r w:rsidR="001C42BA" w:rsidRPr="00850840">
              <w:lastRenderedPageBreak/>
              <w:t xml:space="preserve">ražošanas potenciāla zaudējumu </w:t>
            </w:r>
            <w:r w:rsidRPr="00850840">
              <w:t>un noteiktu nepieciešamās izmaksas lauksaimniecības ražošanas potenciāla atjaunošanai vai pārstrukturizācijai uz alternatīvu sugu dzīvnieku vai ilggadīgo augu audzēšanu.</w:t>
            </w:r>
            <w:r w:rsidR="00DB28EA" w:rsidRPr="00850840">
              <w:t xml:space="preserve"> </w:t>
            </w:r>
            <w:r w:rsidR="00850840">
              <w:t>Ņ</w:t>
            </w:r>
            <w:r w:rsidR="00B47803" w:rsidRPr="00850840">
              <w:t xml:space="preserve">emot vērā Latvijas Lauku konsultāciju un izglītības centra lielo pieredzi un kompetenci </w:t>
            </w:r>
            <w:r w:rsidR="00B47803" w:rsidRPr="00850840">
              <w:rPr>
                <w:color w:val="231F20"/>
              </w:rPr>
              <w:t xml:space="preserve">lauku attīstības konsultāciju </w:t>
            </w:r>
            <w:r w:rsidR="00B47803" w:rsidRPr="00850840">
              <w:t xml:space="preserve">jomā, tajā skaitā dažādu aprēķinu veikšanā, kā </w:t>
            </w:r>
            <w:r w:rsidR="001C42BA" w:rsidRPr="00850840">
              <w:t>arī</w:t>
            </w:r>
            <w:r w:rsidR="00B47803" w:rsidRPr="00850840">
              <w:t xml:space="preserve"> to, lai</w:t>
            </w:r>
            <w:r w:rsidRPr="00850840">
              <w:t xml:space="preserve"> aprēķin</w:t>
            </w:r>
            <w:r w:rsidR="00DB28EA" w:rsidRPr="00850840">
              <w:t>i visiem atbalsta pretendentiem tiktu</w:t>
            </w:r>
            <w:r w:rsidRPr="00850840">
              <w:t xml:space="preserve"> veik</w:t>
            </w:r>
            <w:r w:rsidR="00500ED9" w:rsidRPr="00850840">
              <w:t>t</w:t>
            </w:r>
            <w:r w:rsidR="00DB28EA" w:rsidRPr="00850840">
              <w:t>i</w:t>
            </w:r>
            <w:r w:rsidRPr="00850840">
              <w:t xml:space="preserve"> korekti pēc vienādiem nosacījumiem un metodoloģijas noteikum</w:t>
            </w:r>
            <w:r w:rsidR="00DB28EA" w:rsidRPr="00850840">
              <w:t>u projektā</w:t>
            </w:r>
            <w:r w:rsidR="001C42BA" w:rsidRPr="00850840">
              <w:t>,</w:t>
            </w:r>
            <w:r w:rsidRPr="00850840">
              <w:t xml:space="preserve"> ir paredzēts, ka </w:t>
            </w:r>
            <w:r w:rsidR="00B47803" w:rsidRPr="00850840">
              <w:t xml:space="preserve">nepieciešamos </w:t>
            </w:r>
            <w:r w:rsidRPr="00850840">
              <w:t>aprēķinu</w:t>
            </w:r>
            <w:r w:rsidR="00B47803" w:rsidRPr="00850840">
              <w:t>s</w:t>
            </w:r>
            <w:r w:rsidR="00500ED9" w:rsidRPr="00850840">
              <w:t xml:space="preserve"> veiks</w:t>
            </w:r>
            <w:r w:rsidRPr="00850840">
              <w:t xml:space="preserve"> SIA “Latvijas Lauku konsultāciju un izglītības centrs”</w:t>
            </w:r>
            <w:r w:rsidR="00DB28EA" w:rsidRPr="00850840">
              <w:t>.</w:t>
            </w:r>
            <w:r w:rsidRPr="00850840">
              <w:t xml:space="preserve"> </w:t>
            </w:r>
            <w:r w:rsidR="00DB28EA" w:rsidRPr="00850840">
              <w:t>Latvijas Lauku konsultāciju un izglītības centrs</w:t>
            </w:r>
            <w:r w:rsidR="001C42BA" w:rsidRPr="00850840">
              <w:t xml:space="preserve"> </w:t>
            </w:r>
            <w:r w:rsidR="00DB28EA" w:rsidRPr="00850840">
              <w:rPr>
                <w:color w:val="231F20"/>
              </w:rPr>
              <w:t xml:space="preserve">lauksaimniekiem sniedz </w:t>
            </w:r>
            <w:r w:rsidR="001C42BA" w:rsidRPr="00850840">
              <w:rPr>
                <w:color w:val="231F20"/>
              </w:rPr>
              <w:t xml:space="preserve">dažāda veida konsultācija, </w:t>
            </w:r>
            <w:r w:rsidR="00DB28EA" w:rsidRPr="00850840">
              <w:rPr>
                <w:color w:val="231F20"/>
              </w:rPr>
              <w:t>nozares ražošanas procesa, grāmatvedības, biznesa plānošanas konsultācijas, kā arī veic pētījumus, izglītošanu un informēšanu.</w:t>
            </w:r>
            <w:r w:rsidR="00DB28EA" w:rsidRPr="00850840">
              <w:t xml:space="preserve"> Latvijas Lauku konsultāciju un izglītības centrs ar savu darbību palīdz veicināt saimniecību konkurētspēju, lauksaimnieku stabilitāti.</w:t>
            </w:r>
            <w:r w:rsidR="001A2930" w:rsidRPr="00850840">
              <w:t xml:space="preserve"> Saskaņā ar </w:t>
            </w:r>
            <w:r w:rsidR="001A788D" w:rsidRPr="00E95FA4">
              <w:rPr>
                <w:bCs/>
                <w:lang w:eastAsia="lv-LV"/>
              </w:rPr>
              <w:t xml:space="preserve">Ministru kabineta </w:t>
            </w:r>
            <w:proofErr w:type="gramStart"/>
            <w:r w:rsidR="001A788D" w:rsidRPr="00E95FA4">
              <w:rPr>
                <w:lang w:eastAsia="lv-LV"/>
              </w:rPr>
              <w:t>2014.gada</w:t>
            </w:r>
            <w:proofErr w:type="gramEnd"/>
            <w:r w:rsidR="001A788D" w:rsidRPr="00E95FA4">
              <w:rPr>
                <w:lang w:eastAsia="lv-LV"/>
              </w:rPr>
              <w:t xml:space="preserve"> 30.septembrī </w:t>
            </w:r>
            <w:r w:rsidR="001A788D" w:rsidRPr="00E95FA4">
              <w:rPr>
                <w:bCs/>
                <w:lang w:eastAsia="lv-LV"/>
              </w:rPr>
              <w:t>noteikumi Nr.599</w:t>
            </w:r>
            <w:r w:rsidR="001A788D" w:rsidRPr="00E95FA4">
              <w:rPr>
                <w:lang w:eastAsia="lv-LV"/>
              </w:rPr>
              <w:t xml:space="preserve"> </w:t>
            </w:r>
            <w:r w:rsidR="001A788D" w:rsidRPr="00850840">
              <w:rPr>
                <w:lang w:eastAsia="lv-LV"/>
              </w:rPr>
              <w:t>“</w:t>
            </w:r>
            <w:r w:rsidR="001A788D" w:rsidRPr="00850840">
              <w:rPr>
                <w:bCs/>
                <w:lang w:eastAsia="lv-LV"/>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001A2930" w:rsidRPr="00850840">
              <w:rPr>
                <w:bCs/>
                <w:lang w:eastAsia="lv-LV"/>
              </w:rPr>
              <w:t xml:space="preserve"> 21.pantu </w:t>
            </w:r>
            <w:r w:rsidR="001A2930" w:rsidRPr="00E95FA4">
              <w:rPr>
                <w:lang w:eastAsia="lv-LV"/>
              </w:rPr>
              <w:t>Latvijas Lauku kon</w:t>
            </w:r>
            <w:r w:rsidR="001A2930" w:rsidRPr="00850840">
              <w:rPr>
                <w:lang w:eastAsia="lv-LV"/>
              </w:rPr>
              <w:t xml:space="preserve">sultāciju un izglītības centrs veic </w:t>
            </w:r>
            <w:r w:rsidR="001A2930" w:rsidRPr="00E95FA4">
              <w:rPr>
                <w:lang w:eastAsia="lv-LV"/>
              </w:rPr>
              <w:t>Latvijas Lauku attīstības programmā 2014.–2020. gadam un Rīcības programmā zivsaimniecības attīstībai 2014.–2020. gadam</w:t>
            </w:r>
            <w:r w:rsidR="001A2930" w:rsidRPr="00850840">
              <w:rPr>
                <w:lang w:eastAsia="lv-LV"/>
              </w:rPr>
              <w:t xml:space="preserve"> </w:t>
            </w:r>
            <w:r w:rsidR="001A2930" w:rsidRPr="00E95FA4">
              <w:rPr>
                <w:lang w:eastAsia="lv-LV"/>
              </w:rPr>
              <w:t>noteikto atbalsta maksājumu</w:t>
            </w:r>
            <w:r w:rsidR="001A2930" w:rsidRPr="00850840">
              <w:rPr>
                <w:lang w:eastAsia="lv-LV"/>
              </w:rPr>
              <w:t xml:space="preserve"> pamatojumam nepieciešamo datu apkopošanu gan  </w:t>
            </w:r>
            <w:r w:rsidR="001A2930" w:rsidRPr="00E95FA4">
              <w:rPr>
                <w:lang w:eastAsia="lv-LV"/>
              </w:rPr>
              <w:t xml:space="preserve">sociālekonomiskajā jomā </w:t>
            </w:r>
            <w:r w:rsidR="001A2930" w:rsidRPr="00850840">
              <w:rPr>
                <w:lang w:eastAsia="lv-LV"/>
              </w:rPr>
              <w:t>un citās jomās.</w:t>
            </w:r>
            <w:bookmarkStart w:id="4" w:name="p-530331"/>
            <w:bookmarkStart w:id="5" w:name="p22"/>
            <w:bookmarkEnd w:id="4"/>
            <w:bookmarkEnd w:id="5"/>
            <w:r w:rsidR="00850840">
              <w:rPr>
                <w:lang w:eastAsia="lv-LV"/>
              </w:rPr>
              <w:t xml:space="preserve"> </w:t>
            </w:r>
            <w:r w:rsidR="001A2930" w:rsidRPr="00850840">
              <w:t>Latvijas Lauku konsultāciju un izglītības centrs pārzina lopkopības, augkopības un citu jomu specifiskās nianses, stiprās un vājās puses</w:t>
            </w:r>
            <w:r w:rsidR="00850840">
              <w:t>, tādēļ ir kompetents veikt noteikumu projektā paredzētos aprēķinus. Kā arī nav privātpersonas, kas tik detalizēti pārzina visas lauksaimniecības nianses un varētu veikt līdzīga rakstura aprēķinus.</w:t>
            </w:r>
          </w:p>
          <w:p w:rsidR="009858B3" w:rsidRDefault="00C73F58" w:rsidP="00E27FF3">
            <w:pPr>
              <w:pStyle w:val="Default"/>
              <w:jc w:val="both"/>
            </w:pPr>
            <w:r w:rsidRPr="005111EE">
              <w:t xml:space="preserve">Noteikumu projekts paredz, ka pasākuma atbalstu nepiešķir par </w:t>
            </w:r>
            <w:r w:rsidR="009858B3">
              <w:t>epizootijas vai</w:t>
            </w:r>
            <w:r w:rsidR="009858B3" w:rsidRPr="00371AFF">
              <w:t xml:space="preserve"> </w:t>
            </w:r>
            <w:proofErr w:type="spellStart"/>
            <w:r w:rsidR="009858B3" w:rsidRPr="007145AE">
              <w:t>epifitotij</w:t>
            </w:r>
            <w:r w:rsidR="009858B3">
              <w:t>as</w:t>
            </w:r>
            <w:proofErr w:type="spellEnd"/>
            <w:r w:rsidR="009858B3" w:rsidRPr="007145AE">
              <w:t xml:space="preserve"> </w:t>
            </w:r>
            <w:r w:rsidR="005D4851">
              <w:t>dēļ</w:t>
            </w:r>
            <w:r w:rsidRPr="005111EE">
              <w:t xml:space="preserve"> zaudētiem ienākumiem, kā arī nav pieļaujama </w:t>
            </w:r>
            <w:proofErr w:type="spellStart"/>
            <w:r w:rsidRPr="005111EE">
              <w:t>pārkompensācija</w:t>
            </w:r>
            <w:proofErr w:type="spellEnd"/>
            <w:r w:rsidRPr="005111EE">
              <w:t xml:space="preserve">, apvienojot šo pasākumu ar citiem valsts un vai Eiropas Savienības atbalsta instrumentiem vai privātām apdrošināšanas shēmām. </w:t>
            </w:r>
          </w:p>
          <w:p w:rsidR="006132C0" w:rsidRPr="007E48B7" w:rsidRDefault="009858B3" w:rsidP="005D4851">
            <w:pPr>
              <w:pStyle w:val="Default"/>
              <w:jc w:val="both"/>
            </w:pPr>
            <w:r>
              <w:t>Š</w:t>
            </w:r>
            <w:r w:rsidR="005D4851">
              <w:t>aj</w:t>
            </w:r>
            <w:r>
              <w:t>ā</w:t>
            </w:r>
            <w:r w:rsidR="00116035" w:rsidRPr="005111EE">
              <w:t xml:space="preserve"> pasākum</w:t>
            </w:r>
            <w:r w:rsidR="005D4851">
              <w:t>ā</w:t>
            </w:r>
            <w:r w:rsidR="00116035" w:rsidRPr="005111EE">
              <w:t xml:space="preserve"> netiks atbalstīti ar būvniecības darbiem saistītie izdevumi, jo šim mērķim atbalsts </w:t>
            </w:r>
            <w:r w:rsidR="005D4851" w:rsidRPr="005111EE">
              <w:t xml:space="preserve">paredzēts </w:t>
            </w:r>
            <w:r w:rsidR="00116035" w:rsidRPr="005111EE">
              <w:t>pasākumā „Ieguldījumi materiālajos aktīvos”</w:t>
            </w:r>
            <w:r w:rsidR="005D4851">
              <w:t> –</w:t>
            </w:r>
            <w:r w:rsidR="00116035" w:rsidRPr="005111EE">
              <w:t xml:space="preserve"> </w:t>
            </w:r>
            <w:r w:rsidR="005D4851">
              <w:t>tajā</w:t>
            </w:r>
            <w:r w:rsidR="00116035" w:rsidRPr="005111EE">
              <w:t xml:space="preserve"> ir paredzēts finansējums projektiem, kas saistīti ar epizootiju un </w:t>
            </w:r>
            <w:proofErr w:type="spellStart"/>
            <w:r w:rsidR="00116035" w:rsidRPr="005111EE">
              <w:t>epifitotiju</w:t>
            </w:r>
            <w:proofErr w:type="spellEnd"/>
            <w:r w:rsidR="00116035" w:rsidRPr="005111EE">
              <w:t xml:space="preserve"> radīto zaudējumu seku novēršanu. </w:t>
            </w:r>
            <w:r w:rsidR="00C73F58" w:rsidRPr="005111EE">
              <w:t>Noteikumu projekts paredz, ka priekšro</w:t>
            </w:r>
            <w:r w:rsidR="005D4851">
              <w:t>ka</w:t>
            </w:r>
            <w:r w:rsidR="00C73F58" w:rsidRPr="005111EE">
              <w:t xml:space="preserve"> saņemt atbalstu ir </w:t>
            </w:r>
            <w:r w:rsidR="005D4851">
              <w:t xml:space="preserve">par </w:t>
            </w:r>
            <w:r w:rsidR="00C73F58" w:rsidRPr="005111EE">
              <w:t>projekt</w:t>
            </w:r>
            <w:r w:rsidR="005D4851">
              <w:t>u</w:t>
            </w:r>
            <w:r w:rsidR="00C73F58" w:rsidRPr="005111EE">
              <w:t>, ko īsteno teritorijā ar m</w:t>
            </w:r>
            <w:r w:rsidR="005D4851">
              <w:t>az</w:t>
            </w:r>
            <w:r w:rsidR="00C73F58" w:rsidRPr="005111EE">
              <w:t>āku novada attīstības indeksu. Ja projektus īsteno teritorijās, kurās attīstības teritorijas indekss ir vienāds, priekšro</w:t>
            </w:r>
            <w:r w:rsidR="005D4851">
              <w:t>ka</w:t>
            </w:r>
            <w:r w:rsidR="00C73F58" w:rsidRPr="005111EE">
              <w:t xml:space="preserve"> ir projektam, k</w:t>
            </w:r>
            <w:r w:rsidR="005D4851">
              <w:t>o</w:t>
            </w:r>
            <w:r w:rsidR="00C73F58" w:rsidRPr="005111EE">
              <w:t xml:space="preserve"> īsteno teritorijā, kurā dabas katastrofas un katastrofālais notikums ir skāris </w:t>
            </w:r>
            <w:r w:rsidR="005D4851">
              <w:t>procentuāli</w:t>
            </w:r>
            <w:r w:rsidR="005D4851" w:rsidRPr="005111EE">
              <w:t xml:space="preserve"> </w:t>
            </w:r>
            <w:r w:rsidR="00C73F58" w:rsidRPr="005111EE">
              <w:t>lielāku</w:t>
            </w:r>
            <w:proofErr w:type="gramStart"/>
            <w:r w:rsidR="00C73F58" w:rsidRPr="005111EE">
              <w:t xml:space="preserve">  </w:t>
            </w:r>
            <w:proofErr w:type="gramEnd"/>
            <w:r w:rsidR="00C73F58" w:rsidRPr="005111EE">
              <w:t>platību no visas Latvijas teritorijas vai novada.</w:t>
            </w:r>
            <w:r w:rsidR="005111EE">
              <w:t xml:space="preserve"> </w:t>
            </w:r>
            <w:r w:rsidR="00336695" w:rsidRPr="005111EE">
              <w:t>Atbalstu plānots</w:t>
            </w:r>
            <w:r w:rsidR="00BD168E" w:rsidRPr="005111EE">
              <w:t xml:space="preserve"> </w:t>
            </w:r>
            <w:r w:rsidR="00C73F58" w:rsidRPr="005111EE">
              <w:t>piešķir</w:t>
            </w:r>
            <w:r w:rsidR="005D4851">
              <w:t>t,</w:t>
            </w:r>
            <w:r w:rsidR="00C73F58" w:rsidRPr="005111EE">
              <w:t xml:space="preserve"> pamatojoties gan uz faktiskajām attiecināmajām izmaksām, kas atbalsta pretendentam bijušas atbilstoši </w:t>
            </w:r>
            <w:r w:rsidR="005D4851">
              <w:t>k</w:t>
            </w:r>
            <w:r w:rsidR="00C73F58" w:rsidRPr="005111EE">
              <w:t xml:space="preserve">ompetentās iestādes apstiprinātajam plānam un Lauku atbalsta dienestā apstiprinātajam projekta iesniegumam, gan uz atbalsta pretendenta iesniegto maksājuma pieprasījumu saskaņā ar normatīvajiem aktiem par kārtību, kādā piešķir valsts un Eiropas Savienības atbalstu lauku un zivsaimniecības attīstībai. </w:t>
            </w:r>
            <w:r w:rsidR="005D4851">
              <w:t>Tāpat</w:t>
            </w:r>
            <w:r w:rsidR="005111EE" w:rsidRPr="005111EE">
              <w:t xml:space="preserve"> n</w:t>
            </w:r>
            <w:r w:rsidR="00C73F58" w:rsidRPr="005111EE">
              <w:t>oteikumu projekt</w:t>
            </w:r>
            <w:r w:rsidR="005D4851">
              <w:t>a</w:t>
            </w:r>
            <w:r w:rsidR="00C73F58" w:rsidRPr="005111EE">
              <w:t xml:space="preserve"> paredz</w:t>
            </w:r>
            <w:r w:rsidR="005D4851">
              <w:t>ēts</w:t>
            </w:r>
            <w:r w:rsidR="00C73F58" w:rsidRPr="005111EE">
              <w:t>, ka atbalsta pretendentam ir tiesības projekta īstenošanai pieprasīt priekšapmaksu 80 procentu apmērā no piešķirtā atbalsta a</w:t>
            </w:r>
            <w:r w:rsidR="005D4851">
              <w:t>pmēra</w:t>
            </w:r>
            <w:r w:rsidR="00C73F58" w:rsidRPr="005111EE">
              <w:t xml:space="preserve">, Lauku atbalsta dienestā iesniedzot priekšapmaksas pieprasījumu saskaņā ar normatīvajiem aktiem par </w:t>
            </w:r>
            <w:r w:rsidR="00C73F58" w:rsidRPr="005111EE">
              <w:lastRenderedPageBreak/>
              <w:t xml:space="preserve">kārtību, kādā piešķir valsts un Eiropas Savienības atbalstu lauku un zivsaimniecības attīstībai, un tam pievienojot preču piegādātāju, darbu izpildītāju vai pakalpojumu sniedzēju rēķinus par projekta īstenošanas </w:t>
            </w:r>
            <w:r w:rsidR="005D4851">
              <w:t>darbībām</w:t>
            </w:r>
            <w:r w:rsidR="00C73F58" w:rsidRPr="005111EE">
              <w:t xml:space="preserve">. </w:t>
            </w:r>
            <w:r w:rsidR="005111EE" w:rsidRPr="005111EE">
              <w:t>Pretendenti</w:t>
            </w:r>
            <w:r w:rsidR="00797205" w:rsidRPr="005111EE">
              <w:t xml:space="preserve"> atbalstam varēs pieteikties Lauku atbalsta dienestā pēc </w:t>
            </w:r>
            <w:r w:rsidR="00336695" w:rsidRPr="005111EE">
              <w:t>attiecīgās kārtās izsludināšanas</w:t>
            </w:r>
            <w:r w:rsidR="00797205" w:rsidRPr="005111EE">
              <w:t xml:space="preserve"> oficiālajā </w:t>
            </w:r>
            <w:r w:rsidR="00803E0F" w:rsidRPr="005111EE">
              <w:t>izdevumā</w:t>
            </w:r>
            <w:r w:rsidR="00797205" w:rsidRPr="005111EE">
              <w:t xml:space="preserve"> “Latvijas Vēstnesis”, iesniedzot atbilstoši </w:t>
            </w:r>
            <w:r w:rsidR="006C7604" w:rsidRPr="005111EE">
              <w:t xml:space="preserve">aizpildītus </w:t>
            </w:r>
            <w:r w:rsidR="00797205" w:rsidRPr="005111EE">
              <w:t xml:space="preserve">noteikumos </w:t>
            </w:r>
            <w:r w:rsidR="006C7604" w:rsidRPr="005111EE">
              <w:t>paredzētos</w:t>
            </w:r>
            <w:r w:rsidR="00797205" w:rsidRPr="005111EE">
              <w:t xml:space="preserve"> dokumentus.</w:t>
            </w:r>
            <w:r w:rsidR="00797205" w:rsidRPr="007E48B7">
              <w:t xml:space="preserve"> </w:t>
            </w:r>
          </w:p>
        </w:tc>
      </w:tr>
      <w:tr w:rsidR="008B61B7" w:rsidRPr="007E48B7" w:rsidTr="001F7954">
        <w:tc>
          <w:tcPr>
            <w:tcW w:w="293" w:type="dxa"/>
          </w:tcPr>
          <w:p w:rsidR="00E3225D" w:rsidRPr="007E48B7" w:rsidRDefault="006132C0">
            <w:pPr>
              <w:snapToGrid w:val="0"/>
              <w:jc w:val="both"/>
            </w:pPr>
            <w:r w:rsidRPr="007E48B7">
              <w:lastRenderedPageBreak/>
              <w:t>3</w:t>
            </w:r>
            <w:r w:rsidR="00E3225D" w:rsidRPr="007E48B7">
              <w:t>.</w:t>
            </w:r>
          </w:p>
        </w:tc>
        <w:tc>
          <w:tcPr>
            <w:tcW w:w="1692" w:type="dxa"/>
          </w:tcPr>
          <w:p w:rsidR="00E3225D" w:rsidRPr="007E48B7" w:rsidRDefault="00E3225D">
            <w:pPr>
              <w:snapToGrid w:val="0"/>
              <w:jc w:val="both"/>
            </w:pPr>
            <w:r w:rsidRPr="007E48B7">
              <w:t>Projekta izstrādē iesaistītās institūcijas</w:t>
            </w:r>
          </w:p>
        </w:tc>
        <w:tc>
          <w:tcPr>
            <w:tcW w:w="7478" w:type="dxa"/>
          </w:tcPr>
          <w:p w:rsidR="00E3225D" w:rsidRPr="007E48B7" w:rsidRDefault="00FF42DD" w:rsidP="005111EE">
            <w:pPr>
              <w:snapToGrid w:val="0"/>
              <w:jc w:val="both"/>
            </w:pPr>
            <w:r w:rsidRPr="007E48B7">
              <w:t>Zemkopības mini</w:t>
            </w:r>
            <w:r w:rsidR="000C1DA0" w:rsidRPr="007E48B7">
              <w:t>strija, Lauku atbalsta dienests</w:t>
            </w:r>
            <w:r w:rsidR="005111EE">
              <w:t>,</w:t>
            </w:r>
            <w:r w:rsidR="006C7604" w:rsidRPr="007E48B7">
              <w:t xml:space="preserve"> </w:t>
            </w:r>
            <w:r w:rsidR="005111EE">
              <w:rPr>
                <w:color w:val="000000"/>
                <w:lang w:eastAsia="lv-LV"/>
              </w:rPr>
              <w:t>Pārtikas un veterinār</w:t>
            </w:r>
            <w:r w:rsidR="005D4851">
              <w:rPr>
                <w:color w:val="000000"/>
                <w:lang w:eastAsia="lv-LV"/>
              </w:rPr>
              <w:t>ais</w:t>
            </w:r>
            <w:r w:rsidR="005111EE">
              <w:rPr>
                <w:color w:val="000000"/>
                <w:lang w:eastAsia="lv-LV"/>
              </w:rPr>
              <w:t xml:space="preserve"> dienests, </w:t>
            </w:r>
            <w:r w:rsidR="005111EE" w:rsidRPr="007145AE">
              <w:rPr>
                <w:color w:val="000000"/>
                <w:lang w:eastAsia="lv-LV"/>
              </w:rPr>
              <w:t>Va</w:t>
            </w:r>
            <w:r w:rsidR="005111EE">
              <w:rPr>
                <w:color w:val="000000"/>
                <w:lang w:eastAsia="lv-LV"/>
              </w:rPr>
              <w:t>lsts augu aizsardzības dienests</w:t>
            </w:r>
            <w:r w:rsidR="005D4851">
              <w:rPr>
                <w:color w:val="000000"/>
                <w:lang w:eastAsia="lv-LV"/>
              </w:rPr>
              <w:t xml:space="preserve"> un</w:t>
            </w:r>
            <w:r w:rsidR="00256EEF" w:rsidRPr="002555D0">
              <w:rPr>
                <w:lang w:eastAsia="lv-LV"/>
              </w:rPr>
              <w:t xml:space="preserve"> Latvijas Lauku konsultāciju un izglītības centrs</w:t>
            </w:r>
            <w:r w:rsidR="00256EEF">
              <w:rPr>
                <w:lang w:eastAsia="lv-LV"/>
              </w:rPr>
              <w:t>.</w:t>
            </w:r>
          </w:p>
        </w:tc>
      </w:tr>
      <w:tr w:rsidR="008B61B7" w:rsidRPr="007E48B7" w:rsidTr="001F7954">
        <w:trPr>
          <w:trHeight w:val="59"/>
        </w:trPr>
        <w:tc>
          <w:tcPr>
            <w:tcW w:w="293" w:type="dxa"/>
          </w:tcPr>
          <w:p w:rsidR="00E3225D" w:rsidRPr="007E48B7" w:rsidRDefault="006132C0">
            <w:pPr>
              <w:snapToGrid w:val="0"/>
              <w:jc w:val="both"/>
            </w:pPr>
            <w:r w:rsidRPr="007E48B7">
              <w:t>4</w:t>
            </w:r>
            <w:r w:rsidR="00E3225D" w:rsidRPr="007E48B7">
              <w:t>.</w:t>
            </w:r>
          </w:p>
        </w:tc>
        <w:tc>
          <w:tcPr>
            <w:tcW w:w="1692" w:type="dxa"/>
          </w:tcPr>
          <w:p w:rsidR="00E3225D" w:rsidRPr="007E48B7" w:rsidRDefault="00E3225D">
            <w:pPr>
              <w:snapToGrid w:val="0"/>
              <w:jc w:val="both"/>
            </w:pPr>
            <w:r w:rsidRPr="007E48B7">
              <w:t>Cita informācija</w:t>
            </w:r>
          </w:p>
        </w:tc>
        <w:tc>
          <w:tcPr>
            <w:tcW w:w="7478" w:type="dxa"/>
          </w:tcPr>
          <w:p w:rsidR="00A56FCA" w:rsidRPr="007E48B7" w:rsidRDefault="0026361D" w:rsidP="005F2BAE">
            <w:pPr>
              <w:jc w:val="both"/>
              <w:rPr>
                <w:lang w:eastAsia="lv-LV"/>
              </w:rPr>
            </w:pPr>
            <w:r w:rsidRPr="007E48B7">
              <w:rPr>
                <w:lang w:eastAsia="lv-LV"/>
              </w:rPr>
              <w:t>Nav</w:t>
            </w:r>
          </w:p>
        </w:tc>
      </w:tr>
    </w:tbl>
    <w:p w:rsidR="002B3D66" w:rsidRPr="007E48B7" w:rsidRDefault="002B3D66"/>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3393"/>
        <w:gridCol w:w="5777"/>
      </w:tblGrid>
      <w:tr w:rsidR="008B61B7" w:rsidRPr="007E48B7" w:rsidTr="001F7954">
        <w:tc>
          <w:tcPr>
            <w:tcW w:w="9463" w:type="dxa"/>
            <w:gridSpan w:val="3"/>
          </w:tcPr>
          <w:p w:rsidR="003B155C" w:rsidRPr="007E48B7" w:rsidRDefault="00FF42DD" w:rsidP="003B155C">
            <w:pPr>
              <w:snapToGrid w:val="0"/>
              <w:ind w:left="222"/>
              <w:jc w:val="center"/>
              <w:rPr>
                <w:b/>
              </w:rPr>
            </w:pPr>
            <w:r w:rsidRPr="007E48B7">
              <w:rPr>
                <w:rFonts w:ascii="Arial" w:hAnsi="Arial" w:cs="Arial"/>
                <w:color w:val="414142"/>
                <w:kern w:val="0"/>
                <w:lang w:eastAsia="lv-LV"/>
              </w:rPr>
              <w:t> </w:t>
            </w:r>
            <w:r w:rsidR="00C9111D" w:rsidRPr="007E48B7">
              <w:rPr>
                <w:b/>
              </w:rPr>
              <w:t>II. Tiesību akta projekta ietekme uz sabiedrību</w:t>
            </w:r>
            <w:r w:rsidR="006132C0" w:rsidRPr="007E48B7">
              <w:rPr>
                <w:b/>
                <w:bCs/>
              </w:rPr>
              <w:t>, tautsaimniecības attīstību un administratīvo slogu</w:t>
            </w:r>
          </w:p>
        </w:tc>
      </w:tr>
      <w:tr w:rsidR="008B61B7" w:rsidRPr="007E48B7" w:rsidTr="001F7954">
        <w:tc>
          <w:tcPr>
            <w:tcW w:w="293" w:type="dxa"/>
          </w:tcPr>
          <w:p w:rsidR="00C9111D" w:rsidRPr="007E48B7" w:rsidRDefault="00C9111D" w:rsidP="00CE7320">
            <w:pPr>
              <w:pStyle w:val="naiskr"/>
            </w:pPr>
            <w:r w:rsidRPr="007E48B7">
              <w:t>1.</w:t>
            </w:r>
          </w:p>
        </w:tc>
        <w:tc>
          <w:tcPr>
            <w:tcW w:w="3393" w:type="dxa"/>
          </w:tcPr>
          <w:p w:rsidR="006132C0" w:rsidRPr="007E48B7" w:rsidRDefault="00C9111D" w:rsidP="008B61B7">
            <w:pPr>
              <w:pStyle w:val="naiskr"/>
              <w:spacing w:before="0" w:after="0"/>
            </w:pPr>
            <w:r w:rsidRPr="007E48B7">
              <w:t> </w:t>
            </w:r>
            <w:r w:rsidR="006132C0" w:rsidRPr="007E48B7">
              <w:t>Sabiedrības mērķgrupas, kuras tiesiskais regulējums ietekmē vai varētu ietekmēt</w:t>
            </w:r>
          </w:p>
        </w:tc>
        <w:tc>
          <w:tcPr>
            <w:tcW w:w="5777" w:type="dxa"/>
          </w:tcPr>
          <w:p w:rsidR="00692229" w:rsidRPr="007E48B7" w:rsidRDefault="00282FB4" w:rsidP="00295F8D">
            <w:pPr>
              <w:jc w:val="both"/>
              <w:rPr>
                <w:lang w:eastAsia="lv-LV"/>
              </w:rPr>
            </w:pPr>
            <w:r w:rsidRPr="007E48B7">
              <w:t xml:space="preserve">Noteikumu projekta mērķgrupa ir </w:t>
            </w:r>
            <w:r w:rsidR="005111EE" w:rsidRPr="00E63FE2">
              <w:t>fiziska</w:t>
            </w:r>
            <w:r w:rsidR="005111EE">
              <w:t>s</w:t>
            </w:r>
            <w:r w:rsidR="005111EE" w:rsidRPr="00E63FE2">
              <w:t xml:space="preserve"> vai juridiska</w:t>
            </w:r>
            <w:r w:rsidR="005111EE">
              <w:t>s</w:t>
            </w:r>
            <w:r w:rsidR="005111EE" w:rsidRPr="00E63FE2">
              <w:t xml:space="preserve"> persona</w:t>
            </w:r>
            <w:r w:rsidR="005111EE">
              <w:t>s</w:t>
            </w:r>
            <w:r w:rsidR="005111EE" w:rsidRPr="00E63FE2">
              <w:t>, ka</w:t>
            </w:r>
            <w:r w:rsidR="005111EE">
              <w:t>s</w:t>
            </w:r>
            <w:r w:rsidR="005111EE" w:rsidRPr="00E63FE2">
              <w:t xml:space="preserve"> nodarbojas ar lauksai</w:t>
            </w:r>
            <w:r w:rsidR="005111EE">
              <w:t>mnieciskās produkcijas ražošanu.</w:t>
            </w:r>
          </w:p>
        </w:tc>
      </w:tr>
      <w:tr w:rsidR="008B61B7" w:rsidRPr="007E48B7" w:rsidTr="001F7954">
        <w:tc>
          <w:tcPr>
            <w:tcW w:w="293" w:type="dxa"/>
          </w:tcPr>
          <w:p w:rsidR="00C9111D" w:rsidRPr="007E48B7" w:rsidRDefault="00C9111D" w:rsidP="00CE7320">
            <w:pPr>
              <w:snapToGrid w:val="0"/>
            </w:pPr>
            <w:r w:rsidRPr="007E48B7">
              <w:t>2.</w:t>
            </w:r>
          </w:p>
        </w:tc>
        <w:tc>
          <w:tcPr>
            <w:tcW w:w="3393" w:type="dxa"/>
          </w:tcPr>
          <w:p w:rsidR="00C9111D" w:rsidRPr="007E48B7" w:rsidRDefault="006132C0" w:rsidP="00CE7320">
            <w:pPr>
              <w:snapToGrid w:val="0"/>
            </w:pPr>
            <w:r w:rsidRPr="007E48B7">
              <w:t>Tiesiskā regulējuma ietekme uz tautsaimniecību un administratīvo slogu</w:t>
            </w:r>
          </w:p>
        </w:tc>
        <w:tc>
          <w:tcPr>
            <w:tcW w:w="5777" w:type="dxa"/>
          </w:tcPr>
          <w:p w:rsidR="00692229" w:rsidRPr="007E48B7" w:rsidRDefault="00692229" w:rsidP="009E226B">
            <w:pPr>
              <w:snapToGrid w:val="0"/>
              <w:jc w:val="both"/>
            </w:pPr>
            <w:r w:rsidRPr="007E48B7">
              <w:t>Pieteikšanās uz atbalstu ir brīvprātīg</w:t>
            </w:r>
            <w:r w:rsidR="006F7448" w:rsidRPr="007E48B7">
              <w:t>a</w:t>
            </w:r>
            <w:r w:rsidRPr="007E48B7">
              <w:t>.</w:t>
            </w:r>
            <w:r w:rsidR="0027317D">
              <w:t xml:space="preserve"> </w:t>
            </w:r>
            <w:r w:rsidR="009B7C00" w:rsidRPr="00883DB9">
              <w:t xml:space="preserve">Atbalsts mazinās </w:t>
            </w:r>
            <w:r w:rsidR="009E226B" w:rsidRPr="00883DB9">
              <w:t xml:space="preserve">epizootijas vai </w:t>
            </w:r>
            <w:proofErr w:type="spellStart"/>
            <w:r w:rsidR="009E226B" w:rsidRPr="00883DB9">
              <w:t>epifitotijas</w:t>
            </w:r>
            <w:proofErr w:type="spellEnd"/>
            <w:r w:rsidR="009E226B" w:rsidRPr="00883DB9">
              <w:t xml:space="preserve"> </w:t>
            </w:r>
            <w:r w:rsidR="009E226B">
              <w:t>dēļ radušās</w:t>
            </w:r>
            <w:r w:rsidR="002D32DA">
              <w:t xml:space="preserve"> </w:t>
            </w:r>
            <w:r w:rsidR="009B7C00" w:rsidRPr="00883DB9">
              <w:t xml:space="preserve">sekas. Profilaktiskie pasākumi slimību skartajās teritorijās esošās saimniecības pasargās no epizootijas vai </w:t>
            </w:r>
            <w:proofErr w:type="spellStart"/>
            <w:r w:rsidR="009B7C00" w:rsidRPr="00883DB9">
              <w:t>epifitotijas</w:t>
            </w:r>
            <w:proofErr w:type="spellEnd"/>
            <w:r w:rsidR="009B7C00" w:rsidRPr="00883DB9">
              <w:t xml:space="preserve"> tālākās izplatības. Lauksaimniecības ražošanas potenciāla atjaunošanas gadījumā atbalsts veicinās ražošanas atjaunošanu un saimniecisko darbību. </w:t>
            </w:r>
            <w:r w:rsidRPr="007E48B7">
              <w:t xml:space="preserve">Atbalsta saņemšanai pretendents </w:t>
            </w:r>
            <w:r w:rsidR="00F916D5" w:rsidRPr="007E48B7">
              <w:t xml:space="preserve">pēc kārtas izsludināšanas oficiālajā </w:t>
            </w:r>
            <w:r w:rsidR="00B4175F" w:rsidRPr="007E48B7">
              <w:t>izdevumā</w:t>
            </w:r>
            <w:r w:rsidR="00F916D5" w:rsidRPr="007E48B7">
              <w:t xml:space="preserve"> “Latvijas Vēstnesis” </w:t>
            </w:r>
            <w:r w:rsidRPr="007E48B7">
              <w:t xml:space="preserve">Lauku atbalsta dienestā iesniedz iesniegumu un </w:t>
            </w:r>
            <w:r w:rsidR="006F7448" w:rsidRPr="007E48B7">
              <w:t xml:space="preserve">noteikumos paredzētos </w:t>
            </w:r>
            <w:r w:rsidRPr="007E48B7">
              <w:t xml:space="preserve">dokumentus. </w:t>
            </w:r>
          </w:p>
        </w:tc>
      </w:tr>
      <w:tr w:rsidR="008B61B7" w:rsidRPr="007E48B7" w:rsidTr="001F7954">
        <w:tc>
          <w:tcPr>
            <w:tcW w:w="293" w:type="dxa"/>
          </w:tcPr>
          <w:p w:rsidR="00C9111D" w:rsidRPr="007E48B7" w:rsidRDefault="00C9111D" w:rsidP="00CE7320">
            <w:pPr>
              <w:snapToGrid w:val="0"/>
            </w:pPr>
            <w:r w:rsidRPr="007E48B7">
              <w:t>3.</w:t>
            </w:r>
          </w:p>
        </w:tc>
        <w:tc>
          <w:tcPr>
            <w:tcW w:w="3393" w:type="dxa"/>
          </w:tcPr>
          <w:p w:rsidR="00C9111D" w:rsidRPr="007E48B7" w:rsidRDefault="006132C0" w:rsidP="00CE7320">
            <w:pPr>
              <w:snapToGrid w:val="0"/>
            </w:pPr>
            <w:r w:rsidRPr="007E48B7">
              <w:t>Administratīvo izmaksu monetārs novērtējums</w:t>
            </w:r>
          </w:p>
        </w:tc>
        <w:tc>
          <w:tcPr>
            <w:tcW w:w="5777" w:type="dxa"/>
          </w:tcPr>
          <w:p w:rsidR="007755F1" w:rsidRPr="00295F8D" w:rsidRDefault="002673BA" w:rsidP="0027317D">
            <w:pPr>
              <w:jc w:val="both"/>
              <w:rPr>
                <w:color w:val="000000"/>
              </w:rPr>
            </w:pPr>
            <w:r w:rsidRPr="00295F8D">
              <w:rPr>
                <w:color w:val="000000"/>
              </w:rPr>
              <w:t xml:space="preserve">Mērķgrupas lielumu noteikumu </w:t>
            </w:r>
            <w:r w:rsidR="005D4851">
              <w:rPr>
                <w:color w:val="000000"/>
              </w:rPr>
              <w:t>sagatavošanas</w:t>
            </w:r>
            <w:r w:rsidRPr="00295F8D">
              <w:rPr>
                <w:color w:val="000000"/>
              </w:rPr>
              <w:t xml:space="preserve"> </w:t>
            </w:r>
            <w:r w:rsidR="005D4851">
              <w:rPr>
                <w:color w:val="000000"/>
              </w:rPr>
              <w:t>laikā</w:t>
            </w:r>
            <w:r w:rsidRPr="00295F8D">
              <w:rPr>
                <w:color w:val="000000"/>
              </w:rPr>
              <w:t xml:space="preserve"> nav iespējams prognozēt, jo atbalsts ir paredzēts </w:t>
            </w:r>
            <w:r w:rsidR="009E226B" w:rsidRPr="00883DB9">
              <w:t xml:space="preserve">epizootijas vai </w:t>
            </w:r>
            <w:proofErr w:type="spellStart"/>
            <w:r w:rsidR="009E226B" w:rsidRPr="00883DB9">
              <w:t>epifitotijas</w:t>
            </w:r>
            <w:proofErr w:type="spellEnd"/>
            <w:r w:rsidR="009E226B" w:rsidRPr="00883DB9">
              <w:t xml:space="preserve"> </w:t>
            </w:r>
            <w:r w:rsidR="009E226B">
              <w:t>dēļ</w:t>
            </w:r>
            <w:r w:rsidR="002D32DA">
              <w:t xml:space="preserve"> </w:t>
            </w:r>
            <w:r w:rsidRPr="00295F8D">
              <w:rPr>
                <w:color w:val="000000"/>
              </w:rPr>
              <w:t>cietušajām saimniecībām.</w:t>
            </w:r>
            <w:r w:rsidR="002501FB" w:rsidRPr="00295F8D">
              <w:rPr>
                <w:color w:val="000000"/>
              </w:rPr>
              <w:t xml:space="preserve"> </w:t>
            </w:r>
            <w:r w:rsidR="0027317D" w:rsidRPr="00295F8D">
              <w:rPr>
                <w:color w:val="000000"/>
              </w:rPr>
              <w:t xml:space="preserve">Mērķgrupas administratīvās izmaksas veido </w:t>
            </w:r>
          </w:p>
          <w:p w:rsidR="00D7440E" w:rsidRPr="00295F8D" w:rsidRDefault="0027317D" w:rsidP="007755F1">
            <w:pPr>
              <w:jc w:val="both"/>
            </w:pPr>
            <w:r w:rsidRPr="00295F8D">
              <w:rPr>
                <w:color w:val="000000"/>
              </w:rPr>
              <w:t xml:space="preserve">iesnieguma aizpildīšana, attiecīgās informācijas un </w:t>
            </w:r>
            <w:r w:rsidR="00E021FC" w:rsidRPr="00295F8D">
              <w:rPr>
                <w:color w:val="000000"/>
              </w:rPr>
              <w:t>biodrošības</w:t>
            </w:r>
            <w:r w:rsidR="007755F1" w:rsidRPr="00295F8D">
              <w:rPr>
                <w:color w:val="000000"/>
              </w:rPr>
              <w:t xml:space="preserve"> pasākumu</w:t>
            </w:r>
            <w:r w:rsidRPr="00295F8D">
              <w:rPr>
                <w:color w:val="000000"/>
              </w:rPr>
              <w:t xml:space="preserve"> </w:t>
            </w:r>
            <w:r w:rsidR="009E226B">
              <w:rPr>
                <w:color w:val="000000"/>
              </w:rPr>
              <w:t xml:space="preserve">ieviešanas </w:t>
            </w:r>
            <w:r w:rsidRPr="00295F8D">
              <w:rPr>
                <w:color w:val="000000"/>
              </w:rPr>
              <w:t xml:space="preserve">plāna </w:t>
            </w:r>
            <w:r w:rsidR="007755F1" w:rsidRPr="00295F8D">
              <w:rPr>
                <w:color w:val="000000"/>
              </w:rPr>
              <w:t xml:space="preserve">vai </w:t>
            </w:r>
            <w:r w:rsidR="009E226B">
              <w:rPr>
                <w:color w:val="000000"/>
              </w:rPr>
              <w:t>profilaktisko pasākumu ieviešanas</w:t>
            </w:r>
            <w:r w:rsidR="007755F1" w:rsidRPr="00295F8D">
              <w:rPr>
                <w:color w:val="000000"/>
              </w:rPr>
              <w:t xml:space="preserve"> plāna </w:t>
            </w:r>
            <w:r w:rsidRPr="00295F8D">
              <w:rPr>
                <w:color w:val="000000"/>
              </w:rPr>
              <w:t>sagatavošana un dokumentu iesniegšana</w:t>
            </w:r>
            <w:r w:rsidR="007755F1" w:rsidRPr="00295F8D">
              <w:rPr>
                <w:color w:val="000000"/>
              </w:rPr>
              <w:t xml:space="preserve"> personiski vai elektroniski.</w:t>
            </w:r>
            <w:r w:rsidR="00D7440E" w:rsidRPr="00295F8D">
              <w:rPr>
                <w:color w:val="000000"/>
              </w:rPr>
              <w:t xml:space="preserve"> </w:t>
            </w:r>
            <w:r w:rsidR="002501FB" w:rsidRPr="00295F8D">
              <w:rPr>
                <w:color w:val="000000"/>
              </w:rPr>
              <w:t>Tā kā mē</w:t>
            </w:r>
            <w:r w:rsidR="005D4851">
              <w:rPr>
                <w:color w:val="000000"/>
              </w:rPr>
              <w:t>rķ</w:t>
            </w:r>
            <w:r w:rsidR="002501FB" w:rsidRPr="00295F8D">
              <w:rPr>
                <w:color w:val="000000"/>
              </w:rPr>
              <w:t>grupas lielumu nav iespējams prognozēt</w:t>
            </w:r>
            <w:r w:rsidR="005D4851">
              <w:rPr>
                <w:color w:val="000000"/>
              </w:rPr>
              <w:t>,</w:t>
            </w:r>
            <w:r w:rsidR="002501FB" w:rsidRPr="00295F8D">
              <w:rPr>
                <w:color w:val="000000"/>
              </w:rPr>
              <w:t xml:space="preserve"> aprēķini veikti </w:t>
            </w:r>
            <w:r w:rsidR="005D4851">
              <w:rPr>
                <w:color w:val="000000"/>
              </w:rPr>
              <w:t xml:space="preserve">par </w:t>
            </w:r>
            <w:r w:rsidR="002501FB" w:rsidRPr="00295F8D">
              <w:rPr>
                <w:color w:val="000000"/>
              </w:rPr>
              <w:t>vien</w:t>
            </w:r>
            <w:r w:rsidR="005D4851">
              <w:rPr>
                <w:color w:val="000000"/>
              </w:rPr>
              <w:t>u</w:t>
            </w:r>
            <w:r w:rsidR="002501FB" w:rsidRPr="00295F8D">
              <w:rPr>
                <w:color w:val="000000"/>
              </w:rPr>
              <w:t xml:space="preserve"> person</w:t>
            </w:r>
            <w:r w:rsidR="005D4851">
              <w:rPr>
                <w:color w:val="000000"/>
              </w:rPr>
              <w:t>u</w:t>
            </w:r>
            <w:r w:rsidR="002501FB" w:rsidRPr="00295F8D">
              <w:rPr>
                <w:color w:val="000000"/>
              </w:rPr>
              <w:t xml:space="preserve">. </w:t>
            </w:r>
            <w:r w:rsidR="007755F1" w:rsidRPr="00295F8D">
              <w:t xml:space="preserve">Aprēķinos ir </w:t>
            </w:r>
            <w:r w:rsidR="00D7440E" w:rsidRPr="00295F8D">
              <w:t>izmantots</w:t>
            </w:r>
            <w:r w:rsidR="007755F1" w:rsidRPr="00295F8D">
              <w:t xml:space="preserve"> pieņēmum</w:t>
            </w:r>
            <w:r w:rsidR="00D7440E" w:rsidRPr="00295F8D">
              <w:t>s, ka darba devējam stundas likme</w:t>
            </w:r>
            <w:r w:rsidR="007755F1" w:rsidRPr="00295F8D">
              <w:t xml:space="preserve"> vidēj</w:t>
            </w:r>
            <w:r w:rsidR="00D7440E" w:rsidRPr="00295F8D">
              <w:t>i</w:t>
            </w:r>
            <w:r w:rsidR="007755F1" w:rsidRPr="00295F8D">
              <w:t xml:space="preserve"> </w:t>
            </w:r>
            <w:r w:rsidR="00D7440E" w:rsidRPr="00295F8D">
              <w:t>veido</w:t>
            </w:r>
            <w:r w:rsidR="002D32DA" w:rsidRPr="00295F8D">
              <w:t xml:space="preserve"> </w:t>
            </w:r>
            <w:r w:rsidR="007755F1" w:rsidRPr="00295F8D">
              <w:t xml:space="preserve">4,32 </w:t>
            </w:r>
            <w:proofErr w:type="spellStart"/>
            <w:r w:rsidR="007755F1" w:rsidRPr="00295F8D">
              <w:rPr>
                <w:i/>
                <w:iCs/>
              </w:rPr>
              <w:t>euro</w:t>
            </w:r>
            <w:proofErr w:type="spellEnd"/>
            <w:r w:rsidR="007755F1" w:rsidRPr="00295F8D">
              <w:t xml:space="preserve"> (</w:t>
            </w:r>
            <w:r w:rsidR="005D4851">
              <w:t xml:space="preserve">pēc </w:t>
            </w:r>
            <w:r w:rsidR="007755F1" w:rsidRPr="00295F8D">
              <w:t>Centrālās statistikas pārvaldes dati</w:t>
            </w:r>
            <w:r w:rsidR="005D4851">
              <w:t>em,</w:t>
            </w:r>
            <w:r w:rsidR="007755F1" w:rsidRPr="00295F8D">
              <w:t xml:space="preserve"> </w:t>
            </w:r>
            <w:proofErr w:type="gramStart"/>
            <w:r w:rsidR="007755F1" w:rsidRPr="00295F8D">
              <w:t>2013.gada</w:t>
            </w:r>
            <w:proofErr w:type="gramEnd"/>
            <w:r w:rsidR="007755F1" w:rsidRPr="00295F8D">
              <w:t xml:space="preserve"> mēneša vidējā darba samaksa</w:t>
            </w:r>
            <w:r w:rsidR="005D4851">
              <w:t xml:space="preserve"> bija</w:t>
            </w:r>
            <w:r w:rsidR="007755F1" w:rsidRPr="00295F8D">
              <w:t xml:space="preserve"> 716 </w:t>
            </w:r>
            <w:proofErr w:type="spellStart"/>
            <w:r w:rsidR="007755F1" w:rsidRPr="00295F8D">
              <w:rPr>
                <w:i/>
                <w:iCs/>
              </w:rPr>
              <w:t>euro</w:t>
            </w:r>
            <w:proofErr w:type="spellEnd"/>
            <w:r w:rsidR="00D7440E" w:rsidRPr="00295F8D">
              <w:t>).</w:t>
            </w:r>
          </w:p>
          <w:p w:rsidR="007755F1" w:rsidRPr="00295F8D" w:rsidRDefault="00E021FC" w:rsidP="00E021FC">
            <w:pPr>
              <w:jc w:val="both"/>
            </w:pPr>
            <w:r w:rsidRPr="00295F8D">
              <w:t>1.</w:t>
            </w:r>
            <w:r w:rsidR="005D4851">
              <w:t xml:space="preserve"> </w:t>
            </w:r>
            <w:r w:rsidRPr="00295F8D">
              <w:t>I</w:t>
            </w:r>
            <w:r w:rsidR="00D7440E" w:rsidRPr="00295F8D">
              <w:t>esnieguma aizpildīšana (noteikumu projekta 1.pielikums)</w:t>
            </w:r>
          </w:p>
          <w:p w:rsidR="0027317D" w:rsidRPr="00295F8D" w:rsidRDefault="0027317D" w:rsidP="0027317D">
            <w:pPr>
              <w:jc w:val="both"/>
              <w:rPr>
                <w:color w:val="000000"/>
              </w:rPr>
            </w:pPr>
            <w:r w:rsidRPr="00295F8D">
              <w:rPr>
                <w:color w:val="000000"/>
              </w:rPr>
              <w:t>C = </w:t>
            </w:r>
            <w:r w:rsidR="003C34EA" w:rsidRPr="00295F8D">
              <w:rPr>
                <w:color w:val="000000"/>
              </w:rPr>
              <w:t xml:space="preserve"> </w:t>
            </w:r>
            <w:proofErr w:type="gramStart"/>
            <w:r w:rsidRPr="00295F8D">
              <w:rPr>
                <w:color w:val="000000"/>
              </w:rPr>
              <w:t>(</w:t>
            </w:r>
            <w:proofErr w:type="gramEnd"/>
            <w:r w:rsidR="002501FB" w:rsidRPr="00295F8D">
              <w:rPr>
                <w:color w:val="000000"/>
              </w:rPr>
              <w:t>4,32x (0,083+0,25)</w:t>
            </w:r>
            <w:r w:rsidRPr="00295F8D">
              <w:rPr>
                <w:color w:val="000000"/>
              </w:rPr>
              <w:t> </w:t>
            </w:r>
            <w:r w:rsidR="002501FB" w:rsidRPr="00295F8D">
              <w:rPr>
                <w:color w:val="000000"/>
              </w:rPr>
              <w:t> x (1</w:t>
            </w:r>
            <w:r w:rsidRPr="00295F8D">
              <w:rPr>
                <w:color w:val="000000"/>
              </w:rPr>
              <w:t xml:space="preserve"> x 1) = </w:t>
            </w:r>
            <w:r w:rsidR="00E021FC" w:rsidRPr="00295F8D">
              <w:rPr>
                <w:color w:val="000000"/>
              </w:rPr>
              <w:t>1,43</w:t>
            </w:r>
            <w:r w:rsidRPr="00295F8D">
              <w:rPr>
                <w:color w:val="000000"/>
              </w:rPr>
              <w:t xml:space="preserve"> </w:t>
            </w:r>
            <w:proofErr w:type="spellStart"/>
            <w:r w:rsidRPr="00295F8D">
              <w:rPr>
                <w:i/>
                <w:color w:val="000000"/>
              </w:rPr>
              <w:t>euro</w:t>
            </w:r>
            <w:proofErr w:type="spellEnd"/>
            <w:r w:rsidR="005D4851">
              <w:rPr>
                <w:i/>
                <w:color w:val="000000"/>
              </w:rPr>
              <w:t xml:space="preserve"> –</w:t>
            </w:r>
          </w:p>
          <w:p w:rsidR="002501FB" w:rsidRPr="00295F8D" w:rsidRDefault="005D4851" w:rsidP="002501FB">
            <w:pPr>
              <w:jc w:val="both"/>
            </w:pPr>
            <w:r>
              <w:t>p</w:t>
            </w:r>
            <w:r w:rsidR="00E021FC" w:rsidRPr="00295F8D">
              <w:t xml:space="preserve">ieņemot, ka vidējais laika </w:t>
            </w:r>
            <w:r w:rsidR="003C34EA" w:rsidRPr="00295F8D">
              <w:t>patēriņš</w:t>
            </w:r>
            <w:r w:rsidR="00E021FC" w:rsidRPr="00295F8D">
              <w:t xml:space="preserve"> i</w:t>
            </w:r>
            <w:r w:rsidR="002501FB" w:rsidRPr="00295F8D">
              <w:t>esnieguma aizpildīšanai</w:t>
            </w:r>
            <w:r w:rsidR="00E021FC" w:rsidRPr="00295F8D">
              <w:t xml:space="preserve"> ir </w:t>
            </w:r>
            <w:r>
              <w:t>šāds</w:t>
            </w:r>
            <w:r w:rsidR="002501FB" w:rsidRPr="00295F8D">
              <w:t xml:space="preserve">: </w:t>
            </w:r>
          </w:p>
          <w:p w:rsidR="002501FB" w:rsidRPr="00295F8D" w:rsidRDefault="005D4851" w:rsidP="002501FB">
            <w:pPr>
              <w:jc w:val="both"/>
            </w:pPr>
            <w:r>
              <w:rPr>
                <w:rFonts w:ascii="Verdana" w:hAnsi="Verdana"/>
              </w:rPr>
              <w:t>•</w:t>
            </w:r>
            <w:r>
              <w:t xml:space="preserve"> </w:t>
            </w:r>
            <w:r w:rsidR="002501FB" w:rsidRPr="00295F8D">
              <w:t xml:space="preserve">iepazīšanās ar iesnieguma veidlapu </w:t>
            </w:r>
            <w:r w:rsidR="00E021FC" w:rsidRPr="00295F8D">
              <w:t>–</w:t>
            </w:r>
            <w:r w:rsidR="002501FB" w:rsidRPr="00295F8D">
              <w:t xml:space="preserve"> 5</w:t>
            </w:r>
            <w:r w:rsidR="00E021FC" w:rsidRPr="00295F8D">
              <w:t xml:space="preserve"> </w:t>
            </w:r>
            <w:r w:rsidR="002501FB" w:rsidRPr="00295F8D">
              <w:t>minūtes (0,083 stundas)</w:t>
            </w:r>
            <w:r>
              <w:t>;</w:t>
            </w:r>
          </w:p>
          <w:p w:rsidR="002501FB" w:rsidRPr="00295F8D" w:rsidRDefault="005D4851" w:rsidP="002501FB">
            <w:pPr>
              <w:jc w:val="both"/>
            </w:pPr>
            <w:r>
              <w:rPr>
                <w:rFonts w:ascii="Verdana" w:hAnsi="Verdana"/>
              </w:rPr>
              <w:t xml:space="preserve">• </w:t>
            </w:r>
            <w:r w:rsidR="002501FB" w:rsidRPr="00295F8D">
              <w:t>iesnieguma aizpildīšana</w:t>
            </w:r>
            <w:r>
              <w:t xml:space="preserve"> –</w:t>
            </w:r>
            <w:r w:rsidR="00E021FC" w:rsidRPr="00295F8D">
              <w:t xml:space="preserve"> 15 </w:t>
            </w:r>
            <w:r w:rsidR="002501FB" w:rsidRPr="00295F8D">
              <w:t>minūtes (0,25 stundas)</w:t>
            </w:r>
            <w:r>
              <w:t>.</w:t>
            </w:r>
          </w:p>
          <w:p w:rsidR="00E021FC" w:rsidRPr="00295F8D" w:rsidRDefault="00E021FC" w:rsidP="002501FB">
            <w:pPr>
              <w:jc w:val="both"/>
            </w:pPr>
            <w:r w:rsidRPr="00295F8D">
              <w:lastRenderedPageBreak/>
              <w:t xml:space="preserve">2. </w:t>
            </w:r>
            <w:r w:rsidRPr="00295F8D">
              <w:rPr>
                <w:lang w:eastAsia="lv-LV"/>
              </w:rPr>
              <w:t xml:space="preserve">Biodrošības pasākumu ieviešanas </w:t>
            </w:r>
            <w:r w:rsidR="009E226B" w:rsidRPr="00295F8D">
              <w:rPr>
                <w:color w:val="000000"/>
              </w:rPr>
              <w:t xml:space="preserve">plāna vai </w:t>
            </w:r>
            <w:r w:rsidR="009E226B">
              <w:rPr>
                <w:color w:val="000000"/>
              </w:rPr>
              <w:t>profilaktisko pasākumu ieviešanas</w:t>
            </w:r>
            <w:r w:rsidR="009E226B" w:rsidRPr="00295F8D">
              <w:rPr>
                <w:color w:val="000000"/>
              </w:rPr>
              <w:t xml:space="preserve"> plāna</w:t>
            </w:r>
            <w:proofErr w:type="gramStart"/>
            <w:r w:rsidR="009E226B" w:rsidRPr="00295F8D">
              <w:rPr>
                <w:color w:val="000000"/>
              </w:rPr>
              <w:t xml:space="preserve"> </w:t>
            </w:r>
            <w:r w:rsidR="003C34EA" w:rsidRPr="00295F8D">
              <w:rPr>
                <w:lang w:eastAsia="lv-LV"/>
              </w:rPr>
              <w:t xml:space="preserve"> </w:t>
            </w:r>
            <w:proofErr w:type="gramEnd"/>
            <w:r w:rsidR="003C34EA" w:rsidRPr="00295F8D">
              <w:rPr>
                <w:lang w:eastAsia="lv-LV"/>
              </w:rPr>
              <w:t>sagatavošana</w:t>
            </w:r>
            <w:r w:rsidR="00295F8D">
              <w:rPr>
                <w:lang w:eastAsia="lv-LV"/>
              </w:rPr>
              <w:t>.</w:t>
            </w:r>
            <w:r w:rsidRPr="00295F8D">
              <w:rPr>
                <w:lang w:eastAsia="lv-LV"/>
              </w:rPr>
              <w:t xml:space="preserve"> </w:t>
            </w:r>
          </w:p>
          <w:p w:rsidR="002501FB" w:rsidRPr="00295F8D" w:rsidRDefault="002501FB" w:rsidP="002501FB">
            <w:pPr>
              <w:jc w:val="both"/>
              <w:rPr>
                <w:color w:val="000000"/>
              </w:rPr>
            </w:pPr>
            <w:r w:rsidRPr="00295F8D">
              <w:rPr>
                <w:color w:val="000000"/>
              </w:rPr>
              <w:t>C = </w:t>
            </w:r>
            <w:r w:rsidR="003C34EA" w:rsidRPr="00295F8D">
              <w:rPr>
                <w:color w:val="000000"/>
              </w:rPr>
              <w:t xml:space="preserve"> </w:t>
            </w:r>
            <w:r w:rsidRPr="00295F8D">
              <w:rPr>
                <w:color w:val="000000"/>
              </w:rPr>
              <w:t>(</w:t>
            </w:r>
            <w:r w:rsidR="00E021FC" w:rsidRPr="00295F8D">
              <w:rPr>
                <w:color w:val="000000"/>
              </w:rPr>
              <w:t>4,32</w:t>
            </w:r>
            <w:r w:rsidRPr="00295F8D">
              <w:rPr>
                <w:color w:val="000000"/>
              </w:rPr>
              <w:t> x 4</w:t>
            </w:r>
            <w:r w:rsidR="00E021FC" w:rsidRPr="00295F8D">
              <w:rPr>
                <w:color w:val="000000"/>
              </w:rPr>
              <w:t>0</w:t>
            </w:r>
            <w:r w:rsidRPr="00295F8D">
              <w:rPr>
                <w:color w:val="000000"/>
              </w:rPr>
              <w:t>) x (</w:t>
            </w:r>
            <w:r w:rsidR="00E021FC" w:rsidRPr="00295F8D">
              <w:rPr>
                <w:color w:val="000000"/>
              </w:rPr>
              <w:t>1</w:t>
            </w:r>
            <w:r w:rsidRPr="00295F8D">
              <w:rPr>
                <w:color w:val="000000"/>
              </w:rPr>
              <w:t xml:space="preserve"> x 1) = </w:t>
            </w:r>
            <w:r w:rsidR="00E021FC" w:rsidRPr="00295F8D">
              <w:rPr>
                <w:color w:val="000000"/>
              </w:rPr>
              <w:t>172,8</w:t>
            </w:r>
            <w:r w:rsidRPr="00295F8D">
              <w:rPr>
                <w:color w:val="000000"/>
              </w:rPr>
              <w:t xml:space="preserve"> </w:t>
            </w:r>
            <w:proofErr w:type="spellStart"/>
            <w:r w:rsidRPr="00295F8D">
              <w:rPr>
                <w:i/>
                <w:color w:val="000000"/>
              </w:rPr>
              <w:t>euro</w:t>
            </w:r>
            <w:proofErr w:type="spellEnd"/>
            <w:r w:rsidR="005D4851">
              <w:rPr>
                <w:i/>
                <w:color w:val="000000"/>
              </w:rPr>
              <w:t xml:space="preserve"> –</w:t>
            </w:r>
          </w:p>
          <w:p w:rsidR="002501FB" w:rsidRPr="00295F8D" w:rsidRDefault="005D4851" w:rsidP="002501FB">
            <w:pPr>
              <w:jc w:val="both"/>
              <w:rPr>
                <w:color w:val="000000"/>
              </w:rPr>
            </w:pPr>
            <w:r>
              <w:rPr>
                <w:color w:val="000000"/>
              </w:rPr>
              <w:t>p</w:t>
            </w:r>
            <w:r w:rsidR="002501FB" w:rsidRPr="00295F8D">
              <w:rPr>
                <w:color w:val="000000"/>
              </w:rPr>
              <w:t xml:space="preserve">ieņemot, </w:t>
            </w:r>
            <w:proofErr w:type="gramStart"/>
            <w:r w:rsidR="002501FB" w:rsidRPr="00295F8D">
              <w:rPr>
                <w:color w:val="000000"/>
              </w:rPr>
              <w:t xml:space="preserve">ka vienkāršota </w:t>
            </w:r>
            <w:r w:rsidR="00E021FC" w:rsidRPr="00295F8D">
              <w:rPr>
                <w:lang w:eastAsia="lv-LV"/>
              </w:rPr>
              <w:t xml:space="preserve">biodrošības pasākumu ieviešanas </w:t>
            </w:r>
            <w:r w:rsidR="002D32DA">
              <w:rPr>
                <w:color w:val="000000"/>
              </w:rPr>
              <w:t>plāna</w:t>
            </w:r>
            <w:proofErr w:type="gramEnd"/>
            <w:r w:rsidR="002D32DA">
              <w:rPr>
                <w:color w:val="000000"/>
              </w:rPr>
              <w:t xml:space="preserve"> </w:t>
            </w:r>
            <w:r w:rsidR="000C16D1" w:rsidRPr="00295F8D">
              <w:rPr>
                <w:color w:val="000000"/>
              </w:rPr>
              <w:t xml:space="preserve">vai </w:t>
            </w:r>
            <w:r w:rsidR="000C16D1">
              <w:rPr>
                <w:color w:val="000000"/>
              </w:rPr>
              <w:t>profilaktisko pasākumu ieviešanas</w:t>
            </w:r>
            <w:r w:rsidR="000C16D1" w:rsidRPr="00295F8D">
              <w:rPr>
                <w:color w:val="000000"/>
              </w:rPr>
              <w:t xml:space="preserve"> plāna </w:t>
            </w:r>
            <w:r w:rsidR="002501FB" w:rsidRPr="00295F8D">
              <w:rPr>
                <w:color w:val="000000"/>
              </w:rPr>
              <w:t xml:space="preserve">sagatavošanai </w:t>
            </w:r>
            <w:r w:rsidR="00E021FC" w:rsidRPr="00295F8D">
              <w:rPr>
                <w:color w:val="000000"/>
              </w:rPr>
              <w:t>vidēji nepieciešams laiks vienai</w:t>
            </w:r>
            <w:r w:rsidR="002501FB" w:rsidRPr="00295F8D">
              <w:rPr>
                <w:color w:val="000000"/>
              </w:rPr>
              <w:t xml:space="preserve"> </w:t>
            </w:r>
            <w:r w:rsidR="00E021FC" w:rsidRPr="00295F8D">
              <w:rPr>
                <w:color w:val="000000"/>
              </w:rPr>
              <w:t>personai nepārsniedz 40 stundas.</w:t>
            </w:r>
          </w:p>
          <w:p w:rsidR="00E021FC" w:rsidRPr="00295F8D" w:rsidRDefault="00E021FC" w:rsidP="00E021FC">
            <w:pPr>
              <w:jc w:val="both"/>
              <w:rPr>
                <w:lang w:eastAsia="lv-LV"/>
              </w:rPr>
            </w:pPr>
            <w:r w:rsidRPr="00295F8D">
              <w:rPr>
                <w:lang w:eastAsia="lv-LV"/>
              </w:rPr>
              <w:t>3.</w:t>
            </w:r>
            <w:r w:rsidR="005D4851">
              <w:rPr>
                <w:lang w:eastAsia="lv-LV"/>
              </w:rPr>
              <w:t xml:space="preserve"> </w:t>
            </w:r>
            <w:r w:rsidRPr="00295F8D">
              <w:rPr>
                <w:lang w:eastAsia="lv-LV"/>
              </w:rPr>
              <w:t xml:space="preserve">Atbalsta pretendenta deklarācijas saskaņā ar normatīvajiem aktiem par kārtību, kādā piešķir valsts un Eiropas Savienības atbalstu lauku un </w:t>
            </w:r>
            <w:r w:rsidR="003C34EA" w:rsidRPr="00295F8D">
              <w:rPr>
                <w:lang w:eastAsia="lv-LV"/>
              </w:rPr>
              <w:t>zivsaimniecības attīstībai aizpildīšana</w:t>
            </w:r>
            <w:r w:rsidR="00295F8D">
              <w:rPr>
                <w:lang w:eastAsia="lv-LV"/>
              </w:rPr>
              <w:t>.</w:t>
            </w:r>
          </w:p>
          <w:p w:rsidR="003C34EA" w:rsidRPr="00295F8D" w:rsidRDefault="003C34EA" w:rsidP="003C34EA">
            <w:pPr>
              <w:jc w:val="both"/>
              <w:rPr>
                <w:color w:val="000000"/>
              </w:rPr>
            </w:pPr>
            <w:r w:rsidRPr="00295F8D">
              <w:rPr>
                <w:color w:val="000000"/>
              </w:rPr>
              <w:t xml:space="preserve">C =  </w:t>
            </w:r>
            <w:proofErr w:type="gramStart"/>
            <w:r w:rsidRPr="00295F8D">
              <w:rPr>
                <w:color w:val="000000"/>
              </w:rPr>
              <w:t>(</w:t>
            </w:r>
            <w:proofErr w:type="gramEnd"/>
            <w:r w:rsidRPr="00295F8D">
              <w:rPr>
                <w:color w:val="000000"/>
              </w:rPr>
              <w:t xml:space="preserve">4,32x (0,083+0,25)  x (1 x 1) = 1,43 </w:t>
            </w:r>
            <w:proofErr w:type="spellStart"/>
            <w:r w:rsidRPr="00295F8D">
              <w:rPr>
                <w:i/>
                <w:color w:val="000000"/>
              </w:rPr>
              <w:t>euro</w:t>
            </w:r>
            <w:proofErr w:type="spellEnd"/>
            <w:r w:rsidR="005D4851">
              <w:rPr>
                <w:i/>
                <w:color w:val="000000"/>
              </w:rPr>
              <w:t xml:space="preserve"> –</w:t>
            </w:r>
          </w:p>
          <w:p w:rsidR="003C34EA" w:rsidRPr="00295F8D" w:rsidRDefault="005D4851" w:rsidP="003C34EA">
            <w:pPr>
              <w:jc w:val="both"/>
            </w:pPr>
            <w:r>
              <w:t>p</w:t>
            </w:r>
            <w:r w:rsidR="003C34EA" w:rsidRPr="00295F8D">
              <w:t xml:space="preserve">ieņemot, ka vidējais laika patēriņš deklarācijas aizpildīšanai ir </w:t>
            </w:r>
            <w:r>
              <w:t>šāds</w:t>
            </w:r>
            <w:r w:rsidR="003C34EA" w:rsidRPr="00295F8D">
              <w:t xml:space="preserve">: </w:t>
            </w:r>
          </w:p>
          <w:p w:rsidR="003C34EA" w:rsidRPr="00295F8D" w:rsidRDefault="005D4851" w:rsidP="003C34EA">
            <w:pPr>
              <w:jc w:val="both"/>
            </w:pPr>
            <w:r>
              <w:rPr>
                <w:rFonts w:ascii="Verdana" w:hAnsi="Verdana"/>
              </w:rPr>
              <w:t>•</w:t>
            </w:r>
            <w:r>
              <w:t xml:space="preserve"> </w:t>
            </w:r>
            <w:r w:rsidR="003C34EA" w:rsidRPr="00295F8D">
              <w:t>iepazīšanās ar deklarācijas veidlapu – 5 minūtes (0,083 stundas)</w:t>
            </w:r>
            <w:r>
              <w:t>;</w:t>
            </w:r>
          </w:p>
          <w:p w:rsidR="00E021FC" w:rsidRPr="00295F8D" w:rsidRDefault="005D4851" w:rsidP="003C34EA">
            <w:pPr>
              <w:jc w:val="both"/>
              <w:rPr>
                <w:color w:val="000000"/>
              </w:rPr>
            </w:pPr>
            <w:r>
              <w:rPr>
                <w:rFonts w:ascii="Verdana" w:hAnsi="Verdana"/>
              </w:rPr>
              <w:t>•</w:t>
            </w:r>
            <w:r>
              <w:t xml:space="preserve"> </w:t>
            </w:r>
            <w:r w:rsidR="003C34EA" w:rsidRPr="00295F8D">
              <w:t xml:space="preserve">deklarācijas aizpildīšana </w:t>
            </w:r>
            <w:r>
              <w:t>–</w:t>
            </w:r>
            <w:r w:rsidR="003C34EA" w:rsidRPr="00295F8D">
              <w:t xml:space="preserve"> 15 minūtes (0,25 stundas)</w:t>
            </w:r>
            <w:r>
              <w:t>.</w:t>
            </w:r>
          </w:p>
          <w:p w:rsidR="003C34EA" w:rsidRPr="00295F8D" w:rsidRDefault="00295F8D" w:rsidP="0027317D">
            <w:pPr>
              <w:jc w:val="both"/>
            </w:pPr>
            <w:r>
              <w:t>4.</w:t>
            </w:r>
            <w:r w:rsidR="005D4851">
              <w:t xml:space="preserve"> </w:t>
            </w:r>
            <w:r w:rsidR="003C34EA" w:rsidRPr="00295F8D">
              <w:t>I</w:t>
            </w:r>
            <w:r w:rsidRPr="00295F8D">
              <w:t>epirkuma procedūru</w:t>
            </w:r>
            <w:r w:rsidR="003C34EA" w:rsidRPr="00295F8D">
              <w:t xml:space="preserve"> apliecinošu dokumentu sagatavošana</w:t>
            </w:r>
            <w:r>
              <w:t>.</w:t>
            </w:r>
            <w:r w:rsidR="003C34EA" w:rsidRPr="00295F8D">
              <w:t xml:space="preserve"> </w:t>
            </w:r>
          </w:p>
          <w:p w:rsidR="003C34EA" w:rsidRPr="00295F8D" w:rsidRDefault="003C34EA" w:rsidP="003C34EA">
            <w:pPr>
              <w:snapToGrid w:val="0"/>
              <w:jc w:val="both"/>
              <w:rPr>
                <w:color w:val="000000"/>
              </w:rPr>
            </w:pPr>
            <w:r w:rsidRPr="00295F8D">
              <w:rPr>
                <w:color w:val="000000"/>
              </w:rPr>
              <w:t>Pieņemot, ka iepirkuma procedūr</w:t>
            </w:r>
            <w:r w:rsidR="005D4851">
              <w:rPr>
                <w:color w:val="000000"/>
              </w:rPr>
              <w:t>u</w:t>
            </w:r>
            <w:r w:rsidRPr="00295F8D">
              <w:rPr>
                <w:color w:val="000000"/>
              </w:rPr>
              <w:t xml:space="preserve"> a</w:t>
            </w:r>
            <w:r w:rsidR="005D4851">
              <w:rPr>
                <w:color w:val="000000"/>
              </w:rPr>
              <w:t>p</w:t>
            </w:r>
            <w:r w:rsidRPr="00295F8D">
              <w:rPr>
                <w:color w:val="000000"/>
              </w:rPr>
              <w:t xml:space="preserve">liecinošie dokumenti vidēji </w:t>
            </w:r>
            <w:r w:rsidR="005D4851">
              <w:rPr>
                <w:color w:val="000000"/>
              </w:rPr>
              <w:t>aizņem</w:t>
            </w:r>
            <w:r w:rsidRPr="00295F8D">
              <w:rPr>
                <w:color w:val="000000"/>
              </w:rPr>
              <w:t xml:space="preserve"> 10 lapas un to izdrukas izmaksas par 1 lapu (aptuveni 0,07 </w:t>
            </w:r>
            <w:proofErr w:type="spellStart"/>
            <w:r w:rsidRPr="00295F8D">
              <w:rPr>
                <w:i/>
                <w:color w:val="000000"/>
              </w:rPr>
              <w:t>euro</w:t>
            </w:r>
            <w:proofErr w:type="spellEnd"/>
            <w:r w:rsidRPr="00295F8D">
              <w:rPr>
                <w:color w:val="000000"/>
              </w:rPr>
              <w:t>)</w:t>
            </w:r>
            <w:r w:rsidR="005D4851">
              <w:rPr>
                <w:color w:val="000000"/>
              </w:rPr>
              <w:t>,</w:t>
            </w:r>
            <w:r w:rsidRPr="00295F8D">
              <w:rPr>
                <w:color w:val="000000"/>
              </w:rPr>
              <w:t xml:space="preserve"> – 1 x 10 x 0,07 = 0,70 </w:t>
            </w:r>
            <w:proofErr w:type="spellStart"/>
            <w:r w:rsidRPr="00295F8D">
              <w:rPr>
                <w:i/>
                <w:color w:val="000000"/>
              </w:rPr>
              <w:t>euro</w:t>
            </w:r>
            <w:proofErr w:type="spellEnd"/>
            <w:r w:rsidRPr="00295F8D">
              <w:rPr>
                <w:color w:val="000000"/>
              </w:rPr>
              <w:t>;</w:t>
            </w:r>
          </w:p>
          <w:p w:rsidR="0027317D" w:rsidRPr="00295F8D" w:rsidRDefault="00A07669" w:rsidP="0027317D">
            <w:pPr>
              <w:snapToGrid w:val="0"/>
              <w:jc w:val="both"/>
              <w:rPr>
                <w:b/>
                <w:i/>
                <w:color w:val="000000"/>
              </w:rPr>
            </w:pPr>
            <w:r w:rsidRPr="00295F8D">
              <w:rPr>
                <w:b/>
                <w:color w:val="000000"/>
              </w:rPr>
              <w:t>A</w:t>
            </w:r>
            <w:r w:rsidR="0027317D" w:rsidRPr="00295F8D">
              <w:rPr>
                <w:b/>
                <w:color w:val="000000"/>
              </w:rPr>
              <w:t xml:space="preserve">ptuvenās administratīvās izmaksas </w:t>
            </w:r>
            <w:r w:rsidRPr="00295F8D">
              <w:rPr>
                <w:b/>
                <w:color w:val="000000"/>
              </w:rPr>
              <w:t xml:space="preserve">vienai personai </w:t>
            </w:r>
            <w:r w:rsidR="005D4851">
              <w:rPr>
                <w:b/>
                <w:color w:val="000000"/>
              </w:rPr>
              <w:t>veido</w:t>
            </w:r>
            <w:r w:rsidRPr="00295F8D">
              <w:rPr>
                <w:b/>
                <w:color w:val="000000"/>
              </w:rPr>
              <w:t xml:space="preserve"> 176,36</w:t>
            </w:r>
            <w:r w:rsidR="0027317D" w:rsidRPr="00295F8D">
              <w:rPr>
                <w:b/>
                <w:color w:val="000000"/>
              </w:rPr>
              <w:t xml:space="preserve"> </w:t>
            </w:r>
            <w:proofErr w:type="spellStart"/>
            <w:r w:rsidR="0027317D" w:rsidRPr="00295F8D">
              <w:rPr>
                <w:b/>
                <w:i/>
                <w:color w:val="000000"/>
              </w:rPr>
              <w:t>euro</w:t>
            </w:r>
            <w:proofErr w:type="spellEnd"/>
            <w:r w:rsidR="0027317D" w:rsidRPr="00295F8D">
              <w:rPr>
                <w:b/>
                <w:i/>
                <w:color w:val="000000"/>
              </w:rPr>
              <w:t>.</w:t>
            </w:r>
          </w:p>
          <w:p w:rsidR="0027317D" w:rsidRPr="00295F8D" w:rsidRDefault="0027317D" w:rsidP="0027317D">
            <w:pPr>
              <w:snapToGrid w:val="0"/>
              <w:jc w:val="both"/>
              <w:rPr>
                <w:color w:val="000000"/>
              </w:rPr>
            </w:pPr>
            <w:r w:rsidRPr="00295F8D">
              <w:t>Lauku atbalsta dienesta administratīvās izmaksas</w:t>
            </w:r>
            <w:r w:rsidRPr="00295F8D">
              <w:rPr>
                <w:color w:val="000000"/>
              </w:rPr>
              <w:t xml:space="preserve"> veido informācijas publicēšana par kārtas izsludināšanu oficiālajā izdevumā “Latvijas Vēstnesis” aptuveni 9,25 </w:t>
            </w:r>
            <w:proofErr w:type="spellStart"/>
            <w:r w:rsidRPr="00295F8D">
              <w:rPr>
                <w:i/>
                <w:color w:val="000000"/>
              </w:rPr>
              <w:t>euro</w:t>
            </w:r>
            <w:proofErr w:type="spellEnd"/>
            <w:r w:rsidRPr="00295F8D">
              <w:rPr>
                <w:color w:val="000000"/>
              </w:rPr>
              <w:t xml:space="preserve"> apmērā, kā arī informācijas pieņemšana, apstrāde, izvērtēšana un uzglabāšana. </w:t>
            </w:r>
            <w:r w:rsidR="00143BBB" w:rsidRPr="00295F8D">
              <w:rPr>
                <w:color w:val="000000"/>
              </w:rPr>
              <w:t>Pieņemot, ka vidējais laika patēriņš ir 8</w:t>
            </w:r>
            <w:r w:rsidR="00DB5058">
              <w:rPr>
                <w:color w:val="000000"/>
              </w:rPr>
              <w:t> </w:t>
            </w:r>
            <w:r w:rsidR="00143BBB" w:rsidRPr="00295F8D">
              <w:rPr>
                <w:color w:val="000000"/>
              </w:rPr>
              <w:t>stundas</w:t>
            </w:r>
            <w:r w:rsidR="00DB5058">
              <w:rPr>
                <w:color w:val="000000"/>
              </w:rPr>
              <w:t>,</w:t>
            </w:r>
            <w:r w:rsidR="00143BBB" w:rsidRPr="00295F8D">
              <w:rPr>
                <w:color w:val="000000"/>
              </w:rPr>
              <w:t xml:space="preserve"> a</w:t>
            </w:r>
            <w:r w:rsidRPr="00295F8D">
              <w:rPr>
                <w:color w:val="000000"/>
              </w:rPr>
              <w:t>ptuvenās izmaksas</w:t>
            </w:r>
            <w:r w:rsidR="004E1F48" w:rsidRPr="00295F8D">
              <w:rPr>
                <w:color w:val="000000"/>
              </w:rPr>
              <w:t xml:space="preserve"> </w:t>
            </w:r>
            <w:r w:rsidRPr="00295F8D">
              <w:rPr>
                <w:color w:val="000000"/>
              </w:rPr>
              <w:t>informācijas pieņemšana</w:t>
            </w:r>
            <w:r w:rsidR="00DB5058">
              <w:rPr>
                <w:color w:val="000000"/>
              </w:rPr>
              <w:t>i,</w:t>
            </w:r>
            <w:r w:rsidRPr="00295F8D">
              <w:rPr>
                <w:color w:val="000000"/>
              </w:rPr>
              <w:t xml:space="preserve"> </w:t>
            </w:r>
            <w:r w:rsidR="004E1F48" w:rsidRPr="00295F8D">
              <w:rPr>
                <w:color w:val="000000"/>
              </w:rPr>
              <w:t>apstrāde</w:t>
            </w:r>
            <w:r w:rsidR="00DB5058">
              <w:rPr>
                <w:color w:val="000000"/>
              </w:rPr>
              <w:t>i</w:t>
            </w:r>
            <w:r w:rsidR="004E1F48" w:rsidRPr="00295F8D">
              <w:rPr>
                <w:color w:val="000000"/>
              </w:rPr>
              <w:t xml:space="preserve"> un</w:t>
            </w:r>
            <w:r w:rsidRPr="00295F8D">
              <w:rPr>
                <w:color w:val="000000"/>
              </w:rPr>
              <w:t xml:space="preserve"> izvērtēšana</w:t>
            </w:r>
            <w:r w:rsidR="00DB5058">
              <w:rPr>
                <w:color w:val="000000"/>
              </w:rPr>
              <w:t>i</w:t>
            </w:r>
            <w:r w:rsidR="00143BBB" w:rsidRPr="00295F8D">
              <w:rPr>
                <w:color w:val="000000"/>
              </w:rPr>
              <w:t xml:space="preserve"> ir š</w:t>
            </w:r>
            <w:r w:rsidR="00DB5058">
              <w:rPr>
                <w:color w:val="000000"/>
              </w:rPr>
              <w:t>ād</w:t>
            </w:r>
            <w:r w:rsidR="00143BBB" w:rsidRPr="00295F8D">
              <w:rPr>
                <w:color w:val="000000"/>
              </w:rPr>
              <w:t>as:</w:t>
            </w:r>
          </w:p>
          <w:p w:rsidR="0027317D" w:rsidRPr="00295F8D" w:rsidRDefault="004E1F48" w:rsidP="0027317D">
            <w:pPr>
              <w:snapToGrid w:val="0"/>
              <w:jc w:val="both"/>
              <w:rPr>
                <w:color w:val="000000"/>
              </w:rPr>
            </w:pPr>
            <w:r w:rsidRPr="00295F8D">
              <w:rPr>
                <w:color w:val="000000"/>
              </w:rPr>
              <w:t xml:space="preserve">C =  </w:t>
            </w:r>
            <w:proofErr w:type="gramStart"/>
            <w:r w:rsidRPr="00295F8D">
              <w:rPr>
                <w:color w:val="000000"/>
              </w:rPr>
              <w:t>(</w:t>
            </w:r>
            <w:proofErr w:type="gramEnd"/>
            <w:r w:rsidRPr="00295F8D">
              <w:rPr>
                <w:color w:val="000000"/>
              </w:rPr>
              <w:t>4,32</w:t>
            </w:r>
            <w:r w:rsidR="00143BBB" w:rsidRPr="00295F8D">
              <w:rPr>
                <w:color w:val="000000"/>
              </w:rPr>
              <w:t xml:space="preserve"> </w:t>
            </w:r>
            <w:r w:rsidRPr="00295F8D">
              <w:rPr>
                <w:color w:val="000000"/>
              </w:rPr>
              <w:t>x</w:t>
            </w:r>
            <w:r w:rsidR="00143BBB" w:rsidRPr="00295F8D">
              <w:rPr>
                <w:color w:val="000000"/>
              </w:rPr>
              <w:t xml:space="preserve"> </w:t>
            </w:r>
            <w:r w:rsidRPr="00295F8D">
              <w:rPr>
                <w:color w:val="000000"/>
              </w:rPr>
              <w:t>8) x (1</w:t>
            </w:r>
            <w:r w:rsidR="0027317D" w:rsidRPr="00295F8D">
              <w:rPr>
                <w:color w:val="000000"/>
              </w:rPr>
              <w:t xml:space="preserve">x1) = </w:t>
            </w:r>
            <w:r w:rsidRPr="00295F8D">
              <w:rPr>
                <w:color w:val="000000"/>
              </w:rPr>
              <w:t>34,56</w:t>
            </w:r>
            <w:r w:rsidR="0027317D" w:rsidRPr="00295F8D">
              <w:rPr>
                <w:color w:val="000000"/>
              </w:rPr>
              <w:t xml:space="preserve"> </w:t>
            </w:r>
            <w:proofErr w:type="spellStart"/>
            <w:r w:rsidR="0027317D" w:rsidRPr="00295F8D">
              <w:rPr>
                <w:i/>
                <w:color w:val="000000"/>
              </w:rPr>
              <w:t>euro</w:t>
            </w:r>
            <w:proofErr w:type="spellEnd"/>
            <w:r w:rsidR="0027317D" w:rsidRPr="00295F8D">
              <w:rPr>
                <w:color w:val="000000"/>
              </w:rPr>
              <w:t>.</w:t>
            </w:r>
          </w:p>
          <w:p w:rsidR="0027317D" w:rsidRDefault="0027317D" w:rsidP="0027317D">
            <w:pPr>
              <w:snapToGrid w:val="0"/>
              <w:jc w:val="both"/>
              <w:rPr>
                <w:b/>
                <w:i/>
                <w:color w:val="000000"/>
              </w:rPr>
            </w:pPr>
            <w:r w:rsidRPr="00295F8D">
              <w:rPr>
                <w:color w:val="000000"/>
              </w:rPr>
              <w:t xml:space="preserve">Informācijas uzglabāšana neradīs administratīvo slogu. </w:t>
            </w:r>
            <w:r w:rsidR="004E1F48" w:rsidRPr="00295F8D">
              <w:rPr>
                <w:b/>
                <w:color w:val="000000"/>
              </w:rPr>
              <w:t>Lauku atbalsta dienesta</w:t>
            </w:r>
            <w:r w:rsidR="004E1F48" w:rsidRPr="00295F8D">
              <w:rPr>
                <w:color w:val="000000"/>
              </w:rPr>
              <w:t xml:space="preserve"> a</w:t>
            </w:r>
            <w:r w:rsidRPr="00295F8D">
              <w:rPr>
                <w:b/>
                <w:color w:val="000000"/>
              </w:rPr>
              <w:t xml:space="preserve">ptuvenās administratīvās izmaksas </w:t>
            </w:r>
            <w:r w:rsidR="004E1F48" w:rsidRPr="00295F8D">
              <w:rPr>
                <w:b/>
                <w:color w:val="000000"/>
              </w:rPr>
              <w:t xml:space="preserve">vienai personai </w:t>
            </w:r>
            <w:r w:rsidR="00DB5058">
              <w:rPr>
                <w:b/>
                <w:color w:val="000000"/>
              </w:rPr>
              <w:t>veido</w:t>
            </w:r>
            <w:r w:rsidRPr="00295F8D">
              <w:rPr>
                <w:b/>
                <w:color w:val="000000"/>
              </w:rPr>
              <w:t xml:space="preserve"> </w:t>
            </w:r>
            <w:r w:rsidR="004E1F48" w:rsidRPr="00295F8D">
              <w:rPr>
                <w:b/>
                <w:color w:val="000000"/>
              </w:rPr>
              <w:t xml:space="preserve">43,81 </w:t>
            </w:r>
            <w:proofErr w:type="spellStart"/>
            <w:r w:rsidR="004E1F48" w:rsidRPr="00295F8D">
              <w:rPr>
                <w:b/>
                <w:i/>
                <w:color w:val="000000"/>
              </w:rPr>
              <w:t>euro</w:t>
            </w:r>
            <w:proofErr w:type="spellEnd"/>
            <w:r w:rsidR="00DB5058">
              <w:rPr>
                <w:b/>
                <w:i/>
                <w:color w:val="000000"/>
              </w:rPr>
              <w:t>.</w:t>
            </w:r>
          </w:p>
          <w:p w:rsidR="00143BBB" w:rsidRPr="00295F8D" w:rsidRDefault="000C16D1" w:rsidP="00143BBB">
            <w:pPr>
              <w:snapToGrid w:val="0"/>
              <w:jc w:val="both"/>
              <w:rPr>
                <w:color w:val="000000"/>
              </w:rPr>
            </w:pPr>
            <w:r>
              <w:rPr>
                <w:lang w:eastAsia="lv-LV"/>
              </w:rPr>
              <w:t>P</w:t>
            </w:r>
            <w:r w:rsidR="00143BBB" w:rsidRPr="00295F8D">
              <w:rPr>
                <w:lang w:eastAsia="lv-LV"/>
              </w:rPr>
              <w:t>apildu administratīvās izmaksas veidosies Latvijas Lauku konsultāciju un izglītības centram</w:t>
            </w:r>
            <w:r w:rsidR="00295F8D" w:rsidRPr="00295F8D">
              <w:rPr>
                <w:lang w:eastAsia="lv-LV"/>
              </w:rPr>
              <w:t xml:space="preserve"> (</w:t>
            </w:r>
            <w:r w:rsidR="005D4851">
              <w:rPr>
                <w:lang w:eastAsia="lv-LV"/>
              </w:rPr>
              <w:t xml:space="preserve">turpmāk – </w:t>
            </w:r>
            <w:r w:rsidR="00295F8D" w:rsidRPr="00295F8D">
              <w:rPr>
                <w:lang w:eastAsia="lv-LV"/>
              </w:rPr>
              <w:t>LLKIC)</w:t>
            </w:r>
            <w:r w:rsidR="00143BBB" w:rsidRPr="00295F8D">
              <w:rPr>
                <w:lang w:eastAsia="lv-LV"/>
              </w:rPr>
              <w:t xml:space="preserve"> </w:t>
            </w:r>
            <w:r>
              <w:rPr>
                <w:lang w:eastAsia="lv-LV"/>
              </w:rPr>
              <w:t xml:space="preserve">veicot aprēķinus par </w:t>
            </w:r>
            <w:r w:rsidRPr="002555D0">
              <w:t>cietušajai saimniecībai rad</w:t>
            </w:r>
            <w:r>
              <w:t xml:space="preserve">īto zaudējumu, </w:t>
            </w:r>
            <w:r w:rsidRPr="002555D0">
              <w:t>lauksaimniecības ražošanas potenciāla atjaunošanai nepieciešam</w:t>
            </w:r>
            <w:r>
              <w:t>ajām</w:t>
            </w:r>
            <w:r w:rsidRPr="002555D0">
              <w:t xml:space="preserve"> izmaks</w:t>
            </w:r>
            <w:r>
              <w:t xml:space="preserve">ām, </w:t>
            </w:r>
            <w:r w:rsidR="00143BBB" w:rsidRPr="00295F8D">
              <w:rPr>
                <w:lang w:eastAsia="lv-LV"/>
              </w:rPr>
              <w:t>pārstrukturizēšanās izmaks</w:t>
            </w:r>
            <w:r>
              <w:rPr>
                <w:lang w:eastAsia="lv-LV"/>
              </w:rPr>
              <w:t>ām</w:t>
            </w:r>
            <w:r w:rsidR="00143BBB" w:rsidRPr="00295F8D">
              <w:rPr>
                <w:lang w:eastAsia="lv-LV"/>
              </w:rPr>
              <w:t>, lai noteiktu pretendenta atbalsta ap</w:t>
            </w:r>
            <w:r w:rsidR="005D4851">
              <w:rPr>
                <w:lang w:eastAsia="lv-LV"/>
              </w:rPr>
              <w:t>mēru</w:t>
            </w:r>
            <w:r w:rsidR="00143BBB" w:rsidRPr="00295F8D">
              <w:rPr>
                <w:lang w:eastAsia="lv-LV"/>
              </w:rPr>
              <w:t xml:space="preserve">. </w:t>
            </w:r>
            <w:r w:rsidR="00143BBB" w:rsidRPr="00295F8D">
              <w:rPr>
                <w:color w:val="000000"/>
              </w:rPr>
              <w:t>Pieņe</w:t>
            </w:r>
            <w:r w:rsidR="00295F8D" w:rsidRPr="00295F8D">
              <w:rPr>
                <w:color w:val="000000"/>
              </w:rPr>
              <w:t>mot,</w:t>
            </w:r>
            <w:r w:rsidR="00143BBB" w:rsidRPr="00295F8D">
              <w:rPr>
                <w:color w:val="000000"/>
              </w:rPr>
              <w:t xml:space="preserve"> ka aprēķin</w:t>
            </w:r>
            <w:r w:rsidR="005D4851">
              <w:rPr>
                <w:color w:val="000000"/>
              </w:rPr>
              <w:t>iem</w:t>
            </w:r>
            <w:r w:rsidR="00143BBB" w:rsidRPr="00295F8D">
              <w:rPr>
                <w:color w:val="000000"/>
              </w:rPr>
              <w:t xml:space="preserve"> un atbalsta ap</w:t>
            </w:r>
            <w:r w:rsidR="005D4851">
              <w:rPr>
                <w:color w:val="000000"/>
              </w:rPr>
              <w:t>mēra</w:t>
            </w:r>
            <w:r w:rsidR="00143BBB" w:rsidRPr="00295F8D">
              <w:rPr>
                <w:color w:val="000000"/>
              </w:rPr>
              <w:t xml:space="preserve"> noteikšanai vidējais laika patēriņš ir 8 stundas</w:t>
            </w:r>
            <w:r w:rsidR="005D4851">
              <w:rPr>
                <w:color w:val="000000"/>
              </w:rPr>
              <w:t>,</w:t>
            </w:r>
            <w:r w:rsidR="00143BBB" w:rsidRPr="00295F8D">
              <w:rPr>
                <w:color w:val="000000"/>
              </w:rPr>
              <w:t xml:space="preserve"> aptuvenās izmaksas ir š</w:t>
            </w:r>
            <w:r w:rsidR="005D4851">
              <w:rPr>
                <w:color w:val="000000"/>
              </w:rPr>
              <w:t>ād</w:t>
            </w:r>
            <w:r w:rsidR="00143BBB" w:rsidRPr="00295F8D">
              <w:rPr>
                <w:color w:val="000000"/>
              </w:rPr>
              <w:t>as:</w:t>
            </w:r>
          </w:p>
          <w:p w:rsidR="00143BBB" w:rsidRPr="00295F8D" w:rsidRDefault="00143BBB" w:rsidP="00143BBB">
            <w:pPr>
              <w:snapToGrid w:val="0"/>
              <w:jc w:val="both"/>
              <w:rPr>
                <w:color w:val="000000"/>
              </w:rPr>
            </w:pPr>
            <w:r w:rsidRPr="00295F8D">
              <w:rPr>
                <w:color w:val="000000"/>
              </w:rPr>
              <w:t xml:space="preserve">C =  </w:t>
            </w:r>
            <w:proofErr w:type="gramStart"/>
            <w:r w:rsidRPr="00295F8D">
              <w:rPr>
                <w:color w:val="000000"/>
              </w:rPr>
              <w:t>(</w:t>
            </w:r>
            <w:proofErr w:type="gramEnd"/>
            <w:r w:rsidRPr="00295F8D">
              <w:rPr>
                <w:color w:val="000000"/>
              </w:rPr>
              <w:t xml:space="preserve">4,32 x 8) x (1x1) = 34,56 </w:t>
            </w:r>
            <w:proofErr w:type="spellStart"/>
            <w:r w:rsidRPr="00295F8D">
              <w:rPr>
                <w:i/>
                <w:color w:val="000000"/>
              </w:rPr>
              <w:t>euro</w:t>
            </w:r>
            <w:proofErr w:type="spellEnd"/>
            <w:r w:rsidRPr="00295F8D">
              <w:rPr>
                <w:color w:val="000000"/>
              </w:rPr>
              <w:t>.</w:t>
            </w:r>
          </w:p>
          <w:p w:rsidR="0027317D" w:rsidRDefault="004E1F48" w:rsidP="004E1F48">
            <w:pPr>
              <w:jc w:val="both"/>
              <w:rPr>
                <w:b/>
                <w:color w:val="000000"/>
              </w:rPr>
            </w:pPr>
            <w:r w:rsidRPr="00295F8D">
              <w:rPr>
                <w:b/>
                <w:color w:val="000000"/>
              </w:rPr>
              <w:t>K</w:t>
            </w:r>
            <w:r w:rsidR="0027317D" w:rsidRPr="00295F8D">
              <w:rPr>
                <w:b/>
                <w:color w:val="000000"/>
              </w:rPr>
              <w:t xml:space="preserve">opējās administratīvās izmaksas </w:t>
            </w:r>
            <w:r w:rsidRPr="00295F8D">
              <w:rPr>
                <w:b/>
                <w:color w:val="000000"/>
              </w:rPr>
              <w:t>vienai per</w:t>
            </w:r>
            <w:r w:rsidR="00143BBB" w:rsidRPr="00295F8D">
              <w:rPr>
                <w:b/>
                <w:color w:val="000000"/>
              </w:rPr>
              <w:t>s</w:t>
            </w:r>
            <w:r w:rsidRPr="00295F8D">
              <w:rPr>
                <w:b/>
                <w:color w:val="000000"/>
              </w:rPr>
              <w:t xml:space="preserve">onai </w:t>
            </w:r>
            <w:r w:rsidR="0027317D" w:rsidRPr="00295F8D">
              <w:rPr>
                <w:b/>
                <w:color w:val="000000"/>
              </w:rPr>
              <w:t xml:space="preserve">ir prognozējamas ap </w:t>
            </w:r>
            <w:r w:rsidR="00295F8D" w:rsidRPr="00295F8D">
              <w:rPr>
                <w:b/>
                <w:color w:val="000000"/>
              </w:rPr>
              <w:t>220,17</w:t>
            </w:r>
            <w:r w:rsidR="0027317D" w:rsidRPr="00295F8D">
              <w:rPr>
                <w:b/>
                <w:bCs/>
                <w:color w:val="000000"/>
              </w:rPr>
              <w:t xml:space="preserve"> </w:t>
            </w:r>
            <w:proofErr w:type="spellStart"/>
            <w:r w:rsidR="0027317D" w:rsidRPr="00295F8D">
              <w:rPr>
                <w:b/>
                <w:bCs/>
                <w:i/>
                <w:color w:val="000000"/>
              </w:rPr>
              <w:t>euro</w:t>
            </w:r>
            <w:proofErr w:type="spellEnd"/>
            <w:r w:rsidR="00143BBB" w:rsidRPr="00295F8D">
              <w:rPr>
                <w:b/>
                <w:color w:val="000000"/>
              </w:rPr>
              <w:t xml:space="preserve"> (bez</w:t>
            </w:r>
            <w:r w:rsidR="00295F8D" w:rsidRPr="00295F8D">
              <w:rPr>
                <w:b/>
                <w:color w:val="000000"/>
              </w:rPr>
              <w:t xml:space="preserve"> LLKIC)</w:t>
            </w:r>
            <w:r w:rsidR="00DB5058">
              <w:rPr>
                <w:b/>
                <w:color w:val="000000"/>
              </w:rPr>
              <w:t>.</w:t>
            </w:r>
          </w:p>
          <w:p w:rsidR="004E1F48" w:rsidRPr="00295F8D" w:rsidRDefault="004E1F48" w:rsidP="004E1F48">
            <w:pPr>
              <w:jc w:val="both"/>
              <w:rPr>
                <w:color w:val="000000"/>
              </w:rPr>
            </w:pPr>
            <w:r w:rsidRPr="00295F8D">
              <w:rPr>
                <w:color w:val="000000"/>
              </w:rPr>
              <w:t>Aprēķinos izmantota formula C = (f x l) x (n x b), kur</w:t>
            </w:r>
          </w:p>
          <w:p w:rsidR="004E1F48" w:rsidRPr="00295F8D" w:rsidRDefault="004E1F48" w:rsidP="004E1F48">
            <w:pPr>
              <w:pStyle w:val="tv2131"/>
              <w:spacing w:line="240" w:lineRule="auto"/>
              <w:ind w:firstLine="0"/>
              <w:jc w:val="both"/>
              <w:rPr>
                <w:color w:val="000000"/>
                <w:sz w:val="24"/>
                <w:szCs w:val="24"/>
              </w:rPr>
            </w:pPr>
            <w:r w:rsidRPr="00295F8D">
              <w:rPr>
                <w:color w:val="000000"/>
                <w:sz w:val="24"/>
                <w:szCs w:val="24"/>
              </w:rPr>
              <w:lastRenderedPageBreak/>
              <w:t>C – informācijas sniegšanas pienākuma radītās izmaksas jeb administratīvās izmaksas;</w:t>
            </w:r>
          </w:p>
          <w:p w:rsidR="004E1F48" w:rsidRPr="00295F8D" w:rsidRDefault="004E1F48" w:rsidP="004E1F48">
            <w:pPr>
              <w:pStyle w:val="tv2131"/>
              <w:spacing w:line="240" w:lineRule="auto"/>
              <w:ind w:firstLine="0"/>
              <w:jc w:val="both"/>
              <w:rPr>
                <w:color w:val="000000"/>
                <w:sz w:val="24"/>
                <w:szCs w:val="24"/>
              </w:rPr>
            </w:pPr>
            <w:r w:rsidRPr="00295F8D">
              <w:rPr>
                <w:color w:val="000000"/>
                <w:sz w:val="24"/>
                <w:szCs w:val="24"/>
              </w:rPr>
              <w:t>f – finanšu līdzekļu apmērs, kas nepieciešams, lai nodrošinātu projektā paredzētā informācijas sniegšanas pienākuma izpildi (stundas samaksas likme, ieskaitot virsstundas vai stundas limitu ārējo pakalpojumu sniedzējiem, ja tādi ir);</w:t>
            </w:r>
          </w:p>
          <w:p w:rsidR="004E1F48" w:rsidRPr="00295F8D" w:rsidRDefault="004E1F48" w:rsidP="004E1F48">
            <w:pPr>
              <w:pStyle w:val="tv2131"/>
              <w:spacing w:line="240" w:lineRule="auto"/>
              <w:ind w:firstLine="0"/>
              <w:jc w:val="both"/>
              <w:rPr>
                <w:color w:val="000000"/>
                <w:sz w:val="24"/>
                <w:szCs w:val="24"/>
              </w:rPr>
            </w:pPr>
            <w:r w:rsidRPr="00295F8D">
              <w:rPr>
                <w:color w:val="000000"/>
                <w:sz w:val="24"/>
                <w:szCs w:val="24"/>
              </w:rPr>
              <w:t>l – laika patēriņš, kas nepieciešams, lai sagatavotu informāciju, kuras sniegšanu paredz projekts;</w:t>
            </w:r>
          </w:p>
          <w:p w:rsidR="004E1F48" w:rsidRPr="00295F8D" w:rsidRDefault="004E1F48" w:rsidP="004E1F48">
            <w:pPr>
              <w:pStyle w:val="tv2131"/>
              <w:spacing w:line="240" w:lineRule="auto"/>
              <w:ind w:firstLine="0"/>
              <w:jc w:val="both"/>
              <w:rPr>
                <w:color w:val="000000"/>
                <w:sz w:val="24"/>
                <w:szCs w:val="24"/>
              </w:rPr>
            </w:pPr>
            <w:r w:rsidRPr="00295F8D">
              <w:rPr>
                <w:color w:val="000000"/>
                <w:sz w:val="24"/>
                <w:szCs w:val="24"/>
              </w:rPr>
              <w:t>n – subjektu skaits, uz ko attiecas projektā paredzētās informācijas sniegšanas prasības;</w:t>
            </w:r>
          </w:p>
          <w:p w:rsidR="004E1F48" w:rsidRPr="007E48B7" w:rsidRDefault="004E1F48" w:rsidP="00295F8D">
            <w:pPr>
              <w:pStyle w:val="tv2131"/>
              <w:spacing w:line="240" w:lineRule="auto"/>
              <w:ind w:firstLine="0"/>
              <w:jc w:val="both"/>
            </w:pPr>
            <w:r w:rsidRPr="00295F8D">
              <w:rPr>
                <w:color w:val="000000"/>
                <w:sz w:val="24"/>
                <w:szCs w:val="24"/>
              </w:rPr>
              <w:t>b – reizes, cik bieži gada laikā projekts paredz informācijas sniegšanu.</w:t>
            </w:r>
          </w:p>
        </w:tc>
      </w:tr>
      <w:tr w:rsidR="008B61B7" w:rsidRPr="007E48B7" w:rsidTr="001F7954">
        <w:tc>
          <w:tcPr>
            <w:tcW w:w="293" w:type="dxa"/>
          </w:tcPr>
          <w:p w:rsidR="00C9111D" w:rsidRPr="007E48B7" w:rsidRDefault="00C9111D" w:rsidP="00CE7320">
            <w:pPr>
              <w:snapToGrid w:val="0"/>
            </w:pPr>
            <w:r w:rsidRPr="007E48B7">
              <w:lastRenderedPageBreak/>
              <w:t>4.</w:t>
            </w:r>
          </w:p>
        </w:tc>
        <w:tc>
          <w:tcPr>
            <w:tcW w:w="3393" w:type="dxa"/>
          </w:tcPr>
          <w:p w:rsidR="00C9111D" w:rsidRPr="007E48B7" w:rsidRDefault="006132C0" w:rsidP="00CE7320">
            <w:pPr>
              <w:snapToGrid w:val="0"/>
            </w:pPr>
            <w:r w:rsidRPr="007E48B7">
              <w:t>Cita informācija</w:t>
            </w:r>
          </w:p>
        </w:tc>
        <w:tc>
          <w:tcPr>
            <w:tcW w:w="5777" w:type="dxa"/>
          </w:tcPr>
          <w:p w:rsidR="00C9111D" w:rsidRPr="007E48B7" w:rsidRDefault="006132C0" w:rsidP="004E1ABA">
            <w:pPr>
              <w:tabs>
                <w:tab w:val="num" w:pos="167"/>
              </w:tabs>
              <w:suppressAutoHyphens w:val="0"/>
              <w:jc w:val="both"/>
              <w:rPr>
                <w:kern w:val="0"/>
                <w:lang w:eastAsia="lv-LV"/>
              </w:rPr>
            </w:pPr>
            <w:r w:rsidRPr="007E48B7">
              <w:rPr>
                <w:lang w:eastAsia="lv-LV"/>
              </w:rPr>
              <w:t>Nav.</w:t>
            </w:r>
          </w:p>
        </w:tc>
      </w:tr>
    </w:tbl>
    <w:p w:rsidR="00071F5F" w:rsidRPr="007E48B7" w:rsidRDefault="00071F5F"/>
    <w:tbl>
      <w:tblPr>
        <w:tblStyle w:val="Reatabula"/>
        <w:tblW w:w="5242" w:type="pct"/>
        <w:tblInd w:w="-147" w:type="dxa"/>
        <w:tblLayout w:type="fixed"/>
        <w:tblLook w:val="04A0" w:firstRow="1" w:lastRow="0" w:firstColumn="1" w:lastColumn="0" w:noHBand="0" w:noVBand="1"/>
      </w:tblPr>
      <w:tblGrid>
        <w:gridCol w:w="3274"/>
        <w:gridCol w:w="1132"/>
        <w:gridCol w:w="1280"/>
        <w:gridCol w:w="1273"/>
        <w:gridCol w:w="1263"/>
        <w:gridCol w:w="1277"/>
      </w:tblGrid>
      <w:tr w:rsidR="00FF42DD" w:rsidRPr="007E48B7" w:rsidTr="007C4239">
        <w:trPr>
          <w:trHeight w:val="360"/>
        </w:trPr>
        <w:tc>
          <w:tcPr>
            <w:tcW w:w="5000" w:type="pct"/>
            <w:gridSpan w:val="6"/>
            <w:hideMark/>
          </w:tcPr>
          <w:p w:rsidR="00FF42DD" w:rsidRPr="007E48B7" w:rsidRDefault="00FF42DD" w:rsidP="00CB567E">
            <w:pPr>
              <w:suppressAutoHyphens w:val="0"/>
              <w:spacing w:before="100" w:beforeAutospacing="1" w:after="100" w:afterAutospacing="1" w:line="360" w:lineRule="auto"/>
              <w:ind w:firstLine="300"/>
              <w:jc w:val="center"/>
              <w:rPr>
                <w:b/>
                <w:bCs/>
                <w:kern w:val="0"/>
                <w:lang w:eastAsia="lv-LV"/>
              </w:rPr>
            </w:pPr>
            <w:r w:rsidRPr="007E48B7">
              <w:rPr>
                <w:b/>
                <w:bCs/>
                <w:kern w:val="0"/>
                <w:lang w:eastAsia="lv-LV"/>
              </w:rPr>
              <w:t>III. Tiesību akta projekta ietekme uz valsts budžetu un pašvaldību budžetiem</w:t>
            </w:r>
          </w:p>
        </w:tc>
      </w:tr>
      <w:tr w:rsidR="003D26EE" w:rsidRPr="007E48B7" w:rsidTr="007C4239">
        <w:tc>
          <w:tcPr>
            <w:tcW w:w="1723" w:type="pct"/>
            <w:vMerge w:val="restart"/>
            <w:hideMark/>
          </w:tcPr>
          <w:p w:rsidR="00FF42DD" w:rsidRPr="007E48B7" w:rsidRDefault="00FF42DD" w:rsidP="00CB567E">
            <w:pPr>
              <w:suppressAutoHyphens w:val="0"/>
              <w:spacing w:before="100" w:beforeAutospacing="1" w:after="100" w:afterAutospacing="1" w:line="360" w:lineRule="auto"/>
              <w:ind w:firstLine="300"/>
              <w:jc w:val="center"/>
              <w:rPr>
                <w:b/>
                <w:bCs/>
                <w:kern w:val="0"/>
                <w:lang w:eastAsia="lv-LV"/>
              </w:rPr>
            </w:pPr>
            <w:r w:rsidRPr="007E48B7">
              <w:rPr>
                <w:b/>
                <w:bCs/>
                <w:kern w:val="0"/>
                <w:lang w:eastAsia="lv-LV"/>
              </w:rPr>
              <w:t>Rādītāji</w:t>
            </w:r>
          </w:p>
        </w:tc>
        <w:tc>
          <w:tcPr>
            <w:tcW w:w="1270" w:type="pct"/>
            <w:gridSpan w:val="2"/>
            <w:vMerge w:val="restart"/>
            <w:hideMark/>
          </w:tcPr>
          <w:p w:rsidR="00FF42DD" w:rsidRPr="007E48B7" w:rsidRDefault="006B52D5" w:rsidP="006B52D5">
            <w:pPr>
              <w:suppressAutoHyphens w:val="0"/>
              <w:spacing w:before="100" w:beforeAutospacing="1" w:after="100" w:afterAutospacing="1" w:line="360" w:lineRule="auto"/>
              <w:ind w:firstLine="300"/>
              <w:jc w:val="center"/>
              <w:rPr>
                <w:b/>
                <w:bCs/>
                <w:kern w:val="0"/>
                <w:lang w:eastAsia="lv-LV"/>
              </w:rPr>
            </w:pPr>
            <w:r w:rsidRPr="007E48B7">
              <w:rPr>
                <w:b/>
                <w:bCs/>
                <w:kern w:val="0"/>
                <w:lang w:eastAsia="lv-LV"/>
              </w:rPr>
              <w:t>2015</w:t>
            </w:r>
            <w:r w:rsidR="007D678A" w:rsidRPr="007E48B7">
              <w:rPr>
                <w:b/>
                <w:bCs/>
                <w:kern w:val="0"/>
                <w:lang w:eastAsia="lv-LV"/>
              </w:rPr>
              <w:t>.</w:t>
            </w:r>
            <w:r w:rsidR="00FF42DD" w:rsidRPr="007E48B7">
              <w:rPr>
                <w:b/>
                <w:bCs/>
                <w:kern w:val="0"/>
                <w:lang w:eastAsia="lv-LV"/>
              </w:rPr>
              <w:t xml:space="preserve"> gads</w:t>
            </w:r>
          </w:p>
        </w:tc>
        <w:tc>
          <w:tcPr>
            <w:tcW w:w="2007" w:type="pct"/>
            <w:gridSpan w:val="3"/>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Turpmākie trīs gadi (</w:t>
            </w:r>
            <w:proofErr w:type="spellStart"/>
            <w:r w:rsidRPr="007E48B7">
              <w:rPr>
                <w:i/>
                <w:iCs/>
                <w:kern w:val="0"/>
                <w:lang w:eastAsia="lv-LV"/>
              </w:rPr>
              <w:t>euro</w:t>
            </w:r>
            <w:proofErr w:type="spellEnd"/>
            <w:r w:rsidRPr="007E48B7">
              <w:rPr>
                <w:kern w:val="0"/>
                <w:lang w:eastAsia="lv-LV"/>
              </w:rPr>
              <w:t>)</w:t>
            </w:r>
          </w:p>
        </w:tc>
      </w:tr>
      <w:tr w:rsidR="001F7954" w:rsidRPr="007E48B7" w:rsidTr="00CA2195">
        <w:tc>
          <w:tcPr>
            <w:tcW w:w="1723" w:type="pct"/>
            <w:vMerge/>
            <w:hideMark/>
          </w:tcPr>
          <w:p w:rsidR="00FF42DD" w:rsidRPr="007E48B7" w:rsidRDefault="00FF42DD" w:rsidP="00CB567E">
            <w:pPr>
              <w:suppressAutoHyphens w:val="0"/>
              <w:rPr>
                <w:b/>
                <w:bCs/>
                <w:kern w:val="0"/>
                <w:lang w:eastAsia="lv-LV"/>
              </w:rPr>
            </w:pPr>
          </w:p>
        </w:tc>
        <w:tc>
          <w:tcPr>
            <w:tcW w:w="1270" w:type="pct"/>
            <w:gridSpan w:val="2"/>
            <w:vMerge/>
            <w:hideMark/>
          </w:tcPr>
          <w:p w:rsidR="00FF42DD" w:rsidRPr="007E48B7" w:rsidRDefault="00FF42DD" w:rsidP="00CB567E">
            <w:pPr>
              <w:suppressAutoHyphens w:val="0"/>
              <w:rPr>
                <w:b/>
                <w:bCs/>
                <w:kern w:val="0"/>
                <w:lang w:eastAsia="lv-LV"/>
              </w:rPr>
            </w:pPr>
          </w:p>
        </w:tc>
        <w:tc>
          <w:tcPr>
            <w:tcW w:w="670" w:type="pct"/>
            <w:hideMark/>
          </w:tcPr>
          <w:p w:rsidR="00FF42DD" w:rsidRPr="007E48B7" w:rsidRDefault="00EA7139" w:rsidP="00EA7139">
            <w:pPr>
              <w:suppressAutoHyphens w:val="0"/>
              <w:spacing w:before="100" w:beforeAutospacing="1" w:after="100" w:afterAutospacing="1" w:line="360" w:lineRule="auto"/>
              <w:rPr>
                <w:b/>
                <w:bCs/>
                <w:kern w:val="0"/>
                <w:lang w:eastAsia="lv-LV"/>
              </w:rPr>
            </w:pPr>
            <w:proofErr w:type="gramStart"/>
            <w:r w:rsidRPr="007E48B7">
              <w:rPr>
                <w:b/>
                <w:bCs/>
                <w:kern w:val="0"/>
                <w:lang w:eastAsia="lv-LV"/>
              </w:rPr>
              <w:t>2016.gads</w:t>
            </w:r>
            <w:proofErr w:type="gramEnd"/>
          </w:p>
        </w:tc>
        <w:tc>
          <w:tcPr>
            <w:tcW w:w="665" w:type="pct"/>
            <w:hideMark/>
          </w:tcPr>
          <w:p w:rsidR="00FF42DD" w:rsidRPr="007E48B7" w:rsidRDefault="00EA7139" w:rsidP="00EA7139">
            <w:pPr>
              <w:suppressAutoHyphens w:val="0"/>
              <w:spacing w:before="100" w:beforeAutospacing="1" w:after="100" w:afterAutospacing="1" w:line="360" w:lineRule="auto"/>
              <w:rPr>
                <w:b/>
                <w:bCs/>
                <w:kern w:val="0"/>
                <w:lang w:eastAsia="lv-LV"/>
              </w:rPr>
            </w:pPr>
            <w:proofErr w:type="gramStart"/>
            <w:r w:rsidRPr="007E48B7">
              <w:rPr>
                <w:b/>
                <w:bCs/>
                <w:kern w:val="0"/>
                <w:lang w:eastAsia="lv-LV"/>
              </w:rPr>
              <w:t>2017.gads</w:t>
            </w:r>
            <w:proofErr w:type="gramEnd"/>
          </w:p>
        </w:tc>
        <w:tc>
          <w:tcPr>
            <w:tcW w:w="672" w:type="pct"/>
            <w:hideMark/>
          </w:tcPr>
          <w:p w:rsidR="00FF42DD" w:rsidRPr="007E48B7" w:rsidRDefault="00EA7139" w:rsidP="00EA7139">
            <w:pPr>
              <w:suppressAutoHyphens w:val="0"/>
              <w:spacing w:before="100" w:beforeAutospacing="1" w:after="100" w:afterAutospacing="1" w:line="360" w:lineRule="auto"/>
              <w:rPr>
                <w:b/>
                <w:bCs/>
                <w:kern w:val="0"/>
                <w:lang w:eastAsia="lv-LV"/>
              </w:rPr>
            </w:pPr>
            <w:proofErr w:type="gramStart"/>
            <w:r w:rsidRPr="007E48B7">
              <w:rPr>
                <w:b/>
                <w:bCs/>
                <w:kern w:val="0"/>
                <w:lang w:eastAsia="lv-LV"/>
              </w:rPr>
              <w:t>2018.gads</w:t>
            </w:r>
            <w:proofErr w:type="gramEnd"/>
          </w:p>
        </w:tc>
      </w:tr>
      <w:tr w:rsidR="003D26EE" w:rsidRPr="007E48B7" w:rsidTr="00CA2195">
        <w:tc>
          <w:tcPr>
            <w:tcW w:w="1723" w:type="pct"/>
            <w:vMerge/>
            <w:hideMark/>
          </w:tcPr>
          <w:p w:rsidR="003D26EE" w:rsidRPr="007E48B7" w:rsidRDefault="003D26EE" w:rsidP="003D26EE">
            <w:pPr>
              <w:suppressAutoHyphens w:val="0"/>
              <w:rPr>
                <w:b/>
                <w:bCs/>
                <w:kern w:val="0"/>
                <w:lang w:eastAsia="lv-LV"/>
              </w:rPr>
            </w:pPr>
          </w:p>
        </w:tc>
        <w:tc>
          <w:tcPr>
            <w:tcW w:w="596" w:type="pct"/>
            <w:vAlign w:val="center"/>
            <w:hideMark/>
          </w:tcPr>
          <w:p w:rsidR="003D26EE" w:rsidRPr="007E48B7" w:rsidRDefault="003D26EE" w:rsidP="003D26EE">
            <w:pPr>
              <w:pStyle w:val="naisf"/>
              <w:spacing w:before="0" w:after="0"/>
              <w:ind w:firstLine="0"/>
              <w:rPr>
                <w:b/>
                <w:i/>
              </w:rPr>
            </w:pPr>
            <w:r w:rsidRPr="007E48B7">
              <w:t>saskaņā ar valsts budžetu kārtējam gadam</w:t>
            </w:r>
          </w:p>
        </w:tc>
        <w:tc>
          <w:tcPr>
            <w:tcW w:w="674" w:type="pct"/>
            <w:vAlign w:val="center"/>
            <w:hideMark/>
          </w:tcPr>
          <w:p w:rsidR="003D26EE" w:rsidRPr="007E48B7" w:rsidRDefault="003D26EE" w:rsidP="003D26EE">
            <w:pPr>
              <w:pStyle w:val="naisf"/>
              <w:spacing w:before="0" w:after="0"/>
              <w:ind w:firstLine="0"/>
              <w:rPr>
                <w:b/>
                <w:i/>
              </w:rPr>
            </w:pPr>
            <w:r w:rsidRPr="007E48B7">
              <w:t>izmaiņas kārtējā gadā, salīdzinot ar budžetu kārtējam gadam</w:t>
            </w:r>
          </w:p>
        </w:tc>
        <w:tc>
          <w:tcPr>
            <w:tcW w:w="670" w:type="pct"/>
            <w:vAlign w:val="center"/>
            <w:hideMark/>
          </w:tcPr>
          <w:p w:rsidR="003D26EE" w:rsidRPr="007E48B7" w:rsidRDefault="003D26EE" w:rsidP="003D26EE">
            <w:pPr>
              <w:pStyle w:val="naisf"/>
              <w:spacing w:before="0" w:after="0"/>
              <w:ind w:firstLine="0"/>
              <w:rPr>
                <w:b/>
                <w:i/>
              </w:rPr>
            </w:pPr>
            <w:r w:rsidRPr="007E48B7">
              <w:t>izmaiņas, salīdzinot ar kārtējo (n) gadu</w:t>
            </w:r>
          </w:p>
        </w:tc>
        <w:tc>
          <w:tcPr>
            <w:tcW w:w="665" w:type="pct"/>
            <w:vAlign w:val="center"/>
            <w:hideMark/>
          </w:tcPr>
          <w:p w:rsidR="003D26EE" w:rsidRPr="007E48B7" w:rsidRDefault="003D26EE" w:rsidP="003D26EE">
            <w:pPr>
              <w:pStyle w:val="naisf"/>
              <w:spacing w:before="0" w:after="0"/>
              <w:ind w:firstLine="0"/>
              <w:rPr>
                <w:b/>
                <w:i/>
              </w:rPr>
            </w:pPr>
            <w:r w:rsidRPr="007E48B7">
              <w:t>izmaiņas, salīdzinot ar kārtējo (n) gadu</w:t>
            </w:r>
          </w:p>
        </w:tc>
        <w:tc>
          <w:tcPr>
            <w:tcW w:w="672" w:type="pct"/>
            <w:vAlign w:val="center"/>
            <w:hideMark/>
          </w:tcPr>
          <w:p w:rsidR="003D26EE" w:rsidRPr="007E48B7" w:rsidRDefault="003D26EE" w:rsidP="003D26EE">
            <w:pPr>
              <w:pStyle w:val="naisf"/>
              <w:spacing w:before="0" w:after="0"/>
              <w:ind w:firstLine="0"/>
              <w:rPr>
                <w:b/>
                <w:i/>
              </w:rPr>
            </w:pPr>
            <w:r w:rsidRPr="007E48B7">
              <w:t>izmaiņas, salīdzinot ar kārtējo (n) gadu</w:t>
            </w:r>
          </w:p>
        </w:tc>
      </w:tr>
      <w:tr w:rsidR="003D26EE" w:rsidRPr="007E48B7" w:rsidTr="00CA2195">
        <w:tc>
          <w:tcPr>
            <w:tcW w:w="1723"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1</w:t>
            </w:r>
          </w:p>
        </w:tc>
        <w:tc>
          <w:tcPr>
            <w:tcW w:w="596"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2</w:t>
            </w:r>
          </w:p>
        </w:tc>
        <w:tc>
          <w:tcPr>
            <w:tcW w:w="674"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3</w:t>
            </w:r>
          </w:p>
        </w:tc>
        <w:tc>
          <w:tcPr>
            <w:tcW w:w="670"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4</w:t>
            </w:r>
          </w:p>
        </w:tc>
        <w:tc>
          <w:tcPr>
            <w:tcW w:w="665"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5</w:t>
            </w:r>
          </w:p>
        </w:tc>
        <w:tc>
          <w:tcPr>
            <w:tcW w:w="672"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6</w:t>
            </w:r>
          </w:p>
        </w:tc>
      </w:tr>
      <w:tr w:rsidR="00C8589A" w:rsidRPr="007E48B7" w:rsidTr="00CA2195">
        <w:tc>
          <w:tcPr>
            <w:tcW w:w="1723" w:type="pct"/>
            <w:hideMark/>
          </w:tcPr>
          <w:p w:rsidR="00C8589A" w:rsidRPr="007E48B7" w:rsidRDefault="00C8589A" w:rsidP="00C8589A">
            <w:pPr>
              <w:suppressAutoHyphens w:val="0"/>
              <w:rPr>
                <w:kern w:val="0"/>
                <w:lang w:eastAsia="lv-LV"/>
              </w:rPr>
            </w:pPr>
            <w:r w:rsidRPr="007E48B7">
              <w:rPr>
                <w:kern w:val="0"/>
                <w:lang w:eastAsia="lv-LV"/>
              </w:rPr>
              <w:t>1. Budžeta ieņēmumi:</w:t>
            </w:r>
          </w:p>
        </w:tc>
        <w:tc>
          <w:tcPr>
            <w:tcW w:w="596" w:type="pct"/>
            <w:hideMark/>
          </w:tcPr>
          <w:p w:rsidR="00C8589A" w:rsidRPr="007E48B7" w:rsidRDefault="00C8589A" w:rsidP="00C8589A">
            <w:pPr>
              <w:suppressAutoHyphens w:val="0"/>
              <w:jc w:val="center"/>
              <w:rPr>
                <w:kern w:val="0"/>
                <w:lang w:eastAsia="lv-LV"/>
              </w:rPr>
            </w:pPr>
            <w:r w:rsidRPr="007E48B7">
              <w:rPr>
                <w:kern w:val="0"/>
                <w:lang w:eastAsia="lv-LV"/>
              </w:rPr>
              <w:t>0</w:t>
            </w:r>
          </w:p>
        </w:tc>
        <w:tc>
          <w:tcPr>
            <w:tcW w:w="674" w:type="pct"/>
            <w:hideMark/>
          </w:tcPr>
          <w:p w:rsidR="00C8589A" w:rsidRDefault="00C8589A" w:rsidP="00C8589A">
            <w:r w:rsidRPr="00A3474E">
              <w:rPr>
                <w:kern w:val="0"/>
                <w:lang w:eastAsia="lv-LV"/>
              </w:rPr>
              <w:t>680 000</w:t>
            </w:r>
          </w:p>
        </w:tc>
        <w:tc>
          <w:tcPr>
            <w:tcW w:w="670" w:type="pct"/>
            <w:hideMark/>
          </w:tcPr>
          <w:p w:rsidR="00C8589A" w:rsidRDefault="00C8589A" w:rsidP="00C8589A">
            <w:r w:rsidRPr="00A3474E">
              <w:rPr>
                <w:kern w:val="0"/>
                <w:lang w:eastAsia="lv-LV"/>
              </w:rPr>
              <w:t>680 000</w:t>
            </w:r>
          </w:p>
        </w:tc>
        <w:tc>
          <w:tcPr>
            <w:tcW w:w="665" w:type="pct"/>
            <w:hideMark/>
          </w:tcPr>
          <w:p w:rsidR="00C8589A" w:rsidRDefault="00C8589A" w:rsidP="00C8589A">
            <w:r w:rsidRPr="00A3474E">
              <w:rPr>
                <w:kern w:val="0"/>
                <w:lang w:eastAsia="lv-LV"/>
              </w:rPr>
              <w:t>680 000</w:t>
            </w:r>
          </w:p>
        </w:tc>
        <w:tc>
          <w:tcPr>
            <w:tcW w:w="672" w:type="pct"/>
            <w:hideMark/>
          </w:tcPr>
          <w:p w:rsidR="00C8589A" w:rsidRDefault="00C8589A" w:rsidP="00C8589A">
            <w:r w:rsidRPr="00A3474E">
              <w:rPr>
                <w:kern w:val="0"/>
                <w:lang w:eastAsia="lv-LV"/>
              </w:rPr>
              <w:t>680 000</w:t>
            </w:r>
          </w:p>
        </w:tc>
      </w:tr>
      <w:tr w:rsidR="00C8589A" w:rsidRPr="007E48B7" w:rsidTr="00CA2195">
        <w:tc>
          <w:tcPr>
            <w:tcW w:w="1723" w:type="pct"/>
            <w:hideMark/>
          </w:tcPr>
          <w:p w:rsidR="00C8589A" w:rsidRPr="007E48B7" w:rsidRDefault="00C8589A" w:rsidP="00C8589A">
            <w:pPr>
              <w:suppressAutoHyphens w:val="0"/>
              <w:rPr>
                <w:kern w:val="0"/>
                <w:lang w:eastAsia="lv-LV"/>
              </w:rPr>
            </w:pPr>
            <w:r w:rsidRPr="007E48B7">
              <w:rPr>
                <w:kern w:val="0"/>
                <w:lang w:eastAsia="lv-LV"/>
              </w:rPr>
              <w:t>1.1. valsts pamatbudžets, tai skaitā ieņēmumi no maksas pakalpojumiem un citi pašu ieņēmumi</w:t>
            </w:r>
          </w:p>
        </w:tc>
        <w:tc>
          <w:tcPr>
            <w:tcW w:w="596" w:type="pct"/>
            <w:hideMark/>
          </w:tcPr>
          <w:p w:rsidR="00C8589A" w:rsidRPr="007E48B7" w:rsidRDefault="00C8589A" w:rsidP="00C8589A">
            <w:pPr>
              <w:suppressAutoHyphens w:val="0"/>
              <w:jc w:val="center"/>
              <w:rPr>
                <w:kern w:val="0"/>
                <w:lang w:eastAsia="lv-LV"/>
              </w:rPr>
            </w:pPr>
            <w:r w:rsidRPr="007E48B7">
              <w:rPr>
                <w:kern w:val="0"/>
                <w:lang w:eastAsia="lv-LV"/>
              </w:rPr>
              <w:t>0</w:t>
            </w:r>
          </w:p>
        </w:tc>
        <w:tc>
          <w:tcPr>
            <w:tcW w:w="674" w:type="pct"/>
            <w:hideMark/>
          </w:tcPr>
          <w:p w:rsidR="00C8589A" w:rsidRDefault="00C8589A" w:rsidP="00C8589A">
            <w:r w:rsidRPr="00A3474E">
              <w:rPr>
                <w:kern w:val="0"/>
                <w:lang w:eastAsia="lv-LV"/>
              </w:rPr>
              <w:t>680 000</w:t>
            </w:r>
          </w:p>
        </w:tc>
        <w:tc>
          <w:tcPr>
            <w:tcW w:w="670" w:type="pct"/>
            <w:hideMark/>
          </w:tcPr>
          <w:p w:rsidR="00C8589A" w:rsidRDefault="00C8589A" w:rsidP="00C8589A">
            <w:r w:rsidRPr="00A3474E">
              <w:rPr>
                <w:kern w:val="0"/>
                <w:lang w:eastAsia="lv-LV"/>
              </w:rPr>
              <w:t>680 000</w:t>
            </w:r>
          </w:p>
        </w:tc>
        <w:tc>
          <w:tcPr>
            <w:tcW w:w="665" w:type="pct"/>
            <w:hideMark/>
          </w:tcPr>
          <w:p w:rsidR="00C8589A" w:rsidRDefault="00C8589A" w:rsidP="00C8589A">
            <w:r w:rsidRPr="00A3474E">
              <w:rPr>
                <w:kern w:val="0"/>
                <w:lang w:eastAsia="lv-LV"/>
              </w:rPr>
              <w:t>680 000</w:t>
            </w:r>
          </w:p>
        </w:tc>
        <w:tc>
          <w:tcPr>
            <w:tcW w:w="672" w:type="pct"/>
            <w:hideMark/>
          </w:tcPr>
          <w:p w:rsidR="00C8589A" w:rsidRDefault="00C8589A" w:rsidP="00C8589A">
            <w:r w:rsidRPr="00A3474E">
              <w:rPr>
                <w:kern w:val="0"/>
                <w:lang w:eastAsia="lv-LV"/>
              </w:rPr>
              <w:t>680 000</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1.2. valsts speciālais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E7275F" w:rsidRDefault="007D678A" w:rsidP="007D678A">
            <w:pPr>
              <w:suppressAutoHyphens w:val="0"/>
              <w:rPr>
                <w:kern w:val="0"/>
                <w:lang w:eastAsia="lv-LV"/>
              </w:rPr>
            </w:pPr>
            <w:r w:rsidRPr="00E7275F">
              <w:rPr>
                <w:kern w:val="0"/>
                <w:lang w:eastAsia="lv-LV"/>
              </w:rPr>
              <w:t> Projekts šo jomu neskar</w:t>
            </w:r>
          </w:p>
        </w:tc>
        <w:tc>
          <w:tcPr>
            <w:tcW w:w="670" w:type="pct"/>
            <w:hideMark/>
          </w:tcPr>
          <w:p w:rsidR="007D678A" w:rsidRPr="00E7275F" w:rsidRDefault="007D678A" w:rsidP="007D678A">
            <w:r w:rsidRPr="00E7275F">
              <w:rPr>
                <w:kern w:val="0"/>
                <w:lang w:eastAsia="lv-LV"/>
              </w:rPr>
              <w:t>Projekts šo jomu neskar</w:t>
            </w:r>
          </w:p>
        </w:tc>
        <w:tc>
          <w:tcPr>
            <w:tcW w:w="665" w:type="pct"/>
            <w:hideMark/>
          </w:tcPr>
          <w:p w:rsidR="007D678A" w:rsidRPr="00E7275F" w:rsidRDefault="007D678A" w:rsidP="007D678A">
            <w:r w:rsidRPr="00E7275F">
              <w:rPr>
                <w:kern w:val="0"/>
                <w:lang w:eastAsia="lv-LV"/>
              </w:rPr>
              <w:t>Projekts šo jomu neskar</w:t>
            </w:r>
          </w:p>
        </w:tc>
        <w:tc>
          <w:tcPr>
            <w:tcW w:w="672" w:type="pct"/>
            <w:hideMark/>
          </w:tcPr>
          <w:p w:rsidR="007D678A" w:rsidRPr="00E7275F" w:rsidRDefault="007D678A" w:rsidP="007D678A">
            <w:r w:rsidRPr="00E7275F">
              <w:rPr>
                <w:kern w:val="0"/>
                <w:lang w:eastAsia="lv-LV"/>
              </w:rPr>
              <w:t>Projekts šo jomu neskar</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1.3. pašvaldību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E7275F" w:rsidRDefault="007D678A" w:rsidP="007D678A">
            <w:pPr>
              <w:suppressAutoHyphens w:val="0"/>
              <w:rPr>
                <w:kern w:val="0"/>
                <w:lang w:eastAsia="lv-LV"/>
              </w:rPr>
            </w:pPr>
            <w:r w:rsidRPr="00E7275F">
              <w:rPr>
                <w:kern w:val="0"/>
                <w:lang w:eastAsia="lv-LV"/>
              </w:rPr>
              <w:t> Projekts šo jomu neskar</w:t>
            </w:r>
          </w:p>
        </w:tc>
        <w:tc>
          <w:tcPr>
            <w:tcW w:w="670" w:type="pct"/>
            <w:hideMark/>
          </w:tcPr>
          <w:p w:rsidR="007D678A" w:rsidRPr="00E7275F" w:rsidRDefault="007D678A" w:rsidP="007D678A">
            <w:r w:rsidRPr="00E7275F">
              <w:rPr>
                <w:kern w:val="0"/>
                <w:lang w:eastAsia="lv-LV"/>
              </w:rPr>
              <w:t>Projekts šo jomu neskar</w:t>
            </w:r>
          </w:p>
        </w:tc>
        <w:tc>
          <w:tcPr>
            <w:tcW w:w="665" w:type="pct"/>
            <w:hideMark/>
          </w:tcPr>
          <w:p w:rsidR="007D678A" w:rsidRPr="00E7275F" w:rsidRDefault="007D678A" w:rsidP="007D678A">
            <w:r w:rsidRPr="00E7275F">
              <w:rPr>
                <w:kern w:val="0"/>
                <w:lang w:eastAsia="lv-LV"/>
              </w:rPr>
              <w:t>Projekts šo jomu neskar</w:t>
            </w:r>
          </w:p>
        </w:tc>
        <w:tc>
          <w:tcPr>
            <w:tcW w:w="672" w:type="pct"/>
            <w:hideMark/>
          </w:tcPr>
          <w:p w:rsidR="007D678A" w:rsidRPr="00E7275F" w:rsidRDefault="007D678A" w:rsidP="007D678A">
            <w:r w:rsidRPr="00E7275F">
              <w:rPr>
                <w:kern w:val="0"/>
                <w:lang w:eastAsia="lv-LV"/>
              </w:rPr>
              <w:t>Projekts šo jomu neskar</w:t>
            </w:r>
          </w:p>
        </w:tc>
      </w:tr>
      <w:tr w:rsidR="00DF7333" w:rsidRPr="007E48B7" w:rsidTr="00CA2195">
        <w:tc>
          <w:tcPr>
            <w:tcW w:w="1723" w:type="pct"/>
            <w:hideMark/>
          </w:tcPr>
          <w:p w:rsidR="00DF7333" w:rsidRPr="007E48B7" w:rsidRDefault="00DF7333" w:rsidP="00DF7333">
            <w:pPr>
              <w:suppressAutoHyphens w:val="0"/>
              <w:rPr>
                <w:kern w:val="0"/>
                <w:lang w:eastAsia="lv-LV"/>
              </w:rPr>
            </w:pPr>
            <w:r w:rsidRPr="007E48B7">
              <w:rPr>
                <w:kern w:val="0"/>
                <w:lang w:eastAsia="lv-LV"/>
              </w:rPr>
              <w:t>2. Budžeta izdevumi:</w:t>
            </w:r>
          </w:p>
        </w:tc>
        <w:tc>
          <w:tcPr>
            <w:tcW w:w="596" w:type="pct"/>
            <w:hideMark/>
          </w:tcPr>
          <w:p w:rsidR="00DF7333" w:rsidRPr="007E48B7" w:rsidRDefault="00DF7333" w:rsidP="00DF7333">
            <w:pPr>
              <w:suppressAutoHyphens w:val="0"/>
              <w:jc w:val="center"/>
              <w:rPr>
                <w:kern w:val="0"/>
                <w:lang w:eastAsia="lv-LV"/>
              </w:rPr>
            </w:pPr>
            <w:r w:rsidRPr="007E48B7">
              <w:rPr>
                <w:kern w:val="0"/>
                <w:lang w:eastAsia="lv-LV"/>
              </w:rPr>
              <w:t>0</w:t>
            </w:r>
          </w:p>
        </w:tc>
        <w:tc>
          <w:tcPr>
            <w:tcW w:w="674" w:type="pct"/>
            <w:hideMark/>
          </w:tcPr>
          <w:p w:rsidR="00DF7333" w:rsidRPr="00E7275F" w:rsidRDefault="00DF7333" w:rsidP="00DF7333">
            <w:pPr>
              <w:suppressAutoHyphens w:val="0"/>
              <w:rPr>
                <w:kern w:val="0"/>
                <w:lang w:eastAsia="lv-LV"/>
              </w:rPr>
            </w:pPr>
            <w:r w:rsidRPr="00E7275F">
              <w:rPr>
                <w:kern w:val="0"/>
                <w:lang w:eastAsia="lv-LV"/>
              </w:rPr>
              <w:t> 1 000 000</w:t>
            </w:r>
          </w:p>
        </w:tc>
        <w:tc>
          <w:tcPr>
            <w:tcW w:w="670" w:type="pct"/>
            <w:hideMark/>
          </w:tcPr>
          <w:p w:rsidR="00DF7333" w:rsidRPr="00E7275F" w:rsidRDefault="00DF7333" w:rsidP="00DF7333">
            <w:pPr>
              <w:suppressAutoHyphens w:val="0"/>
              <w:rPr>
                <w:kern w:val="0"/>
                <w:lang w:eastAsia="lv-LV"/>
              </w:rPr>
            </w:pPr>
            <w:r w:rsidRPr="00E7275F">
              <w:rPr>
                <w:kern w:val="0"/>
                <w:lang w:eastAsia="lv-LV"/>
              </w:rPr>
              <w:t> 1 000 000</w:t>
            </w:r>
          </w:p>
        </w:tc>
        <w:tc>
          <w:tcPr>
            <w:tcW w:w="665" w:type="pct"/>
            <w:hideMark/>
          </w:tcPr>
          <w:p w:rsidR="00DF7333" w:rsidRPr="00E7275F" w:rsidRDefault="00DF7333" w:rsidP="00DF7333">
            <w:pPr>
              <w:suppressAutoHyphens w:val="0"/>
              <w:rPr>
                <w:kern w:val="0"/>
                <w:lang w:eastAsia="lv-LV"/>
              </w:rPr>
            </w:pPr>
            <w:r w:rsidRPr="00E7275F">
              <w:rPr>
                <w:kern w:val="0"/>
                <w:lang w:eastAsia="lv-LV"/>
              </w:rPr>
              <w:t> 1 000 000</w:t>
            </w:r>
          </w:p>
        </w:tc>
        <w:tc>
          <w:tcPr>
            <w:tcW w:w="672" w:type="pct"/>
            <w:hideMark/>
          </w:tcPr>
          <w:p w:rsidR="00DF7333" w:rsidRPr="00E7275F" w:rsidRDefault="00DF7333" w:rsidP="00DF7333">
            <w:pPr>
              <w:suppressAutoHyphens w:val="0"/>
              <w:rPr>
                <w:kern w:val="0"/>
                <w:lang w:eastAsia="lv-LV"/>
              </w:rPr>
            </w:pPr>
            <w:r w:rsidRPr="00E7275F">
              <w:rPr>
                <w:kern w:val="0"/>
                <w:lang w:eastAsia="lv-LV"/>
              </w:rPr>
              <w:t> 1 000 000</w:t>
            </w:r>
          </w:p>
        </w:tc>
      </w:tr>
      <w:tr w:rsidR="00DF7333" w:rsidRPr="007E48B7" w:rsidTr="009E58F2">
        <w:tc>
          <w:tcPr>
            <w:tcW w:w="1723" w:type="pct"/>
            <w:hideMark/>
          </w:tcPr>
          <w:p w:rsidR="00DF7333" w:rsidRPr="007E48B7" w:rsidRDefault="00DF7333" w:rsidP="00DF7333">
            <w:pPr>
              <w:suppressAutoHyphens w:val="0"/>
              <w:rPr>
                <w:kern w:val="0"/>
                <w:lang w:eastAsia="lv-LV"/>
              </w:rPr>
            </w:pPr>
            <w:r w:rsidRPr="007E48B7">
              <w:rPr>
                <w:kern w:val="0"/>
                <w:lang w:eastAsia="lv-LV"/>
              </w:rPr>
              <w:t>2.1. valsts pamatbudžets</w:t>
            </w:r>
          </w:p>
        </w:tc>
        <w:tc>
          <w:tcPr>
            <w:tcW w:w="596" w:type="pct"/>
            <w:hideMark/>
          </w:tcPr>
          <w:p w:rsidR="00DF7333" w:rsidRPr="007E48B7" w:rsidRDefault="00DF7333" w:rsidP="00DF7333">
            <w:pPr>
              <w:suppressAutoHyphens w:val="0"/>
              <w:jc w:val="center"/>
              <w:rPr>
                <w:kern w:val="0"/>
                <w:lang w:eastAsia="lv-LV"/>
              </w:rPr>
            </w:pPr>
            <w:r w:rsidRPr="007E48B7">
              <w:rPr>
                <w:kern w:val="0"/>
                <w:lang w:eastAsia="lv-LV"/>
              </w:rPr>
              <w:t>0</w:t>
            </w:r>
          </w:p>
        </w:tc>
        <w:tc>
          <w:tcPr>
            <w:tcW w:w="674" w:type="pct"/>
            <w:hideMark/>
          </w:tcPr>
          <w:p w:rsidR="00DF7333" w:rsidRPr="00E7275F" w:rsidRDefault="00DF7333" w:rsidP="00DF7333">
            <w:pPr>
              <w:suppressAutoHyphens w:val="0"/>
              <w:rPr>
                <w:kern w:val="0"/>
                <w:lang w:eastAsia="lv-LV"/>
              </w:rPr>
            </w:pPr>
            <w:r w:rsidRPr="00E7275F">
              <w:rPr>
                <w:kern w:val="0"/>
                <w:lang w:eastAsia="lv-LV"/>
              </w:rPr>
              <w:t> 1 000 000</w:t>
            </w:r>
          </w:p>
        </w:tc>
        <w:tc>
          <w:tcPr>
            <w:tcW w:w="670" w:type="pct"/>
          </w:tcPr>
          <w:p w:rsidR="00DF7333" w:rsidRPr="00E7275F" w:rsidRDefault="00DF7333" w:rsidP="00DF7333">
            <w:pPr>
              <w:suppressAutoHyphens w:val="0"/>
              <w:rPr>
                <w:kern w:val="0"/>
                <w:lang w:eastAsia="lv-LV"/>
              </w:rPr>
            </w:pPr>
            <w:r w:rsidRPr="00E7275F">
              <w:rPr>
                <w:kern w:val="0"/>
                <w:lang w:eastAsia="lv-LV"/>
              </w:rPr>
              <w:t> 1 000 000</w:t>
            </w:r>
          </w:p>
        </w:tc>
        <w:tc>
          <w:tcPr>
            <w:tcW w:w="665" w:type="pct"/>
          </w:tcPr>
          <w:p w:rsidR="00DF7333" w:rsidRPr="00E7275F" w:rsidRDefault="00DF7333" w:rsidP="00DF7333">
            <w:pPr>
              <w:suppressAutoHyphens w:val="0"/>
              <w:rPr>
                <w:kern w:val="0"/>
                <w:lang w:eastAsia="lv-LV"/>
              </w:rPr>
            </w:pPr>
            <w:r w:rsidRPr="00E7275F">
              <w:rPr>
                <w:kern w:val="0"/>
                <w:lang w:eastAsia="lv-LV"/>
              </w:rPr>
              <w:t> 1 000 000</w:t>
            </w:r>
          </w:p>
        </w:tc>
        <w:tc>
          <w:tcPr>
            <w:tcW w:w="672" w:type="pct"/>
          </w:tcPr>
          <w:p w:rsidR="00DF7333" w:rsidRPr="00E7275F" w:rsidRDefault="00DF7333" w:rsidP="00DF7333">
            <w:pPr>
              <w:suppressAutoHyphens w:val="0"/>
              <w:rPr>
                <w:kern w:val="0"/>
                <w:lang w:eastAsia="lv-LV"/>
              </w:rPr>
            </w:pPr>
            <w:r w:rsidRPr="00E7275F">
              <w:rPr>
                <w:kern w:val="0"/>
                <w:lang w:eastAsia="lv-LV"/>
              </w:rPr>
              <w:t> 1 000 000</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2.2. valsts speciālais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E7275F" w:rsidRDefault="007D678A" w:rsidP="007D678A">
            <w:pPr>
              <w:suppressAutoHyphens w:val="0"/>
              <w:rPr>
                <w:kern w:val="0"/>
                <w:lang w:eastAsia="lv-LV"/>
              </w:rPr>
            </w:pPr>
            <w:r w:rsidRPr="00E7275F">
              <w:rPr>
                <w:kern w:val="0"/>
                <w:lang w:eastAsia="lv-LV"/>
              </w:rPr>
              <w:t> Projekts šo jomu neskar</w:t>
            </w:r>
          </w:p>
        </w:tc>
        <w:tc>
          <w:tcPr>
            <w:tcW w:w="670" w:type="pct"/>
            <w:hideMark/>
          </w:tcPr>
          <w:p w:rsidR="007D678A" w:rsidRPr="00E7275F" w:rsidRDefault="007D678A" w:rsidP="007D678A">
            <w:r w:rsidRPr="00E7275F">
              <w:rPr>
                <w:kern w:val="0"/>
                <w:lang w:eastAsia="lv-LV"/>
              </w:rPr>
              <w:t>Projekts šo jomu neskar</w:t>
            </w:r>
          </w:p>
        </w:tc>
        <w:tc>
          <w:tcPr>
            <w:tcW w:w="665" w:type="pct"/>
            <w:hideMark/>
          </w:tcPr>
          <w:p w:rsidR="007D678A" w:rsidRPr="00E7275F" w:rsidRDefault="007D678A" w:rsidP="007D678A">
            <w:r w:rsidRPr="00E7275F">
              <w:rPr>
                <w:kern w:val="0"/>
                <w:lang w:eastAsia="lv-LV"/>
              </w:rPr>
              <w:t>Projekts šo jomu neskar</w:t>
            </w:r>
          </w:p>
        </w:tc>
        <w:tc>
          <w:tcPr>
            <w:tcW w:w="672" w:type="pct"/>
            <w:hideMark/>
          </w:tcPr>
          <w:p w:rsidR="007D678A" w:rsidRPr="00E7275F" w:rsidRDefault="007D678A" w:rsidP="007D678A">
            <w:r w:rsidRPr="00E7275F">
              <w:rPr>
                <w:kern w:val="0"/>
                <w:lang w:eastAsia="lv-LV"/>
              </w:rPr>
              <w:t>Projekts šo jomu neskar</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2.3. pašvaldību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E7275F" w:rsidRDefault="007D678A" w:rsidP="007D678A">
            <w:pPr>
              <w:suppressAutoHyphens w:val="0"/>
              <w:rPr>
                <w:kern w:val="0"/>
                <w:lang w:eastAsia="lv-LV"/>
              </w:rPr>
            </w:pPr>
            <w:r w:rsidRPr="00E7275F">
              <w:rPr>
                <w:kern w:val="0"/>
                <w:lang w:eastAsia="lv-LV"/>
              </w:rPr>
              <w:t> Projekts šo jomu neskar</w:t>
            </w:r>
          </w:p>
        </w:tc>
        <w:tc>
          <w:tcPr>
            <w:tcW w:w="670" w:type="pct"/>
            <w:hideMark/>
          </w:tcPr>
          <w:p w:rsidR="007D678A" w:rsidRPr="00E7275F" w:rsidRDefault="007D678A" w:rsidP="007D678A">
            <w:r w:rsidRPr="00E7275F">
              <w:rPr>
                <w:kern w:val="0"/>
                <w:lang w:eastAsia="lv-LV"/>
              </w:rPr>
              <w:t>Projekts šo jomu neskar</w:t>
            </w:r>
          </w:p>
        </w:tc>
        <w:tc>
          <w:tcPr>
            <w:tcW w:w="665" w:type="pct"/>
            <w:hideMark/>
          </w:tcPr>
          <w:p w:rsidR="007D678A" w:rsidRPr="00E7275F" w:rsidRDefault="007D678A" w:rsidP="007D678A">
            <w:r w:rsidRPr="00E7275F">
              <w:rPr>
                <w:kern w:val="0"/>
                <w:lang w:eastAsia="lv-LV"/>
              </w:rPr>
              <w:t>Projekts šo jomu neskar</w:t>
            </w:r>
          </w:p>
        </w:tc>
        <w:tc>
          <w:tcPr>
            <w:tcW w:w="672" w:type="pct"/>
            <w:hideMark/>
          </w:tcPr>
          <w:p w:rsidR="007D678A" w:rsidRPr="00E7275F" w:rsidRDefault="007D678A" w:rsidP="007D678A">
            <w:r w:rsidRPr="00E7275F">
              <w:rPr>
                <w:kern w:val="0"/>
                <w:lang w:eastAsia="lv-LV"/>
              </w:rPr>
              <w:t>Projekts šo jomu neskar</w:t>
            </w:r>
          </w:p>
        </w:tc>
      </w:tr>
      <w:tr w:rsidR="00DF7333" w:rsidRPr="007E48B7" w:rsidTr="00CA2195">
        <w:tc>
          <w:tcPr>
            <w:tcW w:w="1723" w:type="pct"/>
            <w:hideMark/>
          </w:tcPr>
          <w:p w:rsidR="00DF7333" w:rsidRPr="007E48B7" w:rsidRDefault="00DF7333" w:rsidP="00DF7333">
            <w:pPr>
              <w:suppressAutoHyphens w:val="0"/>
              <w:rPr>
                <w:kern w:val="0"/>
                <w:lang w:eastAsia="lv-LV"/>
              </w:rPr>
            </w:pPr>
            <w:r w:rsidRPr="007E48B7">
              <w:rPr>
                <w:kern w:val="0"/>
                <w:lang w:eastAsia="lv-LV"/>
              </w:rPr>
              <w:t>3. Finansiālā ietekme:</w:t>
            </w:r>
          </w:p>
        </w:tc>
        <w:tc>
          <w:tcPr>
            <w:tcW w:w="596" w:type="pct"/>
            <w:hideMark/>
          </w:tcPr>
          <w:p w:rsidR="00DF7333" w:rsidRPr="007E48B7" w:rsidRDefault="00DF7333" w:rsidP="00DF7333">
            <w:pPr>
              <w:suppressAutoHyphens w:val="0"/>
              <w:jc w:val="center"/>
              <w:rPr>
                <w:kern w:val="0"/>
                <w:lang w:eastAsia="lv-LV"/>
              </w:rPr>
            </w:pPr>
            <w:r w:rsidRPr="007E48B7">
              <w:rPr>
                <w:kern w:val="0"/>
                <w:lang w:eastAsia="lv-LV"/>
              </w:rPr>
              <w:t>0</w:t>
            </w:r>
          </w:p>
        </w:tc>
        <w:tc>
          <w:tcPr>
            <w:tcW w:w="674" w:type="pct"/>
            <w:hideMark/>
          </w:tcPr>
          <w:p w:rsidR="00DF7333" w:rsidRPr="00E7275F" w:rsidRDefault="00DB5058" w:rsidP="00DF7333">
            <w:pPr>
              <w:suppressAutoHyphens w:val="0"/>
              <w:rPr>
                <w:kern w:val="0"/>
                <w:lang w:eastAsia="lv-LV"/>
              </w:rPr>
            </w:pPr>
            <w:r>
              <w:rPr>
                <w:kern w:val="0"/>
                <w:lang w:eastAsia="lv-LV"/>
              </w:rPr>
              <w:t>–</w:t>
            </w:r>
            <w:r w:rsidR="00DF7333" w:rsidRPr="00E7275F">
              <w:rPr>
                <w:kern w:val="0"/>
                <w:lang w:eastAsia="lv-LV"/>
              </w:rPr>
              <w:t>320 000</w:t>
            </w:r>
          </w:p>
        </w:tc>
        <w:tc>
          <w:tcPr>
            <w:tcW w:w="670" w:type="pct"/>
            <w:hideMark/>
          </w:tcPr>
          <w:p w:rsidR="00DF7333" w:rsidRPr="00E7275F" w:rsidRDefault="00DB5058" w:rsidP="00DF7333">
            <w:r>
              <w:rPr>
                <w:kern w:val="0"/>
                <w:lang w:eastAsia="lv-LV"/>
              </w:rPr>
              <w:t>–</w:t>
            </w:r>
            <w:r w:rsidR="00DF7333" w:rsidRPr="00E7275F">
              <w:rPr>
                <w:kern w:val="0"/>
                <w:lang w:eastAsia="lv-LV"/>
              </w:rPr>
              <w:t>320 000</w:t>
            </w:r>
          </w:p>
        </w:tc>
        <w:tc>
          <w:tcPr>
            <w:tcW w:w="665" w:type="pct"/>
            <w:hideMark/>
          </w:tcPr>
          <w:p w:rsidR="00DF7333" w:rsidRPr="00E7275F" w:rsidRDefault="00DB5058" w:rsidP="00DF7333">
            <w:r>
              <w:rPr>
                <w:kern w:val="0"/>
                <w:lang w:eastAsia="lv-LV"/>
              </w:rPr>
              <w:t>–</w:t>
            </w:r>
            <w:r w:rsidR="00DF7333" w:rsidRPr="00E7275F">
              <w:rPr>
                <w:kern w:val="0"/>
                <w:lang w:eastAsia="lv-LV"/>
              </w:rPr>
              <w:t>320 000</w:t>
            </w:r>
          </w:p>
        </w:tc>
        <w:tc>
          <w:tcPr>
            <w:tcW w:w="672" w:type="pct"/>
            <w:hideMark/>
          </w:tcPr>
          <w:p w:rsidR="00DF7333" w:rsidRPr="00E7275F" w:rsidRDefault="00DB5058" w:rsidP="00DF7333">
            <w:r>
              <w:rPr>
                <w:kern w:val="0"/>
                <w:lang w:eastAsia="lv-LV"/>
              </w:rPr>
              <w:t>–</w:t>
            </w:r>
            <w:r w:rsidR="00DF7333" w:rsidRPr="00E7275F">
              <w:rPr>
                <w:kern w:val="0"/>
                <w:lang w:eastAsia="lv-LV"/>
              </w:rPr>
              <w:t>320 000</w:t>
            </w:r>
          </w:p>
        </w:tc>
      </w:tr>
      <w:tr w:rsidR="00DF7333" w:rsidRPr="007E48B7" w:rsidTr="00CA2195">
        <w:tc>
          <w:tcPr>
            <w:tcW w:w="1723" w:type="pct"/>
            <w:hideMark/>
          </w:tcPr>
          <w:p w:rsidR="00DF7333" w:rsidRPr="007E48B7" w:rsidRDefault="00DF7333" w:rsidP="00DF7333">
            <w:pPr>
              <w:suppressAutoHyphens w:val="0"/>
              <w:rPr>
                <w:kern w:val="0"/>
                <w:lang w:eastAsia="lv-LV"/>
              </w:rPr>
            </w:pPr>
            <w:r w:rsidRPr="007E48B7">
              <w:rPr>
                <w:kern w:val="0"/>
                <w:lang w:eastAsia="lv-LV"/>
              </w:rPr>
              <w:lastRenderedPageBreak/>
              <w:t>3.1. valsts pamatbudžets</w:t>
            </w:r>
          </w:p>
        </w:tc>
        <w:tc>
          <w:tcPr>
            <w:tcW w:w="596" w:type="pct"/>
            <w:hideMark/>
          </w:tcPr>
          <w:p w:rsidR="00DF7333" w:rsidRPr="007E48B7" w:rsidRDefault="00DF7333" w:rsidP="00DF7333">
            <w:pPr>
              <w:suppressAutoHyphens w:val="0"/>
              <w:jc w:val="center"/>
              <w:rPr>
                <w:kern w:val="0"/>
                <w:lang w:eastAsia="lv-LV"/>
              </w:rPr>
            </w:pPr>
            <w:r w:rsidRPr="007E48B7">
              <w:rPr>
                <w:kern w:val="0"/>
                <w:lang w:eastAsia="lv-LV"/>
              </w:rPr>
              <w:t>0</w:t>
            </w:r>
          </w:p>
        </w:tc>
        <w:tc>
          <w:tcPr>
            <w:tcW w:w="674" w:type="pct"/>
            <w:hideMark/>
          </w:tcPr>
          <w:p w:rsidR="00DF7333" w:rsidRPr="00E7275F" w:rsidRDefault="00DB5058" w:rsidP="00DF7333">
            <w:pPr>
              <w:suppressAutoHyphens w:val="0"/>
              <w:rPr>
                <w:kern w:val="0"/>
                <w:lang w:eastAsia="lv-LV"/>
              </w:rPr>
            </w:pPr>
            <w:r>
              <w:rPr>
                <w:kern w:val="0"/>
                <w:lang w:eastAsia="lv-LV"/>
              </w:rPr>
              <w:t>–</w:t>
            </w:r>
            <w:r w:rsidR="00DF7333" w:rsidRPr="00E7275F">
              <w:rPr>
                <w:kern w:val="0"/>
                <w:lang w:eastAsia="lv-LV"/>
              </w:rPr>
              <w:t>320 000</w:t>
            </w:r>
          </w:p>
        </w:tc>
        <w:tc>
          <w:tcPr>
            <w:tcW w:w="670" w:type="pct"/>
            <w:hideMark/>
          </w:tcPr>
          <w:p w:rsidR="00DF7333" w:rsidRPr="00E7275F" w:rsidRDefault="00DB5058" w:rsidP="00DF7333">
            <w:r>
              <w:rPr>
                <w:kern w:val="0"/>
                <w:lang w:eastAsia="lv-LV"/>
              </w:rPr>
              <w:t>–</w:t>
            </w:r>
            <w:r w:rsidR="00DF7333" w:rsidRPr="00E7275F">
              <w:rPr>
                <w:kern w:val="0"/>
                <w:lang w:eastAsia="lv-LV"/>
              </w:rPr>
              <w:t>320 000</w:t>
            </w:r>
          </w:p>
        </w:tc>
        <w:tc>
          <w:tcPr>
            <w:tcW w:w="665" w:type="pct"/>
            <w:hideMark/>
          </w:tcPr>
          <w:p w:rsidR="00DF7333" w:rsidRPr="00E7275F" w:rsidRDefault="00DB5058" w:rsidP="00DF7333">
            <w:r>
              <w:rPr>
                <w:kern w:val="0"/>
                <w:lang w:eastAsia="lv-LV"/>
              </w:rPr>
              <w:t>–</w:t>
            </w:r>
            <w:r w:rsidR="00DF7333" w:rsidRPr="00E7275F">
              <w:rPr>
                <w:kern w:val="0"/>
                <w:lang w:eastAsia="lv-LV"/>
              </w:rPr>
              <w:t>320 000</w:t>
            </w:r>
          </w:p>
        </w:tc>
        <w:tc>
          <w:tcPr>
            <w:tcW w:w="672" w:type="pct"/>
            <w:hideMark/>
          </w:tcPr>
          <w:p w:rsidR="00DF7333" w:rsidRPr="00E7275F" w:rsidRDefault="00DB5058" w:rsidP="00DF7333">
            <w:r>
              <w:rPr>
                <w:kern w:val="0"/>
                <w:lang w:eastAsia="lv-LV"/>
              </w:rPr>
              <w:t>–</w:t>
            </w:r>
            <w:r w:rsidR="00DF7333" w:rsidRPr="00E7275F">
              <w:rPr>
                <w:kern w:val="0"/>
                <w:lang w:eastAsia="lv-LV"/>
              </w:rPr>
              <w:t>320 000</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3.2. speciālais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E7275F" w:rsidRDefault="007D678A" w:rsidP="007D678A">
            <w:pPr>
              <w:suppressAutoHyphens w:val="0"/>
              <w:rPr>
                <w:kern w:val="0"/>
                <w:lang w:eastAsia="lv-LV"/>
              </w:rPr>
            </w:pPr>
            <w:r w:rsidRPr="00E7275F">
              <w:rPr>
                <w:kern w:val="0"/>
                <w:lang w:eastAsia="lv-LV"/>
              </w:rPr>
              <w:t> Projekts šo jomu neskar</w:t>
            </w:r>
          </w:p>
        </w:tc>
        <w:tc>
          <w:tcPr>
            <w:tcW w:w="670" w:type="pct"/>
            <w:hideMark/>
          </w:tcPr>
          <w:p w:rsidR="007D678A" w:rsidRPr="00E7275F" w:rsidRDefault="007D678A" w:rsidP="007D678A">
            <w:r w:rsidRPr="00E7275F">
              <w:rPr>
                <w:kern w:val="0"/>
                <w:lang w:eastAsia="lv-LV"/>
              </w:rPr>
              <w:t>Projekts šo jomu neskar</w:t>
            </w:r>
          </w:p>
        </w:tc>
        <w:tc>
          <w:tcPr>
            <w:tcW w:w="665" w:type="pct"/>
            <w:hideMark/>
          </w:tcPr>
          <w:p w:rsidR="007D678A" w:rsidRPr="00E7275F" w:rsidRDefault="007D678A" w:rsidP="007D678A">
            <w:r w:rsidRPr="00E7275F">
              <w:rPr>
                <w:kern w:val="0"/>
                <w:lang w:eastAsia="lv-LV"/>
              </w:rPr>
              <w:t>Projekts šo jomu neskar</w:t>
            </w:r>
          </w:p>
        </w:tc>
        <w:tc>
          <w:tcPr>
            <w:tcW w:w="672" w:type="pct"/>
            <w:hideMark/>
          </w:tcPr>
          <w:p w:rsidR="007D678A" w:rsidRPr="00E7275F" w:rsidRDefault="007D678A" w:rsidP="007D678A">
            <w:r w:rsidRPr="00E7275F">
              <w:rPr>
                <w:kern w:val="0"/>
                <w:lang w:eastAsia="lv-LV"/>
              </w:rPr>
              <w:t>Projekts šo jomu neskar</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3.3. pašvaldību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E7275F" w:rsidRDefault="007D678A" w:rsidP="007D678A">
            <w:pPr>
              <w:suppressAutoHyphens w:val="0"/>
              <w:rPr>
                <w:kern w:val="0"/>
                <w:lang w:eastAsia="lv-LV"/>
              </w:rPr>
            </w:pPr>
            <w:r w:rsidRPr="00E7275F">
              <w:rPr>
                <w:kern w:val="0"/>
                <w:lang w:eastAsia="lv-LV"/>
              </w:rPr>
              <w:t> Projekts šo jomu neskar</w:t>
            </w:r>
          </w:p>
        </w:tc>
        <w:tc>
          <w:tcPr>
            <w:tcW w:w="670" w:type="pct"/>
            <w:hideMark/>
          </w:tcPr>
          <w:p w:rsidR="007D678A" w:rsidRPr="00E7275F" w:rsidRDefault="007D678A" w:rsidP="007D678A">
            <w:r w:rsidRPr="00E7275F">
              <w:rPr>
                <w:kern w:val="0"/>
                <w:lang w:eastAsia="lv-LV"/>
              </w:rPr>
              <w:t>Projekts šo jomu neskar</w:t>
            </w:r>
          </w:p>
        </w:tc>
        <w:tc>
          <w:tcPr>
            <w:tcW w:w="665" w:type="pct"/>
            <w:hideMark/>
          </w:tcPr>
          <w:p w:rsidR="007D678A" w:rsidRPr="00E7275F" w:rsidRDefault="007D678A" w:rsidP="007D678A">
            <w:r w:rsidRPr="00E7275F">
              <w:rPr>
                <w:kern w:val="0"/>
                <w:lang w:eastAsia="lv-LV"/>
              </w:rPr>
              <w:t>Projekts šo jomu neskar</w:t>
            </w:r>
          </w:p>
        </w:tc>
        <w:tc>
          <w:tcPr>
            <w:tcW w:w="672" w:type="pct"/>
            <w:hideMark/>
          </w:tcPr>
          <w:p w:rsidR="007D678A" w:rsidRPr="00E7275F" w:rsidRDefault="007D678A" w:rsidP="007D678A">
            <w:r w:rsidRPr="00E7275F">
              <w:rPr>
                <w:kern w:val="0"/>
                <w:lang w:eastAsia="lv-LV"/>
              </w:rPr>
              <w:t>Projekts šo jomu neskar</w:t>
            </w:r>
          </w:p>
        </w:tc>
      </w:tr>
      <w:tr w:rsidR="00DF7333" w:rsidRPr="007E48B7" w:rsidTr="004E1F48">
        <w:tc>
          <w:tcPr>
            <w:tcW w:w="1723" w:type="pct"/>
            <w:vMerge w:val="restart"/>
            <w:hideMark/>
          </w:tcPr>
          <w:p w:rsidR="00DF7333" w:rsidRPr="007E48B7" w:rsidRDefault="00DF7333" w:rsidP="00DF7333">
            <w:pPr>
              <w:suppressAutoHyphens w:val="0"/>
              <w:rPr>
                <w:kern w:val="0"/>
                <w:lang w:eastAsia="lv-LV"/>
              </w:rPr>
            </w:pPr>
            <w:r w:rsidRPr="007E48B7">
              <w:rPr>
                <w:kern w:val="0"/>
                <w:lang w:eastAsia="lv-LV"/>
              </w:rPr>
              <w:t>4. Finanšu līdzekļi papildu izdevumu finansēšanai (kompensējošu izdevumu samazinājumu norāda ar "+" zīmi)</w:t>
            </w:r>
          </w:p>
        </w:tc>
        <w:tc>
          <w:tcPr>
            <w:tcW w:w="596" w:type="pct"/>
            <w:vMerge w:val="restart"/>
            <w:hideMark/>
          </w:tcPr>
          <w:p w:rsidR="00DF7333" w:rsidRPr="007E48B7" w:rsidRDefault="00DF7333" w:rsidP="00DF7333">
            <w:pPr>
              <w:suppressAutoHyphens w:val="0"/>
              <w:jc w:val="center"/>
              <w:rPr>
                <w:kern w:val="0"/>
                <w:lang w:eastAsia="lv-LV"/>
              </w:rPr>
            </w:pPr>
            <w:r w:rsidRPr="007E48B7">
              <w:rPr>
                <w:kern w:val="0"/>
                <w:lang w:eastAsia="lv-LV"/>
              </w:rPr>
              <w:t>0</w:t>
            </w:r>
          </w:p>
          <w:p w:rsidR="00DF7333" w:rsidRPr="007E48B7" w:rsidRDefault="00DF7333" w:rsidP="00DF7333">
            <w:pPr>
              <w:suppressAutoHyphens w:val="0"/>
              <w:jc w:val="center"/>
              <w:rPr>
                <w:kern w:val="0"/>
                <w:lang w:eastAsia="lv-LV"/>
              </w:rPr>
            </w:pPr>
            <w:r w:rsidRPr="007E48B7">
              <w:rPr>
                <w:kern w:val="0"/>
                <w:lang w:eastAsia="lv-LV"/>
              </w:rPr>
              <w:t>0</w:t>
            </w:r>
          </w:p>
        </w:tc>
        <w:tc>
          <w:tcPr>
            <w:tcW w:w="674" w:type="pct"/>
            <w:vAlign w:val="center"/>
            <w:hideMark/>
          </w:tcPr>
          <w:p w:rsidR="00DF7333" w:rsidRPr="00E7275F" w:rsidRDefault="00DF7333" w:rsidP="00DF7333">
            <w:pPr>
              <w:suppressAutoHyphens w:val="0"/>
              <w:jc w:val="center"/>
              <w:rPr>
                <w:kern w:val="0"/>
                <w:lang w:eastAsia="lv-LV"/>
              </w:rPr>
            </w:pPr>
          </w:p>
          <w:p w:rsidR="00DF7333" w:rsidRPr="00E7275F" w:rsidRDefault="00DF7333" w:rsidP="00DF7333">
            <w:pPr>
              <w:suppressAutoHyphens w:val="0"/>
              <w:jc w:val="center"/>
              <w:rPr>
                <w:kern w:val="0"/>
                <w:lang w:eastAsia="lv-LV"/>
              </w:rPr>
            </w:pPr>
            <w:r w:rsidRPr="00E7275F">
              <w:rPr>
                <w:kern w:val="0"/>
                <w:lang w:eastAsia="lv-LV"/>
              </w:rPr>
              <w:t>320 000</w:t>
            </w:r>
          </w:p>
        </w:tc>
        <w:tc>
          <w:tcPr>
            <w:tcW w:w="670" w:type="pct"/>
            <w:hideMark/>
          </w:tcPr>
          <w:p w:rsidR="00DF7333" w:rsidRPr="00E7275F" w:rsidRDefault="00DF7333" w:rsidP="00DF7333">
            <w:pPr>
              <w:rPr>
                <w:kern w:val="0"/>
                <w:lang w:eastAsia="lv-LV"/>
              </w:rPr>
            </w:pPr>
          </w:p>
          <w:p w:rsidR="00DF7333" w:rsidRPr="00E7275F" w:rsidRDefault="00DF7333" w:rsidP="00DF7333">
            <w:r w:rsidRPr="00E7275F">
              <w:rPr>
                <w:kern w:val="0"/>
                <w:lang w:eastAsia="lv-LV"/>
              </w:rPr>
              <w:t>320 000</w:t>
            </w:r>
          </w:p>
        </w:tc>
        <w:tc>
          <w:tcPr>
            <w:tcW w:w="665" w:type="pct"/>
            <w:hideMark/>
          </w:tcPr>
          <w:p w:rsidR="00DF7333" w:rsidRPr="00E7275F" w:rsidRDefault="00DF7333" w:rsidP="00DF7333">
            <w:pPr>
              <w:rPr>
                <w:kern w:val="0"/>
                <w:lang w:eastAsia="lv-LV"/>
              </w:rPr>
            </w:pPr>
          </w:p>
          <w:p w:rsidR="00DF7333" w:rsidRPr="00E7275F" w:rsidRDefault="00DF7333" w:rsidP="00DF7333">
            <w:r w:rsidRPr="00E7275F">
              <w:rPr>
                <w:kern w:val="0"/>
                <w:lang w:eastAsia="lv-LV"/>
              </w:rPr>
              <w:t>320 000</w:t>
            </w:r>
          </w:p>
        </w:tc>
        <w:tc>
          <w:tcPr>
            <w:tcW w:w="672" w:type="pct"/>
            <w:hideMark/>
          </w:tcPr>
          <w:p w:rsidR="00DF7333" w:rsidRPr="00E7275F" w:rsidRDefault="00DF7333" w:rsidP="00DF7333">
            <w:pPr>
              <w:rPr>
                <w:kern w:val="0"/>
                <w:lang w:eastAsia="lv-LV"/>
              </w:rPr>
            </w:pPr>
          </w:p>
          <w:p w:rsidR="00DF7333" w:rsidRPr="00E7275F" w:rsidRDefault="00DF7333" w:rsidP="00DF7333">
            <w:r w:rsidRPr="00E7275F">
              <w:rPr>
                <w:kern w:val="0"/>
                <w:lang w:eastAsia="lv-LV"/>
              </w:rPr>
              <w:t>320 000</w:t>
            </w:r>
          </w:p>
        </w:tc>
      </w:tr>
      <w:tr w:rsidR="007D678A" w:rsidRPr="007E48B7" w:rsidTr="00CA2195">
        <w:tc>
          <w:tcPr>
            <w:tcW w:w="1723" w:type="pct"/>
            <w:vMerge/>
            <w:hideMark/>
          </w:tcPr>
          <w:p w:rsidR="007D678A" w:rsidRPr="007E48B7" w:rsidRDefault="007D678A" w:rsidP="007D678A">
            <w:pPr>
              <w:suppressAutoHyphens w:val="0"/>
              <w:rPr>
                <w:kern w:val="0"/>
                <w:lang w:eastAsia="lv-LV"/>
              </w:rPr>
            </w:pPr>
          </w:p>
        </w:tc>
        <w:tc>
          <w:tcPr>
            <w:tcW w:w="596" w:type="pct"/>
            <w:vMerge/>
            <w:hideMark/>
          </w:tcPr>
          <w:p w:rsidR="007D678A" w:rsidRPr="007E48B7" w:rsidRDefault="007D678A" w:rsidP="007D678A">
            <w:pPr>
              <w:suppressAutoHyphens w:val="0"/>
              <w:rPr>
                <w:kern w:val="0"/>
                <w:lang w:eastAsia="lv-LV"/>
              </w:rPr>
            </w:pPr>
          </w:p>
        </w:tc>
        <w:tc>
          <w:tcPr>
            <w:tcW w:w="674" w:type="pct"/>
            <w:hideMark/>
          </w:tcPr>
          <w:p w:rsidR="007D678A" w:rsidRPr="00E7275F" w:rsidRDefault="007D678A" w:rsidP="007D678A">
            <w:pPr>
              <w:suppressAutoHyphens w:val="0"/>
              <w:rPr>
                <w:kern w:val="0"/>
                <w:lang w:eastAsia="lv-LV"/>
              </w:rPr>
            </w:pPr>
            <w:r w:rsidRPr="00E7275F">
              <w:rPr>
                <w:kern w:val="0"/>
                <w:lang w:eastAsia="lv-LV"/>
              </w:rPr>
              <w:t> Projekts šo jomu neskar</w:t>
            </w:r>
          </w:p>
        </w:tc>
        <w:tc>
          <w:tcPr>
            <w:tcW w:w="670" w:type="pct"/>
            <w:hideMark/>
          </w:tcPr>
          <w:p w:rsidR="007D678A" w:rsidRPr="00E7275F" w:rsidRDefault="007D678A" w:rsidP="007D678A">
            <w:r w:rsidRPr="00E7275F">
              <w:rPr>
                <w:kern w:val="0"/>
                <w:lang w:eastAsia="lv-LV"/>
              </w:rPr>
              <w:t>Projekts šo jomu neskar</w:t>
            </w:r>
          </w:p>
        </w:tc>
        <w:tc>
          <w:tcPr>
            <w:tcW w:w="665" w:type="pct"/>
            <w:hideMark/>
          </w:tcPr>
          <w:p w:rsidR="007D678A" w:rsidRPr="00E7275F" w:rsidRDefault="007D678A" w:rsidP="007D678A">
            <w:r w:rsidRPr="00E7275F">
              <w:rPr>
                <w:kern w:val="0"/>
                <w:lang w:eastAsia="lv-LV"/>
              </w:rPr>
              <w:t>Projekts šo jomu neskar</w:t>
            </w:r>
          </w:p>
        </w:tc>
        <w:tc>
          <w:tcPr>
            <w:tcW w:w="672" w:type="pct"/>
            <w:hideMark/>
          </w:tcPr>
          <w:p w:rsidR="007D678A" w:rsidRPr="00E7275F" w:rsidRDefault="007D678A" w:rsidP="007D678A">
            <w:r w:rsidRPr="00E7275F">
              <w:rPr>
                <w:kern w:val="0"/>
                <w:lang w:eastAsia="lv-LV"/>
              </w:rPr>
              <w:t>Projekts šo jomu neskar</w:t>
            </w:r>
          </w:p>
        </w:tc>
      </w:tr>
      <w:tr w:rsidR="007D678A" w:rsidRPr="007E48B7" w:rsidTr="00CA2195">
        <w:tc>
          <w:tcPr>
            <w:tcW w:w="1723" w:type="pct"/>
            <w:vMerge/>
            <w:hideMark/>
          </w:tcPr>
          <w:p w:rsidR="007D678A" w:rsidRPr="007E48B7" w:rsidRDefault="007D678A" w:rsidP="007D678A">
            <w:pPr>
              <w:suppressAutoHyphens w:val="0"/>
              <w:rPr>
                <w:kern w:val="0"/>
                <w:lang w:eastAsia="lv-LV"/>
              </w:rPr>
            </w:pPr>
          </w:p>
        </w:tc>
        <w:tc>
          <w:tcPr>
            <w:tcW w:w="596" w:type="pct"/>
            <w:vMerge/>
            <w:hideMark/>
          </w:tcPr>
          <w:p w:rsidR="007D678A" w:rsidRPr="007E48B7" w:rsidRDefault="007D678A" w:rsidP="007D678A">
            <w:pPr>
              <w:suppressAutoHyphens w:val="0"/>
              <w:rPr>
                <w:kern w:val="0"/>
                <w:lang w:eastAsia="lv-LV"/>
              </w:rPr>
            </w:pPr>
          </w:p>
        </w:tc>
        <w:tc>
          <w:tcPr>
            <w:tcW w:w="674" w:type="pct"/>
            <w:hideMark/>
          </w:tcPr>
          <w:p w:rsidR="007D678A" w:rsidRPr="007E48B7" w:rsidRDefault="007D678A" w:rsidP="007D678A">
            <w:pPr>
              <w:suppressAutoHyphens w:val="0"/>
              <w:rPr>
                <w:kern w:val="0"/>
                <w:lang w:eastAsia="lv-LV"/>
              </w:rPr>
            </w:pPr>
            <w:r w:rsidRPr="007E48B7">
              <w:rPr>
                <w:kern w:val="0"/>
                <w:lang w:eastAsia="lv-LV"/>
              </w:rPr>
              <w:t> Projekts šo jomu neskar</w:t>
            </w:r>
          </w:p>
        </w:tc>
        <w:tc>
          <w:tcPr>
            <w:tcW w:w="670" w:type="pct"/>
            <w:hideMark/>
          </w:tcPr>
          <w:p w:rsidR="007D678A" w:rsidRPr="007E48B7" w:rsidRDefault="007D678A" w:rsidP="007D678A">
            <w:r w:rsidRPr="007E48B7">
              <w:rPr>
                <w:kern w:val="0"/>
                <w:lang w:eastAsia="lv-LV"/>
              </w:rPr>
              <w:t>Projekts šo jomu neskar</w:t>
            </w:r>
          </w:p>
        </w:tc>
        <w:tc>
          <w:tcPr>
            <w:tcW w:w="665" w:type="pct"/>
            <w:hideMark/>
          </w:tcPr>
          <w:p w:rsidR="007D678A" w:rsidRPr="007E48B7" w:rsidRDefault="007D678A" w:rsidP="007D678A">
            <w:r w:rsidRPr="007E48B7">
              <w:rPr>
                <w:kern w:val="0"/>
                <w:lang w:eastAsia="lv-LV"/>
              </w:rPr>
              <w:t>Projekts šo jomu neskar</w:t>
            </w:r>
          </w:p>
        </w:tc>
        <w:tc>
          <w:tcPr>
            <w:tcW w:w="672" w:type="pct"/>
            <w:hideMark/>
          </w:tcPr>
          <w:p w:rsidR="007D678A" w:rsidRPr="007E48B7" w:rsidRDefault="007D678A" w:rsidP="007D678A">
            <w:r w:rsidRPr="007E48B7">
              <w:rPr>
                <w:kern w:val="0"/>
                <w:lang w:eastAsia="lv-LV"/>
              </w:rPr>
              <w:t>Projekts šo jomu neskar</w:t>
            </w:r>
          </w:p>
        </w:tc>
      </w:tr>
      <w:tr w:rsidR="007D678A" w:rsidRPr="007E48B7" w:rsidTr="009E58F2">
        <w:tc>
          <w:tcPr>
            <w:tcW w:w="1723" w:type="pct"/>
            <w:hideMark/>
          </w:tcPr>
          <w:p w:rsidR="007D678A" w:rsidRPr="007E48B7" w:rsidRDefault="007D678A" w:rsidP="007D678A">
            <w:pPr>
              <w:suppressAutoHyphens w:val="0"/>
              <w:rPr>
                <w:kern w:val="0"/>
                <w:lang w:eastAsia="lv-LV"/>
              </w:rPr>
            </w:pPr>
            <w:r w:rsidRPr="007E48B7">
              <w:rPr>
                <w:kern w:val="0"/>
                <w:lang w:eastAsia="lv-LV"/>
              </w:rPr>
              <w:t>5. Precizēta finansiālā ietekme:</w:t>
            </w:r>
          </w:p>
        </w:tc>
        <w:tc>
          <w:tcPr>
            <w:tcW w:w="596" w:type="pct"/>
            <w:vMerge w:val="restart"/>
            <w:hideMark/>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tcPr>
          <w:p w:rsidR="007D678A" w:rsidRPr="007E48B7" w:rsidRDefault="007D678A" w:rsidP="007D678A">
            <w:pPr>
              <w:suppressAutoHyphens w:val="0"/>
              <w:rPr>
                <w:kern w:val="0"/>
                <w:lang w:eastAsia="lv-LV"/>
              </w:rPr>
            </w:pPr>
          </w:p>
          <w:p w:rsidR="002E3B4F" w:rsidRPr="007E48B7" w:rsidRDefault="002E3B4F" w:rsidP="009E58F2">
            <w:pPr>
              <w:suppressAutoHyphens w:val="0"/>
              <w:jc w:val="center"/>
              <w:rPr>
                <w:kern w:val="0"/>
                <w:lang w:eastAsia="lv-LV"/>
              </w:rPr>
            </w:pPr>
            <w:r w:rsidRPr="007E48B7">
              <w:rPr>
                <w:kern w:val="0"/>
                <w:lang w:eastAsia="lv-LV"/>
              </w:rPr>
              <w:t>0</w:t>
            </w:r>
          </w:p>
        </w:tc>
        <w:tc>
          <w:tcPr>
            <w:tcW w:w="670" w:type="pct"/>
          </w:tcPr>
          <w:p w:rsidR="007D678A" w:rsidRPr="007E48B7" w:rsidRDefault="007D678A" w:rsidP="007D678A">
            <w:pPr>
              <w:rPr>
                <w:kern w:val="0"/>
                <w:lang w:eastAsia="lv-LV"/>
              </w:rPr>
            </w:pPr>
          </w:p>
          <w:p w:rsidR="002E3B4F" w:rsidRPr="007E48B7" w:rsidRDefault="002E3B4F" w:rsidP="009E58F2">
            <w:pPr>
              <w:jc w:val="center"/>
            </w:pPr>
            <w:r w:rsidRPr="007E48B7">
              <w:rPr>
                <w:kern w:val="0"/>
                <w:lang w:eastAsia="lv-LV"/>
              </w:rPr>
              <w:t>0</w:t>
            </w:r>
          </w:p>
        </w:tc>
        <w:tc>
          <w:tcPr>
            <w:tcW w:w="665" w:type="pct"/>
          </w:tcPr>
          <w:p w:rsidR="007D678A" w:rsidRPr="007E48B7" w:rsidRDefault="007D678A" w:rsidP="007D678A">
            <w:pPr>
              <w:rPr>
                <w:kern w:val="0"/>
                <w:lang w:eastAsia="lv-LV"/>
              </w:rPr>
            </w:pPr>
          </w:p>
          <w:p w:rsidR="002E3B4F" w:rsidRPr="007E48B7" w:rsidRDefault="002E3B4F" w:rsidP="009E58F2">
            <w:pPr>
              <w:jc w:val="center"/>
            </w:pPr>
            <w:r w:rsidRPr="007E48B7">
              <w:rPr>
                <w:kern w:val="0"/>
                <w:lang w:eastAsia="lv-LV"/>
              </w:rPr>
              <w:t>0</w:t>
            </w:r>
          </w:p>
        </w:tc>
        <w:tc>
          <w:tcPr>
            <w:tcW w:w="672" w:type="pct"/>
          </w:tcPr>
          <w:p w:rsidR="007D678A" w:rsidRPr="007E48B7" w:rsidRDefault="007D678A" w:rsidP="007D678A">
            <w:pPr>
              <w:rPr>
                <w:kern w:val="0"/>
                <w:lang w:eastAsia="lv-LV"/>
              </w:rPr>
            </w:pPr>
          </w:p>
          <w:p w:rsidR="002E3B4F" w:rsidRPr="007E48B7" w:rsidRDefault="002E3B4F" w:rsidP="009E58F2">
            <w:pPr>
              <w:jc w:val="center"/>
            </w:pPr>
            <w:r w:rsidRPr="007E48B7">
              <w:rPr>
                <w:kern w:val="0"/>
                <w:lang w:eastAsia="lv-LV"/>
              </w:rPr>
              <w:t>0</w:t>
            </w:r>
          </w:p>
        </w:tc>
      </w:tr>
      <w:tr w:rsidR="00F6711B" w:rsidRPr="007E48B7" w:rsidTr="009E58F2">
        <w:tc>
          <w:tcPr>
            <w:tcW w:w="1723" w:type="pct"/>
            <w:hideMark/>
          </w:tcPr>
          <w:p w:rsidR="00F6711B" w:rsidRPr="007E48B7" w:rsidRDefault="00F6711B" w:rsidP="00F6711B">
            <w:pPr>
              <w:suppressAutoHyphens w:val="0"/>
              <w:rPr>
                <w:kern w:val="0"/>
                <w:lang w:eastAsia="lv-LV"/>
              </w:rPr>
            </w:pPr>
            <w:r w:rsidRPr="007E48B7">
              <w:rPr>
                <w:kern w:val="0"/>
                <w:lang w:eastAsia="lv-LV"/>
              </w:rPr>
              <w:t>5.1. valsts pamatbudžets</w:t>
            </w:r>
          </w:p>
        </w:tc>
        <w:tc>
          <w:tcPr>
            <w:tcW w:w="596" w:type="pct"/>
            <w:vMerge/>
            <w:hideMark/>
          </w:tcPr>
          <w:p w:rsidR="00F6711B" w:rsidRPr="007E48B7" w:rsidRDefault="00F6711B" w:rsidP="00F6711B">
            <w:pPr>
              <w:suppressAutoHyphens w:val="0"/>
              <w:rPr>
                <w:kern w:val="0"/>
                <w:lang w:eastAsia="lv-LV"/>
              </w:rPr>
            </w:pPr>
          </w:p>
        </w:tc>
        <w:tc>
          <w:tcPr>
            <w:tcW w:w="674" w:type="pct"/>
          </w:tcPr>
          <w:p w:rsidR="00F6711B" w:rsidRPr="007E48B7" w:rsidRDefault="00F6711B" w:rsidP="00F6711B">
            <w:pPr>
              <w:suppressAutoHyphens w:val="0"/>
              <w:rPr>
                <w:kern w:val="0"/>
                <w:lang w:eastAsia="lv-LV"/>
              </w:rPr>
            </w:pPr>
          </w:p>
          <w:p w:rsidR="002E3B4F" w:rsidRPr="007E48B7" w:rsidRDefault="002E3B4F" w:rsidP="009E58F2">
            <w:pPr>
              <w:suppressAutoHyphens w:val="0"/>
              <w:jc w:val="center"/>
              <w:rPr>
                <w:kern w:val="0"/>
                <w:lang w:eastAsia="lv-LV"/>
              </w:rPr>
            </w:pPr>
            <w:r w:rsidRPr="007E48B7">
              <w:rPr>
                <w:kern w:val="0"/>
                <w:lang w:eastAsia="lv-LV"/>
              </w:rPr>
              <w:t>0</w:t>
            </w:r>
          </w:p>
        </w:tc>
        <w:tc>
          <w:tcPr>
            <w:tcW w:w="670" w:type="pct"/>
          </w:tcPr>
          <w:p w:rsidR="00F6711B" w:rsidRPr="007E48B7" w:rsidRDefault="00F6711B" w:rsidP="00F6711B">
            <w:pPr>
              <w:rPr>
                <w:kern w:val="0"/>
                <w:lang w:eastAsia="lv-LV"/>
              </w:rPr>
            </w:pPr>
          </w:p>
          <w:p w:rsidR="002E3B4F" w:rsidRPr="007E48B7" w:rsidRDefault="002E3B4F" w:rsidP="009E58F2">
            <w:pPr>
              <w:jc w:val="center"/>
            </w:pPr>
            <w:r w:rsidRPr="007E48B7">
              <w:rPr>
                <w:kern w:val="0"/>
                <w:lang w:eastAsia="lv-LV"/>
              </w:rPr>
              <w:t>0</w:t>
            </w:r>
          </w:p>
        </w:tc>
        <w:tc>
          <w:tcPr>
            <w:tcW w:w="665" w:type="pct"/>
          </w:tcPr>
          <w:p w:rsidR="00F6711B" w:rsidRPr="007E48B7" w:rsidRDefault="00F6711B" w:rsidP="00F6711B">
            <w:pPr>
              <w:rPr>
                <w:kern w:val="0"/>
                <w:lang w:eastAsia="lv-LV"/>
              </w:rPr>
            </w:pPr>
          </w:p>
          <w:p w:rsidR="002E3B4F" w:rsidRPr="007E48B7" w:rsidRDefault="002E3B4F" w:rsidP="009E58F2">
            <w:pPr>
              <w:jc w:val="center"/>
            </w:pPr>
            <w:r w:rsidRPr="007E48B7">
              <w:rPr>
                <w:kern w:val="0"/>
                <w:lang w:eastAsia="lv-LV"/>
              </w:rPr>
              <w:t>0</w:t>
            </w:r>
          </w:p>
        </w:tc>
        <w:tc>
          <w:tcPr>
            <w:tcW w:w="672" w:type="pct"/>
          </w:tcPr>
          <w:p w:rsidR="00F6711B" w:rsidRPr="007E48B7" w:rsidRDefault="00F6711B" w:rsidP="00F6711B">
            <w:pPr>
              <w:rPr>
                <w:kern w:val="0"/>
                <w:lang w:eastAsia="lv-LV"/>
              </w:rPr>
            </w:pPr>
          </w:p>
          <w:p w:rsidR="002E3B4F" w:rsidRPr="007E48B7" w:rsidRDefault="002E3B4F" w:rsidP="009E58F2">
            <w:pPr>
              <w:jc w:val="center"/>
            </w:pPr>
            <w:r w:rsidRPr="007E48B7">
              <w:rPr>
                <w:kern w:val="0"/>
                <w:lang w:eastAsia="lv-LV"/>
              </w:rPr>
              <w:t>0</w:t>
            </w:r>
          </w:p>
        </w:tc>
      </w:tr>
      <w:tr w:rsidR="00F6711B" w:rsidRPr="007E48B7" w:rsidTr="00CA2195">
        <w:tc>
          <w:tcPr>
            <w:tcW w:w="1723" w:type="pct"/>
            <w:hideMark/>
          </w:tcPr>
          <w:p w:rsidR="00F6711B" w:rsidRPr="007E48B7" w:rsidRDefault="00F6711B" w:rsidP="00F6711B">
            <w:pPr>
              <w:suppressAutoHyphens w:val="0"/>
              <w:rPr>
                <w:kern w:val="0"/>
                <w:lang w:eastAsia="lv-LV"/>
              </w:rPr>
            </w:pPr>
            <w:r w:rsidRPr="007E48B7">
              <w:rPr>
                <w:kern w:val="0"/>
                <w:lang w:eastAsia="lv-LV"/>
              </w:rPr>
              <w:t>5.2. speciālais budžets</w:t>
            </w:r>
          </w:p>
        </w:tc>
        <w:tc>
          <w:tcPr>
            <w:tcW w:w="596" w:type="pct"/>
            <w:vMerge/>
            <w:hideMark/>
          </w:tcPr>
          <w:p w:rsidR="00F6711B" w:rsidRPr="007E48B7" w:rsidRDefault="00F6711B" w:rsidP="00F6711B">
            <w:pPr>
              <w:suppressAutoHyphens w:val="0"/>
              <w:rPr>
                <w:kern w:val="0"/>
                <w:lang w:eastAsia="lv-LV"/>
              </w:rPr>
            </w:pPr>
          </w:p>
        </w:tc>
        <w:tc>
          <w:tcPr>
            <w:tcW w:w="674" w:type="pct"/>
            <w:hideMark/>
          </w:tcPr>
          <w:p w:rsidR="00F6711B" w:rsidRPr="007E48B7" w:rsidRDefault="00F6711B" w:rsidP="00F6711B">
            <w:pPr>
              <w:suppressAutoHyphens w:val="0"/>
              <w:rPr>
                <w:kern w:val="0"/>
                <w:lang w:eastAsia="lv-LV"/>
              </w:rPr>
            </w:pPr>
            <w:r w:rsidRPr="007E48B7">
              <w:rPr>
                <w:kern w:val="0"/>
                <w:lang w:eastAsia="lv-LV"/>
              </w:rPr>
              <w:t> Projekts šo jomu neskar</w:t>
            </w:r>
          </w:p>
        </w:tc>
        <w:tc>
          <w:tcPr>
            <w:tcW w:w="670" w:type="pct"/>
            <w:hideMark/>
          </w:tcPr>
          <w:p w:rsidR="00F6711B" w:rsidRPr="007E48B7" w:rsidRDefault="00F6711B" w:rsidP="00F6711B">
            <w:r w:rsidRPr="007E48B7">
              <w:rPr>
                <w:kern w:val="0"/>
                <w:lang w:eastAsia="lv-LV"/>
              </w:rPr>
              <w:t>Projekts šo jomu neskar</w:t>
            </w:r>
          </w:p>
        </w:tc>
        <w:tc>
          <w:tcPr>
            <w:tcW w:w="665" w:type="pct"/>
            <w:hideMark/>
          </w:tcPr>
          <w:p w:rsidR="00F6711B" w:rsidRPr="007E48B7" w:rsidRDefault="00F6711B" w:rsidP="00F6711B">
            <w:r w:rsidRPr="007E48B7">
              <w:rPr>
                <w:kern w:val="0"/>
                <w:lang w:eastAsia="lv-LV"/>
              </w:rPr>
              <w:t>Projekts šo jomu neskar</w:t>
            </w:r>
          </w:p>
        </w:tc>
        <w:tc>
          <w:tcPr>
            <w:tcW w:w="672" w:type="pct"/>
            <w:hideMark/>
          </w:tcPr>
          <w:p w:rsidR="00F6711B" w:rsidRPr="007E48B7" w:rsidRDefault="00F6711B" w:rsidP="00F6711B">
            <w:r w:rsidRPr="007E48B7">
              <w:rPr>
                <w:kern w:val="0"/>
                <w:lang w:eastAsia="lv-LV"/>
              </w:rPr>
              <w:t>Projekts šo jomu neskar</w:t>
            </w:r>
          </w:p>
        </w:tc>
      </w:tr>
      <w:tr w:rsidR="00F6711B" w:rsidRPr="007E48B7" w:rsidTr="00CA2195">
        <w:tc>
          <w:tcPr>
            <w:tcW w:w="1723" w:type="pct"/>
            <w:hideMark/>
          </w:tcPr>
          <w:p w:rsidR="00F6711B" w:rsidRPr="007E48B7" w:rsidRDefault="00F6711B" w:rsidP="00F6711B">
            <w:pPr>
              <w:suppressAutoHyphens w:val="0"/>
              <w:rPr>
                <w:kern w:val="0"/>
                <w:lang w:eastAsia="lv-LV"/>
              </w:rPr>
            </w:pPr>
            <w:r w:rsidRPr="007E48B7">
              <w:rPr>
                <w:kern w:val="0"/>
                <w:lang w:eastAsia="lv-LV"/>
              </w:rPr>
              <w:t>5.3. pašvaldību budžets</w:t>
            </w:r>
          </w:p>
        </w:tc>
        <w:tc>
          <w:tcPr>
            <w:tcW w:w="596" w:type="pct"/>
            <w:vMerge/>
            <w:hideMark/>
          </w:tcPr>
          <w:p w:rsidR="00F6711B" w:rsidRPr="007E48B7" w:rsidRDefault="00F6711B" w:rsidP="00F6711B">
            <w:pPr>
              <w:suppressAutoHyphens w:val="0"/>
              <w:rPr>
                <w:kern w:val="0"/>
                <w:lang w:eastAsia="lv-LV"/>
              </w:rPr>
            </w:pPr>
          </w:p>
        </w:tc>
        <w:tc>
          <w:tcPr>
            <w:tcW w:w="674" w:type="pct"/>
            <w:hideMark/>
          </w:tcPr>
          <w:p w:rsidR="00F6711B" w:rsidRPr="007E48B7" w:rsidRDefault="00F6711B" w:rsidP="00F6711B">
            <w:pPr>
              <w:suppressAutoHyphens w:val="0"/>
              <w:rPr>
                <w:kern w:val="0"/>
                <w:lang w:eastAsia="lv-LV"/>
              </w:rPr>
            </w:pPr>
            <w:r w:rsidRPr="007E48B7">
              <w:rPr>
                <w:kern w:val="0"/>
                <w:lang w:eastAsia="lv-LV"/>
              </w:rPr>
              <w:t> Projekts šo jomu neskar</w:t>
            </w:r>
          </w:p>
        </w:tc>
        <w:tc>
          <w:tcPr>
            <w:tcW w:w="670" w:type="pct"/>
            <w:hideMark/>
          </w:tcPr>
          <w:p w:rsidR="00F6711B" w:rsidRPr="007E48B7" w:rsidRDefault="00F6711B" w:rsidP="00F6711B">
            <w:r w:rsidRPr="007E48B7">
              <w:rPr>
                <w:kern w:val="0"/>
                <w:lang w:eastAsia="lv-LV"/>
              </w:rPr>
              <w:t>Projekts šo jomu neskar</w:t>
            </w:r>
          </w:p>
        </w:tc>
        <w:tc>
          <w:tcPr>
            <w:tcW w:w="665" w:type="pct"/>
            <w:hideMark/>
          </w:tcPr>
          <w:p w:rsidR="00F6711B" w:rsidRPr="007E48B7" w:rsidRDefault="00F6711B" w:rsidP="00F6711B">
            <w:r w:rsidRPr="007E48B7">
              <w:rPr>
                <w:kern w:val="0"/>
                <w:lang w:eastAsia="lv-LV"/>
              </w:rPr>
              <w:t>Projekts šo jomu neskar</w:t>
            </w:r>
          </w:p>
        </w:tc>
        <w:tc>
          <w:tcPr>
            <w:tcW w:w="672" w:type="pct"/>
            <w:hideMark/>
          </w:tcPr>
          <w:p w:rsidR="00F6711B" w:rsidRPr="007E48B7" w:rsidRDefault="00F6711B" w:rsidP="00F6711B">
            <w:r w:rsidRPr="007E48B7">
              <w:rPr>
                <w:kern w:val="0"/>
                <w:lang w:eastAsia="lv-LV"/>
              </w:rPr>
              <w:t>Projekts šo jomu neskar</w:t>
            </w:r>
          </w:p>
        </w:tc>
      </w:tr>
      <w:tr w:rsidR="003D26EE" w:rsidRPr="007E48B7" w:rsidTr="007C4239">
        <w:tc>
          <w:tcPr>
            <w:tcW w:w="1723" w:type="pct"/>
            <w:hideMark/>
          </w:tcPr>
          <w:p w:rsidR="00FF42DD" w:rsidRPr="007E48B7" w:rsidRDefault="00FF42DD" w:rsidP="00CB567E">
            <w:pPr>
              <w:suppressAutoHyphens w:val="0"/>
              <w:rPr>
                <w:kern w:val="0"/>
                <w:lang w:eastAsia="lv-LV"/>
              </w:rPr>
            </w:pPr>
            <w:r w:rsidRPr="007E48B7">
              <w:rPr>
                <w:kern w:val="0"/>
                <w:lang w:eastAsia="lv-LV"/>
              </w:rPr>
              <w:t>6. Detalizēts ieņēmumu un izdevumu aprēķins (ja nepieciešams, detalizētu ieņēmumu un izdevumu aprēķinu var pievienot anotācijas pielikumā):</w:t>
            </w:r>
          </w:p>
        </w:tc>
        <w:tc>
          <w:tcPr>
            <w:tcW w:w="3277" w:type="pct"/>
            <w:gridSpan w:val="5"/>
            <w:vMerge w:val="restart"/>
            <w:hideMark/>
          </w:tcPr>
          <w:p w:rsidR="00692229" w:rsidRPr="007E48B7" w:rsidRDefault="001752A8" w:rsidP="00DB5058">
            <w:pPr>
              <w:pStyle w:val="naiskr"/>
              <w:spacing w:before="0" w:after="0"/>
              <w:jc w:val="both"/>
            </w:pPr>
            <w:r w:rsidRPr="007E48B7">
              <w:t>Kopējais finansējums</w:t>
            </w:r>
            <w:r w:rsidRPr="007E48B7">
              <w:rPr>
                <w:rStyle w:val="Izteiksmgs"/>
                <w:b w:val="0"/>
                <w:color w:val="000000"/>
              </w:rPr>
              <w:t xml:space="preserve"> </w:t>
            </w:r>
            <w:r w:rsidR="006C7604" w:rsidRPr="007E48B7">
              <w:t>LAP (2014</w:t>
            </w:r>
            <w:r w:rsidR="006C7604" w:rsidRPr="007E48B7">
              <w:rPr>
                <w:b/>
              </w:rPr>
              <w:t>–</w:t>
            </w:r>
            <w:r w:rsidR="006C7604" w:rsidRPr="007E48B7">
              <w:t>2020)</w:t>
            </w:r>
            <w:r w:rsidR="006C7604" w:rsidRPr="007E48B7">
              <w:rPr>
                <w:rStyle w:val="Izteiksmgs"/>
                <w:b w:val="0"/>
                <w:color w:val="000000"/>
              </w:rPr>
              <w:t xml:space="preserve"> </w:t>
            </w:r>
            <w:r w:rsidRPr="007E48B7">
              <w:rPr>
                <w:rStyle w:val="Izteiksmgs"/>
                <w:b w:val="0"/>
                <w:color w:val="000000"/>
              </w:rPr>
              <w:t xml:space="preserve">pasākumam </w:t>
            </w:r>
            <w:r w:rsidR="002673BA" w:rsidRPr="005111EE">
              <w:t>“Dabas katastrofās un katastrofālos notikumos cietušā lauksaimniecības ražošanas potenciāla atjaunošana un piemērotu profilaktisko pasākumu ieviešana”</w:t>
            </w:r>
            <w:r w:rsidR="002673BA" w:rsidRPr="007E48B7">
              <w:t xml:space="preserve"> </w:t>
            </w:r>
            <w:r w:rsidRPr="007E48B7">
              <w:t>ir</w:t>
            </w:r>
            <w:r w:rsidR="00557218" w:rsidRPr="007E48B7">
              <w:t xml:space="preserve"> </w:t>
            </w:r>
            <w:r w:rsidR="002673BA">
              <w:t>5 000 000</w:t>
            </w:r>
            <w:r w:rsidR="00557218" w:rsidRPr="007E48B7">
              <w:t xml:space="preserve"> </w:t>
            </w:r>
            <w:proofErr w:type="spellStart"/>
            <w:r w:rsidR="00557218" w:rsidRPr="007E48B7">
              <w:rPr>
                <w:i/>
              </w:rPr>
              <w:t>euro</w:t>
            </w:r>
            <w:proofErr w:type="spellEnd"/>
            <w:r w:rsidRPr="007E48B7">
              <w:t xml:space="preserve">, no kuriem ES </w:t>
            </w:r>
            <w:r w:rsidRPr="00E7275F">
              <w:t xml:space="preserve">līdzfinansējums </w:t>
            </w:r>
            <w:r w:rsidR="00323067" w:rsidRPr="00E7275F">
              <w:rPr>
                <w:color w:val="000000"/>
              </w:rPr>
              <w:t xml:space="preserve">no </w:t>
            </w:r>
            <w:r w:rsidR="00323067" w:rsidRPr="00E7275F">
              <w:t xml:space="preserve">Eiropas Lauksaimniecības fonda lauku attīstībai (ELFLA) plānots 68% </w:t>
            </w:r>
            <w:r w:rsidR="00CB0C0B" w:rsidRPr="00E7275F">
              <w:t xml:space="preserve">jeb </w:t>
            </w:r>
            <w:r w:rsidR="002673BA" w:rsidRPr="00E7275F">
              <w:t xml:space="preserve">3 400 000 </w:t>
            </w:r>
            <w:proofErr w:type="spellStart"/>
            <w:r w:rsidR="00557218" w:rsidRPr="00E7275F">
              <w:rPr>
                <w:i/>
              </w:rPr>
              <w:t>euro</w:t>
            </w:r>
            <w:proofErr w:type="spellEnd"/>
            <w:r w:rsidR="00CB0C0B" w:rsidRPr="00E7275F">
              <w:rPr>
                <w:i/>
              </w:rPr>
              <w:t xml:space="preserve"> </w:t>
            </w:r>
            <w:r w:rsidR="00CB0C0B" w:rsidRPr="00E7275F">
              <w:t>apmērā</w:t>
            </w:r>
            <w:r w:rsidRPr="00E7275F">
              <w:t xml:space="preserve">, bet Latvijas </w:t>
            </w:r>
            <w:r w:rsidR="00323067" w:rsidRPr="00E7275F">
              <w:t xml:space="preserve">valsts budžeta līdzfinansējums </w:t>
            </w:r>
            <w:r w:rsidR="00CB0C0B" w:rsidRPr="00E7275F">
              <w:t xml:space="preserve">ir </w:t>
            </w:r>
            <w:r w:rsidR="006B52D5" w:rsidRPr="00E7275F">
              <w:t xml:space="preserve">32% </w:t>
            </w:r>
            <w:r w:rsidR="00CB0C0B" w:rsidRPr="00E7275F">
              <w:t xml:space="preserve">jeb </w:t>
            </w:r>
            <w:r w:rsidR="002673BA" w:rsidRPr="00E7275F">
              <w:t xml:space="preserve">1 600 000 </w:t>
            </w:r>
            <w:proofErr w:type="spellStart"/>
            <w:r w:rsidR="00557218" w:rsidRPr="00E7275F">
              <w:rPr>
                <w:i/>
              </w:rPr>
              <w:t>euro</w:t>
            </w:r>
            <w:proofErr w:type="spellEnd"/>
            <w:r w:rsidRPr="00E7275F">
              <w:t xml:space="preserve">. </w:t>
            </w:r>
            <w:r w:rsidR="00DB5058">
              <w:rPr>
                <w:color w:val="000000"/>
              </w:rPr>
              <w:t>Noteikumu sagatavošanas laikā</w:t>
            </w:r>
            <w:r w:rsidR="00DB5058" w:rsidRPr="00E7275F">
              <w:rPr>
                <w:color w:val="000000"/>
              </w:rPr>
              <w:t xml:space="preserve"> </w:t>
            </w:r>
            <w:r w:rsidR="00DB5058">
              <w:rPr>
                <w:color w:val="000000"/>
              </w:rPr>
              <w:t>m</w:t>
            </w:r>
            <w:r w:rsidR="002673BA" w:rsidRPr="00E7275F">
              <w:rPr>
                <w:color w:val="000000"/>
              </w:rPr>
              <w:t xml:space="preserve">ērķgrupas lielumu un aptuvenos izdevumus konkrētam gadam nav iespējams prognozēt, jo atbalsts ir paredzēts </w:t>
            </w:r>
            <w:r w:rsidR="000C16D1" w:rsidRPr="00883DB9">
              <w:t xml:space="preserve">epizootijas vai </w:t>
            </w:r>
            <w:proofErr w:type="spellStart"/>
            <w:r w:rsidR="000C16D1" w:rsidRPr="00883DB9">
              <w:t>epifitotijas</w:t>
            </w:r>
            <w:proofErr w:type="spellEnd"/>
            <w:r w:rsidR="000C16D1" w:rsidRPr="00883DB9">
              <w:t xml:space="preserve"> </w:t>
            </w:r>
            <w:r w:rsidR="000C16D1">
              <w:t>dēļ</w:t>
            </w:r>
            <w:r w:rsidR="002673BA" w:rsidRPr="00E7275F">
              <w:rPr>
                <w:color w:val="000000"/>
              </w:rPr>
              <w:t xml:space="preserve"> cietušajām saimniecībām.</w:t>
            </w:r>
            <w:r w:rsidR="00110D6F" w:rsidRPr="00E7275F">
              <w:rPr>
                <w:color w:val="000000"/>
              </w:rPr>
              <w:t xml:space="preserve"> Provizoriski tiek plānots, ka katru gadu pasākumu īstenošanai paredzēts atvērt kārtu </w:t>
            </w:r>
            <w:r w:rsidR="00DB5058">
              <w:rPr>
                <w:color w:val="000000"/>
              </w:rPr>
              <w:t xml:space="preserve">ar pieejamo finansējumu </w:t>
            </w:r>
            <w:r w:rsidR="00110D6F" w:rsidRPr="00E7275F">
              <w:rPr>
                <w:color w:val="000000"/>
              </w:rPr>
              <w:t>1 000 0000</w:t>
            </w:r>
            <w:r w:rsidR="00110D6F">
              <w:rPr>
                <w:color w:val="000000"/>
              </w:rPr>
              <w:t xml:space="preserve"> </w:t>
            </w:r>
            <w:proofErr w:type="spellStart"/>
            <w:r w:rsidR="00110D6F" w:rsidRPr="00883DB9">
              <w:rPr>
                <w:i/>
                <w:color w:val="000000"/>
              </w:rPr>
              <w:t>euro</w:t>
            </w:r>
            <w:proofErr w:type="spellEnd"/>
            <w:r w:rsidR="00110D6F">
              <w:rPr>
                <w:color w:val="000000"/>
              </w:rPr>
              <w:t xml:space="preserve"> apmērā. </w:t>
            </w:r>
          </w:p>
        </w:tc>
      </w:tr>
      <w:tr w:rsidR="003D26EE" w:rsidRPr="007E48B7" w:rsidTr="007C4239">
        <w:tc>
          <w:tcPr>
            <w:tcW w:w="1723" w:type="pct"/>
            <w:hideMark/>
          </w:tcPr>
          <w:p w:rsidR="00FF42DD" w:rsidRPr="007E48B7" w:rsidRDefault="00FF42DD" w:rsidP="00CB567E">
            <w:pPr>
              <w:suppressAutoHyphens w:val="0"/>
              <w:rPr>
                <w:kern w:val="0"/>
                <w:lang w:eastAsia="lv-LV"/>
              </w:rPr>
            </w:pPr>
            <w:r w:rsidRPr="007E48B7">
              <w:rPr>
                <w:kern w:val="0"/>
                <w:lang w:eastAsia="lv-LV"/>
              </w:rPr>
              <w:t>6.1. detalizēts ieņēmumu aprēķins</w:t>
            </w:r>
          </w:p>
        </w:tc>
        <w:tc>
          <w:tcPr>
            <w:tcW w:w="3277" w:type="pct"/>
            <w:gridSpan w:val="5"/>
            <w:vMerge/>
            <w:hideMark/>
          </w:tcPr>
          <w:p w:rsidR="00FF42DD" w:rsidRPr="007E48B7" w:rsidRDefault="00FF42DD" w:rsidP="00CB567E">
            <w:pPr>
              <w:suppressAutoHyphens w:val="0"/>
              <w:rPr>
                <w:kern w:val="0"/>
                <w:lang w:eastAsia="lv-LV"/>
              </w:rPr>
            </w:pPr>
          </w:p>
        </w:tc>
      </w:tr>
      <w:tr w:rsidR="003D26EE" w:rsidRPr="007E48B7" w:rsidTr="007C4239">
        <w:tc>
          <w:tcPr>
            <w:tcW w:w="1723" w:type="pct"/>
            <w:hideMark/>
          </w:tcPr>
          <w:p w:rsidR="00FF42DD" w:rsidRPr="007E48B7" w:rsidRDefault="00FF42DD" w:rsidP="00CB567E">
            <w:pPr>
              <w:suppressAutoHyphens w:val="0"/>
              <w:rPr>
                <w:kern w:val="0"/>
                <w:lang w:eastAsia="lv-LV"/>
              </w:rPr>
            </w:pPr>
            <w:r w:rsidRPr="007E48B7">
              <w:rPr>
                <w:kern w:val="0"/>
                <w:lang w:eastAsia="lv-LV"/>
              </w:rPr>
              <w:t>6.2. detalizēts izdevumu aprēķins</w:t>
            </w:r>
          </w:p>
        </w:tc>
        <w:tc>
          <w:tcPr>
            <w:tcW w:w="3277" w:type="pct"/>
            <w:gridSpan w:val="5"/>
            <w:vMerge/>
            <w:hideMark/>
          </w:tcPr>
          <w:p w:rsidR="00FF42DD" w:rsidRPr="007E48B7" w:rsidRDefault="00FF42DD" w:rsidP="00CB567E">
            <w:pPr>
              <w:suppressAutoHyphens w:val="0"/>
              <w:rPr>
                <w:kern w:val="0"/>
                <w:lang w:eastAsia="lv-LV"/>
              </w:rPr>
            </w:pPr>
          </w:p>
        </w:tc>
      </w:tr>
      <w:tr w:rsidR="003D26EE" w:rsidRPr="007E48B7" w:rsidTr="007C4239">
        <w:trPr>
          <w:trHeight w:val="555"/>
        </w:trPr>
        <w:tc>
          <w:tcPr>
            <w:tcW w:w="1723" w:type="pct"/>
            <w:hideMark/>
          </w:tcPr>
          <w:p w:rsidR="00FF42DD" w:rsidRPr="007E48B7" w:rsidRDefault="00FF42DD" w:rsidP="00CB567E">
            <w:pPr>
              <w:suppressAutoHyphens w:val="0"/>
              <w:rPr>
                <w:kern w:val="0"/>
                <w:lang w:eastAsia="lv-LV"/>
              </w:rPr>
            </w:pPr>
            <w:r w:rsidRPr="007E48B7">
              <w:rPr>
                <w:kern w:val="0"/>
                <w:lang w:eastAsia="lv-LV"/>
              </w:rPr>
              <w:t>7. Cita informācija</w:t>
            </w:r>
          </w:p>
        </w:tc>
        <w:tc>
          <w:tcPr>
            <w:tcW w:w="3277" w:type="pct"/>
            <w:gridSpan w:val="5"/>
            <w:hideMark/>
          </w:tcPr>
          <w:p w:rsidR="0007272C" w:rsidRPr="007E48B7" w:rsidRDefault="00692229" w:rsidP="002673BA">
            <w:pPr>
              <w:suppressAutoHyphens w:val="0"/>
              <w:jc w:val="both"/>
              <w:rPr>
                <w:kern w:val="0"/>
                <w:lang w:eastAsia="lv-LV"/>
              </w:rPr>
            </w:pPr>
            <w:r w:rsidRPr="007E48B7">
              <w:t>Pēc noteikumu projekta apstiprināšanas Ministru kabinetā</w:t>
            </w:r>
            <w:proofErr w:type="gramStart"/>
            <w:r w:rsidRPr="007E48B7">
              <w:t xml:space="preserve"> </w:t>
            </w:r>
            <w:r w:rsidR="002673BA">
              <w:t xml:space="preserve"> </w:t>
            </w:r>
            <w:proofErr w:type="gramEnd"/>
            <w:r w:rsidR="002673BA">
              <w:t>konkrētam gadam p</w:t>
            </w:r>
            <w:r w:rsidRPr="007E48B7">
              <w:t xml:space="preserve">apildu nepieciešamo finansējumu </w:t>
            </w:r>
            <w:r w:rsidR="00CB0C0B" w:rsidRPr="007E48B7">
              <w:t>LAP (2014</w:t>
            </w:r>
            <w:r w:rsidR="00CB0C0B" w:rsidRPr="007E48B7">
              <w:rPr>
                <w:b/>
              </w:rPr>
              <w:t>–</w:t>
            </w:r>
            <w:r w:rsidR="00CB0C0B" w:rsidRPr="007E48B7">
              <w:t>2020)</w:t>
            </w:r>
            <w:r w:rsidR="00CB0C0B" w:rsidRPr="007E48B7">
              <w:rPr>
                <w:rStyle w:val="Izteiksmgs"/>
                <w:b w:val="0"/>
                <w:color w:val="000000"/>
              </w:rPr>
              <w:t xml:space="preserve"> </w:t>
            </w:r>
            <w:r w:rsidRPr="007E48B7">
              <w:t xml:space="preserve">pasākuma </w:t>
            </w:r>
            <w:r w:rsidR="002673BA" w:rsidRPr="005111EE">
              <w:t>“Dabas katastrofās un katastrofālos notikumos cietušā lauksaimniecības ražošanas potenciāla atjaunošana un piemērotu profilaktisko pasākumu ieviešana”</w:t>
            </w:r>
            <w:r w:rsidR="002673BA" w:rsidRPr="007E48B7">
              <w:t xml:space="preserve"> </w:t>
            </w:r>
            <w:r w:rsidR="00476136" w:rsidRPr="007E48B7">
              <w:t xml:space="preserve"> </w:t>
            </w:r>
            <w:r w:rsidRPr="007E48B7">
              <w:t>īstenošanai Zemkopības ministrija normatīvajos ak</w:t>
            </w:r>
            <w:r w:rsidR="0040317F" w:rsidRPr="007E48B7">
              <w:t>tos noteiktajā kārtībā pieprasī</w:t>
            </w:r>
            <w:r w:rsidRPr="007E48B7">
              <w:t>s no budžeta resora „74.</w:t>
            </w:r>
            <w:r w:rsidR="00DB5058">
              <w:t xml:space="preserve"> </w:t>
            </w:r>
            <w:r w:rsidRPr="007E48B7">
              <w:t xml:space="preserve">Gadskārtējā valsts budžeta izpildes procesā pārdalāmais finansējums” programmas 80.00.00 „Nesadalītais finansējums Eiropas </w:t>
            </w:r>
            <w:r w:rsidRPr="007E48B7">
              <w:lastRenderedPageBreak/>
              <w:t xml:space="preserve">Savienības politiku instrumentu un pārējās ārvalstu finanšu palīdzības līdzfinansēto projektu un pasākumu īstenošanai”, paredzot to Zemkopības ministrijas budžeta programmā </w:t>
            </w:r>
            <w:r w:rsidR="00C6007B" w:rsidRPr="007E48B7">
              <w:t xml:space="preserve">65.08.00. „Maksājumu iestādes izdevumi </w:t>
            </w:r>
            <w:r w:rsidRPr="007E48B7">
              <w:t>Eiropas Lauksaimniecības fonda lauku attīstībai (ELFLA) projektu un pasākumu īstenošana</w:t>
            </w:r>
            <w:r w:rsidR="00C6007B" w:rsidRPr="007E48B7">
              <w:t>i (2014</w:t>
            </w:r>
            <w:r w:rsidR="00CB0C0B" w:rsidRPr="007E48B7">
              <w:t>–</w:t>
            </w:r>
            <w:r w:rsidR="00C6007B" w:rsidRPr="007E48B7">
              <w:t>2020)</w:t>
            </w:r>
            <w:r w:rsidRPr="007E48B7">
              <w:t>”.</w:t>
            </w:r>
          </w:p>
        </w:tc>
      </w:tr>
    </w:tbl>
    <w:p w:rsidR="00FF42DD" w:rsidRPr="007E48B7" w:rsidRDefault="00FF42DD" w:rsidP="00FF42DD"/>
    <w:tbl>
      <w:tblPr>
        <w:tblW w:w="9498"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84"/>
        <w:gridCol w:w="2376"/>
        <w:gridCol w:w="6838"/>
      </w:tblGrid>
      <w:tr w:rsidR="003D26EE" w:rsidRPr="007E48B7" w:rsidTr="001F7954">
        <w:tc>
          <w:tcPr>
            <w:tcW w:w="9498" w:type="dxa"/>
            <w:gridSpan w:val="3"/>
            <w:tcBorders>
              <w:top w:val="outset" w:sz="6" w:space="0" w:color="auto"/>
              <w:left w:val="outset" w:sz="6" w:space="0" w:color="auto"/>
              <w:bottom w:val="outset" w:sz="6" w:space="0" w:color="auto"/>
              <w:right w:val="outset" w:sz="6" w:space="0" w:color="auto"/>
            </w:tcBorders>
            <w:vAlign w:val="center"/>
          </w:tcPr>
          <w:p w:rsidR="003D26EE" w:rsidRPr="007E48B7" w:rsidRDefault="003D26EE" w:rsidP="008600B1">
            <w:pPr>
              <w:jc w:val="center"/>
              <w:rPr>
                <w:b/>
              </w:rPr>
            </w:pPr>
            <w:r w:rsidRPr="007E48B7">
              <w:rPr>
                <w:b/>
              </w:rPr>
              <w:t>V. Tiesību akta projekta atbilstība Latvijas Republikas starptautiskajām saistībām</w:t>
            </w:r>
          </w:p>
        </w:tc>
      </w:tr>
      <w:tr w:rsidR="003D26EE" w:rsidRPr="007E48B7" w:rsidTr="001F7954">
        <w:tc>
          <w:tcPr>
            <w:tcW w:w="284"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1.</w:t>
            </w:r>
          </w:p>
        </w:tc>
        <w:tc>
          <w:tcPr>
            <w:tcW w:w="2376"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Saistības pret Eiropas Savienību</w:t>
            </w:r>
          </w:p>
        </w:tc>
        <w:tc>
          <w:tcPr>
            <w:tcW w:w="6838" w:type="dxa"/>
            <w:tcBorders>
              <w:top w:val="outset" w:sz="6" w:space="0" w:color="auto"/>
              <w:left w:val="outset" w:sz="6" w:space="0" w:color="auto"/>
              <w:bottom w:val="outset" w:sz="6" w:space="0" w:color="auto"/>
              <w:right w:val="outset" w:sz="6" w:space="0" w:color="auto"/>
            </w:tcBorders>
          </w:tcPr>
          <w:p w:rsidR="00F6711B" w:rsidRPr="007E48B7" w:rsidRDefault="00FB0675" w:rsidP="00F6711B">
            <w:pPr>
              <w:pStyle w:val="Default"/>
            </w:pPr>
            <w:r w:rsidRPr="007E48B7">
              <w:t xml:space="preserve">Regula </w:t>
            </w:r>
            <w:r w:rsidR="00F6711B" w:rsidRPr="007E48B7">
              <w:t xml:space="preserve">(EK) </w:t>
            </w:r>
            <w:r w:rsidRPr="007E48B7">
              <w:t>Nr.1305/2013</w:t>
            </w:r>
          </w:p>
          <w:p w:rsidR="003D26EE" w:rsidRPr="007E48B7" w:rsidRDefault="003D26EE" w:rsidP="00F6711B">
            <w:pPr>
              <w:pStyle w:val="Default"/>
            </w:pPr>
          </w:p>
        </w:tc>
      </w:tr>
      <w:tr w:rsidR="003D26EE" w:rsidRPr="007E48B7" w:rsidTr="001F7954">
        <w:tc>
          <w:tcPr>
            <w:tcW w:w="284"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2.</w:t>
            </w:r>
          </w:p>
        </w:tc>
        <w:tc>
          <w:tcPr>
            <w:tcW w:w="2376"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Citas starptautiskās saistības</w:t>
            </w:r>
          </w:p>
        </w:tc>
        <w:tc>
          <w:tcPr>
            <w:tcW w:w="6838"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rPr>
                <w:color w:val="000000"/>
              </w:rPr>
              <w:t>Projekts šo jomu neskar.</w:t>
            </w:r>
          </w:p>
        </w:tc>
      </w:tr>
      <w:tr w:rsidR="003D26EE" w:rsidRPr="007E48B7" w:rsidTr="001F7954">
        <w:tc>
          <w:tcPr>
            <w:tcW w:w="284"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3.</w:t>
            </w:r>
          </w:p>
        </w:tc>
        <w:tc>
          <w:tcPr>
            <w:tcW w:w="2376"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Cita informācija</w:t>
            </w:r>
          </w:p>
        </w:tc>
        <w:tc>
          <w:tcPr>
            <w:tcW w:w="6838"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Nav.</w:t>
            </w:r>
          </w:p>
        </w:tc>
      </w:tr>
    </w:tbl>
    <w:p w:rsidR="003D26EE" w:rsidRPr="007E48B7" w:rsidRDefault="003D26EE"/>
    <w:tbl>
      <w:tblPr>
        <w:tblW w:w="9490"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883"/>
        <w:gridCol w:w="197"/>
        <w:gridCol w:w="2281"/>
        <w:gridCol w:w="237"/>
        <w:gridCol w:w="1860"/>
        <w:gridCol w:w="3032"/>
      </w:tblGrid>
      <w:tr w:rsidR="003D26EE" w:rsidRPr="007E48B7" w:rsidTr="002D32DA">
        <w:trPr>
          <w:jc w:val="center"/>
        </w:trPr>
        <w:tc>
          <w:tcPr>
            <w:tcW w:w="9490" w:type="dxa"/>
            <w:gridSpan w:val="6"/>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rPr>
                <w:b/>
              </w:rPr>
            </w:pPr>
            <w:r w:rsidRPr="007E48B7">
              <w:rPr>
                <w:b/>
              </w:rPr>
              <w:t>1.tabula</w:t>
            </w:r>
          </w:p>
          <w:p w:rsidR="003D26EE" w:rsidRPr="007E48B7" w:rsidRDefault="003D26EE" w:rsidP="001F7954">
            <w:pPr>
              <w:jc w:val="both"/>
            </w:pPr>
            <w:r w:rsidRPr="007E48B7">
              <w:rPr>
                <w:b/>
              </w:rPr>
              <w:t>Tiesību akta projekta atbilstība ES tiesību aktiem</w:t>
            </w:r>
          </w:p>
        </w:tc>
      </w:tr>
      <w:tr w:rsidR="001F7954"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3D26EE" w:rsidRPr="007E48B7" w:rsidRDefault="003D26EE" w:rsidP="001F7954">
            <w:pPr>
              <w:jc w:val="both"/>
            </w:pPr>
            <w:r w:rsidRPr="007E48B7">
              <w:t>Attiecīgā ES tiesību akta datums, numurs un nosaukums</w:t>
            </w:r>
          </w:p>
        </w:tc>
        <w:tc>
          <w:tcPr>
            <w:tcW w:w="7410" w:type="dxa"/>
            <w:gridSpan w:val="4"/>
            <w:tcBorders>
              <w:top w:val="outset" w:sz="6" w:space="0" w:color="auto"/>
              <w:left w:val="outset" w:sz="6" w:space="0" w:color="auto"/>
              <w:bottom w:val="outset" w:sz="6" w:space="0" w:color="auto"/>
              <w:right w:val="outset" w:sz="6" w:space="0" w:color="auto"/>
            </w:tcBorders>
          </w:tcPr>
          <w:p w:rsidR="00F6711B" w:rsidRPr="007E48B7" w:rsidRDefault="00FB0675" w:rsidP="007A7A1D">
            <w:pPr>
              <w:jc w:val="both"/>
            </w:pPr>
            <w:r w:rsidRPr="007E48B7">
              <w:t>Atbalstu paredzēts sniegt saskaņā ar Padomes 2013.</w:t>
            </w:r>
            <w:r w:rsidR="00DB3307" w:rsidRPr="007E48B7">
              <w:t xml:space="preserve"> </w:t>
            </w:r>
            <w:r w:rsidRPr="007E48B7">
              <w:t xml:space="preserve">gada </w:t>
            </w:r>
            <w:proofErr w:type="gramStart"/>
            <w:r w:rsidRPr="007E48B7">
              <w:t>17.decembra</w:t>
            </w:r>
            <w:proofErr w:type="gramEnd"/>
            <w:r w:rsidRPr="007E48B7">
              <w:t xml:space="preserve"> Regul</w:t>
            </w:r>
            <w:r w:rsidR="00CB0C0B" w:rsidRPr="007E48B7">
              <w:t>as</w:t>
            </w:r>
            <w:r w:rsidRPr="007E48B7">
              <w:t xml:space="preserve"> (EK) Nr.1305/2013 par atbalstu lauku attīstībai no Eiropas Lauksaimniecības fonda lauku attīstībai (ELFLA) un ar ko atceļ Padomes regul</w:t>
            </w:r>
            <w:r w:rsidR="00DB3307" w:rsidRPr="007E48B7">
              <w:t xml:space="preserve">u (EK) Nr.1698/2005 (turpmāk </w:t>
            </w:r>
            <w:r w:rsidR="00CB0C0B" w:rsidRPr="007E48B7">
              <w:t>–</w:t>
            </w:r>
            <w:r w:rsidR="00DB3307" w:rsidRPr="007E48B7">
              <w:t xml:space="preserve"> </w:t>
            </w:r>
            <w:r w:rsidRPr="007E48B7">
              <w:t xml:space="preserve">Regula Nr.1305/2013) </w:t>
            </w:r>
            <w:r w:rsidR="007A7A1D">
              <w:t>18</w:t>
            </w:r>
            <w:r w:rsidRPr="007E48B7">
              <w:t>.pantu</w:t>
            </w:r>
            <w:r w:rsidR="007A7A1D">
              <w:t>.</w:t>
            </w:r>
          </w:p>
        </w:tc>
      </w:tr>
      <w:tr w:rsidR="001F7954"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A</w:t>
            </w:r>
          </w:p>
        </w:tc>
        <w:tc>
          <w:tcPr>
            <w:tcW w:w="2281" w:type="dxa"/>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B</w:t>
            </w:r>
          </w:p>
        </w:tc>
        <w:tc>
          <w:tcPr>
            <w:tcW w:w="2097" w:type="dxa"/>
            <w:gridSpan w:val="2"/>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C</w:t>
            </w:r>
          </w:p>
        </w:tc>
        <w:tc>
          <w:tcPr>
            <w:tcW w:w="3032" w:type="dxa"/>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D</w:t>
            </w:r>
          </w:p>
        </w:tc>
      </w:tr>
      <w:tr w:rsidR="0010197C"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vAlign w:val="center"/>
          </w:tcPr>
          <w:p w:rsidR="0010197C" w:rsidRPr="007E48B7" w:rsidRDefault="00967925" w:rsidP="001F7954">
            <w:pPr>
              <w:jc w:val="both"/>
            </w:pPr>
            <w:r>
              <w:t xml:space="preserve">Regulas Nr.1305/2013 </w:t>
            </w:r>
            <w:proofErr w:type="gramStart"/>
            <w:r>
              <w:t>18</w:t>
            </w:r>
            <w:r w:rsidR="0010197C" w:rsidRPr="007E48B7">
              <w:t>.panta</w:t>
            </w:r>
            <w:proofErr w:type="gramEnd"/>
            <w:r w:rsidR="0010197C" w:rsidRPr="007E48B7">
              <w:t xml:space="preserve"> 1.punkts</w:t>
            </w:r>
            <w:r>
              <w:t xml:space="preserve"> </w:t>
            </w:r>
            <w:r w:rsidRPr="007E48B7">
              <w:t>„a” apakšpunkts</w:t>
            </w:r>
          </w:p>
        </w:tc>
        <w:tc>
          <w:tcPr>
            <w:tcW w:w="2281" w:type="dxa"/>
            <w:tcBorders>
              <w:top w:val="outset" w:sz="6" w:space="0" w:color="auto"/>
              <w:left w:val="outset" w:sz="6" w:space="0" w:color="auto"/>
              <w:bottom w:val="outset" w:sz="6" w:space="0" w:color="auto"/>
              <w:right w:val="outset" w:sz="6" w:space="0" w:color="auto"/>
            </w:tcBorders>
          </w:tcPr>
          <w:p w:rsidR="0010197C" w:rsidRPr="007E48B7" w:rsidRDefault="00563EF6" w:rsidP="00563EF6">
            <w:r>
              <w:t>1</w:t>
            </w:r>
            <w:r w:rsidR="0010197C" w:rsidRPr="007E48B7">
              <w:t>.1.apakšpunkts</w:t>
            </w:r>
            <w:r>
              <w:t>, 6.punkts</w:t>
            </w:r>
          </w:p>
        </w:tc>
        <w:tc>
          <w:tcPr>
            <w:tcW w:w="2097" w:type="dxa"/>
            <w:gridSpan w:val="2"/>
            <w:tcBorders>
              <w:top w:val="outset" w:sz="6" w:space="0" w:color="auto"/>
              <w:left w:val="outset" w:sz="6" w:space="0" w:color="auto"/>
              <w:bottom w:val="outset" w:sz="6" w:space="0" w:color="auto"/>
              <w:right w:val="outset" w:sz="6" w:space="0" w:color="auto"/>
            </w:tcBorders>
          </w:tcPr>
          <w:p w:rsidR="0010197C" w:rsidRPr="007E48B7" w:rsidRDefault="0010197C" w:rsidP="001F7954">
            <w:pPr>
              <w:jc w:val="both"/>
            </w:pPr>
            <w:r w:rsidRPr="007E48B7">
              <w:rPr>
                <w:lang w:eastAsia="en-US"/>
              </w:rPr>
              <w:t>Ieviests pilnībā.</w:t>
            </w:r>
          </w:p>
        </w:tc>
        <w:tc>
          <w:tcPr>
            <w:tcW w:w="3032" w:type="dxa"/>
            <w:tcBorders>
              <w:top w:val="outset" w:sz="6" w:space="0" w:color="auto"/>
              <w:left w:val="outset" w:sz="6" w:space="0" w:color="auto"/>
              <w:bottom w:val="outset" w:sz="6" w:space="0" w:color="auto"/>
              <w:right w:val="outset" w:sz="6" w:space="0" w:color="auto"/>
            </w:tcBorders>
          </w:tcPr>
          <w:p w:rsidR="0010197C" w:rsidRPr="007E48B7" w:rsidRDefault="0010197C" w:rsidP="001F7954">
            <w:pPr>
              <w:jc w:val="both"/>
            </w:pPr>
            <w:r w:rsidRPr="007E48B7">
              <w:rPr>
                <w:lang w:eastAsia="en-US"/>
              </w:rPr>
              <w:t>Neparedz stingrākas prasības kā ES tiesību normas.</w:t>
            </w:r>
          </w:p>
        </w:tc>
      </w:tr>
      <w:tr w:rsidR="0010197C"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vAlign w:val="center"/>
          </w:tcPr>
          <w:p w:rsidR="0010197C" w:rsidRPr="007E48B7" w:rsidRDefault="00967925" w:rsidP="00967925">
            <w:pPr>
              <w:jc w:val="both"/>
            </w:pPr>
            <w:r>
              <w:t xml:space="preserve">Regulas Nr.1305/2013 </w:t>
            </w:r>
            <w:proofErr w:type="gramStart"/>
            <w:r>
              <w:t>18</w:t>
            </w:r>
            <w:r w:rsidRPr="007E48B7">
              <w:t>.panta</w:t>
            </w:r>
            <w:proofErr w:type="gramEnd"/>
            <w:r w:rsidRPr="007E48B7">
              <w:t xml:space="preserve"> 1.punkts</w:t>
            </w:r>
            <w:r>
              <w:t xml:space="preserve"> </w:t>
            </w:r>
            <w:r w:rsidRPr="007E48B7">
              <w:t>„</w:t>
            </w:r>
            <w:r>
              <w:t>b</w:t>
            </w:r>
            <w:r w:rsidRPr="007E48B7">
              <w:t>” apakšpunkts</w:t>
            </w:r>
          </w:p>
        </w:tc>
        <w:tc>
          <w:tcPr>
            <w:tcW w:w="2281" w:type="dxa"/>
            <w:tcBorders>
              <w:top w:val="outset" w:sz="6" w:space="0" w:color="auto"/>
              <w:left w:val="outset" w:sz="6" w:space="0" w:color="auto"/>
              <w:bottom w:val="outset" w:sz="6" w:space="0" w:color="auto"/>
              <w:right w:val="outset" w:sz="6" w:space="0" w:color="auto"/>
            </w:tcBorders>
          </w:tcPr>
          <w:p w:rsidR="0010197C" w:rsidRPr="007E48B7" w:rsidRDefault="00563EF6" w:rsidP="00967925">
            <w:r>
              <w:t>1</w:t>
            </w:r>
            <w:r w:rsidR="0010197C" w:rsidRPr="007E48B7">
              <w:t>.2.</w:t>
            </w:r>
            <w:r w:rsidR="002448F4" w:rsidRPr="007E48B7">
              <w:t xml:space="preserve"> </w:t>
            </w:r>
            <w:r w:rsidR="0010197C" w:rsidRPr="007E48B7">
              <w:t>apakšpunkts</w:t>
            </w:r>
            <w:r>
              <w:t>, 12.punkts</w:t>
            </w:r>
          </w:p>
        </w:tc>
        <w:tc>
          <w:tcPr>
            <w:tcW w:w="2097" w:type="dxa"/>
            <w:gridSpan w:val="2"/>
            <w:tcBorders>
              <w:top w:val="outset" w:sz="6" w:space="0" w:color="auto"/>
              <w:left w:val="outset" w:sz="6" w:space="0" w:color="auto"/>
              <w:bottom w:val="outset" w:sz="6" w:space="0" w:color="auto"/>
              <w:right w:val="outset" w:sz="6" w:space="0" w:color="auto"/>
            </w:tcBorders>
          </w:tcPr>
          <w:p w:rsidR="0010197C" w:rsidRPr="007E48B7" w:rsidRDefault="0010197C" w:rsidP="001F7954">
            <w:pPr>
              <w:jc w:val="both"/>
            </w:pPr>
            <w:r w:rsidRPr="007E48B7">
              <w:rPr>
                <w:lang w:eastAsia="en-US"/>
              </w:rPr>
              <w:t>Ieviests pilnībā.</w:t>
            </w:r>
          </w:p>
        </w:tc>
        <w:tc>
          <w:tcPr>
            <w:tcW w:w="3032" w:type="dxa"/>
            <w:tcBorders>
              <w:top w:val="outset" w:sz="6" w:space="0" w:color="auto"/>
              <w:left w:val="outset" w:sz="6" w:space="0" w:color="auto"/>
              <w:bottom w:val="outset" w:sz="6" w:space="0" w:color="auto"/>
              <w:right w:val="outset" w:sz="6" w:space="0" w:color="auto"/>
            </w:tcBorders>
          </w:tcPr>
          <w:p w:rsidR="0010197C" w:rsidRPr="007E48B7" w:rsidRDefault="0010197C" w:rsidP="001F7954">
            <w:pPr>
              <w:jc w:val="both"/>
            </w:pPr>
            <w:r w:rsidRPr="007E48B7">
              <w:rPr>
                <w:lang w:eastAsia="en-US"/>
              </w:rPr>
              <w:t>Neparedz stingrākas prasības kā ES tiesību normas.</w:t>
            </w:r>
          </w:p>
        </w:tc>
      </w:tr>
      <w:tr w:rsidR="00FB0675"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FB0675" w:rsidRPr="007E48B7" w:rsidRDefault="00FB0675" w:rsidP="00FB0675">
            <w:pPr>
              <w:pStyle w:val="a"/>
              <w:spacing w:before="0" w:beforeAutospacing="0" w:after="0" w:afterAutospacing="0"/>
            </w:pPr>
            <w:r w:rsidRPr="007E48B7">
              <w:t xml:space="preserve">Regulas Nr.1305/2013 </w:t>
            </w:r>
            <w:proofErr w:type="gramStart"/>
            <w:r w:rsidR="00967925">
              <w:t>18.panta</w:t>
            </w:r>
            <w:proofErr w:type="gramEnd"/>
            <w:r w:rsidR="00967925">
              <w:t xml:space="preserve"> 2</w:t>
            </w:r>
            <w:r w:rsidR="00967925" w:rsidRPr="007E48B7">
              <w:t>.punkts</w:t>
            </w:r>
          </w:p>
        </w:tc>
        <w:tc>
          <w:tcPr>
            <w:tcW w:w="2281" w:type="dxa"/>
            <w:tcBorders>
              <w:top w:val="outset" w:sz="6" w:space="0" w:color="auto"/>
              <w:left w:val="outset" w:sz="6" w:space="0" w:color="auto"/>
              <w:bottom w:val="outset" w:sz="6" w:space="0" w:color="auto"/>
              <w:right w:val="outset" w:sz="6" w:space="0" w:color="auto"/>
            </w:tcBorders>
          </w:tcPr>
          <w:p w:rsidR="00FB0675" w:rsidRPr="007E48B7" w:rsidRDefault="00563EF6" w:rsidP="00563EF6">
            <w:pPr>
              <w:pStyle w:val="a"/>
              <w:spacing w:before="0" w:beforeAutospacing="0" w:after="0" w:afterAutospacing="0"/>
              <w:rPr>
                <w:lang w:eastAsia="en-US"/>
              </w:rPr>
            </w:pPr>
            <w:r>
              <w:t>7</w:t>
            </w:r>
            <w:r w:rsidR="00967925" w:rsidRPr="007E48B7">
              <w:t>.</w:t>
            </w:r>
            <w:r>
              <w:t>punkts</w:t>
            </w:r>
            <w:r w:rsidR="00967925" w:rsidRPr="007E48B7">
              <w:t xml:space="preserve"> </w:t>
            </w:r>
            <w:r>
              <w:t>un 13.</w:t>
            </w:r>
            <w:r w:rsidR="00967925" w:rsidRPr="007E48B7">
              <w:t>punkts</w:t>
            </w:r>
          </w:p>
        </w:tc>
        <w:tc>
          <w:tcPr>
            <w:tcW w:w="2097" w:type="dxa"/>
            <w:gridSpan w:val="2"/>
            <w:tcBorders>
              <w:top w:val="outset" w:sz="6" w:space="0" w:color="auto"/>
              <w:left w:val="outset" w:sz="6" w:space="0" w:color="auto"/>
              <w:bottom w:val="outset" w:sz="6" w:space="0" w:color="auto"/>
              <w:right w:val="outset" w:sz="6" w:space="0" w:color="auto"/>
            </w:tcBorders>
          </w:tcPr>
          <w:p w:rsidR="00FB0675" w:rsidRPr="007E48B7" w:rsidRDefault="00FB0675" w:rsidP="00FB0675">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3032" w:type="dxa"/>
            <w:tcBorders>
              <w:top w:val="outset" w:sz="6" w:space="0" w:color="auto"/>
              <w:left w:val="outset" w:sz="6" w:space="0" w:color="auto"/>
              <w:bottom w:val="outset" w:sz="6" w:space="0" w:color="auto"/>
              <w:right w:val="outset" w:sz="6" w:space="0" w:color="auto"/>
            </w:tcBorders>
          </w:tcPr>
          <w:p w:rsidR="00FB0675" w:rsidRPr="007E48B7" w:rsidRDefault="00FB0675" w:rsidP="00FB0675">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441B6D"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967925">
            <w:pPr>
              <w:pStyle w:val="a"/>
              <w:spacing w:before="0" w:beforeAutospacing="0" w:after="0" w:afterAutospacing="0"/>
            </w:pPr>
            <w:r w:rsidRPr="007E48B7">
              <w:t xml:space="preserve">Regulas Nr.1305/2013 </w:t>
            </w:r>
            <w:proofErr w:type="gramStart"/>
            <w:r w:rsidR="00967925">
              <w:t>18.panta</w:t>
            </w:r>
            <w:proofErr w:type="gramEnd"/>
            <w:r w:rsidR="00967925">
              <w:t xml:space="preserve"> 3</w:t>
            </w:r>
            <w:r w:rsidR="00967925" w:rsidRPr="007E48B7">
              <w:t>.punkts</w:t>
            </w:r>
          </w:p>
        </w:tc>
        <w:tc>
          <w:tcPr>
            <w:tcW w:w="2281" w:type="dxa"/>
            <w:tcBorders>
              <w:top w:val="outset" w:sz="6" w:space="0" w:color="auto"/>
              <w:left w:val="outset" w:sz="6" w:space="0" w:color="auto"/>
              <w:bottom w:val="outset" w:sz="6" w:space="0" w:color="auto"/>
              <w:right w:val="outset" w:sz="6" w:space="0" w:color="auto"/>
            </w:tcBorders>
          </w:tcPr>
          <w:p w:rsidR="00441B6D" w:rsidRPr="007E48B7" w:rsidRDefault="00967925" w:rsidP="00563EF6">
            <w:pPr>
              <w:pStyle w:val="a"/>
              <w:spacing w:before="0" w:beforeAutospacing="0" w:after="0" w:afterAutospacing="0"/>
              <w:rPr>
                <w:lang w:eastAsia="en-US"/>
              </w:rPr>
            </w:pPr>
            <w:r>
              <w:rPr>
                <w:lang w:eastAsia="en-US"/>
              </w:rPr>
              <w:t>1</w:t>
            </w:r>
            <w:r w:rsidR="00563EF6">
              <w:rPr>
                <w:lang w:eastAsia="en-US"/>
              </w:rPr>
              <w:t>3</w:t>
            </w:r>
            <w:r w:rsidR="00441B6D"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3032" w:type="dxa"/>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441B6D"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pPr>
            <w:r w:rsidRPr="007E48B7">
              <w:t xml:space="preserve">Regulas Nr.1305/2013 </w:t>
            </w:r>
            <w:proofErr w:type="gramStart"/>
            <w:r w:rsidR="00967925">
              <w:t>18.panta</w:t>
            </w:r>
            <w:proofErr w:type="gramEnd"/>
            <w:r w:rsidR="00967925">
              <w:t xml:space="preserve"> 4</w:t>
            </w:r>
            <w:r w:rsidR="00967925" w:rsidRPr="007E48B7">
              <w:t>.punkts</w:t>
            </w:r>
          </w:p>
        </w:tc>
        <w:tc>
          <w:tcPr>
            <w:tcW w:w="2281" w:type="dxa"/>
            <w:tcBorders>
              <w:top w:val="outset" w:sz="6" w:space="0" w:color="auto"/>
              <w:left w:val="outset" w:sz="6" w:space="0" w:color="auto"/>
              <w:bottom w:val="outset" w:sz="6" w:space="0" w:color="auto"/>
              <w:right w:val="outset" w:sz="6" w:space="0" w:color="auto"/>
            </w:tcBorders>
          </w:tcPr>
          <w:p w:rsidR="00563EF6" w:rsidRDefault="00967925" w:rsidP="00563EF6">
            <w:pPr>
              <w:pStyle w:val="a"/>
              <w:spacing w:before="0" w:beforeAutospacing="0" w:after="0" w:afterAutospacing="0"/>
              <w:rPr>
                <w:lang w:eastAsia="en-US"/>
              </w:rPr>
            </w:pPr>
            <w:r>
              <w:rPr>
                <w:lang w:eastAsia="en-US"/>
              </w:rPr>
              <w:t>10.,</w:t>
            </w:r>
            <w:r w:rsidR="00DB5058">
              <w:rPr>
                <w:lang w:eastAsia="en-US"/>
              </w:rPr>
              <w:t xml:space="preserve"> </w:t>
            </w:r>
            <w:r w:rsidR="00563EF6">
              <w:rPr>
                <w:lang w:eastAsia="en-US"/>
              </w:rPr>
              <w:t>17.,</w:t>
            </w:r>
            <w:r>
              <w:rPr>
                <w:lang w:eastAsia="en-US"/>
              </w:rPr>
              <w:t>18</w:t>
            </w:r>
            <w:r w:rsidR="007B4440">
              <w:rPr>
                <w:lang w:eastAsia="en-US"/>
              </w:rPr>
              <w:t>.,</w:t>
            </w:r>
            <w:r w:rsidR="00DB5058">
              <w:rPr>
                <w:lang w:eastAsia="en-US"/>
              </w:rPr>
              <w:t xml:space="preserve"> </w:t>
            </w:r>
            <w:r w:rsidR="00563EF6">
              <w:rPr>
                <w:lang w:eastAsia="en-US"/>
              </w:rPr>
              <w:t xml:space="preserve">un </w:t>
            </w:r>
          </w:p>
          <w:p w:rsidR="00441B6D" w:rsidRPr="007E48B7" w:rsidRDefault="007B4440" w:rsidP="00563EF6">
            <w:pPr>
              <w:pStyle w:val="a"/>
              <w:spacing w:before="0" w:beforeAutospacing="0" w:after="0" w:afterAutospacing="0"/>
              <w:rPr>
                <w:lang w:eastAsia="en-US"/>
              </w:rPr>
            </w:pPr>
            <w:r>
              <w:rPr>
                <w:lang w:eastAsia="en-US"/>
              </w:rPr>
              <w:t>19.</w:t>
            </w:r>
            <w:r w:rsidR="00967925">
              <w:rPr>
                <w:lang w:eastAsia="en-US"/>
              </w:rPr>
              <w:t xml:space="preserve"> </w:t>
            </w:r>
            <w:r w:rsidR="00563EF6">
              <w:rPr>
                <w:lang w:eastAsia="en-US"/>
              </w:rPr>
              <w:t>p</w:t>
            </w:r>
            <w:r w:rsidR="00441B6D" w:rsidRPr="007E48B7">
              <w:rPr>
                <w:lang w:eastAsia="en-US"/>
              </w:rPr>
              <w:t>unkts</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3032" w:type="dxa"/>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441B6D"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pPr>
            <w:r w:rsidRPr="007E48B7">
              <w:t xml:space="preserve">Regulas Nr.1305/2013 </w:t>
            </w:r>
            <w:proofErr w:type="gramStart"/>
            <w:r w:rsidR="00967925">
              <w:t>18.panta</w:t>
            </w:r>
            <w:proofErr w:type="gramEnd"/>
            <w:r w:rsidR="00967925">
              <w:t xml:space="preserve"> 5</w:t>
            </w:r>
            <w:r w:rsidR="00967925" w:rsidRPr="007E48B7">
              <w:t>.punkts</w:t>
            </w:r>
          </w:p>
        </w:tc>
        <w:tc>
          <w:tcPr>
            <w:tcW w:w="2281" w:type="dxa"/>
            <w:tcBorders>
              <w:top w:val="outset" w:sz="6" w:space="0" w:color="auto"/>
              <w:left w:val="outset" w:sz="6" w:space="0" w:color="auto"/>
              <w:bottom w:val="outset" w:sz="6" w:space="0" w:color="auto"/>
              <w:right w:val="outset" w:sz="6" w:space="0" w:color="auto"/>
            </w:tcBorders>
          </w:tcPr>
          <w:p w:rsidR="00441B6D" w:rsidRPr="007E48B7" w:rsidRDefault="00D12F60" w:rsidP="00563EF6">
            <w:pPr>
              <w:pStyle w:val="a"/>
              <w:spacing w:before="0" w:beforeAutospacing="0" w:after="0" w:afterAutospacing="0"/>
              <w:rPr>
                <w:lang w:eastAsia="en-US"/>
              </w:rPr>
            </w:pPr>
            <w:r w:rsidRPr="007E48B7">
              <w:rPr>
                <w:lang w:eastAsia="en-US"/>
              </w:rPr>
              <w:t>9</w:t>
            </w:r>
            <w:r w:rsidR="00441B6D" w:rsidRPr="007E48B7">
              <w:rPr>
                <w:lang w:eastAsia="en-US"/>
              </w:rPr>
              <w:t>.</w:t>
            </w:r>
            <w:r w:rsidR="00967925">
              <w:rPr>
                <w:lang w:eastAsia="en-US"/>
              </w:rPr>
              <w:t xml:space="preserve"> un 1</w:t>
            </w:r>
            <w:r w:rsidR="00563EF6">
              <w:rPr>
                <w:lang w:eastAsia="en-US"/>
              </w:rPr>
              <w:t>6</w:t>
            </w:r>
            <w:r w:rsidR="00967925">
              <w:rPr>
                <w:lang w:eastAsia="en-US"/>
              </w:rPr>
              <w:t>.</w:t>
            </w:r>
            <w:r w:rsidR="00441B6D"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3032" w:type="dxa"/>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E44282"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E44282" w:rsidRPr="007E48B7" w:rsidRDefault="00E44282" w:rsidP="00E44282">
            <w:pPr>
              <w:pStyle w:val="a"/>
              <w:spacing w:before="0" w:beforeAutospacing="0" w:after="0" w:afterAutospacing="0"/>
            </w:pPr>
            <w:r w:rsidRPr="007E48B7">
              <w:t xml:space="preserve">Regulas Nr.1305/2013 </w:t>
            </w:r>
            <w:proofErr w:type="gramStart"/>
            <w:r>
              <w:t>45.panta</w:t>
            </w:r>
            <w:proofErr w:type="gramEnd"/>
            <w:r>
              <w:t xml:space="preserve"> 2.punkta </w:t>
            </w:r>
            <w:r w:rsidRPr="007E48B7">
              <w:t>„</w:t>
            </w:r>
            <w:r>
              <w:t>c</w:t>
            </w:r>
            <w:r w:rsidRPr="007E48B7">
              <w:t>” apakšpunkts</w:t>
            </w:r>
          </w:p>
        </w:tc>
        <w:tc>
          <w:tcPr>
            <w:tcW w:w="2281" w:type="dxa"/>
            <w:tcBorders>
              <w:top w:val="outset" w:sz="6" w:space="0" w:color="auto"/>
              <w:left w:val="outset" w:sz="6" w:space="0" w:color="auto"/>
              <w:bottom w:val="outset" w:sz="6" w:space="0" w:color="auto"/>
              <w:right w:val="outset" w:sz="6" w:space="0" w:color="auto"/>
            </w:tcBorders>
          </w:tcPr>
          <w:p w:rsidR="00E44282" w:rsidRDefault="00E44282" w:rsidP="00E44282">
            <w:pPr>
              <w:pStyle w:val="a"/>
              <w:spacing w:before="0" w:beforeAutospacing="0" w:after="0" w:afterAutospacing="0"/>
              <w:rPr>
                <w:lang w:eastAsia="en-US"/>
              </w:rPr>
            </w:pPr>
            <w:r>
              <w:rPr>
                <w:lang w:eastAsia="en-US"/>
              </w:rPr>
              <w:t xml:space="preserve">14.punkts </w:t>
            </w:r>
          </w:p>
        </w:tc>
        <w:tc>
          <w:tcPr>
            <w:tcW w:w="2097" w:type="dxa"/>
            <w:gridSpan w:val="2"/>
            <w:tcBorders>
              <w:top w:val="outset" w:sz="6" w:space="0" w:color="auto"/>
              <w:left w:val="outset" w:sz="6" w:space="0" w:color="auto"/>
              <w:bottom w:val="outset" w:sz="6" w:space="0" w:color="auto"/>
              <w:right w:val="outset" w:sz="6" w:space="0" w:color="auto"/>
            </w:tcBorders>
          </w:tcPr>
          <w:p w:rsidR="00E44282" w:rsidRPr="007E48B7" w:rsidRDefault="00E44282" w:rsidP="0022021F">
            <w:pPr>
              <w:pStyle w:val="a"/>
              <w:spacing w:before="0" w:beforeAutospacing="0" w:after="0" w:afterAutospacing="0"/>
              <w:rPr>
                <w:lang w:eastAsia="en-US"/>
              </w:rPr>
            </w:pPr>
          </w:p>
        </w:tc>
        <w:tc>
          <w:tcPr>
            <w:tcW w:w="3032" w:type="dxa"/>
            <w:tcBorders>
              <w:top w:val="outset" w:sz="6" w:space="0" w:color="auto"/>
              <w:left w:val="outset" w:sz="6" w:space="0" w:color="auto"/>
              <w:bottom w:val="outset" w:sz="6" w:space="0" w:color="auto"/>
              <w:right w:val="outset" w:sz="6" w:space="0" w:color="auto"/>
            </w:tcBorders>
          </w:tcPr>
          <w:p w:rsidR="00E44282" w:rsidRPr="007E48B7" w:rsidRDefault="00E44282" w:rsidP="0022021F">
            <w:pPr>
              <w:pStyle w:val="a"/>
              <w:spacing w:before="0" w:beforeAutospacing="0" w:after="0" w:afterAutospacing="0"/>
              <w:rPr>
                <w:lang w:eastAsia="en-US"/>
              </w:rPr>
            </w:pPr>
          </w:p>
        </w:tc>
      </w:tr>
      <w:tr w:rsidR="0022021F"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22021F" w:rsidRPr="007E48B7" w:rsidRDefault="0022021F" w:rsidP="0022021F">
            <w:pPr>
              <w:pStyle w:val="a"/>
              <w:spacing w:before="0" w:beforeAutospacing="0" w:after="0" w:afterAutospacing="0"/>
            </w:pPr>
            <w:r w:rsidRPr="007E48B7">
              <w:lastRenderedPageBreak/>
              <w:t xml:space="preserve">Regulas Nr.1305/2013 </w:t>
            </w:r>
            <w:proofErr w:type="gramStart"/>
            <w:r>
              <w:t>45.panta</w:t>
            </w:r>
            <w:proofErr w:type="gramEnd"/>
            <w:r>
              <w:t xml:space="preserve"> 3</w:t>
            </w:r>
            <w:r w:rsidRPr="007E48B7">
              <w:t>.punkts</w:t>
            </w:r>
          </w:p>
        </w:tc>
        <w:tc>
          <w:tcPr>
            <w:tcW w:w="2281" w:type="dxa"/>
            <w:tcBorders>
              <w:top w:val="outset" w:sz="6" w:space="0" w:color="auto"/>
              <w:left w:val="outset" w:sz="6" w:space="0" w:color="auto"/>
              <w:bottom w:val="outset" w:sz="6" w:space="0" w:color="auto"/>
              <w:right w:val="outset" w:sz="6" w:space="0" w:color="auto"/>
            </w:tcBorders>
          </w:tcPr>
          <w:p w:rsidR="0022021F" w:rsidRPr="007E48B7" w:rsidRDefault="0022021F" w:rsidP="00563EF6">
            <w:pPr>
              <w:pStyle w:val="a"/>
              <w:spacing w:before="0" w:beforeAutospacing="0" w:after="0" w:afterAutospacing="0"/>
              <w:rPr>
                <w:lang w:eastAsia="en-US"/>
              </w:rPr>
            </w:pPr>
            <w:r>
              <w:rPr>
                <w:lang w:eastAsia="en-US"/>
              </w:rPr>
              <w:t>1</w:t>
            </w:r>
            <w:r w:rsidR="00563EF6">
              <w:rPr>
                <w:lang w:eastAsia="en-US"/>
              </w:rPr>
              <w:t>4</w:t>
            </w:r>
            <w:r>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22021F" w:rsidRPr="007E48B7" w:rsidRDefault="0022021F" w:rsidP="0022021F">
            <w:pPr>
              <w:pStyle w:val="a"/>
              <w:spacing w:before="0" w:beforeAutospacing="0" w:after="0" w:afterAutospacing="0"/>
              <w:rPr>
                <w:lang w:eastAsia="en-US"/>
              </w:rPr>
            </w:pPr>
            <w:r w:rsidRPr="007E48B7">
              <w:rPr>
                <w:lang w:eastAsia="en-US"/>
              </w:rPr>
              <w:t>Ieviests pilnībā.</w:t>
            </w:r>
          </w:p>
        </w:tc>
        <w:tc>
          <w:tcPr>
            <w:tcW w:w="3032" w:type="dxa"/>
            <w:tcBorders>
              <w:top w:val="outset" w:sz="6" w:space="0" w:color="auto"/>
              <w:left w:val="outset" w:sz="6" w:space="0" w:color="auto"/>
              <w:bottom w:val="outset" w:sz="6" w:space="0" w:color="auto"/>
              <w:right w:val="outset" w:sz="6" w:space="0" w:color="auto"/>
            </w:tcBorders>
          </w:tcPr>
          <w:p w:rsidR="0022021F" w:rsidRPr="007E48B7" w:rsidRDefault="0022021F" w:rsidP="0022021F">
            <w:pPr>
              <w:pStyle w:val="a"/>
              <w:spacing w:before="0" w:beforeAutospacing="0" w:after="0" w:afterAutospacing="0"/>
              <w:rPr>
                <w:lang w:eastAsia="en-US"/>
              </w:rPr>
            </w:pPr>
            <w:r w:rsidRPr="007E48B7">
              <w:rPr>
                <w:lang w:eastAsia="en-US"/>
              </w:rPr>
              <w:t>Neparedz stingrākas prasības kā ES tiesību normas.</w:t>
            </w:r>
          </w:p>
        </w:tc>
      </w:tr>
      <w:tr w:rsidR="004211C1"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04D98">
            <w:proofErr w:type="gramStart"/>
            <w:r w:rsidRPr="007E48B7">
              <w:t>Kā ir izmantota ES tiesību aktā paredzētā rīcības brīvība dalībvalstij pārņemt vai ieviest</w:t>
            </w:r>
            <w:proofErr w:type="gramEnd"/>
            <w:r w:rsidRPr="007E48B7">
              <w:t xml:space="preserve"> noteiktas ES tiesību akta normas?</w:t>
            </w:r>
          </w:p>
          <w:p w:rsidR="004211C1" w:rsidRPr="007E48B7" w:rsidRDefault="004211C1" w:rsidP="00404D98">
            <w:r w:rsidRPr="007E48B7">
              <w:t>Kādēļ?</w:t>
            </w:r>
          </w:p>
        </w:tc>
        <w:tc>
          <w:tcPr>
            <w:tcW w:w="7410" w:type="dxa"/>
            <w:gridSpan w:val="4"/>
            <w:tcBorders>
              <w:top w:val="outset" w:sz="6" w:space="0" w:color="auto"/>
              <w:left w:val="outset" w:sz="6" w:space="0" w:color="auto"/>
              <w:bottom w:val="outset" w:sz="6" w:space="0" w:color="auto"/>
              <w:right w:val="outset" w:sz="6" w:space="0" w:color="auto"/>
            </w:tcBorders>
          </w:tcPr>
          <w:p w:rsidR="004211C1" w:rsidRPr="007E48B7" w:rsidRDefault="004211C1" w:rsidP="00CB0C0B">
            <w:pPr>
              <w:jc w:val="both"/>
            </w:pPr>
            <w:r w:rsidRPr="007E48B7">
              <w:t>Regula Nr.1305/2013 dalībvalstīm nosaka rīcības brīvību, ieviešot regulu, tomēr izvēlētajiem nosacījumiem ir jābūt aprakstītiem LAP (2014</w:t>
            </w:r>
            <w:r w:rsidR="00CB0C0B" w:rsidRPr="007E48B7">
              <w:t>–</w:t>
            </w:r>
            <w:r w:rsidRPr="007E48B7">
              <w:t xml:space="preserve">2020) un </w:t>
            </w:r>
            <w:r w:rsidR="00CB0C0B" w:rsidRPr="007E48B7">
              <w:t xml:space="preserve">pamatotiem ar </w:t>
            </w:r>
            <w:r w:rsidRPr="007E48B7">
              <w:t>visaptveroš</w:t>
            </w:r>
            <w:r w:rsidR="00CB0C0B" w:rsidRPr="007E48B7">
              <w:t>u</w:t>
            </w:r>
            <w:r w:rsidRPr="007E48B7">
              <w:t xml:space="preserve"> SVID analīz</w:t>
            </w:r>
            <w:r w:rsidR="00CB0C0B" w:rsidRPr="007E48B7">
              <w:t>i</w:t>
            </w:r>
            <w:r w:rsidRPr="007E48B7">
              <w:t>.</w:t>
            </w:r>
          </w:p>
        </w:tc>
      </w:tr>
      <w:tr w:rsidR="004211C1"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04D98">
            <w:r w:rsidRPr="007E48B7">
              <w:t>Saistības sniegt paziņojumu ES institūcijām un ES dalībvalstīm atbilstoši normatīvajiem aktiem, kas regulē informācijas sniegšanu par tehnisko noteikumu, valsts atbalsta piešķir</w:t>
            </w:r>
            <w:r w:rsidRPr="007E48B7">
              <w:softHyphen/>
              <w:t>šanas un finanšu noteikumu (attiecībā uz monetāro politiku) projektiem</w:t>
            </w:r>
          </w:p>
        </w:tc>
        <w:tc>
          <w:tcPr>
            <w:tcW w:w="7410" w:type="dxa"/>
            <w:gridSpan w:val="4"/>
            <w:tcBorders>
              <w:top w:val="outset" w:sz="6" w:space="0" w:color="auto"/>
              <w:left w:val="outset" w:sz="6" w:space="0" w:color="auto"/>
              <w:bottom w:val="outset" w:sz="6" w:space="0" w:color="auto"/>
              <w:right w:val="outset" w:sz="6" w:space="0" w:color="auto"/>
            </w:tcBorders>
          </w:tcPr>
          <w:p w:rsidR="004211C1" w:rsidRPr="007E48B7" w:rsidRDefault="007D678A" w:rsidP="004211C1">
            <w:pPr>
              <w:jc w:val="both"/>
            </w:pPr>
            <w:r w:rsidRPr="007E48B7">
              <w:t>Projekts šo jomu neskar</w:t>
            </w:r>
            <w:r w:rsidR="00CB0C0B" w:rsidRPr="007E48B7">
              <w:t>.</w:t>
            </w:r>
          </w:p>
        </w:tc>
      </w:tr>
      <w:tr w:rsidR="004211C1" w:rsidRPr="007E48B7" w:rsidTr="002D32DA">
        <w:trPr>
          <w:jc w:val="center"/>
        </w:trPr>
        <w:tc>
          <w:tcPr>
            <w:tcW w:w="2080"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Cita informācija</w:t>
            </w:r>
          </w:p>
        </w:tc>
        <w:tc>
          <w:tcPr>
            <w:tcW w:w="7410" w:type="dxa"/>
            <w:gridSpan w:val="4"/>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Nav.</w:t>
            </w:r>
          </w:p>
        </w:tc>
      </w:tr>
      <w:tr w:rsidR="004211C1" w:rsidRPr="007E48B7" w:rsidTr="002D32DA">
        <w:trPr>
          <w:jc w:val="center"/>
        </w:trPr>
        <w:tc>
          <w:tcPr>
            <w:tcW w:w="9490" w:type="dxa"/>
            <w:gridSpan w:val="6"/>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rPr>
                <w:b/>
              </w:rPr>
            </w:pPr>
            <w:r w:rsidRPr="007E48B7">
              <w:rPr>
                <w:b/>
              </w:rPr>
              <w:t>2.tabula</w:t>
            </w:r>
          </w:p>
          <w:p w:rsidR="004211C1" w:rsidRPr="007E48B7" w:rsidRDefault="004211C1" w:rsidP="004211C1">
            <w:pPr>
              <w:jc w:val="both"/>
              <w:rPr>
                <w:b/>
              </w:rPr>
            </w:pPr>
            <w:r w:rsidRPr="007E48B7">
              <w:rPr>
                <w:b/>
              </w:rPr>
              <w:t>Ar tiesību akta projektu izpildītās vai uzņemtās saistības, kas izriet no starptautiskajiem tiesību aktiem vai starptautiskas institūcijas vai organizācijas dokumentiem.</w:t>
            </w:r>
          </w:p>
          <w:p w:rsidR="004211C1" w:rsidRPr="007E48B7" w:rsidRDefault="004211C1" w:rsidP="004211C1">
            <w:pPr>
              <w:jc w:val="both"/>
              <w:rPr>
                <w:b/>
              </w:rPr>
            </w:pPr>
            <w:r w:rsidRPr="007E48B7">
              <w:rPr>
                <w:b/>
              </w:rPr>
              <w:t>Pasākumi šo saistību izpildei</w:t>
            </w:r>
          </w:p>
        </w:tc>
      </w:tr>
      <w:tr w:rsidR="004211C1" w:rsidRPr="007E48B7" w:rsidTr="002D32DA">
        <w:trPr>
          <w:jc w:val="center"/>
        </w:trPr>
        <w:tc>
          <w:tcPr>
            <w:tcW w:w="1883" w:type="dxa"/>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04D98">
            <w:r w:rsidRPr="007E48B7">
              <w:t>Attiecīgā starptautiskā tiesību akta vai starptautiskas institūcijas vai organizācijas dokumenta (turpmāk – starptautiskais dokuments) datums, numurs un nosaukums</w:t>
            </w:r>
          </w:p>
        </w:tc>
        <w:tc>
          <w:tcPr>
            <w:tcW w:w="7607" w:type="dxa"/>
            <w:gridSpan w:val="5"/>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Projekts šo jomu neskar.</w:t>
            </w:r>
          </w:p>
        </w:tc>
      </w:tr>
      <w:tr w:rsidR="004211C1" w:rsidRPr="007E48B7" w:rsidTr="002D32DA">
        <w:trPr>
          <w:jc w:val="center"/>
        </w:trPr>
        <w:tc>
          <w:tcPr>
            <w:tcW w:w="1883" w:type="dxa"/>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A</w:t>
            </w:r>
          </w:p>
        </w:tc>
        <w:tc>
          <w:tcPr>
            <w:tcW w:w="2715" w:type="dxa"/>
            <w:gridSpan w:val="3"/>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B</w:t>
            </w:r>
          </w:p>
        </w:tc>
        <w:tc>
          <w:tcPr>
            <w:tcW w:w="4892" w:type="dxa"/>
            <w:gridSpan w:val="2"/>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C</w:t>
            </w:r>
          </w:p>
        </w:tc>
      </w:tr>
      <w:tr w:rsidR="004211C1" w:rsidRPr="007E48B7" w:rsidTr="002D32DA">
        <w:trPr>
          <w:jc w:val="center"/>
        </w:trPr>
        <w:tc>
          <w:tcPr>
            <w:tcW w:w="1883"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lastRenderedPageBreak/>
              <w:t>Starptautiskās saistības (pēc būtības), kas izriet no norādītā starptautis</w:t>
            </w:r>
            <w:r w:rsidRPr="007E48B7">
              <w:softHyphen/>
              <w:t>kā dokumenta.</w:t>
            </w:r>
          </w:p>
          <w:p w:rsidR="004211C1" w:rsidRPr="007E48B7" w:rsidRDefault="004211C1" w:rsidP="004211C1">
            <w:pPr>
              <w:jc w:val="both"/>
            </w:pPr>
            <w:r w:rsidRPr="007E48B7">
              <w:t>Konkrēti veicamie pasākumi vai uzdevumi, kas nepieciešami šo starptautisko saistību izpildei</w:t>
            </w:r>
          </w:p>
        </w:tc>
        <w:tc>
          <w:tcPr>
            <w:tcW w:w="2715" w:type="dxa"/>
            <w:gridSpan w:val="3"/>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892"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Informācija par to, vai starptautiskās saistības, kas minētas šīs tabulas A ailē, tiek izpildītas pilnībā vai daļēji.</w:t>
            </w:r>
          </w:p>
          <w:p w:rsidR="004211C1" w:rsidRPr="007E48B7" w:rsidRDefault="004211C1" w:rsidP="004211C1">
            <w:pPr>
              <w:jc w:val="both"/>
            </w:pPr>
            <w:r w:rsidRPr="007E48B7">
              <w:t>Ja attiecīgās starptautiskās saistības tiek izpildītas daļēji, sniedz skaidrojumu, kā arī precīzi norāda, kad un kādā veidā starptautiskās saistības tiks izpildītas pilnībā.</w:t>
            </w:r>
          </w:p>
          <w:p w:rsidR="004211C1" w:rsidRPr="007E48B7" w:rsidRDefault="004211C1" w:rsidP="004211C1">
            <w:pPr>
              <w:jc w:val="both"/>
            </w:pPr>
            <w:r w:rsidRPr="007E48B7">
              <w:t>Norāda institūciju, kas ir atbildīga par šo saistību izpildi pilnībā</w:t>
            </w:r>
          </w:p>
        </w:tc>
      </w:tr>
      <w:tr w:rsidR="004211C1" w:rsidRPr="007E48B7" w:rsidTr="002D32DA">
        <w:trPr>
          <w:jc w:val="center"/>
        </w:trPr>
        <w:tc>
          <w:tcPr>
            <w:tcW w:w="1883"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Iekļauj informāciju atbilstoši instrukcijas 58.1.apakšpunktā noteiktajam</w:t>
            </w:r>
          </w:p>
        </w:tc>
        <w:tc>
          <w:tcPr>
            <w:tcW w:w="2715" w:type="dxa"/>
            <w:gridSpan w:val="3"/>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Projekts šo jomu neskar.</w:t>
            </w:r>
          </w:p>
        </w:tc>
        <w:tc>
          <w:tcPr>
            <w:tcW w:w="4892"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Projekts šo jomu neskar.</w:t>
            </w:r>
          </w:p>
        </w:tc>
      </w:tr>
      <w:tr w:rsidR="004211C1" w:rsidRPr="007E48B7" w:rsidTr="002D32DA">
        <w:trPr>
          <w:jc w:val="center"/>
        </w:trPr>
        <w:tc>
          <w:tcPr>
            <w:tcW w:w="1883"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Vai starptautiskajā dokumentā paredzētās saistības nav pretrunā ar jau esošajām Latvijas Republikas starptautis</w:t>
            </w:r>
            <w:r w:rsidRPr="007E48B7">
              <w:softHyphen/>
              <w:t>kajām saistībām</w:t>
            </w:r>
          </w:p>
        </w:tc>
        <w:tc>
          <w:tcPr>
            <w:tcW w:w="7607" w:type="dxa"/>
            <w:gridSpan w:val="5"/>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Projekts šo jomu neskar.</w:t>
            </w:r>
          </w:p>
        </w:tc>
      </w:tr>
      <w:tr w:rsidR="004211C1" w:rsidRPr="007E48B7" w:rsidTr="002D32DA">
        <w:trPr>
          <w:jc w:val="center"/>
        </w:trPr>
        <w:tc>
          <w:tcPr>
            <w:tcW w:w="1883"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Cita informācija</w:t>
            </w:r>
          </w:p>
        </w:tc>
        <w:tc>
          <w:tcPr>
            <w:tcW w:w="7607" w:type="dxa"/>
            <w:gridSpan w:val="5"/>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Nav.</w:t>
            </w:r>
          </w:p>
        </w:tc>
      </w:tr>
    </w:tbl>
    <w:p w:rsidR="003D26EE" w:rsidRPr="007E48B7" w:rsidRDefault="003D26EE"/>
    <w:p w:rsidR="001752A8" w:rsidRPr="007E48B7" w:rsidRDefault="001752A8"/>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6"/>
        <w:gridCol w:w="4402"/>
        <w:gridCol w:w="4670"/>
      </w:tblGrid>
      <w:tr w:rsidR="008B61B7" w:rsidRPr="007E48B7" w:rsidTr="001752A8">
        <w:tc>
          <w:tcPr>
            <w:tcW w:w="9498" w:type="dxa"/>
            <w:gridSpan w:val="3"/>
          </w:tcPr>
          <w:p w:rsidR="00E067BC" w:rsidRPr="007E48B7" w:rsidRDefault="00E067BC" w:rsidP="00DF05CF">
            <w:pPr>
              <w:snapToGrid w:val="0"/>
              <w:ind w:firstLine="254"/>
              <w:jc w:val="center"/>
              <w:rPr>
                <w:b/>
                <w:bCs/>
              </w:rPr>
            </w:pPr>
            <w:r w:rsidRPr="007E48B7">
              <w:rPr>
                <w:b/>
                <w:bCs/>
              </w:rPr>
              <w:t xml:space="preserve">VI. Sabiedrības līdzdalība un </w:t>
            </w:r>
            <w:r w:rsidR="00EF54E7" w:rsidRPr="007E48B7">
              <w:rPr>
                <w:b/>
                <w:bCs/>
              </w:rPr>
              <w:t>komunikācijas aktivitātes</w:t>
            </w:r>
          </w:p>
        </w:tc>
      </w:tr>
      <w:tr w:rsidR="008B61B7" w:rsidRPr="007E48B7" w:rsidTr="001752A8">
        <w:tc>
          <w:tcPr>
            <w:tcW w:w="426" w:type="dxa"/>
          </w:tcPr>
          <w:p w:rsidR="00E067BC" w:rsidRPr="007E48B7" w:rsidRDefault="00E067BC" w:rsidP="00B82461">
            <w:pPr>
              <w:snapToGrid w:val="0"/>
            </w:pPr>
            <w:r w:rsidRPr="007E48B7">
              <w:t>1.</w:t>
            </w:r>
          </w:p>
        </w:tc>
        <w:tc>
          <w:tcPr>
            <w:tcW w:w="4402" w:type="dxa"/>
          </w:tcPr>
          <w:p w:rsidR="006132C0" w:rsidRPr="007E48B7" w:rsidRDefault="006132C0" w:rsidP="00B82461">
            <w:pPr>
              <w:snapToGrid w:val="0"/>
              <w:rPr>
                <w:strike/>
              </w:rPr>
            </w:pPr>
            <w:r w:rsidRPr="007E48B7">
              <w:t>Plānotās sabiedrības līdzdalības un komunikācijas aktivitātes saistībā ar projektu</w:t>
            </w:r>
          </w:p>
        </w:tc>
        <w:tc>
          <w:tcPr>
            <w:tcW w:w="4670" w:type="dxa"/>
          </w:tcPr>
          <w:p w:rsidR="00E067BC" w:rsidRPr="007E48B7" w:rsidRDefault="00DA2A23" w:rsidP="007B4440">
            <w:pPr>
              <w:jc w:val="both"/>
            </w:pPr>
            <w:r w:rsidRPr="007E48B7">
              <w:t xml:space="preserve">Par </w:t>
            </w:r>
            <w:r w:rsidR="00623035" w:rsidRPr="007E48B7">
              <w:t xml:space="preserve">noteikumu </w:t>
            </w:r>
            <w:r w:rsidRPr="007E48B7">
              <w:t xml:space="preserve">projekta izstrādes uzsākšanu </w:t>
            </w:r>
            <w:r w:rsidR="00623035" w:rsidRPr="007E48B7">
              <w:t>ir informēta</w:t>
            </w:r>
            <w:r w:rsidRPr="007E48B7">
              <w:t xml:space="preserve"> </w:t>
            </w:r>
            <w:r w:rsidR="00623035" w:rsidRPr="007E48B7">
              <w:t>Lauksaimnieku organizāciju sadarbības padome</w:t>
            </w:r>
            <w:r w:rsidR="00DB5058">
              <w:t xml:space="preserve"> un</w:t>
            </w:r>
            <w:r w:rsidR="00623035" w:rsidRPr="007E48B7">
              <w:t xml:space="preserve"> Zemnieku sae</w:t>
            </w:r>
            <w:r w:rsidR="007B4440">
              <w:t>ima.</w:t>
            </w:r>
          </w:p>
        </w:tc>
      </w:tr>
      <w:tr w:rsidR="008B61B7" w:rsidRPr="007E48B7" w:rsidTr="001752A8">
        <w:tc>
          <w:tcPr>
            <w:tcW w:w="426" w:type="dxa"/>
          </w:tcPr>
          <w:p w:rsidR="00E067BC" w:rsidRPr="007E48B7" w:rsidRDefault="00E067BC" w:rsidP="00B82461">
            <w:pPr>
              <w:snapToGrid w:val="0"/>
            </w:pPr>
            <w:r w:rsidRPr="007E48B7">
              <w:t>2.</w:t>
            </w:r>
          </w:p>
        </w:tc>
        <w:tc>
          <w:tcPr>
            <w:tcW w:w="4402" w:type="dxa"/>
          </w:tcPr>
          <w:p w:rsidR="00E067BC" w:rsidRPr="007E48B7" w:rsidRDefault="00E067BC" w:rsidP="00B82461">
            <w:pPr>
              <w:snapToGrid w:val="0"/>
            </w:pPr>
            <w:r w:rsidRPr="007E48B7">
              <w:t>Sabiedrības līdzdalība projekta izstrādē</w:t>
            </w:r>
          </w:p>
        </w:tc>
        <w:tc>
          <w:tcPr>
            <w:tcW w:w="4670" w:type="dxa"/>
          </w:tcPr>
          <w:p w:rsidR="00623035" w:rsidRPr="007E48B7" w:rsidRDefault="00623035" w:rsidP="00623035">
            <w:pPr>
              <w:jc w:val="both"/>
            </w:pPr>
            <w:r w:rsidRPr="007E48B7">
              <w:t>Noteikumu projekta izstrādes gaitā konsultācijas notikušas ar Lauksaimnieku organizāciju sadarbības padomi</w:t>
            </w:r>
            <w:r w:rsidR="00DB5058">
              <w:t xml:space="preserve"> un</w:t>
            </w:r>
            <w:r w:rsidRPr="007E48B7">
              <w:t xml:space="preserve"> Zemnieku saeimu. </w:t>
            </w:r>
            <w:r w:rsidRPr="007E48B7">
              <w:rPr>
                <w:bCs/>
              </w:rPr>
              <w:t xml:space="preserve">Lauksaimniecības un lauku attīstības likuma </w:t>
            </w:r>
            <w:proofErr w:type="gramStart"/>
            <w:r w:rsidRPr="007E48B7">
              <w:rPr>
                <w:bCs/>
              </w:rPr>
              <w:t>12.panta</w:t>
            </w:r>
            <w:proofErr w:type="gramEnd"/>
            <w:r w:rsidRPr="007E48B7">
              <w:rPr>
                <w:bCs/>
              </w:rPr>
              <w:t xml:space="preserve"> </w:t>
            </w:r>
            <w:r w:rsidR="00135087" w:rsidRPr="007E48B7">
              <w:rPr>
                <w:bCs/>
              </w:rPr>
              <w:t>pirmā daļa</w:t>
            </w:r>
            <w:r w:rsidRPr="007E48B7">
              <w:rPr>
                <w:bCs/>
              </w:rPr>
              <w:t xml:space="preserve"> nosaka, ka „</w:t>
            </w:r>
            <w:r w:rsidRPr="007E48B7">
              <w:t>Zemkopības ministrija, izstrādājot un īstenojot lauksaimniecības un lauku attīstības politiku, konsultējas ar Lauksaimniecības organizāciju sadarbības padomi”. Minētajās organizācijās ietilpst lielākā daļa nelielo lauksaimnieku un zivsaimnieku biedrību un nodibinājumu, kas pārstāv visu lauksaimniecības nozaru un zivsaimniecības intereses.</w:t>
            </w:r>
          </w:p>
          <w:p w:rsidR="00663D9E" w:rsidRPr="007E48B7" w:rsidRDefault="00663D9E" w:rsidP="007B4440">
            <w:pPr>
              <w:snapToGrid w:val="0"/>
              <w:jc w:val="both"/>
            </w:pPr>
            <w:r w:rsidRPr="007E48B7">
              <w:lastRenderedPageBreak/>
              <w:t xml:space="preserve">Projekts ir publiski pieejams </w:t>
            </w:r>
            <w:r w:rsidR="007B4440">
              <w:t xml:space="preserve">Zemkopības ministrijas un </w:t>
            </w:r>
            <w:r w:rsidRPr="007E48B7">
              <w:t>Ministru kabineta tīmekļa vietnē, tā</w:t>
            </w:r>
            <w:r w:rsidR="004C41BA" w:rsidRPr="007E48B7">
              <w:t>pēc</w:t>
            </w:r>
            <w:r w:rsidRPr="007E48B7">
              <w:t xml:space="preserve"> </w:t>
            </w:r>
            <w:r w:rsidR="00CB0C0B" w:rsidRPr="007E48B7">
              <w:t xml:space="preserve">tā </w:t>
            </w:r>
            <w:r w:rsidRPr="007E48B7">
              <w:t xml:space="preserve">izstrādes </w:t>
            </w:r>
            <w:r w:rsidR="00CB0C0B" w:rsidRPr="007E48B7">
              <w:t>laikā</w:t>
            </w:r>
            <w:r w:rsidRPr="007E48B7">
              <w:t xml:space="preserve"> ir nodrošināta sabiedrības līdzdalība.</w:t>
            </w:r>
          </w:p>
        </w:tc>
      </w:tr>
      <w:tr w:rsidR="008B61B7" w:rsidRPr="007E48B7" w:rsidTr="001752A8">
        <w:tc>
          <w:tcPr>
            <w:tcW w:w="426" w:type="dxa"/>
          </w:tcPr>
          <w:p w:rsidR="00E067BC" w:rsidRPr="007E48B7" w:rsidRDefault="00E067BC" w:rsidP="00B82461">
            <w:pPr>
              <w:snapToGrid w:val="0"/>
            </w:pPr>
            <w:r w:rsidRPr="007E48B7">
              <w:lastRenderedPageBreak/>
              <w:t>3.</w:t>
            </w:r>
          </w:p>
        </w:tc>
        <w:tc>
          <w:tcPr>
            <w:tcW w:w="4402" w:type="dxa"/>
          </w:tcPr>
          <w:p w:rsidR="00E067BC" w:rsidRPr="007E48B7" w:rsidRDefault="00E067BC" w:rsidP="00B82461">
            <w:pPr>
              <w:snapToGrid w:val="0"/>
              <w:spacing w:after="280"/>
            </w:pPr>
            <w:r w:rsidRPr="007E48B7">
              <w:t>Sabiedrības līdzdalības rezultāti</w:t>
            </w:r>
          </w:p>
        </w:tc>
        <w:tc>
          <w:tcPr>
            <w:tcW w:w="4670" w:type="dxa"/>
          </w:tcPr>
          <w:p w:rsidR="00D82FC8" w:rsidRPr="007E48B7" w:rsidRDefault="00623035" w:rsidP="007B4440">
            <w:pPr>
              <w:snapToGrid w:val="0"/>
              <w:jc w:val="both"/>
            </w:pPr>
            <w:r w:rsidRPr="007E48B7">
              <w:t>Nevalstiskās organizācijas piedalījās Latvijas lauku attīstības programmas 2014.–</w:t>
            </w:r>
            <w:proofErr w:type="gramStart"/>
            <w:r w:rsidRPr="007E48B7">
              <w:t>2020.gadam</w:t>
            </w:r>
            <w:proofErr w:type="gramEnd"/>
            <w:r w:rsidRPr="007E48B7">
              <w:t xml:space="preserve"> Pagaidu Uzraudzības komitejas sanāksmēs, kurās tika diskutēts par </w:t>
            </w:r>
            <w:r w:rsidR="00CB0C0B" w:rsidRPr="007E48B7">
              <w:t xml:space="preserve">LAP (2014–2020) </w:t>
            </w:r>
            <w:r w:rsidRPr="007E48B7">
              <w:t xml:space="preserve"> plānošanas perioda nosacījumiem. Biedrības un nodibinājumi atbalstīja noteikumu projekta turpmāko virzību</w:t>
            </w:r>
            <w:r w:rsidR="007B4440">
              <w:t>.</w:t>
            </w:r>
            <w:r w:rsidRPr="007E48B7">
              <w:t xml:space="preserve"> </w:t>
            </w:r>
          </w:p>
        </w:tc>
      </w:tr>
      <w:tr w:rsidR="008B61B7" w:rsidRPr="007E48B7" w:rsidTr="001752A8">
        <w:trPr>
          <w:trHeight w:val="292"/>
        </w:trPr>
        <w:tc>
          <w:tcPr>
            <w:tcW w:w="426" w:type="dxa"/>
          </w:tcPr>
          <w:p w:rsidR="00E067BC" w:rsidRPr="007E48B7" w:rsidRDefault="00E067BC" w:rsidP="00B82461">
            <w:pPr>
              <w:snapToGrid w:val="0"/>
            </w:pPr>
            <w:r w:rsidRPr="007E48B7">
              <w:t>4.</w:t>
            </w:r>
          </w:p>
        </w:tc>
        <w:tc>
          <w:tcPr>
            <w:tcW w:w="4402" w:type="dxa"/>
          </w:tcPr>
          <w:p w:rsidR="00E067BC" w:rsidRPr="007E48B7" w:rsidRDefault="006132C0" w:rsidP="006038D8">
            <w:r w:rsidRPr="007E48B7">
              <w:t>Cita informācija</w:t>
            </w:r>
          </w:p>
        </w:tc>
        <w:tc>
          <w:tcPr>
            <w:tcW w:w="4670" w:type="dxa"/>
          </w:tcPr>
          <w:p w:rsidR="00E067BC" w:rsidRPr="007E48B7" w:rsidRDefault="006132C0" w:rsidP="00606FEB">
            <w:pPr>
              <w:snapToGrid w:val="0"/>
            </w:pPr>
            <w:r w:rsidRPr="007E48B7">
              <w:t>Nav.</w:t>
            </w:r>
          </w:p>
        </w:tc>
      </w:tr>
    </w:tbl>
    <w:p w:rsidR="003B155C" w:rsidRPr="007E48B7" w:rsidRDefault="003B155C" w:rsidP="00FD3BC1"/>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6"/>
        <w:gridCol w:w="4402"/>
        <w:gridCol w:w="4670"/>
      </w:tblGrid>
      <w:tr w:rsidR="008B61B7" w:rsidRPr="007E48B7" w:rsidTr="001752A8">
        <w:tc>
          <w:tcPr>
            <w:tcW w:w="9498" w:type="dxa"/>
            <w:gridSpan w:val="3"/>
          </w:tcPr>
          <w:p w:rsidR="00663D9E" w:rsidRPr="007E48B7" w:rsidRDefault="00663D9E" w:rsidP="00326687">
            <w:pPr>
              <w:snapToGrid w:val="0"/>
              <w:ind w:left="222"/>
              <w:jc w:val="center"/>
              <w:rPr>
                <w:b/>
              </w:rPr>
            </w:pPr>
            <w:r w:rsidRPr="007E48B7">
              <w:rPr>
                <w:b/>
                <w:bCs/>
              </w:rPr>
              <w:t>VII. Tiesību akta projekta izpildes nodrošināšana un tās ietekme uz institūcijām</w:t>
            </w:r>
          </w:p>
        </w:tc>
      </w:tr>
      <w:tr w:rsidR="008B61B7" w:rsidRPr="007E48B7" w:rsidTr="001752A8">
        <w:tc>
          <w:tcPr>
            <w:tcW w:w="426" w:type="dxa"/>
          </w:tcPr>
          <w:p w:rsidR="00663D9E" w:rsidRPr="007E48B7" w:rsidRDefault="00663D9E" w:rsidP="00326687">
            <w:pPr>
              <w:snapToGrid w:val="0"/>
            </w:pPr>
            <w:r w:rsidRPr="007E48B7">
              <w:t>1.</w:t>
            </w:r>
          </w:p>
        </w:tc>
        <w:tc>
          <w:tcPr>
            <w:tcW w:w="4402" w:type="dxa"/>
          </w:tcPr>
          <w:p w:rsidR="00663D9E" w:rsidRPr="007E48B7" w:rsidRDefault="00663D9E" w:rsidP="00326687">
            <w:pPr>
              <w:snapToGrid w:val="0"/>
            </w:pPr>
            <w:r w:rsidRPr="007E48B7">
              <w:t>Projekta izpildē iesaistītās institūcijas</w:t>
            </w:r>
          </w:p>
        </w:tc>
        <w:tc>
          <w:tcPr>
            <w:tcW w:w="4670" w:type="dxa"/>
          </w:tcPr>
          <w:p w:rsidR="00663D9E" w:rsidRPr="007E48B7" w:rsidRDefault="00FF217B" w:rsidP="00256EEF">
            <w:pPr>
              <w:snapToGrid w:val="0"/>
              <w:jc w:val="both"/>
            </w:pPr>
            <w:r w:rsidRPr="007E48B7">
              <w:t>L</w:t>
            </w:r>
            <w:r w:rsidR="007B4440">
              <w:t>auku atbalsta dienests.</w:t>
            </w:r>
            <w:r w:rsidRPr="007E48B7">
              <w:t xml:space="preserve"> </w:t>
            </w:r>
            <w:r w:rsidR="007B4440">
              <w:rPr>
                <w:color w:val="000000"/>
                <w:lang w:eastAsia="lv-LV"/>
              </w:rPr>
              <w:t>Pārtikas un veterinār</w:t>
            </w:r>
            <w:r w:rsidR="00DB5058">
              <w:rPr>
                <w:color w:val="000000"/>
                <w:lang w:eastAsia="lv-LV"/>
              </w:rPr>
              <w:t>ais</w:t>
            </w:r>
            <w:r w:rsidR="007B4440">
              <w:rPr>
                <w:color w:val="000000"/>
                <w:lang w:eastAsia="lv-LV"/>
              </w:rPr>
              <w:t xml:space="preserve"> dienests, </w:t>
            </w:r>
            <w:r w:rsidR="007B4440" w:rsidRPr="007145AE">
              <w:rPr>
                <w:color w:val="000000"/>
                <w:lang w:eastAsia="lv-LV"/>
              </w:rPr>
              <w:t>Va</w:t>
            </w:r>
            <w:r w:rsidR="007B4440">
              <w:rPr>
                <w:color w:val="000000"/>
                <w:lang w:eastAsia="lv-LV"/>
              </w:rPr>
              <w:t>lsts augu aizsardzības dienests</w:t>
            </w:r>
            <w:r w:rsidR="00DB5058">
              <w:rPr>
                <w:color w:val="000000"/>
                <w:lang w:eastAsia="lv-LV"/>
              </w:rPr>
              <w:t xml:space="preserve"> un</w:t>
            </w:r>
            <w:r w:rsidR="00256EEF" w:rsidRPr="002555D0">
              <w:rPr>
                <w:lang w:eastAsia="lv-LV"/>
              </w:rPr>
              <w:t xml:space="preserve"> Latvijas Lauku konsultāciju un izglītības centrs</w:t>
            </w:r>
            <w:r w:rsidR="00256EEF">
              <w:rPr>
                <w:lang w:eastAsia="lv-LV"/>
              </w:rPr>
              <w:t>.</w:t>
            </w:r>
          </w:p>
        </w:tc>
      </w:tr>
      <w:tr w:rsidR="008B61B7" w:rsidRPr="007E48B7" w:rsidTr="001752A8">
        <w:tc>
          <w:tcPr>
            <w:tcW w:w="426" w:type="dxa"/>
          </w:tcPr>
          <w:p w:rsidR="00663D9E" w:rsidRPr="007E48B7" w:rsidRDefault="00663D9E" w:rsidP="00326687">
            <w:pPr>
              <w:snapToGrid w:val="0"/>
            </w:pPr>
            <w:r w:rsidRPr="007E48B7">
              <w:t>2.</w:t>
            </w:r>
          </w:p>
        </w:tc>
        <w:tc>
          <w:tcPr>
            <w:tcW w:w="4402" w:type="dxa"/>
          </w:tcPr>
          <w:p w:rsidR="00EF54E7" w:rsidRPr="007E48B7" w:rsidRDefault="00EF54E7" w:rsidP="00EF54E7">
            <w:pPr>
              <w:suppressAutoHyphens w:val="0"/>
              <w:rPr>
                <w:kern w:val="0"/>
                <w:lang w:eastAsia="lv-LV"/>
              </w:rPr>
            </w:pPr>
            <w:r w:rsidRPr="007E48B7">
              <w:rPr>
                <w:kern w:val="0"/>
                <w:lang w:eastAsia="lv-LV"/>
              </w:rPr>
              <w:t xml:space="preserve">Projekta izpildes ietekme uz pārvaldes funkcijām un institucionālo struktūru. </w:t>
            </w:r>
          </w:p>
          <w:p w:rsidR="00663D9E" w:rsidRPr="007E48B7" w:rsidRDefault="00EF54E7" w:rsidP="00EF54E7">
            <w:pPr>
              <w:snapToGrid w:val="0"/>
            </w:pPr>
            <w:r w:rsidRPr="007E48B7">
              <w:rPr>
                <w:kern w:val="0"/>
                <w:lang w:eastAsia="lv-LV"/>
              </w:rPr>
              <w:t>Jaunu institūciju izveide, esošu institūciju likvidācija vai reorganizācija, to ietekme uz institūcijas cilvēkresursiem</w:t>
            </w:r>
          </w:p>
        </w:tc>
        <w:tc>
          <w:tcPr>
            <w:tcW w:w="4670" w:type="dxa"/>
          </w:tcPr>
          <w:p w:rsidR="00663D9E" w:rsidRPr="007E48B7" w:rsidRDefault="00DB5058" w:rsidP="00DB5058">
            <w:pPr>
              <w:jc w:val="both"/>
            </w:pPr>
            <w:r>
              <w:t>Noteikumu p</w:t>
            </w:r>
            <w:r w:rsidR="00663D9E" w:rsidRPr="007E48B7">
              <w:t>rojekts</w:t>
            </w:r>
            <w:r w:rsidR="008F5A8E" w:rsidRPr="007E48B7">
              <w:t xml:space="preserve"> </w:t>
            </w:r>
            <w:r w:rsidRPr="007E48B7">
              <w:t xml:space="preserve">nemaina un nepaplašina </w:t>
            </w:r>
            <w:r w:rsidR="008F5A8E" w:rsidRPr="007E48B7">
              <w:t>iesaistīto institūciju funkcijas un uzdevumus</w:t>
            </w:r>
            <w:r w:rsidR="00A9238B" w:rsidRPr="007E48B7">
              <w:t>.</w:t>
            </w:r>
            <w:r w:rsidR="00663D9E" w:rsidRPr="007E48B7">
              <w:t xml:space="preserve"> </w:t>
            </w:r>
          </w:p>
        </w:tc>
      </w:tr>
      <w:tr w:rsidR="008B61B7" w:rsidRPr="007E48B7" w:rsidTr="001752A8">
        <w:tc>
          <w:tcPr>
            <w:tcW w:w="426" w:type="dxa"/>
          </w:tcPr>
          <w:p w:rsidR="00663D9E" w:rsidRPr="007E48B7" w:rsidRDefault="00EF54E7" w:rsidP="00326687">
            <w:pPr>
              <w:snapToGrid w:val="0"/>
            </w:pPr>
            <w:r w:rsidRPr="007E48B7">
              <w:t>3</w:t>
            </w:r>
            <w:r w:rsidR="00663D9E" w:rsidRPr="007E48B7">
              <w:t>.</w:t>
            </w:r>
          </w:p>
        </w:tc>
        <w:tc>
          <w:tcPr>
            <w:tcW w:w="4402" w:type="dxa"/>
          </w:tcPr>
          <w:p w:rsidR="00663D9E" w:rsidRPr="007E48B7" w:rsidRDefault="00663D9E" w:rsidP="00326687">
            <w:pPr>
              <w:snapToGrid w:val="0"/>
            </w:pPr>
            <w:r w:rsidRPr="007E48B7">
              <w:t>Cita informācija</w:t>
            </w:r>
          </w:p>
        </w:tc>
        <w:tc>
          <w:tcPr>
            <w:tcW w:w="4670" w:type="dxa"/>
          </w:tcPr>
          <w:p w:rsidR="00663D9E" w:rsidRPr="007E48B7" w:rsidRDefault="00663D9E" w:rsidP="00326687">
            <w:pPr>
              <w:snapToGrid w:val="0"/>
            </w:pPr>
            <w:r w:rsidRPr="007E48B7">
              <w:t>Nav.</w:t>
            </w:r>
          </w:p>
        </w:tc>
      </w:tr>
    </w:tbl>
    <w:p w:rsidR="00D405A7" w:rsidRPr="00883DB9" w:rsidRDefault="00D405A7" w:rsidP="00D405A7">
      <w:pPr>
        <w:pStyle w:val="Komentrateksts"/>
        <w:rPr>
          <w:rFonts w:ascii="Times New Roman" w:hAnsi="Times New Roman"/>
          <w:i/>
          <w:sz w:val="24"/>
          <w:szCs w:val="24"/>
          <w:lang w:val="fi-FI"/>
        </w:rPr>
      </w:pPr>
      <w:r w:rsidRPr="00883DB9">
        <w:rPr>
          <w:rFonts w:ascii="Times New Roman" w:hAnsi="Times New Roman"/>
          <w:i/>
          <w:sz w:val="24"/>
          <w:szCs w:val="24"/>
          <w:lang w:val="fi-FI"/>
        </w:rPr>
        <w:t xml:space="preserve">Anotācijas IV sadaļa – projekts šo jomu neskar. </w:t>
      </w:r>
    </w:p>
    <w:p w:rsidR="00404D98" w:rsidRDefault="00404D98" w:rsidP="007D678A">
      <w:pPr>
        <w:pStyle w:val="Virsraksts5"/>
        <w:tabs>
          <w:tab w:val="left" w:pos="7200"/>
        </w:tabs>
        <w:spacing w:before="0" w:after="0"/>
        <w:rPr>
          <w:b w:val="0"/>
          <w:i w:val="0"/>
          <w:sz w:val="24"/>
          <w:szCs w:val="24"/>
        </w:rPr>
      </w:pPr>
    </w:p>
    <w:p w:rsidR="00404D98" w:rsidRDefault="00404D98" w:rsidP="007D678A">
      <w:pPr>
        <w:pStyle w:val="Virsraksts5"/>
        <w:tabs>
          <w:tab w:val="left" w:pos="7200"/>
        </w:tabs>
        <w:spacing w:before="0" w:after="0"/>
        <w:rPr>
          <w:b w:val="0"/>
          <w:i w:val="0"/>
          <w:sz w:val="24"/>
          <w:szCs w:val="24"/>
        </w:rPr>
      </w:pPr>
    </w:p>
    <w:p w:rsidR="00781A77" w:rsidRPr="007E48B7" w:rsidRDefault="00BF146C" w:rsidP="007D678A">
      <w:pPr>
        <w:pStyle w:val="Virsraksts5"/>
        <w:tabs>
          <w:tab w:val="left" w:pos="7200"/>
        </w:tabs>
        <w:spacing w:before="0" w:after="0"/>
        <w:rPr>
          <w:b w:val="0"/>
          <w:i w:val="0"/>
          <w:sz w:val="24"/>
          <w:szCs w:val="24"/>
        </w:rPr>
      </w:pPr>
      <w:r w:rsidRPr="007E48B7">
        <w:rPr>
          <w:b w:val="0"/>
          <w:i w:val="0"/>
          <w:sz w:val="24"/>
          <w:szCs w:val="24"/>
        </w:rPr>
        <w:t>Zemkopības</w:t>
      </w:r>
      <w:r w:rsidR="00143622" w:rsidRPr="007E48B7">
        <w:rPr>
          <w:b w:val="0"/>
          <w:i w:val="0"/>
          <w:sz w:val="24"/>
          <w:szCs w:val="24"/>
        </w:rPr>
        <w:t xml:space="preserve"> ministr</w:t>
      </w:r>
      <w:r w:rsidR="00B22D8F" w:rsidRPr="007E48B7">
        <w:rPr>
          <w:b w:val="0"/>
          <w:i w:val="0"/>
          <w:sz w:val="24"/>
          <w:szCs w:val="24"/>
        </w:rPr>
        <w:t>s</w:t>
      </w:r>
      <w:r w:rsidR="00FD3BC1" w:rsidRPr="007E48B7">
        <w:rPr>
          <w:b w:val="0"/>
          <w:i w:val="0"/>
          <w:sz w:val="24"/>
          <w:szCs w:val="24"/>
        </w:rPr>
        <w:tab/>
      </w:r>
      <w:r w:rsidR="00B22D8F" w:rsidRPr="007E48B7">
        <w:rPr>
          <w:b w:val="0"/>
          <w:i w:val="0"/>
          <w:sz w:val="24"/>
          <w:szCs w:val="24"/>
        </w:rPr>
        <w:t xml:space="preserve">J. </w:t>
      </w:r>
      <w:proofErr w:type="spellStart"/>
      <w:r w:rsidR="00B22D8F" w:rsidRPr="007E48B7">
        <w:rPr>
          <w:b w:val="0"/>
          <w:i w:val="0"/>
          <w:sz w:val="24"/>
          <w:szCs w:val="24"/>
        </w:rPr>
        <w:t>Dūklavs</w:t>
      </w:r>
      <w:proofErr w:type="spellEnd"/>
      <w:r w:rsidR="00CF7694" w:rsidRPr="007E48B7">
        <w:rPr>
          <w:b w:val="0"/>
          <w:i w:val="0"/>
          <w:sz w:val="24"/>
          <w:szCs w:val="24"/>
        </w:rPr>
        <w:t xml:space="preserve"> </w:t>
      </w:r>
    </w:p>
    <w:p w:rsidR="00676956" w:rsidRDefault="00676956" w:rsidP="007B4440">
      <w:pPr>
        <w:pStyle w:val="Bezatstarpm"/>
        <w:jc w:val="both"/>
        <w:rPr>
          <w:rFonts w:ascii="Times New Roman" w:hAnsi="Times New Roman"/>
          <w:sz w:val="18"/>
          <w:szCs w:val="18"/>
        </w:rPr>
      </w:pPr>
    </w:p>
    <w:p w:rsidR="00404D98" w:rsidRDefault="00404D98" w:rsidP="007B4440">
      <w:pPr>
        <w:pStyle w:val="Bezatstarpm"/>
        <w:jc w:val="both"/>
        <w:rPr>
          <w:rFonts w:ascii="Times New Roman" w:hAnsi="Times New Roman"/>
          <w:sz w:val="18"/>
          <w:szCs w:val="18"/>
        </w:rPr>
      </w:pPr>
    </w:p>
    <w:p w:rsidR="00404D98" w:rsidRDefault="00404D98" w:rsidP="007B4440">
      <w:pPr>
        <w:pStyle w:val="Bezatstarpm"/>
        <w:jc w:val="both"/>
        <w:rPr>
          <w:rFonts w:ascii="Times New Roman" w:hAnsi="Times New Roman"/>
          <w:sz w:val="18"/>
          <w:szCs w:val="18"/>
        </w:rPr>
      </w:pPr>
    </w:p>
    <w:p w:rsidR="00404D98" w:rsidRDefault="00404D98" w:rsidP="007B4440">
      <w:pPr>
        <w:pStyle w:val="Bezatstarpm"/>
        <w:jc w:val="both"/>
        <w:rPr>
          <w:rFonts w:ascii="Times New Roman" w:hAnsi="Times New Roman"/>
          <w:sz w:val="18"/>
          <w:szCs w:val="18"/>
        </w:rPr>
      </w:pPr>
    </w:p>
    <w:p w:rsidR="00404D98" w:rsidRDefault="00404D98" w:rsidP="007B4440">
      <w:pPr>
        <w:pStyle w:val="Bezatstarpm"/>
        <w:jc w:val="both"/>
        <w:rPr>
          <w:rFonts w:ascii="Times New Roman" w:hAnsi="Times New Roman"/>
          <w:sz w:val="18"/>
          <w:szCs w:val="18"/>
        </w:rPr>
      </w:pPr>
    </w:p>
    <w:p w:rsidR="00404D98" w:rsidRDefault="00404D98" w:rsidP="007B4440">
      <w:pPr>
        <w:pStyle w:val="Bezatstarpm"/>
        <w:jc w:val="both"/>
        <w:rPr>
          <w:rFonts w:ascii="Times New Roman" w:hAnsi="Times New Roman"/>
          <w:sz w:val="18"/>
          <w:szCs w:val="18"/>
        </w:rPr>
      </w:pPr>
    </w:p>
    <w:p w:rsidR="00404D98" w:rsidRDefault="00404D98" w:rsidP="007B4440">
      <w:pPr>
        <w:pStyle w:val="Bezatstarpm"/>
        <w:jc w:val="both"/>
        <w:rPr>
          <w:rFonts w:ascii="Times New Roman" w:hAnsi="Times New Roman"/>
          <w:sz w:val="18"/>
          <w:szCs w:val="18"/>
        </w:rPr>
      </w:pPr>
    </w:p>
    <w:p w:rsidR="00404D98" w:rsidRDefault="00404D98" w:rsidP="007B4440">
      <w:pPr>
        <w:pStyle w:val="Bezatstarpm"/>
        <w:jc w:val="both"/>
        <w:rPr>
          <w:rFonts w:ascii="Times New Roman" w:hAnsi="Times New Roman"/>
          <w:sz w:val="18"/>
          <w:szCs w:val="18"/>
        </w:rPr>
      </w:pPr>
    </w:p>
    <w:p w:rsidR="000A12D0" w:rsidRDefault="000A12D0" w:rsidP="007B4440">
      <w:pPr>
        <w:pStyle w:val="Bezatstarpm"/>
        <w:jc w:val="both"/>
        <w:rPr>
          <w:rFonts w:ascii="Times New Roman" w:hAnsi="Times New Roman"/>
          <w:sz w:val="18"/>
          <w:szCs w:val="18"/>
        </w:rPr>
      </w:pPr>
      <w:r>
        <w:rPr>
          <w:rFonts w:ascii="Times New Roman" w:hAnsi="Times New Roman"/>
          <w:sz w:val="18"/>
          <w:szCs w:val="18"/>
        </w:rPr>
        <w:t>01.07.2015. 12:19</w:t>
      </w:r>
    </w:p>
    <w:p w:rsidR="000A12D0" w:rsidRDefault="000A12D0" w:rsidP="007B4440">
      <w:pPr>
        <w:pStyle w:val="Bezatstarpm"/>
        <w:jc w:val="both"/>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3237</w:t>
      </w:r>
      <w:r>
        <w:rPr>
          <w:rFonts w:ascii="Times New Roman" w:hAnsi="Times New Roman"/>
          <w:sz w:val="18"/>
          <w:szCs w:val="18"/>
        </w:rPr>
        <w:fldChar w:fldCharType="end"/>
      </w:r>
    </w:p>
    <w:p w:rsidR="007B4440" w:rsidRPr="00676956" w:rsidRDefault="007B4440" w:rsidP="007B4440">
      <w:pPr>
        <w:pStyle w:val="Bezatstarpm"/>
        <w:jc w:val="both"/>
        <w:rPr>
          <w:rFonts w:ascii="Times New Roman" w:hAnsi="Times New Roman"/>
          <w:sz w:val="18"/>
          <w:szCs w:val="18"/>
        </w:rPr>
      </w:pPr>
      <w:r w:rsidRPr="00676956">
        <w:rPr>
          <w:rFonts w:ascii="Times New Roman" w:hAnsi="Times New Roman"/>
          <w:sz w:val="18"/>
          <w:szCs w:val="18"/>
        </w:rPr>
        <w:t>D.Urdziņa</w:t>
      </w:r>
    </w:p>
    <w:p w:rsidR="0086551E" w:rsidRPr="00676956" w:rsidRDefault="007B4440" w:rsidP="002D32DA">
      <w:pPr>
        <w:pStyle w:val="Bezatstarpm"/>
        <w:jc w:val="both"/>
        <w:rPr>
          <w:sz w:val="18"/>
          <w:szCs w:val="18"/>
        </w:rPr>
      </w:pPr>
      <w:r w:rsidRPr="00676956">
        <w:rPr>
          <w:rFonts w:ascii="Times New Roman" w:hAnsi="Times New Roman"/>
          <w:sz w:val="18"/>
          <w:szCs w:val="18"/>
        </w:rPr>
        <w:t>67878724, Diana.Urdzina@zm.gov.lv</w:t>
      </w:r>
      <w:bookmarkStart w:id="6" w:name="_GoBack"/>
      <w:bookmarkEnd w:id="6"/>
    </w:p>
    <w:sectPr w:rsidR="0086551E" w:rsidRPr="00676956" w:rsidSect="005C57DD">
      <w:headerReference w:type="even" r:id="rId8"/>
      <w:headerReference w:type="default" r:id="rId9"/>
      <w:footerReference w:type="default" r:id="rId10"/>
      <w:footerReference w:type="first" r:id="rId11"/>
      <w:pgSz w:w="11905" w:h="16837" w:code="9"/>
      <w:pgMar w:top="1418" w:right="1134" w:bottom="1134" w:left="1701" w:header="73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57" w:rsidRDefault="00DF2557">
      <w:r>
        <w:separator/>
      </w:r>
    </w:p>
  </w:endnote>
  <w:endnote w:type="continuationSeparator" w:id="0">
    <w:p w:rsidR="00DF2557" w:rsidRDefault="00DF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68" w:rsidRPr="005E4B7E" w:rsidRDefault="00100268" w:rsidP="007B4440">
    <w:pPr>
      <w:pStyle w:val="Parastais"/>
      <w:jc w:val="both"/>
      <w:rPr>
        <w:sz w:val="20"/>
        <w:szCs w:val="20"/>
      </w:rPr>
    </w:pPr>
    <w:r w:rsidRPr="00910821">
      <w:rPr>
        <w:sz w:val="20"/>
        <w:szCs w:val="20"/>
      </w:rPr>
      <w:t>ZMAnot_</w:t>
    </w:r>
    <w:r w:rsidR="00246500">
      <w:rPr>
        <w:sz w:val="20"/>
        <w:szCs w:val="20"/>
      </w:rPr>
      <w:t>27</w:t>
    </w:r>
    <w:r w:rsidR="00C9605F">
      <w:rPr>
        <w:sz w:val="20"/>
        <w:szCs w:val="20"/>
      </w:rPr>
      <w:t>06</w:t>
    </w:r>
    <w:r w:rsidRPr="00910821">
      <w:rPr>
        <w:sz w:val="20"/>
        <w:szCs w:val="20"/>
      </w:rPr>
      <w:t xml:space="preserve">15; </w:t>
    </w:r>
    <w:r w:rsidRPr="005E4B7E">
      <w:rPr>
        <w:sz w:val="20"/>
        <w:szCs w:val="20"/>
      </w:rPr>
      <w:t xml:space="preserve">Ministru kabineta noteikumu projekts </w:t>
    </w:r>
    <w:r>
      <w:rPr>
        <w:sz w:val="20"/>
        <w:szCs w:val="20"/>
      </w:rPr>
      <w:t>„</w:t>
    </w:r>
    <w:r w:rsidRPr="005E4B7E">
      <w:rPr>
        <w:sz w:val="20"/>
        <w:szCs w:val="20"/>
      </w:rPr>
      <w:t>Noteikumi par valsts un Eiropas Savienības atbalsta piešķiršanas kārtību pasākumam “Dabas katastrofās un katastrofālos notikumos cietušā lauksaimniecības ražošanas potenciāla atjaunošana un piemērotu profilaktisko pasākumu ieviešana”</w:t>
    </w:r>
    <w:r>
      <w:rPr>
        <w:sz w:val="20"/>
        <w:szCs w:val="20"/>
      </w:rPr>
      <w:t>”</w:t>
    </w:r>
  </w:p>
  <w:p w:rsidR="00100268" w:rsidRPr="005E4B7E" w:rsidRDefault="00100268" w:rsidP="007B4440">
    <w:pPr>
      <w:pStyle w:val="Parastais"/>
      <w:rPr>
        <w:sz w:val="20"/>
        <w:szCs w:val="20"/>
      </w:rPr>
    </w:pPr>
  </w:p>
  <w:p w:rsidR="00100268" w:rsidRPr="00D833B0" w:rsidRDefault="00100268" w:rsidP="00663D9E">
    <w:pPr>
      <w:pStyle w:val="Kjene"/>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68" w:rsidRPr="005E4B7E" w:rsidRDefault="00100268" w:rsidP="007B4440">
    <w:pPr>
      <w:pStyle w:val="Parastais"/>
      <w:jc w:val="both"/>
      <w:rPr>
        <w:sz w:val="20"/>
        <w:szCs w:val="20"/>
      </w:rPr>
    </w:pPr>
    <w:r w:rsidRPr="00D833B0">
      <w:rPr>
        <w:sz w:val="20"/>
        <w:szCs w:val="20"/>
      </w:rPr>
      <w:t>ZM</w:t>
    </w:r>
    <w:r>
      <w:rPr>
        <w:sz w:val="20"/>
        <w:szCs w:val="20"/>
      </w:rPr>
      <w:t>Anot_</w:t>
    </w:r>
    <w:r w:rsidR="00246500">
      <w:rPr>
        <w:sz w:val="20"/>
        <w:szCs w:val="20"/>
      </w:rPr>
      <w:t>27</w:t>
    </w:r>
    <w:r w:rsidR="00C9605F">
      <w:rPr>
        <w:sz w:val="20"/>
        <w:szCs w:val="20"/>
      </w:rPr>
      <w:t>06</w:t>
    </w:r>
    <w:r>
      <w:rPr>
        <w:sz w:val="20"/>
        <w:szCs w:val="20"/>
      </w:rPr>
      <w:t>15</w:t>
    </w:r>
    <w:r w:rsidRPr="00D833B0">
      <w:rPr>
        <w:sz w:val="20"/>
        <w:szCs w:val="20"/>
      </w:rPr>
      <w:t xml:space="preserve">; </w:t>
    </w:r>
    <w:r w:rsidRPr="005E4B7E">
      <w:rPr>
        <w:sz w:val="20"/>
        <w:szCs w:val="20"/>
      </w:rPr>
      <w:t xml:space="preserve">Ministru kabineta noteikumu projekts </w:t>
    </w:r>
    <w:r>
      <w:rPr>
        <w:sz w:val="20"/>
        <w:szCs w:val="20"/>
      </w:rPr>
      <w:t>„</w:t>
    </w:r>
    <w:r w:rsidRPr="005E4B7E">
      <w:rPr>
        <w:sz w:val="20"/>
        <w:szCs w:val="20"/>
      </w:rPr>
      <w:t>Noteikumi par valsts un Eiropas Savienības atbalsta piešķiršanas kārtību pasākumam “Dabas katastrofās un katastrofālos notikumos cietušā lauksaimniecības ražošanas potenciāla atjaunošana un piemērotu profilaktisko pasākumu ieviešana”</w:t>
    </w:r>
    <w:r>
      <w:rPr>
        <w:sz w:val="20"/>
        <w:szCs w:val="20"/>
      </w:rPr>
      <w:t>”</w:t>
    </w:r>
  </w:p>
  <w:p w:rsidR="00100268" w:rsidRPr="005E4B7E" w:rsidRDefault="00100268" w:rsidP="007B4440">
    <w:pPr>
      <w:pStyle w:val="Parastais"/>
      <w:rPr>
        <w:sz w:val="20"/>
        <w:szCs w:val="20"/>
      </w:rPr>
    </w:pPr>
  </w:p>
  <w:p w:rsidR="00100268" w:rsidRPr="00D833B0" w:rsidRDefault="00100268" w:rsidP="00663D9E">
    <w:pPr>
      <w:pStyle w:val="Kjene"/>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57" w:rsidRDefault="00DF2557">
      <w:r>
        <w:separator/>
      </w:r>
    </w:p>
  </w:footnote>
  <w:footnote w:type="continuationSeparator" w:id="0">
    <w:p w:rsidR="00DF2557" w:rsidRDefault="00DF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68" w:rsidRDefault="00100268"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100268" w:rsidRDefault="0010026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68" w:rsidRDefault="00100268"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A12D0">
      <w:rPr>
        <w:rStyle w:val="Lappusesnumurs"/>
        <w:noProof/>
      </w:rPr>
      <w:t>11</w:t>
    </w:r>
    <w:r>
      <w:rPr>
        <w:rStyle w:val="Lappusesnumurs"/>
      </w:rPr>
      <w:fldChar w:fldCharType="end"/>
    </w:r>
  </w:p>
  <w:p w:rsidR="00100268" w:rsidRDefault="00100268">
    <w:pPr>
      <w:pStyle w:val="Galvene"/>
    </w:pPr>
    <w:r>
      <w:rPr>
        <w:noProof/>
        <w:lang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8580" cy="1670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268" w:rsidRPr="00BE1C3C" w:rsidRDefault="00100268" w:rsidP="00BE1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4pt;height:13.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" stroked="f">
              <v:fill opacity="0"/>
              <v:textbox inset="0,0,0,0">
                <w:txbxContent>
                  <w:p w:rsidR="00100268" w:rsidRPr="00BE1C3C" w:rsidRDefault="00100268" w:rsidP="00BE1C3C"/>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DF1EAD"/>
    <w:multiLevelType w:val="hybridMultilevel"/>
    <w:tmpl w:val="FC5E4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FC20BE"/>
    <w:multiLevelType w:val="hybridMultilevel"/>
    <w:tmpl w:val="A57E4E8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32636"/>
    <w:multiLevelType w:val="hybridMultilevel"/>
    <w:tmpl w:val="E86E83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D71BA1"/>
    <w:multiLevelType w:val="hybridMultilevel"/>
    <w:tmpl w:val="4A180B4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BB4847"/>
    <w:multiLevelType w:val="hybridMultilevel"/>
    <w:tmpl w:val="1206D474"/>
    <w:lvl w:ilvl="0" w:tplc="0426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844D6A"/>
    <w:multiLevelType w:val="hybridMultilevel"/>
    <w:tmpl w:val="D1AC6F64"/>
    <w:lvl w:ilvl="0" w:tplc="0BF6513C">
      <w:numFmt w:val="bullet"/>
      <w:lvlText w:val="-"/>
      <w:lvlJc w:val="left"/>
      <w:pPr>
        <w:tabs>
          <w:tab w:val="num" w:pos="1714"/>
        </w:tabs>
        <w:ind w:left="1714" w:hanging="1005"/>
      </w:pPr>
      <w:rPr>
        <w:rFonts w:ascii="Times New Roman" w:eastAsia="Times New Roman" w:hAnsi="Times New Roman" w:cs="Times New Roman"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16F0148"/>
    <w:multiLevelType w:val="hybridMultilevel"/>
    <w:tmpl w:val="9C1A25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D25687"/>
    <w:multiLevelType w:val="hybridMultilevel"/>
    <w:tmpl w:val="A1F83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E21CB"/>
    <w:multiLevelType w:val="multilevel"/>
    <w:tmpl w:val="CBEEDE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408EF"/>
    <w:multiLevelType w:val="hybridMultilevel"/>
    <w:tmpl w:val="ADA8B5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B5270"/>
    <w:multiLevelType w:val="hybridMultilevel"/>
    <w:tmpl w:val="91F609CE"/>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2" w15:restartNumberingAfterBreak="0">
    <w:nsid w:val="252A750C"/>
    <w:multiLevelType w:val="hybridMultilevel"/>
    <w:tmpl w:val="4C666476"/>
    <w:lvl w:ilvl="0" w:tplc="04260001">
      <w:start w:val="1"/>
      <w:numFmt w:val="bullet"/>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7DA1C00"/>
    <w:multiLevelType w:val="hybridMultilevel"/>
    <w:tmpl w:val="5AAA981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7A566A"/>
    <w:multiLevelType w:val="hybridMultilevel"/>
    <w:tmpl w:val="DDE66452"/>
    <w:lvl w:ilvl="0" w:tplc="001EE0E0">
      <w:start w:val="1"/>
      <w:numFmt w:val="bullet"/>
      <w:lvlText w:val=""/>
      <w:lvlJc w:val="left"/>
      <w:pPr>
        <w:tabs>
          <w:tab w:val="num" w:pos="720"/>
        </w:tabs>
        <w:ind w:left="720" w:hanging="360"/>
      </w:pPr>
      <w:rPr>
        <w:rFonts w:ascii="Wingdings 2" w:hAnsi="Wingdings 2" w:hint="default"/>
      </w:rPr>
    </w:lvl>
    <w:lvl w:ilvl="1" w:tplc="7572F642" w:tentative="1">
      <w:start w:val="1"/>
      <w:numFmt w:val="bullet"/>
      <w:lvlText w:val=""/>
      <w:lvlJc w:val="left"/>
      <w:pPr>
        <w:tabs>
          <w:tab w:val="num" w:pos="1440"/>
        </w:tabs>
        <w:ind w:left="1440" w:hanging="360"/>
      </w:pPr>
      <w:rPr>
        <w:rFonts w:ascii="Wingdings 2" w:hAnsi="Wingdings 2" w:hint="default"/>
      </w:rPr>
    </w:lvl>
    <w:lvl w:ilvl="2" w:tplc="DB5A98FE" w:tentative="1">
      <w:start w:val="1"/>
      <w:numFmt w:val="bullet"/>
      <w:lvlText w:val=""/>
      <w:lvlJc w:val="left"/>
      <w:pPr>
        <w:tabs>
          <w:tab w:val="num" w:pos="2160"/>
        </w:tabs>
        <w:ind w:left="2160" w:hanging="360"/>
      </w:pPr>
      <w:rPr>
        <w:rFonts w:ascii="Wingdings 2" w:hAnsi="Wingdings 2" w:hint="default"/>
      </w:rPr>
    </w:lvl>
    <w:lvl w:ilvl="3" w:tplc="BC0A462E" w:tentative="1">
      <w:start w:val="1"/>
      <w:numFmt w:val="bullet"/>
      <w:lvlText w:val=""/>
      <w:lvlJc w:val="left"/>
      <w:pPr>
        <w:tabs>
          <w:tab w:val="num" w:pos="2880"/>
        </w:tabs>
        <w:ind w:left="2880" w:hanging="360"/>
      </w:pPr>
      <w:rPr>
        <w:rFonts w:ascii="Wingdings 2" w:hAnsi="Wingdings 2" w:hint="default"/>
      </w:rPr>
    </w:lvl>
    <w:lvl w:ilvl="4" w:tplc="C592158A" w:tentative="1">
      <w:start w:val="1"/>
      <w:numFmt w:val="bullet"/>
      <w:lvlText w:val=""/>
      <w:lvlJc w:val="left"/>
      <w:pPr>
        <w:tabs>
          <w:tab w:val="num" w:pos="3600"/>
        </w:tabs>
        <w:ind w:left="3600" w:hanging="360"/>
      </w:pPr>
      <w:rPr>
        <w:rFonts w:ascii="Wingdings 2" w:hAnsi="Wingdings 2" w:hint="default"/>
      </w:rPr>
    </w:lvl>
    <w:lvl w:ilvl="5" w:tplc="C562E494" w:tentative="1">
      <w:start w:val="1"/>
      <w:numFmt w:val="bullet"/>
      <w:lvlText w:val=""/>
      <w:lvlJc w:val="left"/>
      <w:pPr>
        <w:tabs>
          <w:tab w:val="num" w:pos="4320"/>
        </w:tabs>
        <w:ind w:left="4320" w:hanging="360"/>
      </w:pPr>
      <w:rPr>
        <w:rFonts w:ascii="Wingdings 2" w:hAnsi="Wingdings 2" w:hint="default"/>
      </w:rPr>
    </w:lvl>
    <w:lvl w:ilvl="6" w:tplc="AA7247FC" w:tentative="1">
      <w:start w:val="1"/>
      <w:numFmt w:val="bullet"/>
      <w:lvlText w:val=""/>
      <w:lvlJc w:val="left"/>
      <w:pPr>
        <w:tabs>
          <w:tab w:val="num" w:pos="5040"/>
        </w:tabs>
        <w:ind w:left="5040" w:hanging="360"/>
      </w:pPr>
      <w:rPr>
        <w:rFonts w:ascii="Wingdings 2" w:hAnsi="Wingdings 2" w:hint="default"/>
      </w:rPr>
    </w:lvl>
    <w:lvl w:ilvl="7" w:tplc="19145328" w:tentative="1">
      <w:start w:val="1"/>
      <w:numFmt w:val="bullet"/>
      <w:lvlText w:val=""/>
      <w:lvlJc w:val="left"/>
      <w:pPr>
        <w:tabs>
          <w:tab w:val="num" w:pos="5760"/>
        </w:tabs>
        <w:ind w:left="5760" w:hanging="360"/>
      </w:pPr>
      <w:rPr>
        <w:rFonts w:ascii="Wingdings 2" w:hAnsi="Wingdings 2" w:hint="default"/>
      </w:rPr>
    </w:lvl>
    <w:lvl w:ilvl="8" w:tplc="A52E428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B9F29A1"/>
    <w:multiLevelType w:val="hybridMultilevel"/>
    <w:tmpl w:val="DB3C2588"/>
    <w:lvl w:ilvl="0" w:tplc="91A88452">
      <w:start w:val="1"/>
      <w:numFmt w:val="bullet"/>
      <w:lvlText w:val=""/>
      <w:lvlJc w:val="left"/>
      <w:pPr>
        <w:ind w:left="1129" w:hanging="360"/>
      </w:pPr>
      <w:rPr>
        <w:rFonts w:ascii="Symbol" w:eastAsia="Calibri" w:hAnsi="Symbol"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6" w15:restartNumberingAfterBreak="0">
    <w:nsid w:val="2C8C28C6"/>
    <w:multiLevelType w:val="hybridMultilevel"/>
    <w:tmpl w:val="FEFC9A2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42D41"/>
    <w:multiLevelType w:val="hybridMultilevel"/>
    <w:tmpl w:val="55841F84"/>
    <w:lvl w:ilvl="0" w:tplc="04260001">
      <w:start w:val="1"/>
      <w:numFmt w:val="bullet"/>
      <w:lvlText w:val=""/>
      <w:lvlJc w:val="left"/>
      <w:pPr>
        <w:tabs>
          <w:tab w:val="num" w:pos="720"/>
        </w:tabs>
        <w:ind w:left="720" w:hanging="360"/>
      </w:pPr>
      <w:rPr>
        <w:rFonts w:ascii="Symbol" w:hAnsi="Symbol" w:hint="default"/>
      </w:rPr>
    </w:lvl>
    <w:lvl w:ilvl="1" w:tplc="04260017">
      <w:start w:val="1"/>
      <w:numFmt w:val="lowerLetter"/>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E5330"/>
    <w:multiLevelType w:val="hybridMultilevel"/>
    <w:tmpl w:val="52A6FC14"/>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D2168"/>
    <w:multiLevelType w:val="hybridMultilevel"/>
    <w:tmpl w:val="FFDEB14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A7176"/>
    <w:multiLevelType w:val="hybridMultilevel"/>
    <w:tmpl w:val="51F8072E"/>
    <w:lvl w:ilvl="0" w:tplc="37C600E2">
      <w:start w:val="7"/>
      <w:numFmt w:val="bullet"/>
      <w:lvlText w:val="-"/>
      <w:lvlJc w:val="left"/>
      <w:pPr>
        <w:ind w:left="1778" w:hanging="360"/>
      </w:pPr>
      <w:rPr>
        <w:rFonts w:ascii="Times New Roman" w:eastAsia="Calibri"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1" w15:restartNumberingAfterBreak="0">
    <w:nsid w:val="487A35BC"/>
    <w:multiLevelType w:val="hybridMultilevel"/>
    <w:tmpl w:val="164E0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5D289C"/>
    <w:multiLevelType w:val="hybridMultilevel"/>
    <w:tmpl w:val="BE066404"/>
    <w:lvl w:ilvl="0" w:tplc="42B6BF26">
      <w:start w:val="1"/>
      <w:numFmt w:val="decimal"/>
      <w:lvlText w:val="%1)"/>
      <w:lvlJc w:val="left"/>
      <w:pPr>
        <w:ind w:left="927" w:hanging="360"/>
      </w:pPr>
      <w:rPr>
        <w:b w:val="0"/>
        <w:strike w:val="0"/>
        <w:dstrike w:val="0"/>
        <w:u w:val="none"/>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4CE52041"/>
    <w:multiLevelType w:val="hybridMultilevel"/>
    <w:tmpl w:val="E90E4DBA"/>
    <w:lvl w:ilvl="0" w:tplc="71289886">
      <w:start w:val="1"/>
      <w:numFmt w:val="decimal"/>
      <w:lvlText w:val="%1."/>
      <w:lvlJc w:val="left"/>
      <w:pPr>
        <w:ind w:left="798" w:hanging="435"/>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4" w15:restartNumberingAfterBreak="0">
    <w:nsid w:val="56512837"/>
    <w:multiLevelType w:val="hybridMultilevel"/>
    <w:tmpl w:val="425E7526"/>
    <w:lvl w:ilvl="0" w:tplc="7EEA5990">
      <w:start w:val="1"/>
      <w:numFmt w:val="decimal"/>
      <w:lvlText w:val="%1)"/>
      <w:lvlJc w:val="left"/>
      <w:pPr>
        <w:tabs>
          <w:tab w:val="num" w:pos="690"/>
        </w:tabs>
        <w:ind w:left="690" w:hanging="360"/>
      </w:pPr>
      <w:rPr>
        <w:rFonts w:hint="default"/>
      </w:rPr>
    </w:lvl>
    <w:lvl w:ilvl="1" w:tplc="04260019" w:tentative="1">
      <w:start w:val="1"/>
      <w:numFmt w:val="lowerLetter"/>
      <w:lvlText w:val="%2."/>
      <w:lvlJc w:val="left"/>
      <w:pPr>
        <w:tabs>
          <w:tab w:val="num" w:pos="1410"/>
        </w:tabs>
        <w:ind w:left="1410" w:hanging="360"/>
      </w:pPr>
    </w:lvl>
    <w:lvl w:ilvl="2" w:tplc="0426001B" w:tentative="1">
      <w:start w:val="1"/>
      <w:numFmt w:val="lowerRoman"/>
      <w:lvlText w:val="%3."/>
      <w:lvlJc w:val="right"/>
      <w:pPr>
        <w:tabs>
          <w:tab w:val="num" w:pos="2130"/>
        </w:tabs>
        <w:ind w:left="2130" w:hanging="180"/>
      </w:pPr>
    </w:lvl>
    <w:lvl w:ilvl="3" w:tplc="0426000F" w:tentative="1">
      <w:start w:val="1"/>
      <w:numFmt w:val="decimal"/>
      <w:lvlText w:val="%4."/>
      <w:lvlJc w:val="left"/>
      <w:pPr>
        <w:tabs>
          <w:tab w:val="num" w:pos="2850"/>
        </w:tabs>
        <w:ind w:left="2850" w:hanging="360"/>
      </w:pPr>
    </w:lvl>
    <w:lvl w:ilvl="4" w:tplc="04260019" w:tentative="1">
      <w:start w:val="1"/>
      <w:numFmt w:val="lowerLetter"/>
      <w:lvlText w:val="%5."/>
      <w:lvlJc w:val="left"/>
      <w:pPr>
        <w:tabs>
          <w:tab w:val="num" w:pos="3570"/>
        </w:tabs>
        <w:ind w:left="3570" w:hanging="360"/>
      </w:pPr>
    </w:lvl>
    <w:lvl w:ilvl="5" w:tplc="0426001B" w:tentative="1">
      <w:start w:val="1"/>
      <w:numFmt w:val="lowerRoman"/>
      <w:lvlText w:val="%6."/>
      <w:lvlJc w:val="right"/>
      <w:pPr>
        <w:tabs>
          <w:tab w:val="num" w:pos="4290"/>
        </w:tabs>
        <w:ind w:left="4290" w:hanging="180"/>
      </w:pPr>
    </w:lvl>
    <w:lvl w:ilvl="6" w:tplc="0426000F" w:tentative="1">
      <w:start w:val="1"/>
      <w:numFmt w:val="decimal"/>
      <w:lvlText w:val="%7."/>
      <w:lvlJc w:val="left"/>
      <w:pPr>
        <w:tabs>
          <w:tab w:val="num" w:pos="5010"/>
        </w:tabs>
        <w:ind w:left="5010" w:hanging="360"/>
      </w:pPr>
    </w:lvl>
    <w:lvl w:ilvl="7" w:tplc="04260019" w:tentative="1">
      <w:start w:val="1"/>
      <w:numFmt w:val="lowerLetter"/>
      <w:lvlText w:val="%8."/>
      <w:lvlJc w:val="left"/>
      <w:pPr>
        <w:tabs>
          <w:tab w:val="num" w:pos="5730"/>
        </w:tabs>
        <w:ind w:left="5730" w:hanging="360"/>
      </w:pPr>
    </w:lvl>
    <w:lvl w:ilvl="8" w:tplc="0426001B" w:tentative="1">
      <w:start w:val="1"/>
      <w:numFmt w:val="lowerRoman"/>
      <w:lvlText w:val="%9."/>
      <w:lvlJc w:val="right"/>
      <w:pPr>
        <w:tabs>
          <w:tab w:val="num" w:pos="6450"/>
        </w:tabs>
        <w:ind w:left="6450" w:hanging="180"/>
      </w:pPr>
    </w:lvl>
  </w:abstractNum>
  <w:abstractNum w:abstractNumId="25" w15:restartNumberingAfterBreak="0">
    <w:nsid w:val="5B4708F1"/>
    <w:multiLevelType w:val="hybridMultilevel"/>
    <w:tmpl w:val="791218F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A0BFE"/>
    <w:multiLevelType w:val="hybridMultilevel"/>
    <w:tmpl w:val="5C860BF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414EF"/>
    <w:multiLevelType w:val="hybridMultilevel"/>
    <w:tmpl w:val="A6E423B2"/>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603A6637"/>
    <w:multiLevelType w:val="hybridMultilevel"/>
    <w:tmpl w:val="5F300A8C"/>
    <w:lvl w:ilvl="0" w:tplc="00A8729C">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6AA6299A"/>
    <w:multiLevelType w:val="hybridMultilevel"/>
    <w:tmpl w:val="B6F8E984"/>
    <w:lvl w:ilvl="0" w:tplc="15BAEA36">
      <w:start w:val="201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30" w15:restartNumberingAfterBreak="0">
    <w:nsid w:val="6D7B5D4B"/>
    <w:multiLevelType w:val="hybridMultilevel"/>
    <w:tmpl w:val="BD32C39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12BBF"/>
    <w:multiLevelType w:val="multilevel"/>
    <w:tmpl w:val="E6B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146FA"/>
    <w:multiLevelType w:val="hybridMultilevel"/>
    <w:tmpl w:val="8056F1BE"/>
    <w:lvl w:ilvl="0" w:tplc="CBF05364">
      <w:start w:val="23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ED1627"/>
    <w:multiLevelType w:val="hybridMultilevel"/>
    <w:tmpl w:val="01A43E4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65092"/>
    <w:multiLevelType w:val="multilevel"/>
    <w:tmpl w:val="D1AC6F64"/>
    <w:lvl w:ilvl="0">
      <w:numFmt w:val="bullet"/>
      <w:lvlText w:val="-"/>
      <w:lvlJc w:val="left"/>
      <w:pPr>
        <w:tabs>
          <w:tab w:val="num" w:pos="1714"/>
        </w:tabs>
        <w:ind w:left="1714" w:hanging="100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4"/>
  </w:num>
  <w:num w:numId="7">
    <w:abstractNumId w:val="22"/>
  </w:num>
  <w:num w:numId="8">
    <w:abstractNumId w:val="11"/>
  </w:num>
  <w:num w:numId="9">
    <w:abstractNumId w:val="17"/>
  </w:num>
  <w:num w:numId="10">
    <w:abstractNumId w:val="5"/>
  </w:num>
  <w:num w:numId="11">
    <w:abstractNumId w:val="33"/>
  </w:num>
  <w:num w:numId="12">
    <w:abstractNumId w:val="16"/>
  </w:num>
  <w:num w:numId="13">
    <w:abstractNumId w:val="25"/>
  </w:num>
  <w:num w:numId="14">
    <w:abstractNumId w:val="2"/>
  </w:num>
  <w:num w:numId="15">
    <w:abstractNumId w:val="29"/>
  </w:num>
  <w:num w:numId="16">
    <w:abstractNumId w:val="9"/>
  </w:num>
  <w:num w:numId="17">
    <w:abstractNumId w:val="27"/>
  </w:num>
  <w:num w:numId="18">
    <w:abstractNumId w:val="10"/>
  </w:num>
  <w:num w:numId="19">
    <w:abstractNumId w:val="30"/>
  </w:num>
  <w:num w:numId="20">
    <w:abstractNumId w:val="6"/>
  </w:num>
  <w:num w:numId="21">
    <w:abstractNumId w:val="34"/>
  </w:num>
  <w:num w:numId="22">
    <w:abstractNumId w:val="12"/>
  </w:num>
  <w:num w:numId="23">
    <w:abstractNumId w:val="19"/>
  </w:num>
  <w:num w:numId="24">
    <w:abstractNumId w:val="26"/>
  </w:num>
  <w:num w:numId="25">
    <w:abstractNumId w:val="18"/>
  </w:num>
  <w:num w:numId="26">
    <w:abstractNumId w:val="23"/>
  </w:num>
  <w:num w:numId="27">
    <w:abstractNumId w:val="21"/>
  </w:num>
  <w:num w:numId="28">
    <w:abstractNumId w:val="14"/>
  </w:num>
  <w:num w:numId="29">
    <w:abstractNumId w:val="32"/>
  </w:num>
  <w:num w:numId="30">
    <w:abstractNumId w:val="8"/>
  </w:num>
  <w:num w:numId="31">
    <w:abstractNumId w:val="31"/>
  </w:num>
  <w:num w:numId="32">
    <w:abstractNumId w:val="1"/>
  </w:num>
  <w:num w:numId="33">
    <w:abstractNumId w:val="7"/>
  </w:num>
  <w:num w:numId="34">
    <w:abstractNumId w:val="28"/>
  </w:num>
  <w:num w:numId="35">
    <w:abstractNumId w:val="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C"/>
    <w:rsid w:val="0000003F"/>
    <w:rsid w:val="0000036C"/>
    <w:rsid w:val="00002903"/>
    <w:rsid w:val="00004A79"/>
    <w:rsid w:val="00004AA2"/>
    <w:rsid w:val="00006089"/>
    <w:rsid w:val="0001089F"/>
    <w:rsid w:val="0001301E"/>
    <w:rsid w:val="000162FB"/>
    <w:rsid w:val="00023A93"/>
    <w:rsid w:val="00024491"/>
    <w:rsid w:val="000261E0"/>
    <w:rsid w:val="0003039F"/>
    <w:rsid w:val="00033D77"/>
    <w:rsid w:val="0003434B"/>
    <w:rsid w:val="00034E07"/>
    <w:rsid w:val="00037528"/>
    <w:rsid w:val="00037AC8"/>
    <w:rsid w:val="000408D2"/>
    <w:rsid w:val="00042E54"/>
    <w:rsid w:val="0004337F"/>
    <w:rsid w:val="00045204"/>
    <w:rsid w:val="000453D5"/>
    <w:rsid w:val="00046E74"/>
    <w:rsid w:val="00047BBF"/>
    <w:rsid w:val="00047D19"/>
    <w:rsid w:val="00047E6D"/>
    <w:rsid w:val="00051C87"/>
    <w:rsid w:val="000538F4"/>
    <w:rsid w:val="00054DD0"/>
    <w:rsid w:val="0005603E"/>
    <w:rsid w:val="0005680F"/>
    <w:rsid w:val="00060EC2"/>
    <w:rsid w:val="0006131E"/>
    <w:rsid w:val="00062357"/>
    <w:rsid w:val="000631B3"/>
    <w:rsid w:val="000648EB"/>
    <w:rsid w:val="0006529F"/>
    <w:rsid w:val="0006562B"/>
    <w:rsid w:val="0007047E"/>
    <w:rsid w:val="00071F5F"/>
    <w:rsid w:val="0007272C"/>
    <w:rsid w:val="0007607E"/>
    <w:rsid w:val="00077EDA"/>
    <w:rsid w:val="00085863"/>
    <w:rsid w:val="000869A9"/>
    <w:rsid w:val="00092B8A"/>
    <w:rsid w:val="00094960"/>
    <w:rsid w:val="00094E84"/>
    <w:rsid w:val="00097308"/>
    <w:rsid w:val="000A12D0"/>
    <w:rsid w:val="000A2386"/>
    <w:rsid w:val="000A56B2"/>
    <w:rsid w:val="000A764D"/>
    <w:rsid w:val="000A79CF"/>
    <w:rsid w:val="000B0B56"/>
    <w:rsid w:val="000B4621"/>
    <w:rsid w:val="000B47AA"/>
    <w:rsid w:val="000B4963"/>
    <w:rsid w:val="000B551E"/>
    <w:rsid w:val="000B61A8"/>
    <w:rsid w:val="000B6917"/>
    <w:rsid w:val="000C1118"/>
    <w:rsid w:val="000C16D1"/>
    <w:rsid w:val="000C1DA0"/>
    <w:rsid w:val="000C23B2"/>
    <w:rsid w:val="000C3C4B"/>
    <w:rsid w:val="000C470F"/>
    <w:rsid w:val="000C5238"/>
    <w:rsid w:val="000D6F91"/>
    <w:rsid w:val="000E1503"/>
    <w:rsid w:val="000E207C"/>
    <w:rsid w:val="000E2C67"/>
    <w:rsid w:val="000E3337"/>
    <w:rsid w:val="000E6497"/>
    <w:rsid w:val="000E6A2A"/>
    <w:rsid w:val="000E6B50"/>
    <w:rsid w:val="000F0471"/>
    <w:rsid w:val="000F2100"/>
    <w:rsid w:val="000F30E0"/>
    <w:rsid w:val="000F3173"/>
    <w:rsid w:val="000F3179"/>
    <w:rsid w:val="00100268"/>
    <w:rsid w:val="0010197C"/>
    <w:rsid w:val="00101E2F"/>
    <w:rsid w:val="001045C6"/>
    <w:rsid w:val="00105261"/>
    <w:rsid w:val="00105972"/>
    <w:rsid w:val="00106E18"/>
    <w:rsid w:val="00107467"/>
    <w:rsid w:val="0011085F"/>
    <w:rsid w:val="00110D6F"/>
    <w:rsid w:val="00111FA6"/>
    <w:rsid w:val="00113E5A"/>
    <w:rsid w:val="00113E78"/>
    <w:rsid w:val="00114A1F"/>
    <w:rsid w:val="00116035"/>
    <w:rsid w:val="001175E4"/>
    <w:rsid w:val="00122834"/>
    <w:rsid w:val="00122A3A"/>
    <w:rsid w:val="001230D5"/>
    <w:rsid w:val="0012521A"/>
    <w:rsid w:val="00125A5D"/>
    <w:rsid w:val="00125DE7"/>
    <w:rsid w:val="00126463"/>
    <w:rsid w:val="00127211"/>
    <w:rsid w:val="00131099"/>
    <w:rsid w:val="00134204"/>
    <w:rsid w:val="00135087"/>
    <w:rsid w:val="00135476"/>
    <w:rsid w:val="00136BB7"/>
    <w:rsid w:val="00137D83"/>
    <w:rsid w:val="00137E17"/>
    <w:rsid w:val="001409BD"/>
    <w:rsid w:val="00140CBC"/>
    <w:rsid w:val="00143590"/>
    <w:rsid w:val="00143622"/>
    <w:rsid w:val="00143BBB"/>
    <w:rsid w:val="001458C0"/>
    <w:rsid w:val="00147240"/>
    <w:rsid w:val="00154661"/>
    <w:rsid w:val="001548A4"/>
    <w:rsid w:val="00154EF6"/>
    <w:rsid w:val="00155D77"/>
    <w:rsid w:val="00157BE3"/>
    <w:rsid w:val="00160521"/>
    <w:rsid w:val="00161678"/>
    <w:rsid w:val="00163CC5"/>
    <w:rsid w:val="001660F6"/>
    <w:rsid w:val="001661D3"/>
    <w:rsid w:val="00172571"/>
    <w:rsid w:val="00172798"/>
    <w:rsid w:val="00173249"/>
    <w:rsid w:val="00173485"/>
    <w:rsid w:val="00174B09"/>
    <w:rsid w:val="001752A8"/>
    <w:rsid w:val="00176C70"/>
    <w:rsid w:val="001825AF"/>
    <w:rsid w:val="00183A00"/>
    <w:rsid w:val="001845A6"/>
    <w:rsid w:val="00184A0F"/>
    <w:rsid w:val="00185ECB"/>
    <w:rsid w:val="001872AA"/>
    <w:rsid w:val="00191DC8"/>
    <w:rsid w:val="001934C9"/>
    <w:rsid w:val="00193758"/>
    <w:rsid w:val="0019378C"/>
    <w:rsid w:val="001A0AC7"/>
    <w:rsid w:val="001A20CD"/>
    <w:rsid w:val="001A2930"/>
    <w:rsid w:val="001A3D7D"/>
    <w:rsid w:val="001A47D6"/>
    <w:rsid w:val="001A493C"/>
    <w:rsid w:val="001A5CBC"/>
    <w:rsid w:val="001A766F"/>
    <w:rsid w:val="001A788D"/>
    <w:rsid w:val="001B148D"/>
    <w:rsid w:val="001B4F40"/>
    <w:rsid w:val="001B56DA"/>
    <w:rsid w:val="001B712F"/>
    <w:rsid w:val="001C2795"/>
    <w:rsid w:val="001C2DD6"/>
    <w:rsid w:val="001C35C1"/>
    <w:rsid w:val="001C3797"/>
    <w:rsid w:val="001C42BA"/>
    <w:rsid w:val="001C70CA"/>
    <w:rsid w:val="001C7359"/>
    <w:rsid w:val="001D18A4"/>
    <w:rsid w:val="001D2938"/>
    <w:rsid w:val="001D3300"/>
    <w:rsid w:val="001D4065"/>
    <w:rsid w:val="001D46E4"/>
    <w:rsid w:val="001D5394"/>
    <w:rsid w:val="001D54EE"/>
    <w:rsid w:val="001D7748"/>
    <w:rsid w:val="001D7C6D"/>
    <w:rsid w:val="001E076A"/>
    <w:rsid w:val="001E182C"/>
    <w:rsid w:val="001E18EA"/>
    <w:rsid w:val="001E2A27"/>
    <w:rsid w:val="001E2D4F"/>
    <w:rsid w:val="001E2DE6"/>
    <w:rsid w:val="001E5AC0"/>
    <w:rsid w:val="001E5D5B"/>
    <w:rsid w:val="001F1B58"/>
    <w:rsid w:val="001F27F1"/>
    <w:rsid w:val="001F395A"/>
    <w:rsid w:val="001F4A0F"/>
    <w:rsid w:val="001F617B"/>
    <w:rsid w:val="001F6787"/>
    <w:rsid w:val="001F6FEA"/>
    <w:rsid w:val="001F7954"/>
    <w:rsid w:val="0020010B"/>
    <w:rsid w:val="00202084"/>
    <w:rsid w:val="002027FF"/>
    <w:rsid w:val="002030B2"/>
    <w:rsid w:val="00203744"/>
    <w:rsid w:val="00206593"/>
    <w:rsid w:val="00210A31"/>
    <w:rsid w:val="0021252C"/>
    <w:rsid w:val="002130A3"/>
    <w:rsid w:val="002151E1"/>
    <w:rsid w:val="00215FA1"/>
    <w:rsid w:val="002175F3"/>
    <w:rsid w:val="0022021F"/>
    <w:rsid w:val="002223DA"/>
    <w:rsid w:val="002224E0"/>
    <w:rsid w:val="00223371"/>
    <w:rsid w:val="00226179"/>
    <w:rsid w:val="00226C35"/>
    <w:rsid w:val="0023279A"/>
    <w:rsid w:val="0023321D"/>
    <w:rsid w:val="00235C8B"/>
    <w:rsid w:val="00237D83"/>
    <w:rsid w:val="00240389"/>
    <w:rsid w:val="00240F7D"/>
    <w:rsid w:val="002448F4"/>
    <w:rsid w:val="00245E47"/>
    <w:rsid w:val="00246466"/>
    <w:rsid w:val="00246500"/>
    <w:rsid w:val="002501FB"/>
    <w:rsid w:val="00250E37"/>
    <w:rsid w:val="002538B3"/>
    <w:rsid w:val="0025392B"/>
    <w:rsid w:val="00254A24"/>
    <w:rsid w:val="0025508B"/>
    <w:rsid w:val="00256128"/>
    <w:rsid w:val="00256EEF"/>
    <w:rsid w:val="00260AC5"/>
    <w:rsid w:val="00260D36"/>
    <w:rsid w:val="00260DDF"/>
    <w:rsid w:val="00260E44"/>
    <w:rsid w:val="00262904"/>
    <w:rsid w:val="00262EEC"/>
    <w:rsid w:val="0026361D"/>
    <w:rsid w:val="002639D2"/>
    <w:rsid w:val="00264882"/>
    <w:rsid w:val="002673BA"/>
    <w:rsid w:val="00267E60"/>
    <w:rsid w:val="00270147"/>
    <w:rsid w:val="002702F0"/>
    <w:rsid w:val="0027317D"/>
    <w:rsid w:val="0027451B"/>
    <w:rsid w:val="00274BF1"/>
    <w:rsid w:val="00275CC9"/>
    <w:rsid w:val="00276D8F"/>
    <w:rsid w:val="00277EDA"/>
    <w:rsid w:val="00280B85"/>
    <w:rsid w:val="00281AE4"/>
    <w:rsid w:val="00281C94"/>
    <w:rsid w:val="00282833"/>
    <w:rsid w:val="00282CAE"/>
    <w:rsid w:val="00282FB4"/>
    <w:rsid w:val="002863BA"/>
    <w:rsid w:val="00287703"/>
    <w:rsid w:val="0029227E"/>
    <w:rsid w:val="00292872"/>
    <w:rsid w:val="00294C93"/>
    <w:rsid w:val="00295004"/>
    <w:rsid w:val="00295F5E"/>
    <w:rsid w:val="00295F8D"/>
    <w:rsid w:val="00296F02"/>
    <w:rsid w:val="00297E86"/>
    <w:rsid w:val="002B0DF6"/>
    <w:rsid w:val="002B10D3"/>
    <w:rsid w:val="002B1F6D"/>
    <w:rsid w:val="002B3D66"/>
    <w:rsid w:val="002B6CB4"/>
    <w:rsid w:val="002B7457"/>
    <w:rsid w:val="002C06DE"/>
    <w:rsid w:val="002C5B39"/>
    <w:rsid w:val="002D1235"/>
    <w:rsid w:val="002D1786"/>
    <w:rsid w:val="002D23E6"/>
    <w:rsid w:val="002D32DA"/>
    <w:rsid w:val="002D5EEA"/>
    <w:rsid w:val="002D6FF9"/>
    <w:rsid w:val="002D72DE"/>
    <w:rsid w:val="002D7FBC"/>
    <w:rsid w:val="002E0E8A"/>
    <w:rsid w:val="002E1C98"/>
    <w:rsid w:val="002E1E8E"/>
    <w:rsid w:val="002E2F3F"/>
    <w:rsid w:val="002E3B4F"/>
    <w:rsid w:val="002E41E7"/>
    <w:rsid w:val="002F0A2E"/>
    <w:rsid w:val="002F1267"/>
    <w:rsid w:val="002F2CEE"/>
    <w:rsid w:val="002F4537"/>
    <w:rsid w:val="002F50F6"/>
    <w:rsid w:val="003004AD"/>
    <w:rsid w:val="00302470"/>
    <w:rsid w:val="00304F20"/>
    <w:rsid w:val="00305B7F"/>
    <w:rsid w:val="00306720"/>
    <w:rsid w:val="00312ADA"/>
    <w:rsid w:val="00313298"/>
    <w:rsid w:val="00315FC8"/>
    <w:rsid w:val="00317E98"/>
    <w:rsid w:val="0032156F"/>
    <w:rsid w:val="00323067"/>
    <w:rsid w:val="0032472C"/>
    <w:rsid w:val="00324EE5"/>
    <w:rsid w:val="00325148"/>
    <w:rsid w:val="00326458"/>
    <w:rsid w:val="00326687"/>
    <w:rsid w:val="00327088"/>
    <w:rsid w:val="00327631"/>
    <w:rsid w:val="00327936"/>
    <w:rsid w:val="00332B2A"/>
    <w:rsid w:val="00333D4B"/>
    <w:rsid w:val="00334662"/>
    <w:rsid w:val="0033471E"/>
    <w:rsid w:val="0033601B"/>
    <w:rsid w:val="0033607F"/>
    <w:rsid w:val="00336695"/>
    <w:rsid w:val="00336D16"/>
    <w:rsid w:val="003372DE"/>
    <w:rsid w:val="0033750B"/>
    <w:rsid w:val="00341489"/>
    <w:rsid w:val="00343BA9"/>
    <w:rsid w:val="00345023"/>
    <w:rsid w:val="00346524"/>
    <w:rsid w:val="00346B66"/>
    <w:rsid w:val="00346F53"/>
    <w:rsid w:val="003474EF"/>
    <w:rsid w:val="0035026E"/>
    <w:rsid w:val="00350643"/>
    <w:rsid w:val="00352B79"/>
    <w:rsid w:val="00353EBD"/>
    <w:rsid w:val="003542E4"/>
    <w:rsid w:val="00355473"/>
    <w:rsid w:val="00355660"/>
    <w:rsid w:val="00356A99"/>
    <w:rsid w:val="00356D49"/>
    <w:rsid w:val="00356F03"/>
    <w:rsid w:val="003570E7"/>
    <w:rsid w:val="003577FC"/>
    <w:rsid w:val="0036137E"/>
    <w:rsid w:val="00362785"/>
    <w:rsid w:val="00364094"/>
    <w:rsid w:val="00364224"/>
    <w:rsid w:val="00364742"/>
    <w:rsid w:val="00365B49"/>
    <w:rsid w:val="003661D5"/>
    <w:rsid w:val="003701F5"/>
    <w:rsid w:val="003722D8"/>
    <w:rsid w:val="003727F1"/>
    <w:rsid w:val="00373DA9"/>
    <w:rsid w:val="00375715"/>
    <w:rsid w:val="0037731C"/>
    <w:rsid w:val="0037787D"/>
    <w:rsid w:val="003846A0"/>
    <w:rsid w:val="00385C59"/>
    <w:rsid w:val="00386643"/>
    <w:rsid w:val="003868F0"/>
    <w:rsid w:val="00386B2F"/>
    <w:rsid w:val="00386F2A"/>
    <w:rsid w:val="0039136B"/>
    <w:rsid w:val="0039380C"/>
    <w:rsid w:val="003957A6"/>
    <w:rsid w:val="0039641B"/>
    <w:rsid w:val="0039774A"/>
    <w:rsid w:val="003A03C0"/>
    <w:rsid w:val="003A3240"/>
    <w:rsid w:val="003A5094"/>
    <w:rsid w:val="003A524C"/>
    <w:rsid w:val="003A74AA"/>
    <w:rsid w:val="003B0F11"/>
    <w:rsid w:val="003B155C"/>
    <w:rsid w:val="003B45C2"/>
    <w:rsid w:val="003B45D3"/>
    <w:rsid w:val="003B53EB"/>
    <w:rsid w:val="003B69F9"/>
    <w:rsid w:val="003C1C9A"/>
    <w:rsid w:val="003C286A"/>
    <w:rsid w:val="003C34EA"/>
    <w:rsid w:val="003C5D32"/>
    <w:rsid w:val="003C6297"/>
    <w:rsid w:val="003D0022"/>
    <w:rsid w:val="003D14E8"/>
    <w:rsid w:val="003D26EE"/>
    <w:rsid w:val="003D2A85"/>
    <w:rsid w:val="003D2F1D"/>
    <w:rsid w:val="003E421F"/>
    <w:rsid w:val="003F0DB8"/>
    <w:rsid w:val="003F23FE"/>
    <w:rsid w:val="003F3263"/>
    <w:rsid w:val="003F41DC"/>
    <w:rsid w:val="003F4D0E"/>
    <w:rsid w:val="003F6E2F"/>
    <w:rsid w:val="003F7DEE"/>
    <w:rsid w:val="00401DA5"/>
    <w:rsid w:val="0040317F"/>
    <w:rsid w:val="00404753"/>
    <w:rsid w:val="00404AA8"/>
    <w:rsid w:val="00404D98"/>
    <w:rsid w:val="00407326"/>
    <w:rsid w:val="004113B2"/>
    <w:rsid w:val="00411F08"/>
    <w:rsid w:val="00412A19"/>
    <w:rsid w:val="0041315F"/>
    <w:rsid w:val="00416479"/>
    <w:rsid w:val="004172E5"/>
    <w:rsid w:val="004210FB"/>
    <w:rsid w:val="004211C1"/>
    <w:rsid w:val="00422114"/>
    <w:rsid w:val="00422D8C"/>
    <w:rsid w:val="00423E77"/>
    <w:rsid w:val="00425EF3"/>
    <w:rsid w:val="00426B96"/>
    <w:rsid w:val="00426CB6"/>
    <w:rsid w:val="00427885"/>
    <w:rsid w:val="00430C35"/>
    <w:rsid w:val="00430DF9"/>
    <w:rsid w:val="004315A7"/>
    <w:rsid w:val="00431F66"/>
    <w:rsid w:val="00433455"/>
    <w:rsid w:val="0043401C"/>
    <w:rsid w:val="00436162"/>
    <w:rsid w:val="00436825"/>
    <w:rsid w:val="00436B21"/>
    <w:rsid w:val="00441B6D"/>
    <w:rsid w:val="004452E1"/>
    <w:rsid w:val="00446958"/>
    <w:rsid w:val="00446F5E"/>
    <w:rsid w:val="004513DD"/>
    <w:rsid w:val="004514E0"/>
    <w:rsid w:val="00451774"/>
    <w:rsid w:val="00451942"/>
    <w:rsid w:val="004536F7"/>
    <w:rsid w:val="00455150"/>
    <w:rsid w:val="00455D2C"/>
    <w:rsid w:val="00456366"/>
    <w:rsid w:val="004563E2"/>
    <w:rsid w:val="00456D80"/>
    <w:rsid w:val="00457728"/>
    <w:rsid w:val="00457F68"/>
    <w:rsid w:val="00460DD2"/>
    <w:rsid w:val="00461363"/>
    <w:rsid w:val="00461CFB"/>
    <w:rsid w:val="00464F19"/>
    <w:rsid w:val="00466888"/>
    <w:rsid w:val="00467241"/>
    <w:rsid w:val="00470628"/>
    <w:rsid w:val="00470C41"/>
    <w:rsid w:val="0047143D"/>
    <w:rsid w:val="00473A96"/>
    <w:rsid w:val="00474E39"/>
    <w:rsid w:val="00476136"/>
    <w:rsid w:val="004847C3"/>
    <w:rsid w:val="00484E94"/>
    <w:rsid w:val="00486459"/>
    <w:rsid w:val="00486863"/>
    <w:rsid w:val="00487D28"/>
    <w:rsid w:val="0049219C"/>
    <w:rsid w:val="00492814"/>
    <w:rsid w:val="00492A73"/>
    <w:rsid w:val="00492FCC"/>
    <w:rsid w:val="00493E14"/>
    <w:rsid w:val="00495920"/>
    <w:rsid w:val="004A2219"/>
    <w:rsid w:val="004A3377"/>
    <w:rsid w:val="004A4522"/>
    <w:rsid w:val="004A46EB"/>
    <w:rsid w:val="004B4A14"/>
    <w:rsid w:val="004B4F81"/>
    <w:rsid w:val="004C032C"/>
    <w:rsid w:val="004C0BB7"/>
    <w:rsid w:val="004C1ECF"/>
    <w:rsid w:val="004C41BA"/>
    <w:rsid w:val="004C7133"/>
    <w:rsid w:val="004C753D"/>
    <w:rsid w:val="004D2E5A"/>
    <w:rsid w:val="004D37D9"/>
    <w:rsid w:val="004D3A17"/>
    <w:rsid w:val="004D59B8"/>
    <w:rsid w:val="004D613B"/>
    <w:rsid w:val="004D6D5C"/>
    <w:rsid w:val="004D7880"/>
    <w:rsid w:val="004E1ABA"/>
    <w:rsid w:val="004E1F48"/>
    <w:rsid w:val="004F010E"/>
    <w:rsid w:val="004F06E9"/>
    <w:rsid w:val="004F282F"/>
    <w:rsid w:val="004F474D"/>
    <w:rsid w:val="004F5657"/>
    <w:rsid w:val="004F6F9D"/>
    <w:rsid w:val="00500ED9"/>
    <w:rsid w:val="00502914"/>
    <w:rsid w:val="005030DE"/>
    <w:rsid w:val="00510EC5"/>
    <w:rsid w:val="005111EE"/>
    <w:rsid w:val="005118B9"/>
    <w:rsid w:val="00511F91"/>
    <w:rsid w:val="005127C6"/>
    <w:rsid w:val="0051535F"/>
    <w:rsid w:val="00517DEB"/>
    <w:rsid w:val="00520D4F"/>
    <w:rsid w:val="00521638"/>
    <w:rsid w:val="00527B39"/>
    <w:rsid w:val="00527FE7"/>
    <w:rsid w:val="00532513"/>
    <w:rsid w:val="00532682"/>
    <w:rsid w:val="00533771"/>
    <w:rsid w:val="005362C8"/>
    <w:rsid w:val="00536302"/>
    <w:rsid w:val="00542787"/>
    <w:rsid w:val="00543BA9"/>
    <w:rsid w:val="005444BA"/>
    <w:rsid w:val="00545B0B"/>
    <w:rsid w:val="005465EC"/>
    <w:rsid w:val="005474FB"/>
    <w:rsid w:val="005515F9"/>
    <w:rsid w:val="00551DC1"/>
    <w:rsid w:val="00553B3D"/>
    <w:rsid w:val="00553F5B"/>
    <w:rsid w:val="00557218"/>
    <w:rsid w:val="00560E4B"/>
    <w:rsid w:val="00561595"/>
    <w:rsid w:val="00562FD4"/>
    <w:rsid w:val="00563EF6"/>
    <w:rsid w:val="00565731"/>
    <w:rsid w:val="00570B19"/>
    <w:rsid w:val="005710D4"/>
    <w:rsid w:val="00571DEE"/>
    <w:rsid w:val="00573114"/>
    <w:rsid w:val="005732D9"/>
    <w:rsid w:val="0057580B"/>
    <w:rsid w:val="005851A3"/>
    <w:rsid w:val="00585D99"/>
    <w:rsid w:val="00586BB3"/>
    <w:rsid w:val="00590ED7"/>
    <w:rsid w:val="005918BA"/>
    <w:rsid w:val="00592913"/>
    <w:rsid w:val="005937B9"/>
    <w:rsid w:val="0059556C"/>
    <w:rsid w:val="00597365"/>
    <w:rsid w:val="005979C6"/>
    <w:rsid w:val="005A137A"/>
    <w:rsid w:val="005A19F6"/>
    <w:rsid w:val="005A2556"/>
    <w:rsid w:val="005A3B9B"/>
    <w:rsid w:val="005A6BED"/>
    <w:rsid w:val="005B0FD4"/>
    <w:rsid w:val="005C2BDF"/>
    <w:rsid w:val="005C41AC"/>
    <w:rsid w:val="005C57DD"/>
    <w:rsid w:val="005C6319"/>
    <w:rsid w:val="005C77F1"/>
    <w:rsid w:val="005C79D7"/>
    <w:rsid w:val="005D0E20"/>
    <w:rsid w:val="005D2018"/>
    <w:rsid w:val="005D4851"/>
    <w:rsid w:val="005D7599"/>
    <w:rsid w:val="005E002B"/>
    <w:rsid w:val="005E2743"/>
    <w:rsid w:val="005E3C22"/>
    <w:rsid w:val="005E63C6"/>
    <w:rsid w:val="005F1C46"/>
    <w:rsid w:val="005F2BAE"/>
    <w:rsid w:val="005F42E7"/>
    <w:rsid w:val="005F4B07"/>
    <w:rsid w:val="005F6B84"/>
    <w:rsid w:val="005F6C60"/>
    <w:rsid w:val="005F786D"/>
    <w:rsid w:val="00601735"/>
    <w:rsid w:val="0060357E"/>
    <w:rsid w:val="006038CF"/>
    <w:rsid w:val="006038D8"/>
    <w:rsid w:val="006047B5"/>
    <w:rsid w:val="0060578C"/>
    <w:rsid w:val="0060582C"/>
    <w:rsid w:val="00606705"/>
    <w:rsid w:val="00606FEB"/>
    <w:rsid w:val="006072DC"/>
    <w:rsid w:val="00610F99"/>
    <w:rsid w:val="00611BB7"/>
    <w:rsid w:val="006132C0"/>
    <w:rsid w:val="00620F01"/>
    <w:rsid w:val="006216A0"/>
    <w:rsid w:val="00621D13"/>
    <w:rsid w:val="00623035"/>
    <w:rsid w:val="00623B12"/>
    <w:rsid w:val="006242A2"/>
    <w:rsid w:val="00631E3A"/>
    <w:rsid w:val="00632051"/>
    <w:rsid w:val="00635383"/>
    <w:rsid w:val="006353C5"/>
    <w:rsid w:val="00636A15"/>
    <w:rsid w:val="0063701C"/>
    <w:rsid w:val="00640F5A"/>
    <w:rsid w:val="006413EF"/>
    <w:rsid w:val="00642DB6"/>
    <w:rsid w:val="006506B7"/>
    <w:rsid w:val="006509C1"/>
    <w:rsid w:val="006509C4"/>
    <w:rsid w:val="006517D0"/>
    <w:rsid w:val="0065194F"/>
    <w:rsid w:val="00655850"/>
    <w:rsid w:val="006614A4"/>
    <w:rsid w:val="006626E1"/>
    <w:rsid w:val="00663D9E"/>
    <w:rsid w:val="00664F12"/>
    <w:rsid w:val="00665623"/>
    <w:rsid w:val="0066563A"/>
    <w:rsid w:val="00665AF0"/>
    <w:rsid w:val="00667CAC"/>
    <w:rsid w:val="00673F0A"/>
    <w:rsid w:val="00675D8B"/>
    <w:rsid w:val="00676717"/>
    <w:rsid w:val="00676956"/>
    <w:rsid w:val="00681372"/>
    <w:rsid w:val="00682849"/>
    <w:rsid w:val="00682EB8"/>
    <w:rsid w:val="006859E6"/>
    <w:rsid w:val="00686819"/>
    <w:rsid w:val="00686D3C"/>
    <w:rsid w:val="006902B4"/>
    <w:rsid w:val="006904AA"/>
    <w:rsid w:val="00692229"/>
    <w:rsid w:val="0069477F"/>
    <w:rsid w:val="00694A11"/>
    <w:rsid w:val="006958F3"/>
    <w:rsid w:val="00697E31"/>
    <w:rsid w:val="006A24F2"/>
    <w:rsid w:val="006A320D"/>
    <w:rsid w:val="006A4223"/>
    <w:rsid w:val="006B1C45"/>
    <w:rsid w:val="006B31FA"/>
    <w:rsid w:val="006B32DE"/>
    <w:rsid w:val="006B40BB"/>
    <w:rsid w:val="006B48F2"/>
    <w:rsid w:val="006B52D5"/>
    <w:rsid w:val="006B6905"/>
    <w:rsid w:val="006C07F3"/>
    <w:rsid w:val="006C1239"/>
    <w:rsid w:val="006C1380"/>
    <w:rsid w:val="006C2683"/>
    <w:rsid w:val="006C6D8C"/>
    <w:rsid w:val="006C7604"/>
    <w:rsid w:val="006D2C46"/>
    <w:rsid w:val="006D3F92"/>
    <w:rsid w:val="006D5662"/>
    <w:rsid w:val="006D5D6A"/>
    <w:rsid w:val="006D6C09"/>
    <w:rsid w:val="006E0BF0"/>
    <w:rsid w:val="006E213E"/>
    <w:rsid w:val="006E3141"/>
    <w:rsid w:val="006F2336"/>
    <w:rsid w:val="006F4809"/>
    <w:rsid w:val="006F7448"/>
    <w:rsid w:val="00701938"/>
    <w:rsid w:val="00701C19"/>
    <w:rsid w:val="00706275"/>
    <w:rsid w:val="00706397"/>
    <w:rsid w:val="007116BD"/>
    <w:rsid w:val="00712664"/>
    <w:rsid w:val="00716E05"/>
    <w:rsid w:val="0072141B"/>
    <w:rsid w:val="007224A8"/>
    <w:rsid w:val="00723631"/>
    <w:rsid w:val="00724AD1"/>
    <w:rsid w:val="00724CE9"/>
    <w:rsid w:val="0072612E"/>
    <w:rsid w:val="00727C91"/>
    <w:rsid w:val="0073078C"/>
    <w:rsid w:val="00730A40"/>
    <w:rsid w:val="00731329"/>
    <w:rsid w:val="00732105"/>
    <w:rsid w:val="007328B0"/>
    <w:rsid w:val="007339E3"/>
    <w:rsid w:val="007346CC"/>
    <w:rsid w:val="00736954"/>
    <w:rsid w:val="00737FBD"/>
    <w:rsid w:val="0074158A"/>
    <w:rsid w:val="00741A2E"/>
    <w:rsid w:val="00741C72"/>
    <w:rsid w:val="00745AC5"/>
    <w:rsid w:val="00747989"/>
    <w:rsid w:val="00747AA8"/>
    <w:rsid w:val="007508DC"/>
    <w:rsid w:val="007521CD"/>
    <w:rsid w:val="007534AB"/>
    <w:rsid w:val="0075626F"/>
    <w:rsid w:val="00757262"/>
    <w:rsid w:val="00757840"/>
    <w:rsid w:val="007600D2"/>
    <w:rsid w:val="007610AF"/>
    <w:rsid w:val="00761FB2"/>
    <w:rsid w:val="0076302D"/>
    <w:rsid w:val="00763305"/>
    <w:rsid w:val="00764785"/>
    <w:rsid w:val="0077051B"/>
    <w:rsid w:val="00772AC7"/>
    <w:rsid w:val="0077452F"/>
    <w:rsid w:val="007755F1"/>
    <w:rsid w:val="00777366"/>
    <w:rsid w:val="00781A77"/>
    <w:rsid w:val="007824BC"/>
    <w:rsid w:val="007841A7"/>
    <w:rsid w:val="0078428A"/>
    <w:rsid w:val="00786526"/>
    <w:rsid w:val="007868F8"/>
    <w:rsid w:val="00791F14"/>
    <w:rsid w:val="0079295D"/>
    <w:rsid w:val="0079617F"/>
    <w:rsid w:val="0079645D"/>
    <w:rsid w:val="0079699C"/>
    <w:rsid w:val="0079706A"/>
    <w:rsid w:val="00797205"/>
    <w:rsid w:val="007A0FB9"/>
    <w:rsid w:val="007A17C4"/>
    <w:rsid w:val="007A2B31"/>
    <w:rsid w:val="007A3189"/>
    <w:rsid w:val="007A3CDD"/>
    <w:rsid w:val="007A459E"/>
    <w:rsid w:val="007A6E18"/>
    <w:rsid w:val="007A7A1D"/>
    <w:rsid w:val="007A7A91"/>
    <w:rsid w:val="007B0BFE"/>
    <w:rsid w:val="007B4440"/>
    <w:rsid w:val="007B5BC9"/>
    <w:rsid w:val="007B73CC"/>
    <w:rsid w:val="007C0D6E"/>
    <w:rsid w:val="007C0FDA"/>
    <w:rsid w:val="007C1D8C"/>
    <w:rsid w:val="007C21DC"/>
    <w:rsid w:val="007C4239"/>
    <w:rsid w:val="007C5F88"/>
    <w:rsid w:val="007D3DB1"/>
    <w:rsid w:val="007D4A75"/>
    <w:rsid w:val="007D5D09"/>
    <w:rsid w:val="007D678A"/>
    <w:rsid w:val="007D680B"/>
    <w:rsid w:val="007D6A30"/>
    <w:rsid w:val="007E103F"/>
    <w:rsid w:val="007E273D"/>
    <w:rsid w:val="007E3F65"/>
    <w:rsid w:val="007E48B7"/>
    <w:rsid w:val="007E795F"/>
    <w:rsid w:val="007E7E33"/>
    <w:rsid w:val="007F2AFC"/>
    <w:rsid w:val="007F4242"/>
    <w:rsid w:val="007F490F"/>
    <w:rsid w:val="007F7942"/>
    <w:rsid w:val="007F7EC0"/>
    <w:rsid w:val="008010FF"/>
    <w:rsid w:val="0080165E"/>
    <w:rsid w:val="008037E6"/>
    <w:rsid w:val="00803E0F"/>
    <w:rsid w:val="00804998"/>
    <w:rsid w:val="00804D6A"/>
    <w:rsid w:val="008051B1"/>
    <w:rsid w:val="00807CC3"/>
    <w:rsid w:val="00807E6E"/>
    <w:rsid w:val="00810923"/>
    <w:rsid w:val="008123AF"/>
    <w:rsid w:val="00815031"/>
    <w:rsid w:val="00817C55"/>
    <w:rsid w:val="00817E7F"/>
    <w:rsid w:val="00821894"/>
    <w:rsid w:val="00825061"/>
    <w:rsid w:val="008261DC"/>
    <w:rsid w:val="00831B3D"/>
    <w:rsid w:val="00835910"/>
    <w:rsid w:val="008359F5"/>
    <w:rsid w:val="008365AD"/>
    <w:rsid w:val="00836957"/>
    <w:rsid w:val="00836DAD"/>
    <w:rsid w:val="00837556"/>
    <w:rsid w:val="008401C4"/>
    <w:rsid w:val="008405D5"/>
    <w:rsid w:val="00840D21"/>
    <w:rsid w:val="0084180D"/>
    <w:rsid w:val="00842262"/>
    <w:rsid w:val="00842FBE"/>
    <w:rsid w:val="0084428C"/>
    <w:rsid w:val="00844FD1"/>
    <w:rsid w:val="0084619D"/>
    <w:rsid w:val="008469D0"/>
    <w:rsid w:val="008507A7"/>
    <w:rsid w:val="00850840"/>
    <w:rsid w:val="008514A6"/>
    <w:rsid w:val="00852883"/>
    <w:rsid w:val="0085756D"/>
    <w:rsid w:val="008600B1"/>
    <w:rsid w:val="00860E2E"/>
    <w:rsid w:val="00862BBB"/>
    <w:rsid w:val="008640CB"/>
    <w:rsid w:val="0086551E"/>
    <w:rsid w:val="00872B9B"/>
    <w:rsid w:val="00874DA6"/>
    <w:rsid w:val="008763CE"/>
    <w:rsid w:val="008766D4"/>
    <w:rsid w:val="00876FF7"/>
    <w:rsid w:val="00881107"/>
    <w:rsid w:val="00881EA4"/>
    <w:rsid w:val="0088244C"/>
    <w:rsid w:val="00883DB9"/>
    <w:rsid w:val="00884962"/>
    <w:rsid w:val="00885107"/>
    <w:rsid w:val="008861EF"/>
    <w:rsid w:val="00890C94"/>
    <w:rsid w:val="00893E37"/>
    <w:rsid w:val="008948DC"/>
    <w:rsid w:val="00894B17"/>
    <w:rsid w:val="00894B97"/>
    <w:rsid w:val="0089752F"/>
    <w:rsid w:val="00897727"/>
    <w:rsid w:val="008A0410"/>
    <w:rsid w:val="008A06D5"/>
    <w:rsid w:val="008A0DF6"/>
    <w:rsid w:val="008A0EA6"/>
    <w:rsid w:val="008A19C1"/>
    <w:rsid w:val="008B1138"/>
    <w:rsid w:val="008B2401"/>
    <w:rsid w:val="008B28C0"/>
    <w:rsid w:val="008B2B28"/>
    <w:rsid w:val="008B61A8"/>
    <w:rsid w:val="008B61B7"/>
    <w:rsid w:val="008B781A"/>
    <w:rsid w:val="008C1E6A"/>
    <w:rsid w:val="008C3178"/>
    <w:rsid w:val="008C4CC7"/>
    <w:rsid w:val="008C531D"/>
    <w:rsid w:val="008C5C92"/>
    <w:rsid w:val="008C64B0"/>
    <w:rsid w:val="008C7756"/>
    <w:rsid w:val="008D05BB"/>
    <w:rsid w:val="008D0F50"/>
    <w:rsid w:val="008D14DB"/>
    <w:rsid w:val="008D1F56"/>
    <w:rsid w:val="008D2151"/>
    <w:rsid w:val="008D42DD"/>
    <w:rsid w:val="008E0CDA"/>
    <w:rsid w:val="008E46D2"/>
    <w:rsid w:val="008E4A55"/>
    <w:rsid w:val="008E5AFA"/>
    <w:rsid w:val="008E5E29"/>
    <w:rsid w:val="008F409A"/>
    <w:rsid w:val="008F5A8E"/>
    <w:rsid w:val="008F6D88"/>
    <w:rsid w:val="009002B1"/>
    <w:rsid w:val="00901588"/>
    <w:rsid w:val="00901762"/>
    <w:rsid w:val="009047A9"/>
    <w:rsid w:val="009047C1"/>
    <w:rsid w:val="0091065C"/>
    <w:rsid w:val="00910821"/>
    <w:rsid w:val="00910CFE"/>
    <w:rsid w:val="00912390"/>
    <w:rsid w:val="009131F8"/>
    <w:rsid w:val="009162B9"/>
    <w:rsid w:val="009207D6"/>
    <w:rsid w:val="00921ED8"/>
    <w:rsid w:val="00922C03"/>
    <w:rsid w:val="00924BA6"/>
    <w:rsid w:val="0092533A"/>
    <w:rsid w:val="009259B0"/>
    <w:rsid w:val="0092650C"/>
    <w:rsid w:val="009301C1"/>
    <w:rsid w:val="00930B87"/>
    <w:rsid w:val="00930CE8"/>
    <w:rsid w:val="00933CC5"/>
    <w:rsid w:val="009343AF"/>
    <w:rsid w:val="00934C7C"/>
    <w:rsid w:val="00934E2B"/>
    <w:rsid w:val="009350F4"/>
    <w:rsid w:val="009359CE"/>
    <w:rsid w:val="00935A19"/>
    <w:rsid w:val="00937108"/>
    <w:rsid w:val="009414F8"/>
    <w:rsid w:val="00941944"/>
    <w:rsid w:val="00943AE9"/>
    <w:rsid w:val="009507A6"/>
    <w:rsid w:val="00951411"/>
    <w:rsid w:val="009571D9"/>
    <w:rsid w:val="00960B6A"/>
    <w:rsid w:val="00963700"/>
    <w:rsid w:val="009641FB"/>
    <w:rsid w:val="009664B5"/>
    <w:rsid w:val="00967925"/>
    <w:rsid w:val="009721D9"/>
    <w:rsid w:val="009726B7"/>
    <w:rsid w:val="0097379B"/>
    <w:rsid w:val="009737BF"/>
    <w:rsid w:val="0097468D"/>
    <w:rsid w:val="00977452"/>
    <w:rsid w:val="0098122C"/>
    <w:rsid w:val="0098296E"/>
    <w:rsid w:val="00983043"/>
    <w:rsid w:val="00984B49"/>
    <w:rsid w:val="009858B3"/>
    <w:rsid w:val="00986467"/>
    <w:rsid w:val="009877B3"/>
    <w:rsid w:val="009906EB"/>
    <w:rsid w:val="0099243C"/>
    <w:rsid w:val="00993457"/>
    <w:rsid w:val="00995726"/>
    <w:rsid w:val="009960F4"/>
    <w:rsid w:val="00997EAE"/>
    <w:rsid w:val="009A1408"/>
    <w:rsid w:val="009A27C9"/>
    <w:rsid w:val="009A30DE"/>
    <w:rsid w:val="009A3666"/>
    <w:rsid w:val="009A3BA9"/>
    <w:rsid w:val="009A4394"/>
    <w:rsid w:val="009A52FD"/>
    <w:rsid w:val="009A6719"/>
    <w:rsid w:val="009B04C0"/>
    <w:rsid w:val="009B25BB"/>
    <w:rsid w:val="009B27CB"/>
    <w:rsid w:val="009B2999"/>
    <w:rsid w:val="009B51B4"/>
    <w:rsid w:val="009B53B6"/>
    <w:rsid w:val="009B58B4"/>
    <w:rsid w:val="009B596A"/>
    <w:rsid w:val="009B737B"/>
    <w:rsid w:val="009B7C00"/>
    <w:rsid w:val="009C046B"/>
    <w:rsid w:val="009C0518"/>
    <w:rsid w:val="009C0D9A"/>
    <w:rsid w:val="009C17BB"/>
    <w:rsid w:val="009C237F"/>
    <w:rsid w:val="009C3039"/>
    <w:rsid w:val="009C5909"/>
    <w:rsid w:val="009C5917"/>
    <w:rsid w:val="009D3C7B"/>
    <w:rsid w:val="009D408F"/>
    <w:rsid w:val="009D5C3A"/>
    <w:rsid w:val="009D5CF9"/>
    <w:rsid w:val="009D7312"/>
    <w:rsid w:val="009E04C8"/>
    <w:rsid w:val="009E1C02"/>
    <w:rsid w:val="009E226B"/>
    <w:rsid w:val="009E2A2C"/>
    <w:rsid w:val="009E3D40"/>
    <w:rsid w:val="009E5464"/>
    <w:rsid w:val="009E5695"/>
    <w:rsid w:val="009E58F2"/>
    <w:rsid w:val="009F02D6"/>
    <w:rsid w:val="009F0EBE"/>
    <w:rsid w:val="009F3B58"/>
    <w:rsid w:val="009F7189"/>
    <w:rsid w:val="00A016DA"/>
    <w:rsid w:val="00A018AF"/>
    <w:rsid w:val="00A02D0A"/>
    <w:rsid w:val="00A02FDE"/>
    <w:rsid w:val="00A057CB"/>
    <w:rsid w:val="00A06895"/>
    <w:rsid w:val="00A07669"/>
    <w:rsid w:val="00A12C59"/>
    <w:rsid w:val="00A15A07"/>
    <w:rsid w:val="00A16ED6"/>
    <w:rsid w:val="00A202DF"/>
    <w:rsid w:val="00A206A3"/>
    <w:rsid w:val="00A24C3F"/>
    <w:rsid w:val="00A24EB4"/>
    <w:rsid w:val="00A25447"/>
    <w:rsid w:val="00A27ABA"/>
    <w:rsid w:val="00A3071B"/>
    <w:rsid w:val="00A338FE"/>
    <w:rsid w:val="00A36064"/>
    <w:rsid w:val="00A3768E"/>
    <w:rsid w:val="00A37980"/>
    <w:rsid w:val="00A4516C"/>
    <w:rsid w:val="00A50273"/>
    <w:rsid w:val="00A50B52"/>
    <w:rsid w:val="00A520BA"/>
    <w:rsid w:val="00A534C4"/>
    <w:rsid w:val="00A55B91"/>
    <w:rsid w:val="00A56258"/>
    <w:rsid w:val="00A56FCA"/>
    <w:rsid w:val="00A608AB"/>
    <w:rsid w:val="00A6181C"/>
    <w:rsid w:val="00A637E3"/>
    <w:rsid w:val="00A63947"/>
    <w:rsid w:val="00A64CF2"/>
    <w:rsid w:val="00A64E59"/>
    <w:rsid w:val="00A70ADE"/>
    <w:rsid w:val="00A7214D"/>
    <w:rsid w:val="00A73A88"/>
    <w:rsid w:val="00A74446"/>
    <w:rsid w:val="00A754F0"/>
    <w:rsid w:val="00A76A4C"/>
    <w:rsid w:val="00A77F99"/>
    <w:rsid w:val="00A80D41"/>
    <w:rsid w:val="00A80DBF"/>
    <w:rsid w:val="00A82D23"/>
    <w:rsid w:val="00A8546C"/>
    <w:rsid w:val="00A8548E"/>
    <w:rsid w:val="00A85806"/>
    <w:rsid w:val="00A912A2"/>
    <w:rsid w:val="00A9238B"/>
    <w:rsid w:val="00A94E62"/>
    <w:rsid w:val="00A96911"/>
    <w:rsid w:val="00A970AA"/>
    <w:rsid w:val="00AA02CE"/>
    <w:rsid w:val="00AA2E64"/>
    <w:rsid w:val="00AA31EB"/>
    <w:rsid w:val="00AA3519"/>
    <w:rsid w:val="00AA548B"/>
    <w:rsid w:val="00AB1835"/>
    <w:rsid w:val="00AB202E"/>
    <w:rsid w:val="00AB703A"/>
    <w:rsid w:val="00AC2717"/>
    <w:rsid w:val="00AC4235"/>
    <w:rsid w:val="00AC7327"/>
    <w:rsid w:val="00AD1826"/>
    <w:rsid w:val="00AD1E95"/>
    <w:rsid w:val="00AD2C76"/>
    <w:rsid w:val="00AD3CBD"/>
    <w:rsid w:val="00AE0195"/>
    <w:rsid w:val="00AE2F00"/>
    <w:rsid w:val="00AE3A07"/>
    <w:rsid w:val="00AE6337"/>
    <w:rsid w:val="00AE77F3"/>
    <w:rsid w:val="00AF1DDE"/>
    <w:rsid w:val="00AF2F97"/>
    <w:rsid w:val="00AF3FB8"/>
    <w:rsid w:val="00AF4B66"/>
    <w:rsid w:val="00AF5B5C"/>
    <w:rsid w:val="00AF63A1"/>
    <w:rsid w:val="00B0071C"/>
    <w:rsid w:val="00B01D20"/>
    <w:rsid w:val="00B03932"/>
    <w:rsid w:val="00B03F2F"/>
    <w:rsid w:val="00B0499E"/>
    <w:rsid w:val="00B0636E"/>
    <w:rsid w:val="00B10F27"/>
    <w:rsid w:val="00B1130B"/>
    <w:rsid w:val="00B125BB"/>
    <w:rsid w:val="00B14EC1"/>
    <w:rsid w:val="00B155BA"/>
    <w:rsid w:val="00B1613A"/>
    <w:rsid w:val="00B2206E"/>
    <w:rsid w:val="00B22A28"/>
    <w:rsid w:val="00B22D8F"/>
    <w:rsid w:val="00B23D69"/>
    <w:rsid w:val="00B243F9"/>
    <w:rsid w:val="00B26202"/>
    <w:rsid w:val="00B34B54"/>
    <w:rsid w:val="00B35D8E"/>
    <w:rsid w:val="00B36E69"/>
    <w:rsid w:val="00B415E1"/>
    <w:rsid w:val="00B4175F"/>
    <w:rsid w:val="00B45624"/>
    <w:rsid w:val="00B45BFA"/>
    <w:rsid w:val="00B474C9"/>
    <w:rsid w:val="00B47803"/>
    <w:rsid w:val="00B55801"/>
    <w:rsid w:val="00B55CA1"/>
    <w:rsid w:val="00B56884"/>
    <w:rsid w:val="00B62394"/>
    <w:rsid w:val="00B63DAF"/>
    <w:rsid w:val="00B65698"/>
    <w:rsid w:val="00B711C3"/>
    <w:rsid w:val="00B72D7B"/>
    <w:rsid w:val="00B73089"/>
    <w:rsid w:val="00B7486F"/>
    <w:rsid w:val="00B766C4"/>
    <w:rsid w:val="00B76C58"/>
    <w:rsid w:val="00B80EB1"/>
    <w:rsid w:val="00B8141D"/>
    <w:rsid w:val="00B82461"/>
    <w:rsid w:val="00B83AE2"/>
    <w:rsid w:val="00B8538C"/>
    <w:rsid w:val="00B86049"/>
    <w:rsid w:val="00B86916"/>
    <w:rsid w:val="00B86EEF"/>
    <w:rsid w:val="00B8701E"/>
    <w:rsid w:val="00B91054"/>
    <w:rsid w:val="00B92E11"/>
    <w:rsid w:val="00B93E3A"/>
    <w:rsid w:val="00BA0B4B"/>
    <w:rsid w:val="00BA0C50"/>
    <w:rsid w:val="00BA18C5"/>
    <w:rsid w:val="00BA24AA"/>
    <w:rsid w:val="00BA2C01"/>
    <w:rsid w:val="00BA3C13"/>
    <w:rsid w:val="00BA6914"/>
    <w:rsid w:val="00BA6DE1"/>
    <w:rsid w:val="00BB3371"/>
    <w:rsid w:val="00BB362A"/>
    <w:rsid w:val="00BB4CC1"/>
    <w:rsid w:val="00BB7B3F"/>
    <w:rsid w:val="00BB7BF9"/>
    <w:rsid w:val="00BB7F27"/>
    <w:rsid w:val="00BC1F44"/>
    <w:rsid w:val="00BC2FD5"/>
    <w:rsid w:val="00BC3EA8"/>
    <w:rsid w:val="00BD0474"/>
    <w:rsid w:val="00BD168E"/>
    <w:rsid w:val="00BD1EEB"/>
    <w:rsid w:val="00BD2402"/>
    <w:rsid w:val="00BD45B0"/>
    <w:rsid w:val="00BD5436"/>
    <w:rsid w:val="00BD5A83"/>
    <w:rsid w:val="00BE12F1"/>
    <w:rsid w:val="00BE1C3C"/>
    <w:rsid w:val="00BE487F"/>
    <w:rsid w:val="00BF0824"/>
    <w:rsid w:val="00BF146C"/>
    <w:rsid w:val="00BF4556"/>
    <w:rsid w:val="00BF469B"/>
    <w:rsid w:val="00BF4C8E"/>
    <w:rsid w:val="00BF5A95"/>
    <w:rsid w:val="00BF7E9B"/>
    <w:rsid w:val="00C01307"/>
    <w:rsid w:val="00C03A3A"/>
    <w:rsid w:val="00C06EF0"/>
    <w:rsid w:val="00C07507"/>
    <w:rsid w:val="00C07BEC"/>
    <w:rsid w:val="00C106BB"/>
    <w:rsid w:val="00C1289D"/>
    <w:rsid w:val="00C13ECF"/>
    <w:rsid w:val="00C145E4"/>
    <w:rsid w:val="00C153D0"/>
    <w:rsid w:val="00C2021C"/>
    <w:rsid w:val="00C20D67"/>
    <w:rsid w:val="00C246C2"/>
    <w:rsid w:val="00C2476E"/>
    <w:rsid w:val="00C2479E"/>
    <w:rsid w:val="00C26B0F"/>
    <w:rsid w:val="00C27141"/>
    <w:rsid w:val="00C30BD9"/>
    <w:rsid w:val="00C3337F"/>
    <w:rsid w:val="00C34383"/>
    <w:rsid w:val="00C36CB6"/>
    <w:rsid w:val="00C412D6"/>
    <w:rsid w:val="00C41530"/>
    <w:rsid w:val="00C41876"/>
    <w:rsid w:val="00C45177"/>
    <w:rsid w:val="00C46681"/>
    <w:rsid w:val="00C46A74"/>
    <w:rsid w:val="00C47997"/>
    <w:rsid w:val="00C50111"/>
    <w:rsid w:val="00C50593"/>
    <w:rsid w:val="00C507A7"/>
    <w:rsid w:val="00C510AA"/>
    <w:rsid w:val="00C51AD8"/>
    <w:rsid w:val="00C55238"/>
    <w:rsid w:val="00C6007B"/>
    <w:rsid w:val="00C60BE1"/>
    <w:rsid w:val="00C61037"/>
    <w:rsid w:val="00C70080"/>
    <w:rsid w:val="00C70208"/>
    <w:rsid w:val="00C7183E"/>
    <w:rsid w:val="00C733A1"/>
    <w:rsid w:val="00C73777"/>
    <w:rsid w:val="00C73F58"/>
    <w:rsid w:val="00C7423C"/>
    <w:rsid w:val="00C75186"/>
    <w:rsid w:val="00C75B83"/>
    <w:rsid w:val="00C771F9"/>
    <w:rsid w:val="00C8261B"/>
    <w:rsid w:val="00C83566"/>
    <w:rsid w:val="00C8589A"/>
    <w:rsid w:val="00C9111D"/>
    <w:rsid w:val="00C92133"/>
    <w:rsid w:val="00C921F7"/>
    <w:rsid w:val="00C925A4"/>
    <w:rsid w:val="00C92954"/>
    <w:rsid w:val="00C940E3"/>
    <w:rsid w:val="00C9605F"/>
    <w:rsid w:val="00C9654F"/>
    <w:rsid w:val="00C96A0F"/>
    <w:rsid w:val="00CA2195"/>
    <w:rsid w:val="00CA506C"/>
    <w:rsid w:val="00CA5BC3"/>
    <w:rsid w:val="00CA61F9"/>
    <w:rsid w:val="00CA65E2"/>
    <w:rsid w:val="00CA66F5"/>
    <w:rsid w:val="00CA6A47"/>
    <w:rsid w:val="00CA6E67"/>
    <w:rsid w:val="00CA7239"/>
    <w:rsid w:val="00CB0341"/>
    <w:rsid w:val="00CB0946"/>
    <w:rsid w:val="00CB0C0B"/>
    <w:rsid w:val="00CB2640"/>
    <w:rsid w:val="00CB5092"/>
    <w:rsid w:val="00CB567E"/>
    <w:rsid w:val="00CB7103"/>
    <w:rsid w:val="00CB7344"/>
    <w:rsid w:val="00CB78D5"/>
    <w:rsid w:val="00CC0630"/>
    <w:rsid w:val="00CC4245"/>
    <w:rsid w:val="00CC458A"/>
    <w:rsid w:val="00CC49A3"/>
    <w:rsid w:val="00CC5862"/>
    <w:rsid w:val="00CC733B"/>
    <w:rsid w:val="00CD333D"/>
    <w:rsid w:val="00CD521D"/>
    <w:rsid w:val="00CD60E7"/>
    <w:rsid w:val="00CD670F"/>
    <w:rsid w:val="00CE0624"/>
    <w:rsid w:val="00CE17DD"/>
    <w:rsid w:val="00CE4541"/>
    <w:rsid w:val="00CE4DBC"/>
    <w:rsid w:val="00CE4E84"/>
    <w:rsid w:val="00CE7320"/>
    <w:rsid w:val="00CF00BE"/>
    <w:rsid w:val="00CF1E9D"/>
    <w:rsid w:val="00CF43FB"/>
    <w:rsid w:val="00CF5289"/>
    <w:rsid w:val="00CF5B70"/>
    <w:rsid w:val="00CF7694"/>
    <w:rsid w:val="00CF7704"/>
    <w:rsid w:val="00D0589C"/>
    <w:rsid w:val="00D061D4"/>
    <w:rsid w:val="00D11553"/>
    <w:rsid w:val="00D11BB8"/>
    <w:rsid w:val="00D12F60"/>
    <w:rsid w:val="00D15C59"/>
    <w:rsid w:val="00D17D39"/>
    <w:rsid w:val="00D2047A"/>
    <w:rsid w:val="00D247A8"/>
    <w:rsid w:val="00D25C74"/>
    <w:rsid w:val="00D26486"/>
    <w:rsid w:val="00D344B8"/>
    <w:rsid w:val="00D349B3"/>
    <w:rsid w:val="00D405A7"/>
    <w:rsid w:val="00D425A3"/>
    <w:rsid w:val="00D4420C"/>
    <w:rsid w:val="00D53011"/>
    <w:rsid w:val="00D53263"/>
    <w:rsid w:val="00D55465"/>
    <w:rsid w:val="00D5594C"/>
    <w:rsid w:val="00D559E1"/>
    <w:rsid w:val="00D5605E"/>
    <w:rsid w:val="00D600A2"/>
    <w:rsid w:val="00D6157A"/>
    <w:rsid w:val="00D6351A"/>
    <w:rsid w:val="00D6377C"/>
    <w:rsid w:val="00D63D1C"/>
    <w:rsid w:val="00D64569"/>
    <w:rsid w:val="00D66C94"/>
    <w:rsid w:val="00D67D80"/>
    <w:rsid w:val="00D73449"/>
    <w:rsid w:val="00D73D1F"/>
    <w:rsid w:val="00D7440E"/>
    <w:rsid w:val="00D76C61"/>
    <w:rsid w:val="00D77C3F"/>
    <w:rsid w:val="00D804AB"/>
    <w:rsid w:val="00D82FC8"/>
    <w:rsid w:val="00D8387E"/>
    <w:rsid w:val="00D850BD"/>
    <w:rsid w:val="00D857B9"/>
    <w:rsid w:val="00D85D3D"/>
    <w:rsid w:val="00D8621C"/>
    <w:rsid w:val="00D86BB4"/>
    <w:rsid w:val="00D876BD"/>
    <w:rsid w:val="00D904F0"/>
    <w:rsid w:val="00D921F8"/>
    <w:rsid w:val="00D930D3"/>
    <w:rsid w:val="00D93122"/>
    <w:rsid w:val="00D93153"/>
    <w:rsid w:val="00D94B85"/>
    <w:rsid w:val="00D954E2"/>
    <w:rsid w:val="00D95588"/>
    <w:rsid w:val="00D976B1"/>
    <w:rsid w:val="00DA0072"/>
    <w:rsid w:val="00DA270E"/>
    <w:rsid w:val="00DA2A23"/>
    <w:rsid w:val="00DA2D32"/>
    <w:rsid w:val="00DA4298"/>
    <w:rsid w:val="00DA49AF"/>
    <w:rsid w:val="00DA572C"/>
    <w:rsid w:val="00DA6F51"/>
    <w:rsid w:val="00DB16B0"/>
    <w:rsid w:val="00DB28EA"/>
    <w:rsid w:val="00DB3307"/>
    <w:rsid w:val="00DB445C"/>
    <w:rsid w:val="00DB5058"/>
    <w:rsid w:val="00DB5CA3"/>
    <w:rsid w:val="00DB69F9"/>
    <w:rsid w:val="00DB6B4E"/>
    <w:rsid w:val="00DB6B5F"/>
    <w:rsid w:val="00DB7B76"/>
    <w:rsid w:val="00DB7F0C"/>
    <w:rsid w:val="00DC33A5"/>
    <w:rsid w:val="00DC3BCB"/>
    <w:rsid w:val="00DC60E3"/>
    <w:rsid w:val="00DC64D0"/>
    <w:rsid w:val="00DC789E"/>
    <w:rsid w:val="00DD1A0C"/>
    <w:rsid w:val="00DD2B36"/>
    <w:rsid w:val="00DD35D6"/>
    <w:rsid w:val="00DD3E0B"/>
    <w:rsid w:val="00DD446B"/>
    <w:rsid w:val="00DD612D"/>
    <w:rsid w:val="00DD7D19"/>
    <w:rsid w:val="00DE0628"/>
    <w:rsid w:val="00DE06ED"/>
    <w:rsid w:val="00DE14E0"/>
    <w:rsid w:val="00DE450A"/>
    <w:rsid w:val="00DE6293"/>
    <w:rsid w:val="00DE7230"/>
    <w:rsid w:val="00DF05CF"/>
    <w:rsid w:val="00DF0F14"/>
    <w:rsid w:val="00DF2531"/>
    <w:rsid w:val="00DF2557"/>
    <w:rsid w:val="00DF4546"/>
    <w:rsid w:val="00DF71CC"/>
    <w:rsid w:val="00DF7333"/>
    <w:rsid w:val="00E021FC"/>
    <w:rsid w:val="00E0369E"/>
    <w:rsid w:val="00E0385F"/>
    <w:rsid w:val="00E04924"/>
    <w:rsid w:val="00E067BC"/>
    <w:rsid w:val="00E076BE"/>
    <w:rsid w:val="00E1062B"/>
    <w:rsid w:val="00E10A94"/>
    <w:rsid w:val="00E10B27"/>
    <w:rsid w:val="00E1466A"/>
    <w:rsid w:val="00E213CA"/>
    <w:rsid w:val="00E24B3F"/>
    <w:rsid w:val="00E26112"/>
    <w:rsid w:val="00E271CE"/>
    <w:rsid w:val="00E27FF3"/>
    <w:rsid w:val="00E30549"/>
    <w:rsid w:val="00E3225D"/>
    <w:rsid w:val="00E32C48"/>
    <w:rsid w:val="00E33521"/>
    <w:rsid w:val="00E33F5A"/>
    <w:rsid w:val="00E34733"/>
    <w:rsid w:val="00E3484C"/>
    <w:rsid w:val="00E41167"/>
    <w:rsid w:val="00E42C3E"/>
    <w:rsid w:val="00E44282"/>
    <w:rsid w:val="00E455DC"/>
    <w:rsid w:val="00E510BB"/>
    <w:rsid w:val="00E531F0"/>
    <w:rsid w:val="00E553CF"/>
    <w:rsid w:val="00E612E7"/>
    <w:rsid w:val="00E661CB"/>
    <w:rsid w:val="00E70A26"/>
    <w:rsid w:val="00E70B83"/>
    <w:rsid w:val="00E7275F"/>
    <w:rsid w:val="00E738D3"/>
    <w:rsid w:val="00E74315"/>
    <w:rsid w:val="00E75CF2"/>
    <w:rsid w:val="00E76405"/>
    <w:rsid w:val="00E80AB2"/>
    <w:rsid w:val="00E80BE9"/>
    <w:rsid w:val="00E812DC"/>
    <w:rsid w:val="00E818C9"/>
    <w:rsid w:val="00E81C88"/>
    <w:rsid w:val="00E827B5"/>
    <w:rsid w:val="00E82E1A"/>
    <w:rsid w:val="00E8494E"/>
    <w:rsid w:val="00E87B16"/>
    <w:rsid w:val="00E87F17"/>
    <w:rsid w:val="00E90A34"/>
    <w:rsid w:val="00E919FA"/>
    <w:rsid w:val="00E92123"/>
    <w:rsid w:val="00E92451"/>
    <w:rsid w:val="00E9501E"/>
    <w:rsid w:val="00E953C7"/>
    <w:rsid w:val="00E95FAD"/>
    <w:rsid w:val="00E96989"/>
    <w:rsid w:val="00E971FB"/>
    <w:rsid w:val="00EA2165"/>
    <w:rsid w:val="00EA34F9"/>
    <w:rsid w:val="00EA4399"/>
    <w:rsid w:val="00EA5AC6"/>
    <w:rsid w:val="00EA5E11"/>
    <w:rsid w:val="00EA7139"/>
    <w:rsid w:val="00EB2AE6"/>
    <w:rsid w:val="00EB3C8E"/>
    <w:rsid w:val="00EB4988"/>
    <w:rsid w:val="00EB5457"/>
    <w:rsid w:val="00EB59BE"/>
    <w:rsid w:val="00EB69C6"/>
    <w:rsid w:val="00EB7F8B"/>
    <w:rsid w:val="00EC18AB"/>
    <w:rsid w:val="00EC1DB0"/>
    <w:rsid w:val="00EC277E"/>
    <w:rsid w:val="00EC4A84"/>
    <w:rsid w:val="00EC5C4E"/>
    <w:rsid w:val="00ED510A"/>
    <w:rsid w:val="00ED527B"/>
    <w:rsid w:val="00ED6544"/>
    <w:rsid w:val="00ED694D"/>
    <w:rsid w:val="00ED6C84"/>
    <w:rsid w:val="00EE1094"/>
    <w:rsid w:val="00EE1C20"/>
    <w:rsid w:val="00EE2B64"/>
    <w:rsid w:val="00EE380E"/>
    <w:rsid w:val="00EE3F75"/>
    <w:rsid w:val="00EE4D34"/>
    <w:rsid w:val="00EE53DF"/>
    <w:rsid w:val="00EE5EF8"/>
    <w:rsid w:val="00EE5F9B"/>
    <w:rsid w:val="00EE6374"/>
    <w:rsid w:val="00EE6673"/>
    <w:rsid w:val="00EE6935"/>
    <w:rsid w:val="00EF043F"/>
    <w:rsid w:val="00EF233F"/>
    <w:rsid w:val="00EF36A8"/>
    <w:rsid w:val="00EF36DE"/>
    <w:rsid w:val="00EF372A"/>
    <w:rsid w:val="00EF54E7"/>
    <w:rsid w:val="00EF5F24"/>
    <w:rsid w:val="00EF7D4B"/>
    <w:rsid w:val="00F01911"/>
    <w:rsid w:val="00F021A3"/>
    <w:rsid w:val="00F03583"/>
    <w:rsid w:val="00F038AC"/>
    <w:rsid w:val="00F075B6"/>
    <w:rsid w:val="00F1014B"/>
    <w:rsid w:val="00F10C14"/>
    <w:rsid w:val="00F11C1A"/>
    <w:rsid w:val="00F132E3"/>
    <w:rsid w:val="00F14EAF"/>
    <w:rsid w:val="00F15957"/>
    <w:rsid w:val="00F202D6"/>
    <w:rsid w:val="00F21B72"/>
    <w:rsid w:val="00F229BE"/>
    <w:rsid w:val="00F230AF"/>
    <w:rsid w:val="00F23F99"/>
    <w:rsid w:val="00F25920"/>
    <w:rsid w:val="00F260FD"/>
    <w:rsid w:val="00F27714"/>
    <w:rsid w:val="00F27778"/>
    <w:rsid w:val="00F27F52"/>
    <w:rsid w:val="00F304EC"/>
    <w:rsid w:val="00F31862"/>
    <w:rsid w:val="00F31D69"/>
    <w:rsid w:val="00F32100"/>
    <w:rsid w:val="00F343A8"/>
    <w:rsid w:val="00F3647C"/>
    <w:rsid w:val="00F365BB"/>
    <w:rsid w:val="00F46C53"/>
    <w:rsid w:val="00F46FA7"/>
    <w:rsid w:val="00F474F3"/>
    <w:rsid w:val="00F5002D"/>
    <w:rsid w:val="00F50F86"/>
    <w:rsid w:val="00F53986"/>
    <w:rsid w:val="00F544B1"/>
    <w:rsid w:val="00F55166"/>
    <w:rsid w:val="00F56403"/>
    <w:rsid w:val="00F56592"/>
    <w:rsid w:val="00F5710D"/>
    <w:rsid w:val="00F606CA"/>
    <w:rsid w:val="00F613B2"/>
    <w:rsid w:val="00F61547"/>
    <w:rsid w:val="00F61745"/>
    <w:rsid w:val="00F6299C"/>
    <w:rsid w:val="00F65046"/>
    <w:rsid w:val="00F65C9C"/>
    <w:rsid w:val="00F66C89"/>
    <w:rsid w:val="00F6711B"/>
    <w:rsid w:val="00F708FC"/>
    <w:rsid w:val="00F742B4"/>
    <w:rsid w:val="00F76BD4"/>
    <w:rsid w:val="00F7745F"/>
    <w:rsid w:val="00F8228C"/>
    <w:rsid w:val="00F829C1"/>
    <w:rsid w:val="00F845E1"/>
    <w:rsid w:val="00F8669C"/>
    <w:rsid w:val="00F86B7D"/>
    <w:rsid w:val="00F916D5"/>
    <w:rsid w:val="00F93D2F"/>
    <w:rsid w:val="00F96957"/>
    <w:rsid w:val="00F974CF"/>
    <w:rsid w:val="00F979F8"/>
    <w:rsid w:val="00FA051C"/>
    <w:rsid w:val="00FA0933"/>
    <w:rsid w:val="00FA5AA1"/>
    <w:rsid w:val="00FA73E8"/>
    <w:rsid w:val="00FA7F0A"/>
    <w:rsid w:val="00FB0675"/>
    <w:rsid w:val="00FB0A7F"/>
    <w:rsid w:val="00FB32E9"/>
    <w:rsid w:val="00FB4922"/>
    <w:rsid w:val="00FB5566"/>
    <w:rsid w:val="00FB55BC"/>
    <w:rsid w:val="00FB6360"/>
    <w:rsid w:val="00FB72BC"/>
    <w:rsid w:val="00FB781B"/>
    <w:rsid w:val="00FC06F6"/>
    <w:rsid w:val="00FC0A33"/>
    <w:rsid w:val="00FC36AF"/>
    <w:rsid w:val="00FC40C1"/>
    <w:rsid w:val="00FC4A52"/>
    <w:rsid w:val="00FC7D49"/>
    <w:rsid w:val="00FD1ED4"/>
    <w:rsid w:val="00FD2D6B"/>
    <w:rsid w:val="00FD3BC1"/>
    <w:rsid w:val="00FD52EF"/>
    <w:rsid w:val="00FD72B3"/>
    <w:rsid w:val="00FE3AF7"/>
    <w:rsid w:val="00FE47B9"/>
    <w:rsid w:val="00FE5684"/>
    <w:rsid w:val="00FE5AAF"/>
    <w:rsid w:val="00FE7409"/>
    <w:rsid w:val="00FF217B"/>
    <w:rsid w:val="00FF257A"/>
    <w:rsid w:val="00FF41DD"/>
    <w:rsid w:val="00FF42DD"/>
    <w:rsid w:val="00FF6D3A"/>
    <w:rsid w:val="00FF7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3B33FC8-9B2F-4014-A975-90D6629F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C02"/>
    <w:pPr>
      <w:suppressAutoHyphens/>
    </w:pPr>
    <w:rPr>
      <w:kern w:val="1"/>
      <w:sz w:val="24"/>
      <w:szCs w:val="24"/>
      <w:lang w:eastAsia="ar-SA"/>
    </w:rPr>
  </w:style>
  <w:style w:type="paragraph" w:styleId="Virsraksts2">
    <w:name w:val="heading 2"/>
    <w:basedOn w:val="Parasts"/>
    <w:next w:val="Parasts"/>
    <w:link w:val="Virsraksts2Rakstz"/>
    <w:qFormat/>
    <w:rsid w:val="001A3D7D"/>
    <w:pPr>
      <w:keepNext/>
      <w:suppressAutoHyphens w:val="0"/>
      <w:spacing w:before="240" w:after="60"/>
      <w:outlineLvl w:val="1"/>
    </w:pPr>
    <w:rPr>
      <w:rFonts w:ascii="Cambria" w:hAnsi="Cambria"/>
      <w:b/>
      <w:bCs/>
      <w:i/>
      <w:iCs/>
      <w:kern w:val="0"/>
      <w:sz w:val="28"/>
      <w:szCs w:val="28"/>
      <w:lang w:val="x-none" w:eastAsia="x-none"/>
    </w:rPr>
  </w:style>
  <w:style w:type="paragraph" w:styleId="Virsraksts3">
    <w:name w:val="heading 3"/>
    <w:basedOn w:val="Parasts"/>
    <w:next w:val="Parasts"/>
    <w:qFormat/>
    <w:rsid w:val="00281C94"/>
    <w:pPr>
      <w:keepNext/>
      <w:spacing w:before="240" w:after="60"/>
      <w:outlineLvl w:val="2"/>
    </w:pPr>
    <w:rPr>
      <w:rFonts w:ascii="Arial" w:hAnsi="Arial" w:cs="Arial"/>
      <w:b/>
      <w:bCs/>
      <w:sz w:val="26"/>
      <w:szCs w:val="26"/>
    </w:rPr>
  </w:style>
  <w:style w:type="paragraph" w:styleId="Virsraksts4">
    <w:name w:val="heading 4"/>
    <w:basedOn w:val="Parasts"/>
    <w:next w:val="Pamatteksts"/>
    <w:qFormat/>
    <w:pPr>
      <w:numPr>
        <w:ilvl w:val="3"/>
        <w:numId w:val="1"/>
      </w:numPr>
      <w:spacing w:before="280" w:after="280"/>
      <w:outlineLvl w:val="3"/>
    </w:pPr>
    <w:rPr>
      <w:b/>
      <w:bCs/>
    </w:rPr>
  </w:style>
  <w:style w:type="paragraph" w:styleId="Virsraksts5">
    <w:name w:val="heading 5"/>
    <w:basedOn w:val="Parasts"/>
    <w:next w:val="Parasts"/>
    <w:qFormat/>
    <w:rsid w:val="00781A77"/>
    <w:pPr>
      <w:spacing w:before="240" w:after="60"/>
      <w:outlineLvl w:val="4"/>
    </w:pPr>
    <w:rPr>
      <w:b/>
      <w:bCs/>
      <w:i/>
      <w:iCs/>
      <w:sz w:val="26"/>
      <w:szCs w:val="26"/>
    </w:rPr>
  </w:style>
  <w:style w:type="paragraph" w:styleId="Virsraksts8">
    <w:name w:val="heading 8"/>
    <w:basedOn w:val="Parasts"/>
    <w:next w:val="Parasts"/>
    <w:qFormat/>
    <w:rsid w:val="00781A77"/>
    <w:pPr>
      <w:suppressAutoHyphens w:val="0"/>
      <w:spacing w:before="240" w:after="60" w:line="276" w:lineRule="auto"/>
      <w:outlineLvl w:val="7"/>
    </w:pPr>
    <w:rPr>
      <w:rFonts w:eastAsia="Calibri"/>
      <w:i/>
      <w:iCs/>
      <w:kern w:val="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DefaultParagraphFont11">
    <w:name w:val="WW-Default Paragraph Font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styleId="Hipersaite">
    <w:name w:val="Hyperlink"/>
    <w:rPr>
      <w:color w:val="0000FF"/>
      <w:u w:val="single"/>
    </w:rPr>
  </w:style>
  <w:style w:type="character" w:styleId="Lappusesnumurs">
    <w:name w:val="page number"/>
    <w:basedOn w:val="WW-DefaultParagraphFont111111"/>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basedOn w:val="Parasts"/>
    <w:pPr>
      <w:spacing w:after="120"/>
    </w:p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Paraststmeklis">
    <w:name w:val="Normal (Web)"/>
    <w:basedOn w:val="Parasts"/>
    <w:uiPriority w:val="99"/>
    <w:pPr>
      <w:spacing w:before="280" w:after="280"/>
      <w:jc w:val="both"/>
    </w:pPr>
    <w:rPr>
      <w:color w:val="000000"/>
      <w:sz w:val="20"/>
      <w:szCs w:val="20"/>
    </w:rPr>
  </w:style>
  <w:style w:type="paragraph" w:styleId="HTMLiepriekformattais">
    <w:name w:val="HTML Preformatted"/>
    <w:basedOn w:val="Parasts"/>
    <w:link w:val="HTMLiepriekformattaisRakst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Galvene">
    <w:name w:val="header"/>
    <w:basedOn w:val="Parasts"/>
    <w:pPr>
      <w:tabs>
        <w:tab w:val="center" w:pos="4153"/>
        <w:tab w:val="right" w:pos="8306"/>
      </w:tabs>
    </w:pPr>
  </w:style>
  <w:style w:type="paragraph" w:styleId="Kjene">
    <w:name w:val="footer"/>
    <w:basedOn w:val="Parasts"/>
    <w:link w:val="KjeneRakstz"/>
    <w:pPr>
      <w:tabs>
        <w:tab w:val="center" w:pos="4153"/>
        <w:tab w:val="right" w:pos="8306"/>
      </w:tabs>
    </w:pPr>
    <w:rPr>
      <w:lang w:val="x-none"/>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naisf">
    <w:name w:val="naisf"/>
    <w:basedOn w:val="Parasts"/>
    <w:pPr>
      <w:spacing w:before="75" w:after="75"/>
      <w:ind w:firstLine="375"/>
      <w:jc w:val="both"/>
    </w:pPr>
  </w:style>
  <w:style w:type="character" w:styleId="Izteiksmgs">
    <w:name w:val="Strong"/>
    <w:uiPriority w:val="22"/>
    <w:qFormat/>
    <w:rsid w:val="00881107"/>
    <w:rPr>
      <w:b/>
      <w:bCs/>
    </w:rPr>
  </w:style>
  <w:style w:type="character" w:styleId="Izclums">
    <w:name w:val="Emphasis"/>
    <w:qFormat/>
    <w:rsid w:val="00881107"/>
    <w:rPr>
      <w:i/>
      <w:iCs/>
    </w:rPr>
  </w:style>
  <w:style w:type="paragraph" w:styleId="Pamattekstaatkpe3">
    <w:name w:val="Body Text Indent 3"/>
    <w:basedOn w:val="Parasts"/>
    <w:link w:val="Pamattekstaatkpe3Rakstz"/>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Pamattekstaatkpe3Rakstz">
    <w:name w:val="Pamatteksta atkāpe 3 Rakstz."/>
    <w:link w:val="Pamattekstaatkpe3"/>
    <w:semiHidden/>
    <w:rsid w:val="00781A77"/>
    <w:rPr>
      <w:rFonts w:eastAsia="Calibri"/>
      <w:sz w:val="16"/>
      <w:szCs w:val="16"/>
      <w:lang w:val="lv-LV" w:eastAsia="en-US" w:bidi="ar-SA"/>
    </w:rPr>
  </w:style>
  <w:style w:type="paragraph" w:customStyle="1" w:styleId="naisnod">
    <w:name w:val="naisnod"/>
    <w:basedOn w:val="Parasts"/>
    <w:rsid w:val="00D76C61"/>
    <w:pPr>
      <w:suppressAutoHyphens w:val="0"/>
      <w:spacing w:before="120" w:after="120"/>
      <w:jc w:val="center"/>
    </w:pPr>
    <w:rPr>
      <w:b/>
      <w:bCs/>
      <w:kern w:val="0"/>
      <w:lang w:eastAsia="lv-LV"/>
    </w:rPr>
  </w:style>
  <w:style w:type="paragraph" w:customStyle="1" w:styleId="naiskr">
    <w:name w:val="naiskr"/>
    <w:basedOn w:val="Parasts"/>
    <w:rsid w:val="00D76C61"/>
    <w:pPr>
      <w:suppressAutoHyphens w:val="0"/>
      <w:spacing w:before="60" w:after="60"/>
    </w:pPr>
    <w:rPr>
      <w:kern w:val="0"/>
      <w:lang w:eastAsia="lv-LV"/>
    </w:rPr>
  </w:style>
  <w:style w:type="character" w:customStyle="1" w:styleId="HTMLiepriekformattaisRakstz">
    <w:name w:val="HTML iepriekšformatētais Rakstz."/>
    <w:link w:val="HTMLiepriekformattais"/>
    <w:rsid w:val="00897727"/>
    <w:rPr>
      <w:rFonts w:ascii="Courier New" w:eastAsia="Courier New" w:hAnsi="Courier New"/>
      <w:kern w:val="1"/>
      <w:lang w:val="en-GB" w:eastAsia="ar-SA"/>
    </w:rPr>
  </w:style>
  <w:style w:type="paragraph" w:styleId="Balonteksts">
    <w:name w:val="Balloon Text"/>
    <w:basedOn w:val="Parasts"/>
    <w:link w:val="BalontekstsRakstz"/>
    <w:rsid w:val="00D0589C"/>
    <w:rPr>
      <w:rFonts w:ascii="Tahoma" w:hAnsi="Tahoma"/>
      <w:sz w:val="16"/>
      <w:szCs w:val="16"/>
      <w:lang w:val="x-none"/>
    </w:rPr>
  </w:style>
  <w:style w:type="character" w:customStyle="1" w:styleId="BalontekstsRakstz">
    <w:name w:val="Balonteksts Rakstz."/>
    <w:link w:val="Balonteksts"/>
    <w:rsid w:val="00D0589C"/>
    <w:rPr>
      <w:rFonts w:ascii="Tahoma" w:hAnsi="Tahoma" w:cs="Tahoma"/>
      <w:kern w:val="1"/>
      <w:sz w:val="16"/>
      <w:szCs w:val="16"/>
      <w:lang w:eastAsia="ar-SA"/>
    </w:rPr>
  </w:style>
  <w:style w:type="character" w:customStyle="1" w:styleId="Virsraksts2Rakstz">
    <w:name w:val="Virsraksts 2 Rakstz."/>
    <w:link w:val="Virsraksts2"/>
    <w:rsid w:val="001A3D7D"/>
    <w:rPr>
      <w:rFonts w:ascii="Cambria" w:hAnsi="Cambria"/>
      <w:b/>
      <w:bCs/>
      <w:i/>
      <w:iCs/>
      <w:sz w:val="28"/>
      <w:szCs w:val="28"/>
    </w:rPr>
  </w:style>
  <w:style w:type="character" w:styleId="Komentraatsauce">
    <w:name w:val="annotation reference"/>
    <w:uiPriority w:val="99"/>
    <w:unhideWhenUsed/>
    <w:rsid w:val="00CD670F"/>
    <w:rPr>
      <w:sz w:val="16"/>
      <w:szCs w:val="16"/>
    </w:rPr>
  </w:style>
  <w:style w:type="paragraph" w:styleId="Komentrateksts">
    <w:name w:val="annotation text"/>
    <w:basedOn w:val="Parasts"/>
    <w:link w:val="KomentratekstsRakstz"/>
    <w:uiPriority w:val="99"/>
    <w:unhideWhenUsed/>
    <w:rsid w:val="00CD670F"/>
    <w:pPr>
      <w:suppressAutoHyphens w:val="0"/>
      <w:spacing w:after="200" w:line="276" w:lineRule="auto"/>
    </w:pPr>
    <w:rPr>
      <w:rFonts w:ascii="Calibri" w:eastAsia="Calibri" w:hAnsi="Calibri"/>
      <w:kern w:val="0"/>
      <w:sz w:val="20"/>
      <w:szCs w:val="20"/>
      <w:lang w:val="en-GB" w:eastAsia="en-US"/>
    </w:rPr>
  </w:style>
  <w:style w:type="character" w:customStyle="1" w:styleId="KomentratekstsRakstz">
    <w:name w:val="Komentāra teksts Rakstz."/>
    <w:link w:val="Komentrateksts"/>
    <w:uiPriority w:val="99"/>
    <w:rsid w:val="00CD670F"/>
    <w:rPr>
      <w:rFonts w:ascii="Calibri" w:eastAsia="Calibri" w:hAnsi="Calibri"/>
      <w:lang w:val="en-GB" w:eastAsia="en-US"/>
    </w:rPr>
  </w:style>
  <w:style w:type="paragraph" w:styleId="Sarakstarindkopa">
    <w:name w:val="List Paragraph"/>
    <w:basedOn w:val="Parasts"/>
    <w:link w:val="SarakstarindkopaRakstz"/>
    <w:uiPriority w:val="34"/>
    <w:qFormat/>
    <w:rsid w:val="007224A8"/>
    <w:pPr>
      <w:suppressAutoHyphens w:val="0"/>
      <w:ind w:left="720"/>
      <w:contextualSpacing/>
    </w:pPr>
    <w:rPr>
      <w:kern w:val="0"/>
      <w:sz w:val="20"/>
      <w:szCs w:val="20"/>
      <w:lang w:eastAsia="lv-LV"/>
    </w:rPr>
  </w:style>
  <w:style w:type="paragraph" w:customStyle="1" w:styleId="naisc">
    <w:name w:val="naisc"/>
    <w:basedOn w:val="Parasts"/>
    <w:rsid w:val="006B32DE"/>
    <w:pPr>
      <w:suppressAutoHyphens w:val="0"/>
      <w:spacing w:before="100" w:beforeAutospacing="1" w:after="100" w:afterAutospacing="1"/>
    </w:pPr>
    <w:rPr>
      <w:rFonts w:eastAsia="Arial Unicode MS"/>
      <w:kern w:val="0"/>
      <w:lang w:val="en-GB" w:eastAsia="en-US"/>
    </w:rPr>
  </w:style>
  <w:style w:type="paragraph" w:styleId="Komentratma">
    <w:name w:val="annotation subject"/>
    <w:basedOn w:val="Komentrateksts"/>
    <w:next w:val="Komentrateksts"/>
    <w:link w:val="KomentratmaRakstz"/>
    <w:rsid w:val="00BB7B3F"/>
    <w:pPr>
      <w:suppressAutoHyphens/>
      <w:spacing w:after="0" w:line="240" w:lineRule="auto"/>
    </w:pPr>
    <w:rPr>
      <w:b/>
      <w:bCs/>
      <w:kern w:val="1"/>
      <w:lang w:eastAsia="ar-SA"/>
    </w:rPr>
  </w:style>
  <w:style w:type="character" w:customStyle="1" w:styleId="KomentratmaRakstz">
    <w:name w:val="Komentāra tēma Rakstz."/>
    <w:link w:val="Komentratma"/>
    <w:rsid w:val="00BB7B3F"/>
    <w:rPr>
      <w:rFonts w:ascii="Calibri" w:eastAsia="Calibri" w:hAnsi="Calibri"/>
      <w:b/>
      <w:bCs/>
      <w:kern w:val="1"/>
      <w:lang w:val="en-GB" w:eastAsia="ar-SA"/>
    </w:rPr>
  </w:style>
  <w:style w:type="paragraph" w:customStyle="1" w:styleId="ListParagraph1">
    <w:name w:val="List Paragraph1"/>
    <w:basedOn w:val="Parasts"/>
    <w:qFormat/>
    <w:rsid w:val="00BF5A95"/>
    <w:pPr>
      <w:suppressAutoHyphens w:val="0"/>
      <w:ind w:left="720"/>
      <w:contextualSpacing/>
    </w:pPr>
    <w:rPr>
      <w:rFonts w:eastAsia="Calibri"/>
      <w:kern w:val="0"/>
      <w:sz w:val="28"/>
      <w:szCs w:val="22"/>
      <w:lang w:eastAsia="en-US"/>
    </w:rPr>
  </w:style>
  <w:style w:type="character" w:customStyle="1" w:styleId="apple-converted-space">
    <w:name w:val="apple-converted-space"/>
    <w:rsid w:val="00844FD1"/>
  </w:style>
  <w:style w:type="paragraph" w:styleId="Apakvirsraksts">
    <w:name w:val="Subtitle"/>
    <w:basedOn w:val="Parasts"/>
    <w:next w:val="Parasts"/>
    <w:link w:val="ApakvirsrakstsRakstz"/>
    <w:qFormat/>
    <w:rsid w:val="00757262"/>
    <w:pPr>
      <w:spacing w:after="60"/>
      <w:jc w:val="center"/>
      <w:outlineLvl w:val="1"/>
    </w:pPr>
    <w:rPr>
      <w:rFonts w:ascii="Cambria" w:hAnsi="Cambria"/>
      <w:lang w:val="x-none"/>
    </w:rPr>
  </w:style>
  <w:style w:type="character" w:customStyle="1" w:styleId="ApakvirsrakstsRakstz">
    <w:name w:val="Apakšvirsraksts Rakstz."/>
    <w:link w:val="Apakvirsraksts"/>
    <w:rsid w:val="00757262"/>
    <w:rPr>
      <w:rFonts w:ascii="Cambria" w:eastAsia="Times New Roman" w:hAnsi="Cambria" w:cs="Times New Roman"/>
      <w:kern w:val="1"/>
      <w:sz w:val="24"/>
      <w:szCs w:val="24"/>
      <w:lang w:eastAsia="ar-SA"/>
    </w:rPr>
  </w:style>
  <w:style w:type="paragraph" w:customStyle="1" w:styleId="naislab">
    <w:name w:val="naislab"/>
    <w:basedOn w:val="Parasts"/>
    <w:rsid w:val="001F1B58"/>
    <w:pPr>
      <w:suppressAutoHyphens w:val="0"/>
      <w:spacing w:before="75" w:after="75"/>
      <w:jc w:val="right"/>
    </w:pPr>
    <w:rPr>
      <w:kern w:val="0"/>
      <w:lang w:eastAsia="lv-LV"/>
    </w:rPr>
  </w:style>
  <w:style w:type="paragraph" w:customStyle="1" w:styleId="tv213">
    <w:name w:val="tv213"/>
    <w:basedOn w:val="Parasts"/>
    <w:rsid w:val="00C145E4"/>
    <w:pPr>
      <w:suppressAutoHyphens w:val="0"/>
      <w:spacing w:before="100" w:beforeAutospacing="1" w:after="100" w:afterAutospacing="1"/>
    </w:pPr>
    <w:rPr>
      <w:kern w:val="0"/>
      <w:lang w:eastAsia="lv-LV"/>
    </w:rPr>
  </w:style>
  <w:style w:type="paragraph" w:customStyle="1" w:styleId="tv2071">
    <w:name w:val="tv2071"/>
    <w:basedOn w:val="Parasts"/>
    <w:rsid w:val="0001301E"/>
    <w:pPr>
      <w:suppressAutoHyphens w:val="0"/>
      <w:spacing w:after="567" w:line="360" w:lineRule="auto"/>
      <w:jc w:val="center"/>
    </w:pPr>
    <w:rPr>
      <w:rFonts w:ascii="Verdana" w:hAnsi="Verdana"/>
      <w:b/>
      <w:bCs/>
      <w:kern w:val="0"/>
      <w:sz w:val="27"/>
      <w:szCs w:val="27"/>
      <w:lang w:eastAsia="lv-LV"/>
    </w:rPr>
  </w:style>
  <w:style w:type="paragraph" w:styleId="Pamattekstaatkpe2">
    <w:name w:val="Body Text Indent 2"/>
    <w:basedOn w:val="Parasts"/>
    <w:link w:val="Pamattekstaatkpe2Rakstz"/>
    <w:rsid w:val="00436825"/>
    <w:pPr>
      <w:spacing w:after="120" w:line="480" w:lineRule="auto"/>
      <w:ind w:left="283"/>
    </w:pPr>
    <w:rPr>
      <w:lang w:val="x-none"/>
    </w:rPr>
  </w:style>
  <w:style w:type="character" w:customStyle="1" w:styleId="Pamattekstaatkpe2Rakstz">
    <w:name w:val="Pamatteksta atkāpe 2 Rakstz."/>
    <w:link w:val="Pamattekstaatkpe2"/>
    <w:rsid w:val="00436825"/>
    <w:rPr>
      <w:kern w:val="1"/>
      <w:sz w:val="24"/>
      <w:szCs w:val="24"/>
      <w:lang w:eastAsia="ar-SA"/>
    </w:rPr>
  </w:style>
  <w:style w:type="paragraph" w:customStyle="1" w:styleId="Default">
    <w:name w:val="Default"/>
    <w:rsid w:val="007A2B31"/>
    <w:pPr>
      <w:autoSpaceDE w:val="0"/>
      <w:autoSpaceDN w:val="0"/>
      <w:adjustRightInd w:val="0"/>
    </w:pPr>
    <w:rPr>
      <w:color w:val="000000"/>
      <w:sz w:val="24"/>
      <w:szCs w:val="24"/>
    </w:rPr>
  </w:style>
  <w:style w:type="character" w:customStyle="1" w:styleId="KjeneRakstz">
    <w:name w:val="Kājene Rakstz."/>
    <w:link w:val="Kjene"/>
    <w:rsid w:val="00606FEB"/>
    <w:rPr>
      <w:kern w:val="1"/>
      <w:sz w:val="24"/>
      <w:szCs w:val="24"/>
      <w:lang w:eastAsia="ar-SA"/>
    </w:rPr>
  </w:style>
  <w:style w:type="paragraph" w:styleId="Vienkrsteksts">
    <w:name w:val="Plain Text"/>
    <w:basedOn w:val="Parasts"/>
    <w:link w:val="VienkrstekstsRakstz"/>
    <w:uiPriority w:val="99"/>
    <w:unhideWhenUsed/>
    <w:rsid w:val="00B155BA"/>
    <w:pPr>
      <w:suppressAutoHyphens w:val="0"/>
    </w:pPr>
    <w:rPr>
      <w:rFonts w:ascii="Calibri" w:eastAsia="Calibri" w:hAnsi="Calibri"/>
      <w:kern w:val="0"/>
      <w:sz w:val="22"/>
      <w:szCs w:val="21"/>
      <w:lang w:val="x-none" w:eastAsia="en-US"/>
    </w:rPr>
  </w:style>
  <w:style w:type="character" w:customStyle="1" w:styleId="VienkrstekstsRakstz">
    <w:name w:val="Vienkāršs teksts Rakstz."/>
    <w:link w:val="Vienkrsteksts"/>
    <w:uiPriority w:val="99"/>
    <w:rsid w:val="00B155BA"/>
    <w:rPr>
      <w:rFonts w:ascii="Calibri" w:eastAsia="Calibri" w:hAnsi="Calibri"/>
      <w:sz w:val="22"/>
      <w:szCs w:val="21"/>
      <w:lang w:eastAsia="en-US"/>
    </w:rPr>
  </w:style>
  <w:style w:type="paragraph" w:customStyle="1" w:styleId="tv2131">
    <w:name w:val="tv2131"/>
    <w:basedOn w:val="Parasts"/>
    <w:rsid w:val="00A754F0"/>
    <w:pPr>
      <w:suppressAutoHyphens w:val="0"/>
      <w:spacing w:line="360" w:lineRule="auto"/>
      <w:ind w:firstLine="300"/>
    </w:pPr>
    <w:rPr>
      <w:color w:val="414142"/>
      <w:kern w:val="0"/>
      <w:sz w:val="20"/>
      <w:szCs w:val="20"/>
      <w:lang w:eastAsia="lv-LV"/>
    </w:rPr>
  </w:style>
  <w:style w:type="paragraph" w:customStyle="1" w:styleId="Parastais">
    <w:name w:val="Parastais"/>
    <w:qFormat/>
    <w:rsid w:val="00F50F86"/>
    <w:rPr>
      <w:sz w:val="24"/>
      <w:szCs w:val="24"/>
    </w:rPr>
  </w:style>
  <w:style w:type="paragraph" w:styleId="Bezatstarpm">
    <w:name w:val="No Spacing"/>
    <w:uiPriority w:val="1"/>
    <w:qFormat/>
    <w:rsid w:val="00CA5BC3"/>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355473"/>
  </w:style>
  <w:style w:type="table" w:styleId="Reatabula">
    <w:name w:val="Table Grid"/>
    <w:basedOn w:val="Parastatabula"/>
    <w:rsid w:val="00FF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0C1DA0"/>
    <w:pPr>
      <w:suppressAutoHyphens w:val="0"/>
      <w:ind w:left="720" w:firstLine="720"/>
      <w:jc w:val="center"/>
    </w:pPr>
    <w:rPr>
      <w:b/>
      <w:kern w:val="0"/>
      <w:sz w:val="28"/>
      <w:szCs w:val="20"/>
      <w:lang w:val="x-none" w:eastAsia="en-US"/>
    </w:rPr>
  </w:style>
  <w:style w:type="character" w:customStyle="1" w:styleId="NosaukumsRakstz">
    <w:name w:val="Nosaukums Rakstz."/>
    <w:basedOn w:val="Noklusjumarindkopasfonts"/>
    <w:link w:val="Nosaukums"/>
    <w:rsid w:val="000C1DA0"/>
    <w:rPr>
      <w:b/>
      <w:sz w:val="28"/>
      <w:lang w:val="x-none" w:eastAsia="en-US"/>
    </w:rPr>
  </w:style>
  <w:style w:type="paragraph" w:customStyle="1" w:styleId="a">
    <w:basedOn w:val="Parasts"/>
    <w:next w:val="Paraststmeklis"/>
    <w:uiPriority w:val="99"/>
    <w:rsid w:val="00FB0675"/>
    <w:pPr>
      <w:suppressAutoHyphens w:val="0"/>
      <w:spacing w:before="100" w:beforeAutospacing="1" w:after="100" w:afterAutospacing="1"/>
    </w:pPr>
    <w:rPr>
      <w:kern w:val="0"/>
      <w:lang w:eastAsia="lv-LV"/>
    </w:rPr>
  </w:style>
  <w:style w:type="paragraph" w:customStyle="1" w:styleId="CM1">
    <w:name w:val="CM1"/>
    <w:basedOn w:val="Default"/>
    <w:next w:val="Default"/>
    <w:uiPriority w:val="99"/>
    <w:rsid w:val="00F6711B"/>
    <w:rPr>
      <w:rFonts w:ascii="EUAlbertina" w:hAnsi="EUAlbertina"/>
      <w:color w:val="auto"/>
    </w:rPr>
  </w:style>
  <w:style w:type="paragraph" w:customStyle="1" w:styleId="CM3">
    <w:name w:val="CM3"/>
    <w:basedOn w:val="Default"/>
    <w:next w:val="Default"/>
    <w:uiPriority w:val="99"/>
    <w:rsid w:val="00F6711B"/>
    <w:rPr>
      <w:rFonts w:ascii="EUAlbertina" w:hAnsi="EUAlbertina"/>
      <w:color w:val="auto"/>
    </w:rPr>
  </w:style>
  <w:style w:type="paragraph" w:customStyle="1" w:styleId="CM4">
    <w:name w:val="CM4"/>
    <w:basedOn w:val="Default"/>
    <w:next w:val="Default"/>
    <w:uiPriority w:val="99"/>
    <w:rsid w:val="00F6711B"/>
    <w:rPr>
      <w:rFonts w:ascii="EUAlbertina" w:hAnsi="EUAlbertina"/>
      <w:color w:val="auto"/>
    </w:rPr>
  </w:style>
  <w:style w:type="paragraph" w:customStyle="1" w:styleId="normal2">
    <w:name w:val="normal2"/>
    <w:basedOn w:val="Parasts"/>
    <w:rsid w:val="008B1138"/>
    <w:pPr>
      <w:suppressAutoHyphens w:val="0"/>
      <w:spacing w:before="120" w:line="312" w:lineRule="atLeast"/>
      <w:jc w:val="both"/>
    </w:pPr>
    <w:rPr>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052">
      <w:bodyDiv w:val="1"/>
      <w:marLeft w:val="0"/>
      <w:marRight w:val="0"/>
      <w:marTop w:val="0"/>
      <w:marBottom w:val="0"/>
      <w:divBdr>
        <w:top w:val="none" w:sz="0" w:space="0" w:color="auto"/>
        <w:left w:val="none" w:sz="0" w:space="0" w:color="auto"/>
        <w:bottom w:val="none" w:sz="0" w:space="0" w:color="auto"/>
        <w:right w:val="none" w:sz="0" w:space="0" w:color="auto"/>
      </w:divBdr>
    </w:div>
    <w:div w:id="199250267">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367339819">
      <w:bodyDiv w:val="1"/>
      <w:marLeft w:val="0"/>
      <w:marRight w:val="0"/>
      <w:marTop w:val="0"/>
      <w:marBottom w:val="0"/>
      <w:divBdr>
        <w:top w:val="none" w:sz="0" w:space="0" w:color="auto"/>
        <w:left w:val="none" w:sz="0" w:space="0" w:color="auto"/>
        <w:bottom w:val="none" w:sz="0" w:space="0" w:color="auto"/>
        <w:right w:val="none" w:sz="0" w:space="0" w:color="auto"/>
      </w:divBdr>
    </w:div>
    <w:div w:id="484664848">
      <w:bodyDiv w:val="1"/>
      <w:marLeft w:val="0"/>
      <w:marRight w:val="0"/>
      <w:marTop w:val="0"/>
      <w:marBottom w:val="0"/>
      <w:divBdr>
        <w:top w:val="none" w:sz="0" w:space="0" w:color="auto"/>
        <w:left w:val="none" w:sz="0" w:space="0" w:color="auto"/>
        <w:bottom w:val="none" w:sz="0" w:space="0" w:color="auto"/>
        <w:right w:val="none" w:sz="0" w:space="0" w:color="auto"/>
      </w:divBdr>
    </w:div>
    <w:div w:id="517623378">
      <w:bodyDiv w:val="1"/>
      <w:marLeft w:val="0"/>
      <w:marRight w:val="0"/>
      <w:marTop w:val="0"/>
      <w:marBottom w:val="0"/>
      <w:divBdr>
        <w:top w:val="none" w:sz="0" w:space="0" w:color="auto"/>
        <w:left w:val="none" w:sz="0" w:space="0" w:color="auto"/>
        <w:bottom w:val="none" w:sz="0" w:space="0" w:color="auto"/>
        <w:right w:val="none" w:sz="0" w:space="0" w:color="auto"/>
      </w:divBdr>
    </w:div>
    <w:div w:id="567768354">
      <w:bodyDiv w:val="1"/>
      <w:marLeft w:val="0"/>
      <w:marRight w:val="0"/>
      <w:marTop w:val="0"/>
      <w:marBottom w:val="0"/>
      <w:divBdr>
        <w:top w:val="none" w:sz="0" w:space="0" w:color="auto"/>
        <w:left w:val="none" w:sz="0" w:space="0" w:color="auto"/>
        <w:bottom w:val="none" w:sz="0" w:space="0" w:color="auto"/>
        <w:right w:val="none" w:sz="0" w:space="0" w:color="auto"/>
      </w:divBdr>
      <w:divsChild>
        <w:div w:id="203375358">
          <w:marLeft w:val="0"/>
          <w:marRight w:val="0"/>
          <w:marTop w:val="0"/>
          <w:marBottom w:val="0"/>
          <w:divBdr>
            <w:top w:val="none" w:sz="0" w:space="0" w:color="auto"/>
            <w:left w:val="none" w:sz="0" w:space="0" w:color="auto"/>
            <w:bottom w:val="none" w:sz="0" w:space="0" w:color="auto"/>
            <w:right w:val="none" w:sz="0" w:space="0" w:color="auto"/>
          </w:divBdr>
          <w:divsChild>
            <w:div w:id="231043914">
              <w:marLeft w:val="0"/>
              <w:marRight w:val="0"/>
              <w:marTop w:val="0"/>
              <w:marBottom w:val="0"/>
              <w:divBdr>
                <w:top w:val="none" w:sz="0" w:space="0" w:color="auto"/>
                <w:left w:val="none" w:sz="0" w:space="0" w:color="auto"/>
                <w:bottom w:val="none" w:sz="0" w:space="0" w:color="auto"/>
                <w:right w:val="none" w:sz="0" w:space="0" w:color="auto"/>
              </w:divBdr>
              <w:divsChild>
                <w:div w:id="1371762950">
                  <w:marLeft w:val="0"/>
                  <w:marRight w:val="0"/>
                  <w:marTop w:val="0"/>
                  <w:marBottom w:val="0"/>
                  <w:divBdr>
                    <w:top w:val="none" w:sz="0" w:space="0" w:color="auto"/>
                    <w:left w:val="none" w:sz="0" w:space="0" w:color="auto"/>
                    <w:bottom w:val="none" w:sz="0" w:space="0" w:color="auto"/>
                    <w:right w:val="none" w:sz="0" w:space="0" w:color="auto"/>
                  </w:divBdr>
                  <w:divsChild>
                    <w:div w:id="1643540170">
                      <w:marLeft w:val="0"/>
                      <w:marRight w:val="0"/>
                      <w:marTop w:val="0"/>
                      <w:marBottom w:val="0"/>
                      <w:divBdr>
                        <w:top w:val="none" w:sz="0" w:space="0" w:color="auto"/>
                        <w:left w:val="none" w:sz="0" w:space="0" w:color="auto"/>
                        <w:bottom w:val="none" w:sz="0" w:space="0" w:color="auto"/>
                        <w:right w:val="none" w:sz="0" w:space="0" w:color="auto"/>
                      </w:divBdr>
                      <w:divsChild>
                        <w:div w:id="924614413">
                          <w:marLeft w:val="0"/>
                          <w:marRight w:val="0"/>
                          <w:marTop w:val="0"/>
                          <w:marBottom w:val="0"/>
                          <w:divBdr>
                            <w:top w:val="none" w:sz="0" w:space="0" w:color="auto"/>
                            <w:left w:val="none" w:sz="0" w:space="0" w:color="auto"/>
                            <w:bottom w:val="none" w:sz="0" w:space="0" w:color="auto"/>
                            <w:right w:val="none" w:sz="0" w:space="0" w:color="auto"/>
                          </w:divBdr>
                          <w:divsChild>
                            <w:div w:id="338510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639531765">
      <w:bodyDiv w:val="1"/>
      <w:marLeft w:val="0"/>
      <w:marRight w:val="0"/>
      <w:marTop w:val="0"/>
      <w:marBottom w:val="0"/>
      <w:divBdr>
        <w:top w:val="none" w:sz="0" w:space="0" w:color="auto"/>
        <w:left w:val="none" w:sz="0" w:space="0" w:color="auto"/>
        <w:bottom w:val="none" w:sz="0" w:space="0" w:color="auto"/>
        <w:right w:val="none" w:sz="0" w:space="0" w:color="auto"/>
      </w:divBdr>
      <w:divsChild>
        <w:div w:id="661935581">
          <w:marLeft w:val="0"/>
          <w:marRight w:val="0"/>
          <w:marTop w:val="0"/>
          <w:marBottom w:val="0"/>
          <w:divBdr>
            <w:top w:val="none" w:sz="0" w:space="0" w:color="auto"/>
            <w:left w:val="none" w:sz="0" w:space="0" w:color="auto"/>
            <w:bottom w:val="none" w:sz="0" w:space="0" w:color="auto"/>
            <w:right w:val="none" w:sz="0" w:space="0" w:color="auto"/>
          </w:divBdr>
          <w:divsChild>
            <w:div w:id="1557936416">
              <w:marLeft w:val="0"/>
              <w:marRight w:val="0"/>
              <w:marTop w:val="0"/>
              <w:marBottom w:val="0"/>
              <w:divBdr>
                <w:top w:val="none" w:sz="0" w:space="0" w:color="auto"/>
                <w:left w:val="none" w:sz="0" w:space="0" w:color="auto"/>
                <w:bottom w:val="none" w:sz="0" w:space="0" w:color="auto"/>
                <w:right w:val="none" w:sz="0" w:space="0" w:color="auto"/>
              </w:divBdr>
              <w:divsChild>
                <w:div w:id="2044624747">
                  <w:marLeft w:val="0"/>
                  <w:marRight w:val="0"/>
                  <w:marTop w:val="0"/>
                  <w:marBottom w:val="0"/>
                  <w:divBdr>
                    <w:top w:val="none" w:sz="0" w:space="0" w:color="auto"/>
                    <w:left w:val="none" w:sz="0" w:space="0" w:color="auto"/>
                    <w:bottom w:val="none" w:sz="0" w:space="0" w:color="auto"/>
                    <w:right w:val="none" w:sz="0" w:space="0" w:color="auto"/>
                  </w:divBdr>
                  <w:divsChild>
                    <w:div w:id="1797600363">
                      <w:marLeft w:val="1"/>
                      <w:marRight w:val="1"/>
                      <w:marTop w:val="0"/>
                      <w:marBottom w:val="0"/>
                      <w:divBdr>
                        <w:top w:val="none" w:sz="0" w:space="0" w:color="auto"/>
                        <w:left w:val="none" w:sz="0" w:space="0" w:color="auto"/>
                        <w:bottom w:val="none" w:sz="0" w:space="0" w:color="auto"/>
                        <w:right w:val="none" w:sz="0" w:space="0" w:color="auto"/>
                      </w:divBdr>
                      <w:divsChild>
                        <w:div w:id="632752515">
                          <w:marLeft w:val="0"/>
                          <w:marRight w:val="0"/>
                          <w:marTop w:val="0"/>
                          <w:marBottom w:val="0"/>
                          <w:divBdr>
                            <w:top w:val="none" w:sz="0" w:space="0" w:color="auto"/>
                            <w:left w:val="none" w:sz="0" w:space="0" w:color="auto"/>
                            <w:bottom w:val="none" w:sz="0" w:space="0" w:color="auto"/>
                            <w:right w:val="none" w:sz="0" w:space="0" w:color="auto"/>
                          </w:divBdr>
                          <w:divsChild>
                            <w:div w:id="1533227139">
                              <w:marLeft w:val="0"/>
                              <w:marRight w:val="0"/>
                              <w:marTop w:val="0"/>
                              <w:marBottom w:val="360"/>
                              <w:divBdr>
                                <w:top w:val="none" w:sz="0" w:space="0" w:color="auto"/>
                                <w:left w:val="none" w:sz="0" w:space="0" w:color="auto"/>
                                <w:bottom w:val="none" w:sz="0" w:space="0" w:color="auto"/>
                                <w:right w:val="none" w:sz="0" w:space="0" w:color="auto"/>
                              </w:divBdr>
                              <w:divsChild>
                                <w:div w:id="1382560393">
                                  <w:marLeft w:val="0"/>
                                  <w:marRight w:val="0"/>
                                  <w:marTop w:val="0"/>
                                  <w:marBottom w:val="0"/>
                                  <w:divBdr>
                                    <w:top w:val="none" w:sz="0" w:space="0" w:color="auto"/>
                                    <w:left w:val="none" w:sz="0" w:space="0" w:color="auto"/>
                                    <w:bottom w:val="none" w:sz="0" w:space="0" w:color="auto"/>
                                    <w:right w:val="none" w:sz="0" w:space="0" w:color="auto"/>
                                  </w:divBdr>
                                  <w:divsChild>
                                    <w:div w:id="19844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371800">
      <w:bodyDiv w:val="1"/>
      <w:marLeft w:val="0"/>
      <w:marRight w:val="0"/>
      <w:marTop w:val="0"/>
      <w:marBottom w:val="0"/>
      <w:divBdr>
        <w:top w:val="none" w:sz="0" w:space="0" w:color="auto"/>
        <w:left w:val="none" w:sz="0" w:space="0" w:color="auto"/>
        <w:bottom w:val="none" w:sz="0" w:space="0" w:color="auto"/>
        <w:right w:val="none" w:sz="0" w:space="0" w:color="auto"/>
      </w:divBdr>
    </w:div>
    <w:div w:id="703604036">
      <w:bodyDiv w:val="1"/>
      <w:marLeft w:val="0"/>
      <w:marRight w:val="0"/>
      <w:marTop w:val="0"/>
      <w:marBottom w:val="0"/>
      <w:divBdr>
        <w:top w:val="none" w:sz="0" w:space="0" w:color="auto"/>
        <w:left w:val="none" w:sz="0" w:space="0" w:color="auto"/>
        <w:bottom w:val="none" w:sz="0" w:space="0" w:color="auto"/>
        <w:right w:val="none" w:sz="0" w:space="0" w:color="auto"/>
      </w:divBdr>
    </w:div>
    <w:div w:id="731200455">
      <w:bodyDiv w:val="1"/>
      <w:marLeft w:val="0"/>
      <w:marRight w:val="0"/>
      <w:marTop w:val="750"/>
      <w:marBottom w:val="0"/>
      <w:divBdr>
        <w:top w:val="none" w:sz="0" w:space="0" w:color="auto"/>
        <w:left w:val="none" w:sz="0" w:space="0" w:color="auto"/>
        <w:bottom w:val="none" w:sz="0" w:space="0" w:color="auto"/>
        <w:right w:val="none" w:sz="0" w:space="0" w:color="auto"/>
      </w:divBdr>
      <w:divsChild>
        <w:div w:id="1437598351">
          <w:marLeft w:val="0"/>
          <w:marRight w:val="0"/>
          <w:marTop w:val="0"/>
          <w:marBottom w:val="0"/>
          <w:divBdr>
            <w:top w:val="none" w:sz="0" w:space="0" w:color="auto"/>
            <w:left w:val="none" w:sz="0" w:space="0" w:color="auto"/>
            <w:bottom w:val="none" w:sz="0" w:space="0" w:color="auto"/>
            <w:right w:val="none" w:sz="0" w:space="0" w:color="auto"/>
          </w:divBdr>
          <w:divsChild>
            <w:div w:id="736170634">
              <w:marLeft w:val="0"/>
              <w:marRight w:val="0"/>
              <w:marTop w:val="0"/>
              <w:marBottom w:val="0"/>
              <w:divBdr>
                <w:top w:val="single" w:sz="6" w:space="1" w:color="01AF01"/>
                <w:left w:val="single" w:sz="6" w:space="1" w:color="01AF01"/>
                <w:bottom w:val="single" w:sz="6" w:space="1" w:color="01AF01"/>
                <w:right w:val="single" w:sz="6" w:space="1" w:color="01AF01"/>
              </w:divBdr>
            </w:div>
          </w:divsChild>
        </w:div>
      </w:divsChild>
    </w:div>
    <w:div w:id="783843227">
      <w:bodyDiv w:val="1"/>
      <w:marLeft w:val="0"/>
      <w:marRight w:val="0"/>
      <w:marTop w:val="0"/>
      <w:marBottom w:val="0"/>
      <w:divBdr>
        <w:top w:val="none" w:sz="0" w:space="0" w:color="auto"/>
        <w:left w:val="none" w:sz="0" w:space="0" w:color="auto"/>
        <w:bottom w:val="none" w:sz="0" w:space="0" w:color="auto"/>
        <w:right w:val="none" w:sz="0" w:space="0" w:color="auto"/>
      </w:divBdr>
    </w:div>
    <w:div w:id="852106554">
      <w:bodyDiv w:val="1"/>
      <w:marLeft w:val="0"/>
      <w:marRight w:val="0"/>
      <w:marTop w:val="0"/>
      <w:marBottom w:val="0"/>
      <w:divBdr>
        <w:top w:val="none" w:sz="0" w:space="0" w:color="auto"/>
        <w:left w:val="none" w:sz="0" w:space="0" w:color="auto"/>
        <w:bottom w:val="none" w:sz="0" w:space="0" w:color="auto"/>
        <w:right w:val="none" w:sz="0" w:space="0" w:color="auto"/>
      </w:divBdr>
    </w:div>
    <w:div w:id="945964135">
      <w:bodyDiv w:val="1"/>
      <w:marLeft w:val="0"/>
      <w:marRight w:val="0"/>
      <w:marTop w:val="0"/>
      <w:marBottom w:val="0"/>
      <w:divBdr>
        <w:top w:val="none" w:sz="0" w:space="0" w:color="auto"/>
        <w:left w:val="none" w:sz="0" w:space="0" w:color="auto"/>
        <w:bottom w:val="none" w:sz="0" w:space="0" w:color="auto"/>
        <w:right w:val="none" w:sz="0" w:space="0" w:color="auto"/>
      </w:divBdr>
    </w:div>
    <w:div w:id="1054506171">
      <w:bodyDiv w:val="1"/>
      <w:marLeft w:val="0"/>
      <w:marRight w:val="0"/>
      <w:marTop w:val="0"/>
      <w:marBottom w:val="0"/>
      <w:divBdr>
        <w:top w:val="none" w:sz="0" w:space="0" w:color="auto"/>
        <w:left w:val="none" w:sz="0" w:space="0" w:color="auto"/>
        <w:bottom w:val="none" w:sz="0" w:space="0" w:color="auto"/>
        <w:right w:val="none" w:sz="0" w:space="0" w:color="auto"/>
      </w:divBdr>
    </w:div>
    <w:div w:id="1188562356">
      <w:bodyDiv w:val="1"/>
      <w:marLeft w:val="0"/>
      <w:marRight w:val="0"/>
      <w:marTop w:val="0"/>
      <w:marBottom w:val="0"/>
      <w:divBdr>
        <w:top w:val="none" w:sz="0" w:space="0" w:color="auto"/>
        <w:left w:val="none" w:sz="0" w:space="0" w:color="auto"/>
        <w:bottom w:val="none" w:sz="0" w:space="0" w:color="auto"/>
        <w:right w:val="none" w:sz="0" w:space="0" w:color="auto"/>
      </w:divBdr>
    </w:div>
    <w:div w:id="1209613729">
      <w:bodyDiv w:val="1"/>
      <w:marLeft w:val="0"/>
      <w:marRight w:val="0"/>
      <w:marTop w:val="0"/>
      <w:marBottom w:val="0"/>
      <w:divBdr>
        <w:top w:val="none" w:sz="0" w:space="0" w:color="auto"/>
        <w:left w:val="none" w:sz="0" w:space="0" w:color="auto"/>
        <w:bottom w:val="none" w:sz="0" w:space="0" w:color="auto"/>
        <w:right w:val="none" w:sz="0" w:space="0" w:color="auto"/>
      </w:divBdr>
      <w:divsChild>
        <w:div w:id="113866849">
          <w:marLeft w:val="0"/>
          <w:marRight w:val="0"/>
          <w:marTop w:val="0"/>
          <w:marBottom w:val="0"/>
          <w:divBdr>
            <w:top w:val="none" w:sz="0" w:space="0" w:color="auto"/>
            <w:left w:val="none" w:sz="0" w:space="0" w:color="auto"/>
            <w:bottom w:val="none" w:sz="0" w:space="0" w:color="auto"/>
            <w:right w:val="none" w:sz="0" w:space="0" w:color="auto"/>
          </w:divBdr>
          <w:divsChild>
            <w:div w:id="188495923">
              <w:marLeft w:val="0"/>
              <w:marRight w:val="0"/>
              <w:marTop w:val="0"/>
              <w:marBottom w:val="0"/>
              <w:divBdr>
                <w:top w:val="none" w:sz="0" w:space="0" w:color="auto"/>
                <w:left w:val="none" w:sz="0" w:space="0" w:color="auto"/>
                <w:bottom w:val="none" w:sz="0" w:space="0" w:color="auto"/>
                <w:right w:val="none" w:sz="0" w:space="0" w:color="auto"/>
              </w:divBdr>
              <w:divsChild>
                <w:div w:id="675500365">
                  <w:marLeft w:val="0"/>
                  <w:marRight w:val="0"/>
                  <w:marTop w:val="0"/>
                  <w:marBottom w:val="0"/>
                  <w:divBdr>
                    <w:top w:val="none" w:sz="0" w:space="0" w:color="auto"/>
                    <w:left w:val="none" w:sz="0" w:space="0" w:color="auto"/>
                    <w:bottom w:val="none" w:sz="0" w:space="0" w:color="auto"/>
                    <w:right w:val="none" w:sz="0" w:space="0" w:color="auto"/>
                  </w:divBdr>
                  <w:divsChild>
                    <w:div w:id="1418671289">
                      <w:marLeft w:val="0"/>
                      <w:marRight w:val="0"/>
                      <w:marTop w:val="0"/>
                      <w:marBottom w:val="0"/>
                      <w:divBdr>
                        <w:top w:val="none" w:sz="0" w:space="0" w:color="auto"/>
                        <w:left w:val="none" w:sz="0" w:space="0" w:color="auto"/>
                        <w:bottom w:val="none" w:sz="0" w:space="0" w:color="auto"/>
                        <w:right w:val="none" w:sz="0" w:space="0" w:color="auto"/>
                      </w:divBdr>
                      <w:divsChild>
                        <w:div w:id="18168211">
                          <w:marLeft w:val="0"/>
                          <w:marRight w:val="0"/>
                          <w:marTop w:val="0"/>
                          <w:marBottom w:val="0"/>
                          <w:divBdr>
                            <w:top w:val="none" w:sz="0" w:space="0" w:color="auto"/>
                            <w:left w:val="none" w:sz="0" w:space="0" w:color="auto"/>
                            <w:bottom w:val="none" w:sz="0" w:space="0" w:color="auto"/>
                            <w:right w:val="none" w:sz="0" w:space="0" w:color="auto"/>
                          </w:divBdr>
                          <w:divsChild>
                            <w:div w:id="419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08430">
      <w:bodyDiv w:val="1"/>
      <w:marLeft w:val="0"/>
      <w:marRight w:val="0"/>
      <w:marTop w:val="0"/>
      <w:marBottom w:val="0"/>
      <w:divBdr>
        <w:top w:val="none" w:sz="0" w:space="0" w:color="auto"/>
        <w:left w:val="none" w:sz="0" w:space="0" w:color="auto"/>
        <w:bottom w:val="none" w:sz="0" w:space="0" w:color="auto"/>
        <w:right w:val="none" w:sz="0" w:space="0" w:color="auto"/>
      </w:divBdr>
    </w:div>
    <w:div w:id="1241210213">
      <w:bodyDiv w:val="1"/>
      <w:marLeft w:val="0"/>
      <w:marRight w:val="0"/>
      <w:marTop w:val="0"/>
      <w:marBottom w:val="0"/>
      <w:divBdr>
        <w:top w:val="none" w:sz="0" w:space="0" w:color="auto"/>
        <w:left w:val="none" w:sz="0" w:space="0" w:color="auto"/>
        <w:bottom w:val="none" w:sz="0" w:space="0" w:color="auto"/>
        <w:right w:val="none" w:sz="0" w:space="0" w:color="auto"/>
      </w:divBdr>
    </w:div>
    <w:div w:id="1354303224">
      <w:bodyDiv w:val="1"/>
      <w:marLeft w:val="0"/>
      <w:marRight w:val="0"/>
      <w:marTop w:val="0"/>
      <w:marBottom w:val="0"/>
      <w:divBdr>
        <w:top w:val="none" w:sz="0" w:space="0" w:color="auto"/>
        <w:left w:val="none" w:sz="0" w:space="0" w:color="auto"/>
        <w:bottom w:val="none" w:sz="0" w:space="0" w:color="auto"/>
        <w:right w:val="none" w:sz="0" w:space="0" w:color="auto"/>
      </w:divBdr>
      <w:divsChild>
        <w:div w:id="1294872965">
          <w:marLeft w:val="0"/>
          <w:marRight w:val="0"/>
          <w:marTop w:val="0"/>
          <w:marBottom w:val="0"/>
          <w:divBdr>
            <w:top w:val="none" w:sz="0" w:space="0" w:color="auto"/>
            <w:left w:val="none" w:sz="0" w:space="0" w:color="auto"/>
            <w:bottom w:val="none" w:sz="0" w:space="0" w:color="auto"/>
            <w:right w:val="none" w:sz="0" w:space="0" w:color="auto"/>
          </w:divBdr>
          <w:divsChild>
            <w:div w:id="1102920680">
              <w:marLeft w:val="0"/>
              <w:marRight w:val="0"/>
              <w:marTop w:val="0"/>
              <w:marBottom w:val="0"/>
              <w:divBdr>
                <w:top w:val="none" w:sz="0" w:space="0" w:color="auto"/>
                <w:left w:val="none" w:sz="0" w:space="0" w:color="auto"/>
                <w:bottom w:val="none" w:sz="0" w:space="0" w:color="auto"/>
                <w:right w:val="none" w:sz="0" w:space="0" w:color="auto"/>
              </w:divBdr>
              <w:divsChild>
                <w:div w:id="1417899004">
                  <w:marLeft w:val="0"/>
                  <w:marRight w:val="0"/>
                  <w:marTop w:val="0"/>
                  <w:marBottom w:val="0"/>
                  <w:divBdr>
                    <w:top w:val="none" w:sz="0" w:space="0" w:color="auto"/>
                    <w:left w:val="none" w:sz="0" w:space="0" w:color="auto"/>
                    <w:bottom w:val="none" w:sz="0" w:space="0" w:color="auto"/>
                    <w:right w:val="none" w:sz="0" w:space="0" w:color="auto"/>
                  </w:divBdr>
                  <w:divsChild>
                    <w:div w:id="1745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8594">
      <w:bodyDiv w:val="1"/>
      <w:marLeft w:val="0"/>
      <w:marRight w:val="0"/>
      <w:marTop w:val="0"/>
      <w:marBottom w:val="0"/>
      <w:divBdr>
        <w:top w:val="none" w:sz="0" w:space="0" w:color="auto"/>
        <w:left w:val="none" w:sz="0" w:space="0" w:color="auto"/>
        <w:bottom w:val="none" w:sz="0" w:space="0" w:color="auto"/>
        <w:right w:val="none" w:sz="0" w:space="0" w:color="auto"/>
      </w:divBdr>
    </w:div>
    <w:div w:id="1539779024">
      <w:bodyDiv w:val="1"/>
      <w:marLeft w:val="0"/>
      <w:marRight w:val="0"/>
      <w:marTop w:val="0"/>
      <w:marBottom w:val="0"/>
      <w:divBdr>
        <w:top w:val="none" w:sz="0" w:space="0" w:color="auto"/>
        <w:left w:val="none" w:sz="0" w:space="0" w:color="auto"/>
        <w:bottom w:val="none" w:sz="0" w:space="0" w:color="auto"/>
        <w:right w:val="none" w:sz="0" w:space="0" w:color="auto"/>
      </w:divBdr>
    </w:div>
    <w:div w:id="1557085626">
      <w:bodyDiv w:val="1"/>
      <w:marLeft w:val="0"/>
      <w:marRight w:val="0"/>
      <w:marTop w:val="0"/>
      <w:marBottom w:val="0"/>
      <w:divBdr>
        <w:top w:val="none" w:sz="0" w:space="0" w:color="auto"/>
        <w:left w:val="none" w:sz="0" w:space="0" w:color="auto"/>
        <w:bottom w:val="none" w:sz="0" w:space="0" w:color="auto"/>
        <w:right w:val="none" w:sz="0" w:space="0" w:color="auto"/>
      </w:divBdr>
    </w:div>
    <w:div w:id="1595285184">
      <w:bodyDiv w:val="1"/>
      <w:marLeft w:val="0"/>
      <w:marRight w:val="0"/>
      <w:marTop w:val="0"/>
      <w:marBottom w:val="0"/>
      <w:divBdr>
        <w:top w:val="none" w:sz="0" w:space="0" w:color="auto"/>
        <w:left w:val="none" w:sz="0" w:space="0" w:color="auto"/>
        <w:bottom w:val="none" w:sz="0" w:space="0" w:color="auto"/>
        <w:right w:val="none" w:sz="0" w:space="0" w:color="auto"/>
      </w:divBdr>
    </w:div>
    <w:div w:id="1710490034">
      <w:bodyDiv w:val="1"/>
      <w:marLeft w:val="0"/>
      <w:marRight w:val="0"/>
      <w:marTop w:val="0"/>
      <w:marBottom w:val="0"/>
      <w:divBdr>
        <w:top w:val="none" w:sz="0" w:space="0" w:color="auto"/>
        <w:left w:val="none" w:sz="0" w:space="0" w:color="auto"/>
        <w:bottom w:val="none" w:sz="0" w:space="0" w:color="auto"/>
        <w:right w:val="none" w:sz="0" w:space="0" w:color="auto"/>
      </w:divBdr>
      <w:divsChild>
        <w:div w:id="846017915">
          <w:marLeft w:val="0"/>
          <w:marRight w:val="0"/>
          <w:marTop w:val="0"/>
          <w:marBottom w:val="0"/>
          <w:divBdr>
            <w:top w:val="none" w:sz="0" w:space="0" w:color="auto"/>
            <w:left w:val="none" w:sz="0" w:space="0" w:color="auto"/>
            <w:bottom w:val="none" w:sz="0" w:space="0" w:color="auto"/>
            <w:right w:val="none" w:sz="0" w:space="0" w:color="auto"/>
          </w:divBdr>
        </w:div>
        <w:div w:id="1448158940">
          <w:marLeft w:val="0"/>
          <w:marRight w:val="0"/>
          <w:marTop w:val="0"/>
          <w:marBottom w:val="0"/>
          <w:divBdr>
            <w:top w:val="none" w:sz="0" w:space="0" w:color="auto"/>
            <w:left w:val="none" w:sz="0" w:space="0" w:color="auto"/>
            <w:bottom w:val="none" w:sz="0" w:space="0" w:color="auto"/>
            <w:right w:val="none" w:sz="0" w:space="0" w:color="auto"/>
          </w:divBdr>
        </w:div>
      </w:divsChild>
    </w:div>
    <w:div w:id="1722440153">
      <w:bodyDiv w:val="1"/>
      <w:marLeft w:val="0"/>
      <w:marRight w:val="0"/>
      <w:marTop w:val="0"/>
      <w:marBottom w:val="0"/>
      <w:divBdr>
        <w:top w:val="none" w:sz="0" w:space="0" w:color="auto"/>
        <w:left w:val="none" w:sz="0" w:space="0" w:color="auto"/>
        <w:bottom w:val="none" w:sz="0" w:space="0" w:color="auto"/>
        <w:right w:val="none" w:sz="0" w:space="0" w:color="auto"/>
      </w:divBdr>
    </w:div>
    <w:div w:id="1739786814">
      <w:bodyDiv w:val="1"/>
      <w:marLeft w:val="0"/>
      <w:marRight w:val="0"/>
      <w:marTop w:val="0"/>
      <w:marBottom w:val="0"/>
      <w:divBdr>
        <w:top w:val="none" w:sz="0" w:space="0" w:color="auto"/>
        <w:left w:val="none" w:sz="0" w:space="0" w:color="auto"/>
        <w:bottom w:val="none" w:sz="0" w:space="0" w:color="auto"/>
        <w:right w:val="none" w:sz="0" w:space="0" w:color="auto"/>
      </w:divBdr>
    </w:div>
    <w:div w:id="1930314669">
      <w:bodyDiv w:val="1"/>
      <w:marLeft w:val="0"/>
      <w:marRight w:val="0"/>
      <w:marTop w:val="0"/>
      <w:marBottom w:val="0"/>
      <w:divBdr>
        <w:top w:val="none" w:sz="0" w:space="0" w:color="auto"/>
        <w:left w:val="none" w:sz="0" w:space="0" w:color="auto"/>
        <w:bottom w:val="none" w:sz="0" w:space="0" w:color="auto"/>
        <w:right w:val="none" w:sz="0" w:space="0" w:color="auto"/>
      </w:divBdr>
    </w:div>
    <w:div w:id="1943798625">
      <w:bodyDiv w:val="1"/>
      <w:marLeft w:val="0"/>
      <w:marRight w:val="0"/>
      <w:marTop w:val="0"/>
      <w:marBottom w:val="0"/>
      <w:divBdr>
        <w:top w:val="none" w:sz="0" w:space="0" w:color="auto"/>
        <w:left w:val="none" w:sz="0" w:space="0" w:color="auto"/>
        <w:bottom w:val="none" w:sz="0" w:space="0" w:color="auto"/>
        <w:right w:val="none" w:sz="0" w:space="0" w:color="auto"/>
      </w:divBdr>
    </w:div>
    <w:div w:id="2054572434">
      <w:bodyDiv w:val="1"/>
      <w:marLeft w:val="0"/>
      <w:marRight w:val="0"/>
      <w:marTop w:val="0"/>
      <w:marBottom w:val="0"/>
      <w:divBdr>
        <w:top w:val="none" w:sz="0" w:space="0" w:color="auto"/>
        <w:left w:val="none" w:sz="0" w:space="0" w:color="auto"/>
        <w:bottom w:val="none" w:sz="0" w:space="0" w:color="auto"/>
        <w:right w:val="none" w:sz="0" w:space="0" w:color="auto"/>
      </w:divBdr>
    </w:div>
    <w:div w:id="20941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BDE7-8311-4949-9376-E2379E76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3268</Words>
  <Characters>22816</Characters>
  <Application>Microsoft Office Word</Application>
  <DocSecurity>0</DocSecurity>
  <Lines>877</Lines>
  <Paragraphs>343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valsts un Eiropas Savienības atbalsta piešķiršanas kārtību pasākumam “Ražotāju grupu un organizāciju izveide””</vt:lpstr>
      <vt:lpstr>Grozījumi Ministru kabineta 2013.gada 29.janvāra noteikumos Nr.73 "Noteikumi par lauksaimniecības pakalpojumu kooperatīvo sabiedrību un mežsaimniecības pakalpojumu kooperatīvo sabiedrību atbilstības izvērtēšanu"</vt:lpstr>
    </vt:vector>
  </TitlesOfParts>
  <Company>Valsts policija</Company>
  <LinksUpToDate>false</LinksUpToDate>
  <CharactersWithSpaces>25741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un Eiropas Savienības atbalsta piešķiršanas kārtību pasākumam “Ražotāju grupu un organizāciju izveide””</dc:title>
  <dc:subject>Noteikumu projekta sākotnējās ietekmes novērtējuma ziņojums (anotācija)</dc:subject>
  <dc:creator>Diāna Urdziņa</dc:creator>
  <cp:lastModifiedBy>Alise Apalupa</cp:lastModifiedBy>
  <cp:revision>11</cp:revision>
  <cp:lastPrinted>2015-06-05T08:04:00Z</cp:lastPrinted>
  <dcterms:created xsi:type="dcterms:W3CDTF">2015-06-27T08:31:00Z</dcterms:created>
  <dcterms:modified xsi:type="dcterms:W3CDTF">2015-07-01T09:20:00Z</dcterms:modified>
</cp:coreProperties>
</file>