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48" w:rsidRPr="004B6D49" w:rsidRDefault="00050F48" w:rsidP="00050F48">
      <w:pPr>
        <w:jc w:val="center"/>
        <w:rPr>
          <w:b/>
          <w:bCs/>
          <w:color w:val="000000" w:themeColor="text1"/>
          <w:lang w:val="lv-LV"/>
        </w:rPr>
      </w:pPr>
      <w:bookmarkStart w:id="0" w:name="OLE_LINK7"/>
      <w:bookmarkStart w:id="1" w:name="OLE_LINK8"/>
      <w:r w:rsidRPr="004B6D49">
        <w:rPr>
          <w:b/>
          <w:bCs/>
          <w:lang w:val="lv-LV"/>
        </w:rPr>
        <w:t xml:space="preserve">Ministru kabineta noteikumu projekta </w:t>
      </w:r>
      <w:r w:rsidRPr="004B6D49">
        <w:rPr>
          <w:b/>
          <w:lang w:val="lv-LV"/>
        </w:rPr>
        <w:t>„</w:t>
      </w:r>
      <w:bookmarkStart w:id="2" w:name="OLE_LINK1"/>
      <w:bookmarkStart w:id="3" w:name="OLE_LINK2"/>
      <w:bookmarkStart w:id="4" w:name="OLE_LINK3"/>
      <w:r w:rsidRPr="004B6D49">
        <w:rPr>
          <w:b/>
          <w:bCs/>
          <w:lang w:val="lv-LV"/>
        </w:rPr>
        <w:t xml:space="preserve">Grozījumi Ministru kabineta </w:t>
      </w:r>
      <w:proofErr w:type="gramStart"/>
      <w:r w:rsidRPr="004B6D49">
        <w:rPr>
          <w:b/>
          <w:bCs/>
          <w:lang w:val="lv-LV"/>
        </w:rPr>
        <w:t>2013.gada</w:t>
      </w:r>
      <w:proofErr w:type="gramEnd"/>
      <w:r w:rsidRPr="004B6D49">
        <w:rPr>
          <w:b/>
          <w:bCs/>
          <w:lang w:val="lv-LV"/>
        </w:rPr>
        <w:t xml:space="preserve"> 10.septembra </w:t>
      </w:r>
      <w:r w:rsidRPr="004B6D49">
        <w:rPr>
          <w:b/>
          <w:lang w:val="lv-LV"/>
        </w:rPr>
        <w:t>noteikumos Nr.768</w:t>
      </w:r>
      <w:r w:rsidRPr="004B6D49">
        <w:rPr>
          <w:b/>
          <w:bCs/>
          <w:lang w:val="lv-LV"/>
        </w:rPr>
        <w:t xml:space="preserve"> „Prasības v</w:t>
      </w:r>
      <w:r w:rsidRPr="004B6D49">
        <w:rPr>
          <w:b/>
          <w:lang w:val="lv-LV"/>
        </w:rPr>
        <w:t>eterinārmedicīniskās prakses iestādēm un veterinārmedi</w:t>
      </w:r>
      <w:r w:rsidR="00951484" w:rsidRPr="004B6D49">
        <w:rPr>
          <w:b/>
          <w:lang w:val="lv-LV"/>
        </w:rPr>
        <w:t xml:space="preserve">cīniskā pakalpojuma sniedzējiem, </w:t>
      </w:r>
      <w:r w:rsidRPr="004B6D49">
        <w:rPr>
          <w:b/>
          <w:lang w:val="lv-LV"/>
        </w:rPr>
        <w:t xml:space="preserve">to </w:t>
      </w:r>
      <w:r w:rsidRPr="004B6D49">
        <w:rPr>
          <w:b/>
          <w:bCs/>
          <w:lang w:val="lv-LV"/>
        </w:rPr>
        <w:t>reģistrācijas un reģistrācijas anulēšanas kārtība”</w:t>
      </w:r>
      <w:bookmarkEnd w:id="2"/>
      <w:bookmarkEnd w:id="3"/>
      <w:bookmarkEnd w:id="4"/>
      <w:r w:rsidRPr="004B6D49">
        <w:rPr>
          <w:b/>
          <w:lang w:val="lv-LV"/>
        </w:rPr>
        <w:t>”</w:t>
      </w:r>
      <w:r w:rsidR="00E47EB4" w:rsidRPr="004B6D49">
        <w:rPr>
          <w:b/>
          <w:color w:val="000000" w:themeColor="text1"/>
          <w:lang w:val="lv-LV"/>
        </w:rPr>
        <w:t xml:space="preserve"> </w:t>
      </w:r>
      <w:r w:rsidR="00E61AD5" w:rsidRPr="004B6D49">
        <w:rPr>
          <w:b/>
          <w:color w:val="000000" w:themeColor="text1"/>
          <w:lang w:val="lv-LV"/>
        </w:rPr>
        <w:t xml:space="preserve">sākotnējās </w:t>
      </w:r>
      <w:r w:rsidR="00757B05" w:rsidRPr="004B6D49">
        <w:rPr>
          <w:b/>
          <w:color w:val="000000" w:themeColor="text1"/>
          <w:lang w:val="lv-LV"/>
        </w:rPr>
        <w:t>ietekmes novērtējuma ziņojums</w:t>
      </w:r>
      <w:r w:rsidR="00757B05" w:rsidRPr="004B6D49">
        <w:rPr>
          <w:b/>
          <w:bCs/>
          <w:color w:val="000000" w:themeColor="text1"/>
          <w:lang w:val="lv-LV"/>
        </w:rPr>
        <w:t xml:space="preserve"> </w:t>
      </w:r>
    </w:p>
    <w:p w:rsidR="00757B05" w:rsidRPr="004B6D49" w:rsidRDefault="00757B05" w:rsidP="00050F48">
      <w:pPr>
        <w:jc w:val="center"/>
        <w:rPr>
          <w:b/>
          <w:lang w:val="lv-LV"/>
        </w:rPr>
      </w:pPr>
      <w:r w:rsidRPr="004B6D49">
        <w:rPr>
          <w:b/>
          <w:bCs/>
          <w:color w:val="000000" w:themeColor="text1"/>
          <w:lang w:val="lv-LV"/>
        </w:rPr>
        <w:t>(anotācija)</w:t>
      </w:r>
    </w:p>
    <w:p w:rsidR="00757B05" w:rsidRPr="00F50198" w:rsidRDefault="00757B05" w:rsidP="00B04944">
      <w:pPr>
        <w:pStyle w:val="naisf"/>
        <w:spacing w:before="0" w:beforeAutospacing="0" w:after="0" w:afterAutospacing="0"/>
        <w:jc w:val="center"/>
        <w:rPr>
          <w:color w:val="000000" w:themeColor="text1"/>
          <w:sz w:val="12"/>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3"/>
        <w:gridCol w:w="2805"/>
        <w:gridCol w:w="5805"/>
      </w:tblGrid>
      <w:tr w:rsidR="005D73DE" w:rsidRPr="004D32C6" w:rsidTr="00321DB8">
        <w:tc>
          <w:tcPr>
            <w:tcW w:w="5000" w:type="pct"/>
            <w:gridSpan w:val="3"/>
            <w:vAlign w:val="center"/>
          </w:tcPr>
          <w:bookmarkEnd w:id="0"/>
          <w:bookmarkEnd w:id="1"/>
          <w:p w:rsidR="00A162FE" w:rsidRPr="004B6D49" w:rsidRDefault="00A162FE" w:rsidP="005D73DE">
            <w:pPr>
              <w:jc w:val="center"/>
              <w:rPr>
                <w:b/>
                <w:bCs/>
                <w:color w:val="000000" w:themeColor="text1"/>
                <w:lang w:val="lv-LV" w:eastAsia="lv-LV"/>
              </w:rPr>
            </w:pPr>
            <w:r w:rsidRPr="004B6D49">
              <w:rPr>
                <w:b/>
                <w:bCs/>
                <w:color w:val="000000" w:themeColor="text1"/>
                <w:lang w:val="lv-LV" w:eastAsia="lv-LV"/>
              </w:rPr>
              <w:t>I. Tiesību akta projekta izstrādes nepieciešamība</w:t>
            </w:r>
          </w:p>
        </w:tc>
      </w:tr>
      <w:tr w:rsidR="005D73DE" w:rsidRPr="004D32C6" w:rsidTr="00321DB8">
        <w:tc>
          <w:tcPr>
            <w:tcW w:w="307"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529" w:type="pct"/>
          </w:tcPr>
          <w:p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164" w:type="pct"/>
          </w:tcPr>
          <w:p w:rsidR="00A162FE" w:rsidRPr="001F4236" w:rsidRDefault="00050F48" w:rsidP="005D73DE">
            <w:pPr>
              <w:jc w:val="both"/>
              <w:rPr>
                <w:color w:val="000000" w:themeColor="text1"/>
                <w:lang w:val="lv-LV"/>
              </w:rPr>
            </w:pPr>
            <w:r w:rsidRPr="001F4236">
              <w:rPr>
                <w:lang w:val="lv-LV"/>
              </w:rPr>
              <w:t>Veterinārmedicīnas likuma 57.panta otrā daļa.</w:t>
            </w:r>
          </w:p>
        </w:tc>
      </w:tr>
      <w:tr w:rsidR="005D73DE" w:rsidRPr="004B6D49" w:rsidTr="00321DB8">
        <w:tc>
          <w:tcPr>
            <w:tcW w:w="307"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529" w:type="pct"/>
          </w:tcPr>
          <w:p w:rsidR="00A162FE" w:rsidRPr="001F4236" w:rsidRDefault="00050F48" w:rsidP="005D73DE">
            <w:pPr>
              <w:jc w:val="both"/>
              <w:rPr>
                <w:color w:val="000000" w:themeColor="text1"/>
                <w:lang w:val="lv-LV" w:eastAsia="lv-LV"/>
              </w:rPr>
            </w:pPr>
            <w:r w:rsidRPr="001F4236">
              <w:rPr>
                <w:color w:val="000000"/>
                <w:lang w:val="lv-LV"/>
              </w:rPr>
              <w:t>Pašreizējā situācija un problēmas</w:t>
            </w:r>
          </w:p>
        </w:tc>
        <w:tc>
          <w:tcPr>
            <w:tcW w:w="3164" w:type="pct"/>
          </w:tcPr>
          <w:p w:rsidR="00050F48" w:rsidRDefault="00050F48" w:rsidP="00050F48">
            <w:pPr>
              <w:pStyle w:val="Bezatstarpm"/>
              <w:jc w:val="both"/>
              <w:rPr>
                <w:rFonts w:ascii="Times New Roman" w:hAnsi="Times New Roman"/>
                <w:sz w:val="24"/>
                <w:szCs w:val="24"/>
              </w:rPr>
            </w:pPr>
            <w:r w:rsidRPr="001F4236">
              <w:rPr>
                <w:rFonts w:ascii="Times New Roman" w:hAnsi="Times New Roman"/>
                <w:sz w:val="24"/>
                <w:szCs w:val="24"/>
              </w:rPr>
              <w:t xml:space="preserve">Šobrīd ir spēkā Ministru kabineta 2013.gada 10.septembra noteikumi Nr.768 „Prasības </w:t>
            </w:r>
            <w:r w:rsidRPr="001F4236">
              <w:rPr>
                <w:rFonts w:ascii="Times New Roman" w:hAnsi="Times New Roman"/>
                <w:bCs/>
                <w:sz w:val="24"/>
                <w:szCs w:val="24"/>
              </w:rPr>
              <w:t>v</w:t>
            </w:r>
            <w:r w:rsidRPr="001F4236">
              <w:rPr>
                <w:rFonts w:ascii="Times New Roman" w:hAnsi="Times New Roman"/>
                <w:sz w:val="24"/>
                <w:szCs w:val="24"/>
              </w:rPr>
              <w:t>eterinārmedicīniskās prakses iestādēm un veterinārmedicīniskā pakalpojuma sniedzējiem</w:t>
            </w:r>
            <w:r w:rsidR="00951484">
              <w:rPr>
                <w:rFonts w:ascii="Times New Roman" w:hAnsi="Times New Roman"/>
                <w:sz w:val="24"/>
                <w:szCs w:val="24"/>
              </w:rPr>
              <w:t>,</w:t>
            </w:r>
            <w:r w:rsidRPr="001F4236">
              <w:rPr>
                <w:rFonts w:ascii="Times New Roman" w:hAnsi="Times New Roman"/>
                <w:sz w:val="24"/>
                <w:szCs w:val="24"/>
              </w:rPr>
              <w:t xml:space="preserve"> to </w:t>
            </w:r>
            <w:r w:rsidRPr="001F4236">
              <w:rPr>
                <w:rFonts w:ascii="Times New Roman" w:hAnsi="Times New Roman"/>
                <w:bCs/>
                <w:sz w:val="24"/>
                <w:szCs w:val="24"/>
              </w:rPr>
              <w:t>reģistrācijas un reģistrācijas anulēšanas kārtība</w:t>
            </w:r>
            <w:r w:rsidRPr="001F4236">
              <w:rPr>
                <w:rFonts w:ascii="Times New Roman" w:hAnsi="Times New Roman"/>
                <w:sz w:val="24"/>
                <w:szCs w:val="24"/>
              </w:rPr>
              <w:t>” (turpmāk – noteikumi Nr.768).</w:t>
            </w:r>
          </w:p>
          <w:p w:rsidR="00F2229A" w:rsidRPr="0001604E" w:rsidRDefault="00F2229A" w:rsidP="00F2229A">
            <w:pPr>
              <w:tabs>
                <w:tab w:val="left" w:pos="1134"/>
              </w:tabs>
              <w:jc w:val="both"/>
              <w:rPr>
                <w:szCs w:val="26"/>
                <w:lang w:val="lv-LV"/>
              </w:rPr>
            </w:pPr>
            <w:r w:rsidRPr="00F2229A">
              <w:rPr>
                <w:lang w:val="lv-LV"/>
              </w:rPr>
              <w:t>Pamatojoties uz</w:t>
            </w:r>
            <w:r w:rsidRPr="002439AA">
              <w:rPr>
                <w:lang w:val="lv-LV"/>
              </w:rPr>
              <w:t xml:space="preserve"> </w:t>
            </w:r>
            <w:r w:rsidRPr="00951484">
              <w:rPr>
                <w:szCs w:val="26"/>
                <w:lang w:val="lv-LV"/>
              </w:rPr>
              <w:t>Ministru kabineta 2014.gada 2.septembra sēdē nolemto (MK protokola Nr.46 32.§</w:t>
            </w:r>
            <w:r>
              <w:rPr>
                <w:szCs w:val="26"/>
                <w:lang w:val="lv-LV"/>
              </w:rPr>
              <w:t xml:space="preserve"> 4.punkts</w:t>
            </w:r>
            <w:r w:rsidRPr="00951484">
              <w:rPr>
                <w:szCs w:val="26"/>
                <w:lang w:val="lv-LV"/>
              </w:rPr>
              <w:t>) noteikum</w:t>
            </w:r>
            <w:r>
              <w:rPr>
                <w:szCs w:val="26"/>
                <w:lang w:val="lv-LV"/>
              </w:rPr>
              <w:t>os</w:t>
            </w:r>
            <w:r w:rsidRPr="00951484">
              <w:rPr>
                <w:szCs w:val="26"/>
                <w:lang w:val="lv-LV"/>
              </w:rPr>
              <w:t xml:space="preserve"> Nr.768</w:t>
            </w:r>
            <w:r>
              <w:rPr>
                <w:szCs w:val="26"/>
                <w:lang w:val="lv-LV"/>
              </w:rPr>
              <w:t xml:space="preserve"> ir noteikts, ka Pārtikas un veterinārais dienests pārbauda būvju un telpu grupu lietošanas veida atbilstību reģistrētajam veterinārmedicīniskās prakses ambulatorajām un stacionārajām iestādēm.</w:t>
            </w:r>
          </w:p>
          <w:p w:rsidR="00F2229A" w:rsidRDefault="009B5F5D" w:rsidP="00050F48">
            <w:pPr>
              <w:pStyle w:val="Bezatstarpm"/>
              <w:jc w:val="both"/>
              <w:rPr>
                <w:rFonts w:ascii="Times New Roman" w:hAnsi="Times New Roman"/>
                <w:sz w:val="24"/>
                <w:szCs w:val="24"/>
              </w:rPr>
            </w:pPr>
            <w:r>
              <w:rPr>
                <w:rFonts w:ascii="Times New Roman" w:hAnsi="Times New Roman"/>
                <w:sz w:val="24"/>
                <w:szCs w:val="24"/>
              </w:rPr>
              <w:t xml:space="preserve">Noteikumos </w:t>
            </w:r>
            <w:r w:rsidR="00F21E92" w:rsidRPr="002439AA">
              <w:rPr>
                <w:rFonts w:ascii="Times New Roman" w:hAnsi="Times New Roman"/>
                <w:sz w:val="24"/>
                <w:szCs w:val="24"/>
              </w:rPr>
              <w:t>Nr.768</w:t>
            </w:r>
            <w:r w:rsidR="00F21E92">
              <w:rPr>
                <w:szCs w:val="26"/>
              </w:rPr>
              <w:t xml:space="preserve"> </w:t>
            </w:r>
            <w:r>
              <w:rPr>
                <w:rFonts w:ascii="Times New Roman" w:hAnsi="Times New Roman"/>
                <w:sz w:val="24"/>
                <w:szCs w:val="24"/>
              </w:rPr>
              <w:t>ir paredzēts, ka Pārtikas un veterinārais dienests pārbaud</w:t>
            </w:r>
            <w:r w:rsidR="005E72FF">
              <w:rPr>
                <w:rFonts w:ascii="Times New Roman" w:hAnsi="Times New Roman"/>
                <w:sz w:val="24"/>
                <w:szCs w:val="24"/>
              </w:rPr>
              <w:t>a</w:t>
            </w:r>
            <w:r>
              <w:rPr>
                <w:rFonts w:ascii="Times New Roman" w:hAnsi="Times New Roman"/>
                <w:sz w:val="24"/>
                <w:szCs w:val="24"/>
              </w:rPr>
              <w:t xml:space="preserve"> arī jau esoš</w:t>
            </w:r>
            <w:r w:rsidR="005E72FF">
              <w:rPr>
                <w:rFonts w:ascii="Times New Roman" w:hAnsi="Times New Roman"/>
                <w:sz w:val="24"/>
                <w:szCs w:val="24"/>
              </w:rPr>
              <w:t>o</w:t>
            </w:r>
            <w:r>
              <w:rPr>
                <w:rFonts w:ascii="Times New Roman" w:hAnsi="Times New Roman"/>
                <w:sz w:val="24"/>
                <w:szCs w:val="24"/>
              </w:rPr>
              <w:t xml:space="preserve"> veterinārmedicīniskās prakses </w:t>
            </w:r>
            <w:r w:rsidR="005E72FF">
              <w:rPr>
                <w:rFonts w:ascii="Times New Roman" w:hAnsi="Times New Roman"/>
                <w:sz w:val="24"/>
                <w:szCs w:val="24"/>
              </w:rPr>
              <w:t>iestāžu būvju atbilstību būvniecību jomu reglamentējošo normu prasībām</w:t>
            </w:r>
            <w:r>
              <w:rPr>
                <w:rFonts w:ascii="Times New Roman" w:hAnsi="Times New Roman"/>
                <w:sz w:val="24"/>
                <w:szCs w:val="24"/>
              </w:rPr>
              <w:t xml:space="preserve">. </w:t>
            </w:r>
          </w:p>
          <w:p w:rsidR="00D9504B" w:rsidRDefault="009B5F5D" w:rsidP="00D9504B">
            <w:pPr>
              <w:pStyle w:val="Bezatstarpm"/>
              <w:jc w:val="both"/>
              <w:rPr>
                <w:rFonts w:ascii="Times New Roman" w:hAnsi="Times New Roman"/>
                <w:sz w:val="24"/>
                <w:szCs w:val="24"/>
              </w:rPr>
            </w:pPr>
            <w:r>
              <w:rPr>
                <w:rFonts w:ascii="Times New Roman" w:hAnsi="Times New Roman"/>
                <w:sz w:val="24"/>
                <w:szCs w:val="24"/>
              </w:rPr>
              <w:t xml:space="preserve">Tomēr, izvērtējot valstī pieejamo informāciju par būvēm un telpu grupām, kā arī </w:t>
            </w:r>
            <w:r w:rsidR="005E72FF">
              <w:rPr>
                <w:rFonts w:ascii="Times New Roman" w:hAnsi="Times New Roman"/>
                <w:sz w:val="24"/>
                <w:szCs w:val="24"/>
              </w:rPr>
              <w:t xml:space="preserve">iestāžu </w:t>
            </w:r>
            <w:r>
              <w:rPr>
                <w:rFonts w:ascii="Times New Roman" w:hAnsi="Times New Roman"/>
                <w:sz w:val="24"/>
                <w:szCs w:val="24"/>
              </w:rPr>
              <w:t>sadarbības iespējas, secinā</w:t>
            </w:r>
            <w:r w:rsidR="005E72FF">
              <w:rPr>
                <w:rFonts w:ascii="Times New Roman" w:hAnsi="Times New Roman"/>
                <w:sz w:val="24"/>
                <w:szCs w:val="24"/>
              </w:rPr>
              <w:t>ms</w:t>
            </w:r>
            <w:r>
              <w:rPr>
                <w:rFonts w:ascii="Times New Roman" w:hAnsi="Times New Roman"/>
                <w:sz w:val="24"/>
                <w:szCs w:val="24"/>
              </w:rPr>
              <w:t xml:space="preserve">, ka esošo būvju pārbaude </w:t>
            </w:r>
            <w:r w:rsidR="00F21E92">
              <w:rPr>
                <w:rFonts w:ascii="Times New Roman" w:hAnsi="Times New Roman"/>
                <w:sz w:val="24"/>
                <w:szCs w:val="24"/>
              </w:rPr>
              <w:t xml:space="preserve">patlaban </w:t>
            </w:r>
            <w:r>
              <w:rPr>
                <w:rFonts w:ascii="Times New Roman" w:hAnsi="Times New Roman"/>
                <w:sz w:val="24"/>
                <w:szCs w:val="24"/>
              </w:rPr>
              <w:t>ir praktiski neiespējama</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noteiktais termiņš, līdz kuram veterinārmedicīniskās prakses iestādēm </w:t>
            </w:r>
            <w:r w:rsidR="00F21E92">
              <w:rPr>
                <w:rFonts w:ascii="Times New Roman" w:hAnsi="Times New Roman"/>
                <w:sz w:val="24"/>
                <w:szCs w:val="24"/>
              </w:rPr>
              <w:t xml:space="preserve">ir jāsakārto </w:t>
            </w:r>
            <w:r>
              <w:rPr>
                <w:rFonts w:ascii="Times New Roman" w:hAnsi="Times New Roman"/>
                <w:sz w:val="24"/>
                <w:szCs w:val="24"/>
              </w:rPr>
              <w:t>visi dokumenti, ir pārāk īss.</w:t>
            </w:r>
            <w:r w:rsidR="00F2229A">
              <w:rPr>
                <w:rFonts w:ascii="Times New Roman" w:hAnsi="Times New Roman"/>
                <w:sz w:val="24"/>
                <w:szCs w:val="24"/>
              </w:rPr>
              <w:t xml:space="preserve"> Tāpat ir secināts, ka noteikumos Nr.768 noteiktajā termiņā Pārtikas un veterinārais dienests nevar pārliecināties par </w:t>
            </w:r>
            <w:r w:rsidR="00F21E92" w:rsidRPr="00E61D82">
              <w:rPr>
                <w:rFonts w:ascii="Times New Roman" w:hAnsi="Times New Roman"/>
                <w:sz w:val="24"/>
                <w:szCs w:val="24"/>
              </w:rPr>
              <w:t xml:space="preserve">datumu, kad </w:t>
            </w:r>
            <w:r w:rsidR="00F2229A" w:rsidRPr="00E61D82">
              <w:rPr>
                <w:rFonts w:ascii="Times New Roman" w:hAnsi="Times New Roman"/>
                <w:sz w:val="24"/>
                <w:szCs w:val="24"/>
              </w:rPr>
              <w:t xml:space="preserve">būve vai telpu grupa </w:t>
            </w:r>
            <w:r w:rsidR="00F21E92" w:rsidRPr="00E61D82">
              <w:rPr>
                <w:rFonts w:ascii="Times New Roman" w:hAnsi="Times New Roman"/>
                <w:sz w:val="24"/>
                <w:szCs w:val="24"/>
              </w:rPr>
              <w:t xml:space="preserve">nodota </w:t>
            </w:r>
            <w:r w:rsidR="00F2229A" w:rsidRPr="00E61D82">
              <w:rPr>
                <w:rFonts w:ascii="Times New Roman" w:hAnsi="Times New Roman"/>
                <w:sz w:val="24"/>
                <w:szCs w:val="24"/>
              </w:rPr>
              <w:t>ekspluatācijā.</w:t>
            </w:r>
            <w:r w:rsidR="00E61D82" w:rsidRPr="00E61D82">
              <w:rPr>
                <w:rFonts w:ascii="Times New Roman" w:hAnsi="Times New Roman"/>
                <w:sz w:val="24"/>
                <w:szCs w:val="24"/>
              </w:rPr>
              <w:t xml:space="preserve"> Valstī nav izveidota vienota sistēma, kas pieejama visām valsts iestādēm, kā arī šobrīd netiek uzkrāti dati par būv</w:t>
            </w:r>
            <w:r w:rsidR="00D9504B">
              <w:rPr>
                <w:rFonts w:ascii="Times New Roman" w:hAnsi="Times New Roman"/>
                <w:sz w:val="24"/>
                <w:szCs w:val="24"/>
              </w:rPr>
              <w:t>ju</w:t>
            </w:r>
            <w:r w:rsidR="00E61D82" w:rsidRPr="00E61D82">
              <w:rPr>
                <w:rFonts w:ascii="Times New Roman" w:hAnsi="Times New Roman"/>
                <w:sz w:val="24"/>
                <w:szCs w:val="24"/>
              </w:rPr>
              <w:t xml:space="preserve"> un telpu grup</w:t>
            </w:r>
            <w:r w:rsidR="00D9504B">
              <w:rPr>
                <w:rFonts w:ascii="Times New Roman" w:hAnsi="Times New Roman"/>
                <w:sz w:val="24"/>
                <w:szCs w:val="24"/>
              </w:rPr>
              <w:t>u nodošanu ekspluatācijā.</w:t>
            </w:r>
          </w:p>
          <w:p w:rsidR="00814815" w:rsidRPr="005703E4" w:rsidRDefault="00814815" w:rsidP="00D9504B">
            <w:pPr>
              <w:pStyle w:val="Bezatstarpm"/>
              <w:jc w:val="both"/>
              <w:rPr>
                <w:rFonts w:ascii="Times New Roman" w:hAnsi="Times New Roman"/>
                <w:sz w:val="24"/>
                <w:szCs w:val="24"/>
              </w:rPr>
            </w:pPr>
            <w:r w:rsidRPr="005703E4">
              <w:rPr>
                <w:rFonts w:ascii="Times New Roman" w:hAnsi="Times New Roman"/>
                <w:sz w:val="24"/>
                <w:szCs w:val="24"/>
              </w:rPr>
              <w:t xml:space="preserve">Š.g. </w:t>
            </w:r>
            <w:proofErr w:type="gramStart"/>
            <w:r w:rsidRPr="005703E4">
              <w:rPr>
                <w:rFonts w:ascii="Times New Roman" w:hAnsi="Times New Roman"/>
                <w:sz w:val="24"/>
                <w:szCs w:val="24"/>
              </w:rPr>
              <w:t>18.maijā</w:t>
            </w:r>
            <w:proofErr w:type="gramEnd"/>
            <w:r w:rsidRPr="005703E4">
              <w:rPr>
                <w:rFonts w:ascii="Times New Roman" w:hAnsi="Times New Roman"/>
                <w:sz w:val="24"/>
                <w:szCs w:val="24"/>
              </w:rPr>
              <w:t xml:space="preserve"> Zemkopības ministrijā tika rīkota sanāksme, kurā piedalījās pārstāvji no Tieslietu ministrijas, Valsts kancelejas, Ekonomikas ministrijas, Valsts zemes dienesta un Pārtikas un veterinārā dienesta, kā arī bija </w:t>
            </w:r>
            <w:r w:rsidR="004D32C6" w:rsidRPr="005703E4">
              <w:rPr>
                <w:rFonts w:ascii="Times New Roman" w:hAnsi="Times New Roman"/>
                <w:sz w:val="24"/>
                <w:szCs w:val="24"/>
              </w:rPr>
              <w:t xml:space="preserve">aicināta </w:t>
            </w:r>
            <w:r w:rsidRPr="005703E4">
              <w:rPr>
                <w:rFonts w:ascii="Times New Roman" w:hAnsi="Times New Roman"/>
                <w:sz w:val="24"/>
                <w:szCs w:val="24"/>
              </w:rPr>
              <w:t>Latvijas Pašvaldību savienība, kura</w:t>
            </w:r>
            <w:r w:rsidR="004D32C6">
              <w:rPr>
                <w:rFonts w:ascii="Times New Roman" w:hAnsi="Times New Roman"/>
                <w:sz w:val="24"/>
                <w:szCs w:val="24"/>
              </w:rPr>
              <w:t>s pārstāvji</w:t>
            </w:r>
            <w:r w:rsidRPr="005703E4">
              <w:rPr>
                <w:rFonts w:ascii="Times New Roman" w:hAnsi="Times New Roman"/>
                <w:sz w:val="24"/>
                <w:szCs w:val="24"/>
              </w:rPr>
              <w:t xml:space="preserve"> sanāksmē nepiedalījās. Sanāksmes mērķis bija risināt jautājumu par atšķirīgu normu interpretēšanu saistībā ar būvju un telpu grupu nodošanu ekspluatācijā no Ekonomikas ministrijas un Valsts zemes dienesta puses, jo Pārtikas un veterinārais dienests savu funkciju pildīšanai konsultēj</w:t>
            </w:r>
            <w:r w:rsidR="004D32C6">
              <w:rPr>
                <w:rFonts w:ascii="Times New Roman" w:hAnsi="Times New Roman"/>
                <w:sz w:val="24"/>
                <w:szCs w:val="24"/>
              </w:rPr>
              <w:t>a</w:t>
            </w:r>
            <w:r w:rsidRPr="005703E4">
              <w:rPr>
                <w:rFonts w:ascii="Times New Roman" w:hAnsi="Times New Roman"/>
                <w:sz w:val="24"/>
                <w:szCs w:val="24"/>
              </w:rPr>
              <w:t>s gan ar Ekonomikas ministriju, gan Valsts zemes dienestu, gan pašvaldībām. Sanāksmē tika noskaidrots, ka informācija par būvju vai telpu grupu nodošanu ekspluatācijā nav noskaidrojama par visām būvēm un telpu grupām kadastra informācijas sistēmā.</w:t>
            </w:r>
            <w:r w:rsidR="005F14C4" w:rsidRPr="005703E4">
              <w:rPr>
                <w:rFonts w:ascii="Times New Roman" w:hAnsi="Times New Roman"/>
                <w:sz w:val="24"/>
                <w:szCs w:val="24"/>
              </w:rPr>
              <w:t xml:space="preserve"> Tāpat tika noskaidrots, ka informācija </w:t>
            </w:r>
            <w:r w:rsidR="005F14C4" w:rsidRPr="005703E4">
              <w:rPr>
                <w:rFonts w:ascii="Times New Roman" w:hAnsi="Times New Roman"/>
                <w:sz w:val="24"/>
                <w:szCs w:val="24"/>
              </w:rPr>
              <w:lastRenderedPageBreak/>
              <w:t>par ēku nodošanu ekspluatācijā netiek uzkrāta nevienā valstī pieejamā datubāzē un informācijas sistēmā, kā arī ne visas pašvaldības var sniegt informāciju par būvju vai telpu grupu nodošanu ekspluatācijā par to teritorijā esošajām būvēm un telpu grupām.</w:t>
            </w:r>
            <w:r w:rsidRPr="005703E4">
              <w:rPr>
                <w:rFonts w:ascii="Times New Roman" w:hAnsi="Times New Roman"/>
                <w:sz w:val="24"/>
                <w:szCs w:val="24"/>
              </w:rPr>
              <w:t xml:space="preserve"> </w:t>
            </w:r>
            <w:r w:rsidR="005F14C4" w:rsidRPr="005703E4">
              <w:rPr>
                <w:rFonts w:ascii="Times New Roman" w:hAnsi="Times New Roman"/>
                <w:sz w:val="24"/>
                <w:szCs w:val="24"/>
              </w:rPr>
              <w:t>Sanāksm</w:t>
            </w:r>
            <w:r w:rsidR="004D32C6">
              <w:rPr>
                <w:rFonts w:ascii="Times New Roman" w:hAnsi="Times New Roman"/>
                <w:sz w:val="24"/>
                <w:szCs w:val="24"/>
              </w:rPr>
              <w:t>es dalībnieki</w:t>
            </w:r>
            <w:r w:rsidRPr="005703E4">
              <w:rPr>
                <w:rFonts w:ascii="Times New Roman" w:hAnsi="Times New Roman"/>
                <w:sz w:val="24"/>
                <w:szCs w:val="24"/>
              </w:rPr>
              <w:t xml:space="preserve"> vienojās, ka </w:t>
            </w:r>
            <w:r w:rsidR="004D32C6" w:rsidRPr="005703E4">
              <w:rPr>
                <w:rFonts w:ascii="Times New Roman" w:hAnsi="Times New Roman"/>
                <w:sz w:val="24"/>
                <w:szCs w:val="24"/>
              </w:rPr>
              <w:t xml:space="preserve">jautājuma risināšanai </w:t>
            </w:r>
            <w:r w:rsidR="005F14C4" w:rsidRPr="005703E4">
              <w:rPr>
                <w:rFonts w:ascii="Times New Roman" w:hAnsi="Times New Roman"/>
                <w:sz w:val="24"/>
                <w:szCs w:val="24"/>
              </w:rPr>
              <w:t xml:space="preserve">tuvākajā laikā </w:t>
            </w:r>
            <w:r w:rsidRPr="005703E4">
              <w:rPr>
                <w:rFonts w:ascii="Times New Roman" w:hAnsi="Times New Roman"/>
                <w:sz w:val="24"/>
                <w:szCs w:val="24"/>
              </w:rPr>
              <w:t xml:space="preserve">tiks </w:t>
            </w:r>
            <w:r w:rsidR="004D32C6">
              <w:rPr>
                <w:rFonts w:ascii="Times New Roman" w:hAnsi="Times New Roman"/>
                <w:sz w:val="24"/>
                <w:szCs w:val="24"/>
              </w:rPr>
              <w:t xml:space="preserve">organizētas </w:t>
            </w:r>
            <w:r w:rsidRPr="005703E4">
              <w:rPr>
                <w:rFonts w:ascii="Times New Roman" w:hAnsi="Times New Roman"/>
                <w:sz w:val="24"/>
                <w:szCs w:val="24"/>
              </w:rPr>
              <w:t>nākamās sanāksmes.</w:t>
            </w:r>
          </w:p>
          <w:p w:rsidR="00DB34D9" w:rsidRPr="00F2229A" w:rsidRDefault="00814815" w:rsidP="004D32C6">
            <w:pPr>
              <w:pStyle w:val="Bezatstarpm"/>
              <w:jc w:val="both"/>
              <w:rPr>
                <w:rFonts w:ascii="Times New Roman" w:hAnsi="Times New Roman"/>
                <w:sz w:val="24"/>
                <w:szCs w:val="24"/>
              </w:rPr>
            </w:pPr>
            <w:r w:rsidRPr="005703E4">
              <w:rPr>
                <w:rFonts w:ascii="Times New Roman" w:hAnsi="Times New Roman"/>
                <w:sz w:val="24"/>
                <w:szCs w:val="24"/>
              </w:rPr>
              <w:t>Š.g. 28.maijā n</w:t>
            </w:r>
            <w:r w:rsidR="00D9504B" w:rsidRPr="005703E4">
              <w:rPr>
                <w:rFonts w:ascii="Times New Roman" w:hAnsi="Times New Roman"/>
                <w:sz w:val="24"/>
                <w:szCs w:val="24"/>
              </w:rPr>
              <w:t>o</w:t>
            </w:r>
            <w:r w:rsidR="00E61D82" w:rsidRPr="00D9504B">
              <w:rPr>
                <w:rFonts w:ascii="Times New Roman" w:hAnsi="Times New Roman"/>
                <w:sz w:val="24"/>
                <w:szCs w:val="24"/>
              </w:rPr>
              <w:t xml:space="preserve"> Ekonomikas ministrijas </w:t>
            </w:r>
            <w:r>
              <w:rPr>
                <w:rFonts w:ascii="Times New Roman" w:hAnsi="Times New Roman"/>
                <w:sz w:val="24"/>
                <w:szCs w:val="24"/>
              </w:rPr>
              <w:t>tika</w:t>
            </w:r>
            <w:r w:rsidR="00E61D82" w:rsidRPr="00D9504B">
              <w:rPr>
                <w:rFonts w:ascii="Times New Roman" w:hAnsi="Times New Roman"/>
                <w:sz w:val="24"/>
                <w:szCs w:val="24"/>
              </w:rPr>
              <w:t xml:space="preserve"> saņemta informācija</w:t>
            </w:r>
            <w:r w:rsidR="004D32C6">
              <w:rPr>
                <w:rFonts w:ascii="Times New Roman" w:hAnsi="Times New Roman"/>
                <w:sz w:val="24"/>
                <w:szCs w:val="24"/>
              </w:rPr>
              <w:t xml:space="preserve"> par to</w:t>
            </w:r>
            <w:r w:rsidR="00E61D82" w:rsidRPr="00D9504B">
              <w:rPr>
                <w:rFonts w:ascii="Times New Roman" w:hAnsi="Times New Roman"/>
                <w:sz w:val="24"/>
                <w:szCs w:val="24"/>
              </w:rPr>
              <w:t xml:space="preserve">, ka </w:t>
            </w:r>
            <w:r w:rsidR="00D9504B" w:rsidRPr="00D9504B">
              <w:rPr>
                <w:rFonts w:ascii="Times New Roman" w:hAnsi="Times New Roman"/>
                <w:sz w:val="24"/>
                <w:szCs w:val="24"/>
              </w:rPr>
              <w:t xml:space="preserve">MK protokola Nr.46 32.§ 4.punkts paredz nodokļu sistēmas sakārtošanu, nevis būvniecības nozares </w:t>
            </w:r>
            <w:r w:rsidR="00D9504B">
              <w:rPr>
                <w:rFonts w:ascii="Times New Roman" w:hAnsi="Times New Roman"/>
                <w:sz w:val="24"/>
                <w:szCs w:val="24"/>
              </w:rPr>
              <w:t xml:space="preserve">kopējās uzraudzības un kontroles sistēmas izveidošanu un </w:t>
            </w:r>
            <w:r w:rsidR="00D9504B" w:rsidRPr="00D9504B">
              <w:rPr>
                <w:rFonts w:ascii="Times New Roman" w:hAnsi="Times New Roman"/>
                <w:sz w:val="24"/>
                <w:szCs w:val="24"/>
              </w:rPr>
              <w:t>sakārtošanu</w:t>
            </w:r>
            <w:r w:rsidR="00D9504B">
              <w:rPr>
                <w:rFonts w:ascii="Times New Roman" w:hAnsi="Times New Roman"/>
                <w:sz w:val="24"/>
                <w:szCs w:val="24"/>
              </w:rPr>
              <w:t>.</w:t>
            </w:r>
            <w:r w:rsidR="00D9504B" w:rsidRPr="00D9504B">
              <w:rPr>
                <w:rFonts w:ascii="Times New Roman" w:hAnsi="Times New Roman"/>
                <w:sz w:val="24"/>
                <w:szCs w:val="24"/>
              </w:rPr>
              <w:t xml:space="preserve"> </w:t>
            </w:r>
            <w:r w:rsidR="004D32C6">
              <w:rPr>
                <w:rFonts w:ascii="Times New Roman" w:hAnsi="Times New Roman"/>
                <w:sz w:val="24"/>
                <w:szCs w:val="24"/>
              </w:rPr>
              <w:t>Patlaban b</w:t>
            </w:r>
            <w:r w:rsidR="00D9504B" w:rsidRPr="00D9504B">
              <w:rPr>
                <w:rFonts w:ascii="Times New Roman" w:hAnsi="Times New Roman"/>
                <w:sz w:val="24"/>
                <w:szCs w:val="24"/>
              </w:rPr>
              <w:t xml:space="preserve">ūvniecības nozares </w:t>
            </w:r>
            <w:r w:rsidR="00D9504B">
              <w:rPr>
                <w:rFonts w:ascii="Times New Roman" w:hAnsi="Times New Roman"/>
                <w:sz w:val="24"/>
                <w:szCs w:val="24"/>
              </w:rPr>
              <w:t xml:space="preserve">kopējās uzraudzības un kontroles sistēmas izveidošana un </w:t>
            </w:r>
            <w:r w:rsidR="00D9504B" w:rsidRPr="00D9504B">
              <w:rPr>
                <w:rFonts w:ascii="Times New Roman" w:hAnsi="Times New Roman"/>
                <w:sz w:val="24"/>
                <w:szCs w:val="24"/>
              </w:rPr>
              <w:t>sakārtošan</w:t>
            </w:r>
            <w:r w:rsidR="00D9504B">
              <w:rPr>
                <w:rFonts w:ascii="Times New Roman" w:hAnsi="Times New Roman"/>
                <w:sz w:val="24"/>
                <w:szCs w:val="24"/>
              </w:rPr>
              <w:t>a</w:t>
            </w:r>
            <w:r w:rsidR="00D9504B" w:rsidRPr="00E61D82">
              <w:rPr>
                <w:rFonts w:ascii="Times New Roman" w:hAnsi="Times New Roman"/>
                <w:sz w:val="24"/>
                <w:szCs w:val="24"/>
              </w:rPr>
              <w:t xml:space="preserve"> </w:t>
            </w:r>
            <w:r w:rsidR="00E61D82" w:rsidRPr="00E61D82">
              <w:rPr>
                <w:rFonts w:ascii="Times New Roman" w:hAnsi="Times New Roman"/>
                <w:sz w:val="24"/>
                <w:szCs w:val="24"/>
              </w:rPr>
              <w:t xml:space="preserve">nav </w:t>
            </w:r>
            <w:r w:rsidR="004D32C6" w:rsidRPr="00E61D82">
              <w:rPr>
                <w:rFonts w:ascii="Times New Roman" w:hAnsi="Times New Roman"/>
                <w:sz w:val="24"/>
                <w:szCs w:val="24"/>
              </w:rPr>
              <w:t>E</w:t>
            </w:r>
            <w:r w:rsidR="004D32C6">
              <w:rPr>
                <w:rFonts w:ascii="Times New Roman" w:hAnsi="Times New Roman"/>
                <w:sz w:val="24"/>
                <w:szCs w:val="24"/>
              </w:rPr>
              <w:t>konomikas ministrijas</w:t>
            </w:r>
            <w:r w:rsidR="004D32C6" w:rsidRPr="00E61D82">
              <w:rPr>
                <w:rFonts w:ascii="Times New Roman" w:hAnsi="Times New Roman"/>
                <w:sz w:val="24"/>
                <w:szCs w:val="24"/>
              </w:rPr>
              <w:t xml:space="preserve"> </w:t>
            </w:r>
            <w:r w:rsidR="00E61D82" w:rsidRPr="00E61D82">
              <w:rPr>
                <w:rFonts w:ascii="Times New Roman" w:hAnsi="Times New Roman"/>
                <w:sz w:val="24"/>
                <w:szCs w:val="24"/>
              </w:rPr>
              <w:t xml:space="preserve">prioritāte, tādēļ steidzami </w:t>
            </w:r>
            <w:r w:rsidR="00E61D82">
              <w:rPr>
                <w:rFonts w:ascii="Times New Roman" w:hAnsi="Times New Roman"/>
                <w:sz w:val="24"/>
                <w:szCs w:val="24"/>
              </w:rPr>
              <w:t>n</w:t>
            </w:r>
            <w:r w:rsidR="009B5F5D">
              <w:rPr>
                <w:rFonts w:ascii="Times New Roman" w:hAnsi="Times New Roman"/>
                <w:sz w:val="24"/>
                <w:szCs w:val="24"/>
              </w:rPr>
              <w:t xml:space="preserve">epieciešams </w:t>
            </w:r>
            <w:r w:rsidR="00F21E92">
              <w:rPr>
                <w:rFonts w:ascii="Times New Roman" w:hAnsi="Times New Roman"/>
                <w:sz w:val="24"/>
                <w:szCs w:val="24"/>
              </w:rPr>
              <w:t>izdarīt</w:t>
            </w:r>
            <w:r w:rsidR="009B5F5D">
              <w:rPr>
                <w:rFonts w:ascii="Times New Roman" w:hAnsi="Times New Roman"/>
                <w:sz w:val="24"/>
                <w:szCs w:val="24"/>
              </w:rPr>
              <w:t xml:space="preserve"> grozījumus</w:t>
            </w:r>
            <w:r w:rsidR="00F21E92">
              <w:rPr>
                <w:rFonts w:ascii="Times New Roman" w:hAnsi="Times New Roman"/>
                <w:sz w:val="24"/>
                <w:szCs w:val="24"/>
              </w:rPr>
              <w:t xml:space="preserve"> noteikumos </w:t>
            </w:r>
            <w:r w:rsidR="00F21E92" w:rsidRPr="00522462">
              <w:rPr>
                <w:rFonts w:ascii="Times New Roman" w:hAnsi="Times New Roman"/>
                <w:sz w:val="24"/>
                <w:szCs w:val="24"/>
              </w:rPr>
              <w:t>Nr.768</w:t>
            </w:r>
            <w:r w:rsidR="009B5F5D">
              <w:rPr>
                <w:rFonts w:ascii="Times New Roman" w:hAnsi="Times New Roman"/>
                <w:sz w:val="24"/>
                <w:szCs w:val="24"/>
              </w:rPr>
              <w:t xml:space="preserve">, </w:t>
            </w:r>
            <w:r w:rsidR="00F2229A">
              <w:rPr>
                <w:rFonts w:ascii="Times New Roman" w:hAnsi="Times New Roman"/>
                <w:sz w:val="24"/>
                <w:szCs w:val="24"/>
              </w:rPr>
              <w:t xml:space="preserve">nosakot, </w:t>
            </w:r>
            <w:r w:rsidR="005703E4" w:rsidRPr="00321DB8">
              <w:rPr>
                <w:rFonts w:ascii="Times New Roman" w:hAnsi="Times New Roman"/>
                <w:sz w:val="24"/>
                <w:szCs w:val="24"/>
              </w:rPr>
              <w:t xml:space="preserve">pagarinot termiņus, </w:t>
            </w:r>
            <w:r w:rsidR="00F2229A" w:rsidRPr="00321DB8">
              <w:rPr>
                <w:rFonts w:ascii="Times New Roman" w:hAnsi="Times New Roman"/>
                <w:sz w:val="24"/>
                <w:szCs w:val="24"/>
              </w:rPr>
              <w:t>k</w:t>
            </w:r>
            <w:r w:rsidR="005703E4" w:rsidRPr="00321DB8">
              <w:rPr>
                <w:rFonts w:ascii="Times New Roman" w:hAnsi="Times New Roman"/>
                <w:sz w:val="24"/>
                <w:szCs w:val="24"/>
              </w:rPr>
              <w:t>ādos</w:t>
            </w:r>
            <w:r w:rsidR="007E5EE4" w:rsidRPr="00321DB8">
              <w:rPr>
                <w:rFonts w:ascii="Times New Roman" w:hAnsi="Times New Roman"/>
                <w:sz w:val="24"/>
                <w:szCs w:val="24"/>
              </w:rPr>
              <w:t xml:space="preserve"> </w:t>
            </w:r>
            <w:r w:rsidR="00F2229A" w:rsidRPr="00321DB8">
              <w:rPr>
                <w:rFonts w:ascii="Times New Roman" w:hAnsi="Times New Roman"/>
                <w:sz w:val="24"/>
                <w:szCs w:val="24"/>
              </w:rPr>
              <w:t>Pārtikas un veterinārais dienests</w:t>
            </w:r>
            <w:r w:rsidR="00F21E92" w:rsidRPr="00321DB8">
              <w:rPr>
                <w:rFonts w:ascii="Times New Roman" w:hAnsi="Times New Roman"/>
                <w:sz w:val="24"/>
                <w:szCs w:val="24"/>
              </w:rPr>
              <w:t xml:space="preserve"> </w:t>
            </w:r>
            <w:r w:rsidR="005703E4" w:rsidRPr="00321DB8">
              <w:rPr>
                <w:rFonts w:ascii="Times New Roman" w:hAnsi="Times New Roman"/>
                <w:sz w:val="24"/>
                <w:szCs w:val="24"/>
              </w:rPr>
              <w:t>pārbauda</w:t>
            </w:r>
            <w:r w:rsidR="00F21E92" w:rsidRPr="00321DB8">
              <w:rPr>
                <w:rFonts w:ascii="Times New Roman" w:hAnsi="Times New Roman"/>
                <w:sz w:val="24"/>
                <w:szCs w:val="24"/>
              </w:rPr>
              <w:t xml:space="preserve"> būve</w:t>
            </w:r>
            <w:r w:rsidR="005703E4" w:rsidRPr="00321DB8">
              <w:rPr>
                <w:rFonts w:ascii="Times New Roman" w:hAnsi="Times New Roman"/>
                <w:sz w:val="24"/>
                <w:szCs w:val="24"/>
              </w:rPr>
              <w:t>s</w:t>
            </w:r>
            <w:r w:rsidR="00F21E92" w:rsidRPr="00321DB8">
              <w:rPr>
                <w:rFonts w:ascii="Times New Roman" w:hAnsi="Times New Roman"/>
                <w:sz w:val="24"/>
                <w:szCs w:val="24"/>
              </w:rPr>
              <w:t xml:space="preserve"> </w:t>
            </w:r>
            <w:r w:rsidR="005703E4" w:rsidRPr="00321DB8">
              <w:rPr>
                <w:rFonts w:ascii="Times New Roman" w:hAnsi="Times New Roman"/>
                <w:sz w:val="24"/>
                <w:szCs w:val="24"/>
              </w:rPr>
              <w:t>un</w:t>
            </w:r>
            <w:r w:rsidR="00F21E92" w:rsidRPr="00321DB8">
              <w:rPr>
                <w:rFonts w:ascii="Times New Roman" w:hAnsi="Times New Roman"/>
                <w:sz w:val="24"/>
                <w:szCs w:val="24"/>
              </w:rPr>
              <w:t xml:space="preserve"> telpu</w:t>
            </w:r>
            <w:r w:rsidR="00F21E92">
              <w:rPr>
                <w:rFonts w:ascii="Times New Roman" w:hAnsi="Times New Roman"/>
                <w:sz w:val="24"/>
                <w:szCs w:val="24"/>
              </w:rPr>
              <w:t xml:space="preserve"> grupa</w:t>
            </w:r>
            <w:r w:rsidR="005703E4">
              <w:rPr>
                <w:rFonts w:ascii="Times New Roman" w:hAnsi="Times New Roman"/>
                <w:sz w:val="24"/>
                <w:szCs w:val="24"/>
              </w:rPr>
              <w:t>s</w:t>
            </w:r>
            <w:r w:rsidR="00F21E92">
              <w:rPr>
                <w:rFonts w:ascii="Times New Roman" w:hAnsi="Times New Roman"/>
                <w:sz w:val="24"/>
                <w:szCs w:val="24"/>
              </w:rPr>
              <w:t xml:space="preserve"> nodo</w:t>
            </w:r>
            <w:r w:rsidR="005703E4">
              <w:rPr>
                <w:rFonts w:ascii="Times New Roman" w:hAnsi="Times New Roman"/>
                <w:sz w:val="24"/>
                <w:szCs w:val="24"/>
              </w:rPr>
              <w:t>šanu</w:t>
            </w:r>
            <w:r w:rsidR="00F21E92">
              <w:rPr>
                <w:rFonts w:ascii="Times New Roman" w:hAnsi="Times New Roman"/>
                <w:sz w:val="24"/>
                <w:szCs w:val="24"/>
              </w:rPr>
              <w:t xml:space="preserve"> ekspluatācijā</w:t>
            </w:r>
            <w:r w:rsidR="005703E4">
              <w:rPr>
                <w:rFonts w:ascii="Times New Roman" w:hAnsi="Times New Roman"/>
                <w:sz w:val="24"/>
                <w:szCs w:val="24"/>
              </w:rPr>
              <w:t xml:space="preserve"> un faktisko būves un telpu grupas lietošanas veidu</w:t>
            </w:r>
            <w:r w:rsidR="007E5EE4">
              <w:rPr>
                <w:rFonts w:ascii="Times New Roman" w:hAnsi="Times New Roman"/>
                <w:sz w:val="24"/>
                <w:szCs w:val="24"/>
              </w:rPr>
              <w:t xml:space="preserve"> tām veterinārmedicīniskās prakses iestādēm, kas jau </w:t>
            </w:r>
            <w:r w:rsidR="004D32C6">
              <w:rPr>
                <w:rFonts w:ascii="Times New Roman" w:hAnsi="Times New Roman"/>
                <w:sz w:val="24"/>
                <w:szCs w:val="24"/>
              </w:rPr>
              <w:t xml:space="preserve">ir </w:t>
            </w:r>
            <w:r w:rsidR="007E5EE4">
              <w:rPr>
                <w:rFonts w:ascii="Times New Roman" w:hAnsi="Times New Roman"/>
                <w:sz w:val="24"/>
                <w:szCs w:val="24"/>
              </w:rPr>
              <w:t>reģistrētas Pārtikas un veterinārā dienesta uzraudzības objektu reģistrā</w:t>
            </w:r>
            <w:r w:rsidR="00F2229A">
              <w:rPr>
                <w:rFonts w:ascii="Times New Roman" w:hAnsi="Times New Roman"/>
                <w:sz w:val="24"/>
                <w:szCs w:val="24"/>
              </w:rPr>
              <w:t xml:space="preserve">, kā arī ir </w:t>
            </w:r>
            <w:r w:rsidR="00F21E92">
              <w:rPr>
                <w:rFonts w:ascii="Times New Roman" w:hAnsi="Times New Roman"/>
                <w:sz w:val="24"/>
                <w:szCs w:val="24"/>
              </w:rPr>
              <w:t>jā</w:t>
            </w:r>
            <w:r w:rsidR="009B5F5D">
              <w:rPr>
                <w:rFonts w:ascii="Times New Roman" w:hAnsi="Times New Roman"/>
                <w:sz w:val="24"/>
                <w:szCs w:val="24"/>
              </w:rPr>
              <w:t>pagarin</w:t>
            </w:r>
            <w:r w:rsidR="00F21E92">
              <w:rPr>
                <w:rFonts w:ascii="Times New Roman" w:hAnsi="Times New Roman"/>
                <w:sz w:val="24"/>
                <w:szCs w:val="24"/>
              </w:rPr>
              <w:t>a</w:t>
            </w:r>
            <w:r w:rsidR="009B5F5D">
              <w:rPr>
                <w:rFonts w:ascii="Times New Roman" w:hAnsi="Times New Roman"/>
                <w:sz w:val="24"/>
                <w:szCs w:val="24"/>
              </w:rPr>
              <w:t xml:space="preserve"> termi</w:t>
            </w:r>
            <w:r w:rsidR="00F2229A">
              <w:rPr>
                <w:rFonts w:ascii="Times New Roman" w:hAnsi="Times New Roman"/>
                <w:sz w:val="24"/>
                <w:szCs w:val="24"/>
              </w:rPr>
              <w:t>ņ</w:t>
            </w:r>
            <w:r w:rsidR="00F21E92">
              <w:rPr>
                <w:rFonts w:ascii="Times New Roman" w:hAnsi="Times New Roman"/>
                <w:sz w:val="24"/>
                <w:szCs w:val="24"/>
              </w:rPr>
              <w:t>š,</w:t>
            </w:r>
            <w:r w:rsidR="00F2229A">
              <w:rPr>
                <w:rFonts w:ascii="Times New Roman" w:hAnsi="Times New Roman"/>
                <w:sz w:val="24"/>
                <w:szCs w:val="24"/>
              </w:rPr>
              <w:t xml:space="preserve"> </w:t>
            </w:r>
            <w:r w:rsidR="005E72FF">
              <w:rPr>
                <w:rFonts w:ascii="Times New Roman" w:hAnsi="Times New Roman"/>
                <w:sz w:val="24"/>
                <w:szCs w:val="24"/>
              </w:rPr>
              <w:t xml:space="preserve">līdz kuram </w:t>
            </w:r>
            <w:r w:rsidR="005E72FF" w:rsidRPr="005E72FF">
              <w:rPr>
                <w:rFonts w:ascii="Times New Roman" w:hAnsi="Times New Roman"/>
                <w:sz w:val="24"/>
                <w:szCs w:val="24"/>
              </w:rPr>
              <w:t>veter</w:t>
            </w:r>
            <w:r w:rsidR="005E72FF">
              <w:rPr>
                <w:rFonts w:ascii="Times New Roman" w:hAnsi="Times New Roman"/>
                <w:sz w:val="24"/>
                <w:szCs w:val="24"/>
              </w:rPr>
              <w:t xml:space="preserve">inārmedicīniskās prakses iestādes </w:t>
            </w:r>
            <w:r w:rsidR="005E72FF" w:rsidRPr="005E72FF">
              <w:rPr>
                <w:rFonts w:ascii="Times New Roman" w:hAnsi="Times New Roman"/>
                <w:sz w:val="24"/>
                <w:szCs w:val="24"/>
              </w:rPr>
              <w:t xml:space="preserve">datus </w:t>
            </w:r>
            <w:r w:rsidR="005E72FF">
              <w:rPr>
                <w:rFonts w:ascii="Times New Roman" w:hAnsi="Times New Roman"/>
                <w:sz w:val="24"/>
                <w:szCs w:val="24"/>
              </w:rPr>
              <w:t xml:space="preserve">par būvēm </w:t>
            </w:r>
            <w:r w:rsidR="00F21E92" w:rsidRPr="005E72FF">
              <w:rPr>
                <w:rFonts w:ascii="Times New Roman" w:hAnsi="Times New Roman"/>
                <w:sz w:val="24"/>
                <w:szCs w:val="24"/>
              </w:rPr>
              <w:t xml:space="preserve">aktualizē </w:t>
            </w:r>
            <w:r w:rsidR="005E72FF" w:rsidRPr="005E72FF">
              <w:rPr>
                <w:rFonts w:ascii="Times New Roman" w:hAnsi="Times New Roman"/>
                <w:sz w:val="24"/>
                <w:szCs w:val="24"/>
              </w:rPr>
              <w:t>Nekustamā īpašuma valsts kadastra informācijas sistēmā</w:t>
            </w:r>
            <w:r w:rsidR="00F2229A">
              <w:rPr>
                <w:rFonts w:ascii="Times New Roman" w:hAnsi="Times New Roman"/>
                <w:sz w:val="24"/>
                <w:szCs w:val="24"/>
              </w:rPr>
              <w:t>.</w:t>
            </w:r>
          </w:p>
        </w:tc>
      </w:tr>
      <w:tr w:rsidR="005D73DE" w:rsidRPr="00971C97" w:rsidTr="00321DB8">
        <w:tc>
          <w:tcPr>
            <w:tcW w:w="307"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529"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164" w:type="pct"/>
          </w:tcPr>
          <w:p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F64886" w:rsidTr="00321DB8">
        <w:tc>
          <w:tcPr>
            <w:tcW w:w="307"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529"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164" w:type="pct"/>
          </w:tcPr>
          <w:p w:rsidR="00A162FE" w:rsidRPr="00F64886" w:rsidRDefault="00F6202B" w:rsidP="004C18F4">
            <w:pPr>
              <w:jc w:val="both"/>
              <w:rPr>
                <w:color w:val="000000" w:themeColor="text1"/>
                <w:highlight w:val="yellow"/>
                <w:lang w:val="lv-LV"/>
              </w:rPr>
            </w:pPr>
            <w:r w:rsidRPr="00F64886">
              <w:rPr>
                <w:color w:val="000000" w:themeColor="text1"/>
                <w:lang w:val="lv-LV"/>
              </w:rPr>
              <w:t>Nav.</w:t>
            </w:r>
            <w:r w:rsidR="00E94A28" w:rsidRPr="00F64886">
              <w:rPr>
                <w:color w:val="000000" w:themeColor="text1"/>
                <w:lang w:val="lv-LV"/>
              </w:rPr>
              <w:t xml:space="preserve"> </w:t>
            </w:r>
          </w:p>
        </w:tc>
      </w:tr>
    </w:tbl>
    <w:p w:rsidR="00C21DCA" w:rsidRPr="00F50198" w:rsidRDefault="00C21DCA">
      <w:pPr>
        <w:rPr>
          <w:color w:val="000000" w:themeColor="text1"/>
          <w:sz w:val="12"/>
          <w:szCs w:val="12"/>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61"/>
        <w:gridCol w:w="2468"/>
        <w:gridCol w:w="6085"/>
      </w:tblGrid>
      <w:tr w:rsidR="005D73DE" w:rsidRPr="004B6D49" w:rsidTr="00BA662B">
        <w:tc>
          <w:tcPr>
            <w:tcW w:w="5000" w:type="pct"/>
            <w:gridSpan w:val="3"/>
            <w:tcBorders>
              <w:top w:val="outset" w:sz="6" w:space="0" w:color="auto"/>
              <w:left w:val="outset" w:sz="6" w:space="0" w:color="auto"/>
              <w:bottom w:val="outset" w:sz="6" w:space="0" w:color="auto"/>
              <w:right w:val="outset" w:sz="6" w:space="0" w:color="auto"/>
            </w:tcBorders>
          </w:tcPr>
          <w:p w:rsidR="008F3459" w:rsidRPr="004B6D49" w:rsidRDefault="008F3459" w:rsidP="005D73DE">
            <w:pPr>
              <w:jc w:val="center"/>
              <w:rPr>
                <w:b/>
                <w:color w:val="000000" w:themeColor="text1"/>
                <w:lang w:val="lv-LV"/>
              </w:rPr>
            </w:pPr>
            <w:r w:rsidRPr="004B6D49">
              <w:rPr>
                <w:b/>
                <w:color w:val="000000" w:themeColor="text1"/>
                <w:lang w:val="lv-LV"/>
              </w:rPr>
              <w:t>II. Tiesību akta projekta ietekme uz sabiedrību</w:t>
            </w:r>
            <w:r w:rsidR="00D533EA" w:rsidRPr="004B6D49">
              <w:rPr>
                <w:b/>
                <w:color w:val="000000" w:themeColor="text1"/>
                <w:lang w:val="lv-LV"/>
              </w:rPr>
              <w:t>,</w:t>
            </w:r>
            <w:r w:rsidR="00D533EA" w:rsidRPr="004B6D49">
              <w:rPr>
                <w:b/>
                <w:bCs/>
                <w:color w:val="000000" w:themeColor="text1"/>
                <w:lang w:val="lv-LV"/>
              </w:rPr>
              <w:t xml:space="preserve"> tautsaimniecības attīstību un administratīvo slogu</w:t>
            </w:r>
          </w:p>
        </w:tc>
      </w:tr>
      <w:tr w:rsidR="005D73DE" w:rsidRPr="004B6D49" w:rsidTr="00BA662B">
        <w:tc>
          <w:tcPr>
            <w:tcW w:w="359" w:type="pct"/>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lang w:val="lv-LV"/>
              </w:rPr>
            </w:pPr>
            <w:r w:rsidRPr="00F64886">
              <w:rPr>
                <w:color w:val="000000" w:themeColor="text1"/>
                <w:lang w:val="lv-LV"/>
              </w:rPr>
              <w:t>1.</w:t>
            </w:r>
          </w:p>
        </w:tc>
        <w:tc>
          <w:tcPr>
            <w:tcW w:w="1339" w:type="pct"/>
            <w:tcBorders>
              <w:top w:val="outset" w:sz="6" w:space="0" w:color="auto"/>
              <w:left w:val="outset" w:sz="6" w:space="0" w:color="auto"/>
              <w:right w:val="outset" w:sz="6" w:space="0" w:color="auto"/>
            </w:tcBorders>
          </w:tcPr>
          <w:p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3302" w:type="pct"/>
            <w:tcBorders>
              <w:top w:val="outset" w:sz="6" w:space="0" w:color="auto"/>
              <w:left w:val="outset" w:sz="6" w:space="0" w:color="auto"/>
              <w:right w:val="outset" w:sz="6" w:space="0" w:color="auto"/>
            </w:tcBorders>
          </w:tcPr>
          <w:p w:rsidR="00101E0B" w:rsidRPr="00F64886" w:rsidRDefault="00050F48" w:rsidP="005E72FF">
            <w:pPr>
              <w:jc w:val="both"/>
              <w:rPr>
                <w:b/>
                <w:color w:val="000000" w:themeColor="text1"/>
                <w:highlight w:val="yellow"/>
                <w:lang w:val="lv-LV"/>
              </w:rPr>
            </w:pPr>
            <w:r w:rsidRPr="00050F48">
              <w:rPr>
                <w:lang w:val="lv-LV"/>
              </w:rPr>
              <w:t xml:space="preserve">Ministru kabineta noteikumu projekts attiecas uz veterinārmedicīniskās prakses iestādēm. </w:t>
            </w:r>
            <w:r w:rsidR="00B7372A">
              <w:rPr>
                <w:lang w:val="lv-LV"/>
              </w:rPr>
              <w:t>562</w:t>
            </w:r>
            <w:r w:rsidR="00F21E92">
              <w:rPr>
                <w:lang w:val="lv-LV"/>
              </w:rPr>
              <w:t> </w:t>
            </w:r>
            <w:r w:rsidRPr="00AA5C45">
              <w:rPr>
                <w:lang w:val="lv-LV"/>
              </w:rPr>
              <w:t>veterinārmedicīniskās prakses iestādes</w:t>
            </w:r>
            <w:r w:rsidR="003B3F81">
              <w:rPr>
                <w:lang w:val="lv-LV"/>
              </w:rPr>
              <w:t xml:space="preserve">, no kurām </w:t>
            </w:r>
            <w:r w:rsidR="00B7372A">
              <w:rPr>
                <w:lang w:val="lv-LV"/>
              </w:rPr>
              <w:t>386</w:t>
            </w:r>
            <w:r w:rsidR="003B3F81">
              <w:rPr>
                <w:lang w:val="lv-LV"/>
              </w:rPr>
              <w:t xml:space="preserve"> ir </w:t>
            </w:r>
            <w:r w:rsidR="003B3F81" w:rsidRPr="00AA5C45">
              <w:rPr>
                <w:lang w:val="lv-LV"/>
              </w:rPr>
              <w:t>veterinārmedicīniskās prakses</w:t>
            </w:r>
            <w:r w:rsidR="003B3F81">
              <w:rPr>
                <w:lang w:val="lv-LV"/>
              </w:rPr>
              <w:t xml:space="preserve"> kabinet</w:t>
            </w:r>
            <w:r w:rsidR="005E72FF">
              <w:rPr>
                <w:lang w:val="lv-LV"/>
              </w:rPr>
              <w:t>i</w:t>
            </w:r>
            <w:r w:rsidR="003B3F81">
              <w:rPr>
                <w:lang w:val="lv-LV"/>
              </w:rPr>
              <w:t xml:space="preserve">, </w:t>
            </w:r>
            <w:r w:rsidR="00B7372A">
              <w:rPr>
                <w:lang w:val="lv-LV"/>
              </w:rPr>
              <w:t>127</w:t>
            </w:r>
            <w:r w:rsidR="003B3F81">
              <w:rPr>
                <w:lang w:val="lv-LV"/>
              </w:rPr>
              <w:t xml:space="preserve"> ambulatorās </w:t>
            </w:r>
            <w:r w:rsidR="003B3F81" w:rsidRPr="00AA5C45">
              <w:rPr>
                <w:lang w:val="lv-LV"/>
              </w:rPr>
              <w:t>veterinārmedicīniskās prakses</w:t>
            </w:r>
            <w:r w:rsidR="003B3F81">
              <w:rPr>
                <w:lang w:val="lv-LV"/>
              </w:rPr>
              <w:t xml:space="preserve"> iestādes</w:t>
            </w:r>
            <w:r w:rsidR="00F21E92">
              <w:rPr>
                <w:lang w:val="lv-LV"/>
              </w:rPr>
              <w:t xml:space="preserve"> un</w:t>
            </w:r>
            <w:r w:rsidR="003B3F81">
              <w:rPr>
                <w:lang w:val="lv-LV"/>
              </w:rPr>
              <w:t xml:space="preserve"> </w:t>
            </w:r>
            <w:r w:rsidR="00B7372A">
              <w:rPr>
                <w:lang w:val="lv-LV"/>
              </w:rPr>
              <w:t>48</w:t>
            </w:r>
            <w:r w:rsidR="003B3F81">
              <w:rPr>
                <w:lang w:val="lv-LV"/>
              </w:rPr>
              <w:t xml:space="preserve"> stacionārās </w:t>
            </w:r>
            <w:r w:rsidR="003B3F81" w:rsidRPr="00AA5C45">
              <w:rPr>
                <w:lang w:val="lv-LV"/>
              </w:rPr>
              <w:t>veterinārmedicīniskās prakses</w:t>
            </w:r>
            <w:r w:rsidR="003B3F81">
              <w:rPr>
                <w:lang w:val="lv-LV"/>
              </w:rPr>
              <w:t xml:space="preserve"> iestādes</w:t>
            </w:r>
            <w:r w:rsidR="009B5F5D">
              <w:rPr>
                <w:lang w:val="lv-LV"/>
              </w:rPr>
              <w:t>.</w:t>
            </w:r>
          </w:p>
        </w:tc>
      </w:tr>
      <w:tr w:rsidR="005D73DE" w:rsidRPr="004B6D49" w:rsidTr="00BA662B">
        <w:tc>
          <w:tcPr>
            <w:tcW w:w="359" w:type="pct"/>
            <w:tcBorders>
              <w:top w:val="outset" w:sz="6" w:space="0" w:color="auto"/>
              <w:left w:val="outset" w:sz="6" w:space="0" w:color="auto"/>
              <w:right w:val="outset" w:sz="6" w:space="0" w:color="auto"/>
            </w:tcBorders>
          </w:tcPr>
          <w:p w:rsidR="00BE26B5" w:rsidRPr="00F64886" w:rsidRDefault="00BE26B5" w:rsidP="005D73DE">
            <w:pPr>
              <w:jc w:val="center"/>
              <w:rPr>
                <w:color w:val="000000" w:themeColor="text1"/>
                <w:lang w:val="lv-LV"/>
              </w:rPr>
            </w:pPr>
            <w:r w:rsidRPr="00F64886">
              <w:rPr>
                <w:color w:val="000000" w:themeColor="text1"/>
                <w:lang w:val="lv-LV"/>
              </w:rPr>
              <w:t>2.</w:t>
            </w:r>
          </w:p>
        </w:tc>
        <w:tc>
          <w:tcPr>
            <w:tcW w:w="1339" w:type="pct"/>
            <w:tcBorders>
              <w:top w:val="outset" w:sz="6" w:space="0" w:color="auto"/>
              <w:left w:val="outset" w:sz="6" w:space="0" w:color="auto"/>
              <w:right w:val="outset" w:sz="6" w:space="0" w:color="auto"/>
            </w:tcBorders>
          </w:tcPr>
          <w:p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02" w:type="pct"/>
            <w:tcBorders>
              <w:top w:val="outset" w:sz="6" w:space="0" w:color="auto"/>
              <w:left w:val="outset" w:sz="6" w:space="0" w:color="auto"/>
              <w:right w:val="outset" w:sz="6" w:space="0" w:color="auto"/>
            </w:tcBorders>
          </w:tcPr>
          <w:p w:rsidR="00AA5C45" w:rsidRPr="00AA5C45" w:rsidRDefault="000460F4" w:rsidP="00B7372A">
            <w:pPr>
              <w:widowControl w:val="0"/>
              <w:jc w:val="both"/>
              <w:rPr>
                <w:color w:val="000000" w:themeColor="text1"/>
                <w:lang w:val="lv-LV"/>
              </w:rPr>
            </w:pPr>
            <w:r>
              <w:rPr>
                <w:color w:val="000000" w:themeColor="text1"/>
                <w:lang w:val="lv-LV"/>
              </w:rPr>
              <w:t xml:space="preserve">Tiesiskais regulējums samazinās slogu </w:t>
            </w:r>
            <w:r w:rsidR="00B7372A">
              <w:rPr>
                <w:color w:val="000000" w:themeColor="text1"/>
                <w:lang w:val="lv-LV"/>
              </w:rPr>
              <w:t>veterinārmedicīniskās prakses iestādēm, jo tiks pagarināts termiņš, kura laikā būs iespējams sakārtot nepieciešamo dokumentāciju</w:t>
            </w:r>
            <w:r>
              <w:rPr>
                <w:color w:val="000000" w:themeColor="text1"/>
                <w:lang w:val="lv-LV"/>
              </w:rPr>
              <w:t>.</w:t>
            </w:r>
          </w:p>
        </w:tc>
      </w:tr>
      <w:tr w:rsidR="005D73DE" w:rsidRPr="00154FF3" w:rsidTr="00BA662B">
        <w:tc>
          <w:tcPr>
            <w:tcW w:w="359"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39" w:type="pct"/>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02" w:type="pct"/>
            <w:tcBorders>
              <w:top w:val="outset" w:sz="6" w:space="0" w:color="auto"/>
              <w:left w:val="outset" w:sz="6" w:space="0" w:color="auto"/>
              <w:right w:val="outset" w:sz="6" w:space="0" w:color="auto"/>
            </w:tcBorders>
          </w:tcPr>
          <w:p w:rsidR="00F6202B" w:rsidRPr="00AA5C45" w:rsidRDefault="009B5F5D" w:rsidP="005B1DA8">
            <w:pPr>
              <w:jc w:val="both"/>
              <w:rPr>
                <w:color w:val="FF0000"/>
                <w:lang w:val="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5D73DE" w:rsidRPr="00F64886" w:rsidTr="00BA662B">
        <w:tc>
          <w:tcPr>
            <w:tcW w:w="359"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339" w:type="pct"/>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02" w:type="pct"/>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rsidR="00637747" w:rsidRPr="00F50198" w:rsidRDefault="00637747" w:rsidP="005D73DE">
      <w:pPr>
        <w:jc w:val="both"/>
        <w:rPr>
          <w:color w:val="000000" w:themeColor="text1"/>
          <w:sz w:val="12"/>
          <w:szCs w:val="12"/>
          <w:lang w:val="lv-LV" w:eastAsia="lv-LV"/>
        </w:rPr>
      </w:pPr>
    </w:p>
    <w:p w:rsidR="00A31E17" w:rsidRDefault="00A31E17" w:rsidP="005D73DE">
      <w:pPr>
        <w:jc w:val="both"/>
        <w:rPr>
          <w:i/>
          <w:color w:val="000000" w:themeColor="text1"/>
          <w:lang w:val="lv-LV" w:eastAsia="lv-LV"/>
        </w:rPr>
      </w:pPr>
      <w:r w:rsidRPr="00F64886">
        <w:rPr>
          <w:color w:val="000000" w:themeColor="text1"/>
          <w:sz w:val="28"/>
          <w:lang w:val="lv-LV"/>
        </w:rPr>
        <w:tab/>
      </w:r>
      <w:r>
        <w:rPr>
          <w:i/>
          <w:color w:val="000000" w:themeColor="text1"/>
          <w:lang w:val="lv-LV" w:eastAsia="lv-LV"/>
        </w:rPr>
        <w:t xml:space="preserve">Anotācijas III, IV </w:t>
      </w:r>
      <w:r w:rsidRPr="00F64886">
        <w:rPr>
          <w:i/>
          <w:color w:val="000000" w:themeColor="text1"/>
          <w:lang w:val="lv-LV" w:eastAsia="lv-LV"/>
        </w:rPr>
        <w:t>un V sadaļa – projekts šīs jomas neskar.</w:t>
      </w:r>
    </w:p>
    <w:p w:rsidR="00951484" w:rsidRPr="00F50198" w:rsidRDefault="00951484" w:rsidP="005D73DE">
      <w:pPr>
        <w:jc w:val="both"/>
        <w:rPr>
          <w:i/>
          <w:color w:val="000000" w:themeColor="text1"/>
          <w:sz w:val="12"/>
          <w:szCs w:val="12"/>
          <w:lang w:val="lv-LV" w:eastAsia="lv-LV"/>
        </w:rPr>
      </w:pPr>
    </w:p>
    <w:tbl>
      <w:tblPr>
        <w:tblStyle w:val="Reatabula"/>
        <w:tblW w:w="0" w:type="auto"/>
        <w:tblInd w:w="-147" w:type="dxa"/>
        <w:tblLook w:val="04A0" w:firstRow="1" w:lastRow="0" w:firstColumn="1" w:lastColumn="0" w:noHBand="0" w:noVBand="1"/>
      </w:tblPr>
      <w:tblGrid>
        <w:gridCol w:w="676"/>
        <w:gridCol w:w="3740"/>
        <w:gridCol w:w="1228"/>
        <w:gridCol w:w="3564"/>
      </w:tblGrid>
      <w:tr w:rsidR="00951484" w:rsidRPr="004B6D49" w:rsidTr="00BA662B">
        <w:tc>
          <w:tcPr>
            <w:tcW w:w="9208" w:type="dxa"/>
            <w:gridSpan w:val="4"/>
          </w:tcPr>
          <w:p w:rsidR="00951484" w:rsidRPr="004B6D49" w:rsidRDefault="00951484" w:rsidP="00951484">
            <w:pPr>
              <w:jc w:val="center"/>
              <w:rPr>
                <w:i/>
                <w:color w:val="000000" w:themeColor="text1"/>
                <w:lang w:val="lv-LV" w:eastAsia="lv-LV"/>
              </w:rPr>
            </w:pPr>
            <w:r w:rsidRPr="004B6D49">
              <w:rPr>
                <w:b/>
                <w:bCs/>
                <w:color w:val="000000" w:themeColor="text1"/>
                <w:lang w:val="lv-LV" w:eastAsia="lv-LV"/>
              </w:rPr>
              <w:t xml:space="preserve">VI. Sabiedrības līdzdalība </w:t>
            </w:r>
            <w:r w:rsidRPr="004B6D49">
              <w:rPr>
                <w:b/>
                <w:bCs/>
                <w:color w:val="000000" w:themeColor="text1"/>
                <w:lang w:val="lv-LV"/>
              </w:rPr>
              <w:t>un komunikācijas aktivitātes</w:t>
            </w:r>
          </w:p>
        </w:tc>
      </w:tr>
      <w:tr w:rsidR="00951484" w:rsidRPr="004D32C6"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792" w:type="dxa"/>
            <w:gridSpan w:val="2"/>
          </w:tcPr>
          <w:p w:rsidR="00951484" w:rsidRPr="003B3F81" w:rsidRDefault="00951484" w:rsidP="009B5F5D">
            <w:pPr>
              <w:jc w:val="both"/>
              <w:rPr>
                <w:i/>
                <w:color w:val="000000" w:themeColor="text1"/>
                <w:lang w:val="lv-LV" w:eastAsia="lv-LV"/>
              </w:rPr>
            </w:pPr>
            <w:r w:rsidRPr="003B3F81">
              <w:rPr>
                <w:lang w:val="lv-LV"/>
              </w:rPr>
              <w:t>Noteikumu projekts ti</w:t>
            </w:r>
            <w:r w:rsidR="009B5F5D">
              <w:rPr>
                <w:lang w:val="lv-LV"/>
              </w:rPr>
              <w:t>ks</w:t>
            </w:r>
            <w:r w:rsidRPr="003B3F81">
              <w:rPr>
                <w:lang w:val="lv-LV"/>
              </w:rPr>
              <w:t xml:space="preserve"> ievietots Zemkopības ministrijas tīmekļa vietnē.</w:t>
            </w:r>
          </w:p>
        </w:tc>
      </w:tr>
      <w:tr w:rsidR="00951484"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4792" w:type="dxa"/>
            <w:gridSpan w:val="2"/>
          </w:tcPr>
          <w:p w:rsidR="00951484" w:rsidRPr="003B3F81" w:rsidRDefault="009B5F5D" w:rsidP="005D73DE">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3.</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792" w:type="dxa"/>
            <w:gridSpan w:val="2"/>
          </w:tcPr>
          <w:p w:rsidR="00951484" w:rsidRPr="003B3F81" w:rsidRDefault="009B5F5D" w:rsidP="008A1EB7">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792" w:type="dxa"/>
            <w:gridSpan w:val="2"/>
          </w:tcPr>
          <w:p w:rsidR="00951484" w:rsidRPr="003B3F81" w:rsidRDefault="00951484" w:rsidP="005D73DE">
            <w:pPr>
              <w:jc w:val="both"/>
              <w:rPr>
                <w:i/>
                <w:color w:val="000000" w:themeColor="text1"/>
                <w:lang w:val="lv-LV" w:eastAsia="lv-LV"/>
              </w:rPr>
            </w:pPr>
            <w:r w:rsidRPr="009B5F5D">
              <w:rPr>
                <w:color w:val="000000" w:themeColor="text1"/>
                <w:lang w:val="lv-LV" w:eastAsia="lv-LV"/>
              </w:rPr>
              <w:t>Nav</w:t>
            </w:r>
            <w:r w:rsidRPr="003B3F81">
              <w:rPr>
                <w:i/>
                <w:color w:val="000000" w:themeColor="text1"/>
                <w:lang w:val="lv-LV" w:eastAsia="lv-LV"/>
              </w:rPr>
              <w:t>.</w:t>
            </w:r>
          </w:p>
        </w:tc>
      </w:tr>
      <w:tr w:rsidR="00951484" w:rsidTr="00BA662B">
        <w:tc>
          <w:tcPr>
            <w:tcW w:w="9208" w:type="dxa"/>
            <w:gridSpan w:val="4"/>
          </w:tcPr>
          <w:p w:rsidR="00951484" w:rsidRPr="004B6D49" w:rsidRDefault="00951484" w:rsidP="00951484">
            <w:pPr>
              <w:jc w:val="center"/>
              <w:rPr>
                <w:color w:val="000000" w:themeColor="text1"/>
                <w:lang w:val="lv-LV" w:eastAsia="lv-LV"/>
              </w:rPr>
            </w:pPr>
            <w:r w:rsidRPr="004B6D49">
              <w:rPr>
                <w:b/>
                <w:bCs/>
                <w:color w:val="000000" w:themeColor="text1"/>
                <w:lang w:val="lv-LV" w:eastAsia="lv-LV"/>
              </w:rPr>
              <w:t>VII. Tiesību akta projekta izpildes nodrošināšana un tās ietekme uz institūcijām</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1.</w:t>
            </w:r>
          </w:p>
        </w:tc>
        <w:tc>
          <w:tcPr>
            <w:tcW w:w="4968" w:type="dxa"/>
            <w:gridSpan w:val="2"/>
          </w:tcPr>
          <w:p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564" w:type="dxa"/>
          </w:tcPr>
          <w:p w:rsidR="00951484" w:rsidRDefault="00951484" w:rsidP="005D73DE">
            <w:pPr>
              <w:jc w:val="both"/>
              <w:rPr>
                <w:i/>
                <w:color w:val="000000" w:themeColor="text1"/>
                <w:lang w:val="lv-LV" w:eastAsia="lv-LV"/>
              </w:rPr>
            </w:pPr>
            <w:r w:rsidRPr="003E01D6">
              <w:t>Pārtikas un veterinārais dienests</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2.</w:t>
            </w:r>
          </w:p>
        </w:tc>
        <w:tc>
          <w:tcPr>
            <w:tcW w:w="4968" w:type="dxa"/>
            <w:gridSpan w:val="2"/>
          </w:tcPr>
          <w:p w:rsidR="00951484" w:rsidRPr="00F64886" w:rsidRDefault="00951484" w:rsidP="00951484">
            <w:pPr>
              <w:jc w:val="both"/>
              <w:rPr>
                <w:color w:val="000000" w:themeColor="text1"/>
                <w:lang w:val="lv-LV"/>
              </w:rPr>
            </w:pPr>
            <w:r w:rsidRPr="00F64886">
              <w:rPr>
                <w:color w:val="000000" w:themeColor="text1"/>
                <w:lang w:val="lv-LV"/>
              </w:rPr>
              <w:t xml:space="preserve">Projekta izpildes ietekme uz pārvaldes funkcijām un institucionālo struktūru. </w:t>
            </w:r>
          </w:p>
          <w:p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564" w:type="dxa"/>
          </w:tcPr>
          <w:p w:rsidR="00951484" w:rsidRDefault="00951484" w:rsidP="005D73DE">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3.</w:t>
            </w:r>
          </w:p>
        </w:tc>
        <w:tc>
          <w:tcPr>
            <w:tcW w:w="4968" w:type="dxa"/>
            <w:gridSpan w:val="2"/>
          </w:tcPr>
          <w:p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564" w:type="dxa"/>
          </w:tcPr>
          <w:p w:rsidR="00951484" w:rsidRDefault="00951484" w:rsidP="005D73DE">
            <w:pPr>
              <w:jc w:val="both"/>
              <w:rPr>
                <w:i/>
                <w:color w:val="000000" w:themeColor="text1"/>
                <w:lang w:val="lv-LV" w:eastAsia="lv-LV"/>
              </w:rPr>
            </w:pPr>
            <w:proofErr w:type="spellStart"/>
            <w:r w:rsidRPr="00F64886">
              <w:rPr>
                <w:color w:val="000000" w:themeColor="text1"/>
              </w:rPr>
              <w:t>Nav</w:t>
            </w:r>
            <w:proofErr w:type="spellEnd"/>
          </w:p>
        </w:tc>
      </w:tr>
    </w:tbl>
    <w:p w:rsidR="00951484" w:rsidRPr="00F50198" w:rsidRDefault="00951484" w:rsidP="005D73DE">
      <w:pPr>
        <w:jc w:val="both"/>
        <w:rPr>
          <w:i/>
          <w:color w:val="000000" w:themeColor="text1"/>
          <w:sz w:val="20"/>
          <w:szCs w:val="20"/>
          <w:lang w:val="lv-LV" w:eastAsia="lv-LV"/>
        </w:rPr>
      </w:pPr>
    </w:p>
    <w:p w:rsidR="005C6193" w:rsidRPr="004B6D49" w:rsidRDefault="005C6193" w:rsidP="005D73DE">
      <w:pPr>
        <w:pStyle w:val="Virsraksts1"/>
        <w:keepNext w:val="0"/>
        <w:widowControl w:val="0"/>
        <w:ind w:firstLine="720"/>
        <w:jc w:val="left"/>
        <w:rPr>
          <w:b w:val="0"/>
          <w:color w:val="000000" w:themeColor="text1"/>
          <w:sz w:val="24"/>
        </w:rPr>
      </w:pPr>
    </w:p>
    <w:p w:rsidR="00105AE2" w:rsidRPr="004B6D49" w:rsidRDefault="00096D79" w:rsidP="005D73DE">
      <w:pPr>
        <w:pStyle w:val="Virsraksts1"/>
        <w:keepNext w:val="0"/>
        <w:widowControl w:val="0"/>
        <w:ind w:firstLine="720"/>
        <w:jc w:val="left"/>
        <w:rPr>
          <w:b w:val="0"/>
          <w:color w:val="000000" w:themeColor="text1"/>
          <w:sz w:val="24"/>
        </w:rPr>
      </w:pPr>
      <w:r w:rsidRPr="004B6D49">
        <w:rPr>
          <w:b w:val="0"/>
          <w:color w:val="000000" w:themeColor="text1"/>
          <w:sz w:val="24"/>
        </w:rPr>
        <w:t xml:space="preserve">Zemkopības </w:t>
      </w:r>
      <w:r w:rsidR="00A81695" w:rsidRPr="004B6D49">
        <w:rPr>
          <w:b w:val="0"/>
          <w:color w:val="000000" w:themeColor="text1"/>
          <w:sz w:val="24"/>
        </w:rPr>
        <w:t xml:space="preserve">ministrs </w:t>
      </w:r>
      <w:r w:rsidR="009D3551" w:rsidRPr="004B6D49">
        <w:rPr>
          <w:b w:val="0"/>
          <w:color w:val="000000" w:themeColor="text1"/>
          <w:sz w:val="24"/>
        </w:rPr>
        <w:tab/>
      </w:r>
      <w:r w:rsidR="009D3551" w:rsidRPr="004B6D49">
        <w:rPr>
          <w:b w:val="0"/>
          <w:color w:val="000000" w:themeColor="text1"/>
          <w:sz w:val="24"/>
        </w:rPr>
        <w:tab/>
      </w:r>
      <w:r w:rsidR="009D3551" w:rsidRPr="004B6D49">
        <w:rPr>
          <w:b w:val="0"/>
          <w:color w:val="000000" w:themeColor="text1"/>
          <w:sz w:val="24"/>
        </w:rPr>
        <w:tab/>
      </w:r>
      <w:r w:rsidR="001F34F5" w:rsidRPr="004B6D49">
        <w:rPr>
          <w:b w:val="0"/>
          <w:color w:val="000000" w:themeColor="text1"/>
          <w:sz w:val="24"/>
        </w:rPr>
        <w:tab/>
      </w:r>
      <w:r w:rsidR="009D3551" w:rsidRPr="004B6D49">
        <w:rPr>
          <w:b w:val="0"/>
          <w:color w:val="000000" w:themeColor="text1"/>
          <w:sz w:val="24"/>
        </w:rPr>
        <w:tab/>
      </w:r>
      <w:r w:rsidR="009D3551" w:rsidRPr="004B6D49">
        <w:rPr>
          <w:b w:val="0"/>
          <w:color w:val="000000" w:themeColor="text1"/>
          <w:sz w:val="24"/>
        </w:rPr>
        <w:tab/>
      </w:r>
      <w:proofErr w:type="spellStart"/>
      <w:r w:rsidR="00A81695" w:rsidRPr="004B6D49">
        <w:rPr>
          <w:b w:val="0"/>
          <w:color w:val="000000" w:themeColor="text1"/>
          <w:sz w:val="24"/>
        </w:rPr>
        <w:t>J.Dūklavs</w:t>
      </w:r>
      <w:proofErr w:type="spellEnd"/>
    </w:p>
    <w:p w:rsidR="002B24A9" w:rsidRPr="00F50198" w:rsidRDefault="002B24A9" w:rsidP="005D73DE">
      <w:pPr>
        <w:rPr>
          <w:color w:val="000000" w:themeColor="text1"/>
          <w:sz w:val="20"/>
          <w:szCs w:val="20"/>
          <w:lang w:val="lv-LV"/>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4B6D49" w:rsidRDefault="004B6D49" w:rsidP="00F64886">
      <w:pPr>
        <w:pStyle w:val="Bezatstarpm"/>
        <w:rPr>
          <w:rFonts w:ascii="Times New Roman" w:hAnsi="Times New Roman"/>
          <w:sz w:val="20"/>
          <w:szCs w:val="20"/>
        </w:rPr>
      </w:pPr>
    </w:p>
    <w:p w:rsidR="004B6D49" w:rsidRDefault="004B6D49" w:rsidP="00F64886">
      <w:pPr>
        <w:pStyle w:val="Bezatstarpm"/>
        <w:rPr>
          <w:rFonts w:ascii="Times New Roman" w:hAnsi="Times New Roman"/>
          <w:sz w:val="20"/>
          <w:szCs w:val="20"/>
        </w:rPr>
      </w:pPr>
    </w:p>
    <w:p w:rsidR="004B6D49" w:rsidRDefault="004B6D49"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CF754F" w:rsidRDefault="00CF754F" w:rsidP="00F64886">
      <w:pPr>
        <w:pStyle w:val="Bezatstarpm"/>
        <w:rPr>
          <w:rFonts w:ascii="Times New Roman" w:hAnsi="Times New Roman"/>
          <w:sz w:val="20"/>
          <w:szCs w:val="20"/>
        </w:rPr>
      </w:pPr>
    </w:p>
    <w:p w:rsidR="004B6D49" w:rsidRDefault="004B6D49" w:rsidP="00F64886">
      <w:pPr>
        <w:pStyle w:val="Bezatstarpm"/>
        <w:rPr>
          <w:rFonts w:ascii="Times New Roman" w:hAnsi="Times New Roman"/>
          <w:sz w:val="20"/>
          <w:szCs w:val="20"/>
        </w:rPr>
      </w:pPr>
      <w:r>
        <w:rPr>
          <w:rFonts w:ascii="Times New Roman" w:hAnsi="Times New Roman"/>
          <w:sz w:val="20"/>
          <w:szCs w:val="20"/>
        </w:rPr>
        <w:t>15.06.2015. 16:43</w:t>
      </w:r>
    </w:p>
    <w:p w:rsidR="004B6D49" w:rsidRDefault="004B6D49"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706</w:t>
      </w:r>
      <w:r>
        <w:rPr>
          <w:rFonts w:ascii="Times New Roman" w:hAnsi="Times New Roman"/>
          <w:sz w:val="20"/>
          <w:szCs w:val="20"/>
        </w:rPr>
        <w:fldChar w:fldCharType="end"/>
      </w:r>
    </w:p>
    <w:p w:rsidR="00F64886" w:rsidRPr="00F64886" w:rsidRDefault="00F64886" w:rsidP="00F64886">
      <w:pPr>
        <w:pStyle w:val="Bezatstarpm"/>
        <w:rPr>
          <w:rFonts w:ascii="Times New Roman" w:hAnsi="Times New Roman"/>
          <w:sz w:val="20"/>
          <w:szCs w:val="20"/>
        </w:rPr>
      </w:pPr>
      <w:bookmarkStart w:id="5" w:name="_GoBack"/>
      <w:bookmarkEnd w:id="5"/>
      <w:proofErr w:type="spellStart"/>
      <w:r w:rsidRPr="00F64886">
        <w:rPr>
          <w:rFonts w:ascii="Times New Roman" w:hAnsi="Times New Roman"/>
          <w:sz w:val="20"/>
          <w:szCs w:val="20"/>
        </w:rPr>
        <w:t>B.Karkliņa</w:t>
      </w:r>
      <w:proofErr w:type="spellEnd"/>
    </w:p>
    <w:p w:rsidR="00C20792" w:rsidRPr="00F64886" w:rsidRDefault="00F64886" w:rsidP="00F50198">
      <w:pPr>
        <w:pStyle w:val="Bezatstarpm"/>
        <w:rPr>
          <w:color w:val="000000" w:themeColor="text1"/>
        </w:rPr>
      </w:pPr>
      <w:r w:rsidRPr="00F64886">
        <w:rPr>
          <w:rFonts w:ascii="Times New Roman" w:hAnsi="Times New Roman"/>
          <w:sz w:val="20"/>
          <w:szCs w:val="20"/>
        </w:rPr>
        <w:t>67027638, Baiba.Karklina@zm.gov.lv</w:t>
      </w:r>
    </w:p>
    <w:sectPr w:rsidR="00C20792" w:rsidRPr="00F64886"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65" w:rsidRDefault="00616365">
      <w:r>
        <w:separator/>
      </w:r>
    </w:p>
  </w:endnote>
  <w:endnote w:type="continuationSeparator" w:id="0">
    <w:p w:rsidR="00616365" w:rsidRDefault="0061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1E6B75" w:rsidRDefault="00F64886" w:rsidP="00950D01">
    <w:pPr>
      <w:jc w:val="both"/>
      <w:rPr>
        <w:sz w:val="20"/>
        <w:szCs w:val="20"/>
        <w:lang w:val="lv-LV"/>
      </w:rPr>
    </w:pPr>
    <w:r w:rsidRPr="001E6B75">
      <w:rPr>
        <w:sz w:val="20"/>
        <w:szCs w:val="20"/>
        <w:lang w:val="lv-LV"/>
      </w:rPr>
      <w:t>ZM</w:t>
    </w:r>
    <w:r w:rsidR="00F70900">
      <w:rPr>
        <w:sz w:val="20"/>
        <w:szCs w:val="20"/>
        <w:lang w:val="lv-LV"/>
      </w:rPr>
      <w:t>a</w:t>
    </w:r>
    <w:r w:rsidRPr="001E6B75">
      <w:rPr>
        <w:sz w:val="20"/>
        <w:szCs w:val="20"/>
        <w:lang w:val="lv-LV"/>
      </w:rPr>
      <w:t>not_</w:t>
    </w:r>
    <w:r w:rsidR="00B01A17">
      <w:rPr>
        <w:sz w:val="20"/>
        <w:szCs w:val="20"/>
        <w:lang w:val="lv-LV"/>
      </w:rPr>
      <w:t>1</w:t>
    </w:r>
    <w:r w:rsidR="00CF754F">
      <w:rPr>
        <w:sz w:val="20"/>
        <w:szCs w:val="20"/>
        <w:lang w:val="lv-LV"/>
      </w:rPr>
      <w:t>5</w:t>
    </w:r>
    <w:r w:rsidR="002439AA">
      <w:rPr>
        <w:sz w:val="20"/>
        <w:szCs w:val="20"/>
        <w:lang w:val="lv-LV"/>
      </w:rPr>
      <w:t>06</w:t>
    </w:r>
    <w:r w:rsidR="00BF25B9">
      <w:rPr>
        <w:sz w:val="20"/>
        <w:szCs w:val="20"/>
        <w:lang w:val="lv-LV"/>
      </w:rPr>
      <w:t>15</w:t>
    </w:r>
    <w:r w:rsidRPr="001E6B75">
      <w:rPr>
        <w:sz w:val="20"/>
        <w:szCs w:val="20"/>
        <w:lang w:val="lv-LV"/>
      </w:rPr>
      <w:t>_vet</w:t>
    </w:r>
    <w:r w:rsidR="001F4236">
      <w:rPr>
        <w:sz w:val="20"/>
        <w:szCs w:val="20"/>
        <w:lang w:val="lv-LV"/>
      </w:rPr>
      <w:t>medprakse</w:t>
    </w:r>
    <w:r w:rsidRPr="001E6B75">
      <w:rPr>
        <w:sz w:val="20"/>
        <w:szCs w:val="20"/>
        <w:lang w:val="lv-LV"/>
      </w:rPr>
      <w:t xml:space="preserve">; </w:t>
    </w:r>
    <w:r w:rsidR="00FD0F9B">
      <w:rPr>
        <w:sz w:val="20"/>
        <w:szCs w:val="20"/>
        <w:lang w:val="lv-LV"/>
      </w:rPr>
      <w:t xml:space="preserve">Ministru kabineta noteikumu projekta </w:t>
    </w:r>
    <w:r w:rsidRPr="001E6B75">
      <w:rPr>
        <w:sz w:val="20"/>
        <w:szCs w:val="20"/>
        <w:lang w:val="lv-LV"/>
      </w:rPr>
      <w:t>„</w:t>
    </w:r>
    <w:r w:rsidR="001F4236" w:rsidRPr="001F4236">
      <w:rPr>
        <w:bCs/>
        <w:sz w:val="20"/>
        <w:szCs w:val="20"/>
        <w:lang w:val="lv-LV"/>
      </w:rPr>
      <w:t xml:space="preserve">Grozījumi Ministru kabineta 2013.gada 10.septembra </w:t>
    </w:r>
    <w:r w:rsidR="001F4236" w:rsidRPr="001F4236">
      <w:rPr>
        <w:sz w:val="20"/>
        <w:szCs w:val="20"/>
        <w:lang w:val="lv-LV"/>
      </w:rPr>
      <w:t>noteikumos Nr.768</w:t>
    </w:r>
    <w:r w:rsidR="001F4236" w:rsidRPr="001F4236">
      <w:rPr>
        <w:bCs/>
        <w:sz w:val="20"/>
        <w:szCs w:val="20"/>
        <w:lang w:val="lv-LV"/>
      </w:rPr>
      <w:t xml:space="preserve"> „Prasības v</w:t>
    </w:r>
    <w:r w:rsidR="001F4236" w:rsidRPr="001F4236">
      <w:rPr>
        <w:sz w:val="20"/>
        <w:szCs w:val="20"/>
        <w:lang w:val="lv-LV"/>
      </w:rPr>
      <w:t>eterinārmedicīniskās prakses iestādēm un veterinārmedicīniskā pakalpojuma sniedzējiem</w:t>
    </w:r>
    <w:r w:rsidR="00951484">
      <w:rPr>
        <w:sz w:val="20"/>
        <w:szCs w:val="20"/>
        <w:lang w:val="lv-LV"/>
      </w:rPr>
      <w:t>,</w:t>
    </w:r>
    <w:r w:rsidR="001F4236" w:rsidRPr="001F4236">
      <w:rPr>
        <w:sz w:val="20"/>
        <w:szCs w:val="20"/>
        <w:lang w:val="lv-LV"/>
      </w:rPr>
      <w:t xml:space="preserve"> to </w:t>
    </w:r>
    <w:r w:rsidR="001F4236" w:rsidRPr="001F4236">
      <w:rPr>
        <w:bCs/>
        <w:sz w:val="20"/>
        <w:szCs w:val="20"/>
        <w:lang w:val="lv-LV"/>
      </w:rPr>
      <w:t>reģistrācijas un reģistrācijas anulēšanas kārtība”</w:t>
    </w:r>
    <w:r w:rsidRPr="001F4236">
      <w:rPr>
        <w:sz w:val="20"/>
        <w:szCs w:val="20"/>
        <w:lang w:val="lv-LV"/>
      </w:rPr>
      <w:t>”</w:t>
    </w:r>
    <w:r w:rsidRPr="001E6B75">
      <w:rPr>
        <w:sz w:val="20"/>
        <w:szCs w:val="20"/>
        <w:lang w:val="lv-LV"/>
      </w:rPr>
      <w:t xml:space="preserve"> </w:t>
    </w:r>
    <w:r w:rsidR="00FD0F9B" w:rsidRPr="00FD0F9B">
      <w:rPr>
        <w:color w:val="000000" w:themeColor="text1"/>
        <w:sz w:val="20"/>
        <w:szCs w:val="20"/>
        <w:lang w:val="lv-LV"/>
      </w:rPr>
      <w:t>sākotnējās ietekmes novērtējuma ziņojums</w:t>
    </w:r>
    <w:r w:rsidR="00FD0F9B" w:rsidRPr="00FD0F9B">
      <w:rPr>
        <w:sz w:val="20"/>
        <w:szCs w:val="20"/>
        <w:lang w:val="lv-LV"/>
      </w:rPr>
      <w:t xml:space="preserve"> </w:t>
    </w:r>
    <w:r w:rsidRPr="001E6B75">
      <w:rPr>
        <w:sz w:val="20"/>
        <w:szCs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5E" w:rsidRPr="00FD0F9B" w:rsidRDefault="00F64886" w:rsidP="0088195E">
    <w:pPr>
      <w:jc w:val="both"/>
      <w:rPr>
        <w:sz w:val="20"/>
        <w:szCs w:val="20"/>
        <w:lang w:val="lv-LV"/>
      </w:rPr>
    </w:pPr>
    <w:r w:rsidRPr="001E6B75">
      <w:rPr>
        <w:sz w:val="20"/>
        <w:szCs w:val="20"/>
        <w:lang w:val="lv-LV"/>
      </w:rPr>
      <w:t>ZM</w:t>
    </w:r>
    <w:r w:rsidR="00154FF3">
      <w:rPr>
        <w:sz w:val="20"/>
        <w:szCs w:val="20"/>
        <w:lang w:val="lv-LV"/>
      </w:rPr>
      <w:t>a</w:t>
    </w:r>
    <w:r w:rsidRPr="001E6B75">
      <w:rPr>
        <w:sz w:val="20"/>
        <w:szCs w:val="20"/>
        <w:lang w:val="lv-LV"/>
      </w:rPr>
      <w:t>not_</w:t>
    </w:r>
    <w:r w:rsidR="00CF754F">
      <w:rPr>
        <w:sz w:val="20"/>
        <w:szCs w:val="20"/>
        <w:lang w:val="lv-LV"/>
      </w:rPr>
      <w:t>15</w:t>
    </w:r>
    <w:r w:rsidR="002439AA">
      <w:rPr>
        <w:sz w:val="20"/>
        <w:szCs w:val="20"/>
        <w:lang w:val="lv-LV"/>
      </w:rPr>
      <w:t>06</w:t>
    </w:r>
    <w:r w:rsidR="00EA2C62">
      <w:rPr>
        <w:sz w:val="20"/>
        <w:szCs w:val="20"/>
        <w:lang w:val="lv-LV"/>
      </w:rPr>
      <w:t>15</w:t>
    </w:r>
    <w:r w:rsidRPr="001E6B75">
      <w:rPr>
        <w:sz w:val="20"/>
        <w:szCs w:val="20"/>
        <w:lang w:val="lv-LV"/>
      </w:rPr>
      <w:t>_vet</w:t>
    </w:r>
    <w:r w:rsidR="001F4236">
      <w:rPr>
        <w:sz w:val="20"/>
        <w:szCs w:val="20"/>
        <w:lang w:val="lv-LV"/>
      </w:rPr>
      <w:t>medprakse</w:t>
    </w:r>
    <w:r w:rsidRPr="001E6B75">
      <w:rPr>
        <w:sz w:val="20"/>
        <w:szCs w:val="20"/>
        <w:lang w:val="lv-LV"/>
      </w:rPr>
      <w:t xml:space="preserve">; </w:t>
    </w:r>
    <w:r w:rsidR="00154FF3">
      <w:rPr>
        <w:sz w:val="20"/>
        <w:szCs w:val="20"/>
        <w:lang w:val="lv-LV"/>
      </w:rPr>
      <w:t xml:space="preserve">Ministru kabineta noteikumu projekta </w:t>
    </w:r>
    <w:r w:rsidRPr="001F4236">
      <w:rPr>
        <w:sz w:val="20"/>
        <w:szCs w:val="20"/>
        <w:lang w:val="lv-LV"/>
      </w:rPr>
      <w:t>„</w:t>
    </w:r>
    <w:r w:rsidR="001F4236" w:rsidRPr="001F4236">
      <w:rPr>
        <w:bCs/>
        <w:sz w:val="20"/>
        <w:szCs w:val="20"/>
        <w:lang w:val="lv-LV"/>
      </w:rPr>
      <w:t xml:space="preserve">Grozījumi Ministru kabineta 2013.gada 10.septembra </w:t>
    </w:r>
    <w:r w:rsidR="001F4236" w:rsidRPr="001F4236">
      <w:rPr>
        <w:sz w:val="20"/>
        <w:szCs w:val="20"/>
        <w:lang w:val="lv-LV"/>
      </w:rPr>
      <w:t>noteikumos Nr.768</w:t>
    </w:r>
    <w:r w:rsidR="001F4236" w:rsidRPr="001F4236">
      <w:rPr>
        <w:bCs/>
        <w:sz w:val="20"/>
        <w:szCs w:val="20"/>
        <w:lang w:val="lv-LV"/>
      </w:rPr>
      <w:t xml:space="preserve"> „Prasības v</w:t>
    </w:r>
    <w:r w:rsidR="001F4236" w:rsidRPr="001F4236">
      <w:rPr>
        <w:sz w:val="20"/>
        <w:szCs w:val="20"/>
        <w:lang w:val="lv-LV"/>
      </w:rPr>
      <w:t>eterinārmedicīniskās prakses iestādēm un veterinārmedicīniskā pakalpojuma sniedzējiem</w:t>
    </w:r>
    <w:r w:rsidR="00951484">
      <w:rPr>
        <w:sz w:val="20"/>
        <w:szCs w:val="20"/>
        <w:lang w:val="lv-LV"/>
      </w:rPr>
      <w:t>,</w:t>
    </w:r>
    <w:r w:rsidR="001F4236" w:rsidRPr="001F4236">
      <w:rPr>
        <w:sz w:val="20"/>
        <w:szCs w:val="20"/>
        <w:lang w:val="lv-LV"/>
      </w:rPr>
      <w:t xml:space="preserve"> to </w:t>
    </w:r>
    <w:r w:rsidR="001F4236" w:rsidRPr="001F4236">
      <w:rPr>
        <w:bCs/>
        <w:sz w:val="20"/>
        <w:szCs w:val="20"/>
        <w:lang w:val="lv-LV"/>
      </w:rPr>
      <w:t>reģistrācijas un reģistrācijas anulēšanas kārtība”</w:t>
    </w:r>
    <w:r w:rsidRPr="001F4236">
      <w:rPr>
        <w:sz w:val="20"/>
        <w:szCs w:val="20"/>
        <w:lang w:val="lv-LV"/>
      </w:rPr>
      <w:t xml:space="preserve">” </w:t>
    </w:r>
    <w:r w:rsidR="00FD0F9B" w:rsidRPr="00FD0F9B">
      <w:rPr>
        <w:color w:val="000000" w:themeColor="text1"/>
        <w:sz w:val="20"/>
        <w:szCs w:val="20"/>
        <w:lang w:val="lv-LV"/>
      </w:rPr>
      <w:t>sākotnējās ietekmes novērtējuma ziņojums</w:t>
    </w:r>
    <w:r w:rsidR="00FD0F9B" w:rsidRPr="00FD0F9B">
      <w:rPr>
        <w:sz w:val="20"/>
        <w:szCs w:val="20"/>
        <w:lang w:val="lv-LV"/>
      </w:rPr>
      <w:t xml:space="preserve"> </w:t>
    </w:r>
    <w:r w:rsidRPr="00FD0F9B">
      <w:rPr>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65" w:rsidRDefault="00616365">
      <w:r>
        <w:separator/>
      </w:r>
    </w:p>
  </w:footnote>
  <w:footnote w:type="continuationSeparator" w:id="0">
    <w:p w:rsidR="00616365" w:rsidRDefault="0061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4B6D49">
      <w:rPr>
        <w:rStyle w:val="Lappusesnumurs"/>
        <w:noProof/>
      </w:rPr>
      <w:t>3</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0F4"/>
    <w:rsid w:val="000463AC"/>
    <w:rsid w:val="000504DB"/>
    <w:rsid w:val="00050F48"/>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3E3F"/>
    <w:rsid w:val="0009419A"/>
    <w:rsid w:val="00095D8C"/>
    <w:rsid w:val="00096D79"/>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5995"/>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6784"/>
    <w:rsid w:val="001177FE"/>
    <w:rsid w:val="001178E3"/>
    <w:rsid w:val="00117BBA"/>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39AD"/>
    <w:rsid w:val="001751F5"/>
    <w:rsid w:val="00176E50"/>
    <w:rsid w:val="00182C1E"/>
    <w:rsid w:val="001919A5"/>
    <w:rsid w:val="001942B7"/>
    <w:rsid w:val="0019798B"/>
    <w:rsid w:val="001A10EA"/>
    <w:rsid w:val="001A3A30"/>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4860"/>
    <w:rsid w:val="002406AD"/>
    <w:rsid w:val="002439AA"/>
    <w:rsid w:val="00243F66"/>
    <w:rsid w:val="0024492F"/>
    <w:rsid w:val="002465D1"/>
    <w:rsid w:val="00247ADA"/>
    <w:rsid w:val="00247BF7"/>
    <w:rsid w:val="00247D93"/>
    <w:rsid w:val="00247EA4"/>
    <w:rsid w:val="002509B6"/>
    <w:rsid w:val="00252CBC"/>
    <w:rsid w:val="002560D6"/>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EBD"/>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6FE8"/>
    <w:rsid w:val="003078B5"/>
    <w:rsid w:val="003078BF"/>
    <w:rsid w:val="00307C6C"/>
    <w:rsid w:val="00312474"/>
    <w:rsid w:val="003124EE"/>
    <w:rsid w:val="00315C3F"/>
    <w:rsid w:val="0031720E"/>
    <w:rsid w:val="00317CEC"/>
    <w:rsid w:val="0032141D"/>
    <w:rsid w:val="00321DB8"/>
    <w:rsid w:val="00323431"/>
    <w:rsid w:val="00325D18"/>
    <w:rsid w:val="00326D8C"/>
    <w:rsid w:val="00327633"/>
    <w:rsid w:val="003309B4"/>
    <w:rsid w:val="0033350D"/>
    <w:rsid w:val="00333737"/>
    <w:rsid w:val="003353AA"/>
    <w:rsid w:val="003379C7"/>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262E"/>
    <w:rsid w:val="00402AE9"/>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3182"/>
    <w:rsid w:val="0044442C"/>
    <w:rsid w:val="0044545F"/>
    <w:rsid w:val="004477F4"/>
    <w:rsid w:val="00453031"/>
    <w:rsid w:val="00454E19"/>
    <w:rsid w:val="00457600"/>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162D"/>
    <w:rsid w:val="0048533B"/>
    <w:rsid w:val="0048641E"/>
    <w:rsid w:val="00486F47"/>
    <w:rsid w:val="004878C7"/>
    <w:rsid w:val="00487CE5"/>
    <w:rsid w:val="00490A06"/>
    <w:rsid w:val="0049221B"/>
    <w:rsid w:val="004947AA"/>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6D49"/>
    <w:rsid w:val="004B6F89"/>
    <w:rsid w:val="004B7338"/>
    <w:rsid w:val="004C07F8"/>
    <w:rsid w:val="004C1820"/>
    <w:rsid w:val="004C18F4"/>
    <w:rsid w:val="004C277C"/>
    <w:rsid w:val="004C2F49"/>
    <w:rsid w:val="004C4BAD"/>
    <w:rsid w:val="004C5C71"/>
    <w:rsid w:val="004C5CB3"/>
    <w:rsid w:val="004D0202"/>
    <w:rsid w:val="004D120C"/>
    <w:rsid w:val="004D283F"/>
    <w:rsid w:val="004D29AD"/>
    <w:rsid w:val="004D2FD5"/>
    <w:rsid w:val="004D32C6"/>
    <w:rsid w:val="004D414B"/>
    <w:rsid w:val="004D5842"/>
    <w:rsid w:val="004E0F9E"/>
    <w:rsid w:val="004E202E"/>
    <w:rsid w:val="004E3BB2"/>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6F5F"/>
    <w:rsid w:val="0053651B"/>
    <w:rsid w:val="005365CB"/>
    <w:rsid w:val="00537316"/>
    <w:rsid w:val="005402D9"/>
    <w:rsid w:val="005403CF"/>
    <w:rsid w:val="00541ED4"/>
    <w:rsid w:val="005422F4"/>
    <w:rsid w:val="005433EB"/>
    <w:rsid w:val="005434A2"/>
    <w:rsid w:val="005448AB"/>
    <w:rsid w:val="00546730"/>
    <w:rsid w:val="00547BF3"/>
    <w:rsid w:val="00550CD0"/>
    <w:rsid w:val="00551DD5"/>
    <w:rsid w:val="00552C28"/>
    <w:rsid w:val="00556FB2"/>
    <w:rsid w:val="005601FE"/>
    <w:rsid w:val="00563687"/>
    <w:rsid w:val="005638A7"/>
    <w:rsid w:val="005665FB"/>
    <w:rsid w:val="00567B70"/>
    <w:rsid w:val="005703E4"/>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1DA8"/>
    <w:rsid w:val="005B34A4"/>
    <w:rsid w:val="005B4287"/>
    <w:rsid w:val="005B6F87"/>
    <w:rsid w:val="005B7245"/>
    <w:rsid w:val="005B772E"/>
    <w:rsid w:val="005C6193"/>
    <w:rsid w:val="005C7AAB"/>
    <w:rsid w:val="005D2108"/>
    <w:rsid w:val="005D29F6"/>
    <w:rsid w:val="005D2A69"/>
    <w:rsid w:val="005D619A"/>
    <w:rsid w:val="005D73DE"/>
    <w:rsid w:val="005E0F68"/>
    <w:rsid w:val="005E14A7"/>
    <w:rsid w:val="005E2038"/>
    <w:rsid w:val="005E3C44"/>
    <w:rsid w:val="005E5056"/>
    <w:rsid w:val="005E544D"/>
    <w:rsid w:val="005E5D8E"/>
    <w:rsid w:val="005E61B9"/>
    <w:rsid w:val="005E72FF"/>
    <w:rsid w:val="005F0149"/>
    <w:rsid w:val="005F14C4"/>
    <w:rsid w:val="005F1986"/>
    <w:rsid w:val="005F548A"/>
    <w:rsid w:val="005F734F"/>
    <w:rsid w:val="00602628"/>
    <w:rsid w:val="00604656"/>
    <w:rsid w:val="00604DA3"/>
    <w:rsid w:val="00613168"/>
    <w:rsid w:val="00616365"/>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701"/>
    <w:rsid w:val="00637747"/>
    <w:rsid w:val="006409CE"/>
    <w:rsid w:val="00645761"/>
    <w:rsid w:val="00647FD7"/>
    <w:rsid w:val="0065107F"/>
    <w:rsid w:val="00651925"/>
    <w:rsid w:val="00653C1C"/>
    <w:rsid w:val="00655ACE"/>
    <w:rsid w:val="00655EBB"/>
    <w:rsid w:val="00656C23"/>
    <w:rsid w:val="00657962"/>
    <w:rsid w:val="00660CB0"/>
    <w:rsid w:val="0066346D"/>
    <w:rsid w:val="0066452D"/>
    <w:rsid w:val="006662B5"/>
    <w:rsid w:val="00672E53"/>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562"/>
    <w:rsid w:val="006A073E"/>
    <w:rsid w:val="006A130B"/>
    <w:rsid w:val="006A1F3F"/>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441F"/>
    <w:rsid w:val="007A514C"/>
    <w:rsid w:val="007A5B59"/>
    <w:rsid w:val="007A6FA0"/>
    <w:rsid w:val="007B4D27"/>
    <w:rsid w:val="007B665B"/>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5EE4"/>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C57"/>
    <w:rsid w:val="00814815"/>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711"/>
    <w:rsid w:val="00846F1D"/>
    <w:rsid w:val="00851649"/>
    <w:rsid w:val="00854598"/>
    <w:rsid w:val="00856738"/>
    <w:rsid w:val="00856DA5"/>
    <w:rsid w:val="00863961"/>
    <w:rsid w:val="0086556F"/>
    <w:rsid w:val="008665A4"/>
    <w:rsid w:val="0086732B"/>
    <w:rsid w:val="008679DE"/>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2DFD"/>
    <w:rsid w:val="00892F79"/>
    <w:rsid w:val="00895210"/>
    <w:rsid w:val="0089539C"/>
    <w:rsid w:val="008A1EB7"/>
    <w:rsid w:val="008A4B6E"/>
    <w:rsid w:val="008A54A5"/>
    <w:rsid w:val="008B0C73"/>
    <w:rsid w:val="008B0F1E"/>
    <w:rsid w:val="008B248C"/>
    <w:rsid w:val="008B3590"/>
    <w:rsid w:val="008C33A0"/>
    <w:rsid w:val="008C6F66"/>
    <w:rsid w:val="008D05D4"/>
    <w:rsid w:val="008D0AE3"/>
    <w:rsid w:val="008D12F6"/>
    <w:rsid w:val="008D1BC2"/>
    <w:rsid w:val="008D28CB"/>
    <w:rsid w:val="008D336F"/>
    <w:rsid w:val="008D3438"/>
    <w:rsid w:val="008D5DC0"/>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0F88"/>
    <w:rsid w:val="00933742"/>
    <w:rsid w:val="009340A8"/>
    <w:rsid w:val="009402E4"/>
    <w:rsid w:val="00942028"/>
    <w:rsid w:val="00944526"/>
    <w:rsid w:val="009456AA"/>
    <w:rsid w:val="0094583B"/>
    <w:rsid w:val="00945AD3"/>
    <w:rsid w:val="00946E65"/>
    <w:rsid w:val="0095029E"/>
    <w:rsid w:val="00950D01"/>
    <w:rsid w:val="00951484"/>
    <w:rsid w:val="00951A15"/>
    <w:rsid w:val="00952E78"/>
    <w:rsid w:val="00953D50"/>
    <w:rsid w:val="0096030D"/>
    <w:rsid w:val="00962D0E"/>
    <w:rsid w:val="00962D51"/>
    <w:rsid w:val="00965105"/>
    <w:rsid w:val="00965F99"/>
    <w:rsid w:val="00966742"/>
    <w:rsid w:val="0096741B"/>
    <w:rsid w:val="00967B46"/>
    <w:rsid w:val="00970789"/>
    <w:rsid w:val="0097195C"/>
    <w:rsid w:val="00971C97"/>
    <w:rsid w:val="00973C4D"/>
    <w:rsid w:val="00975D4C"/>
    <w:rsid w:val="009806E6"/>
    <w:rsid w:val="009816F5"/>
    <w:rsid w:val="00981E16"/>
    <w:rsid w:val="0098399E"/>
    <w:rsid w:val="0099066A"/>
    <w:rsid w:val="0099390A"/>
    <w:rsid w:val="00996A3D"/>
    <w:rsid w:val="009A24CA"/>
    <w:rsid w:val="009A49E1"/>
    <w:rsid w:val="009A678E"/>
    <w:rsid w:val="009A7AFC"/>
    <w:rsid w:val="009B0364"/>
    <w:rsid w:val="009B3D43"/>
    <w:rsid w:val="009B4F7D"/>
    <w:rsid w:val="009B5F5D"/>
    <w:rsid w:val="009B7FF9"/>
    <w:rsid w:val="009C2A21"/>
    <w:rsid w:val="009C6B02"/>
    <w:rsid w:val="009C7611"/>
    <w:rsid w:val="009C7745"/>
    <w:rsid w:val="009D0D27"/>
    <w:rsid w:val="009D2A06"/>
    <w:rsid w:val="009D2DB0"/>
    <w:rsid w:val="009D3551"/>
    <w:rsid w:val="009D379B"/>
    <w:rsid w:val="009D3A54"/>
    <w:rsid w:val="009D6967"/>
    <w:rsid w:val="009D7F8F"/>
    <w:rsid w:val="009E04D3"/>
    <w:rsid w:val="009E1934"/>
    <w:rsid w:val="009E2709"/>
    <w:rsid w:val="009E5A42"/>
    <w:rsid w:val="009E76E9"/>
    <w:rsid w:val="009F3D1F"/>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0E37"/>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5A60"/>
    <w:rsid w:val="00AC0691"/>
    <w:rsid w:val="00AC084B"/>
    <w:rsid w:val="00AC2439"/>
    <w:rsid w:val="00AC3918"/>
    <w:rsid w:val="00AC416F"/>
    <w:rsid w:val="00AC7264"/>
    <w:rsid w:val="00AD3AF0"/>
    <w:rsid w:val="00AD3FDA"/>
    <w:rsid w:val="00AE02A3"/>
    <w:rsid w:val="00AE0FB7"/>
    <w:rsid w:val="00AE3ECB"/>
    <w:rsid w:val="00AE500B"/>
    <w:rsid w:val="00AF1735"/>
    <w:rsid w:val="00AF24A4"/>
    <w:rsid w:val="00AF66A5"/>
    <w:rsid w:val="00B00ADB"/>
    <w:rsid w:val="00B01566"/>
    <w:rsid w:val="00B01A17"/>
    <w:rsid w:val="00B026D8"/>
    <w:rsid w:val="00B02802"/>
    <w:rsid w:val="00B02ED1"/>
    <w:rsid w:val="00B0334D"/>
    <w:rsid w:val="00B03835"/>
    <w:rsid w:val="00B04412"/>
    <w:rsid w:val="00B04944"/>
    <w:rsid w:val="00B05949"/>
    <w:rsid w:val="00B14407"/>
    <w:rsid w:val="00B158D4"/>
    <w:rsid w:val="00B226E6"/>
    <w:rsid w:val="00B2516E"/>
    <w:rsid w:val="00B2551F"/>
    <w:rsid w:val="00B25C20"/>
    <w:rsid w:val="00B3133E"/>
    <w:rsid w:val="00B329C1"/>
    <w:rsid w:val="00B3698C"/>
    <w:rsid w:val="00B36DAD"/>
    <w:rsid w:val="00B40B98"/>
    <w:rsid w:val="00B41EB6"/>
    <w:rsid w:val="00B42144"/>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372A"/>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2E4"/>
    <w:rsid w:val="00BE4408"/>
    <w:rsid w:val="00BE4FF1"/>
    <w:rsid w:val="00BE594B"/>
    <w:rsid w:val="00BE7E71"/>
    <w:rsid w:val="00BF0AB8"/>
    <w:rsid w:val="00BF25B9"/>
    <w:rsid w:val="00BF38B3"/>
    <w:rsid w:val="00BF407A"/>
    <w:rsid w:val="00BF49C9"/>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5B97"/>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B24"/>
    <w:rsid w:val="00CC26BC"/>
    <w:rsid w:val="00CC3B88"/>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CF754F"/>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3979"/>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2FDA"/>
    <w:rsid w:val="00D9475E"/>
    <w:rsid w:val="00D9504B"/>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69C7"/>
    <w:rsid w:val="00DD771D"/>
    <w:rsid w:val="00DE180C"/>
    <w:rsid w:val="00DE295E"/>
    <w:rsid w:val="00DE36D3"/>
    <w:rsid w:val="00DE3D07"/>
    <w:rsid w:val="00DE5976"/>
    <w:rsid w:val="00DE5FE6"/>
    <w:rsid w:val="00DE6046"/>
    <w:rsid w:val="00DE63BB"/>
    <w:rsid w:val="00DE74D3"/>
    <w:rsid w:val="00DF1481"/>
    <w:rsid w:val="00DF162F"/>
    <w:rsid w:val="00DF2CB4"/>
    <w:rsid w:val="00DF330D"/>
    <w:rsid w:val="00DF34C1"/>
    <w:rsid w:val="00DF3C7F"/>
    <w:rsid w:val="00DF4D99"/>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1D82"/>
    <w:rsid w:val="00E63114"/>
    <w:rsid w:val="00E664C7"/>
    <w:rsid w:val="00E73750"/>
    <w:rsid w:val="00E75997"/>
    <w:rsid w:val="00E75C38"/>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C41"/>
    <w:rsid w:val="00EF61A8"/>
    <w:rsid w:val="00F01AFC"/>
    <w:rsid w:val="00F040F5"/>
    <w:rsid w:val="00F0454C"/>
    <w:rsid w:val="00F10386"/>
    <w:rsid w:val="00F10CA9"/>
    <w:rsid w:val="00F13546"/>
    <w:rsid w:val="00F15953"/>
    <w:rsid w:val="00F15B4A"/>
    <w:rsid w:val="00F20FEC"/>
    <w:rsid w:val="00F21252"/>
    <w:rsid w:val="00F21D44"/>
    <w:rsid w:val="00F21E92"/>
    <w:rsid w:val="00F2229A"/>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556A"/>
    <w:rsid w:val="00F959A2"/>
    <w:rsid w:val="00F95C7C"/>
    <w:rsid w:val="00F973B4"/>
    <w:rsid w:val="00F97AF8"/>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61A0"/>
    <w:rsid w:val="00FD6E46"/>
    <w:rsid w:val="00FE13C3"/>
    <w:rsid w:val="00FE1A09"/>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4F32A1-6FA0-4B22-9A65-ECE9807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60A1-2298-4DF8-9CB4-1F9F53F3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5213</Characters>
  <Application>Microsoft Office Word</Application>
  <DocSecurity>0</DocSecurity>
  <Lines>186</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10.septembra noteikumos Nr.768 „Prasības veterinārmedicīniskās prakses iestādēm un veterinārmedicīniskā pakalpojuma sniedzējiem, to reģistrācijas un reģistrācijas anulēšanas kārtība”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10.septembra noteikumos Nr.768 „Prasības veterinārmedicīniskās prakses iestādēm un veterinārmedicīniskā pakalpojuma sniedzējiem, to reģistrācijas un reģistrācijas anulēšanas kārtība”</dc:title>
  <dc:subject>MK noteikumu projekta anotācija</dc:subject>
  <dc:creator>Baiba.Karklina@zm.gov.lv</dc:creator>
  <cp:keywords>anotācija</cp:keywords>
  <dc:description>Baiba.Karklina@zm.gov.lv, 67027638</dc:description>
  <cp:lastModifiedBy>Renārs Žagars</cp:lastModifiedBy>
  <cp:revision>4</cp:revision>
  <cp:lastPrinted>2010-10-15T13:18:00Z</cp:lastPrinted>
  <dcterms:created xsi:type="dcterms:W3CDTF">2015-06-15T12:50:00Z</dcterms:created>
  <dcterms:modified xsi:type="dcterms:W3CDTF">2015-06-15T13:44:00Z</dcterms:modified>
</cp:coreProperties>
</file>