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1" w:rsidRPr="00E87D2B" w:rsidRDefault="00092E81" w:rsidP="00092E81">
      <w:pPr>
        <w:pStyle w:val="naisc"/>
        <w:spacing w:before="0" w:after="0"/>
        <w:jc w:val="center"/>
        <w:rPr>
          <w:b/>
        </w:rPr>
      </w:pPr>
      <w:r w:rsidRPr="00E87D2B">
        <w:rPr>
          <w:b/>
          <w:color w:val="000000"/>
        </w:rPr>
        <w:t>M</w:t>
      </w:r>
      <w:r w:rsidRPr="00E87D2B">
        <w:rPr>
          <w:b/>
        </w:rPr>
        <w:t xml:space="preserve">inistru kabineta </w:t>
      </w:r>
      <w:r>
        <w:rPr>
          <w:b/>
        </w:rPr>
        <w:t>noteikumu</w:t>
      </w:r>
      <w:r w:rsidRPr="00E87D2B">
        <w:rPr>
          <w:b/>
        </w:rPr>
        <w:t xml:space="preserve"> </w:t>
      </w:r>
    </w:p>
    <w:p w:rsidR="00ED0920" w:rsidRDefault="00092E81" w:rsidP="00092E81">
      <w:pPr>
        <w:pStyle w:val="naisc"/>
        <w:spacing w:before="0" w:after="0"/>
        <w:jc w:val="center"/>
        <w:rPr>
          <w:b/>
        </w:rPr>
      </w:pPr>
      <w:r>
        <w:t>„Par Ministru kabineta 2009</w:t>
      </w:r>
      <w:r w:rsidRPr="00E87D2B">
        <w:t xml:space="preserve">.gada </w:t>
      </w:r>
      <w:r>
        <w:t>17.novembra noteikumu Nr.1329</w:t>
      </w:r>
      <w:r w:rsidRPr="00E87D2B">
        <w:t xml:space="preserve"> „Par Latvijas Republikas Aizsardzības ministrijas un </w:t>
      </w:r>
      <w:r>
        <w:t xml:space="preserve">Ungārijas </w:t>
      </w:r>
      <w:r w:rsidRPr="00E87D2B">
        <w:t xml:space="preserve">Republikas Aizsardzības ministrijas </w:t>
      </w:r>
      <w:r>
        <w:t xml:space="preserve">saprašanās memorandu par sadarbību aizsardzības jomā” </w:t>
      </w:r>
      <w:r w:rsidR="00900F16">
        <w:t>atzīšanu par spēku zaudējušiem</w:t>
      </w:r>
      <w:r w:rsidRPr="00E87D2B">
        <w:t xml:space="preserve">” </w:t>
      </w:r>
      <w:r w:rsidR="00E40115" w:rsidRPr="00E40115">
        <w:t>projekta</w:t>
      </w:r>
      <w:r w:rsidR="00E40115">
        <w:rPr>
          <w:b/>
        </w:rPr>
        <w:t xml:space="preserve"> </w:t>
      </w:r>
    </w:p>
    <w:p w:rsidR="00092E81" w:rsidRPr="00E87D2B" w:rsidRDefault="00092E81" w:rsidP="00092E81">
      <w:pPr>
        <w:pStyle w:val="naisc"/>
        <w:spacing w:before="0" w:after="0"/>
        <w:jc w:val="center"/>
        <w:rPr>
          <w:b/>
          <w:bCs/>
        </w:rPr>
      </w:pPr>
      <w:r w:rsidRPr="00E87D2B">
        <w:rPr>
          <w:b/>
          <w:bCs/>
        </w:rPr>
        <w:t xml:space="preserve">sākotnējās ietekmes novērtējuma ziņojums </w:t>
      </w:r>
    </w:p>
    <w:p w:rsidR="00092E81" w:rsidRPr="00E87D2B" w:rsidRDefault="00092E81" w:rsidP="00092E81">
      <w:pPr>
        <w:pStyle w:val="naisc"/>
        <w:spacing w:before="0" w:after="0"/>
        <w:jc w:val="center"/>
        <w:rPr>
          <w:b/>
          <w:bCs/>
        </w:rPr>
      </w:pPr>
      <w:r w:rsidRPr="00E87D2B">
        <w:rPr>
          <w:b/>
          <w:bCs/>
        </w:rPr>
        <w:t>(anotācija)</w:t>
      </w:r>
    </w:p>
    <w:p w:rsidR="00092E81" w:rsidRPr="00E87D2B" w:rsidRDefault="00092E81" w:rsidP="00092E81">
      <w:pPr>
        <w:pStyle w:val="naisc"/>
        <w:spacing w:before="0" w:after="0"/>
        <w:jc w:val="both"/>
        <w:rPr>
          <w:b/>
          <w:bCs/>
        </w:rPr>
      </w:pPr>
    </w:p>
    <w:tbl>
      <w:tblPr>
        <w:tblW w:w="50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"/>
        <w:gridCol w:w="1711"/>
        <w:gridCol w:w="6754"/>
      </w:tblGrid>
      <w:tr w:rsidR="00092E81" w:rsidRPr="00E87D2B" w:rsidTr="00925FEC">
        <w:trPr>
          <w:tblCellSpacing w:w="15" w:type="dxa"/>
        </w:trPr>
        <w:tc>
          <w:tcPr>
            <w:tcW w:w="4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  <w:jc w:val="center"/>
            </w:pPr>
            <w:r w:rsidRPr="00E87D2B">
              <w:rPr>
                <w:b/>
                <w:bCs/>
              </w:rPr>
              <w:t>I. Tiesību akta projekta izstrādes nepieciešamība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1.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Pamatojums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D25E17" w:rsidRDefault="00D25E17" w:rsidP="003A1F2C">
            <w:pPr>
              <w:pStyle w:val="tvhtmlmktable"/>
              <w:spacing w:before="120" w:beforeAutospacing="0" w:after="0" w:afterAutospacing="0"/>
              <w:jc w:val="both"/>
            </w:pPr>
            <w:r w:rsidRPr="00D25E17">
              <w:t>Ministru kabineta noteikumu projekts izstrādāts, pamatojoties</w:t>
            </w:r>
            <w:r>
              <w:t xml:space="preserve"> uz</w:t>
            </w:r>
            <w:r w:rsidRPr="00D25E17">
              <w:t xml:space="preserve"> </w:t>
            </w:r>
            <w:r w:rsidR="00312E7B" w:rsidRPr="00D25E17">
              <w:rPr>
                <w:spacing w:val="-3"/>
              </w:rPr>
              <w:t>Ministru kabineta iekārtas likuma 31.panta pirmās daļas 2.punktu</w:t>
            </w:r>
            <w:r>
              <w:rPr>
                <w:spacing w:val="-3"/>
              </w:rPr>
              <w:t>, kurš paredz, ka</w:t>
            </w:r>
            <w:r w:rsidR="00973955">
              <w:rPr>
                <w:rFonts w:ascii="Arial" w:hAnsi="Arial" w:cs="Arial"/>
              </w:rPr>
              <w:t xml:space="preserve"> </w:t>
            </w:r>
            <w:r w:rsidR="00973955" w:rsidRPr="00973955">
              <w:t>Ministru kabinets var izdot ārējus normatīvos aktus — noteikumus, lai apstiprinātu starptautisko līgumu vai tā projektu, denonsētu starptautisko līgumu vai apturētu tā darbību, ja Satversmē vai likumā nav noteikts citādi.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2.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Pašreizējā situācija un problēmas, kuru risināšanai tiesību akta projekts izstrādāts, tiesiskā regulējuma mērķis un būtība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Default="00092E81" w:rsidP="00925FEC">
            <w:pPr>
              <w:pStyle w:val="tvhtmlmktable"/>
              <w:spacing w:before="120" w:beforeAutospacing="0" w:after="0" w:afterAutospacing="0"/>
              <w:jc w:val="both"/>
            </w:pPr>
            <w:bookmarkStart w:id="0" w:name="_GoBack"/>
            <w:r>
              <w:t>2009</w:t>
            </w:r>
            <w:r w:rsidRPr="00E87D2B">
              <w:t xml:space="preserve">.gada </w:t>
            </w:r>
            <w:r>
              <w:t>17.novembrī</w:t>
            </w:r>
            <w:r w:rsidRPr="00E87D2B">
              <w:t xml:space="preserve"> tika </w:t>
            </w:r>
            <w:r>
              <w:t>pieņemti</w:t>
            </w:r>
            <w:r w:rsidRPr="00E87D2B">
              <w:t xml:space="preserve"> M</w:t>
            </w:r>
            <w:r>
              <w:t>inistru kabineta noteikumi Nr.1329</w:t>
            </w:r>
            <w:r w:rsidRPr="00E87D2B">
              <w:t xml:space="preserve"> „Par Latvijas Republikas Aizsardzības ministrijas un </w:t>
            </w:r>
            <w:r>
              <w:t xml:space="preserve">Ungārijas </w:t>
            </w:r>
            <w:r w:rsidRPr="00E87D2B">
              <w:t xml:space="preserve">Republikas Aizsardzības ministrijas </w:t>
            </w:r>
            <w:r>
              <w:t>saprašanās memorandu par sadarbību aizsardzības jomā”</w:t>
            </w:r>
            <w:r w:rsidR="002415E5">
              <w:t xml:space="preserve"> (turpmāk – MK noteikumi Nr.1329)</w:t>
            </w:r>
            <w:r w:rsidR="003A1F2C">
              <w:t>, ar kuriem</w:t>
            </w:r>
            <w:r>
              <w:t xml:space="preserve"> tika pieņemts un apstiprināts </w:t>
            </w:r>
            <w:r w:rsidR="00143F1D" w:rsidRPr="00E87D2B">
              <w:t xml:space="preserve">Latvijas Republikas Aizsardzības ministrijas un </w:t>
            </w:r>
            <w:r w:rsidR="00143F1D">
              <w:t xml:space="preserve">Ungārijas </w:t>
            </w:r>
            <w:r w:rsidR="00143F1D" w:rsidRPr="00E87D2B">
              <w:t xml:space="preserve">Republikas Aizsardzības ministrijas </w:t>
            </w:r>
            <w:r w:rsidR="00143F1D">
              <w:t>saprašanās memoranda par sadarbību aizsardzības jomā (turpmāk – Saprašanās memorands) projekts.</w:t>
            </w:r>
          </w:p>
          <w:p w:rsidR="00092E81" w:rsidRDefault="00143F1D" w:rsidP="00925FEC">
            <w:pPr>
              <w:pStyle w:val="tvhtmlmktable"/>
              <w:spacing w:before="120" w:beforeAutospacing="0" w:after="120" w:afterAutospacing="0"/>
              <w:jc w:val="both"/>
            </w:pPr>
            <w:r>
              <w:t>Ar MK noteikumiem Nr.1329 apstiprinātā starptautiskā vienošanās netika parakstīta, jo p</w:t>
            </w:r>
            <w:r w:rsidR="00092E81">
              <w:t xml:space="preserve">lānotā </w:t>
            </w:r>
            <w:r w:rsidR="00900F16">
              <w:t xml:space="preserve">Latvijas Republikas </w:t>
            </w:r>
            <w:r w:rsidR="00092E81">
              <w:t>Aizsardzības ministrijas valsts sekretāra vizīte, kuras ie</w:t>
            </w:r>
            <w:r>
              <w:t>tvaros to bija iecerēts parakstīt</w:t>
            </w:r>
            <w:r w:rsidR="00C64074">
              <w:t>, tika vairā</w:t>
            </w:r>
            <w:r w:rsidR="00900F16">
              <w:t>kkārt a</w:t>
            </w:r>
            <w:r>
              <w:t>tcelta.</w:t>
            </w:r>
          </w:p>
          <w:p w:rsidR="00092E81" w:rsidRPr="00E87D2B" w:rsidRDefault="00DE2233" w:rsidP="00143F1D">
            <w:pPr>
              <w:pStyle w:val="tvhtmlmktable"/>
              <w:spacing w:before="120" w:beforeAutospacing="0" w:after="0" w:afterAutospacing="0"/>
              <w:jc w:val="both"/>
            </w:pPr>
            <w:r>
              <w:t>Ņemot vērā to, ka ar MK noteikumiem Nr.1329 apstiprinātais</w:t>
            </w:r>
            <w:proofErr w:type="gramStart"/>
            <w:r>
              <w:t xml:space="preserve">  </w:t>
            </w:r>
            <w:proofErr w:type="gramEnd"/>
            <w:r w:rsidR="00143F1D">
              <w:t>Saprašanās memorands netika</w:t>
            </w:r>
            <w:r>
              <w:t xml:space="preserve"> parakstīts, </w:t>
            </w:r>
            <w:r w:rsidR="00143F1D">
              <w:t>Ministru kabineta</w:t>
            </w:r>
            <w:r>
              <w:t xml:space="preserve"> noteikumi Nr.1329 </w:t>
            </w:r>
            <w:r w:rsidR="00143F1D" w:rsidRPr="00E87D2B">
              <w:t xml:space="preserve">„Par Latvijas Republikas Aizsardzības ministrijas un </w:t>
            </w:r>
            <w:r w:rsidR="00143F1D">
              <w:t xml:space="preserve">Ungārijas </w:t>
            </w:r>
            <w:r w:rsidR="00143F1D" w:rsidRPr="00E87D2B">
              <w:t xml:space="preserve">Republikas Aizsardzības ministrijas </w:t>
            </w:r>
            <w:r w:rsidR="00143F1D">
              <w:t xml:space="preserve">saprašanās memorandu par sadarbību aizsardzības jomā” </w:t>
            </w:r>
            <w:r w:rsidR="00092E81" w:rsidRPr="00E87D2B">
              <w:t xml:space="preserve">ir </w:t>
            </w:r>
            <w:r w:rsidR="00092E81">
              <w:t>atzīstami par spēku zaudējušiem.</w:t>
            </w:r>
            <w:bookmarkEnd w:id="0"/>
          </w:p>
        </w:tc>
      </w:tr>
      <w:tr w:rsidR="00092E81" w:rsidRPr="00E87D2B" w:rsidTr="00925FEC">
        <w:trPr>
          <w:tblCellSpacing w:w="15" w:type="dxa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3.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Projekta izstrādē iesaistītās institūcijas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E40115">
            <w:pPr>
              <w:pStyle w:val="naisc"/>
              <w:spacing w:before="0" w:after="0"/>
              <w:jc w:val="both"/>
            </w:pPr>
            <w:r>
              <w:t>Ministru kabineta noteikumu „Par Ministru kabineta 2009</w:t>
            </w:r>
            <w:r w:rsidRPr="00E87D2B">
              <w:t xml:space="preserve">.gada </w:t>
            </w:r>
            <w:r>
              <w:t>17.novembra noteikumu Nr.1329</w:t>
            </w:r>
            <w:r w:rsidRPr="00E87D2B">
              <w:t xml:space="preserve"> „Par Latvijas Republikas Aizsardzības ministrijas un </w:t>
            </w:r>
            <w:r>
              <w:t xml:space="preserve">Ungārijas </w:t>
            </w:r>
            <w:r w:rsidRPr="00E87D2B">
              <w:t xml:space="preserve">Republikas Aizsardzības ministrijas </w:t>
            </w:r>
            <w:r>
              <w:t xml:space="preserve">saprašanās memorandu par sadarbību aizsardzības jomā” </w:t>
            </w:r>
            <w:r w:rsidR="00900F16">
              <w:t>atzīšanu par spēku zaudējušiem</w:t>
            </w:r>
            <w:r w:rsidRPr="00E87D2B">
              <w:t>”</w:t>
            </w:r>
            <w:r>
              <w:t xml:space="preserve"> </w:t>
            </w:r>
            <w:r w:rsidR="00E40115">
              <w:t xml:space="preserve">projektu </w:t>
            </w:r>
            <w:r>
              <w:t xml:space="preserve">ir </w:t>
            </w:r>
            <w:r w:rsidRPr="00E87D2B">
              <w:t>izstrādājusi Aizsardzības ministrija.</w:t>
            </w:r>
          </w:p>
        </w:tc>
      </w:tr>
      <w:tr w:rsidR="00092E81" w:rsidRPr="00E87D2B" w:rsidTr="00925FEC">
        <w:trPr>
          <w:trHeight w:val="872"/>
          <w:tblCellSpacing w:w="15" w:type="dxa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4.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</w:pPr>
            <w:r w:rsidRPr="00E87D2B">
              <w:t>Cita informācija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1" w:rsidRPr="00E87D2B" w:rsidRDefault="00092E81" w:rsidP="00925FEC">
            <w:pPr>
              <w:pStyle w:val="tvhtmlmktable"/>
              <w:spacing w:before="120" w:beforeAutospacing="0" w:after="0" w:afterAutospacing="0"/>
              <w:jc w:val="both"/>
            </w:pPr>
            <w:r w:rsidRPr="00E87D2B">
              <w:t xml:space="preserve">Papildus saistības Latvijas Republikai šis projekts neuzliek. </w:t>
            </w:r>
          </w:p>
        </w:tc>
      </w:tr>
    </w:tbl>
    <w:p w:rsidR="00092E81" w:rsidRPr="00E87D2B" w:rsidRDefault="00092E81" w:rsidP="00092E81"/>
    <w:p w:rsidR="00DE2233" w:rsidRDefault="00DE2233" w:rsidP="00092E81">
      <w:pPr>
        <w:spacing w:before="75" w:after="75"/>
        <w:ind w:hanging="20"/>
        <w:jc w:val="center"/>
        <w:rPr>
          <w:b/>
          <w:bCs/>
        </w:rPr>
      </w:pPr>
    </w:p>
    <w:p w:rsidR="00DE2233" w:rsidRDefault="00DE2233" w:rsidP="00092E81">
      <w:pPr>
        <w:spacing w:before="75" w:after="75"/>
        <w:ind w:hanging="20"/>
        <w:jc w:val="center"/>
        <w:rPr>
          <w:b/>
          <w:bCs/>
        </w:rPr>
      </w:pPr>
    </w:p>
    <w:p w:rsidR="00DE2233" w:rsidRDefault="00DE2233" w:rsidP="00092E81">
      <w:pPr>
        <w:spacing w:before="75" w:after="75"/>
        <w:ind w:hanging="20"/>
        <w:jc w:val="center"/>
        <w:rPr>
          <w:b/>
          <w:bCs/>
        </w:rPr>
      </w:pPr>
    </w:p>
    <w:p w:rsidR="00DE2233" w:rsidRDefault="00DE2233" w:rsidP="00092E81">
      <w:pPr>
        <w:spacing w:before="75" w:after="75"/>
        <w:ind w:hanging="20"/>
        <w:jc w:val="center"/>
        <w:rPr>
          <w:b/>
          <w:bCs/>
        </w:rPr>
      </w:pPr>
    </w:p>
    <w:p w:rsidR="00092E81" w:rsidRPr="00E87D2B" w:rsidRDefault="00092E81" w:rsidP="00092E81">
      <w:pPr>
        <w:spacing w:before="75" w:after="75"/>
        <w:ind w:hanging="20"/>
        <w:jc w:val="center"/>
        <w:rPr>
          <w:vanish/>
        </w:rPr>
      </w:pPr>
      <w:r w:rsidRPr="00E87D2B">
        <w:rPr>
          <w:b/>
          <w:bCs/>
        </w:rPr>
        <w:t>Anotācijas II, III, IV, V un VI sadaļa –</w:t>
      </w:r>
      <w:r>
        <w:rPr>
          <w:b/>
          <w:bCs/>
        </w:rPr>
        <w:t xml:space="preserve"> noteikumu</w:t>
      </w:r>
      <w:r w:rsidRPr="00E87D2B">
        <w:rPr>
          <w:b/>
          <w:bCs/>
        </w:rPr>
        <w:t xml:space="preserve"> projekts šīs jomas neskar. </w:t>
      </w:r>
    </w:p>
    <w:p w:rsidR="00092E81" w:rsidRPr="00E87D2B" w:rsidRDefault="00092E81" w:rsidP="00092E81">
      <w:pPr>
        <w:rPr>
          <w:vanish/>
        </w:rPr>
      </w:pPr>
    </w:p>
    <w:p w:rsidR="00092E81" w:rsidRPr="00E87D2B" w:rsidRDefault="00092E81" w:rsidP="00092E81">
      <w:pPr>
        <w:rPr>
          <w:vanish/>
        </w:rPr>
      </w:pPr>
    </w:p>
    <w:p w:rsidR="00092E81" w:rsidRPr="00E87D2B" w:rsidRDefault="00092E81" w:rsidP="00092E81">
      <w:pPr>
        <w:rPr>
          <w:vanish/>
        </w:rPr>
      </w:pPr>
    </w:p>
    <w:p w:rsidR="00092E81" w:rsidRPr="00E87D2B" w:rsidRDefault="00092E81" w:rsidP="00092E81">
      <w:pPr>
        <w:rPr>
          <w:vanish/>
        </w:rPr>
      </w:pPr>
    </w:p>
    <w:p w:rsidR="00092E81" w:rsidRPr="00E87D2B" w:rsidRDefault="00092E81" w:rsidP="00092E81">
      <w:pPr>
        <w:rPr>
          <w:vanish/>
        </w:rPr>
      </w:pPr>
    </w:p>
    <w:p w:rsidR="00092E81" w:rsidRPr="00E87D2B" w:rsidRDefault="00092E81" w:rsidP="00092E81">
      <w:pPr>
        <w:spacing w:before="75" w:after="75"/>
        <w:rPr>
          <w:b/>
          <w:bCs/>
        </w:rPr>
      </w:pPr>
    </w:p>
    <w:p w:rsidR="00092E81" w:rsidRPr="00E87D2B" w:rsidRDefault="00092E81" w:rsidP="00092E81">
      <w:pPr>
        <w:spacing w:before="75" w:after="75"/>
        <w:ind w:hanging="20"/>
        <w:jc w:val="center"/>
        <w:rPr>
          <w:b/>
          <w:bCs/>
        </w:rPr>
      </w:pPr>
    </w:p>
    <w:tbl>
      <w:tblPr>
        <w:tblW w:w="509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4705"/>
        <w:gridCol w:w="3834"/>
      </w:tblGrid>
      <w:tr w:rsidR="00092E81" w:rsidRPr="00E87D2B" w:rsidTr="00925FEC">
        <w:trPr>
          <w:tblCellSpacing w:w="15" w:type="dxa"/>
        </w:trPr>
        <w:tc>
          <w:tcPr>
            <w:tcW w:w="4965" w:type="pct"/>
            <w:gridSpan w:val="3"/>
          </w:tcPr>
          <w:p w:rsidR="00092E81" w:rsidRPr="00E87D2B" w:rsidRDefault="00092E81" w:rsidP="00925FEC">
            <w:pPr>
              <w:pStyle w:val="tvhtmlmktable"/>
              <w:jc w:val="center"/>
            </w:pPr>
            <w:r w:rsidRPr="00E87D2B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1.</w:t>
            </w:r>
          </w:p>
        </w:tc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Projekta izpildē iesaistītās institūcijas</w:t>
            </w:r>
          </w:p>
        </w:tc>
        <w:tc>
          <w:tcPr>
            <w:tcW w:w="2173" w:type="pct"/>
          </w:tcPr>
          <w:p w:rsidR="00092E81" w:rsidRPr="00E87D2B" w:rsidRDefault="00092E81" w:rsidP="00925FEC">
            <w:pPr>
              <w:pStyle w:val="tvhtmlmktable"/>
              <w:jc w:val="both"/>
            </w:pPr>
            <w:r w:rsidRPr="00E87D2B">
              <w:t>Projekta izpildi nodrošinās Aizsardzības ministrija.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2.</w:t>
            </w:r>
          </w:p>
        </w:tc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Projekta izpildes ietekme uz pārvaldes funkcijām</w:t>
            </w:r>
          </w:p>
        </w:tc>
        <w:tc>
          <w:tcPr>
            <w:tcW w:w="2173" w:type="pct"/>
          </w:tcPr>
          <w:p w:rsidR="00092E81" w:rsidRPr="00E87D2B" w:rsidRDefault="00092E81" w:rsidP="00925FEC">
            <w:pPr>
              <w:pStyle w:val="tvhtmlmktable"/>
              <w:jc w:val="both"/>
            </w:pPr>
            <w:r w:rsidRPr="00E87D2B">
              <w:t>Projekts šo jomu neskar.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3.</w:t>
            </w:r>
          </w:p>
        </w:tc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092E81" w:rsidRPr="00E87D2B" w:rsidRDefault="00092E81" w:rsidP="00925FEC">
            <w:pPr>
              <w:pStyle w:val="tvhtmlmktable"/>
            </w:pPr>
            <w:r w:rsidRPr="00E87D2B">
              <w:t>Jaunu institūciju izveide</w:t>
            </w:r>
          </w:p>
        </w:tc>
        <w:tc>
          <w:tcPr>
            <w:tcW w:w="2173" w:type="pct"/>
          </w:tcPr>
          <w:p w:rsidR="00092E81" w:rsidRPr="00E87D2B" w:rsidRDefault="00092E81" w:rsidP="00925FEC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4.</w:t>
            </w:r>
          </w:p>
        </w:tc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092E81" w:rsidRPr="00E87D2B" w:rsidRDefault="00092E81" w:rsidP="00925FEC">
            <w:pPr>
              <w:pStyle w:val="tvhtmlmktable"/>
            </w:pPr>
            <w:r w:rsidRPr="00E87D2B">
              <w:t>Esošu institūciju likvidācija</w:t>
            </w:r>
          </w:p>
        </w:tc>
        <w:tc>
          <w:tcPr>
            <w:tcW w:w="2173" w:type="pct"/>
          </w:tcPr>
          <w:p w:rsidR="00092E81" w:rsidRPr="00E87D2B" w:rsidRDefault="00092E81" w:rsidP="00925FEC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5.</w:t>
            </w:r>
          </w:p>
        </w:tc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092E81" w:rsidRPr="00E87D2B" w:rsidRDefault="00092E81" w:rsidP="00925FEC">
            <w:pPr>
              <w:pStyle w:val="tvhtmlmktable"/>
            </w:pPr>
            <w:r w:rsidRPr="00E87D2B">
              <w:t>Esošu institūciju reorganizācija</w:t>
            </w:r>
          </w:p>
        </w:tc>
        <w:tc>
          <w:tcPr>
            <w:tcW w:w="2173" w:type="pct"/>
          </w:tcPr>
          <w:p w:rsidR="00092E81" w:rsidRPr="00E87D2B" w:rsidRDefault="00092E81" w:rsidP="00925FEC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092E81" w:rsidRPr="00E87D2B" w:rsidTr="00925FEC">
        <w:trPr>
          <w:tblCellSpacing w:w="15" w:type="dxa"/>
        </w:trPr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6.</w:t>
            </w:r>
          </w:p>
        </w:tc>
        <w:tc>
          <w:tcPr>
            <w:tcW w:w="0" w:type="auto"/>
          </w:tcPr>
          <w:p w:rsidR="00092E81" w:rsidRPr="00E87D2B" w:rsidRDefault="00092E81" w:rsidP="00925FEC">
            <w:pPr>
              <w:pStyle w:val="tvhtmlmktable"/>
            </w:pPr>
            <w:r w:rsidRPr="00E87D2B">
              <w:t>Cita informācija</w:t>
            </w:r>
          </w:p>
        </w:tc>
        <w:tc>
          <w:tcPr>
            <w:tcW w:w="2173" w:type="pct"/>
          </w:tcPr>
          <w:p w:rsidR="00092E81" w:rsidRPr="00E87D2B" w:rsidRDefault="00092E81" w:rsidP="00925FEC">
            <w:pPr>
              <w:pStyle w:val="tvhtmlmktable"/>
            </w:pPr>
            <w:r w:rsidRPr="00E87D2B">
              <w:t xml:space="preserve">Nav. </w:t>
            </w:r>
          </w:p>
        </w:tc>
      </w:tr>
    </w:tbl>
    <w:p w:rsidR="00092E81" w:rsidRPr="00E87D2B" w:rsidRDefault="00092E81" w:rsidP="00092E81">
      <w:pPr>
        <w:rPr>
          <w:b/>
          <w:bCs/>
        </w:rPr>
      </w:pPr>
    </w:p>
    <w:p w:rsidR="00092E81" w:rsidRPr="00E87D2B" w:rsidRDefault="00092E81" w:rsidP="00092E81">
      <w:pPr>
        <w:tabs>
          <w:tab w:val="left" w:pos="3011"/>
        </w:tabs>
      </w:pPr>
      <w:r>
        <w:tab/>
      </w:r>
    </w:p>
    <w:p w:rsidR="00092E81" w:rsidRPr="00E87D2B" w:rsidRDefault="00092E81" w:rsidP="00092E81">
      <w:r w:rsidRPr="00E87D2B">
        <w:t>Aizsardzības ministrs</w:t>
      </w:r>
      <w:r w:rsidRPr="00E87D2B">
        <w:tab/>
      </w:r>
      <w:r w:rsidRPr="00E87D2B">
        <w:tab/>
      </w:r>
      <w:r w:rsidRPr="00E87D2B">
        <w:tab/>
      </w:r>
      <w:r w:rsidRPr="00E87D2B">
        <w:tab/>
      </w:r>
      <w:r w:rsidRPr="00E87D2B">
        <w:tab/>
      </w:r>
      <w:r w:rsidRPr="00E87D2B">
        <w:tab/>
        <w:t>R.Vējonis</w:t>
      </w:r>
    </w:p>
    <w:p w:rsidR="00092E81" w:rsidRPr="00E87D2B" w:rsidRDefault="00092E81" w:rsidP="00092E81"/>
    <w:p w:rsidR="00092E81" w:rsidRPr="00E87D2B" w:rsidRDefault="00092E81" w:rsidP="00092E81"/>
    <w:p w:rsidR="00092E81" w:rsidRPr="00E87D2B" w:rsidRDefault="00092E81" w:rsidP="00092E81"/>
    <w:p w:rsidR="00092E81" w:rsidRPr="00E87D2B" w:rsidRDefault="00092E81" w:rsidP="00092E81">
      <w:r>
        <w:t>Vīza: 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  <w:t>J.Sārts</w:t>
      </w:r>
    </w:p>
    <w:p w:rsidR="00092E81" w:rsidRDefault="00092E81" w:rsidP="00092E81">
      <w:pPr>
        <w:tabs>
          <w:tab w:val="left" w:pos="720"/>
          <w:tab w:val="left" w:pos="3555"/>
        </w:tabs>
      </w:pPr>
    </w:p>
    <w:p w:rsidR="00092E81" w:rsidRDefault="00092E81" w:rsidP="00092E81">
      <w:pPr>
        <w:tabs>
          <w:tab w:val="left" w:pos="720"/>
          <w:tab w:val="left" w:pos="3555"/>
        </w:tabs>
      </w:pPr>
    </w:p>
    <w:p w:rsidR="008D54B1" w:rsidRDefault="00092E81" w:rsidP="00092E81">
      <w:pPr>
        <w:tabs>
          <w:tab w:val="left" w:pos="720"/>
          <w:tab w:val="left" w:pos="3555"/>
        </w:tabs>
      </w:pPr>
      <w:r w:rsidRPr="00E87D2B">
        <w:tab/>
      </w:r>
    </w:p>
    <w:p w:rsidR="008D54B1" w:rsidRDefault="008D54B1" w:rsidP="00092E81">
      <w:pPr>
        <w:tabs>
          <w:tab w:val="left" w:pos="720"/>
          <w:tab w:val="left" w:pos="3555"/>
        </w:tabs>
      </w:pPr>
    </w:p>
    <w:p w:rsidR="008D54B1" w:rsidRDefault="008D54B1" w:rsidP="00092E81">
      <w:pPr>
        <w:tabs>
          <w:tab w:val="left" w:pos="720"/>
          <w:tab w:val="left" w:pos="3555"/>
        </w:tabs>
      </w:pPr>
    </w:p>
    <w:p w:rsidR="008D54B1" w:rsidRDefault="008D54B1" w:rsidP="00092E81">
      <w:pPr>
        <w:tabs>
          <w:tab w:val="left" w:pos="720"/>
          <w:tab w:val="left" w:pos="3555"/>
        </w:tabs>
      </w:pPr>
    </w:p>
    <w:p w:rsidR="008D54B1" w:rsidRDefault="008D54B1" w:rsidP="00092E81">
      <w:pPr>
        <w:tabs>
          <w:tab w:val="left" w:pos="720"/>
          <w:tab w:val="left" w:pos="3555"/>
        </w:tabs>
      </w:pPr>
    </w:p>
    <w:p w:rsidR="008D54B1" w:rsidRDefault="00E069F3" w:rsidP="00E069F3">
      <w:pPr>
        <w:tabs>
          <w:tab w:val="left" w:pos="4918"/>
        </w:tabs>
      </w:pPr>
      <w:r>
        <w:tab/>
      </w:r>
    </w:p>
    <w:p w:rsidR="008D54B1" w:rsidRDefault="008D54B1" w:rsidP="00092E81">
      <w:pPr>
        <w:tabs>
          <w:tab w:val="left" w:pos="720"/>
          <w:tab w:val="left" w:pos="3555"/>
        </w:tabs>
      </w:pPr>
    </w:p>
    <w:p w:rsidR="008D54B1" w:rsidRDefault="008D54B1" w:rsidP="00092E81">
      <w:pPr>
        <w:tabs>
          <w:tab w:val="left" w:pos="720"/>
          <w:tab w:val="left" w:pos="3555"/>
        </w:tabs>
      </w:pPr>
    </w:p>
    <w:p w:rsidR="00092E81" w:rsidRPr="00E87D2B" w:rsidRDefault="00092E81" w:rsidP="00092E81">
      <w:pPr>
        <w:tabs>
          <w:tab w:val="left" w:pos="720"/>
          <w:tab w:val="left" w:pos="3555"/>
        </w:tabs>
      </w:pPr>
      <w:r w:rsidRPr="00E87D2B">
        <w:tab/>
      </w:r>
    </w:p>
    <w:p w:rsidR="00092E81" w:rsidRPr="00E87D2B" w:rsidRDefault="00E069F3" w:rsidP="00092E81">
      <w:p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DC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092E81">
        <w:rPr>
          <w:sz w:val="20"/>
          <w:szCs w:val="20"/>
        </w:rPr>
        <w:t>.2015.</w:t>
      </w:r>
    </w:p>
    <w:p w:rsidR="00092E81" w:rsidRPr="00E87D2B" w:rsidRDefault="008D54B1" w:rsidP="00092E8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E2DCC">
        <w:rPr>
          <w:sz w:val="20"/>
          <w:szCs w:val="20"/>
        </w:rPr>
        <w:t>84</w:t>
      </w:r>
    </w:p>
    <w:p w:rsidR="00092E81" w:rsidRPr="00E87D2B" w:rsidRDefault="00092E81" w:rsidP="00092E81">
      <w:pPr>
        <w:jc w:val="both"/>
        <w:rPr>
          <w:sz w:val="20"/>
          <w:szCs w:val="20"/>
        </w:rPr>
      </w:pPr>
      <w:r>
        <w:rPr>
          <w:sz w:val="20"/>
          <w:szCs w:val="20"/>
        </w:rPr>
        <w:t>I.</w:t>
      </w:r>
      <w:r w:rsidR="00E069F3">
        <w:rPr>
          <w:sz w:val="20"/>
          <w:szCs w:val="20"/>
        </w:rPr>
        <w:t>Grūbe</w:t>
      </w:r>
      <w:r w:rsidRPr="00E87D2B">
        <w:rPr>
          <w:sz w:val="20"/>
          <w:szCs w:val="20"/>
        </w:rPr>
        <w:fldChar w:fldCharType="begin"/>
      </w:r>
      <w:r w:rsidRPr="00E87D2B">
        <w:rPr>
          <w:sz w:val="20"/>
          <w:szCs w:val="20"/>
        </w:rPr>
        <w:instrText xml:space="preserve"> AUTHOR   \* MERGEFORMAT </w:instrText>
      </w:r>
      <w:r w:rsidRPr="00E87D2B">
        <w:rPr>
          <w:sz w:val="20"/>
          <w:szCs w:val="20"/>
        </w:rPr>
        <w:fldChar w:fldCharType="end"/>
      </w:r>
    </w:p>
    <w:p w:rsidR="00092E81" w:rsidRPr="00E87D2B" w:rsidRDefault="00092E81" w:rsidP="00092E81">
      <w:pPr>
        <w:jc w:val="both"/>
        <w:rPr>
          <w:sz w:val="20"/>
          <w:szCs w:val="20"/>
        </w:rPr>
      </w:pPr>
      <w:r w:rsidRPr="00E87D2B">
        <w:rPr>
          <w:sz w:val="20"/>
          <w:szCs w:val="20"/>
        </w:rPr>
        <w:fldChar w:fldCharType="begin"/>
      </w:r>
      <w:r w:rsidRPr="00E87D2B">
        <w:rPr>
          <w:sz w:val="20"/>
          <w:szCs w:val="20"/>
        </w:rPr>
        <w:instrText xml:space="preserve"> COMMENTS   \* MERGEFORMAT </w:instrText>
      </w:r>
      <w:r w:rsidRPr="00E87D2B">
        <w:rPr>
          <w:sz w:val="20"/>
          <w:szCs w:val="20"/>
        </w:rPr>
        <w:fldChar w:fldCharType="separate"/>
      </w:r>
      <w:r w:rsidR="00E069F3">
        <w:rPr>
          <w:sz w:val="20"/>
          <w:szCs w:val="20"/>
        </w:rPr>
        <w:t>Ilz</w:t>
      </w:r>
      <w:r w:rsidR="00DE2233">
        <w:rPr>
          <w:sz w:val="20"/>
          <w:szCs w:val="20"/>
        </w:rPr>
        <w:t>e.</w:t>
      </w:r>
      <w:r w:rsidR="00E069F3">
        <w:rPr>
          <w:sz w:val="20"/>
          <w:szCs w:val="20"/>
        </w:rPr>
        <w:t>Grube</w:t>
      </w:r>
      <w:r w:rsidRPr="00E87D2B">
        <w:rPr>
          <w:sz w:val="20"/>
          <w:szCs w:val="20"/>
        </w:rPr>
        <w:t xml:space="preserve">@mod.gov.lv </w:t>
      </w:r>
    </w:p>
    <w:p w:rsidR="00092E81" w:rsidRPr="00F55578" w:rsidRDefault="002E2DCC" w:rsidP="00092E81">
      <w:pPr>
        <w:jc w:val="both"/>
        <w:rPr>
          <w:sz w:val="20"/>
          <w:szCs w:val="20"/>
        </w:rPr>
      </w:pPr>
      <w:r>
        <w:rPr>
          <w:sz w:val="20"/>
          <w:szCs w:val="20"/>
        </w:rPr>
        <w:t>tālr. 67335</w:t>
      </w:r>
      <w:r w:rsidR="00E069F3">
        <w:rPr>
          <w:sz w:val="20"/>
          <w:szCs w:val="20"/>
        </w:rPr>
        <w:t>182</w:t>
      </w:r>
      <w:r w:rsidR="00092E81">
        <w:rPr>
          <w:sz w:val="20"/>
          <w:szCs w:val="20"/>
        </w:rPr>
        <w:t>,</w:t>
      </w:r>
      <w:r w:rsidR="00092E81" w:rsidRPr="00E87D2B">
        <w:rPr>
          <w:sz w:val="20"/>
          <w:szCs w:val="20"/>
        </w:rPr>
        <w:t xml:space="preserve"> fakss: 67212307</w:t>
      </w:r>
      <w:r w:rsidR="00092E81" w:rsidRPr="00E87D2B">
        <w:rPr>
          <w:sz w:val="20"/>
          <w:szCs w:val="20"/>
        </w:rPr>
        <w:fldChar w:fldCharType="end"/>
      </w:r>
    </w:p>
    <w:p w:rsidR="0026236D" w:rsidRDefault="0026236D"/>
    <w:sectPr w:rsidR="0026236D" w:rsidSect="00E87D2B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1276" w:right="1557" w:bottom="1440" w:left="1800" w:header="708" w:footer="1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81" w:rsidRDefault="00092E81" w:rsidP="00092E81">
      <w:r>
        <w:separator/>
      </w:r>
    </w:p>
  </w:endnote>
  <w:endnote w:type="continuationSeparator" w:id="0">
    <w:p w:rsidR="00092E81" w:rsidRDefault="00092E81" w:rsidP="0009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02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69E" w:rsidRPr="00E87D2B" w:rsidRDefault="002E2DCC" w:rsidP="0016369E">
        <w:pPr>
          <w:pStyle w:val="naisc"/>
          <w:spacing w:before="0" w:after="0"/>
          <w:jc w:val="both"/>
        </w:pPr>
        <w:r>
          <w:rPr>
            <w:sz w:val="20"/>
            <w:szCs w:val="20"/>
          </w:rPr>
          <w:t>AIManot_1</w:t>
        </w:r>
        <w:r w:rsidR="00C336BD">
          <w:rPr>
            <w:sz w:val="20"/>
            <w:szCs w:val="20"/>
          </w:rPr>
          <w:t>2</w:t>
        </w:r>
        <w:r>
          <w:rPr>
            <w:sz w:val="20"/>
            <w:szCs w:val="20"/>
          </w:rPr>
          <w:t>0</w:t>
        </w:r>
        <w:r w:rsidR="00C336BD">
          <w:rPr>
            <w:sz w:val="20"/>
            <w:szCs w:val="20"/>
          </w:rPr>
          <w:t>6</w:t>
        </w:r>
        <w:r w:rsidR="00D47784">
          <w:rPr>
            <w:sz w:val="20"/>
            <w:szCs w:val="20"/>
          </w:rPr>
          <w:t>15</w:t>
        </w:r>
        <w:r w:rsidR="00D47784" w:rsidRPr="000A3AF2">
          <w:rPr>
            <w:sz w:val="20"/>
            <w:szCs w:val="20"/>
          </w:rPr>
          <w:t>_Ungarija</w:t>
        </w:r>
        <w:r w:rsidR="00900F16">
          <w:rPr>
            <w:sz w:val="20"/>
            <w:szCs w:val="20"/>
          </w:rPr>
          <w:t>_noteikumi</w:t>
        </w:r>
        <w:r w:rsidR="00D47784" w:rsidRPr="000A3AF2">
          <w:rPr>
            <w:sz w:val="20"/>
            <w:szCs w:val="20"/>
          </w:rPr>
          <w:t xml:space="preserve">; Anotācija </w:t>
        </w:r>
        <w:r w:rsidR="00D47784">
          <w:rPr>
            <w:sz w:val="20"/>
            <w:szCs w:val="20"/>
          </w:rPr>
          <w:t xml:space="preserve">Ministru kabineta noteikumu projektam </w:t>
        </w:r>
        <w:r w:rsidR="00D47784" w:rsidRPr="0016369E">
          <w:rPr>
            <w:sz w:val="20"/>
            <w:szCs w:val="20"/>
          </w:rPr>
          <w:t xml:space="preserve">„Par Ministru kabineta 2009.gada 17.novembra </w:t>
        </w:r>
        <w:r w:rsidR="00D47784">
          <w:rPr>
            <w:sz w:val="20"/>
            <w:szCs w:val="20"/>
          </w:rPr>
          <w:t>noteikumu</w:t>
        </w:r>
        <w:r w:rsidR="00D47784" w:rsidRPr="0016369E">
          <w:rPr>
            <w:sz w:val="20"/>
            <w:szCs w:val="20"/>
          </w:rPr>
          <w:t xml:space="preserve"> Nr.1329 „Par Latvijas Republikas Aizsardzības ministrijas un Ungārijas Republikas Aizsardzības ministrijas saprašanās memorandu par sadarbību aizsardzības jo</w:t>
        </w:r>
        <w:r w:rsidR="00900F16">
          <w:rPr>
            <w:sz w:val="20"/>
            <w:szCs w:val="20"/>
          </w:rPr>
          <w:t>mā” atzīšanu par spēku zaudējušiem</w:t>
        </w:r>
        <w:r w:rsidR="00D47784" w:rsidRPr="0016369E">
          <w:rPr>
            <w:sz w:val="20"/>
            <w:szCs w:val="20"/>
          </w:rPr>
          <w:t xml:space="preserve">” </w:t>
        </w:r>
      </w:p>
      <w:p w:rsidR="000A3AF2" w:rsidRPr="000A3AF2" w:rsidRDefault="00D47784" w:rsidP="000A3AF2">
        <w:pPr>
          <w:pStyle w:val="naisc"/>
          <w:spacing w:before="0" w:after="0"/>
          <w:jc w:val="both"/>
          <w:rPr>
            <w:sz w:val="20"/>
            <w:szCs w:val="20"/>
          </w:rPr>
        </w:pPr>
        <w:r w:rsidRPr="000A3AF2">
          <w:rPr>
            <w:sz w:val="20"/>
            <w:szCs w:val="20"/>
          </w:rPr>
          <w:t xml:space="preserve"> </w:t>
        </w:r>
      </w:p>
      <w:p w:rsidR="000A3AF2" w:rsidRDefault="00D47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DDA" w:rsidRDefault="00ED0920" w:rsidP="00FD4EB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E" w:rsidRPr="00E87D2B" w:rsidRDefault="00D47784" w:rsidP="0016369E">
    <w:pPr>
      <w:pStyle w:val="naisc"/>
      <w:spacing w:before="0" w:after="0"/>
      <w:jc w:val="both"/>
    </w:pPr>
    <w:r w:rsidRPr="000A3AF2">
      <w:rPr>
        <w:sz w:val="20"/>
        <w:szCs w:val="20"/>
      </w:rPr>
      <w:t>A</w:t>
    </w:r>
    <w:r w:rsidR="002E2DCC">
      <w:rPr>
        <w:sz w:val="20"/>
        <w:szCs w:val="20"/>
      </w:rPr>
      <w:t>IManot_1</w:t>
    </w:r>
    <w:r w:rsidR="00C336BD">
      <w:rPr>
        <w:sz w:val="20"/>
        <w:szCs w:val="20"/>
      </w:rPr>
      <w:t>206</w:t>
    </w:r>
    <w:r>
      <w:rPr>
        <w:sz w:val="20"/>
        <w:szCs w:val="20"/>
      </w:rPr>
      <w:t>15</w:t>
    </w:r>
    <w:r w:rsidRPr="000A3AF2">
      <w:rPr>
        <w:sz w:val="20"/>
        <w:szCs w:val="20"/>
      </w:rPr>
      <w:t>_Ungarija</w:t>
    </w:r>
    <w:r w:rsidR="00900F16">
      <w:rPr>
        <w:sz w:val="20"/>
        <w:szCs w:val="20"/>
      </w:rPr>
      <w:t>_noteikumi</w:t>
    </w:r>
    <w:r w:rsidRPr="000A3AF2">
      <w:rPr>
        <w:sz w:val="20"/>
        <w:szCs w:val="20"/>
      </w:rPr>
      <w:t xml:space="preserve">; Anotācija </w:t>
    </w:r>
    <w:r>
      <w:rPr>
        <w:sz w:val="20"/>
        <w:szCs w:val="20"/>
      </w:rPr>
      <w:t xml:space="preserve">Ministru kabineta noteikumu projektam </w:t>
    </w:r>
    <w:r w:rsidRPr="0016369E">
      <w:rPr>
        <w:sz w:val="20"/>
        <w:szCs w:val="20"/>
      </w:rPr>
      <w:t xml:space="preserve">„Par Ministru kabineta 2009.gada 17.novembra </w:t>
    </w:r>
    <w:r>
      <w:rPr>
        <w:sz w:val="20"/>
        <w:szCs w:val="20"/>
      </w:rPr>
      <w:t xml:space="preserve">noteikumu </w:t>
    </w:r>
    <w:r w:rsidRPr="0016369E">
      <w:rPr>
        <w:sz w:val="20"/>
        <w:szCs w:val="20"/>
      </w:rPr>
      <w:t>Nr.1329 „Par Latvijas Republikas Aizsardzības ministrijas un Ungārijas Republikas Aizsardzības ministrijas saprašanās memorandu par sadarbību aizsardzības jom</w:t>
    </w:r>
    <w:r w:rsidR="00900F16">
      <w:rPr>
        <w:sz w:val="20"/>
        <w:szCs w:val="20"/>
      </w:rPr>
      <w:t>ā” atzīšanu par spēku zaudējušiem</w:t>
    </w:r>
    <w:r w:rsidRPr="0016369E">
      <w:rPr>
        <w:sz w:val="20"/>
        <w:szCs w:val="20"/>
      </w:rPr>
      <w:t>”</w:t>
    </w:r>
    <w:r w:rsidRPr="00E87D2B">
      <w:t xml:space="preserve"> </w:t>
    </w:r>
  </w:p>
  <w:p w:rsidR="000A3AF2" w:rsidRPr="000A3AF2" w:rsidRDefault="00ED0920" w:rsidP="000A3AF2">
    <w:pPr>
      <w:pStyle w:val="naisc"/>
      <w:spacing w:before="0" w:after="0"/>
      <w:jc w:val="both"/>
      <w:rPr>
        <w:sz w:val="20"/>
        <w:szCs w:val="20"/>
      </w:rPr>
    </w:pPr>
  </w:p>
  <w:p w:rsidR="00584E71" w:rsidRPr="008A35E4" w:rsidRDefault="00ED0920" w:rsidP="008A3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81" w:rsidRDefault="00092E81" w:rsidP="00092E81">
      <w:r>
        <w:separator/>
      </w:r>
    </w:p>
  </w:footnote>
  <w:footnote w:type="continuationSeparator" w:id="0">
    <w:p w:rsidR="00092E81" w:rsidRDefault="00092E81" w:rsidP="0009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3" w:rsidRDefault="00ED0920" w:rsidP="00FD4EB3">
    <w:pPr>
      <w:pStyle w:val="Header"/>
      <w:jc w:val="center"/>
    </w:pPr>
  </w:p>
  <w:p w:rsidR="005F5DDA" w:rsidRDefault="00D47784" w:rsidP="00FD4EB3">
    <w:pPr>
      <w:pStyle w:val="Header"/>
      <w:jc w:val="cent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805293" wp14:editId="0BECAD6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DDA" w:rsidRDefault="00ED092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5F5DDA" w:rsidRDefault="00D47784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81"/>
    <w:rsid w:val="00042F0B"/>
    <w:rsid w:val="00092E81"/>
    <w:rsid w:val="000B6D16"/>
    <w:rsid w:val="00143F1D"/>
    <w:rsid w:val="00144F17"/>
    <w:rsid w:val="001549F4"/>
    <w:rsid w:val="001C25DB"/>
    <w:rsid w:val="002415E5"/>
    <w:rsid w:val="0026236D"/>
    <w:rsid w:val="002E2DCC"/>
    <w:rsid w:val="002E4E95"/>
    <w:rsid w:val="002F58D7"/>
    <w:rsid w:val="00304507"/>
    <w:rsid w:val="00312E7B"/>
    <w:rsid w:val="003A1F2C"/>
    <w:rsid w:val="003D378D"/>
    <w:rsid w:val="004C1AC1"/>
    <w:rsid w:val="004D706D"/>
    <w:rsid w:val="00507FC1"/>
    <w:rsid w:val="005B3C55"/>
    <w:rsid w:val="005F4077"/>
    <w:rsid w:val="005F60A8"/>
    <w:rsid w:val="00687D50"/>
    <w:rsid w:val="006A24CA"/>
    <w:rsid w:val="006F474A"/>
    <w:rsid w:val="007635F3"/>
    <w:rsid w:val="0076771A"/>
    <w:rsid w:val="00822D50"/>
    <w:rsid w:val="008804EF"/>
    <w:rsid w:val="008D54B1"/>
    <w:rsid w:val="00900F16"/>
    <w:rsid w:val="009239B9"/>
    <w:rsid w:val="00961EAA"/>
    <w:rsid w:val="00973955"/>
    <w:rsid w:val="009A48D6"/>
    <w:rsid w:val="00A442F4"/>
    <w:rsid w:val="00AF3AC3"/>
    <w:rsid w:val="00B16BE0"/>
    <w:rsid w:val="00B175A3"/>
    <w:rsid w:val="00B3086B"/>
    <w:rsid w:val="00C20674"/>
    <w:rsid w:val="00C336BD"/>
    <w:rsid w:val="00C64074"/>
    <w:rsid w:val="00C729FB"/>
    <w:rsid w:val="00C73F60"/>
    <w:rsid w:val="00CC3182"/>
    <w:rsid w:val="00CC530C"/>
    <w:rsid w:val="00D25E17"/>
    <w:rsid w:val="00D47784"/>
    <w:rsid w:val="00D61217"/>
    <w:rsid w:val="00DE2233"/>
    <w:rsid w:val="00E069F3"/>
    <w:rsid w:val="00E300A8"/>
    <w:rsid w:val="00E40115"/>
    <w:rsid w:val="00EA6F5E"/>
    <w:rsid w:val="00ED0920"/>
    <w:rsid w:val="00EF2617"/>
    <w:rsid w:val="00F22346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E8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92E81"/>
    <w:pPr>
      <w:spacing w:before="280" w:after="280"/>
    </w:pPr>
  </w:style>
  <w:style w:type="paragraph" w:styleId="Header">
    <w:name w:val="header"/>
    <w:basedOn w:val="Normal"/>
    <w:link w:val="HeaderChar"/>
    <w:rsid w:val="00092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2E8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92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E81"/>
    <w:rPr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092E81"/>
    <w:pPr>
      <w:suppressAutoHyphens w:val="0"/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link w:val="BodyTextChar"/>
    <w:rsid w:val="00092E81"/>
    <w:pPr>
      <w:suppressAutoHyphens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092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E8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92E81"/>
    <w:pPr>
      <w:spacing w:before="280" w:after="280"/>
    </w:pPr>
  </w:style>
  <w:style w:type="paragraph" w:styleId="Header">
    <w:name w:val="header"/>
    <w:basedOn w:val="Normal"/>
    <w:link w:val="HeaderChar"/>
    <w:rsid w:val="00092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2E8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92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E81"/>
    <w:rPr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092E81"/>
    <w:pPr>
      <w:suppressAutoHyphens w:val="0"/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link w:val="BodyTextChar"/>
    <w:rsid w:val="00092E81"/>
    <w:pPr>
      <w:suppressAutoHyphens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092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6B858267.dotm</Template>
  <TotalTime>3</TotalTime>
  <Pages>2</Pages>
  <Words>384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projekts_Ungārija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projekts_Ungārija</dc:title>
  <dc:creator/>
  <cp:keywords>Ungārija</cp:keywords>
  <dc:description>Anotācija</dc:description>
  <cp:lastModifiedBy>Ilze Izabella-Grube</cp:lastModifiedBy>
  <cp:revision>7</cp:revision>
  <cp:lastPrinted>2015-04-15T07:28:00Z</cp:lastPrinted>
  <dcterms:created xsi:type="dcterms:W3CDTF">2015-04-21T06:45:00Z</dcterms:created>
  <dcterms:modified xsi:type="dcterms:W3CDTF">2015-06-12T08:50:00Z</dcterms:modified>
</cp:coreProperties>
</file>