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A68" w:rsidRPr="009C01AE" w:rsidRDefault="00810A68" w:rsidP="00810A68">
      <w:pPr>
        <w:spacing w:after="0" w:line="240" w:lineRule="auto"/>
        <w:jc w:val="center"/>
        <w:rPr>
          <w:rFonts w:ascii="Times New Roman" w:eastAsia="Times New Roman" w:hAnsi="Times New Roman" w:cs="Times New Roman"/>
          <w:b/>
          <w:sz w:val="25"/>
          <w:szCs w:val="25"/>
          <w:lang w:eastAsia="lv-LV"/>
        </w:rPr>
      </w:pPr>
      <w:bookmarkStart w:id="0" w:name="OLE_LINK6"/>
      <w:bookmarkStart w:id="1" w:name="OLE_LINK7"/>
      <w:bookmarkStart w:id="2" w:name="OLE_LINK12"/>
      <w:bookmarkStart w:id="3" w:name="OLE_LINK13"/>
      <w:bookmarkStart w:id="4" w:name="OLE_LINK14"/>
      <w:bookmarkStart w:id="5" w:name="OLE_LINK15"/>
      <w:bookmarkStart w:id="6" w:name="OLE_LINK5"/>
      <w:bookmarkStart w:id="7" w:name="OLE_LINK4"/>
      <w:bookmarkStart w:id="8" w:name="OLE_LINK8"/>
      <w:bookmarkStart w:id="9" w:name="OLE_LINK3"/>
      <w:bookmarkStart w:id="10" w:name="OLE_LINK2"/>
      <w:bookmarkStart w:id="11" w:name="OLE_LINK1"/>
      <w:r w:rsidRPr="009C01AE">
        <w:rPr>
          <w:rFonts w:ascii="Times New Roman" w:hAnsi="Times New Roman" w:cs="Times New Roman"/>
          <w:b/>
          <w:sz w:val="25"/>
          <w:szCs w:val="25"/>
        </w:rPr>
        <w:t>Ministru kabineta noteikumu projekta „</w:t>
      </w:r>
      <w:r w:rsidR="00A66AA5" w:rsidRPr="009C01AE">
        <w:rPr>
          <w:rFonts w:ascii="Times New Roman" w:hAnsi="Times New Roman" w:cs="Times New Roman"/>
          <w:b/>
          <w:bCs/>
          <w:sz w:val="25"/>
          <w:szCs w:val="25"/>
        </w:rPr>
        <w:t>Grozījumi</w:t>
      </w:r>
      <w:r w:rsidRPr="009C01AE">
        <w:rPr>
          <w:rFonts w:ascii="Times New Roman" w:hAnsi="Times New Roman" w:cs="Times New Roman"/>
          <w:b/>
          <w:bCs/>
          <w:sz w:val="56"/>
          <w:szCs w:val="25"/>
        </w:rPr>
        <w:t xml:space="preserve"> </w:t>
      </w:r>
      <w:r w:rsidRPr="009C01AE">
        <w:rPr>
          <w:rFonts w:ascii="Times New Roman" w:hAnsi="Times New Roman" w:cs="Times New Roman"/>
          <w:b/>
          <w:bCs/>
          <w:sz w:val="25"/>
          <w:szCs w:val="25"/>
        </w:rPr>
        <w:t xml:space="preserve">Ministru kabineta 2009.gada 17.jūnija noteikumos Nr.582 </w:t>
      </w:r>
      <w:r w:rsidRPr="009C01AE">
        <w:rPr>
          <w:rFonts w:ascii="Times New Roman" w:hAnsi="Times New Roman" w:cs="Times New Roman"/>
          <w:b/>
          <w:sz w:val="25"/>
          <w:szCs w:val="25"/>
        </w:rPr>
        <w:t>„Noteikumi par darbības programmas „Uzņēmējdarbība un inovācijas” papildinājuma 2.3.1.1.1.apakšaktivitātes „Ārējo tirgu apgūšana – ārējais mārketings” sesto un turpmākajām kārtām</w:t>
      </w:r>
      <w:r w:rsidRPr="009C01AE">
        <w:rPr>
          <w:rFonts w:ascii="Times New Roman" w:hAnsi="Times New Roman" w:cs="Times New Roman"/>
          <w:b/>
          <w:bCs/>
          <w:sz w:val="25"/>
          <w:szCs w:val="25"/>
        </w:rPr>
        <w:t>””</w:t>
      </w:r>
      <w:r w:rsidRPr="009C01AE">
        <w:rPr>
          <w:rFonts w:ascii="Times New Roman" w:hAnsi="Times New Roman" w:cs="Times New Roman"/>
          <w:b/>
          <w:sz w:val="25"/>
          <w:szCs w:val="25"/>
        </w:rPr>
        <w:t xml:space="preserve"> sākotnējās ietekmes novērtējuma ziņojums (anotācija)</w:t>
      </w:r>
      <w:bookmarkEnd w:id="0"/>
      <w:bookmarkEnd w:id="1"/>
      <w:bookmarkEnd w:id="2"/>
      <w:bookmarkEnd w:id="3"/>
      <w:bookmarkEnd w:id="4"/>
      <w:bookmarkEnd w:id="5"/>
    </w:p>
    <w:bookmarkEnd w:id="6"/>
    <w:bookmarkEnd w:id="7"/>
    <w:bookmarkEnd w:id="8"/>
    <w:bookmarkEnd w:id="9"/>
    <w:bookmarkEnd w:id="10"/>
    <w:bookmarkEnd w:id="11"/>
    <w:p w:rsidR="00810A68" w:rsidRPr="009C01AE" w:rsidRDefault="00810A68" w:rsidP="00810A68">
      <w:pPr>
        <w:spacing w:after="0" w:line="240" w:lineRule="auto"/>
        <w:rPr>
          <w:rFonts w:ascii="Times New Roman" w:eastAsia="Calibri" w:hAnsi="Times New Roman" w:cs="Times New Roman"/>
          <w:b/>
          <w:sz w:val="25"/>
          <w:szCs w:val="25"/>
        </w:rPr>
      </w:pPr>
    </w:p>
    <w:p w:rsidR="00810A68" w:rsidRPr="009C01AE" w:rsidRDefault="00810A68" w:rsidP="00810A68">
      <w:pPr>
        <w:spacing w:after="0" w:line="240" w:lineRule="auto"/>
        <w:rPr>
          <w:rFonts w:ascii="Times New Roman" w:eastAsia="Calibri" w:hAnsi="Times New Roman" w:cs="Times New Roman"/>
          <w:b/>
          <w:sz w:val="25"/>
          <w:szCs w:val="25"/>
        </w:rPr>
      </w:pP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127"/>
        <w:gridCol w:w="6237"/>
      </w:tblGrid>
      <w:tr w:rsidR="00810A68" w:rsidRPr="009C01AE" w:rsidTr="00E152A9">
        <w:tc>
          <w:tcPr>
            <w:tcW w:w="836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810A68" w:rsidRPr="009C01AE" w:rsidRDefault="00810A68" w:rsidP="00E152A9">
            <w:pPr>
              <w:spacing w:after="0" w:line="240" w:lineRule="auto"/>
              <w:jc w:val="center"/>
              <w:rPr>
                <w:rFonts w:ascii="Times New Roman" w:eastAsia="Times New Roman" w:hAnsi="Times New Roman" w:cs="Times New Roman"/>
                <w:b/>
                <w:sz w:val="25"/>
                <w:szCs w:val="25"/>
                <w:lang w:eastAsia="lv-LV"/>
              </w:rPr>
            </w:pPr>
            <w:proofErr w:type="spellStart"/>
            <w:r w:rsidRPr="009C01AE">
              <w:rPr>
                <w:rFonts w:ascii="Times New Roman" w:eastAsia="Times New Roman" w:hAnsi="Times New Roman" w:cs="Times New Roman"/>
                <w:b/>
                <w:sz w:val="25"/>
                <w:szCs w:val="25"/>
                <w:lang w:eastAsia="lv-LV"/>
              </w:rPr>
              <w:t>I.Tiesību</w:t>
            </w:r>
            <w:proofErr w:type="spellEnd"/>
            <w:r w:rsidRPr="009C01AE">
              <w:rPr>
                <w:rFonts w:ascii="Times New Roman" w:eastAsia="Times New Roman" w:hAnsi="Times New Roman" w:cs="Times New Roman"/>
                <w:b/>
                <w:sz w:val="25"/>
                <w:szCs w:val="25"/>
                <w:lang w:eastAsia="lv-LV"/>
              </w:rPr>
              <w:t xml:space="preserve"> akta projekta izstrādes nepieciešamība</w:t>
            </w:r>
          </w:p>
        </w:tc>
      </w:tr>
      <w:tr w:rsidR="00810A68" w:rsidRPr="009C01AE" w:rsidTr="00F22871">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1. Pamatojums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ind w:firstLine="567"/>
              <w:jc w:val="both"/>
              <w:rPr>
                <w:rFonts w:ascii="Times New Roman" w:eastAsia="Calibri" w:hAnsi="Times New Roman" w:cs="Times New Roman"/>
                <w:sz w:val="25"/>
                <w:szCs w:val="25"/>
              </w:rPr>
            </w:pPr>
            <w:r w:rsidRPr="009C01AE">
              <w:rPr>
                <w:rFonts w:ascii="Times New Roman" w:hAnsi="Times New Roman" w:cs="Times New Roman"/>
                <w:sz w:val="25"/>
                <w:szCs w:val="25"/>
              </w:rPr>
              <w:t>Noteikumu projekts sagatavots, pamatojoties uz Eiropas Savienības struktūrfondu un Kohēzijas fonda vadības likuma 18.panta 10.punktu.</w:t>
            </w:r>
          </w:p>
        </w:tc>
      </w:tr>
      <w:tr w:rsidR="00810A68" w:rsidRPr="009C01AE" w:rsidTr="00F22871">
        <w:trPr>
          <w:trHeight w:val="360"/>
        </w:trPr>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2. Pašreizējā situācija un problēmas, kuru risināšanai tiesību akta projekts izstrādāts, tiesiskā regulējuma mērķis un būtība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716278" w:rsidRPr="009C01AE" w:rsidRDefault="00A66AA5" w:rsidP="00A66AA5">
            <w:pPr>
              <w:pStyle w:val="ListParagraph"/>
              <w:spacing w:after="0"/>
              <w:ind w:left="0"/>
              <w:jc w:val="both"/>
              <w:rPr>
                <w:rFonts w:ascii="Times New Roman" w:hAnsi="Times New Roman" w:cs="Times New Roman"/>
                <w:sz w:val="25"/>
                <w:szCs w:val="25"/>
              </w:rPr>
            </w:pPr>
            <w:r w:rsidRPr="009C01AE">
              <w:rPr>
                <w:rFonts w:ascii="Times New Roman" w:hAnsi="Times New Roman" w:cs="Times New Roman"/>
                <w:sz w:val="25"/>
                <w:szCs w:val="25"/>
              </w:rPr>
              <w:tab/>
              <w:t xml:space="preserve">Ņemot vērā Krievijas Federācijas noteiktajiem sagatavotu un konservētu zivju produktu importa aizliegumiem un </w:t>
            </w:r>
            <w:r w:rsidR="0034216E" w:rsidRPr="009C01AE">
              <w:rPr>
                <w:rFonts w:ascii="Times New Roman" w:hAnsi="Times New Roman" w:cs="Times New Roman"/>
                <w:sz w:val="25"/>
                <w:szCs w:val="25"/>
              </w:rPr>
              <w:t xml:space="preserve">Zemkopības ministrijas </w:t>
            </w:r>
            <w:r w:rsidRPr="009C01AE">
              <w:rPr>
                <w:rFonts w:ascii="Times New Roman" w:hAnsi="Times New Roman" w:cs="Times New Roman"/>
                <w:sz w:val="25"/>
                <w:szCs w:val="25"/>
              </w:rPr>
              <w:t>2015.gada 16.jūnijā Ministru kabineta sēdē izskatīto informatīvo ziņojumu „Par pasākumiem saistībā ar Krievijas aizliegumu sagatavotu un konservētu zivju produktu importam no Latvijas”</w:t>
            </w:r>
            <w:r w:rsidR="00306789" w:rsidRPr="009C01AE">
              <w:rPr>
                <w:rFonts w:ascii="Times New Roman" w:hAnsi="Times New Roman" w:cs="Times New Roman"/>
                <w:sz w:val="25"/>
                <w:szCs w:val="25"/>
              </w:rPr>
              <w:t xml:space="preserve"> (TA-1198)</w:t>
            </w:r>
            <w:r w:rsidRPr="009C01AE">
              <w:rPr>
                <w:rFonts w:ascii="Times New Roman" w:hAnsi="Times New Roman" w:cs="Times New Roman"/>
                <w:sz w:val="25"/>
                <w:szCs w:val="25"/>
              </w:rPr>
              <w:t xml:space="preserve">, Ekonomikas ministrija pamatojoties uz 2015.gada 16.jūnijā Ministru kabineta sēdes protokola Nr.29 </w:t>
            </w:r>
            <w:r w:rsidR="00DD47F1" w:rsidRPr="009C01AE">
              <w:rPr>
                <w:rFonts w:ascii="Times New Roman" w:hAnsi="Times New Roman" w:cs="Times New Roman"/>
                <w:sz w:val="25"/>
                <w:szCs w:val="25"/>
              </w:rPr>
              <w:t>87</w:t>
            </w:r>
            <w:r w:rsidRPr="009C01AE">
              <w:rPr>
                <w:rFonts w:ascii="Times New Roman" w:hAnsi="Times New Roman" w:cs="Times New Roman"/>
                <w:sz w:val="25"/>
                <w:szCs w:val="25"/>
              </w:rPr>
              <w:t>.§ 5.punktu ir sagatavoju</w:t>
            </w:r>
            <w:r w:rsidR="00C03D5B" w:rsidRPr="009C01AE">
              <w:rPr>
                <w:rFonts w:ascii="Times New Roman" w:hAnsi="Times New Roman" w:cs="Times New Roman"/>
                <w:sz w:val="25"/>
                <w:szCs w:val="25"/>
              </w:rPr>
              <w:t>si</w:t>
            </w:r>
            <w:r w:rsidRPr="009C01AE">
              <w:rPr>
                <w:rFonts w:ascii="Times New Roman" w:hAnsi="Times New Roman" w:cs="Times New Roman"/>
                <w:sz w:val="25"/>
                <w:szCs w:val="25"/>
              </w:rPr>
              <w:t xml:space="preserve"> Ministru kabineta noteikumu projektu „Grozījumi Ministru kabineta 2009.gada 17.jūnija noteikumos Nr.582 „Noteikumi par darbības programmas „Uzņēmējdarbība un inovācijas” papildinājuma 2.3.1.1.1.apakšaktivitātes „Ārējo tirgu apgūšana – ārējais mārketings” sesto un turpmākajām kārtām”” (turpmāk – MK noteikumu projekts).</w:t>
            </w:r>
          </w:p>
          <w:p w:rsidR="00A66AA5" w:rsidRPr="009C01AE" w:rsidRDefault="00A66AA5" w:rsidP="00A66AA5">
            <w:pPr>
              <w:pStyle w:val="ListParagraph"/>
              <w:spacing w:after="0"/>
              <w:ind w:left="0"/>
              <w:jc w:val="both"/>
              <w:rPr>
                <w:rFonts w:ascii="Times New Roman" w:hAnsi="Times New Roman" w:cs="Times New Roman"/>
                <w:sz w:val="25"/>
                <w:szCs w:val="25"/>
              </w:rPr>
            </w:pPr>
            <w:r w:rsidRPr="009C01AE">
              <w:rPr>
                <w:rFonts w:ascii="Times New Roman" w:hAnsi="Times New Roman" w:cs="Times New Roman"/>
                <w:sz w:val="25"/>
                <w:szCs w:val="25"/>
              </w:rPr>
              <w:tab/>
            </w:r>
            <w:r w:rsidR="00306789" w:rsidRPr="009C01AE">
              <w:rPr>
                <w:rFonts w:ascii="Times New Roman" w:hAnsi="Times New Roman" w:cs="Times New Roman"/>
                <w:sz w:val="25"/>
                <w:szCs w:val="25"/>
              </w:rPr>
              <w:t xml:space="preserve">Saskaņā ar augstāk minēto </w:t>
            </w:r>
            <w:proofErr w:type="spellStart"/>
            <w:r w:rsidR="00306789" w:rsidRPr="009C01AE">
              <w:rPr>
                <w:rFonts w:ascii="Times New Roman" w:hAnsi="Times New Roman" w:cs="Times New Roman"/>
                <w:sz w:val="25"/>
                <w:szCs w:val="25"/>
              </w:rPr>
              <w:t>protokollēmumu</w:t>
            </w:r>
            <w:proofErr w:type="spellEnd"/>
            <w:r w:rsidR="00306789" w:rsidRPr="009C01AE">
              <w:rPr>
                <w:rFonts w:ascii="Times New Roman" w:hAnsi="Times New Roman" w:cs="Times New Roman"/>
                <w:sz w:val="25"/>
                <w:szCs w:val="25"/>
              </w:rPr>
              <w:t xml:space="preserve"> </w:t>
            </w:r>
            <w:r w:rsidRPr="009C01AE">
              <w:rPr>
                <w:rFonts w:ascii="Times New Roman" w:hAnsi="Times New Roman" w:cs="Times New Roman"/>
                <w:sz w:val="25"/>
                <w:szCs w:val="25"/>
              </w:rPr>
              <w:t>MK noteikumu projekts paredz</w:t>
            </w:r>
            <w:r w:rsidR="00C03D5B" w:rsidRPr="009C01AE">
              <w:rPr>
                <w:rFonts w:ascii="Times New Roman" w:hAnsi="Times New Roman" w:cs="Times New Roman"/>
                <w:sz w:val="25"/>
                <w:szCs w:val="25"/>
              </w:rPr>
              <w:t xml:space="preserve"> Ministru kabineta 2009.gada 17.jūnija noteikumos Nr.582 „Noteikumi par darbības programmas „Uzņēmējdarbība un inovācijas” papildinājuma 2.3.1.1.1.apakšaktivitātes „Ārējo tirgu apgūšana – ārējais mārketings” sesto un turpmākajām kārtām” </w:t>
            </w:r>
            <w:r w:rsidR="00B3089F" w:rsidRPr="009C01AE">
              <w:rPr>
                <w:rFonts w:ascii="Times New Roman" w:hAnsi="Times New Roman" w:cs="Times New Roman"/>
                <w:sz w:val="25"/>
                <w:szCs w:val="25"/>
              </w:rPr>
              <w:t xml:space="preserve">(turpmāk – MK noteikumi Nr.582) </w:t>
            </w:r>
            <w:r w:rsidR="00C03D5B" w:rsidRPr="009C01AE">
              <w:rPr>
                <w:rFonts w:ascii="Times New Roman" w:hAnsi="Times New Roman" w:cs="Times New Roman"/>
                <w:sz w:val="25"/>
                <w:szCs w:val="25"/>
              </w:rPr>
              <w:t>šādus grozījumus</w:t>
            </w:r>
            <w:r w:rsidRPr="009C01AE">
              <w:rPr>
                <w:rFonts w:ascii="Times New Roman" w:hAnsi="Times New Roman" w:cs="Times New Roman"/>
                <w:sz w:val="25"/>
                <w:szCs w:val="25"/>
              </w:rPr>
              <w:t>:</w:t>
            </w:r>
          </w:p>
          <w:p w:rsidR="00306789" w:rsidRPr="009C01AE" w:rsidRDefault="00306789" w:rsidP="00306789">
            <w:pPr>
              <w:pStyle w:val="ListParagraph"/>
              <w:numPr>
                <w:ilvl w:val="0"/>
                <w:numId w:val="4"/>
              </w:numPr>
              <w:spacing w:after="0"/>
              <w:jc w:val="both"/>
              <w:rPr>
                <w:rFonts w:ascii="Times New Roman" w:hAnsi="Times New Roman" w:cs="Times New Roman"/>
                <w:sz w:val="25"/>
                <w:szCs w:val="25"/>
              </w:rPr>
            </w:pPr>
            <w:r w:rsidRPr="009C01AE">
              <w:rPr>
                <w:rFonts w:ascii="Times New Roman" w:hAnsi="Times New Roman" w:cs="Times New Roman"/>
                <w:sz w:val="25"/>
                <w:szCs w:val="25"/>
              </w:rPr>
              <w:t>papildināt ar jauniem</w:t>
            </w:r>
            <w:r w:rsidR="00C03D5B" w:rsidRPr="009C01AE">
              <w:rPr>
                <w:rFonts w:ascii="Times New Roman" w:hAnsi="Times New Roman" w:cs="Times New Roman"/>
                <w:sz w:val="25"/>
                <w:szCs w:val="25"/>
              </w:rPr>
              <w:t xml:space="preserve"> atbalsta finansējuma</w:t>
            </w:r>
            <w:r w:rsidRPr="009C01AE">
              <w:rPr>
                <w:rFonts w:ascii="Times New Roman" w:hAnsi="Times New Roman" w:cs="Times New Roman"/>
                <w:sz w:val="25"/>
                <w:szCs w:val="25"/>
              </w:rPr>
              <w:t xml:space="preserve"> saņēmējiem, kas darbojas NACE 2.red. A sadaļas „Lauksaimniecība, mežsaimniecība un zivsaimniecība” </w:t>
            </w:r>
            <w:r w:rsidRPr="009C01AE">
              <w:rPr>
                <w:rFonts w:ascii="Times New Roman" w:hAnsi="Times New Roman" w:cs="Times New Roman"/>
                <w:b/>
                <w:sz w:val="25"/>
                <w:szCs w:val="25"/>
              </w:rPr>
              <w:t>03.nodaļas „Zivsaimniecība”</w:t>
            </w:r>
            <w:r w:rsidRPr="009C01AE">
              <w:rPr>
                <w:rFonts w:ascii="Times New Roman" w:hAnsi="Times New Roman" w:cs="Times New Roman"/>
                <w:sz w:val="25"/>
                <w:szCs w:val="25"/>
              </w:rPr>
              <w:t xml:space="preserve"> </w:t>
            </w:r>
            <w:r w:rsidR="009E5A1C" w:rsidRPr="009C01AE">
              <w:rPr>
                <w:rFonts w:ascii="Times New Roman" w:hAnsi="Times New Roman" w:cs="Times New Roman"/>
                <w:sz w:val="25"/>
                <w:szCs w:val="25"/>
              </w:rPr>
              <w:t xml:space="preserve">(turpmāk – zivsaimniecība) </w:t>
            </w:r>
            <w:r w:rsidRPr="009C01AE">
              <w:rPr>
                <w:rFonts w:ascii="Times New Roman" w:hAnsi="Times New Roman" w:cs="Times New Roman"/>
                <w:b/>
                <w:sz w:val="25"/>
                <w:szCs w:val="25"/>
              </w:rPr>
              <w:t>nozarē</w:t>
            </w:r>
            <w:r w:rsidR="00C03D5B" w:rsidRPr="009C01AE">
              <w:rPr>
                <w:rFonts w:ascii="Times New Roman" w:hAnsi="Times New Roman" w:cs="Times New Roman"/>
                <w:sz w:val="25"/>
                <w:szCs w:val="25"/>
              </w:rPr>
              <w:t>;</w:t>
            </w:r>
          </w:p>
          <w:p w:rsidR="00913EC1" w:rsidRPr="009C01AE" w:rsidRDefault="00C03D5B" w:rsidP="00200149">
            <w:pPr>
              <w:pStyle w:val="ListParagraph"/>
              <w:numPr>
                <w:ilvl w:val="0"/>
                <w:numId w:val="4"/>
              </w:numPr>
              <w:spacing w:after="0"/>
              <w:jc w:val="both"/>
              <w:rPr>
                <w:rFonts w:ascii="Times New Roman" w:hAnsi="Times New Roman" w:cs="Times New Roman"/>
                <w:sz w:val="25"/>
                <w:szCs w:val="25"/>
              </w:rPr>
            </w:pPr>
            <w:r w:rsidRPr="009C01AE">
              <w:rPr>
                <w:rFonts w:ascii="Times New Roman" w:hAnsi="Times New Roman" w:cs="Times New Roman"/>
                <w:sz w:val="25"/>
                <w:szCs w:val="25"/>
              </w:rPr>
              <w:t>nosakot jaunu atbalsta intensitāti 90% apmērā</w:t>
            </w:r>
            <w:r w:rsidR="004F4A64" w:rsidRPr="009C01AE">
              <w:rPr>
                <w:rFonts w:ascii="Times New Roman" w:hAnsi="Times New Roman" w:cs="Times New Roman"/>
                <w:sz w:val="25"/>
                <w:szCs w:val="25"/>
              </w:rPr>
              <w:t xml:space="preserve"> dalībai starptautiskajās izstādēs un konferencēs (semināros), tirdzniecības misijās, </w:t>
            </w:r>
            <w:proofErr w:type="spellStart"/>
            <w:r w:rsidR="004F4A64" w:rsidRPr="009C01AE">
              <w:rPr>
                <w:rFonts w:ascii="Times New Roman" w:hAnsi="Times New Roman" w:cs="Times New Roman"/>
                <w:sz w:val="25"/>
                <w:szCs w:val="25"/>
              </w:rPr>
              <w:t>kontaktbiržās</w:t>
            </w:r>
            <w:proofErr w:type="spellEnd"/>
            <w:r w:rsidR="004F4A64" w:rsidRPr="009C01AE">
              <w:rPr>
                <w:rFonts w:ascii="Times New Roman" w:hAnsi="Times New Roman" w:cs="Times New Roman"/>
                <w:sz w:val="25"/>
                <w:szCs w:val="25"/>
              </w:rPr>
              <w:t xml:space="preserve"> ārvalstīs </w:t>
            </w:r>
            <w:r w:rsidR="00200149" w:rsidRPr="009C01AE">
              <w:rPr>
                <w:rFonts w:ascii="Times New Roman" w:hAnsi="Times New Roman" w:cs="Times New Roman"/>
                <w:sz w:val="25"/>
                <w:szCs w:val="25"/>
              </w:rPr>
              <w:t xml:space="preserve">atbalsta </w:t>
            </w:r>
            <w:r w:rsidR="00200149" w:rsidRPr="009C01AE">
              <w:rPr>
                <w:rFonts w:ascii="Times New Roman" w:hAnsi="Times New Roman" w:cs="Times New Roman"/>
                <w:sz w:val="25"/>
                <w:szCs w:val="25"/>
              </w:rPr>
              <w:lastRenderedPageBreak/>
              <w:t>pretendentiem, kuru darbība ir saistīta ar Krievijas Federācijas noteiktajam ierobežojumam pakļauto preču eksportu</w:t>
            </w:r>
            <w:r w:rsidR="004F4A64" w:rsidRPr="009C01AE">
              <w:rPr>
                <w:rFonts w:ascii="Times New Roman" w:hAnsi="Times New Roman" w:cs="Times New Roman"/>
                <w:sz w:val="25"/>
                <w:szCs w:val="25"/>
              </w:rPr>
              <w:t>.</w:t>
            </w:r>
          </w:p>
          <w:p w:rsidR="007C60F0" w:rsidRPr="009C01AE" w:rsidRDefault="007C60F0" w:rsidP="009C01AE">
            <w:pPr>
              <w:spacing w:after="0"/>
              <w:jc w:val="both"/>
              <w:rPr>
                <w:rFonts w:ascii="Times New Roman" w:hAnsi="Times New Roman" w:cs="Times New Roman"/>
                <w:sz w:val="25"/>
                <w:szCs w:val="25"/>
              </w:rPr>
            </w:pPr>
            <w:r w:rsidRPr="009C01AE">
              <w:rPr>
                <w:rFonts w:ascii="Times New Roman" w:hAnsi="Times New Roman" w:cs="Times New Roman"/>
                <w:sz w:val="25"/>
                <w:szCs w:val="25"/>
              </w:rPr>
              <w:t>Zemkopības ministrija ierosina papildināt to atbalsta pretendentu loku, kuriem būtu pieejama paaugstinātā atbalsta intensitāte (90% apmērā no attiecināmajām izmaksām) ar piena un gaļas pārstrādes nozarēm. Šīs nozares visbūtiskāk tika ietekmētas Krievijas Federācijas noteikto importa ierobežojumu rezultātā un vēl joprojām izjūt šo aizliegumu sekas.</w:t>
            </w:r>
          </w:p>
          <w:p w:rsidR="007C60F0" w:rsidRPr="009C01AE" w:rsidRDefault="007C60F0" w:rsidP="009C01AE">
            <w:pPr>
              <w:spacing w:after="0"/>
              <w:jc w:val="both"/>
              <w:rPr>
                <w:rFonts w:ascii="Times New Roman" w:hAnsi="Times New Roman" w:cs="Times New Roman"/>
                <w:sz w:val="25"/>
                <w:szCs w:val="25"/>
              </w:rPr>
            </w:pPr>
            <w:r w:rsidRPr="009C01AE">
              <w:rPr>
                <w:rFonts w:ascii="Times New Roman" w:hAnsi="Times New Roman" w:cs="Times New Roman"/>
                <w:sz w:val="25"/>
                <w:szCs w:val="25"/>
              </w:rPr>
              <w:t>Salīdzinot 2014.gada augustu – 2015. gada martu ar 2013. gada augustu – 2014. gada martu, piena produktu eksports dramatiski samazinājās ne tikai uz Krieviju, bet arī uz citām nozīmīgām Latvijas piena un piena produktu eksporta galamērķa valstīm.  Tajā pašā laikā, būtiski samazinājies piena produktu eksports arī uz citiem nozīmīgiem un tradicionāliem Latvijas eksporta galamērķa tirgiem - Lietuvu, Vāciju, Igauniju, Beļģiju. Kopumā uz šīm ES valstīm, kuras arī skāra Krievijas importa aizliegums, Latvijas eksports samazinājās par 43,61 milj. EUR.</w:t>
            </w:r>
          </w:p>
          <w:p w:rsidR="007C60F0" w:rsidRPr="009C01AE" w:rsidRDefault="007C60F0" w:rsidP="009C01AE">
            <w:pPr>
              <w:spacing w:after="0"/>
              <w:jc w:val="both"/>
              <w:rPr>
                <w:rFonts w:ascii="Times New Roman" w:hAnsi="Times New Roman" w:cs="Times New Roman"/>
                <w:sz w:val="25"/>
                <w:szCs w:val="25"/>
              </w:rPr>
            </w:pPr>
            <w:r w:rsidRPr="009C01AE">
              <w:rPr>
                <w:rFonts w:ascii="Times New Roman" w:hAnsi="Times New Roman" w:cs="Times New Roman"/>
                <w:sz w:val="25"/>
                <w:szCs w:val="25"/>
              </w:rPr>
              <w:t xml:space="preserve">Jaunu eksporta tirgu meklēšana un apgūšana nenorit tik ātri un sekmīgi kā būtu nepieciešams tirgus stabilitātes nodrošināšanai. Laika periodā 2014.gada augusts – 2015. gada marts Latvija uzsāka piena produktu uz vairākiem jauniem eksporta tirgiem, tomēr kopējā eksporta vērtība ir neliela – tikai 2,66 milj. EUR, kas veido tikai 2% no kopējās eksporta vērtības. </w:t>
            </w:r>
          </w:p>
          <w:p w:rsidR="007C60F0" w:rsidRPr="009C01AE" w:rsidRDefault="007C60F0" w:rsidP="009C01AE">
            <w:pPr>
              <w:spacing w:after="0"/>
              <w:jc w:val="both"/>
              <w:rPr>
                <w:rFonts w:ascii="Times New Roman" w:hAnsi="Times New Roman" w:cs="Times New Roman"/>
                <w:sz w:val="25"/>
                <w:szCs w:val="25"/>
              </w:rPr>
            </w:pPr>
            <w:r w:rsidRPr="009C01AE">
              <w:rPr>
                <w:rFonts w:ascii="Times New Roman" w:hAnsi="Times New Roman" w:cs="Times New Roman"/>
                <w:sz w:val="25"/>
                <w:szCs w:val="25"/>
              </w:rPr>
              <w:t>Arī gaļas izstrādājumu eksports piedzīvo būtisku eksporta samazinājumu, zaudējot ne tikai Krievijas tirgu, bet arī citus tradicionālos noieta tirgus. Salīdzinot 2014.gada augustu – 2015. gada martu ar 2013. gada augustu – 2014. gada martu, var redzēt, ka desu un tamlīdzīgu izstrādājumu eksports dramatiski samazinājās uz Krieviju (par 3,44 milj. EUR) kā arī uz citām šo produktu eksporta galamērķa tirgiem – Ungāriju, Igauniju, Lietuvu, Somiju, Turkmenistānu (kopējais eksporta samazinājums uz šīm valstīm ir 3,90 milj. EUR).</w:t>
            </w:r>
          </w:p>
          <w:p w:rsidR="007C60F0" w:rsidRPr="009C01AE" w:rsidRDefault="007C60F0" w:rsidP="007C60F0">
            <w:pPr>
              <w:pStyle w:val="ListParagraph"/>
              <w:spacing w:after="0"/>
              <w:ind w:left="0"/>
              <w:jc w:val="both"/>
              <w:rPr>
                <w:rFonts w:ascii="Times New Roman" w:hAnsi="Times New Roman" w:cs="Times New Roman"/>
                <w:sz w:val="25"/>
                <w:szCs w:val="25"/>
              </w:rPr>
            </w:pPr>
            <w:r w:rsidRPr="009C01AE">
              <w:rPr>
                <w:rFonts w:ascii="Times New Roman" w:hAnsi="Times New Roman" w:cs="Times New Roman"/>
                <w:sz w:val="25"/>
                <w:szCs w:val="25"/>
              </w:rPr>
              <w:t xml:space="preserve">Tādēļ papildus atbalsts ārējo tirgu sekmīgākai apgūšanai tiem atbalsta pretendentiem, kurus ir būtiski </w:t>
            </w:r>
            <w:proofErr w:type="spellStart"/>
            <w:r w:rsidRPr="009C01AE">
              <w:rPr>
                <w:rFonts w:ascii="Times New Roman" w:hAnsi="Times New Roman" w:cs="Times New Roman"/>
                <w:sz w:val="25"/>
                <w:szCs w:val="25"/>
              </w:rPr>
              <w:t>skāruši</w:t>
            </w:r>
            <w:proofErr w:type="spellEnd"/>
            <w:r w:rsidRPr="009C01AE">
              <w:rPr>
                <w:rFonts w:ascii="Times New Roman" w:hAnsi="Times New Roman" w:cs="Times New Roman"/>
                <w:sz w:val="25"/>
                <w:szCs w:val="25"/>
              </w:rPr>
              <w:t xml:space="preserve"> Krievijas Federācijas noteiktie importa aizliegumi šobrīd ir ļoti nozīmīgs.</w:t>
            </w:r>
          </w:p>
          <w:p w:rsidR="004F4A64" w:rsidRPr="009C01AE" w:rsidRDefault="00913EC1" w:rsidP="00913EC1">
            <w:pPr>
              <w:pStyle w:val="ListParagraph"/>
              <w:spacing w:after="0"/>
              <w:ind w:left="0"/>
              <w:jc w:val="both"/>
              <w:rPr>
                <w:rFonts w:ascii="Times New Roman" w:hAnsi="Times New Roman" w:cs="Times New Roman"/>
                <w:sz w:val="25"/>
                <w:szCs w:val="25"/>
              </w:rPr>
            </w:pPr>
            <w:r w:rsidRPr="009C01AE">
              <w:rPr>
                <w:rFonts w:ascii="Times New Roman" w:hAnsi="Times New Roman" w:cs="Times New Roman"/>
                <w:sz w:val="25"/>
                <w:szCs w:val="25"/>
              </w:rPr>
              <w:lastRenderedPageBreak/>
              <w:t>Papildus, augstāk minētie Ministru kabineta noteikumi tiek papildināti ar</w:t>
            </w:r>
            <w:r w:rsidR="00737C71" w:rsidRPr="009C01AE">
              <w:rPr>
                <w:rFonts w:ascii="Times New Roman" w:hAnsi="Times New Roman" w:cs="Times New Roman"/>
                <w:sz w:val="25"/>
                <w:szCs w:val="25"/>
              </w:rPr>
              <w:t xml:space="preserve"> Komisijas 2014. gada 27.jūnija  Regulas (ES) Nr. 717/2014 par Līguma par Eiropas Savienības darbību 107. un 108. panta piemērošanu </w:t>
            </w:r>
            <w:proofErr w:type="spellStart"/>
            <w:r w:rsidR="00737C71" w:rsidRPr="009C01AE">
              <w:rPr>
                <w:rFonts w:ascii="Times New Roman" w:hAnsi="Times New Roman" w:cs="Times New Roman"/>
                <w:i/>
                <w:sz w:val="25"/>
                <w:szCs w:val="25"/>
              </w:rPr>
              <w:t>de</w:t>
            </w:r>
            <w:proofErr w:type="spellEnd"/>
            <w:r w:rsidR="00737C71" w:rsidRPr="009C01AE">
              <w:rPr>
                <w:rFonts w:ascii="Times New Roman" w:hAnsi="Times New Roman" w:cs="Times New Roman"/>
                <w:i/>
                <w:sz w:val="25"/>
                <w:szCs w:val="25"/>
              </w:rPr>
              <w:t xml:space="preserve"> </w:t>
            </w:r>
            <w:proofErr w:type="spellStart"/>
            <w:r w:rsidR="00737C71" w:rsidRPr="009C01AE">
              <w:rPr>
                <w:rFonts w:ascii="Times New Roman" w:hAnsi="Times New Roman" w:cs="Times New Roman"/>
                <w:i/>
                <w:sz w:val="25"/>
                <w:szCs w:val="25"/>
              </w:rPr>
              <w:t>minimis</w:t>
            </w:r>
            <w:proofErr w:type="spellEnd"/>
            <w:r w:rsidR="00737C71" w:rsidRPr="009C01AE">
              <w:rPr>
                <w:rFonts w:ascii="Times New Roman" w:hAnsi="Times New Roman" w:cs="Times New Roman"/>
                <w:sz w:val="25"/>
                <w:szCs w:val="25"/>
              </w:rPr>
              <w:t xml:space="preserve"> atbalstam zvejniecības un akvakultūras nozarē (Eiropas Savienības Oficiālais Vēstnesis, 2014. gada 28. jūnijs, Nr. L 190) </w:t>
            </w:r>
            <w:r w:rsidR="007F35BD" w:rsidRPr="009C01AE">
              <w:rPr>
                <w:rFonts w:ascii="Times New Roman" w:hAnsi="Times New Roman" w:cs="Times New Roman"/>
                <w:sz w:val="25"/>
                <w:szCs w:val="25"/>
              </w:rPr>
              <w:t xml:space="preserve"> (turpmāk – Regula Nr.717/2014) </w:t>
            </w:r>
            <w:r w:rsidR="00851750" w:rsidRPr="009C01AE">
              <w:rPr>
                <w:rFonts w:ascii="Times New Roman" w:hAnsi="Times New Roman" w:cs="Times New Roman"/>
                <w:sz w:val="25"/>
                <w:szCs w:val="25"/>
              </w:rPr>
              <w:t xml:space="preserve">noteiktajiem </w:t>
            </w:r>
            <w:proofErr w:type="spellStart"/>
            <w:r w:rsidR="00851750" w:rsidRPr="009C01AE">
              <w:rPr>
                <w:rFonts w:ascii="Times New Roman" w:hAnsi="Times New Roman" w:cs="Times New Roman"/>
                <w:i/>
                <w:sz w:val="25"/>
                <w:szCs w:val="25"/>
              </w:rPr>
              <w:t>de</w:t>
            </w:r>
            <w:proofErr w:type="spellEnd"/>
            <w:r w:rsidR="00851750" w:rsidRPr="009C01AE">
              <w:rPr>
                <w:rFonts w:ascii="Times New Roman" w:hAnsi="Times New Roman" w:cs="Times New Roman"/>
                <w:i/>
                <w:sz w:val="25"/>
                <w:szCs w:val="25"/>
              </w:rPr>
              <w:t xml:space="preserve"> </w:t>
            </w:r>
            <w:proofErr w:type="spellStart"/>
            <w:r w:rsidR="00851750" w:rsidRPr="009C01AE">
              <w:rPr>
                <w:rFonts w:ascii="Times New Roman" w:hAnsi="Times New Roman" w:cs="Times New Roman"/>
                <w:i/>
                <w:sz w:val="25"/>
                <w:szCs w:val="25"/>
              </w:rPr>
              <w:t>minimis</w:t>
            </w:r>
            <w:proofErr w:type="spellEnd"/>
            <w:r w:rsidR="00851750" w:rsidRPr="009C01AE">
              <w:rPr>
                <w:rFonts w:ascii="Times New Roman" w:hAnsi="Times New Roman" w:cs="Times New Roman"/>
                <w:i/>
                <w:sz w:val="25"/>
                <w:szCs w:val="25"/>
              </w:rPr>
              <w:t xml:space="preserve"> </w:t>
            </w:r>
            <w:r w:rsidR="00851750" w:rsidRPr="009C01AE">
              <w:rPr>
                <w:rFonts w:ascii="Times New Roman" w:hAnsi="Times New Roman" w:cs="Times New Roman"/>
                <w:sz w:val="25"/>
                <w:szCs w:val="25"/>
              </w:rPr>
              <w:t xml:space="preserve">atbalsta </w:t>
            </w:r>
            <w:r w:rsidR="00737C71" w:rsidRPr="009C01AE">
              <w:rPr>
                <w:rFonts w:ascii="Times New Roman" w:hAnsi="Times New Roman" w:cs="Times New Roman"/>
                <w:sz w:val="25"/>
                <w:szCs w:val="25"/>
              </w:rPr>
              <w:t>nosacījumiem</w:t>
            </w:r>
            <w:r w:rsidRPr="009C01AE">
              <w:rPr>
                <w:rFonts w:ascii="Times New Roman" w:hAnsi="Times New Roman" w:cs="Times New Roman"/>
                <w:sz w:val="25"/>
                <w:szCs w:val="25"/>
              </w:rPr>
              <w:t xml:space="preserve"> zivsaimniecības un akvakultūras nozarē</w:t>
            </w:r>
            <w:r w:rsidR="00737C71" w:rsidRPr="009C01AE">
              <w:rPr>
                <w:rFonts w:ascii="Times New Roman" w:hAnsi="Times New Roman" w:cs="Times New Roman"/>
                <w:sz w:val="25"/>
                <w:szCs w:val="25"/>
              </w:rPr>
              <w:t>.</w:t>
            </w:r>
          </w:p>
          <w:p w:rsidR="00353BBC" w:rsidRPr="009C01AE" w:rsidRDefault="00353BBC" w:rsidP="00913EC1">
            <w:pPr>
              <w:pStyle w:val="ListParagraph"/>
              <w:spacing w:after="0"/>
              <w:ind w:left="0"/>
              <w:jc w:val="both"/>
              <w:rPr>
                <w:rFonts w:ascii="Times New Roman" w:hAnsi="Times New Roman" w:cs="Times New Roman"/>
                <w:sz w:val="25"/>
                <w:szCs w:val="25"/>
              </w:rPr>
            </w:pPr>
            <w:r w:rsidRPr="009C01AE">
              <w:rPr>
                <w:rFonts w:ascii="Times New Roman" w:hAnsi="Times New Roman" w:cs="Times New Roman"/>
                <w:sz w:val="25"/>
                <w:szCs w:val="25"/>
              </w:rPr>
              <w:t xml:space="preserve">Ja finansējuma saņēmējs vienlaicīgi darbojās </w:t>
            </w:r>
            <w:r w:rsidR="009E5A1C" w:rsidRPr="009C01AE">
              <w:rPr>
                <w:rFonts w:ascii="Times New Roman" w:hAnsi="Times New Roman" w:cs="Times New Roman"/>
                <w:sz w:val="25"/>
                <w:szCs w:val="25"/>
              </w:rPr>
              <w:t>zivsaimniecības nozarē</w:t>
            </w:r>
            <w:r w:rsidRPr="009C01AE">
              <w:rPr>
                <w:rFonts w:ascii="Times New Roman" w:hAnsi="Times New Roman" w:cs="Times New Roman"/>
                <w:sz w:val="25"/>
                <w:szCs w:val="25"/>
              </w:rPr>
              <w:t xml:space="preserve"> un NACE 2.red.. C sadaļas “Apstrādes rūpniecība” 10.2.nodaļas “Zivju, vēžveidīgo un mīkstmiešu pārstrāde un konservēšana” nozarē, tad</w:t>
            </w:r>
            <w:r w:rsidR="007F35BD" w:rsidRPr="009C01AE">
              <w:rPr>
                <w:rFonts w:ascii="Times New Roman" w:hAnsi="Times New Roman" w:cs="Times New Roman"/>
                <w:sz w:val="25"/>
                <w:szCs w:val="25"/>
              </w:rPr>
              <w:t xml:space="preserve"> atbalsts tiek piešķirts saskaņā ar Regulu Nr.717/2014, jo saskaņā ar Komisijas 2013. gada 18. decembra Regulas (ES) Nr. 1407/2013 par Līguma par Eiropas Savienības darbību 107. un 108. panta piemērošanu </w:t>
            </w:r>
            <w:proofErr w:type="spellStart"/>
            <w:r w:rsidR="007F35BD" w:rsidRPr="009C01AE">
              <w:rPr>
                <w:rFonts w:ascii="Times New Roman" w:hAnsi="Times New Roman" w:cs="Times New Roman"/>
                <w:i/>
                <w:sz w:val="25"/>
                <w:szCs w:val="25"/>
              </w:rPr>
              <w:t>de</w:t>
            </w:r>
            <w:proofErr w:type="spellEnd"/>
            <w:r w:rsidR="007F35BD" w:rsidRPr="009C01AE">
              <w:rPr>
                <w:rFonts w:ascii="Times New Roman" w:hAnsi="Times New Roman" w:cs="Times New Roman"/>
                <w:i/>
                <w:sz w:val="25"/>
                <w:szCs w:val="25"/>
              </w:rPr>
              <w:t xml:space="preserve"> </w:t>
            </w:r>
            <w:proofErr w:type="spellStart"/>
            <w:r w:rsidR="007F35BD" w:rsidRPr="009C01AE">
              <w:rPr>
                <w:rFonts w:ascii="Times New Roman" w:hAnsi="Times New Roman" w:cs="Times New Roman"/>
                <w:i/>
                <w:sz w:val="25"/>
                <w:szCs w:val="25"/>
              </w:rPr>
              <w:t>minimis</w:t>
            </w:r>
            <w:proofErr w:type="spellEnd"/>
            <w:r w:rsidR="007F35BD" w:rsidRPr="009C01AE">
              <w:rPr>
                <w:rFonts w:ascii="Times New Roman" w:hAnsi="Times New Roman" w:cs="Times New Roman"/>
                <w:sz w:val="25"/>
                <w:szCs w:val="25"/>
              </w:rPr>
              <w:t xml:space="preserve"> atbalstam (Eiropas Savienības Oficiālais Vēstnesis, 2013. gada 24. decembris, Nr. L 352) (turpmāk – Regula Nr. 1407/2013) 1.panta 1.punktu, šie finansējuma saņēmēji nevar saņemt atbalstu saskaņā ar Regulu Nr.1407/2013.</w:t>
            </w:r>
          </w:p>
          <w:p w:rsidR="007F35BD" w:rsidRPr="009C01AE" w:rsidRDefault="007F35BD" w:rsidP="00913EC1">
            <w:pPr>
              <w:pStyle w:val="ListParagraph"/>
              <w:spacing w:after="0"/>
              <w:ind w:left="0"/>
              <w:jc w:val="both"/>
              <w:rPr>
                <w:rFonts w:ascii="Times New Roman" w:hAnsi="Times New Roman" w:cs="Times New Roman"/>
                <w:sz w:val="25"/>
                <w:szCs w:val="25"/>
              </w:rPr>
            </w:pPr>
            <w:proofErr w:type="spellStart"/>
            <w:r w:rsidRPr="009C01AE">
              <w:rPr>
                <w:rFonts w:ascii="Times New Roman" w:hAnsi="Times New Roman" w:cs="Times New Roman"/>
                <w:sz w:val="25"/>
                <w:szCs w:val="25"/>
              </w:rPr>
              <w:t>Jaņem</w:t>
            </w:r>
            <w:proofErr w:type="spellEnd"/>
            <w:r w:rsidRPr="009C01AE">
              <w:rPr>
                <w:rFonts w:ascii="Times New Roman" w:hAnsi="Times New Roman" w:cs="Times New Roman"/>
                <w:sz w:val="25"/>
                <w:szCs w:val="25"/>
              </w:rPr>
              <w:t xml:space="preserve"> vērā, ka </w:t>
            </w:r>
            <w:r w:rsidR="009E5A1C" w:rsidRPr="009C01AE">
              <w:rPr>
                <w:rFonts w:ascii="Times New Roman" w:hAnsi="Times New Roman" w:cs="Times New Roman"/>
                <w:sz w:val="25"/>
                <w:szCs w:val="25"/>
              </w:rPr>
              <w:t xml:space="preserve">zivsaimniecības nozarē var </w:t>
            </w:r>
            <w:proofErr w:type="spellStart"/>
            <w:r w:rsidR="009E5A1C" w:rsidRPr="009C01AE">
              <w:rPr>
                <w:rFonts w:ascii="Times New Roman" w:hAnsi="Times New Roman" w:cs="Times New Roman"/>
                <w:sz w:val="25"/>
                <w:szCs w:val="25"/>
              </w:rPr>
              <w:t>darbotie</w:t>
            </w:r>
            <w:proofErr w:type="spellEnd"/>
            <w:r w:rsidR="009E5A1C" w:rsidRPr="009C01AE">
              <w:rPr>
                <w:rFonts w:ascii="Times New Roman" w:hAnsi="Times New Roman" w:cs="Times New Roman"/>
                <w:sz w:val="25"/>
                <w:szCs w:val="25"/>
              </w:rPr>
              <w:t xml:space="preserve"> ne tikai zvejnieku saimniecības, bet arī zemnieku saimniecības, komersanti u.c.</w:t>
            </w:r>
            <w:r w:rsidR="00613344" w:rsidRPr="009C01AE">
              <w:rPr>
                <w:rFonts w:ascii="Times New Roman" w:hAnsi="Times New Roman" w:cs="Times New Roman"/>
                <w:sz w:val="25"/>
                <w:szCs w:val="25"/>
              </w:rPr>
              <w:t xml:space="preserve"> Tāpat zvejnieku un zemnieku saimniecības var darboties ne NACE 2.red. A sadaļas “Lauksaimniecība, mežsaimniecība un zivsaimniecība” nozarēs, bet arī, piem</w:t>
            </w:r>
            <w:r w:rsidR="002368BC" w:rsidRPr="009C01AE">
              <w:rPr>
                <w:rFonts w:ascii="Times New Roman" w:hAnsi="Times New Roman" w:cs="Times New Roman"/>
                <w:sz w:val="25"/>
                <w:szCs w:val="25"/>
              </w:rPr>
              <w:t>ēram, NACE 2.red. C sad</w:t>
            </w:r>
            <w:r w:rsidR="00935128" w:rsidRPr="009C01AE">
              <w:rPr>
                <w:rFonts w:ascii="Times New Roman" w:hAnsi="Times New Roman" w:cs="Times New Roman"/>
                <w:sz w:val="25"/>
                <w:szCs w:val="25"/>
              </w:rPr>
              <w:t>a</w:t>
            </w:r>
            <w:r w:rsidR="002368BC" w:rsidRPr="009C01AE">
              <w:rPr>
                <w:rFonts w:ascii="Times New Roman" w:hAnsi="Times New Roman" w:cs="Times New Roman"/>
                <w:sz w:val="25"/>
                <w:szCs w:val="25"/>
              </w:rPr>
              <w:t>ļas “Apstrādes rūpniecība” nozarēs. Tādēļ MK noteikumu projektā netiek noteikts pieejamais atbalsts atkarībā no uzņēmējdarbības juridiskās formas.</w:t>
            </w:r>
          </w:p>
          <w:p w:rsidR="001C21E7" w:rsidRPr="009C01AE" w:rsidRDefault="001C21E7" w:rsidP="00913EC1">
            <w:pPr>
              <w:pStyle w:val="ListParagraph"/>
              <w:spacing w:after="0"/>
              <w:ind w:left="0"/>
              <w:jc w:val="both"/>
              <w:rPr>
                <w:rFonts w:ascii="Times New Roman" w:hAnsi="Times New Roman" w:cs="Times New Roman"/>
                <w:bCs/>
                <w:sz w:val="25"/>
                <w:szCs w:val="25"/>
              </w:rPr>
            </w:pPr>
            <w:r w:rsidRPr="009C01AE">
              <w:rPr>
                <w:rFonts w:ascii="Times New Roman" w:hAnsi="Times New Roman" w:cs="Times New Roman"/>
                <w:bCs/>
                <w:sz w:val="25"/>
                <w:szCs w:val="25"/>
              </w:rPr>
              <w:t xml:space="preserve">Biedrības, kuru biedru komercdarbības joma ir zvejniecība, akvakultūra vai zivju, vēžveidīgo un mīkstmiešu pārstrāde un konservēšana, kā arī pašvaldības var saņemt finansējumu tām pašām atbalstāmajām darbībām arī Rīcības programmas Eiropas Zivsaimniecības fonda atbalsta ieviešanai Latvijā 2007.–2013.gadam   3.prioritārā virziena „Kopējās ieinteresētības pasākumi” 4.pasākuma “Jaunu noieta tirgu sekmēšana un reklāmas kampaņas” (turpmāk – 4.pasākums) ietvaros, taču šajā pasākumā projektu iesniegšana noslēdzās 2015.gada 20.martā. Līdz ar to pašlaik zivsaimniecības nozares pārstāvji nevarēs pieteikties finansējumam </w:t>
            </w:r>
            <w:r w:rsidRPr="009C01AE">
              <w:rPr>
                <w:rFonts w:ascii="Times New Roman" w:hAnsi="Times New Roman" w:cs="Times New Roman"/>
                <w:bCs/>
                <w:sz w:val="25"/>
                <w:szCs w:val="25"/>
              </w:rPr>
              <w:lastRenderedPageBreak/>
              <w:t>4.pasākuma ietvaros tām pašām atbalstāmajām darbībām, kuras paredzētas 2.3.1.1.1.apakšaktivitātes ietvaros.</w:t>
            </w:r>
          </w:p>
          <w:p w:rsidR="005704F3" w:rsidRPr="009C01AE" w:rsidRDefault="00C36E6C" w:rsidP="00554D34">
            <w:pPr>
              <w:pStyle w:val="ListParagraph"/>
              <w:spacing w:after="0"/>
              <w:ind w:left="0"/>
              <w:jc w:val="both"/>
              <w:rPr>
                <w:rFonts w:ascii="Times New Roman" w:hAnsi="Times New Roman" w:cs="Times New Roman"/>
                <w:bCs/>
                <w:sz w:val="25"/>
                <w:szCs w:val="25"/>
              </w:rPr>
            </w:pPr>
            <w:r w:rsidRPr="009C01AE">
              <w:rPr>
                <w:rFonts w:ascii="Times New Roman" w:hAnsi="Times New Roman" w:cs="Times New Roman"/>
                <w:bCs/>
                <w:sz w:val="25"/>
                <w:szCs w:val="25"/>
              </w:rPr>
              <w:t xml:space="preserve">Līdz ar to, ja netiek apstiprināti MK noteikumu projekts zivsaimniecības nozares pārstāvjiem nebūs pieejamas atbalsta programmas ieiešanai jaunos eksporta tirgos. </w:t>
            </w:r>
            <w:r w:rsidR="00A676A1" w:rsidRPr="009C01AE">
              <w:rPr>
                <w:rFonts w:ascii="Times New Roman" w:hAnsi="Times New Roman" w:cs="Times New Roman"/>
                <w:bCs/>
                <w:sz w:val="25"/>
                <w:szCs w:val="25"/>
              </w:rPr>
              <w:t xml:space="preserve">Pēc Krievijas aizlieguma </w:t>
            </w:r>
            <w:r w:rsidR="00A676A1" w:rsidRPr="009C01AE">
              <w:rPr>
                <w:rFonts w:ascii="Times New Roman" w:hAnsi="Times New Roman" w:cs="Times New Roman"/>
                <w:sz w:val="25"/>
                <w:szCs w:val="25"/>
              </w:rPr>
              <w:t xml:space="preserve">zivju produktu importam no Latvijas noteikšanas </w:t>
            </w:r>
            <w:r w:rsidR="00554D34" w:rsidRPr="009C01AE">
              <w:rPr>
                <w:rFonts w:ascii="Times New Roman" w:hAnsi="Times New Roman" w:cs="Times New Roman"/>
                <w:sz w:val="25"/>
                <w:szCs w:val="25"/>
              </w:rPr>
              <w:t>daudziem</w:t>
            </w:r>
            <w:r w:rsidRPr="009C01AE">
              <w:rPr>
                <w:rFonts w:ascii="Times New Roman" w:hAnsi="Times New Roman" w:cs="Times New Roman"/>
                <w:bCs/>
                <w:sz w:val="25"/>
                <w:szCs w:val="25"/>
              </w:rPr>
              <w:t xml:space="preserve"> nozares </w:t>
            </w:r>
            <w:r w:rsidR="00554D34" w:rsidRPr="009C01AE">
              <w:rPr>
                <w:rFonts w:ascii="Times New Roman" w:hAnsi="Times New Roman" w:cs="Times New Roman"/>
                <w:bCs/>
                <w:sz w:val="25"/>
                <w:szCs w:val="25"/>
              </w:rPr>
              <w:t>komersantiem un uzņēmumiem</w:t>
            </w:r>
            <w:r w:rsidRPr="009C01AE">
              <w:rPr>
                <w:rFonts w:ascii="Times New Roman" w:hAnsi="Times New Roman" w:cs="Times New Roman"/>
                <w:bCs/>
                <w:sz w:val="25"/>
                <w:szCs w:val="25"/>
              </w:rPr>
              <w:t xml:space="preserve"> jaunu eksporta tirgu apgūšana ir vienīgā iespēja turpināt darbību, jo saražotās produkcijas apjoma samazināšanas gadījumā </w:t>
            </w:r>
            <w:r w:rsidR="00554D34" w:rsidRPr="009C01AE">
              <w:rPr>
                <w:rFonts w:ascii="Times New Roman" w:hAnsi="Times New Roman" w:cs="Times New Roman"/>
                <w:bCs/>
                <w:sz w:val="25"/>
                <w:szCs w:val="25"/>
              </w:rPr>
              <w:t>tie</w:t>
            </w:r>
            <w:r w:rsidRPr="009C01AE">
              <w:rPr>
                <w:rFonts w:ascii="Times New Roman" w:hAnsi="Times New Roman" w:cs="Times New Roman"/>
                <w:bCs/>
                <w:sz w:val="25"/>
                <w:szCs w:val="25"/>
              </w:rPr>
              <w:t xml:space="preserve"> kļūs nerentabli. Jāatzīmē, ka šādā gadījumā cietīs gan zvejnieku saimniecības, gan </w:t>
            </w:r>
            <w:r w:rsidR="00554D34" w:rsidRPr="009C01AE">
              <w:rPr>
                <w:rFonts w:ascii="Times New Roman" w:hAnsi="Times New Roman" w:cs="Times New Roman"/>
                <w:bCs/>
                <w:sz w:val="25"/>
                <w:szCs w:val="25"/>
              </w:rPr>
              <w:t>komersanti</w:t>
            </w:r>
            <w:r w:rsidRPr="009C01AE">
              <w:rPr>
                <w:rFonts w:ascii="Times New Roman" w:hAnsi="Times New Roman" w:cs="Times New Roman"/>
                <w:bCs/>
                <w:sz w:val="25"/>
                <w:szCs w:val="25"/>
              </w:rPr>
              <w:t>, kas pārstrādā sazvejoto produk</w:t>
            </w:r>
            <w:r w:rsidR="00C95975" w:rsidRPr="009C01AE">
              <w:rPr>
                <w:rFonts w:ascii="Times New Roman" w:hAnsi="Times New Roman" w:cs="Times New Roman"/>
                <w:bCs/>
                <w:sz w:val="25"/>
                <w:szCs w:val="25"/>
              </w:rPr>
              <w:t xml:space="preserve">ciju, gan saistītie iepakošanas, loģistikas u.c. </w:t>
            </w:r>
            <w:r w:rsidR="00554D34" w:rsidRPr="009C01AE">
              <w:rPr>
                <w:rFonts w:ascii="Times New Roman" w:hAnsi="Times New Roman" w:cs="Times New Roman"/>
                <w:bCs/>
                <w:sz w:val="25"/>
                <w:szCs w:val="25"/>
              </w:rPr>
              <w:t>komersanti</w:t>
            </w:r>
            <w:r w:rsidR="00C95975" w:rsidRPr="009C01AE">
              <w:rPr>
                <w:rFonts w:ascii="Times New Roman" w:hAnsi="Times New Roman" w:cs="Times New Roman"/>
                <w:bCs/>
                <w:sz w:val="25"/>
                <w:szCs w:val="25"/>
              </w:rPr>
              <w:t>.</w:t>
            </w:r>
          </w:p>
          <w:p w:rsidR="00545814" w:rsidRPr="009C01AE" w:rsidRDefault="00B60C24" w:rsidP="009C01AE">
            <w:pPr>
              <w:spacing w:after="0"/>
              <w:jc w:val="both"/>
              <w:rPr>
                <w:rFonts w:ascii="Times New Roman" w:hAnsi="Times New Roman" w:cs="Times New Roman"/>
                <w:bCs/>
                <w:sz w:val="25"/>
                <w:szCs w:val="25"/>
              </w:rPr>
            </w:pPr>
            <w:r w:rsidRPr="009C01AE">
              <w:rPr>
                <w:rFonts w:ascii="Times New Roman" w:hAnsi="Times New Roman" w:cs="Times New Roman"/>
                <w:bCs/>
                <w:sz w:val="25"/>
                <w:szCs w:val="25"/>
              </w:rPr>
              <w:t>T</w:t>
            </w:r>
            <w:r w:rsidR="005704F3" w:rsidRPr="009C01AE">
              <w:rPr>
                <w:rFonts w:ascii="Times New Roman" w:hAnsi="Times New Roman" w:cs="Times New Roman"/>
                <w:bCs/>
                <w:sz w:val="25"/>
                <w:szCs w:val="25"/>
              </w:rPr>
              <w:t>iks nodro</w:t>
            </w:r>
            <w:r w:rsidRPr="009C01AE">
              <w:rPr>
                <w:rFonts w:ascii="Times New Roman" w:hAnsi="Times New Roman" w:cs="Times New Roman"/>
                <w:bCs/>
                <w:sz w:val="25"/>
                <w:szCs w:val="25"/>
              </w:rPr>
              <w:t xml:space="preserve">šināta </w:t>
            </w:r>
            <w:r w:rsidR="005704F3" w:rsidRPr="009C01AE">
              <w:rPr>
                <w:rFonts w:ascii="Times New Roman" w:hAnsi="Times New Roman" w:cs="Times New Roman"/>
                <w:bCs/>
                <w:sz w:val="25"/>
                <w:szCs w:val="25"/>
              </w:rPr>
              <w:t>demarkācija pēc finansējuma saņēmēja</w:t>
            </w:r>
            <w:r w:rsidR="008D782D" w:rsidRPr="009C01AE">
              <w:rPr>
                <w:rFonts w:ascii="Times New Roman" w:hAnsi="Times New Roman" w:cs="Times New Roman"/>
                <w:bCs/>
                <w:sz w:val="25"/>
                <w:szCs w:val="25"/>
              </w:rPr>
              <w:t xml:space="preserve"> un vieni un tie paši finansējuma saņēmēji nevarēs </w:t>
            </w:r>
            <w:r w:rsidR="00545814" w:rsidRPr="009C01AE">
              <w:rPr>
                <w:rFonts w:ascii="Times New Roman" w:hAnsi="Times New Roman" w:cs="Times New Roman"/>
                <w:bCs/>
                <w:sz w:val="25"/>
                <w:szCs w:val="25"/>
              </w:rPr>
              <w:t xml:space="preserve">vienlaicīgi </w:t>
            </w:r>
            <w:r w:rsidR="008D782D" w:rsidRPr="009C01AE">
              <w:rPr>
                <w:rFonts w:ascii="Times New Roman" w:hAnsi="Times New Roman" w:cs="Times New Roman"/>
                <w:bCs/>
                <w:sz w:val="25"/>
                <w:szCs w:val="25"/>
              </w:rPr>
              <w:t xml:space="preserve">pieteikties </w:t>
            </w:r>
            <w:r w:rsidR="00545814" w:rsidRPr="009C01AE">
              <w:rPr>
                <w:rFonts w:ascii="Times New Roman" w:hAnsi="Times New Roman" w:cs="Times New Roman"/>
                <w:bCs/>
                <w:sz w:val="25"/>
                <w:szCs w:val="25"/>
              </w:rPr>
              <w:t xml:space="preserve">finansējumam 2.3.1.1.1. </w:t>
            </w:r>
            <w:proofErr w:type="spellStart"/>
            <w:r w:rsidR="00545814" w:rsidRPr="009C01AE">
              <w:rPr>
                <w:rFonts w:ascii="Times New Roman" w:hAnsi="Times New Roman" w:cs="Times New Roman"/>
                <w:bCs/>
                <w:sz w:val="25"/>
                <w:szCs w:val="25"/>
              </w:rPr>
              <w:t>apakšaktivitātes</w:t>
            </w:r>
            <w:proofErr w:type="spellEnd"/>
            <w:r w:rsidR="00545814" w:rsidRPr="009C01AE">
              <w:rPr>
                <w:rFonts w:ascii="Times New Roman" w:hAnsi="Times New Roman" w:cs="Times New Roman"/>
                <w:bCs/>
                <w:sz w:val="25"/>
                <w:szCs w:val="25"/>
              </w:rPr>
              <w:t xml:space="preserve"> ietvaros un</w:t>
            </w:r>
            <w:r w:rsidR="006E3E76" w:rsidRPr="009C01AE">
              <w:rPr>
                <w:rFonts w:ascii="Times New Roman" w:hAnsi="Times New Roman" w:cs="Times New Roman"/>
                <w:bCs/>
                <w:sz w:val="25"/>
                <w:szCs w:val="25"/>
              </w:rPr>
              <w:t xml:space="preserve"> </w:t>
            </w:r>
            <w:r w:rsidR="00545814" w:rsidRPr="009C01AE">
              <w:rPr>
                <w:rFonts w:ascii="Times New Roman" w:hAnsi="Times New Roman" w:cs="Times New Roman"/>
                <w:bCs/>
                <w:sz w:val="25"/>
                <w:szCs w:val="25"/>
              </w:rPr>
              <w:t>Rīcības programmas Eiropas Zivsaimniecības fonda atbalsta ieviešanai Latvijā 2007.–2013.gadam   3.prioritārā virziena „Kopējās ieinteresētības pasākumi” 4.pasākuma “Jaunu noieta tirgu sekmēšan</w:t>
            </w:r>
            <w:r w:rsidR="006E3E76" w:rsidRPr="009C01AE">
              <w:rPr>
                <w:rFonts w:ascii="Times New Roman" w:hAnsi="Times New Roman" w:cs="Times New Roman"/>
                <w:bCs/>
                <w:sz w:val="25"/>
                <w:szCs w:val="25"/>
              </w:rPr>
              <w:t>a un reklāmas kampaņas” ietvaros.</w:t>
            </w:r>
          </w:p>
          <w:p w:rsidR="00EC38F4" w:rsidRPr="009C01AE" w:rsidRDefault="00EC38F4">
            <w:pPr>
              <w:pStyle w:val="ListParagraph"/>
              <w:spacing w:after="0"/>
              <w:ind w:left="0"/>
              <w:jc w:val="both"/>
              <w:rPr>
                <w:rFonts w:ascii="Times New Roman" w:hAnsi="Times New Roman" w:cs="Times New Roman"/>
                <w:sz w:val="25"/>
                <w:szCs w:val="25"/>
              </w:rPr>
            </w:pPr>
            <w:r w:rsidRPr="009C01AE">
              <w:rPr>
                <w:rFonts w:ascii="Times New Roman" w:hAnsi="Times New Roman" w:cs="Times New Roman"/>
                <w:bCs/>
                <w:sz w:val="25"/>
                <w:szCs w:val="25"/>
              </w:rPr>
              <w:t>Papildus</w:t>
            </w:r>
            <w:r w:rsidR="00670391" w:rsidRPr="009C01AE">
              <w:rPr>
                <w:rFonts w:ascii="Times New Roman" w:hAnsi="Times New Roman" w:cs="Times New Roman"/>
                <w:bCs/>
                <w:sz w:val="25"/>
                <w:szCs w:val="25"/>
              </w:rPr>
              <w:t xml:space="preserve"> norādām, ka ir iespējami gadījumi, kad jau iesniegti un apstiprināti projekti tiek atsaukti, ja tie atbilst </w:t>
            </w:r>
            <w:r w:rsidR="00B3089F" w:rsidRPr="009C01AE">
              <w:rPr>
                <w:rFonts w:ascii="Times New Roman" w:hAnsi="Times New Roman" w:cs="Times New Roman"/>
                <w:bCs/>
                <w:sz w:val="25"/>
                <w:szCs w:val="25"/>
              </w:rPr>
              <w:t xml:space="preserve">MK noteikumu Nr.582 </w:t>
            </w:r>
            <w:r w:rsidR="00670391" w:rsidRPr="009C01AE">
              <w:rPr>
                <w:rFonts w:ascii="Times New Roman" w:hAnsi="Times New Roman" w:cs="Times New Roman"/>
                <w:bCs/>
                <w:sz w:val="25"/>
                <w:szCs w:val="25"/>
              </w:rPr>
              <w:t>23.1.apakšpunktā minētajiem nosacījumiem 90% finansējuma intensitātes saņemšanai</w:t>
            </w:r>
            <w:r w:rsidR="00E47795" w:rsidRPr="009C01AE">
              <w:rPr>
                <w:rFonts w:ascii="Times New Roman" w:hAnsi="Times New Roman" w:cs="Times New Roman"/>
                <w:bCs/>
                <w:sz w:val="25"/>
                <w:szCs w:val="25"/>
              </w:rPr>
              <w:t>. Lai nepalielinātu birokrātisko slogu projektu iesniedzējiem un vērtējamo projektu apjomu sadarbības iestādei, jāatļauj</w:t>
            </w:r>
            <w:r w:rsidR="00670391" w:rsidRPr="009C01AE">
              <w:rPr>
                <w:rFonts w:ascii="Times New Roman" w:hAnsi="Times New Roman" w:cs="Times New Roman"/>
                <w:bCs/>
                <w:sz w:val="25"/>
                <w:szCs w:val="25"/>
              </w:rPr>
              <w:t xml:space="preserve"> Latvijas Investīciju un attīstības aģentūra</w:t>
            </w:r>
            <w:r w:rsidR="00E47795" w:rsidRPr="009C01AE">
              <w:rPr>
                <w:rFonts w:ascii="Times New Roman" w:hAnsi="Times New Roman" w:cs="Times New Roman"/>
                <w:bCs/>
                <w:sz w:val="25"/>
                <w:szCs w:val="25"/>
              </w:rPr>
              <w:t>i,</w:t>
            </w:r>
            <w:r w:rsidR="00670391" w:rsidRPr="009C01AE">
              <w:rPr>
                <w:rFonts w:ascii="Times New Roman" w:hAnsi="Times New Roman" w:cs="Times New Roman"/>
                <w:bCs/>
                <w:sz w:val="25"/>
                <w:szCs w:val="25"/>
              </w:rPr>
              <w:t xml:space="preserve"> lemjot par atbalstu</w:t>
            </w:r>
            <w:r w:rsidR="00E47795" w:rsidRPr="009C01AE">
              <w:rPr>
                <w:rFonts w:ascii="Times New Roman" w:hAnsi="Times New Roman" w:cs="Times New Roman"/>
                <w:bCs/>
                <w:sz w:val="25"/>
                <w:szCs w:val="25"/>
              </w:rPr>
              <w:t xml:space="preserve"> no šī noteikumu projekta spēkā stāšanās datuma,</w:t>
            </w:r>
            <w:r w:rsidR="00670391" w:rsidRPr="009C01AE">
              <w:rPr>
                <w:rFonts w:ascii="Times New Roman" w:hAnsi="Times New Roman" w:cs="Times New Roman"/>
                <w:bCs/>
                <w:sz w:val="25"/>
                <w:szCs w:val="25"/>
              </w:rPr>
              <w:t xml:space="preserve"> piemērot</w:t>
            </w:r>
            <w:r w:rsidRPr="009C01AE">
              <w:rPr>
                <w:rFonts w:ascii="Times New Roman" w:hAnsi="Times New Roman" w:cs="Times New Roman"/>
                <w:bCs/>
                <w:sz w:val="25"/>
                <w:szCs w:val="25"/>
              </w:rPr>
              <w:t xml:space="preserve"> </w:t>
            </w:r>
            <w:r w:rsidR="00670391" w:rsidRPr="009C01AE">
              <w:rPr>
                <w:rFonts w:ascii="Times New Roman" w:hAnsi="Times New Roman" w:cs="Times New Roman"/>
                <w:bCs/>
                <w:sz w:val="25"/>
                <w:szCs w:val="25"/>
              </w:rPr>
              <w:t>23.1.apakšpunktā minēto 90% intensitāti arī projektiem, kuri iesniegti pirms šī noteikumu projekta stā</w:t>
            </w:r>
            <w:r w:rsidR="000746F4" w:rsidRPr="009C01AE">
              <w:rPr>
                <w:rFonts w:ascii="Times New Roman" w:hAnsi="Times New Roman" w:cs="Times New Roman"/>
                <w:bCs/>
                <w:sz w:val="25"/>
                <w:szCs w:val="25"/>
              </w:rPr>
              <w:t xml:space="preserve">šanas spēkā datuma. Līdz ar ko, šie grozījumi attieksies uz </w:t>
            </w:r>
            <w:r w:rsidR="008D782D" w:rsidRPr="009C01AE">
              <w:rPr>
                <w:rFonts w:ascii="Times New Roman" w:hAnsi="Times New Roman" w:cs="Times New Roman"/>
                <w:bCs/>
                <w:sz w:val="25"/>
                <w:szCs w:val="25"/>
              </w:rPr>
              <w:t>77.</w:t>
            </w:r>
            <w:r w:rsidR="000746F4" w:rsidRPr="009C01AE">
              <w:rPr>
                <w:rFonts w:ascii="Times New Roman" w:hAnsi="Times New Roman" w:cs="Times New Roman"/>
                <w:bCs/>
                <w:sz w:val="25"/>
                <w:szCs w:val="25"/>
              </w:rPr>
              <w:t xml:space="preserve"> </w:t>
            </w:r>
            <w:r w:rsidR="009750C4" w:rsidRPr="009C01AE">
              <w:rPr>
                <w:rFonts w:ascii="Times New Roman" w:hAnsi="Times New Roman" w:cs="Times New Roman"/>
                <w:bCs/>
                <w:sz w:val="25"/>
                <w:szCs w:val="25"/>
              </w:rPr>
              <w:t xml:space="preserve">(projektu iesniegšana kārtas ietvaros norisinās līdz 2015.gada 31.jūlijam) </w:t>
            </w:r>
            <w:r w:rsidR="000746F4" w:rsidRPr="009C01AE">
              <w:rPr>
                <w:rFonts w:ascii="Times New Roman" w:hAnsi="Times New Roman" w:cs="Times New Roman"/>
                <w:bCs/>
                <w:sz w:val="25"/>
                <w:szCs w:val="25"/>
              </w:rPr>
              <w:t>un turpmākajām atlases kārtām un tiks nodrošināts tiesiskās paļāvības princips un vienlīdzības princips.</w:t>
            </w:r>
            <w:r w:rsidR="009750C4" w:rsidRPr="009C01AE">
              <w:rPr>
                <w:rFonts w:ascii="Times New Roman" w:hAnsi="Times New Roman" w:cs="Times New Roman"/>
                <w:bCs/>
                <w:sz w:val="25"/>
                <w:szCs w:val="25"/>
              </w:rPr>
              <w:t xml:space="preserve"> Uz šo MK noteikumu projekta izstrādes brīdi nav uzsākta lēmumu pieņemšana minētās kārtas ietvaros.</w:t>
            </w:r>
          </w:p>
        </w:tc>
      </w:tr>
      <w:tr w:rsidR="00810A68" w:rsidRPr="009C01AE" w:rsidTr="00F22871">
        <w:trPr>
          <w:trHeight w:val="360"/>
        </w:trPr>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lastRenderedPageBreak/>
              <w:t>3. Projekta izstrādē iesaistītās institūcijas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jc w:val="both"/>
              <w:rPr>
                <w:rFonts w:ascii="Times New Roman" w:eastAsia="Calibri" w:hAnsi="Times New Roman" w:cs="Times New Roman"/>
                <w:color w:val="000000"/>
                <w:sz w:val="25"/>
                <w:szCs w:val="25"/>
              </w:rPr>
            </w:pPr>
            <w:r w:rsidRPr="009C01AE">
              <w:rPr>
                <w:rFonts w:ascii="Times New Roman" w:eastAsia="Calibri" w:hAnsi="Times New Roman" w:cs="Times New Roman"/>
                <w:color w:val="000000"/>
                <w:sz w:val="25"/>
                <w:szCs w:val="25"/>
              </w:rPr>
              <w:t>Ekonomikas ministrija</w:t>
            </w:r>
          </w:p>
        </w:tc>
      </w:tr>
      <w:tr w:rsidR="00810A68" w:rsidRPr="009C01AE" w:rsidTr="00F22871">
        <w:trPr>
          <w:trHeight w:val="323"/>
        </w:trPr>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 4. 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pStyle w:val="ListParagraph"/>
              <w:tabs>
                <w:tab w:val="left" w:pos="199"/>
              </w:tabs>
              <w:spacing w:after="0" w:line="240" w:lineRule="auto"/>
              <w:ind w:left="0"/>
              <w:jc w:val="both"/>
              <w:rPr>
                <w:rFonts w:ascii="Times New Roman" w:hAnsi="Times New Roman" w:cs="Times New Roman"/>
                <w:sz w:val="25"/>
                <w:szCs w:val="25"/>
              </w:rPr>
            </w:pPr>
            <w:r w:rsidRPr="009C01AE">
              <w:rPr>
                <w:rFonts w:ascii="Times New Roman" w:hAnsi="Times New Roman" w:cs="Times New Roman"/>
                <w:sz w:val="25"/>
                <w:szCs w:val="25"/>
              </w:rPr>
              <w:t>Nav</w:t>
            </w:r>
          </w:p>
        </w:tc>
      </w:tr>
    </w:tbl>
    <w:p w:rsidR="00810A68" w:rsidRPr="009C01AE" w:rsidRDefault="00810A68" w:rsidP="00810A68">
      <w:pPr>
        <w:spacing w:after="0" w:line="240" w:lineRule="auto"/>
        <w:rPr>
          <w:rFonts w:ascii="Times New Roman" w:eastAsia="Arial Unicode MS" w:hAnsi="Times New Roman" w:cs="Times New Roman"/>
          <w:b/>
          <w:sz w:val="25"/>
          <w:szCs w:val="25"/>
        </w:rPr>
      </w:pPr>
    </w:p>
    <w:tbl>
      <w:tblPr>
        <w:tblpPr w:leftFromText="180" w:rightFromText="180" w:bottomFromText="200" w:vertAnchor="text" w:horzAnchor="margin" w:tblpXSpec="center" w:tblpY="149"/>
        <w:tblW w:w="8414"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597"/>
        <w:gridCol w:w="2835"/>
        <w:gridCol w:w="4982"/>
      </w:tblGrid>
      <w:tr w:rsidR="00810A68" w:rsidRPr="009C01AE" w:rsidTr="00E152A9">
        <w:tc>
          <w:tcPr>
            <w:tcW w:w="8414"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810A68" w:rsidRPr="009C01AE" w:rsidRDefault="00810A68" w:rsidP="00E152A9">
            <w:pPr>
              <w:spacing w:after="0" w:line="240" w:lineRule="auto"/>
              <w:jc w:val="center"/>
              <w:rPr>
                <w:rFonts w:ascii="Times New Roman" w:eastAsia="Times New Roman" w:hAnsi="Times New Roman" w:cs="Times New Roman"/>
                <w:b/>
                <w:bCs/>
                <w:sz w:val="25"/>
                <w:szCs w:val="25"/>
                <w:lang w:eastAsia="lv-LV"/>
              </w:rPr>
            </w:pPr>
            <w:r w:rsidRPr="009C01AE">
              <w:rPr>
                <w:rFonts w:ascii="Times New Roman" w:eastAsia="Times New Roman" w:hAnsi="Times New Roman" w:cs="Times New Roman"/>
                <w:b/>
                <w:bCs/>
                <w:sz w:val="25"/>
                <w:szCs w:val="25"/>
                <w:lang w:eastAsia="lv-LV"/>
              </w:rPr>
              <w:t>II. Tiesību akta projekta ietekme uz sabiedrību, tautsaimniecības attīstību un administratīvo slogu</w:t>
            </w:r>
          </w:p>
        </w:tc>
      </w:tr>
      <w:tr w:rsidR="00810A68" w:rsidRPr="009C01AE" w:rsidTr="00F22871">
        <w:trPr>
          <w:trHeight w:val="467"/>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1.</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 xml:space="preserve">Sabiedrības </w:t>
            </w:r>
            <w:proofErr w:type="spellStart"/>
            <w:r w:rsidRPr="009C01AE">
              <w:rPr>
                <w:rFonts w:ascii="Times New Roman" w:eastAsia="Times New Roman" w:hAnsi="Times New Roman" w:cs="Times New Roman"/>
                <w:sz w:val="25"/>
                <w:szCs w:val="25"/>
                <w:lang w:eastAsia="lv-LV"/>
              </w:rPr>
              <w:t>mērķgrupas</w:t>
            </w:r>
            <w:proofErr w:type="spellEnd"/>
            <w:r w:rsidRPr="009C01AE">
              <w:rPr>
                <w:rFonts w:ascii="Times New Roman" w:eastAsia="Times New Roman" w:hAnsi="Times New Roman" w:cs="Times New Roman"/>
                <w:sz w:val="25"/>
                <w:szCs w:val="25"/>
                <w:lang w:eastAsia="lv-LV"/>
              </w:rPr>
              <w:t>, kuras tiesiskais regulējums ietekmē vai varētu ietekmēt</w:t>
            </w:r>
          </w:p>
        </w:tc>
        <w:tc>
          <w:tcPr>
            <w:tcW w:w="4982"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D33B4C">
            <w:pPr>
              <w:spacing w:before="75" w:after="75" w:line="240" w:lineRule="auto"/>
              <w:ind w:firstLine="450"/>
              <w:jc w:val="both"/>
              <w:rPr>
                <w:rFonts w:ascii="Times New Roman" w:eastAsia="Times New Roman" w:hAnsi="Times New Roman" w:cs="Times New Roman"/>
                <w:iCs/>
                <w:sz w:val="25"/>
                <w:szCs w:val="25"/>
                <w:lang w:eastAsia="lv-LV"/>
              </w:rPr>
            </w:pPr>
            <w:r w:rsidRPr="009C01AE">
              <w:rPr>
                <w:rFonts w:ascii="Times New Roman" w:eastAsia="Times New Roman" w:hAnsi="Times New Roman" w:cs="Times New Roman"/>
                <w:iCs/>
                <w:sz w:val="25"/>
                <w:szCs w:val="25"/>
                <w:lang w:eastAsia="lv-LV"/>
              </w:rPr>
              <w:t>Komersanti, biedrības, nodibinājumi, kooperatīvās sabiedrības, ostu pārvaldes</w:t>
            </w:r>
            <w:r w:rsidR="0034216E" w:rsidRPr="009C01AE">
              <w:rPr>
                <w:rFonts w:ascii="Times New Roman" w:eastAsia="Times New Roman" w:hAnsi="Times New Roman" w:cs="Times New Roman"/>
                <w:iCs/>
                <w:sz w:val="25"/>
                <w:szCs w:val="25"/>
                <w:lang w:eastAsia="lv-LV"/>
              </w:rPr>
              <w:t xml:space="preserve">, </w:t>
            </w:r>
            <w:r w:rsidR="0034216E" w:rsidRPr="009C01AE">
              <w:rPr>
                <w:rFonts w:ascii="Times New Roman" w:hAnsi="Times New Roman" w:cs="Times New Roman"/>
                <w:sz w:val="25"/>
                <w:szCs w:val="25"/>
              </w:rPr>
              <w:t xml:space="preserve"> </w:t>
            </w:r>
            <w:r w:rsidR="00D33B4C" w:rsidRPr="009C01AE">
              <w:rPr>
                <w:rFonts w:ascii="Times New Roman" w:hAnsi="Times New Roman" w:cs="Times New Roman"/>
                <w:sz w:val="25"/>
                <w:szCs w:val="25"/>
              </w:rPr>
              <w:t xml:space="preserve">zemnieku un zvejnieku </w:t>
            </w:r>
            <w:proofErr w:type="spellStart"/>
            <w:r w:rsidR="00D33B4C" w:rsidRPr="009C01AE">
              <w:rPr>
                <w:rFonts w:ascii="Times New Roman" w:hAnsi="Times New Roman" w:cs="Times New Roman"/>
                <w:sz w:val="25"/>
                <w:szCs w:val="25"/>
              </w:rPr>
              <w:t>saimniecī</w:t>
            </w:r>
            <w:proofErr w:type="spellEnd"/>
            <w:r w:rsidR="00D33B4C" w:rsidRPr="009C01AE">
              <w:rPr>
                <w:rFonts w:ascii="Times New Roman" w:hAnsi="Times New Roman" w:cs="Times New Roman"/>
                <w:sz w:val="25"/>
                <w:szCs w:val="25"/>
              </w:rPr>
              <w:t xml:space="preserve"> </w:t>
            </w:r>
            <w:proofErr w:type="spellStart"/>
            <w:r w:rsidR="00D33B4C" w:rsidRPr="009C01AE">
              <w:rPr>
                <w:rFonts w:ascii="Times New Roman" w:hAnsi="Times New Roman" w:cs="Times New Roman"/>
                <w:sz w:val="25"/>
                <w:szCs w:val="25"/>
              </w:rPr>
              <w:t>bas</w:t>
            </w:r>
            <w:r w:rsidRPr="009C01AE">
              <w:rPr>
                <w:rFonts w:ascii="Times New Roman" w:eastAsia="Times New Roman" w:hAnsi="Times New Roman" w:cs="Times New Roman"/>
                <w:iCs/>
                <w:sz w:val="25"/>
                <w:szCs w:val="25"/>
                <w:lang w:eastAsia="lv-LV"/>
              </w:rPr>
              <w:t>un</w:t>
            </w:r>
            <w:proofErr w:type="spellEnd"/>
            <w:r w:rsidRPr="009C01AE">
              <w:rPr>
                <w:rFonts w:ascii="Times New Roman" w:eastAsia="Times New Roman" w:hAnsi="Times New Roman" w:cs="Times New Roman"/>
                <w:iCs/>
                <w:sz w:val="25"/>
                <w:szCs w:val="25"/>
                <w:lang w:eastAsia="lv-LV"/>
              </w:rPr>
              <w:t xml:space="preserve"> </w:t>
            </w:r>
            <w:r w:rsidR="005C279F" w:rsidRPr="009C01AE">
              <w:rPr>
                <w:rFonts w:ascii="Times New Roman" w:hAnsi="Times New Roman" w:cs="Times New Roman"/>
                <w:sz w:val="25"/>
                <w:szCs w:val="25"/>
              </w:rPr>
              <w:t xml:space="preserve"> publisko personu vai tās iestāžu (tai skaitā atvasināto publisko personu, kas darbojas NACE 2.red. M sadaļas „Profesionālie, zinātniskie un tehniskie pakalpojumi” 72.nodaļā „Zinātniskās pētniecības darbs” un  P sadaļas „Izglītība” 85.4.nodaļā „Augstākā izglītība”)</w:t>
            </w:r>
            <w:r w:rsidRPr="009C01AE">
              <w:rPr>
                <w:rFonts w:ascii="Times New Roman" w:eastAsia="Times New Roman" w:hAnsi="Times New Roman" w:cs="Times New Roman"/>
                <w:iCs/>
                <w:sz w:val="25"/>
                <w:szCs w:val="25"/>
                <w:lang w:eastAsia="lv-LV"/>
              </w:rPr>
              <w:t xml:space="preserve">. </w:t>
            </w:r>
          </w:p>
        </w:tc>
      </w:tr>
      <w:tr w:rsidR="00810A68" w:rsidRPr="009C01AE" w:rsidTr="00F22871">
        <w:trPr>
          <w:trHeight w:val="523"/>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2.</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Tiesiskā regulējuma ietekme uz tautsaimniecību un administratīvo slogu</w:t>
            </w:r>
          </w:p>
        </w:tc>
        <w:tc>
          <w:tcPr>
            <w:tcW w:w="4982"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ind w:firstLine="450"/>
              <w:jc w:val="both"/>
              <w:rPr>
                <w:rFonts w:ascii="Times New Roman" w:eastAsia="Times New Roman" w:hAnsi="Times New Roman" w:cs="Times New Roman"/>
                <w:sz w:val="25"/>
                <w:szCs w:val="25"/>
                <w:lang w:eastAsia="lv-LV"/>
              </w:rPr>
            </w:pPr>
            <w:r w:rsidRPr="009C01AE">
              <w:rPr>
                <w:rFonts w:ascii="Times New Roman" w:eastAsia="Times New Roman" w:hAnsi="Times New Roman" w:cs="Times New Roman"/>
                <w:iCs/>
                <w:sz w:val="25"/>
                <w:szCs w:val="25"/>
                <w:lang w:eastAsia="lv-LV"/>
              </w:rPr>
              <w:t>Projekts šo jomu neskar.</w:t>
            </w:r>
          </w:p>
        </w:tc>
      </w:tr>
      <w:tr w:rsidR="00810A68" w:rsidRPr="009C01AE" w:rsidTr="00F22871">
        <w:trPr>
          <w:trHeight w:val="517"/>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3.</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Administratīvo izmaksu monetārs novērtējums</w:t>
            </w:r>
          </w:p>
        </w:tc>
        <w:tc>
          <w:tcPr>
            <w:tcW w:w="4982"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ind w:firstLine="450"/>
              <w:jc w:val="both"/>
              <w:rPr>
                <w:rFonts w:ascii="Times New Roman" w:eastAsia="Times New Roman" w:hAnsi="Times New Roman" w:cs="Times New Roman"/>
                <w:sz w:val="25"/>
                <w:szCs w:val="25"/>
                <w:lang w:eastAsia="lv-LV"/>
              </w:rPr>
            </w:pPr>
            <w:r w:rsidRPr="009C01AE">
              <w:rPr>
                <w:rFonts w:ascii="Times New Roman" w:eastAsia="Times New Roman" w:hAnsi="Times New Roman" w:cs="Times New Roman"/>
                <w:color w:val="000000"/>
                <w:sz w:val="25"/>
                <w:szCs w:val="25"/>
                <w:lang w:eastAsia="lv-LV"/>
              </w:rPr>
              <w:t>Projekts šo jomu neskar.</w:t>
            </w:r>
          </w:p>
        </w:tc>
      </w:tr>
      <w:tr w:rsidR="00810A68" w:rsidRPr="009C01AE" w:rsidTr="00F22871">
        <w:trPr>
          <w:trHeight w:val="381"/>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4.</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Cita informācija</w:t>
            </w:r>
          </w:p>
        </w:tc>
        <w:tc>
          <w:tcPr>
            <w:tcW w:w="4982"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ind w:firstLine="450"/>
              <w:jc w:val="both"/>
              <w:rPr>
                <w:rFonts w:ascii="Times New Roman" w:eastAsia="Times New Roman" w:hAnsi="Times New Roman" w:cs="Times New Roman"/>
                <w:iCs/>
                <w:sz w:val="25"/>
                <w:szCs w:val="25"/>
                <w:lang w:eastAsia="lv-LV"/>
              </w:rPr>
            </w:pPr>
            <w:r w:rsidRPr="009C01AE">
              <w:rPr>
                <w:rFonts w:ascii="Times New Roman" w:eastAsia="Times New Roman" w:hAnsi="Times New Roman" w:cs="Times New Roman"/>
                <w:color w:val="000000"/>
                <w:sz w:val="25"/>
                <w:szCs w:val="25"/>
                <w:lang w:eastAsia="lv-LV"/>
              </w:rPr>
              <w:t>Nav</w:t>
            </w:r>
          </w:p>
        </w:tc>
      </w:tr>
    </w:tbl>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426"/>
        <w:gridCol w:w="1841"/>
        <w:gridCol w:w="6097"/>
      </w:tblGrid>
      <w:tr w:rsidR="00810A68" w:rsidRPr="009C01AE" w:rsidTr="00E152A9">
        <w:tc>
          <w:tcPr>
            <w:tcW w:w="426" w:type="dxa"/>
            <w:tcBorders>
              <w:top w:val="thickThinLargeGap" w:sz="6" w:space="0" w:color="C0C0C0"/>
              <w:left w:val="thickThinLargeGap" w:sz="6" w:space="0" w:color="C0C0C0"/>
              <w:bottom w:val="thickThinLargeGap" w:sz="6" w:space="0" w:color="C0C0C0"/>
              <w:right w:val="nil"/>
            </w:tcBorders>
          </w:tcPr>
          <w:p w:rsidR="00810A68" w:rsidRPr="009C01AE" w:rsidRDefault="00810A68" w:rsidP="00E152A9">
            <w:pPr>
              <w:spacing w:after="0" w:line="240" w:lineRule="auto"/>
              <w:ind w:firstLine="720"/>
              <w:jc w:val="center"/>
              <w:rPr>
                <w:rFonts w:ascii="Times New Roman" w:eastAsia="Calibri" w:hAnsi="Times New Roman" w:cs="Times New Roman"/>
                <w:b/>
                <w:sz w:val="25"/>
                <w:szCs w:val="25"/>
                <w:lang w:eastAsia="lv-LV"/>
              </w:rPr>
            </w:pPr>
            <w:r w:rsidRPr="009C01AE">
              <w:rPr>
                <w:rFonts w:ascii="Times New Roman" w:hAnsi="Times New Roman" w:cs="Times New Roman"/>
                <w:bCs/>
                <w:sz w:val="25"/>
                <w:szCs w:val="25"/>
              </w:rPr>
              <w:t xml:space="preserve"> </w:t>
            </w:r>
            <w:r w:rsidRPr="009C01AE">
              <w:rPr>
                <w:rFonts w:ascii="Times New Roman" w:hAnsi="Times New Roman" w:cs="Times New Roman"/>
                <w:bCs/>
                <w:sz w:val="25"/>
                <w:szCs w:val="25"/>
              </w:rPr>
              <w:tab/>
            </w:r>
          </w:p>
        </w:tc>
        <w:tc>
          <w:tcPr>
            <w:tcW w:w="7938" w:type="dxa"/>
            <w:gridSpan w:val="2"/>
            <w:tcBorders>
              <w:top w:val="thickThinLargeGap" w:sz="6" w:space="0" w:color="C0C0C0"/>
              <w:left w:val="nil"/>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Calibri" w:hAnsi="Times New Roman" w:cs="Times New Roman"/>
                <w:b/>
                <w:sz w:val="25"/>
                <w:szCs w:val="25"/>
                <w:lang w:eastAsia="lv-LV"/>
              </w:rPr>
            </w:pPr>
            <w:r w:rsidRPr="009C01AE">
              <w:rPr>
                <w:rFonts w:ascii="Times New Roman" w:eastAsia="Calibri" w:hAnsi="Times New Roman" w:cs="Times New Roman"/>
                <w:b/>
                <w:sz w:val="25"/>
                <w:szCs w:val="25"/>
                <w:lang w:eastAsia="lv-LV"/>
              </w:rPr>
              <w:t>IV. Tiesību akta projekta ietekme uz spēkā esošo tiesību normu sistēmu</w:t>
            </w:r>
          </w:p>
        </w:tc>
      </w:tr>
      <w:tr w:rsidR="00810A68" w:rsidRPr="009C01AE" w:rsidTr="00E152A9">
        <w:tc>
          <w:tcPr>
            <w:tcW w:w="426"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jc w:val="both"/>
              <w:rPr>
                <w:rFonts w:ascii="Times New Roman" w:eastAsia="Calibri" w:hAnsi="Times New Roman" w:cs="Times New Roman"/>
                <w:sz w:val="25"/>
                <w:szCs w:val="25"/>
                <w:lang w:eastAsia="lv-LV"/>
              </w:rPr>
            </w:pPr>
            <w:r w:rsidRPr="009C01AE">
              <w:rPr>
                <w:rFonts w:ascii="Times New Roman" w:eastAsia="Calibri" w:hAnsi="Times New Roman" w:cs="Times New Roman"/>
                <w:sz w:val="25"/>
                <w:szCs w:val="25"/>
                <w:lang w:eastAsia="lv-LV"/>
              </w:rPr>
              <w:t>1.</w:t>
            </w:r>
          </w:p>
        </w:tc>
        <w:tc>
          <w:tcPr>
            <w:tcW w:w="1841" w:type="dxa"/>
            <w:tcBorders>
              <w:top w:val="thickThinLargeGap" w:sz="6" w:space="0" w:color="C0C0C0"/>
              <w:left w:val="nil"/>
              <w:bottom w:val="thickThinLargeGap" w:sz="6" w:space="0" w:color="C0C0C0"/>
              <w:right w:val="thickThinLargeGap" w:sz="6" w:space="0" w:color="C0C0C0"/>
            </w:tcBorders>
            <w:hideMark/>
          </w:tcPr>
          <w:p w:rsidR="00810A68" w:rsidRPr="009C01AE" w:rsidRDefault="00810A68" w:rsidP="00E152A9">
            <w:pPr>
              <w:spacing w:after="0" w:line="240" w:lineRule="auto"/>
              <w:jc w:val="both"/>
              <w:rPr>
                <w:rFonts w:ascii="Times New Roman" w:eastAsia="Calibri" w:hAnsi="Times New Roman" w:cs="Times New Roman"/>
                <w:sz w:val="25"/>
                <w:szCs w:val="25"/>
                <w:lang w:eastAsia="lv-LV"/>
              </w:rPr>
            </w:pPr>
            <w:r w:rsidRPr="009C01AE">
              <w:rPr>
                <w:rFonts w:ascii="Times New Roman" w:eastAsia="Calibri" w:hAnsi="Times New Roman" w:cs="Times New Roman"/>
                <w:sz w:val="25"/>
                <w:szCs w:val="25"/>
                <w:lang w:eastAsia="lv-LV"/>
              </w:rPr>
              <w:t>Nepieciešamie saistītie tiesību aktu projekti</w:t>
            </w:r>
          </w:p>
        </w:tc>
        <w:tc>
          <w:tcPr>
            <w:tcW w:w="6097" w:type="dxa"/>
            <w:tcBorders>
              <w:top w:val="thickThinLargeGap" w:sz="6" w:space="0" w:color="C0C0C0"/>
              <w:left w:val="thickThinLargeGap" w:sz="6" w:space="0" w:color="C0C0C0"/>
              <w:bottom w:val="thickThinLargeGap" w:sz="6" w:space="0" w:color="C0C0C0"/>
              <w:right w:val="thickThinLargeGap" w:sz="6" w:space="0" w:color="C0C0C0"/>
            </w:tcBorders>
            <w:hideMark/>
          </w:tcPr>
          <w:p w:rsidR="00737C71" w:rsidRPr="009C01AE" w:rsidRDefault="00810A68" w:rsidP="00737C71">
            <w:pPr>
              <w:spacing w:after="0" w:line="240" w:lineRule="auto"/>
              <w:ind w:firstLine="426"/>
              <w:jc w:val="both"/>
              <w:rPr>
                <w:rFonts w:ascii="Times New Roman" w:eastAsia="Calibri" w:hAnsi="Times New Roman" w:cs="Times New Roman"/>
                <w:bCs/>
                <w:sz w:val="25"/>
                <w:szCs w:val="25"/>
              </w:rPr>
            </w:pPr>
            <w:r w:rsidRPr="009C01AE">
              <w:rPr>
                <w:rFonts w:ascii="Times New Roman" w:hAnsi="Times New Roman" w:cs="Times New Roman"/>
                <w:bCs/>
                <w:sz w:val="25"/>
                <w:szCs w:val="25"/>
              </w:rPr>
              <w:t xml:space="preserve">Nepieciešams veikt grozījumus </w:t>
            </w:r>
            <w:r w:rsidR="00737C71" w:rsidRPr="009C01AE">
              <w:rPr>
                <w:rFonts w:ascii="Times New Roman" w:hAnsi="Times New Roman" w:cs="Times New Roman"/>
                <w:bCs/>
                <w:sz w:val="25"/>
                <w:szCs w:val="25"/>
              </w:rPr>
              <w:t>darbības programmas „Uzņēmējdarbība un inovācijas” papildinājumā.</w:t>
            </w:r>
          </w:p>
          <w:p w:rsidR="00810A68" w:rsidRPr="009C01AE" w:rsidRDefault="00810A68" w:rsidP="000D6240">
            <w:pPr>
              <w:spacing w:after="0" w:line="240" w:lineRule="auto"/>
              <w:ind w:firstLine="426"/>
              <w:jc w:val="both"/>
              <w:rPr>
                <w:rFonts w:ascii="Times New Roman" w:eastAsia="Calibri" w:hAnsi="Times New Roman" w:cs="Times New Roman"/>
                <w:bCs/>
                <w:sz w:val="25"/>
                <w:szCs w:val="25"/>
              </w:rPr>
            </w:pPr>
          </w:p>
        </w:tc>
      </w:tr>
      <w:tr w:rsidR="00810A68" w:rsidRPr="009C01AE" w:rsidTr="00E152A9">
        <w:tc>
          <w:tcPr>
            <w:tcW w:w="426" w:type="dxa"/>
            <w:tcBorders>
              <w:top w:val="thickThinLargeGap" w:sz="6" w:space="0" w:color="C0C0C0"/>
              <w:left w:val="thickThinLargeGap" w:sz="6" w:space="0" w:color="C0C0C0"/>
              <w:bottom w:val="thickThinLargeGap" w:sz="6" w:space="0" w:color="C0C0C0"/>
              <w:right w:val="thickThinLargeGap" w:sz="6" w:space="0" w:color="C0C0C0"/>
            </w:tcBorders>
          </w:tcPr>
          <w:p w:rsidR="00810A68" w:rsidRPr="009C01AE" w:rsidRDefault="00810A68" w:rsidP="00E152A9">
            <w:pPr>
              <w:spacing w:after="0" w:line="240" w:lineRule="auto"/>
              <w:jc w:val="both"/>
              <w:rPr>
                <w:rFonts w:ascii="Times New Roman" w:eastAsia="Calibri" w:hAnsi="Times New Roman" w:cs="Times New Roman"/>
                <w:sz w:val="25"/>
                <w:szCs w:val="25"/>
                <w:lang w:eastAsia="lv-LV"/>
              </w:rPr>
            </w:pPr>
            <w:r w:rsidRPr="009C01AE">
              <w:rPr>
                <w:rFonts w:ascii="Times New Roman" w:eastAsia="Calibri" w:hAnsi="Times New Roman" w:cs="Times New Roman"/>
                <w:sz w:val="25"/>
                <w:szCs w:val="25"/>
                <w:lang w:eastAsia="lv-LV"/>
              </w:rPr>
              <w:t>2.</w:t>
            </w:r>
          </w:p>
        </w:tc>
        <w:tc>
          <w:tcPr>
            <w:tcW w:w="1841" w:type="dxa"/>
            <w:tcBorders>
              <w:top w:val="thickThinLargeGap" w:sz="6" w:space="0" w:color="C0C0C0"/>
              <w:left w:val="nil"/>
              <w:bottom w:val="thickThinLargeGap" w:sz="6" w:space="0" w:color="C0C0C0"/>
              <w:right w:val="thickThinLargeGap" w:sz="6" w:space="0" w:color="C0C0C0"/>
            </w:tcBorders>
          </w:tcPr>
          <w:p w:rsidR="00810A68" w:rsidRPr="009C01AE" w:rsidRDefault="00810A68" w:rsidP="00E152A9">
            <w:pPr>
              <w:spacing w:after="0" w:line="240" w:lineRule="auto"/>
              <w:jc w:val="both"/>
              <w:rPr>
                <w:rFonts w:ascii="Times New Roman" w:eastAsia="Calibri" w:hAnsi="Times New Roman" w:cs="Times New Roman"/>
                <w:sz w:val="25"/>
                <w:szCs w:val="25"/>
                <w:lang w:eastAsia="lv-LV"/>
              </w:rPr>
            </w:pPr>
            <w:r w:rsidRPr="009C01AE">
              <w:rPr>
                <w:rFonts w:ascii="Times New Roman" w:eastAsia="Calibri" w:hAnsi="Times New Roman" w:cs="Times New Roman"/>
                <w:sz w:val="25"/>
                <w:szCs w:val="25"/>
                <w:lang w:eastAsia="lv-LV"/>
              </w:rPr>
              <w:t>Atbildīgā institūcija</w:t>
            </w:r>
          </w:p>
        </w:tc>
        <w:tc>
          <w:tcPr>
            <w:tcW w:w="6097" w:type="dxa"/>
            <w:tcBorders>
              <w:top w:val="thickThinLargeGap" w:sz="6" w:space="0" w:color="C0C0C0"/>
              <w:left w:val="thickThinLargeGap" w:sz="6" w:space="0" w:color="C0C0C0"/>
              <w:bottom w:val="thickThinLargeGap" w:sz="6" w:space="0" w:color="C0C0C0"/>
              <w:right w:val="thickThinLargeGap" w:sz="6" w:space="0" w:color="C0C0C0"/>
            </w:tcBorders>
          </w:tcPr>
          <w:p w:rsidR="00810A68" w:rsidRPr="009C01AE" w:rsidRDefault="00B9029E" w:rsidP="00E152A9">
            <w:pPr>
              <w:spacing w:after="0" w:line="240" w:lineRule="auto"/>
              <w:ind w:firstLine="426"/>
              <w:jc w:val="both"/>
              <w:rPr>
                <w:rFonts w:ascii="Times New Roman" w:eastAsia="Calibri" w:hAnsi="Times New Roman" w:cs="Times New Roman"/>
                <w:bCs/>
                <w:sz w:val="25"/>
                <w:szCs w:val="25"/>
              </w:rPr>
            </w:pPr>
            <w:r w:rsidRPr="009C01AE">
              <w:rPr>
                <w:rFonts w:ascii="Times New Roman" w:eastAsia="Times New Roman" w:hAnsi="Times New Roman" w:cs="Times New Roman"/>
                <w:iCs/>
                <w:sz w:val="25"/>
                <w:szCs w:val="25"/>
                <w:lang w:eastAsia="lv-LV"/>
              </w:rPr>
              <w:t xml:space="preserve">Ekonomikas </w:t>
            </w:r>
            <w:r w:rsidR="00810A68" w:rsidRPr="009C01AE">
              <w:rPr>
                <w:rFonts w:ascii="Times New Roman" w:eastAsia="Times New Roman" w:hAnsi="Times New Roman" w:cs="Times New Roman"/>
                <w:iCs/>
                <w:sz w:val="25"/>
                <w:szCs w:val="25"/>
                <w:lang w:eastAsia="lv-LV"/>
              </w:rPr>
              <w:t>ministrija</w:t>
            </w:r>
          </w:p>
        </w:tc>
      </w:tr>
      <w:tr w:rsidR="00810A68" w:rsidRPr="009C01AE" w:rsidTr="00E152A9">
        <w:tc>
          <w:tcPr>
            <w:tcW w:w="426"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jc w:val="both"/>
              <w:rPr>
                <w:rFonts w:ascii="Times New Roman" w:eastAsia="Calibri" w:hAnsi="Times New Roman" w:cs="Times New Roman"/>
                <w:sz w:val="25"/>
                <w:szCs w:val="25"/>
                <w:lang w:eastAsia="lv-LV"/>
              </w:rPr>
            </w:pPr>
            <w:r w:rsidRPr="009C01AE">
              <w:rPr>
                <w:rFonts w:ascii="Times New Roman" w:eastAsia="Calibri" w:hAnsi="Times New Roman" w:cs="Times New Roman"/>
                <w:sz w:val="25"/>
                <w:szCs w:val="25"/>
                <w:lang w:eastAsia="lv-LV"/>
              </w:rPr>
              <w:t>3.</w:t>
            </w:r>
          </w:p>
        </w:tc>
        <w:tc>
          <w:tcPr>
            <w:tcW w:w="1841" w:type="dxa"/>
            <w:tcBorders>
              <w:top w:val="thickThinLargeGap" w:sz="6" w:space="0" w:color="C0C0C0"/>
              <w:left w:val="nil"/>
              <w:bottom w:val="thickThinLargeGap" w:sz="6" w:space="0" w:color="C0C0C0"/>
              <w:right w:val="thickThinLargeGap" w:sz="6" w:space="0" w:color="C0C0C0"/>
            </w:tcBorders>
            <w:hideMark/>
          </w:tcPr>
          <w:p w:rsidR="00810A68" w:rsidRPr="009C01AE" w:rsidRDefault="00810A68" w:rsidP="00E152A9">
            <w:pPr>
              <w:spacing w:after="0" w:line="240" w:lineRule="auto"/>
              <w:jc w:val="both"/>
              <w:rPr>
                <w:rFonts w:ascii="Times New Roman" w:eastAsia="Calibri" w:hAnsi="Times New Roman" w:cs="Times New Roman"/>
                <w:sz w:val="25"/>
                <w:szCs w:val="25"/>
                <w:lang w:eastAsia="lv-LV"/>
              </w:rPr>
            </w:pPr>
            <w:r w:rsidRPr="009C01AE">
              <w:rPr>
                <w:rFonts w:ascii="Times New Roman" w:eastAsia="Calibri" w:hAnsi="Times New Roman" w:cs="Times New Roman"/>
                <w:sz w:val="25"/>
                <w:szCs w:val="25"/>
                <w:lang w:eastAsia="lv-LV"/>
              </w:rPr>
              <w:t>Cita informācija</w:t>
            </w:r>
          </w:p>
        </w:tc>
        <w:tc>
          <w:tcPr>
            <w:tcW w:w="609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B910F4" w:rsidP="00A913F7">
            <w:pPr>
              <w:spacing w:after="0" w:line="240" w:lineRule="auto"/>
              <w:ind w:firstLine="425"/>
              <w:jc w:val="both"/>
              <w:rPr>
                <w:rFonts w:ascii="Times New Roman" w:hAnsi="Times New Roman" w:cs="Times New Roman"/>
                <w:sz w:val="25"/>
                <w:szCs w:val="25"/>
              </w:rPr>
            </w:pPr>
            <w:r w:rsidRPr="009C01AE">
              <w:rPr>
                <w:rFonts w:ascii="Times New Roman" w:eastAsia="Calibri" w:hAnsi="Times New Roman" w:cs="Times New Roman"/>
                <w:sz w:val="25"/>
                <w:szCs w:val="25"/>
              </w:rPr>
              <w:t>Nav</w:t>
            </w:r>
          </w:p>
        </w:tc>
      </w:tr>
    </w:tbl>
    <w:p w:rsidR="00810A68" w:rsidRPr="009C01AE" w:rsidRDefault="00810A68" w:rsidP="00810A68">
      <w:pPr>
        <w:tabs>
          <w:tab w:val="left" w:pos="7655"/>
        </w:tabs>
        <w:spacing w:line="240" w:lineRule="auto"/>
        <w:jc w:val="both"/>
        <w:rPr>
          <w:rFonts w:ascii="Times New Roman" w:hAnsi="Times New Roman" w:cs="Times New Roman"/>
          <w:bCs/>
          <w:sz w:val="25"/>
          <w:szCs w:val="25"/>
        </w:rPr>
      </w:pPr>
    </w:p>
    <w:tbl>
      <w:tblPr>
        <w:tblW w:w="4916" w:type="pct"/>
        <w:tblCellSpacing w:w="15" w:type="dxa"/>
        <w:tblInd w:w="7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25"/>
        <w:gridCol w:w="1212"/>
        <w:gridCol w:w="685"/>
        <w:gridCol w:w="965"/>
        <w:gridCol w:w="1654"/>
        <w:gridCol w:w="445"/>
        <w:gridCol w:w="2865"/>
      </w:tblGrid>
      <w:tr w:rsidR="00CE79D5" w:rsidRPr="009C01AE" w:rsidTr="00EA3C58">
        <w:trPr>
          <w:trHeight w:val="445"/>
          <w:tblCellSpacing w:w="15" w:type="dxa"/>
        </w:trPr>
        <w:tc>
          <w:tcPr>
            <w:tcW w:w="4963" w:type="pct"/>
            <w:gridSpan w:val="7"/>
            <w:tcBorders>
              <w:top w:val="outset" w:sz="6" w:space="0" w:color="auto"/>
              <w:left w:val="outset" w:sz="6" w:space="0" w:color="auto"/>
              <w:bottom w:val="outset" w:sz="6" w:space="0" w:color="auto"/>
              <w:right w:val="outset" w:sz="6" w:space="0" w:color="auto"/>
            </w:tcBorders>
            <w:hideMark/>
          </w:tcPr>
          <w:p w:rsidR="00CE79D5" w:rsidRPr="009C01AE" w:rsidRDefault="00CE79D5" w:rsidP="00CE79D5">
            <w:pPr>
              <w:spacing w:after="0" w:line="240" w:lineRule="auto"/>
              <w:jc w:val="center"/>
              <w:rPr>
                <w:rFonts w:ascii="Times New Roman" w:eastAsia="Times New Roman" w:hAnsi="Times New Roman" w:cs="Times New Roman"/>
                <w:b/>
                <w:bCs/>
                <w:sz w:val="25"/>
                <w:szCs w:val="25"/>
                <w:lang w:eastAsia="lv-LV"/>
              </w:rPr>
            </w:pPr>
            <w:r w:rsidRPr="009C01AE">
              <w:rPr>
                <w:rFonts w:ascii="Times New Roman" w:eastAsia="Times New Roman" w:hAnsi="Times New Roman" w:cs="Times New Roman"/>
                <w:b/>
                <w:bCs/>
                <w:sz w:val="25"/>
                <w:szCs w:val="25"/>
                <w:lang w:eastAsia="lv-LV"/>
              </w:rPr>
              <w:t>V. Tiesību akta projekta atbilstība Latvijas Republikas starptautiskajām saistībām</w:t>
            </w:r>
          </w:p>
        </w:tc>
      </w:tr>
      <w:tr w:rsidR="00CE79D5" w:rsidRPr="009C01AE" w:rsidTr="00EA3C58">
        <w:trPr>
          <w:tblCellSpacing w:w="15" w:type="dxa"/>
        </w:trPr>
        <w:tc>
          <w:tcPr>
            <w:tcW w:w="172" w:type="pct"/>
            <w:tcBorders>
              <w:top w:val="outset" w:sz="6" w:space="0" w:color="auto"/>
              <w:left w:val="outset" w:sz="6" w:space="0" w:color="auto"/>
              <w:bottom w:val="outset" w:sz="6" w:space="0" w:color="auto"/>
              <w:right w:val="outset" w:sz="6" w:space="0" w:color="auto"/>
            </w:tcBorders>
            <w:hideMark/>
          </w:tcPr>
          <w:p w:rsidR="00CE79D5" w:rsidRPr="009C01AE" w:rsidRDefault="00CE79D5" w:rsidP="00CE79D5">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1.</w:t>
            </w:r>
          </w:p>
        </w:tc>
        <w:tc>
          <w:tcPr>
            <w:tcW w:w="1153" w:type="pct"/>
            <w:gridSpan w:val="2"/>
            <w:tcBorders>
              <w:top w:val="outset" w:sz="6" w:space="0" w:color="auto"/>
              <w:left w:val="outset" w:sz="6" w:space="0" w:color="auto"/>
              <w:bottom w:val="outset" w:sz="6" w:space="0" w:color="auto"/>
              <w:right w:val="outset" w:sz="6" w:space="0" w:color="auto"/>
            </w:tcBorders>
            <w:hideMark/>
          </w:tcPr>
          <w:p w:rsidR="00CE79D5" w:rsidRPr="009C01AE" w:rsidRDefault="00CE79D5" w:rsidP="00CE79D5">
            <w:pPr>
              <w:spacing w:after="0" w:line="240" w:lineRule="auto"/>
              <w:jc w:val="both"/>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Saistības pret Eiropas Savienību</w:t>
            </w:r>
          </w:p>
        </w:tc>
        <w:tc>
          <w:tcPr>
            <w:tcW w:w="3602" w:type="pct"/>
            <w:gridSpan w:val="4"/>
            <w:tcBorders>
              <w:top w:val="outset" w:sz="6" w:space="0" w:color="auto"/>
              <w:left w:val="outset" w:sz="6" w:space="0" w:color="auto"/>
              <w:bottom w:val="outset" w:sz="6" w:space="0" w:color="auto"/>
              <w:right w:val="outset" w:sz="6" w:space="0" w:color="auto"/>
            </w:tcBorders>
            <w:hideMark/>
          </w:tcPr>
          <w:p w:rsidR="007D1781" w:rsidRPr="009C01AE" w:rsidRDefault="00851750" w:rsidP="00CE79D5">
            <w:pPr>
              <w:pStyle w:val="naiskr"/>
              <w:spacing w:before="0" w:after="0"/>
              <w:jc w:val="both"/>
              <w:rPr>
                <w:sz w:val="25"/>
                <w:szCs w:val="25"/>
              </w:rPr>
            </w:pPr>
            <w:r w:rsidRPr="009C01AE">
              <w:rPr>
                <w:sz w:val="25"/>
                <w:szCs w:val="25"/>
              </w:rPr>
              <w:t xml:space="preserve">Komisijas 2014. gada 27.jūnija  Regulas (ES) Nr. 717/2014 par </w:t>
            </w:r>
            <w:proofErr w:type="spellStart"/>
            <w:r w:rsidRPr="009C01AE">
              <w:rPr>
                <w:sz w:val="25"/>
                <w:szCs w:val="25"/>
              </w:rPr>
              <w:t>par</w:t>
            </w:r>
            <w:proofErr w:type="spellEnd"/>
            <w:r w:rsidRPr="009C01AE">
              <w:rPr>
                <w:sz w:val="25"/>
                <w:szCs w:val="25"/>
              </w:rPr>
              <w:t xml:space="preserve"> Līguma par Eiropas Savienības darbību 107. un 108. panta piemērošanu </w:t>
            </w:r>
            <w:proofErr w:type="spellStart"/>
            <w:r w:rsidRPr="009C01AE">
              <w:rPr>
                <w:i/>
                <w:sz w:val="25"/>
                <w:szCs w:val="25"/>
              </w:rPr>
              <w:t>de</w:t>
            </w:r>
            <w:proofErr w:type="spellEnd"/>
            <w:r w:rsidRPr="009C01AE">
              <w:rPr>
                <w:i/>
                <w:sz w:val="25"/>
                <w:szCs w:val="25"/>
              </w:rPr>
              <w:t xml:space="preserve"> </w:t>
            </w:r>
            <w:proofErr w:type="spellStart"/>
            <w:r w:rsidRPr="009C01AE">
              <w:rPr>
                <w:i/>
                <w:sz w:val="25"/>
                <w:szCs w:val="25"/>
              </w:rPr>
              <w:t>minimis</w:t>
            </w:r>
            <w:proofErr w:type="spellEnd"/>
            <w:r w:rsidRPr="009C01AE">
              <w:rPr>
                <w:sz w:val="25"/>
                <w:szCs w:val="25"/>
              </w:rPr>
              <w:t xml:space="preserve"> atbalstam zvejniecības un akvakultūras nozarē (Eiropas Savienības Oficiālais Vēstnesis, 2014. gada 28. jūnijs, Nr. L 190) (turpmāk - Regula Nr. 717/2014)</w:t>
            </w:r>
            <w:r w:rsidR="007D1781" w:rsidRPr="009C01AE">
              <w:rPr>
                <w:sz w:val="25"/>
                <w:szCs w:val="25"/>
              </w:rPr>
              <w:t>;</w:t>
            </w:r>
          </w:p>
          <w:p w:rsidR="00CE79D5" w:rsidRPr="009C01AE" w:rsidRDefault="007D1781" w:rsidP="00CE79D5">
            <w:pPr>
              <w:pStyle w:val="naiskr"/>
              <w:spacing w:before="0" w:after="0"/>
              <w:jc w:val="both"/>
              <w:rPr>
                <w:sz w:val="25"/>
                <w:szCs w:val="25"/>
                <w:lang w:eastAsia="en-US"/>
              </w:rPr>
            </w:pPr>
            <w:r w:rsidRPr="009C01AE">
              <w:rPr>
                <w:sz w:val="25"/>
                <w:szCs w:val="25"/>
              </w:rPr>
              <w:t xml:space="preserve">Komisijas 2013.gada 18.decembra Regulas (ES) Nr.1407/2013 par Līguma par Eiropas Savienības darbību 107. un 108. panta piemērošanu </w:t>
            </w:r>
            <w:proofErr w:type="spellStart"/>
            <w:r w:rsidRPr="009C01AE">
              <w:rPr>
                <w:i/>
                <w:sz w:val="25"/>
                <w:szCs w:val="25"/>
              </w:rPr>
              <w:t>de</w:t>
            </w:r>
            <w:proofErr w:type="spellEnd"/>
            <w:r w:rsidRPr="009C01AE">
              <w:rPr>
                <w:i/>
                <w:sz w:val="25"/>
                <w:szCs w:val="25"/>
              </w:rPr>
              <w:t xml:space="preserve"> </w:t>
            </w:r>
            <w:proofErr w:type="spellStart"/>
            <w:r w:rsidRPr="009C01AE">
              <w:rPr>
                <w:i/>
                <w:sz w:val="25"/>
                <w:szCs w:val="25"/>
              </w:rPr>
              <w:t>minimis</w:t>
            </w:r>
            <w:proofErr w:type="spellEnd"/>
            <w:r w:rsidRPr="009C01AE">
              <w:rPr>
                <w:sz w:val="25"/>
                <w:szCs w:val="25"/>
              </w:rPr>
              <w:t xml:space="preserve"> atbalstam (Eiropas Savienības Oficiālais Vēstnesis, 2013.gada 24.decembris, Nr. L 352) (turpmāk – Regula Nr.1407/2013</w:t>
            </w:r>
            <w:r w:rsidR="00851750" w:rsidRPr="009C01AE">
              <w:rPr>
                <w:sz w:val="25"/>
                <w:szCs w:val="25"/>
              </w:rPr>
              <w:t>.</w:t>
            </w:r>
          </w:p>
        </w:tc>
      </w:tr>
      <w:tr w:rsidR="00CE79D5" w:rsidRPr="009C01AE" w:rsidTr="00EA3C58">
        <w:trPr>
          <w:tblCellSpacing w:w="15" w:type="dxa"/>
        </w:trPr>
        <w:tc>
          <w:tcPr>
            <w:tcW w:w="172" w:type="pct"/>
            <w:tcBorders>
              <w:top w:val="outset" w:sz="6" w:space="0" w:color="auto"/>
              <w:left w:val="outset" w:sz="6" w:space="0" w:color="auto"/>
              <w:bottom w:val="outset" w:sz="6" w:space="0" w:color="auto"/>
              <w:right w:val="outset" w:sz="6" w:space="0" w:color="auto"/>
            </w:tcBorders>
            <w:hideMark/>
          </w:tcPr>
          <w:p w:rsidR="00CE79D5" w:rsidRPr="009C01AE" w:rsidRDefault="00CE79D5" w:rsidP="00CE79D5">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2.</w:t>
            </w:r>
          </w:p>
        </w:tc>
        <w:tc>
          <w:tcPr>
            <w:tcW w:w="1153" w:type="pct"/>
            <w:gridSpan w:val="2"/>
            <w:tcBorders>
              <w:top w:val="outset" w:sz="6" w:space="0" w:color="auto"/>
              <w:left w:val="outset" w:sz="6" w:space="0" w:color="auto"/>
              <w:bottom w:val="outset" w:sz="6" w:space="0" w:color="auto"/>
              <w:right w:val="outset" w:sz="6" w:space="0" w:color="auto"/>
            </w:tcBorders>
            <w:hideMark/>
          </w:tcPr>
          <w:p w:rsidR="00CE79D5" w:rsidRPr="009C01AE" w:rsidRDefault="00CE79D5" w:rsidP="00CE79D5">
            <w:pPr>
              <w:spacing w:after="0" w:line="240" w:lineRule="auto"/>
              <w:jc w:val="both"/>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Citas starptautiskās saistības</w:t>
            </w:r>
          </w:p>
        </w:tc>
        <w:tc>
          <w:tcPr>
            <w:tcW w:w="3602" w:type="pct"/>
            <w:gridSpan w:val="4"/>
            <w:tcBorders>
              <w:top w:val="outset" w:sz="6" w:space="0" w:color="auto"/>
              <w:left w:val="outset" w:sz="6" w:space="0" w:color="auto"/>
              <w:bottom w:val="outset" w:sz="6" w:space="0" w:color="auto"/>
              <w:right w:val="outset" w:sz="6" w:space="0" w:color="auto"/>
            </w:tcBorders>
            <w:hideMark/>
          </w:tcPr>
          <w:p w:rsidR="00CE79D5" w:rsidRPr="009C01AE" w:rsidRDefault="00CE79D5" w:rsidP="00CE79D5">
            <w:pPr>
              <w:spacing w:after="0" w:line="240" w:lineRule="auto"/>
              <w:jc w:val="both"/>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Noteikumu projekts šo jomu neskar.</w:t>
            </w:r>
          </w:p>
        </w:tc>
      </w:tr>
      <w:tr w:rsidR="00CE79D5" w:rsidRPr="009C01AE" w:rsidTr="00EA3C58">
        <w:trPr>
          <w:tblCellSpacing w:w="15" w:type="dxa"/>
        </w:trPr>
        <w:tc>
          <w:tcPr>
            <w:tcW w:w="172" w:type="pct"/>
            <w:tcBorders>
              <w:top w:val="outset" w:sz="6" w:space="0" w:color="auto"/>
              <w:left w:val="outset" w:sz="6" w:space="0" w:color="auto"/>
              <w:bottom w:val="outset" w:sz="6" w:space="0" w:color="auto"/>
              <w:right w:val="outset" w:sz="6" w:space="0" w:color="auto"/>
            </w:tcBorders>
            <w:hideMark/>
          </w:tcPr>
          <w:p w:rsidR="00CE79D5" w:rsidRPr="009C01AE" w:rsidRDefault="00CE79D5" w:rsidP="00CE79D5">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3.</w:t>
            </w:r>
          </w:p>
        </w:tc>
        <w:tc>
          <w:tcPr>
            <w:tcW w:w="1153" w:type="pct"/>
            <w:gridSpan w:val="2"/>
            <w:tcBorders>
              <w:top w:val="outset" w:sz="6" w:space="0" w:color="auto"/>
              <w:left w:val="outset" w:sz="6" w:space="0" w:color="auto"/>
              <w:bottom w:val="outset" w:sz="6" w:space="0" w:color="auto"/>
              <w:right w:val="outset" w:sz="6" w:space="0" w:color="auto"/>
            </w:tcBorders>
            <w:hideMark/>
          </w:tcPr>
          <w:p w:rsidR="00CE79D5" w:rsidRPr="009C01AE" w:rsidRDefault="00CE79D5" w:rsidP="00CE79D5">
            <w:pPr>
              <w:spacing w:after="0" w:line="240" w:lineRule="auto"/>
              <w:jc w:val="both"/>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Cita informācija</w:t>
            </w:r>
          </w:p>
        </w:tc>
        <w:tc>
          <w:tcPr>
            <w:tcW w:w="3602" w:type="pct"/>
            <w:gridSpan w:val="4"/>
            <w:tcBorders>
              <w:top w:val="outset" w:sz="6" w:space="0" w:color="auto"/>
              <w:left w:val="outset" w:sz="6" w:space="0" w:color="auto"/>
              <w:bottom w:val="outset" w:sz="6" w:space="0" w:color="auto"/>
              <w:right w:val="outset" w:sz="6" w:space="0" w:color="auto"/>
            </w:tcBorders>
            <w:hideMark/>
          </w:tcPr>
          <w:p w:rsidR="00CE79D5" w:rsidRPr="009C01AE" w:rsidRDefault="00CE79D5" w:rsidP="00CE79D5">
            <w:pPr>
              <w:spacing w:after="0" w:line="240" w:lineRule="auto"/>
              <w:rPr>
                <w:rFonts w:ascii="Times New Roman" w:hAnsi="Times New Roman" w:cs="Times New Roman"/>
                <w:sz w:val="25"/>
                <w:szCs w:val="25"/>
              </w:rPr>
            </w:pPr>
            <w:r w:rsidRPr="009C01AE">
              <w:rPr>
                <w:rFonts w:ascii="Times New Roman" w:hAnsi="Times New Roman" w:cs="Times New Roman"/>
                <w:sz w:val="25"/>
                <w:szCs w:val="25"/>
              </w:rPr>
              <w:t>Nav</w:t>
            </w:r>
          </w:p>
        </w:tc>
      </w:tr>
      <w:tr w:rsidR="00CE79D5" w:rsidRPr="009C01AE" w:rsidTr="00EA3C58">
        <w:tblPrEx>
          <w:tblBorders>
            <w:insideH w:val="none" w:sz="0" w:space="0" w:color="auto"/>
            <w:insideV w:val="none" w:sz="0" w:space="0" w:color="auto"/>
          </w:tblBorders>
        </w:tblPrEx>
        <w:trPr>
          <w:tblCellSpacing w:w="15" w:type="dxa"/>
        </w:trPr>
        <w:tc>
          <w:tcPr>
            <w:tcW w:w="4963" w:type="pct"/>
            <w:gridSpan w:val="7"/>
            <w:tcBorders>
              <w:top w:val="outset" w:sz="6" w:space="0" w:color="auto"/>
              <w:left w:val="outset" w:sz="6" w:space="0" w:color="auto"/>
              <w:bottom w:val="outset" w:sz="6" w:space="0" w:color="auto"/>
              <w:right w:val="outset" w:sz="6" w:space="0" w:color="auto"/>
            </w:tcBorders>
            <w:vAlign w:val="center"/>
            <w:hideMark/>
          </w:tcPr>
          <w:p w:rsidR="00CE79D5" w:rsidRPr="009C01AE" w:rsidRDefault="00CE79D5" w:rsidP="00CE79D5">
            <w:pPr>
              <w:spacing w:after="0" w:line="240" w:lineRule="auto"/>
              <w:jc w:val="center"/>
              <w:rPr>
                <w:rFonts w:ascii="Times New Roman" w:eastAsia="Times New Roman" w:hAnsi="Times New Roman" w:cs="Times New Roman"/>
                <w:b/>
                <w:bCs/>
                <w:sz w:val="25"/>
                <w:szCs w:val="25"/>
                <w:lang w:eastAsia="lv-LV"/>
              </w:rPr>
            </w:pPr>
            <w:r w:rsidRPr="009C01AE">
              <w:rPr>
                <w:rFonts w:ascii="Times New Roman" w:eastAsia="Times New Roman" w:hAnsi="Times New Roman" w:cs="Times New Roman"/>
                <w:sz w:val="25"/>
                <w:szCs w:val="25"/>
                <w:lang w:eastAsia="lv-LV"/>
              </w:rPr>
              <w:t> </w:t>
            </w:r>
            <w:r w:rsidRPr="009C01AE">
              <w:rPr>
                <w:rFonts w:ascii="Times New Roman" w:eastAsia="Times New Roman" w:hAnsi="Times New Roman" w:cs="Times New Roman"/>
                <w:b/>
                <w:bCs/>
                <w:sz w:val="25"/>
                <w:szCs w:val="25"/>
                <w:lang w:eastAsia="lv-LV"/>
              </w:rPr>
              <w:t>1.tabula</w:t>
            </w:r>
            <w:r w:rsidRPr="009C01AE">
              <w:rPr>
                <w:rFonts w:ascii="Times New Roman" w:eastAsia="Times New Roman" w:hAnsi="Times New Roman" w:cs="Times New Roman"/>
                <w:b/>
                <w:bCs/>
                <w:sz w:val="25"/>
                <w:szCs w:val="25"/>
                <w:lang w:eastAsia="lv-LV"/>
              </w:rPr>
              <w:br/>
              <w:t>Tiesību akta projekta atbilstība ES tiesību aktiem</w:t>
            </w:r>
          </w:p>
        </w:tc>
      </w:tr>
      <w:tr w:rsidR="00CE79D5" w:rsidRPr="009C01AE" w:rsidTr="00EA3C58">
        <w:tblPrEx>
          <w:tblBorders>
            <w:insideH w:val="none" w:sz="0" w:space="0" w:color="auto"/>
            <w:insideV w:val="none" w:sz="0" w:space="0" w:color="auto"/>
          </w:tblBorders>
        </w:tblPrEx>
        <w:trPr>
          <w:tblCellSpacing w:w="15" w:type="dxa"/>
        </w:trPr>
        <w:tc>
          <w:tcPr>
            <w:tcW w:w="913" w:type="pct"/>
            <w:gridSpan w:val="2"/>
            <w:tcBorders>
              <w:top w:val="outset" w:sz="6" w:space="0" w:color="auto"/>
              <w:left w:val="outset" w:sz="6" w:space="0" w:color="auto"/>
              <w:bottom w:val="outset" w:sz="6" w:space="0" w:color="auto"/>
              <w:right w:val="outset" w:sz="6" w:space="0" w:color="auto"/>
            </w:tcBorders>
            <w:vAlign w:val="center"/>
            <w:hideMark/>
          </w:tcPr>
          <w:p w:rsidR="00CE79D5" w:rsidRPr="009C01AE" w:rsidRDefault="00CE79D5" w:rsidP="00CE79D5">
            <w:pPr>
              <w:spacing w:after="0" w:line="240" w:lineRule="auto"/>
              <w:jc w:val="both"/>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Attiecīgā ES tiesību akta datums, numurs un nosaukums</w:t>
            </w:r>
          </w:p>
        </w:tc>
        <w:tc>
          <w:tcPr>
            <w:tcW w:w="4032" w:type="pct"/>
            <w:gridSpan w:val="5"/>
            <w:tcBorders>
              <w:top w:val="outset" w:sz="6" w:space="0" w:color="auto"/>
              <w:left w:val="outset" w:sz="6" w:space="0" w:color="auto"/>
              <w:bottom w:val="outset" w:sz="6" w:space="0" w:color="auto"/>
              <w:right w:val="outset" w:sz="6" w:space="0" w:color="auto"/>
            </w:tcBorders>
            <w:vAlign w:val="center"/>
            <w:hideMark/>
          </w:tcPr>
          <w:p w:rsidR="00CE79D5" w:rsidRPr="009C01AE" w:rsidRDefault="00851750" w:rsidP="00CE79D5">
            <w:pPr>
              <w:pStyle w:val="naiskr"/>
              <w:spacing w:before="0" w:after="0"/>
              <w:jc w:val="both"/>
              <w:rPr>
                <w:sz w:val="25"/>
                <w:szCs w:val="25"/>
                <w:lang w:eastAsia="en-US"/>
              </w:rPr>
            </w:pPr>
            <w:r w:rsidRPr="009C01AE">
              <w:rPr>
                <w:sz w:val="25"/>
                <w:szCs w:val="25"/>
              </w:rPr>
              <w:t>R</w:t>
            </w:r>
            <w:r w:rsidR="00CE79D5" w:rsidRPr="009C01AE">
              <w:rPr>
                <w:sz w:val="25"/>
                <w:szCs w:val="25"/>
              </w:rPr>
              <w:t xml:space="preserve">egula Nr. </w:t>
            </w:r>
            <w:r w:rsidRPr="009C01AE">
              <w:rPr>
                <w:sz w:val="25"/>
                <w:szCs w:val="25"/>
              </w:rPr>
              <w:t>717/2014</w:t>
            </w:r>
            <w:r w:rsidR="00CE79D5" w:rsidRPr="009C01AE">
              <w:rPr>
                <w:sz w:val="25"/>
                <w:szCs w:val="25"/>
              </w:rPr>
              <w:t>.</w:t>
            </w:r>
          </w:p>
        </w:tc>
      </w:tr>
      <w:tr w:rsidR="00CE79D5" w:rsidRPr="009C01AE" w:rsidTr="00EA3C58">
        <w:tblPrEx>
          <w:tblBorders>
            <w:insideH w:val="none" w:sz="0" w:space="0" w:color="auto"/>
            <w:insideV w:val="none" w:sz="0" w:space="0" w:color="auto"/>
          </w:tblBorders>
        </w:tblPrEx>
        <w:trPr>
          <w:tblCellSpacing w:w="15" w:type="dxa"/>
        </w:trPr>
        <w:tc>
          <w:tcPr>
            <w:tcW w:w="913" w:type="pct"/>
            <w:gridSpan w:val="2"/>
            <w:tcBorders>
              <w:top w:val="outset" w:sz="6" w:space="0" w:color="auto"/>
              <w:left w:val="outset" w:sz="6" w:space="0" w:color="auto"/>
              <w:bottom w:val="outset" w:sz="6" w:space="0" w:color="auto"/>
              <w:right w:val="outset" w:sz="6" w:space="0" w:color="auto"/>
            </w:tcBorders>
            <w:vAlign w:val="center"/>
            <w:hideMark/>
          </w:tcPr>
          <w:p w:rsidR="00CE79D5" w:rsidRPr="009C01AE" w:rsidRDefault="00CE79D5" w:rsidP="00CE79D5">
            <w:pPr>
              <w:spacing w:after="0" w:line="240" w:lineRule="auto"/>
              <w:jc w:val="center"/>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A</w:t>
            </w: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CE79D5" w:rsidRPr="009C01AE" w:rsidRDefault="00CE79D5" w:rsidP="00CE79D5">
            <w:pPr>
              <w:spacing w:after="0" w:line="240" w:lineRule="auto"/>
              <w:jc w:val="center"/>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B</w:t>
            </w:r>
          </w:p>
        </w:tc>
        <w:tc>
          <w:tcPr>
            <w:tcW w:w="1280" w:type="pct"/>
            <w:gridSpan w:val="2"/>
            <w:tcBorders>
              <w:top w:val="outset" w:sz="6" w:space="0" w:color="auto"/>
              <w:left w:val="outset" w:sz="6" w:space="0" w:color="auto"/>
              <w:bottom w:val="outset" w:sz="6" w:space="0" w:color="auto"/>
              <w:right w:val="outset" w:sz="6" w:space="0" w:color="auto"/>
            </w:tcBorders>
            <w:vAlign w:val="center"/>
            <w:hideMark/>
          </w:tcPr>
          <w:p w:rsidR="00CE79D5" w:rsidRPr="009C01AE" w:rsidRDefault="00CE79D5" w:rsidP="00CE79D5">
            <w:pPr>
              <w:spacing w:after="0" w:line="240" w:lineRule="auto"/>
              <w:jc w:val="center"/>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C</w:t>
            </w:r>
          </w:p>
        </w:tc>
        <w:tc>
          <w:tcPr>
            <w:tcW w:w="1716" w:type="pct"/>
            <w:tcBorders>
              <w:top w:val="outset" w:sz="6" w:space="0" w:color="auto"/>
              <w:left w:val="outset" w:sz="6" w:space="0" w:color="auto"/>
              <w:bottom w:val="outset" w:sz="6" w:space="0" w:color="auto"/>
              <w:right w:val="outset" w:sz="6" w:space="0" w:color="auto"/>
            </w:tcBorders>
            <w:vAlign w:val="center"/>
            <w:hideMark/>
          </w:tcPr>
          <w:p w:rsidR="00CE79D5" w:rsidRPr="009C01AE" w:rsidRDefault="00CE79D5" w:rsidP="00CE79D5">
            <w:pPr>
              <w:spacing w:after="0" w:line="240" w:lineRule="auto"/>
              <w:jc w:val="center"/>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D</w:t>
            </w:r>
          </w:p>
        </w:tc>
      </w:tr>
      <w:tr w:rsidR="00CE79D5" w:rsidRPr="009C01AE" w:rsidTr="00EA3C58">
        <w:tblPrEx>
          <w:tblBorders>
            <w:insideH w:val="none" w:sz="0" w:space="0" w:color="auto"/>
            <w:insideV w:val="none" w:sz="0" w:space="0" w:color="auto"/>
          </w:tblBorders>
        </w:tblPrEx>
        <w:trPr>
          <w:tblCellSpacing w:w="15" w:type="dxa"/>
        </w:trPr>
        <w:tc>
          <w:tcPr>
            <w:tcW w:w="913" w:type="pct"/>
            <w:gridSpan w:val="2"/>
            <w:tcBorders>
              <w:top w:val="outset" w:sz="6" w:space="0" w:color="auto"/>
              <w:left w:val="outset" w:sz="6" w:space="0" w:color="auto"/>
              <w:bottom w:val="outset" w:sz="6" w:space="0" w:color="auto"/>
              <w:right w:val="outset" w:sz="6" w:space="0" w:color="auto"/>
            </w:tcBorders>
            <w:hideMark/>
          </w:tcPr>
          <w:p w:rsidR="00CE79D5" w:rsidRPr="009C01AE" w:rsidRDefault="00CE79D5" w:rsidP="00CE79D5">
            <w:pPr>
              <w:pStyle w:val="naiskr"/>
              <w:spacing w:before="0" w:after="0"/>
              <w:jc w:val="both"/>
              <w:rPr>
                <w:sz w:val="25"/>
                <w:szCs w:val="25"/>
                <w:lang w:eastAsia="en-US"/>
              </w:rPr>
            </w:pPr>
            <w:r w:rsidRPr="009C01AE">
              <w:rPr>
                <w:sz w:val="25"/>
                <w:szCs w:val="25"/>
                <w:lang w:eastAsia="en-US"/>
              </w:rPr>
              <w:t xml:space="preserve">Attiecīgā ES tiesību akta panta numurs (uzskaitot katru tiesību akta </w:t>
            </w:r>
            <w:r w:rsidRPr="009C01AE">
              <w:rPr>
                <w:sz w:val="25"/>
                <w:szCs w:val="25"/>
                <w:lang w:eastAsia="en-US"/>
              </w:rPr>
              <w:br/>
              <w:t>vienību – pantu, daļu, punktu, apakšpunktu)</w:t>
            </w:r>
          </w:p>
        </w:tc>
        <w:tc>
          <w:tcPr>
            <w:tcW w:w="1000" w:type="pct"/>
            <w:gridSpan w:val="2"/>
            <w:tcBorders>
              <w:top w:val="outset" w:sz="6" w:space="0" w:color="auto"/>
              <w:left w:val="outset" w:sz="6" w:space="0" w:color="auto"/>
              <w:bottom w:val="outset" w:sz="6" w:space="0" w:color="auto"/>
              <w:right w:val="outset" w:sz="6" w:space="0" w:color="auto"/>
            </w:tcBorders>
            <w:hideMark/>
          </w:tcPr>
          <w:p w:rsidR="00CE79D5" w:rsidRPr="009C01AE" w:rsidRDefault="00CE79D5" w:rsidP="00CE79D5">
            <w:pPr>
              <w:pStyle w:val="naiskr"/>
              <w:spacing w:before="0" w:after="0"/>
              <w:jc w:val="both"/>
              <w:rPr>
                <w:sz w:val="25"/>
                <w:szCs w:val="25"/>
                <w:lang w:eastAsia="en-US"/>
              </w:rPr>
            </w:pPr>
            <w:r w:rsidRPr="009C01AE">
              <w:rPr>
                <w:sz w:val="25"/>
                <w:szCs w:val="25"/>
                <w:lang w:eastAsia="en-US"/>
              </w:rPr>
              <w:t>Projekta vienība, kas pārņem vai ievieš katru šīs tabulas A ailē minēto ES tiesību akta vienību</w:t>
            </w:r>
          </w:p>
        </w:tc>
        <w:tc>
          <w:tcPr>
            <w:tcW w:w="1280" w:type="pct"/>
            <w:gridSpan w:val="2"/>
            <w:tcBorders>
              <w:top w:val="outset" w:sz="6" w:space="0" w:color="auto"/>
              <w:left w:val="outset" w:sz="6" w:space="0" w:color="auto"/>
              <w:bottom w:val="outset" w:sz="6" w:space="0" w:color="auto"/>
              <w:right w:val="outset" w:sz="6" w:space="0" w:color="auto"/>
            </w:tcBorders>
            <w:hideMark/>
          </w:tcPr>
          <w:p w:rsidR="00CE79D5" w:rsidRPr="009C01AE" w:rsidRDefault="00CE79D5" w:rsidP="00CE79D5">
            <w:pPr>
              <w:pStyle w:val="naiskr"/>
              <w:spacing w:before="0" w:after="0"/>
              <w:jc w:val="both"/>
              <w:rPr>
                <w:sz w:val="25"/>
                <w:szCs w:val="25"/>
                <w:lang w:eastAsia="en-US"/>
              </w:rPr>
            </w:pPr>
            <w:r w:rsidRPr="009C01AE">
              <w:rPr>
                <w:sz w:val="25"/>
                <w:szCs w:val="25"/>
                <w:lang w:eastAsia="en-US"/>
              </w:rPr>
              <w:t>Informācija par to, vai šīs tabulas A ailē minētās ES tiesību akta vienības tiek pārņemtas vai ieviestas pilnībā vai daļēji.</w:t>
            </w:r>
          </w:p>
          <w:p w:rsidR="00CE79D5" w:rsidRPr="009C01AE" w:rsidRDefault="00CE79D5" w:rsidP="00CE79D5">
            <w:pPr>
              <w:pStyle w:val="naiskr"/>
              <w:spacing w:before="0" w:after="0"/>
              <w:jc w:val="both"/>
              <w:rPr>
                <w:sz w:val="25"/>
                <w:szCs w:val="25"/>
                <w:lang w:eastAsia="en-US"/>
              </w:rPr>
            </w:pPr>
            <w:r w:rsidRPr="009C01AE">
              <w:rPr>
                <w:sz w:val="25"/>
                <w:szCs w:val="25"/>
                <w:lang w:eastAsia="en-US"/>
              </w:rPr>
              <w:t>Ja attiecīgā ES tiesību akta vienība tiek pārņemta vai ieviesta daļēji, – sniedz attiecīgu skaidrojumu, kā arī precīzi norāda, kad un kādā veidā ES tiesību akta vienība tiks pārņemta vai ieviesta pilnībā.</w:t>
            </w:r>
          </w:p>
          <w:p w:rsidR="00CE79D5" w:rsidRPr="009C01AE" w:rsidRDefault="00CE79D5" w:rsidP="00CE79D5">
            <w:pPr>
              <w:pStyle w:val="naiskr"/>
              <w:spacing w:before="0" w:after="0"/>
              <w:jc w:val="both"/>
              <w:rPr>
                <w:sz w:val="25"/>
                <w:szCs w:val="25"/>
                <w:lang w:eastAsia="en-US"/>
              </w:rPr>
            </w:pPr>
            <w:r w:rsidRPr="009C01AE">
              <w:rPr>
                <w:sz w:val="25"/>
                <w:szCs w:val="25"/>
                <w:lang w:eastAsia="en-US"/>
              </w:rPr>
              <w:t>Norāda institūciju, kas ir atbildīga par šo saistību izpildi pilnībā</w:t>
            </w:r>
          </w:p>
        </w:tc>
        <w:tc>
          <w:tcPr>
            <w:tcW w:w="1716" w:type="pct"/>
            <w:tcBorders>
              <w:top w:val="outset" w:sz="6" w:space="0" w:color="auto"/>
              <w:left w:val="outset" w:sz="6" w:space="0" w:color="auto"/>
              <w:bottom w:val="outset" w:sz="6" w:space="0" w:color="auto"/>
              <w:right w:val="outset" w:sz="6" w:space="0" w:color="auto"/>
            </w:tcBorders>
            <w:hideMark/>
          </w:tcPr>
          <w:p w:rsidR="00CE79D5" w:rsidRPr="009C01AE" w:rsidRDefault="00CE79D5" w:rsidP="00CE79D5">
            <w:pPr>
              <w:pStyle w:val="naiskr"/>
              <w:spacing w:before="0" w:after="0"/>
              <w:jc w:val="both"/>
              <w:rPr>
                <w:sz w:val="25"/>
                <w:szCs w:val="25"/>
                <w:lang w:eastAsia="en-US"/>
              </w:rPr>
            </w:pPr>
            <w:r w:rsidRPr="009C01AE">
              <w:rPr>
                <w:sz w:val="25"/>
                <w:szCs w:val="25"/>
                <w:lang w:eastAsia="en-US"/>
              </w:rPr>
              <w:t>Informācija par to, vai šīs tabulas B ailē minētās projekta vienības paredz stingrākas prasības nekā šīs tabulas A ailē minētās ES tiesību akta vienības.</w:t>
            </w:r>
          </w:p>
          <w:p w:rsidR="00CE79D5" w:rsidRPr="009C01AE" w:rsidRDefault="00CE79D5" w:rsidP="00CE79D5">
            <w:pPr>
              <w:pStyle w:val="naiskr"/>
              <w:spacing w:before="0" w:after="0"/>
              <w:jc w:val="both"/>
              <w:rPr>
                <w:sz w:val="25"/>
                <w:szCs w:val="25"/>
                <w:lang w:eastAsia="en-US"/>
              </w:rPr>
            </w:pPr>
            <w:r w:rsidRPr="009C01AE">
              <w:rPr>
                <w:sz w:val="25"/>
                <w:szCs w:val="25"/>
                <w:lang w:eastAsia="en-US"/>
              </w:rPr>
              <w:t>Ja projekts satur stingrākas prasības nekā attiecīgais ES tiesību akts, – norāda pamatojumu un samērīgumu.</w:t>
            </w:r>
          </w:p>
          <w:p w:rsidR="00CE79D5" w:rsidRPr="009C01AE" w:rsidRDefault="00CE79D5" w:rsidP="00CE79D5">
            <w:pPr>
              <w:pStyle w:val="naiskr"/>
              <w:spacing w:before="0" w:after="0"/>
              <w:jc w:val="both"/>
              <w:rPr>
                <w:sz w:val="25"/>
                <w:szCs w:val="25"/>
                <w:lang w:eastAsia="en-US"/>
              </w:rPr>
            </w:pPr>
            <w:r w:rsidRPr="009C01AE">
              <w:rPr>
                <w:sz w:val="25"/>
                <w:szCs w:val="25"/>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822D89" w:rsidRPr="009C01AE" w:rsidTr="00EA3C58">
        <w:tblPrEx>
          <w:tblBorders>
            <w:insideH w:val="none" w:sz="0" w:space="0" w:color="auto"/>
            <w:insideV w:val="none" w:sz="0" w:space="0" w:color="auto"/>
          </w:tblBorders>
        </w:tblPrEx>
        <w:trPr>
          <w:tblCellSpacing w:w="15" w:type="dxa"/>
        </w:trPr>
        <w:tc>
          <w:tcPr>
            <w:tcW w:w="913" w:type="pct"/>
            <w:gridSpan w:val="2"/>
            <w:tcBorders>
              <w:top w:val="outset" w:sz="6" w:space="0" w:color="auto"/>
              <w:left w:val="outset" w:sz="6" w:space="0" w:color="auto"/>
              <w:bottom w:val="outset" w:sz="6" w:space="0" w:color="auto"/>
              <w:right w:val="outset" w:sz="6" w:space="0" w:color="auto"/>
            </w:tcBorders>
            <w:vAlign w:val="center"/>
          </w:tcPr>
          <w:p w:rsidR="00822D89" w:rsidRPr="009C01AE" w:rsidRDefault="00C17AC8" w:rsidP="00851750">
            <w:pPr>
              <w:pStyle w:val="naiskr"/>
              <w:spacing w:before="0" w:after="0"/>
              <w:jc w:val="both"/>
              <w:rPr>
                <w:sz w:val="25"/>
                <w:szCs w:val="25"/>
                <w:lang w:eastAsia="en-US"/>
              </w:rPr>
            </w:pPr>
            <w:r w:rsidRPr="009C01AE">
              <w:rPr>
                <w:sz w:val="25"/>
                <w:szCs w:val="25"/>
                <w:lang w:eastAsia="en-US"/>
              </w:rPr>
              <w:t>Vispārēja atsauce uz Regulu</w:t>
            </w:r>
            <w:r w:rsidR="00822D89" w:rsidRPr="009C01AE">
              <w:rPr>
                <w:sz w:val="25"/>
                <w:szCs w:val="25"/>
                <w:lang w:eastAsia="en-US"/>
              </w:rPr>
              <w:t xml:space="preserve"> Nr.1407/2013</w:t>
            </w:r>
            <w:r w:rsidRPr="009C01AE">
              <w:rPr>
                <w:sz w:val="25"/>
                <w:szCs w:val="25"/>
                <w:lang w:eastAsia="en-US"/>
              </w:rPr>
              <w:t xml:space="preserve"> un Regulas Nr.1407/2013 1.panta 1.punkts</w:t>
            </w:r>
          </w:p>
        </w:tc>
        <w:tc>
          <w:tcPr>
            <w:tcW w:w="1000" w:type="pct"/>
            <w:gridSpan w:val="2"/>
            <w:tcBorders>
              <w:top w:val="outset" w:sz="6" w:space="0" w:color="auto"/>
              <w:left w:val="outset" w:sz="6" w:space="0" w:color="auto"/>
              <w:bottom w:val="outset" w:sz="6" w:space="0" w:color="auto"/>
              <w:right w:val="outset" w:sz="6" w:space="0" w:color="auto"/>
            </w:tcBorders>
            <w:vAlign w:val="center"/>
          </w:tcPr>
          <w:p w:rsidR="00822D89" w:rsidRPr="009C01AE" w:rsidRDefault="00C17AC8" w:rsidP="00851750">
            <w:pPr>
              <w:pStyle w:val="naiskr"/>
              <w:spacing w:before="0" w:after="0"/>
              <w:jc w:val="both"/>
              <w:rPr>
                <w:sz w:val="25"/>
                <w:szCs w:val="25"/>
                <w:lang w:eastAsia="en-US"/>
              </w:rPr>
            </w:pPr>
            <w:r w:rsidRPr="009C01AE">
              <w:rPr>
                <w:sz w:val="25"/>
                <w:szCs w:val="25"/>
                <w:lang w:eastAsia="en-US"/>
              </w:rPr>
              <w:t>Noteikumu projekta 1</w:t>
            </w:r>
            <w:r w:rsidR="008D19DA" w:rsidRPr="009C01AE">
              <w:rPr>
                <w:sz w:val="25"/>
                <w:szCs w:val="25"/>
                <w:lang w:eastAsia="en-US"/>
              </w:rPr>
              <w:t>.1</w:t>
            </w:r>
            <w:r w:rsidRPr="009C01AE">
              <w:rPr>
                <w:sz w:val="25"/>
                <w:szCs w:val="25"/>
                <w:lang w:eastAsia="en-US"/>
              </w:rPr>
              <w:t>.punkts, ar kuru groza MK noteikumu Nr.582 2.1. apakšpunktu</w:t>
            </w:r>
          </w:p>
        </w:tc>
        <w:tc>
          <w:tcPr>
            <w:tcW w:w="1280" w:type="pct"/>
            <w:gridSpan w:val="2"/>
            <w:tcBorders>
              <w:top w:val="outset" w:sz="6" w:space="0" w:color="auto"/>
              <w:left w:val="outset" w:sz="6" w:space="0" w:color="auto"/>
              <w:bottom w:val="outset" w:sz="6" w:space="0" w:color="auto"/>
              <w:right w:val="outset" w:sz="6" w:space="0" w:color="auto"/>
            </w:tcBorders>
            <w:vAlign w:val="center"/>
          </w:tcPr>
          <w:p w:rsidR="00822D89" w:rsidRPr="009C01AE" w:rsidRDefault="00C17AC8" w:rsidP="00851750">
            <w:pPr>
              <w:pStyle w:val="naiskr"/>
              <w:spacing w:before="0" w:after="0"/>
              <w:jc w:val="both"/>
              <w:rPr>
                <w:i/>
                <w:sz w:val="25"/>
                <w:szCs w:val="25"/>
                <w:lang w:eastAsia="en-US"/>
              </w:rPr>
            </w:pPr>
            <w:r w:rsidRPr="009C01AE">
              <w:rPr>
                <w:i/>
                <w:sz w:val="25"/>
                <w:szCs w:val="25"/>
                <w:lang w:eastAsia="en-US"/>
              </w:rPr>
              <w:t>ieviestas pilnībā</w:t>
            </w:r>
          </w:p>
        </w:tc>
        <w:tc>
          <w:tcPr>
            <w:tcW w:w="1716" w:type="pct"/>
            <w:tcBorders>
              <w:top w:val="outset" w:sz="6" w:space="0" w:color="auto"/>
              <w:left w:val="outset" w:sz="6" w:space="0" w:color="auto"/>
              <w:bottom w:val="outset" w:sz="6" w:space="0" w:color="auto"/>
              <w:right w:val="outset" w:sz="6" w:space="0" w:color="auto"/>
            </w:tcBorders>
            <w:vAlign w:val="center"/>
          </w:tcPr>
          <w:p w:rsidR="00822D89" w:rsidRPr="009C01AE" w:rsidRDefault="00C17AC8" w:rsidP="00CE79D5">
            <w:pPr>
              <w:pStyle w:val="naiskr"/>
              <w:spacing w:before="0" w:after="0"/>
              <w:jc w:val="both"/>
              <w:rPr>
                <w:i/>
                <w:sz w:val="25"/>
                <w:szCs w:val="25"/>
                <w:lang w:eastAsia="en-US"/>
              </w:rPr>
            </w:pPr>
            <w:r w:rsidRPr="009C01AE">
              <w:rPr>
                <w:i/>
                <w:sz w:val="25"/>
                <w:szCs w:val="25"/>
                <w:lang w:eastAsia="en-US"/>
              </w:rPr>
              <w:t>neparedz stingrākas prasības</w:t>
            </w:r>
          </w:p>
        </w:tc>
      </w:tr>
      <w:tr w:rsidR="00CE79D5" w:rsidRPr="009C01AE" w:rsidTr="00EA3C58">
        <w:tblPrEx>
          <w:tblBorders>
            <w:insideH w:val="none" w:sz="0" w:space="0" w:color="auto"/>
            <w:insideV w:val="none" w:sz="0" w:space="0" w:color="auto"/>
          </w:tblBorders>
        </w:tblPrEx>
        <w:trPr>
          <w:tblCellSpacing w:w="15" w:type="dxa"/>
        </w:trPr>
        <w:tc>
          <w:tcPr>
            <w:tcW w:w="913" w:type="pct"/>
            <w:gridSpan w:val="2"/>
            <w:tcBorders>
              <w:top w:val="outset" w:sz="6" w:space="0" w:color="auto"/>
              <w:left w:val="outset" w:sz="6" w:space="0" w:color="auto"/>
              <w:bottom w:val="outset" w:sz="6" w:space="0" w:color="auto"/>
              <w:right w:val="outset" w:sz="6" w:space="0" w:color="auto"/>
            </w:tcBorders>
            <w:vAlign w:val="center"/>
            <w:hideMark/>
          </w:tcPr>
          <w:p w:rsidR="00CE79D5" w:rsidRPr="009C01AE" w:rsidRDefault="00C17AC8" w:rsidP="00851750">
            <w:pPr>
              <w:pStyle w:val="naiskr"/>
              <w:spacing w:before="0" w:after="0"/>
              <w:jc w:val="both"/>
              <w:rPr>
                <w:sz w:val="25"/>
                <w:szCs w:val="25"/>
                <w:lang w:eastAsia="en-US"/>
              </w:rPr>
            </w:pPr>
            <w:r w:rsidRPr="009C01AE">
              <w:rPr>
                <w:sz w:val="25"/>
                <w:szCs w:val="25"/>
                <w:lang w:eastAsia="en-US"/>
              </w:rPr>
              <w:t xml:space="preserve">Vispārēja atsauce uz </w:t>
            </w:r>
            <w:r w:rsidR="00CE79D5" w:rsidRPr="009C01AE">
              <w:rPr>
                <w:sz w:val="25"/>
                <w:szCs w:val="25"/>
                <w:lang w:eastAsia="en-US"/>
              </w:rPr>
              <w:t>Regul</w:t>
            </w:r>
            <w:r w:rsidRPr="009C01AE">
              <w:rPr>
                <w:sz w:val="25"/>
                <w:szCs w:val="25"/>
                <w:lang w:eastAsia="en-US"/>
              </w:rPr>
              <w:t>u</w:t>
            </w:r>
            <w:r w:rsidR="00CE79D5" w:rsidRPr="009C01AE">
              <w:rPr>
                <w:sz w:val="25"/>
                <w:szCs w:val="25"/>
                <w:lang w:eastAsia="en-US"/>
              </w:rPr>
              <w:t xml:space="preserve"> Nr.</w:t>
            </w:r>
            <w:r w:rsidR="00CE79D5" w:rsidRPr="009C01AE">
              <w:rPr>
                <w:sz w:val="25"/>
                <w:szCs w:val="25"/>
              </w:rPr>
              <w:t xml:space="preserve"> </w:t>
            </w:r>
            <w:r w:rsidR="00851750" w:rsidRPr="009C01AE">
              <w:rPr>
                <w:sz w:val="25"/>
                <w:szCs w:val="25"/>
              </w:rPr>
              <w:t>717/2014</w:t>
            </w:r>
            <w:r w:rsidRPr="009C01AE">
              <w:rPr>
                <w:sz w:val="25"/>
                <w:szCs w:val="25"/>
              </w:rPr>
              <w:t xml:space="preserve"> un Regulas Nr.717/2014 1.panta 1.punkts</w:t>
            </w:r>
            <w:r w:rsidR="00CE79D5" w:rsidRPr="009C01AE">
              <w:rPr>
                <w:sz w:val="25"/>
                <w:szCs w:val="25"/>
              </w:rPr>
              <w:t xml:space="preserve"> </w:t>
            </w: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CE79D5" w:rsidRPr="009C01AE" w:rsidRDefault="00851750" w:rsidP="00851750">
            <w:pPr>
              <w:pStyle w:val="naiskr"/>
              <w:spacing w:before="0" w:after="0"/>
              <w:jc w:val="both"/>
              <w:rPr>
                <w:sz w:val="25"/>
                <w:szCs w:val="25"/>
                <w:lang w:eastAsia="en-US"/>
              </w:rPr>
            </w:pPr>
            <w:r w:rsidRPr="009C01AE">
              <w:rPr>
                <w:sz w:val="25"/>
                <w:szCs w:val="25"/>
                <w:lang w:eastAsia="en-US"/>
              </w:rPr>
              <w:t>Noteikumu projekta 1</w:t>
            </w:r>
            <w:r w:rsidR="008D19DA" w:rsidRPr="009C01AE">
              <w:rPr>
                <w:sz w:val="25"/>
                <w:szCs w:val="25"/>
                <w:lang w:eastAsia="en-US"/>
              </w:rPr>
              <w:t>.1</w:t>
            </w:r>
            <w:r w:rsidR="00CE79D5" w:rsidRPr="009C01AE">
              <w:rPr>
                <w:sz w:val="25"/>
                <w:szCs w:val="25"/>
                <w:lang w:eastAsia="en-US"/>
              </w:rPr>
              <w:t xml:space="preserve">.punkts ar ko groza MK noteikumu Nr.582 </w:t>
            </w:r>
            <w:r w:rsidRPr="009C01AE">
              <w:rPr>
                <w:sz w:val="25"/>
                <w:szCs w:val="25"/>
                <w:lang w:eastAsia="en-US"/>
              </w:rPr>
              <w:t>2.</w:t>
            </w:r>
            <w:r w:rsidR="00C17AC8" w:rsidRPr="009C01AE">
              <w:rPr>
                <w:sz w:val="25"/>
                <w:szCs w:val="25"/>
                <w:lang w:eastAsia="en-US"/>
              </w:rPr>
              <w:t>2</w:t>
            </w:r>
            <w:r w:rsidRPr="009C01AE">
              <w:rPr>
                <w:sz w:val="25"/>
                <w:szCs w:val="25"/>
                <w:lang w:eastAsia="en-US"/>
              </w:rPr>
              <w:t>.</w:t>
            </w:r>
            <w:r w:rsidR="00CE79D5" w:rsidRPr="009C01AE">
              <w:rPr>
                <w:sz w:val="25"/>
                <w:szCs w:val="25"/>
                <w:lang w:eastAsia="en-US"/>
              </w:rPr>
              <w:t xml:space="preserve"> </w:t>
            </w:r>
            <w:r w:rsidRPr="009C01AE">
              <w:rPr>
                <w:sz w:val="25"/>
                <w:szCs w:val="25"/>
                <w:lang w:eastAsia="en-US"/>
              </w:rPr>
              <w:t>apakš</w:t>
            </w:r>
            <w:r w:rsidR="00CE79D5" w:rsidRPr="009C01AE">
              <w:rPr>
                <w:sz w:val="25"/>
                <w:szCs w:val="25"/>
                <w:lang w:eastAsia="en-US"/>
              </w:rPr>
              <w:t>punktu.</w:t>
            </w:r>
          </w:p>
        </w:tc>
        <w:tc>
          <w:tcPr>
            <w:tcW w:w="1280" w:type="pct"/>
            <w:gridSpan w:val="2"/>
            <w:tcBorders>
              <w:top w:val="outset" w:sz="6" w:space="0" w:color="auto"/>
              <w:left w:val="outset" w:sz="6" w:space="0" w:color="auto"/>
              <w:bottom w:val="outset" w:sz="6" w:space="0" w:color="auto"/>
              <w:right w:val="outset" w:sz="6" w:space="0" w:color="auto"/>
            </w:tcBorders>
            <w:vAlign w:val="center"/>
            <w:hideMark/>
          </w:tcPr>
          <w:p w:rsidR="00CE79D5" w:rsidRPr="009C01AE" w:rsidRDefault="00CE79D5" w:rsidP="00C17AC8">
            <w:pPr>
              <w:pStyle w:val="naiskr"/>
              <w:spacing w:before="0" w:after="0"/>
              <w:jc w:val="both"/>
              <w:rPr>
                <w:i/>
                <w:sz w:val="25"/>
                <w:szCs w:val="25"/>
                <w:lang w:eastAsia="en-US"/>
              </w:rPr>
            </w:pPr>
            <w:r w:rsidRPr="009C01AE">
              <w:rPr>
                <w:i/>
                <w:sz w:val="25"/>
                <w:szCs w:val="25"/>
                <w:lang w:eastAsia="en-US"/>
              </w:rPr>
              <w:t>ieviesta pilnībā</w:t>
            </w:r>
            <w:r w:rsidR="00851750" w:rsidRPr="009C01AE">
              <w:rPr>
                <w:i/>
                <w:sz w:val="25"/>
                <w:szCs w:val="25"/>
                <w:lang w:eastAsia="en-US"/>
              </w:rPr>
              <w:t xml:space="preserve"> </w:t>
            </w:r>
          </w:p>
        </w:tc>
        <w:tc>
          <w:tcPr>
            <w:tcW w:w="1716" w:type="pct"/>
            <w:tcBorders>
              <w:top w:val="outset" w:sz="6" w:space="0" w:color="auto"/>
              <w:left w:val="outset" w:sz="6" w:space="0" w:color="auto"/>
              <w:bottom w:val="outset" w:sz="6" w:space="0" w:color="auto"/>
              <w:right w:val="outset" w:sz="6" w:space="0" w:color="auto"/>
            </w:tcBorders>
            <w:vAlign w:val="center"/>
            <w:hideMark/>
          </w:tcPr>
          <w:p w:rsidR="00CE79D5" w:rsidRPr="009C01AE" w:rsidRDefault="00CE79D5" w:rsidP="00CE79D5">
            <w:pPr>
              <w:pStyle w:val="naiskr"/>
              <w:spacing w:before="0" w:after="0"/>
              <w:jc w:val="both"/>
              <w:rPr>
                <w:i/>
                <w:sz w:val="25"/>
                <w:szCs w:val="25"/>
                <w:lang w:eastAsia="en-US"/>
              </w:rPr>
            </w:pPr>
            <w:r w:rsidRPr="009C01AE">
              <w:rPr>
                <w:i/>
                <w:sz w:val="25"/>
                <w:szCs w:val="25"/>
                <w:lang w:eastAsia="en-US"/>
              </w:rPr>
              <w:t>neparedz stingrākas prasības</w:t>
            </w:r>
          </w:p>
        </w:tc>
      </w:tr>
      <w:tr w:rsidR="00851750" w:rsidRPr="009C01AE" w:rsidTr="00EA3C58">
        <w:tblPrEx>
          <w:tblBorders>
            <w:insideH w:val="none" w:sz="0" w:space="0" w:color="auto"/>
            <w:insideV w:val="none" w:sz="0" w:space="0" w:color="auto"/>
          </w:tblBorders>
        </w:tblPrEx>
        <w:trPr>
          <w:tblCellSpacing w:w="15" w:type="dxa"/>
        </w:trPr>
        <w:tc>
          <w:tcPr>
            <w:tcW w:w="913" w:type="pct"/>
            <w:gridSpan w:val="2"/>
            <w:tcBorders>
              <w:top w:val="outset" w:sz="6" w:space="0" w:color="auto"/>
              <w:left w:val="outset" w:sz="6" w:space="0" w:color="auto"/>
              <w:bottom w:val="outset" w:sz="6" w:space="0" w:color="auto"/>
              <w:right w:val="outset" w:sz="6" w:space="0" w:color="auto"/>
            </w:tcBorders>
            <w:vAlign w:val="center"/>
          </w:tcPr>
          <w:p w:rsidR="00851750" w:rsidRPr="009C01AE" w:rsidRDefault="00851750" w:rsidP="00CE79D5">
            <w:pPr>
              <w:pStyle w:val="naiskr"/>
              <w:spacing w:before="0" w:after="0"/>
              <w:jc w:val="both"/>
              <w:rPr>
                <w:sz w:val="25"/>
                <w:szCs w:val="25"/>
                <w:lang w:eastAsia="en-US"/>
              </w:rPr>
            </w:pPr>
            <w:r w:rsidRPr="009C01AE">
              <w:rPr>
                <w:sz w:val="25"/>
                <w:szCs w:val="25"/>
                <w:lang w:eastAsia="en-US"/>
              </w:rPr>
              <w:t>Regula Nr.</w:t>
            </w:r>
            <w:r w:rsidRPr="009C01AE">
              <w:rPr>
                <w:sz w:val="25"/>
                <w:szCs w:val="25"/>
              </w:rPr>
              <w:t xml:space="preserve"> 717/2014 3.panta 2.punkts</w:t>
            </w:r>
          </w:p>
        </w:tc>
        <w:tc>
          <w:tcPr>
            <w:tcW w:w="1000" w:type="pct"/>
            <w:gridSpan w:val="2"/>
            <w:tcBorders>
              <w:top w:val="outset" w:sz="6" w:space="0" w:color="auto"/>
              <w:left w:val="outset" w:sz="6" w:space="0" w:color="auto"/>
              <w:bottom w:val="outset" w:sz="6" w:space="0" w:color="auto"/>
              <w:right w:val="outset" w:sz="6" w:space="0" w:color="auto"/>
            </w:tcBorders>
          </w:tcPr>
          <w:p w:rsidR="00851750" w:rsidRPr="009C01AE" w:rsidRDefault="00851750" w:rsidP="00851750">
            <w:pPr>
              <w:rPr>
                <w:rFonts w:ascii="Times New Roman" w:hAnsi="Times New Roman" w:cs="Times New Roman"/>
                <w:sz w:val="25"/>
                <w:szCs w:val="25"/>
              </w:rPr>
            </w:pPr>
            <w:r w:rsidRPr="009C01AE">
              <w:rPr>
                <w:rFonts w:ascii="Times New Roman" w:hAnsi="Times New Roman" w:cs="Times New Roman"/>
                <w:sz w:val="25"/>
                <w:szCs w:val="25"/>
              </w:rPr>
              <w:t xml:space="preserve">Noteikumu projekta </w:t>
            </w:r>
            <w:r w:rsidR="008D19DA" w:rsidRPr="009C01AE">
              <w:rPr>
                <w:rFonts w:ascii="Times New Roman" w:hAnsi="Times New Roman" w:cs="Times New Roman"/>
                <w:sz w:val="25"/>
                <w:szCs w:val="25"/>
              </w:rPr>
              <w:t>1.</w:t>
            </w:r>
            <w:r w:rsidR="00C17AC8" w:rsidRPr="009C01AE">
              <w:rPr>
                <w:rFonts w:ascii="Times New Roman" w:hAnsi="Times New Roman" w:cs="Times New Roman"/>
                <w:sz w:val="25"/>
                <w:szCs w:val="25"/>
              </w:rPr>
              <w:t>3</w:t>
            </w:r>
            <w:r w:rsidRPr="009C01AE">
              <w:rPr>
                <w:rFonts w:ascii="Times New Roman" w:hAnsi="Times New Roman" w:cs="Times New Roman"/>
                <w:sz w:val="25"/>
                <w:szCs w:val="25"/>
              </w:rPr>
              <w:t>.punkts ar ko groza MK noteikumu Nr.582 8.2.8.</w:t>
            </w:r>
            <w:r w:rsidR="00C17AC8" w:rsidRPr="009C01AE">
              <w:rPr>
                <w:rFonts w:ascii="Times New Roman" w:hAnsi="Times New Roman" w:cs="Times New Roman"/>
                <w:sz w:val="25"/>
                <w:szCs w:val="25"/>
              </w:rPr>
              <w:t xml:space="preserve"> apakš</w:t>
            </w:r>
            <w:r w:rsidRPr="009C01AE">
              <w:rPr>
                <w:rFonts w:ascii="Times New Roman" w:hAnsi="Times New Roman" w:cs="Times New Roman"/>
                <w:sz w:val="25"/>
                <w:szCs w:val="25"/>
              </w:rPr>
              <w:t>punktu.</w:t>
            </w:r>
          </w:p>
        </w:tc>
        <w:tc>
          <w:tcPr>
            <w:tcW w:w="1280" w:type="pct"/>
            <w:gridSpan w:val="2"/>
            <w:tcBorders>
              <w:top w:val="outset" w:sz="6" w:space="0" w:color="auto"/>
              <w:left w:val="outset" w:sz="6" w:space="0" w:color="auto"/>
              <w:bottom w:val="outset" w:sz="6" w:space="0" w:color="auto"/>
              <w:right w:val="outset" w:sz="6" w:space="0" w:color="auto"/>
            </w:tcBorders>
            <w:vAlign w:val="center"/>
          </w:tcPr>
          <w:p w:rsidR="00851750" w:rsidRPr="009C01AE" w:rsidRDefault="00851750" w:rsidP="001D1A9F">
            <w:pPr>
              <w:pStyle w:val="naiskr"/>
              <w:spacing w:before="0" w:after="0"/>
              <w:jc w:val="both"/>
              <w:rPr>
                <w:i/>
                <w:sz w:val="25"/>
                <w:szCs w:val="25"/>
                <w:lang w:eastAsia="en-US"/>
              </w:rPr>
            </w:pPr>
            <w:r w:rsidRPr="009C01AE">
              <w:rPr>
                <w:i/>
                <w:sz w:val="25"/>
                <w:szCs w:val="25"/>
                <w:lang w:eastAsia="en-US"/>
              </w:rPr>
              <w:t>ieviesta pilnībā</w:t>
            </w:r>
          </w:p>
        </w:tc>
        <w:tc>
          <w:tcPr>
            <w:tcW w:w="1716" w:type="pct"/>
            <w:tcBorders>
              <w:top w:val="outset" w:sz="6" w:space="0" w:color="auto"/>
              <w:left w:val="outset" w:sz="6" w:space="0" w:color="auto"/>
              <w:bottom w:val="outset" w:sz="6" w:space="0" w:color="auto"/>
              <w:right w:val="outset" w:sz="6" w:space="0" w:color="auto"/>
            </w:tcBorders>
            <w:vAlign w:val="center"/>
          </w:tcPr>
          <w:p w:rsidR="00851750" w:rsidRPr="009C01AE" w:rsidRDefault="00851750" w:rsidP="001D1A9F">
            <w:pPr>
              <w:pStyle w:val="naiskr"/>
              <w:spacing w:before="0" w:after="0"/>
              <w:jc w:val="both"/>
              <w:rPr>
                <w:i/>
                <w:sz w:val="25"/>
                <w:szCs w:val="25"/>
                <w:lang w:eastAsia="en-US"/>
              </w:rPr>
            </w:pPr>
            <w:r w:rsidRPr="009C01AE">
              <w:rPr>
                <w:i/>
                <w:sz w:val="25"/>
                <w:szCs w:val="25"/>
                <w:lang w:eastAsia="en-US"/>
              </w:rPr>
              <w:t>neparedz stingrākas prasības</w:t>
            </w:r>
          </w:p>
        </w:tc>
      </w:tr>
      <w:tr w:rsidR="00C17AC8" w:rsidRPr="009C01AE" w:rsidTr="00EA3C58">
        <w:tblPrEx>
          <w:tblBorders>
            <w:insideH w:val="none" w:sz="0" w:space="0" w:color="auto"/>
            <w:insideV w:val="none" w:sz="0" w:space="0" w:color="auto"/>
          </w:tblBorders>
        </w:tblPrEx>
        <w:trPr>
          <w:tblCellSpacing w:w="15" w:type="dxa"/>
        </w:trPr>
        <w:tc>
          <w:tcPr>
            <w:tcW w:w="913" w:type="pct"/>
            <w:gridSpan w:val="2"/>
            <w:tcBorders>
              <w:top w:val="outset" w:sz="6" w:space="0" w:color="auto"/>
              <w:left w:val="outset" w:sz="6" w:space="0" w:color="auto"/>
              <w:bottom w:val="outset" w:sz="6" w:space="0" w:color="auto"/>
              <w:right w:val="outset" w:sz="6" w:space="0" w:color="auto"/>
            </w:tcBorders>
            <w:vAlign w:val="center"/>
          </w:tcPr>
          <w:p w:rsidR="00C17AC8" w:rsidRPr="009C01AE" w:rsidRDefault="00C17AC8" w:rsidP="00CE79D5">
            <w:pPr>
              <w:pStyle w:val="naiskr"/>
              <w:spacing w:before="0" w:after="0"/>
              <w:jc w:val="both"/>
              <w:rPr>
                <w:sz w:val="25"/>
                <w:szCs w:val="25"/>
                <w:lang w:eastAsia="en-US"/>
              </w:rPr>
            </w:pPr>
            <w:r w:rsidRPr="009C01AE">
              <w:rPr>
                <w:sz w:val="25"/>
                <w:szCs w:val="25"/>
                <w:lang w:eastAsia="en-US"/>
              </w:rPr>
              <w:t>Regula Nr.</w:t>
            </w:r>
            <w:r w:rsidRPr="009C01AE">
              <w:rPr>
                <w:sz w:val="25"/>
                <w:szCs w:val="25"/>
              </w:rPr>
              <w:t xml:space="preserve"> 1407/2013 3.panta 2.punkts</w:t>
            </w:r>
          </w:p>
        </w:tc>
        <w:tc>
          <w:tcPr>
            <w:tcW w:w="1000" w:type="pct"/>
            <w:gridSpan w:val="2"/>
            <w:tcBorders>
              <w:top w:val="outset" w:sz="6" w:space="0" w:color="auto"/>
              <w:left w:val="outset" w:sz="6" w:space="0" w:color="auto"/>
              <w:bottom w:val="outset" w:sz="6" w:space="0" w:color="auto"/>
              <w:right w:val="outset" w:sz="6" w:space="0" w:color="auto"/>
            </w:tcBorders>
          </w:tcPr>
          <w:p w:rsidR="00C17AC8" w:rsidRPr="009C01AE" w:rsidRDefault="00C17AC8" w:rsidP="00851750">
            <w:pPr>
              <w:rPr>
                <w:rFonts w:ascii="Times New Roman" w:hAnsi="Times New Roman" w:cs="Times New Roman"/>
                <w:sz w:val="25"/>
                <w:szCs w:val="25"/>
              </w:rPr>
            </w:pPr>
            <w:r w:rsidRPr="009C01AE">
              <w:rPr>
                <w:rFonts w:ascii="Times New Roman" w:hAnsi="Times New Roman" w:cs="Times New Roman"/>
                <w:sz w:val="25"/>
                <w:szCs w:val="25"/>
              </w:rPr>
              <w:t xml:space="preserve">Noteikumu projekta </w:t>
            </w:r>
            <w:r w:rsidR="008D19DA" w:rsidRPr="009C01AE">
              <w:rPr>
                <w:rFonts w:ascii="Times New Roman" w:hAnsi="Times New Roman" w:cs="Times New Roman"/>
                <w:sz w:val="25"/>
                <w:szCs w:val="25"/>
              </w:rPr>
              <w:t>1.</w:t>
            </w:r>
            <w:r w:rsidRPr="009C01AE">
              <w:rPr>
                <w:rFonts w:ascii="Times New Roman" w:hAnsi="Times New Roman" w:cs="Times New Roman"/>
                <w:sz w:val="25"/>
                <w:szCs w:val="25"/>
              </w:rPr>
              <w:t>3.punkts ar ko groza MK noteikumu Nr.582 8.2.8. apakšpunktu.</w:t>
            </w:r>
          </w:p>
        </w:tc>
        <w:tc>
          <w:tcPr>
            <w:tcW w:w="1280" w:type="pct"/>
            <w:gridSpan w:val="2"/>
            <w:tcBorders>
              <w:top w:val="outset" w:sz="6" w:space="0" w:color="auto"/>
              <w:left w:val="outset" w:sz="6" w:space="0" w:color="auto"/>
              <w:bottom w:val="outset" w:sz="6" w:space="0" w:color="auto"/>
              <w:right w:val="outset" w:sz="6" w:space="0" w:color="auto"/>
            </w:tcBorders>
            <w:vAlign w:val="center"/>
          </w:tcPr>
          <w:p w:rsidR="00C17AC8" w:rsidRPr="009C01AE" w:rsidRDefault="00C17AC8" w:rsidP="001D1A9F">
            <w:pPr>
              <w:pStyle w:val="naiskr"/>
              <w:spacing w:before="0" w:after="0"/>
              <w:jc w:val="both"/>
              <w:rPr>
                <w:i/>
                <w:sz w:val="25"/>
                <w:szCs w:val="25"/>
                <w:lang w:eastAsia="en-US"/>
              </w:rPr>
            </w:pPr>
            <w:r w:rsidRPr="009C01AE">
              <w:rPr>
                <w:i/>
                <w:sz w:val="25"/>
                <w:szCs w:val="25"/>
                <w:lang w:eastAsia="en-US"/>
              </w:rPr>
              <w:t>ieviesta pilnībā</w:t>
            </w:r>
          </w:p>
        </w:tc>
        <w:tc>
          <w:tcPr>
            <w:tcW w:w="1716" w:type="pct"/>
            <w:tcBorders>
              <w:top w:val="outset" w:sz="6" w:space="0" w:color="auto"/>
              <w:left w:val="outset" w:sz="6" w:space="0" w:color="auto"/>
              <w:bottom w:val="outset" w:sz="6" w:space="0" w:color="auto"/>
              <w:right w:val="outset" w:sz="6" w:space="0" w:color="auto"/>
            </w:tcBorders>
            <w:vAlign w:val="center"/>
          </w:tcPr>
          <w:p w:rsidR="00C17AC8" w:rsidRPr="009C01AE" w:rsidRDefault="00C17AC8" w:rsidP="001D1A9F">
            <w:pPr>
              <w:pStyle w:val="naiskr"/>
              <w:spacing w:before="0" w:after="0"/>
              <w:jc w:val="both"/>
              <w:rPr>
                <w:i/>
                <w:sz w:val="25"/>
                <w:szCs w:val="25"/>
                <w:lang w:eastAsia="en-US"/>
              </w:rPr>
            </w:pPr>
            <w:r w:rsidRPr="009C01AE">
              <w:rPr>
                <w:i/>
                <w:sz w:val="25"/>
                <w:szCs w:val="25"/>
                <w:lang w:eastAsia="en-US"/>
              </w:rPr>
              <w:t>neparedz stingrākas prasības</w:t>
            </w:r>
          </w:p>
        </w:tc>
      </w:tr>
      <w:tr w:rsidR="00C17AC8" w:rsidRPr="009C01AE" w:rsidTr="00C17AC8">
        <w:tblPrEx>
          <w:tblBorders>
            <w:insideH w:val="none" w:sz="0" w:space="0" w:color="auto"/>
            <w:insideV w:val="none" w:sz="0" w:space="0" w:color="auto"/>
          </w:tblBorders>
        </w:tblPrEx>
        <w:trPr>
          <w:tblCellSpacing w:w="15" w:type="dxa"/>
        </w:trPr>
        <w:tc>
          <w:tcPr>
            <w:tcW w:w="913" w:type="pct"/>
            <w:gridSpan w:val="2"/>
            <w:tcBorders>
              <w:top w:val="outset" w:sz="6" w:space="0" w:color="auto"/>
              <w:left w:val="outset" w:sz="6" w:space="0" w:color="auto"/>
              <w:bottom w:val="outset" w:sz="6" w:space="0" w:color="auto"/>
              <w:right w:val="outset" w:sz="6" w:space="0" w:color="auto"/>
            </w:tcBorders>
            <w:vAlign w:val="center"/>
          </w:tcPr>
          <w:p w:rsidR="00C17AC8" w:rsidRPr="009C01AE" w:rsidRDefault="00C17AC8" w:rsidP="00D031F3">
            <w:pPr>
              <w:pStyle w:val="naiskr"/>
              <w:spacing w:before="0" w:after="0"/>
              <w:jc w:val="both"/>
              <w:rPr>
                <w:sz w:val="25"/>
                <w:szCs w:val="25"/>
                <w:lang w:eastAsia="en-US"/>
              </w:rPr>
            </w:pPr>
            <w:r w:rsidRPr="009C01AE">
              <w:rPr>
                <w:sz w:val="25"/>
                <w:szCs w:val="25"/>
                <w:lang w:eastAsia="en-US"/>
              </w:rPr>
              <w:t>Regula Nr.1407/2013 6.panta 4.punkts</w:t>
            </w:r>
          </w:p>
        </w:tc>
        <w:tc>
          <w:tcPr>
            <w:tcW w:w="1000" w:type="pct"/>
            <w:gridSpan w:val="2"/>
            <w:tcBorders>
              <w:top w:val="outset" w:sz="6" w:space="0" w:color="auto"/>
              <w:left w:val="outset" w:sz="6" w:space="0" w:color="auto"/>
              <w:bottom w:val="outset" w:sz="6" w:space="0" w:color="auto"/>
              <w:right w:val="outset" w:sz="6" w:space="0" w:color="auto"/>
            </w:tcBorders>
          </w:tcPr>
          <w:p w:rsidR="00C17AC8" w:rsidRPr="009C01AE" w:rsidRDefault="008D19DA" w:rsidP="00D031F3">
            <w:pPr>
              <w:rPr>
                <w:rFonts w:ascii="Times New Roman" w:hAnsi="Times New Roman" w:cs="Times New Roman"/>
                <w:sz w:val="25"/>
                <w:szCs w:val="25"/>
              </w:rPr>
            </w:pPr>
            <w:r w:rsidRPr="009C01AE">
              <w:rPr>
                <w:rFonts w:ascii="Times New Roman" w:hAnsi="Times New Roman" w:cs="Times New Roman"/>
                <w:sz w:val="25"/>
                <w:szCs w:val="25"/>
              </w:rPr>
              <w:t>Noteikumu projekta 1.19</w:t>
            </w:r>
            <w:r w:rsidR="00C17AC8" w:rsidRPr="009C01AE">
              <w:rPr>
                <w:rFonts w:ascii="Times New Roman" w:hAnsi="Times New Roman" w:cs="Times New Roman"/>
                <w:sz w:val="25"/>
                <w:szCs w:val="25"/>
              </w:rPr>
              <w:t>.punkts, ar kuru MK noteikumus Nr.582 papildina ar 69.</w:t>
            </w:r>
            <w:r w:rsidR="00C17AC8" w:rsidRPr="009C01AE">
              <w:rPr>
                <w:rFonts w:ascii="Times New Roman" w:hAnsi="Times New Roman" w:cs="Times New Roman"/>
                <w:sz w:val="25"/>
                <w:szCs w:val="25"/>
                <w:vertAlign w:val="superscript"/>
              </w:rPr>
              <w:t>1</w:t>
            </w:r>
            <w:r w:rsidR="00C17AC8" w:rsidRPr="009C01AE">
              <w:rPr>
                <w:rFonts w:ascii="Times New Roman" w:hAnsi="Times New Roman" w:cs="Times New Roman"/>
                <w:sz w:val="25"/>
                <w:szCs w:val="25"/>
              </w:rPr>
              <w:t xml:space="preserve"> punktu</w:t>
            </w:r>
          </w:p>
        </w:tc>
        <w:tc>
          <w:tcPr>
            <w:tcW w:w="1280" w:type="pct"/>
            <w:gridSpan w:val="2"/>
            <w:tcBorders>
              <w:top w:val="outset" w:sz="6" w:space="0" w:color="auto"/>
              <w:left w:val="outset" w:sz="6" w:space="0" w:color="auto"/>
              <w:bottom w:val="outset" w:sz="6" w:space="0" w:color="auto"/>
              <w:right w:val="outset" w:sz="6" w:space="0" w:color="auto"/>
            </w:tcBorders>
            <w:vAlign w:val="center"/>
          </w:tcPr>
          <w:p w:rsidR="00C17AC8" w:rsidRPr="009C01AE" w:rsidRDefault="00C17AC8" w:rsidP="00D031F3">
            <w:pPr>
              <w:pStyle w:val="naiskr"/>
              <w:spacing w:before="0" w:after="0"/>
              <w:jc w:val="both"/>
              <w:rPr>
                <w:i/>
                <w:sz w:val="25"/>
                <w:szCs w:val="25"/>
                <w:lang w:eastAsia="en-US"/>
              </w:rPr>
            </w:pPr>
            <w:r w:rsidRPr="009C01AE">
              <w:rPr>
                <w:i/>
                <w:sz w:val="25"/>
                <w:szCs w:val="25"/>
                <w:lang w:eastAsia="en-US"/>
              </w:rPr>
              <w:t>ieviesta pilnībā</w:t>
            </w:r>
          </w:p>
        </w:tc>
        <w:tc>
          <w:tcPr>
            <w:tcW w:w="1716" w:type="pct"/>
            <w:tcBorders>
              <w:top w:val="outset" w:sz="6" w:space="0" w:color="auto"/>
              <w:left w:val="outset" w:sz="6" w:space="0" w:color="auto"/>
              <w:bottom w:val="outset" w:sz="6" w:space="0" w:color="auto"/>
              <w:right w:val="outset" w:sz="6" w:space="0" w:color="auto"/>
            </w:tcBorders>
            <w:vAlign w:val="center"/>
          </w:tcPr>
          <w:p w:rsidR="00C17AC8" w:rsidRPr="009C01AE" w:rsidRDefault="00C17AC8" w:rsidP="00D031F3">
            <w:pPr>
              <w:pStyle w:val="naiskr"/>
              <w:spacing w:before="0" w:after="0"/>
              <w:jc w:val="both"/>
              <w:rPr>
                <w:i/>
                <w:sz w:val="25"/>
                <w:szCs w:val="25"/>
                <w:lang w:eastAsia="en-US"/>
              </w:rPr>
            </w:pPr>
            <w:r w:rsidRPr="009C01AE">
              <w:rPr>
                <w:i/>
                <w:sz w:val="25"/>
                <w:szCs w:val="25"/>
                <w:lang w:eastAsia="en-US"/>
              </w:rPr>
              <w:t>neparedz stingrākas prasības</w:t>
            </w:r>
          </w:p>
        </w:tc>
      </w:tr>
      <w:tr w:rsidR="00CE79D5" w:rsidRPr="009C01AE" w:rsidTr="00C17AC8">
        <w:tblPrEx>
          <w:tblBorders>
            <w:insideH w:val="none" w:sz="0" w:space="0" w:color="auto"/>
            <w:insideV w:val="none" w:sz="0" w:space="0" w:color="auto"/>
          </w:tblBorders>
        </w:tblPrEx>
        <w:trPr>
          <w:tblCellSpacing w:w="15" w:type="dxa"/>
        </w:trPr>
        <w:tc>
          <w:tcPr>
            <w:tcW w:w="2932" w:type="pct"/>
            <w:gridSpan w:val="5"/>
            <w:tcBorders>
              <w:top w:val="outset" w:sz="6" w:space="0" w:color="auto"/>
              <w:left w:val="outset" w:sz="6" w:space="0" w:color="auto"/>
              <w:bottom w:val="outset" w:sz="6" w:space="0" w:color="auto"/>
              <w:right w:val="outset" w:sz="6" w:space="0" w:color="auto"/>
            </w:tcBorders>
            <w:vAlign w:val="center"/>
            <w:hideMark/>
          </w:tcPr>
          <w:p w:rsidR="00CE79D5" w:rsidRPr="009C01AE" w:rsidRDefault="00CE79D5" w:rsidP="00CE79D5">
            <w:pPr>
              <w:spacing w:after="0" w:line="240" w:lineRule="auto"/>
              <w:jc w:val="both"/>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Kā ir izmantota ES tiesību aktā paredzētā rīcības brīvība dalībvalstij pārņemt vai ieviest noteiktas ES tiesību akta normas.</w:t>
            </w:r>
          </w:p>
        </w:tc>
        <w:tc>
          <w:tcPr>
            <w:tcW w:w="2013" w:type="pct"/>
            <w:gridSpan w:val="2"/>
            <w:tcBorders>
              <w:top w:val="outset" w:sz="6" w:space="0" w:color="auto"/>
              <w:left w:val="outset" w:sz="6" w:space="0" w:color="auto"/>
              <w:bottom w:val="outset" w:sz="6" w:space="0" w:color="auto"/>
              <w:right w:val="outset" w:sz="6" w:space="0" w:color="auto"/>
            </w:tcBorders>
            <w:hideMark/>
          </w:tcPr>
          <w:p w:rsidR="00CE79D5" w:rsidRPr="009C01AE" w:rsidRDefault="00CE79D5" w:rsidP="00CE79D5">
            <w:pPr>
              <w:spacing w:after="0" w:line="240" w:lineRule="auto"/>
              <w:jc w:val="both"/>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Nav attiecināms.</w:t>
            </w:r>
          </w:p>
        </w:tc>
      </w:tr>
      <w:tr w:rsidR="00CE79D5" w:rsidRPr="009C01AE" w:rsidTr="00C17AC8">
        <w:tblPrEx>
          <w:tblBorders>
            <w:insideH w:val="none" w:sz="0" w:space="0" w:color="auto"/>
            <w:insideV w:val="none" w:sz="0" w:space="0" w:color="auto"/>
          </w:tblBorders>
        </w:tblPrEx>
        <w:trPr>
          <w:tblCellSpacing w:w="15" w:type="dxa"/>
        </w:trPr>
        <w:tc>
          <w:tcPr>
            <w:tcW w:w="2932" w:type="pct"/>
            <w:gridSpan w:val="5"/>
            <w:tcBorders>
              <w:top w:val="outset" w:sz="6" w:space="0" w:color="auto"/>
              <w:left w:val="outset" w:sz="6" w:space="0" w:color="auto"/>
              <w:bottom w:val="outset" w:sz="6" w:space="0" w:color="auto"/>
              <w:right w:val="outset" w:sz="6" w:space="0" w:color="auto"/>
            </w:tcBorders>
            <w:vAlign w:val="center"/>
            <w:hideMark/>
          </w:tcPr>
          <w:p w:rsidR="00CE79D5" w:rsidRPr="009C01AE" w:rsidRDefault="00CE79D5" w:rsidP="00CE79D5">
            <w:pPr>
              <w:spacing w:after="0" w:line="240" w:lineRule="auto"/>
              <w:jc w:val="both"/>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013" w:type="pct"/>
            <w:gridSpan w:val="2"/>
            <w:tcBorders>
              <w:top w:val="outset" w:sz="6" w:space="0" w:color="auto"/>
              <w:left w:val="outset" w:sz="6" w:space="0" w:color="auto"/>
              <w:bottom w:val="outset" w:sz="6" w:space="0" w:color="auto"/>
              <w:right w:val="outset" w:sz="6" w:space="0" w:color="auto"/>
            </w:tcBorders>
            <w:hideMark/>
          </w:tcPr>
          <w:p w:rsidR="00CE79D5" w:rsidRPr="009C01AE" w:rsidRDefault="00CE79D5" w:rsidP="00CE79D5">
            <w:pPr>
              <w:spacing w:after="0" w:line="240" w:lineRule="auto"/>
              <w:jc w:val="both"/>
              <w:rPr>
                <w:rFonts w:ascii="Times New Roman" w:eastAsia="Times New Roman" w:hAnsi="Times New Roman" w:cs="Times New Roman"/>
                <w:sz w:val="25"/>
                <w:szCs w:val="25"/>
                <w:lang w:eastAsia="lv-LV"/>
              </w:rPr>
            </w:pPr>
            <w:r w:rsidRPr="009C01AE">
              <w:rPr>
                <w:rFonts w:ascii="Times New Roman" w:hAnsi="Times New Roman" w:cs="Times New Roman"/>
                <w:sz w:val="25"/>
                <w:szCs w:val="25"/>
              </w:rPr>
              <w:t>Nav attiecināms.</w:t>
            </w:r>
          </w:p>
        </w:tc>
      </w:tr>
      <w:tr w:rsidR="00CE79D5" w:rsidRPr="009C01AE" w:rsidTr="00C17AC8">
        <w:tblPrEx>
          <w:tblBorders>
            <w:insideH w:val="none" w:sz="0" w:space="0" w:color="auto"/>
            <w:insideV w:val="none" w:sz="0" w:space="0" w:color="auto"/>
          </w:tblBorders>
        </w:tblPrEx>
        <w:trPr>
          <w:tblCellSpacing w:w="15" w:type="dxa"/>
        </w:trPr>
        <w:tc>
          <w:tcPr>
            <w:tcW w:w="2932" w:type="pct"/>
            <w:gridSpan w:val="5"/>
            <w:tcBorders>
              <w:top w:val="outset" w:sz="6" w:space="0" w:color="auto"/>
              <w:left w:val="outset" w:sz="6" w:space="0" w:color="auto"/>
              <w:bottom w:val="outset" w:sz="6" w:space="0" w:color="auto"/>
              <w:right w:val="outset" w:sz="6" w:space="0" w:color="auto"/>
            </w:tcBorders>
            <w:hideMark/>
          </w:tcPr>
          <w:p w:rsidR="00CE79D5" w:rsidRPr="009C01AE" w:rsidRDefault="00CE79D5" w:rsidP="00CE79D5">
            <w:pPr>
              <w:spacing w:after="0" w:line="240" w:lineRule="auto"/>
              <w:jc w:val="both"/>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Cita informācija</w:t>
            </w:r>
          </w:p>
        </w:tc>
        <w:tc>
          <w:tcPr>
            <w:tcW w:w="2013" w:type="pct"/>
            <w:gridSpan w:val="2"/>
            <w:tcBorders>
              <w:top w:val="outset" w:sz="6" w:space="0" w:color="auto"/>
              <w:left w:val="outset" w:sz="6" w:space="0" w:color="auto"/>
              <w:bottom w:val="outset" w:sz="6" w:space="0" w:color="auto"/>
              <w:right w:val="outset" w:sz="6" w:space="0" w:color="auto"/>
            </w:tcBorders>
            <w:hideMark/>
          </w:tcPr>
          <w:p w:rsidR="00CE79D5" w:rsidRPr="009C01AE" w:rsidRDefault="00CE79D5" w:rsidP="00CE79D5">
            <w:pPr>
              <w:spacing w:after="0" w:line="240" w:lineRule="auto"/>
              <w:jc w:val="both"/>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Nav</w:t>
            </w:r>
          </w:p>
        </w:tc>
      </w:tr>
    </w:tbl>
    <w:p w:rsidR="00810A68" w:rsidRPr="009C01AE" w:rsidRDefault="00810A68" w:rsidP="00810A68">
      <w:pPr>
        <w:tabs>
          <w:tab w:val="left" w:pos="7655"/>
        </w:tabs>
        <w:spacing w:line="240" w:lineRule="auto"/>
        <w:jc w:val="both"/>
        <w:rPr>
          <w:rFonts w:ascii="Times New Roman" w:hAnsi="Times New Roman" w:cs="Times New Roman"/>
          <w:bCs/>
          <w:sz w:val="25"/>
          <w:szCs w:val="25"/>
        </w:rPr>
      </w:pP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09"/>
        <w:gridCol w:w="4536"/>
        <w:gridCol w:w="3119"/>
      </w:tblGrid>
      <w:tr w:rsidR="00810A68" w:rsidRPr="009C01AE" w:rsidTr="00E152A9">
        <w:tc>
          <w:tcPr>
            <w:tcW w:w="8364"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line="240" w:lineRule="auto"/>
              <w:jc w:val="center"/>
              <w:rPr>
                <w:rFonts w:ascii="Times New Roman" w:eastAsia="Times New Roman" w:hAnsi="Times New Roman" w:cs="Times New Roman"/>
                <w:b/>
                <w:sz w:val="25"/>
                <w:szCs w:val="25"/>
                <w:lang w:eastAsia="lv-LV"/>
              </w:rPr>
            </w:pPr>
            <w:r w:rsidRPr="009C01AE">
              <w:rPr>
                <w:rFonts w:ascii="Times New Roman" w:eastAsia="Times New Roman" w:hAnsi="Times New Roman" w:cs="Times New Roman"/>
                <w:b/>
                <w:sz w:val="25"/>
                <w:szCs w:val="25"/>
                <w:lang w:eastAsia="lv-LV"/>
              </w:rPr>
              <w:t>VII. Tiesību akta projekta izpildes nodrošināšana un tās ietekme uz institūcijām</w:t>
            </w:r>
          </w:p>
        </w:tc>
      </w:tr>
      <w:tr w:rsidR="00810A68" w:rsidRPr="009C01AE" w:rsidTr="00F22871">
        <w:trPr>
          <w:trHeight w:val="438"/>
        </w:trPr>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1.</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Projekta izpildē iesaistītās institūcijas</w:t>
            </w:r>
          </w:p>
        </w:tc>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line="240" w:lineRule="auto"/>
              <w:ind w:left="142"/>
              <w:jc w:val="both"/>
              <w:rPr>
                <w:rFonts w:ascii="Times New Roman" w:hAnsi="Times New Roman" w:cs="Times New Roman"/>
                <w:sz w:val="25"/>
                <w:szCs w:val="25"/>
                <w:lang w:eastAsia="lv-LV"/>
              </w:rPr>
            </w:pPr>
            <w:r w:rsidRPr="009C01AE">
              <w:rPr>
                <w:rFonts w:ascii="Times New Roman" w:hAnsi="Times New Roman" w:cs="Times New Roman"/>
                <w:sz w:val="25"/>
                <w:szCs w:val="25"/>
              </w:rPr>
              <w:t>Noteikumu projekta izpildē ir iesaistīta Latvijas Investīcijas un attīstības aģentūra.</w:t>
            </w:r>
          </w:p>
        </w:tc>
      </w:tr>
      <w:tr w:rsidR="00810A68" w:rsidRPr="009C01AE" w:rsidTr="00F22871">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2.</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Projekta izpildes ietekme uz pārvaldes funkcijām un institucionālo struktūru.</w:t>
            </w:r>
          </w:p>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Jaunu institūciju izveide, esošu institūciju likvidācija vai reorganizācija, to ietekme uz institūcijas cilvēkresursiem</w:t>
            </w:r>
          </w:p>
        </w:tc>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line="240" w:lineRule="auto"/>
              <w:ind w:left="142"/>
              <w:jc w:val="both"/>
              <w:rPr>
                <w:rFonts w:ascii="Times New Roman" w:hAnsi="Times New Roman" w:cs="Times New Roman"/>
                <w:sz w:val="25"/>
                <w:szCs w:val="25"/>
              </w:rPr>
            </w:pPr>
            <w:r w:rsidRPr="009C01AE">
              <w:rPr>
                <w:rFonts w:ascii="Times New Roman" w:hAnsi="Times New Roman" w:cs="Times New Roman"/>
                <w:sz w:val="25"/>
                <w:szCs w:val="25"/>
              </w:rPr>
              <w:t>Noteikumu projekta izpildi nodrošinās Latvijas Investīcijas un attīstības aģentūra</w:t>
            </w:r>
            <w:r w:rsidR="00851750" w:rsidRPr="009C01AE">
              <w:rPr>
                <w:rFonts w:ascii="Times New Roman" w:hAnsi="Times New Roman" w:cs="Times New Roman"/>
                <w:sz w:val="25"/>
                <w:szCs w:val="25"/>
              </w:rPr>
              <w:t>s</w:t>
            </w:r>
            <w:r w:rsidRPr="009C01AE">
              <w:rPr>
                <w:rFonts w:ascii="Times New Roman" w:hAnsi="Times New Roman" w:cs="Times New Roman"/>
                <w:sz w:val="25"/>
                <w:szCs w:val="25"/>
              </w:rPr>
              <w:t xml:space="preserve"> darbības ietvaros.</w:t>
            </w:r>
          </w:p>
        </w:tc>
      </w:tr>
      <w:tr w:rsidR="00810A68" w:rsidRPr="009C01AE" w:rsidTr="00F22871">
        <w:trPr>
          <w:trHeight w:val="23"/>
        </w:trPr>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F22871">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3.</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F22871">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Cita informācija</w:t>
            </w:r>
          </w:p>
        </w:tc>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F22871">
            <w:pPr>
              <w:spacing w:after="0" w:line="240" w:lineRule="auto"/>
              <w:ind w:firstLine="284"/>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Nav</w:t>
            </w:r>
          </w:p>
        </w:tc>
      </w:tr>
    </w:tbl>
    <w:p w:rsidR="00810A68" w:rsidRPr="009C01AE" w:rsidRDefault="00810A68" w:rsidP="00810A68">
      <w:pPr>
        <w:tabs>
          <w:tab w:val="left" w:pos="6710"/>
        </w:tabs>
        <w:spacing w:after="0" w:line="240" w:lineRule="auto"/>
        <w:rPr>
          <w:rFonts w:ascii="Times New Roman" w:eastAsia="Times New Roman" w:hAnsi="Times New Roman" w:cs="Times New Roman"/>
          <w:b/>
          <w:sz w:val="25"/>
          <w:szCs w:val="25"/>
          <w:lang w:eastAsia="lv-LV"/>
        </w:rPr>
      </w:pPr>
      <w:r w:rsidRPr="009C01AE">
        <w:rPr>
          <w:rFonts w:ascii="Times New Roman" w:eastAsia="Times New Roman" w:hAnsi="Times New Roman" w:cs="Times New Roman"/>
          <w:b/>
          <w:sz w:val="25"/>
          <w:szCs w:val="25"/>
          <w:lang w:eastAsia="lv-LV"/>
        </w:rPr>
        <w:t>Anotācijas III.</w:t>
      </w:r>
      <w:r w:rsidR="002475D0" w:rsidRPr="009C01AE">
        <w:rPr>
          <w:rFonts w:ascii="Times New Roman" w:eastAsia="Times New Roman" w:hAnsi="Times New Roman" w:cs="Times New Roman"/>
          <w:b/>
          <w:sz w:val="25"/>
          <w:szCs w:val="25"/>
          <w:lang w:eastAsia="lv-LV"/>
        </w:rPr>
        <w:t xml:space="preserve"> un VI. </w:t>
      </w:r>
      <w:r w:rsidRPr="009C01AE">
        <w:rPr>
          <w:rFonts w:ascii="Times New Roman" w:eastAsia="Times New Roman" w:hAnsi="Times New Roman" w:cs="Times New Roman"/>
          <w:b/>
          <w:sz w:val="25"/>
          <w:szCs w:val="25"/>
          <w:lang w:eastAsia="lv-LV"/>
        </w:rPr>
        <w:t>sadaļa - projekts šīs jomas neskar.</w:t>
      </w:r>
    </w:p>
    <w:p w:rsidR="00810A68" w:rsidRPr="009C01AE" w:rsidRDefault="00810A68" w:rsidP="00683FDA">
      <w:pPr>
        <w:tabs>
          <w:tab w:val="right" w:pos="9071"/>
        </w:tabs>
        <w:spacing w:after="0" w:line="240" w:lineRule="auto"/>
        <w:jc w:val="both"/>
        <w:rPr>
          <w:rFonts w:ascii="Times New Roman" w:eastAsia="Times New Roman" w:hAnsi="Times New Roman" w:cs="Times New Roman"/>
          <w:sz w:val="25"/>
          <w:szCs w:val="25"/>
          <w:lang w:eastAsia="lv-LV"/>
        </w:rPr>
      </w:pPr>
    </w:p>
    <w:p w:rsidR="00F22871" w:rsidRPr="009C01AE" w:rsidRDefault="00F22871" w:rsidP="00683FDA">
      <w:pPr>
        <w:tabs>
          <w:tab w:val="left" w:pos="6521"/>
        </w:tabs>
        <w:spacing w:after="0" w:line="240" w:lineRule="auto"/>
        <w:jc w:val="both"/>
        <w:rPr>
          <w:rFonts w:ascii="Times New Roman" w:hAnsi="Times New Roman" w:cs="Times New Roman"/>
          <w:color w:val="000000" w:themeColor="text1"/>
          <w:sz w:val="25"/>
          <w:szCs w:val="25"/>
        </w:rPr>
      </w:pPr>
    </w:p>
    <w:p w:rsidR="00851750" w:rsidRPr="009C01AE" w:rsidRDefault="00851750" w:rsidP="00683FDA">
      <w:pPr>
        <w:tabs>
          <w:tab w:val="left" w:pos="6521"/>
        </w:tabs>
        <w:spacing w:after="0" w:line="240" w:lineRule="auto"/>
        <w:jc w:val="both"/>
        <w:rPr>
          <w:rFonts w:ascii="Times New Roman" w:hAnsi="Times New Roman" w:cs="Times New Roman"/>
          <w:color w:val="000000" w:themeColor="text1"/>
          <w:sz w:val="25"/>
          <w:szCs w:val="25"/>
        </w:rPr>
      </w:pPr>
    </w:p>
    <w:p w:rsidR="00810A68" w:rsidRPr="009C01AE" w:rsidRDefault="006C757D" w:rsidP="006C757D">
      <w:pPr>
        <w:tabs>
          <w:tab w:val="left" w:pos="6096"/>
        </w:tabs>
        <w:spacing w:after="0" w:line="240" w:lineRule="auto"/>
        <w:jc w:val="both"/>
        <w:rPr>
          <w:rFonts w:ascii="Times New Roman" w:hAnsi="Times New Roman" w:cs="Times New Roman"/>
          <w:color w:val="000000" w:themeColor="text1"/>
          <w:sz w:val="25"/>
          <w:szCs w:val="25"/>
        </w:rPr>
      </w:pPr>
      <w:r w:rsidRPr="009C01AE">
        <w:rPr>
          <w:rFonts w:ascii="Times New Roman" w:hAnsi="Times New Roman" w:cs="Times New Roman"/>
          <w:color w:val="000000" w:themeColor="text1"/>
          <w:sz w:val="25"/>
          <w:szCs w:val="25"/>
        </w:rPr>
        <w:t>Ekonomikas ministre</w:t>
      </w:r>
      <w:r w:rsidR="00F22871" w:rsidRPr="009C01AE">
        <w:rPr>
          <w:rFonts w:ascii="Times New Roman" w:hAnsi="Times New Roman" w:cs="Times New Roman"/>
          <w:color w:val="000000" w:themeColor="text1"/>
          <w:sz w:val="25"/>
          <w:szCs w:val="25"/>
        </w:rPr>
        <w:t xml:space="preserve">  </w:t>
      </w:r>
      <w:r w:rsidR="00F22871" w:rsidRPr="009C01AE">
        <w:rPr>
          <w:rFonts w:ascii="Times New Roman" w:hAnsi="Times New Roman" w:cs="Times New Roman"/>
          <w:color w:val="000000" w:themeColor="text1"/>
          <w:sz w:val="25"/>
          <w:szCs w:val="25"/>
        </w:rPr>
        <w:tab/>
      </w:r>
      <w:proofErr w:type="spellStart"/>
      <w:r w:rsidRPr="009C01AE">
        <w:rPr>
          <w:rFonts w:ascii="Times New Roman" w:hAnsi="Times New Roman" w:cs="Times New Roman"/>
          <w:color w:val="000000" w:themeColor="text1"/>
          <w:sz w:val="25"/>
          <w:szCs w:val="25"/>
        </w:rPr>
        <w:t>D.Reizniece</w:t>
      </w:r>
      <w:proofErr w:type="spellEnd"/>
      <w:r w:rsidRPr="009C01AE">
        <w:rPr>
          <w:rFonts w:ascii="Times New Roman" w:hAnsi="Times New Roman" w:cs="Times New Roman"/>
          <w:color w:val="000000" w:themeColor="text1"/>
          <w:sz w:val="25"/>
          <w:szCs w:val="25"/>
        </w:rPr>
        <w:t>-Ozola</w:t>
      </w:r>
      <w:r w:rsidR="00F22871" w:rsidRPr="009C01AE">
        <w:rPr>
          <w:rFonts w:ascii="Times New Roman" w:hAnsi="Times New Roman" w:cs="Times New Roman"/>
          <w:color w:val="000000" w:themeColor="text1"/>
          <w:sz w:val="25"/>
          <w:szCs w:val="25"/>
        </w:rPr>
        <w:t xml:space="preserve"> </w:t>
      </w:r>
    </w:p>
    <w:p w:rsidR="003E1A6E" w:rsidRPr="009C01AE" w:rsidRDefault="003E1A6E" w:rsidP="00683FDA">
      <w:pPr>
        <w:tabs>
          <w:tab w:val="left" w:pos="6521"/>
        </w:tabs>
        <w:spacing w:after="0" w:line="240" w:lineRule="auto"/>
        <w:jc w:val="both"/>
        <w:rPr>
          <w:rFonts w:ascii="Times New Roman" w:hAnsi="Times New Roman" w:cs="Times New Roman"/>
          <w:color w:val="000000" w:themeColor="text1"/>
          <w:sz w:val="25"/>
          <w:szCs w:val="25"/>
        </w:rPr>
      </w:pPr>
    </w:p>
    <w:p w:rsidR="00F22871" w:rsidRPr="009C01AE" w:rsidRDefault="00F22871" w:rsidP="00683FDA">
      <w:pPr>
        <w:tabs>
          <w:tab w:val="left" w:pos="6521"/>
        </w:tabs>
        <w:spacing w:after="0" w:line="240" w:lineRule="auto"/>
        <w:jc w:val="both"/>
        <w:rPr>
          <w:rFonts w:ascii="Times New Roman" w:hAnsi="Times New Roman" w:cs="Times New Roman"/>
          <w:color w:val="000000" w:themeColor="text1"/>
          <w:sz w:val="25"/>
          <w:szCs w:val="25"/>
        </w:rPr>
      </w:pPr>
    </w:p>
    <w:p w:rsidR="00851750" w:rsidRPr="009C01AE" w:rsidRDefault="00851750" w:rsidP="00683FDA">
      <w:pPr>
        <w:tabs>
          <w:tab w:val="left" w:pos="6521"/>
        </w:tabs>
        <w:spacing w:after="0" w:line="240" w:lineRule="auto"/>
        <w:jc w:val="both"/>
        <w:rPr>
          <w:rFonts w:ascii="Times New Roman" w:hAnsi="Times New Roman" w:cs="Times New Roman"/>
          <w:color w:val="000000" w:themeColor="text1"/>
          <w:sz w:val="25"/>
          <w:szCs w:val="25"/>
        </w:rPr>
      </w:pPr>
    </w:p>
    <w:p w:rsidR="00810A68" w:rsidRPr="009C01AE" w:rsidRDefault="006C757D" w:rsidP="00BE3116">
      <w:pPr>
        <w:tabs>
          <w:tab w:val="left" w:pos="6521"/>
        </w:tabs>
        <w:spacing w:after="0" w:line="240" w:lineRule="auto"/>
        <w:jc w:val="both"/>
        <w:rPr>
          <w:rFonts w:ascii="Times New Roman" w:hAnsi="Times New Roman" w:cs="Times New Roman"/>
          <w:color w:val="000000" w:themeColor="text1"/>
          <w:sz w:val="25"/>
          <w:szCs w:val="25"/>
        </w:rPr>
      </w:pPr>
      <w:r w:rsidRPr="009C01AE">
        <w:rPr>
          <w:rFonts w:ascii="Times New Roman" w:hAnsi="Times New Roman" w:cs="Times New Roman"/>
          <w:color w:val="000000" w:themeColor="text1"/>
          <w:sz w:val="25"/>
          <w:szCs w:val="25"/>
        </w:rPr>
        <w:t>Vīza: Valsts sekretār</w:t>
      </w:r>
      <w:r w:rsidR="00BE3116" w:rsidRPr="009C01AE">
        <w:rPr>
          <w:rFonts w:ascii="Times New Roman" w:hAnsi="Times New Roman" w:cs="Times New Roman"/>
          <w:color w:val="000000" w:themeColor="text1"/>
          <w:sz w:val="25"/>
          <w:szCs w:val="25"/>
        </w:rPr>
        <w:t>s</w:t>
      </w:r>
      <w:r w:rsidRPr="009C01AE">
        <w:rPr>
          <w:rFonts w:ascii="Times New Roman" w:hAnsi="Times New Roman" w:cs="Times New Roman"/>
          <w:color w:val="000000" w:themeColor="text1"/>
          <w:sz w:val="25"/>
          <w:szCs w:val="25"/>
        </w:rPr>
        <w:tab/>
      </w:r>
      <w:proofErr w:type="spellStart"/>
      <w:r w:rsidR="00BE3116" w:rsidRPr="009C01AE">
        <w:rPr>
          <w:rFonts w:ascii="Times New Roman" w:hAnsi="Times New Roman" w:cs="Times New Roman"/>
          <w:color w:val="000000" w:themeColor="text1"/>
          <w:sz w:val="25"/>
          <w:szCs w:val="25"/>
        </w:rPr>
        <w:t>R.Beinarovičs</w:t>
      </w:r>
      <w:proofErr w:type="spellEnd"/>
    </w:p>
    <w:p w:rsidR="003E1A6E" w:rsidRPr="009C01AE" w:rsidRDefault="003E1A6E" w:rsidP="00683FDA">
      <w:pPr>
        <w:widowControl w:val="0"/>
        <w:spacing w:after="0" w:line="240" w:lineRule="auto"/>
        <w:jc w:val="both"/>
        <w:rPr>
          <w:rFonts w:ascii="Times New Roman" w:eastAsia="Times New Roman" w:hAnsi="Times New Roman" w:cs="Times New Roman"/>
          <w:sz w:val="20"/>
          <w:szCs w:val="20"/>
        </w:rPr>
      </w:pPr>
    </w:p>
    <w:p w:rsidR="00F22871" w:rsidRPr="009C01AE" w:rsidRDefault="00F22871" w:rsidP="00683FDA">
      <w:pPr>
        <w:widowControl w:val="0"/>
        <w:spacing w:after="0" w:line="240" w:lineRule="auto"/>
        <w:jc w:val="both"/>
        <w:rPr>
          <w:rFonts w:ascii="Times New Roman" w:eastAsia="Times New Roman" w:hAnsi="Times New Roman" w:cs="Times New Roman"/>
          <w:sz w:val="20"/>
          <w:szCs w:val="20"/>
        </w:rPr>
      </w:pPr>
    </w:p>
    <w:p w:rsidR="00851750" w:rsidRPr="009C01AE" w:rsidRDefault="00851750" w:rsidP="00683FDA">
      <w:pPr>
        <w:widowControl w:val="0"/>
        <w:spacing w:after="0" w:line="240" w:lineRule="auto"/>
        <w:jc w:val="both"/>
        <w:rPr>
          <w:rFonts w:ascii="Times New Roman" w:eastAsia="Times New Roman" w:hAnsi="Times New Roman" w:cs="Times New Roman"/>
          <w:sz w:val="20"/>
          <w:szCs w:val="20"/>
        </w:rPr>
      </w:pPr>
    </w:p>
    <w:p w:rsidR="00F22871" w:rsidRPr="009C01AE" w:rsidRDefault="00F22871" w:rsidP="00683FDA">
      <w:pPr>
        <w:widowControl w:val="0"/>
        <w:spacing w:after="0" w:line="240" w:lineRule="auto"/>
        <w:jc w:val="both"/>
        <w:rPr>
          <w:rFonts w:ascii="Times New Roman" w:eastAsia="Times New Roman" w:hAnsi="Times New Roman" w:cs="Times New Roman"/>
          <w:sz w:val="20"/>
          <w:szCs w:val="20"/>
        </w:rPr>
      </w:pPr>
    </w:p>
    <w:p w:rsidR="00810A68" w:rsidRPr="009C01AE" w:rsidRDefault="004F51CE" w:rsidP="00683FD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03.08.2015 13:35</w:t>
      </w:r>
      <w:bookmarkStart w:id="12" w:name="_GoBack"/>
      <w:bookmarkEnd w:id="12"/>
    </w:p>
    <w:p w:rsidR="00810A68" w:rsidRPr="009C01AE" w:rsidRDefault="004F51CE" w:rsidP="00683FDA">
      <w:pPr>
        <w:widowControl w:val="0"/>
        <w:spacing w:after="0" w:line="240" w:lineRule="auto"/>
        <w:jc w:val="both"/>
        <w:rPr>
          <w:rFonts w:ascii="Times New Roman" w:eastAsia="Times New Roman" w:hAnsi="Times New Roman" w:cs="Times New Roman"/>
          <w:sz w:val="20"/>
          <w:szCs w:val="20"/>
        </w:rPr>
      </w:pPr>
      <w:r>
        <w:fldChar w:fldCharType="begin"/>
      </w:r>
      <w:r>
        <w:instrText xml:space="preserve"> NUMWORDS   \* MERGEFORMAT </w:instrText>
      </w:r>
      <w:r>
        <w:fldChar w:fldCharType="separate"/>
      </w:r>
      <w:r w:rsidR="009C01AE" w:rsidRPr="009C01AE">
        <w:rPr>
          <w:rFonts w:ascii="Times New Roman" w:eastAsia="Times New Roman" w:hAnsi="Times New Roman" w:cs="Times New Roman"/>
          <w:noProof/>
          <w:sz w:val="20"/>
          <w:szCs w:val="20"/>
        </w:rPr>
        <w:t>1701</w:t>
      </w:r>
      <w:r>
        <w:rPr>
          <w:rFonts w:ascii="Times New Roman" w:eastAsia="Times New Roman" w:hAnsi="Times New Roman" w:cs="Times New Roman"/>
          <w:noProof/>
          <w:sz w:val="20"/>
          <w:szCs w:val="20"/>
        </w:rPr>
        <w:fldChar w:fldCharType="end"/>
      </w:r>
    </w:p>
    <w:p w:rsidR="00BE3116" w:rsidRPr="009C01AE" w:rsidRDefault="00BE3116" w:rsidP="00683FDA">
      <w:pPr>
        <w:widowControl w:val="0"/>
        <w:spacing w:after="0" w:line="240" w:lineRule="auto"/>
        <w:jc w:val="both"/>
        <w:rPr>
          <w:rFonts w:ascii="Times New Roman" w:eastAsia="Times New Roman" w:hAnsi="Times New Roman" w:cs="Times New Roman"/>
          <w:sz w:val="20"/>
          <w:szCs w:val="20"/>
        </w:rPr>
      </w:pPr>
      <w:r w:rsidRPr="009C01AE">
        <w:rPr>
          <w:rFonts w:ascii="Times New Roman" w:eastAsia="Times New Roman" w:hAnsi="Times New Roman" w:cs="Times New Roman"/>
          <w:sz w:val="20"/>
          <w:szCs w:val="20"/>
        </w:rPr>
        <w:t xml:space="preserve">Purmalietis, </w:t>
      </w:r>
      <w:r w:rsidR="00810A68" w:rsidRPr="009C01AE">
        <w:rPr>
          <w:rFonts w:ascii="Times New Roman" w:eastAsia="Times New Roman" w:hAnsi="Times New Roman" w:cs="Times New Roman"/>
          <w:sz w:val="20"/>
          <w:szCs w:val="20"/>
        </w:rPr>
        <w:t>67013</w:t>
      </w:r>
      <w:r w:rsidRPr="009C01AE">
        <w:rPr>
          <w:rFonts w:ascii="Times New Roman" w:eastAsia="Times New Roman" w:hAnsi="Times New Roman" w:cs="Times New Roman"/>
          <w:sz w:val="20"/>
          <w:szCs w:val="20"/>
        </w:rPr>
        <w:t>108</w:t>
      </w:r>
    </w:p>
    <w:p w:rsidR="00810A68" w:rsidRDefault="00BE3116" w:rsidP="00683FDA">
      <w:pPr>
        <w:widowControl w:val="0"/>
        <w:spacing w:after="0" w:line="240" w:lineRule="auto"/>
        <w:jc w:val="both"/>
      </w:pPr>
      <w:r w:rsidRPr="009C01AE">
        <w:rPr>
          <w:rFonts w:ascii="Times New Roman" w:eastAsia="Times New Roman" w:hAnsi="Times New Roman" w:cs="Times New Roman"/>
          <w:sz w:val="20"/>
          <w:szCs w:val="20"/>
        </w:rPr>
        <w:t>Kaspars.Purmalietis</w:t>
      </w:r>
      <w:r w:rsidR="00810A68" w:rsidRPr="009C01AE">
        <w:rPr>
          <w:rFonts w:ascii="Times New Roman" w:eastAsia="Times New Roman" w:hAnsi="Times New Roman" w:cs="Times New Roman"/>
          <w:sz w:val="20"/>
          <w:szCs w:val="20"/>
        </w:rPr>
        <w:t>@em.gov.lv</w:t>
      </w:r>
    </w:p>
    <w:sectPr w:rsidR="00810A68" w:rsidSect="00761BA7">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F74" w:rsidRDefault="00F85F74">
      <w:pPr>
        <w:spacing w:after="0" w:line="240" w:lineRule="auto"/>
      </w:pPr>
      <w:r>
        <w:separator/>
      </w:r>
    </w:p>
  </w:endnote>
  <w:endnote w:type="continuationSeparator" w:id="0">
    <w:p w:rsidR="00F85F74" w:rsidRDefault="00F85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DFF" w:rsidRPr="00CC59E7" w:rsidRDefault="00EA3C58" w:rsidP="00221970">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Upper  \* MERGEFORMAT </w:instrText>
    </w:r>
    <w:r>
      <w:rPr>
        <w:rFonts w:ascii="Times New Roman" w:hAnsi="Times New Roman" w:cs="Times New Roman"/>
        <w:sz w:val="20"/>
        <w:szCs w:val="20"/>
      </w:rPr>
      <w:fldChar w:fldCharType="separate"/>
    </w:r>
    <w:r w:rsidR="00A46721">
      <w:rPr>
        <w:rFonts w:ascii="Times New Roman" w:hAnsi="Times New Roman" w:cs="Times New Roman"/>
        <w:noProof/>
        <w:sz w:val="20"/>
        <w:szCs w:val="20"/>
      </w:rPr>
      <w:t>EMANOT_030815_GROZ582</w:t>
    </w:r>
    <w:r>
      <w:rPr>
        <w:rFonts w:ascii="Times New Roman" w:hAnsi="Times New Roman" w:cs="Times New Roman"/>
        <w:sz w:val="20"/>
        <w:szCs w:val="20"/>
      </w:rPr>
      <w:fldChar w:fldCharType="end"/>
    </w:r>
    <w:r w:rsidR="00810A68" w:rsidRPr="00CC59E7">
      <w:rPr>
        <w:rFonts w:ascii="Times New Roman" w:hAnsi="Times New Roman" w:cs="Times New Roman"/>
        <w:sz w:val="20"/>
        <w:szCs w:val="20"/>
      </w:rPr>
      <w:t>; Ministru kabineta noteikumu projekta „</w:t>
    </w:r>
    <w:r w:rsidR="00810A68">
      <w:rPr>
        <w:rFonts w:ascii="Times New Roman" w:hAnsi="Times New Roman" w:cs="Times New Roman"/>
        <w:bCs/>
        <w:sz w:val="20"/>
        <w:szCs w:val="20"/>
      </w:rPr>
      <w:t>Grozījumi</w:t>
    </w:r>
    <w:r w:rsidR="00810A68" w:rsidRPr="00CC59E7">
      <w:rPr>
        <w:rFonts w:ascii="Times New Roman" w:hAnsi="Times New Roman" w:cs="Times New Roman"/>
        <w:bCs/>
        <w:sz w:val="20"/>
        <w:szCs w:val="20"/>
      </w:rPr>
      <w:t xml:space="preserve"> Ministru kabineta 2009.gada 17.jūnija noteikumos Nr.582 </w:t>
    </w:r>
    <w:r w:rsidR="00810A68" w:rsidRPr="00CC59E7">
      <w:rPr>
        <w:rFonts w:ascii="Times New Roman" w:hAnsi="Times New Roman" w:cs="Times New Roman"/>
        <w:sz w:val="20"/>
        <w:szCs w:val="20"/>
      </w:rPr>
      <w:t>„Noteikumi par darbības programmas „Uzņēmējdarbība un inovācijas” papildinājuma 2.3.1.1.1.apakšaktivitātes „Ārējo tirgu apgūšana – ārējais mārketings” sesto un turpmākajām kārtām””</w:t>
    </w:r>
    <w:r w:rsidR="00810A68" w:rsidRPr="00CC59E7">
      <w:rPr>
        <w:rFonts w:ascii="Times New Roman" w:hAnsi="Times New Roman" w:cs="Times New Roman"/>
        <w:bCs/>
        <w:sz w:val="20"/>
        <w:szCs w:val="20"/>
      </w:rPr>
      <w:t xml:space="preserve"> </w:t>
    </w:r>
    <w:r w:rsidR="00810A68" w:rsidRPr="00CC59E7">
      <w:rPr>
        <w:rFonts w:ascii="Times New Roman" w:hAnsi="Times New Roman" w:cs="Times New Roman"/>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91" w:rsidRPr="00CC59E7" w:rsidRDefault="00EA3C58" w:rsidP="00C85C6A">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Upper  \* MERGEFORMAT </w:instrText>
    </w:r>
    <w:r>
      <w:rPr>
        <w:rFonts w:ascii="Times New Roman" w:hAnsi="Times New Roman" w:cs="Times New Roman"/>
        <w:sz w:val="20"/>
        <w:szCs w:val="20"/>
      </w:rPr>
      <w:fldChar w:fldCharType="separate"/>
    </w:r>
    <w:r w:rsidR="00A46721">
      <w:rPr>
        <w:rFonts w:ascii="Times New Roman" w:hAnsi="Times New Roman" w:cs="Times New Roman"/>
        <w:noProof/>
        <w:sz w:val="20"/>
        <w:szCs w:val="20"/>
      </w:rPr>
      <w:t>EMANOT_030815_GROZ582</w:t>
    </w:r>
    <w:r>
      <w:rPr>
        <w:rFonts w:ascii="Times New Roman" w:hAnsi="Times New Roman" w:cs="Times New Roman"/>
        <w:sz w:val="20"/>
        <w:szCs w:val="20"/>
      </w:rPr>
      <w:fldChar w:fldCharType="end"/>
    </w:r>
    <w:r w:rsidR="00810A68" w:rsidRPr="00CC59E7">
      <w:rPr>
        <w:rFonts w:ascii="Times New Roman" w:hAnsi="Times New Roman" w:cs="Times New Roman"/>
        <w:sz w:val="20"/>
        <w:szCs w:val="20"/>
      </w:rPr>
      <w:t>; Ministru kabineta noteikumu projekta „</w:t>
    </w:r>
    <w:r w:rsidR="00810A68">
      <w:rPr>
        <w:rFonts w:ascii="Times New Roman" w:hAnsi="Times New Roman" w:cs="Times New Roman"/>
        <w:bCs/>
        <w:sz w:val="20"/>
        <w:szCs w:val="20"/>
      </w:rPr>
      <w:t>Grozījumi</w:t>
    </w:r>
    <w:r w:rsidR="00810A68" w:rsidRPr="00CC59E7">
      <w:rPr>
        <w:rFonts w:ascii="Times New Roman" w:hAnsi="Times New Roman" w:cs="Times New Roman"/>
        <w:bCs/>
        <w:sz w:val="20"/>
        <w:szCs w:val="20"/>
      </w:rPr>
      <w:t xml:space="preserve"> Ministru kabineta 2009.gada 17.jūnija noteikumos Nr.582 </w:t>
    </w:r>
    <w:r w:rsidR="00810A68" w:rsidRPr="00CC59E7">
      <w:rPr>
        <w:rFonts w:ascii="Times New Roman" w:hAnsi="Times New Roman" w:cs="Times New Roman"/>
        <w:sz w:val="20"/>
        <w:szCs w:val="20"/>
      </w:rPr>
      <w:t>„Noteikumi par darbības programmas „Uzņēmējdarbība un inovācijas” papildinājuma 2.3.1.1.1.apakšaktivitātes „Ārējo tirgu apgūšana – ārējais mārketing</w:t>
    </w:r>
    <w:r w:rsidR="00810A68">
      <w:rPr>
        <w:rFonts w:ascii="Times New Roman" w:hAnsi="Times New Roman" w:cs="Times New Roman"/>
        <w:sz w:val="20"/>
        <w:szCs w:val="20"/>
      </w:rPr>
      <w:t>s” sesto un turpmākajām kārtām”</w:t>
    </w:r>
    <w:r w:rsidR="00810A68" w:rsidRPr="00CC59E7">
      <w:rPr>
        <w:rFonts w:ascii="Times New Roman" w:hAnsi="Times New Roman" w:cs="Times New Roman"/>
        <w:bCs/>
        <w:sz w:val="20"/>
        <w:szCs w:val="20"/>
      </w:rPr>
      <w:t xml:space="preserve">” </w:t>
    </w:r>
    <w:r w:rsidR="00810A68" w:rsidRPr="00CC59E7">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F74" w:rsidRDefault="00F85F74">
      <w:pPr>
        <w:spacing w:after="0" w:line="240" w:lineRule="auto"/>
      </w:pPr>
      <w:r>
        <w:separator/>
      </w:r>
    </w:p>
  </w:footnote>
  <w:footnote w:type="continuationSeparator" w:id="0">
    <w:p w:rsidR="00F85F74" w:rsidRDefault="00F85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832169"/>
      <w:docPartObj>
        <w:docPartGallery w:val="Page Numbers (Top of Page)"/>
        <w:docPartUnique/>
      </w:docPartObj>
    </w:sdtPr>
    <w:sdtEndPr>
      <w:rPr>
        <w:noProof/>
      </w:rPr>
    </w:sdtEndPr>
    <w:sdtContent>
      <w:p w:rsidR="00761BA7" w:rsidRDefault="00810A68">
        <w:pPr>
          <w:pStyle w:val="Header"/>
          <w:jc w:val="center"/>
        </w:pPr>
        <w:r>
          <w:fldChar w:fldCharType="begin"/>
        </w:r>
        <w:r>
          <w:instrText xml:space="preserve"> PAGE   \* MERGEFORMAT </w:instrText>
        </w:r>
        <w:r>
          <w:fldChar w:fldCharType="separate"/>
        </w:r>
        <w:r w:rsidR="004F51CE">
          <w:rPr>
            <w:noProof/>
          </w:rPr>
          <w:t>7</w:t>
        </w:r>
        <w:r>
          <w:rPr>
            <w:noProof/>
          </w:rPr>
          <w:fldChar w:fldCharType="end"/>
        </w:r>
      </w:p>
    </w:sdtContent>
  </w:sdt>
  <w:p w:rsidR="00761BA7" w:rsidRDefault="004F5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1E2F"/>
    <w:multiLevelType w:val="hybridMultilevel"/>
    <w:tmpl w:val="E780D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7932DF"/>
    <w:multiLevelType w:val="hybridMultilevel"/>
    <w:tmpl w:val="B9D828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8C56ED3"/>
    <w:multiLevelType w:val="hybridMultilevel"/>
    <w:tmpl w:val="D5C8FC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EF64668"/>
    <w:multiLevelType w:val="hybridMultilevel"/>
    <w:tmpl w:val="D3B20F8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D40650B"/>
    <w:multiLevelType w:val="hybridMultilevel"/>
    <w:tmpl w:val="6BF2B78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F074844"/>
    <w:multiLevelType w:val="hybridMultilevel"/>
    <w:tmpl w:val="30743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15"/>
    <w:rsid w:val="00024BBF"/>
    <w:rsid w:val="000413D4"/>
    <w:rsid w:val="000526BA"/>
    <w:rsid w:val="00061AF7"/>
    <w:rsid w:val="000746F4"/>
    <w:rsid w:val="00080313"/>
    <w:rsid w:val="000957F1"/>
    <w:rsid w:val="000B027F"/>
    <w:rsid w:val="000B37B1"/>
    <w:rsid w:val="000D233A"/>
    <w:rsid w:val="000D6240"/>
    <w:rsid w:val="000E25AC"/>
    <w:rsid w:val="000F686D"/>
    <w:rsid w:val="001267DE"/>
    <w:rsid w:val="001909AD"/>
    <w:rsid w:val="001C21E7"/>
    <w:rsid w:val="00200149"/>
    <w:rsid w:val="002077CA"/>
    <w:rsid w:val="002368BC"/>
    <w:rsid w:val="00237430"/>
    <w:rsid w:val="002475D0"/>
    <w:rsid w:val="00260B58"/>
    <w:rsid w:val="002837AD"/>
    <w:rsid w:val="002A2D8C"/>
    <w:rsid w:val="002E2F25"/>
    <w:rsid w:val="00306789"/>
    <w:rsid w:val="00326D58"/>
    <w:rsid w:val="0033554F"/>
    <w:rsid w:val="0034216E"/>
    <w:rsid w:val="00347276"/>
    <w:rsid w:val="00353BBC"/>
    <w:rsid w:val="003D5AFD"/>
    <w:rsid w:val="003D79DE"/>
    <w:rsid w:val="003E1A6E"/>
    <w:rsid w:val="00417458"/>
    <w:rsid w:val="00417DDE"/>
    <w:rsid w:val="004225DE"/>
    <w:rsid w:val="00467D08"/>
    <w:rsid w:val="004A5A2E"/>
    <w:rsid w:val="004F4A64"/>
    <w:rsid w:val="004F51CE"/>
    <w:rsid w:val="00545814"/>
    <w:rsid w:val="00546A8B"/>
    <w:rsid w:val="00554D34"/>
    <w:rsid w:val="005704F3"/>
    <w:rsid w:val="00575291"/>
    <w:rsid w:val="00577D51"/>
    <w:rsid w:val="005822F0"/>
    <w:rsid w:val="005864D4"/>
    <w:rsid w:val="005C279F"/>
    <w:rsid w:val="005D78E4"/>
    <w:rsid w:val="006046D3"/>
    <w:rsid w:val="006047B1"/>
    <w:rsid w:val="00613344"/>
    <w:rsid w:val="006321DC"/>
    <w:rsid w:val="006425CA"/>
    <w:rsid w:val="00670391"/>
    <w:rsid w:val="006713A4"/>
    <w:rsid w:val="00683FDA"/>
    <w:rsid w:val="00690101"/>
    <w:rsid w:val="006C02C3"/>
    <w:rsid w:val="006C231D"/>
    <w:rsid w:val="006C757D"/>
    <w:rsid w:val="006E3E76"/>
    <w:rsid w:val="006F0789"/>
    <w:rsid w:val="00716278"/>
    <w:rsid w:val="00734683"/>
    <w:rsid w:val="00737C71"/>
    <w:rsid w:val="00743826"/>
    <w:rsid w:val="00744146"/>
    <w:rsid w:val="00754402"/>
    <w:rsid w:val="00776676"/>
    <w:rsid w:val="00782945"/>
    <w:rsid w:val="00795CCC"/>
    <w:rsid w:val="007C60F0"/>
    <w:rsid w:val="007D1781"/>
    <w:rsid w:val="007F35BD"/>
    <w:rsid w:val="008035F8"/>
    <w:rsid w:val="00810A68"/>
    <w:rsid w:val="00822D89"/>
    <w:rsid w:val="008440BB"/>
    <w:rsid w:val="00851750"/>
    <w:rsid w:val="008646EC"/>
    <w:rsid w:val="00885BBD"/>
    <w:rsid w:val="00896990"/>
    <w:rsid w:val="008A1CEB"/>
    <w:rsid w:val="008B5CF2"/>
    <w:rsid w:val="008C6509"/>
    <w:rsid w:val="008D19DA"/>
    <w:rsid w:val="008D782D"/>
    <w:rsid w:val="00912B83"/>
    <w:rsid w:val="00913C0E"/>
    <w:rsid w:val="00913EC1"/>
    <w:rsid w:val="00923D20"/>
    <w:rsid w:val="00925153"/>
    <w:rsid w:val="009325E8"/>
    <w:rsid w:val="00935128"/>
    <w:rsid w:val="0095082E"/>
    <w:rsid w:val="00970BDA"/>
    <w:rsid w:val="009750C4"/>
    <w:rsid w:val="00975E10"/>
    <w:rsid w:val="009B0D28"/>
    <w:rsid w:val="009B3CC4"/>
    <w:rsid w:val="009C01AE"/>
    <w:rsid w:val="009E5A1C"/>
    <w:rsid w:val="00A30A3F"/>
    <w:rsid w:val="00A40237"/>
    <w:rsid w:val="00A44083"/>
    <w:rsid w:val="00A46721"/>
    <w:rsid w:val="00A568AF"/>
    <w:rsid w:val="00A66AA5"/>
    <w:rsid w:val="00A676A1"/>
    <w:rsid w:val="00A719EF"/>
    <w:rsid w:val="00A74DD0"/>
    <w:rsid w:val="00A866EB"/>
    <w:rsid w:val="00A913F7"/>
    <w:rsid w:val="00A97AA2"/>
    <w:rsid w:val="00AA5524"/>
    <w:rsid w:val="00B303DD"/>
    <w:rsid w:val="00B3089F"/>
    <w:rsid w:val="00B44B99"/>
    <w:rsid w:val="00B45F43"/>
    <w:rsid w:val="00B60C24"/>
    <w:rsid w:val="00B9029E"/>
    <w:rsid w:val="00B910F4"/>
    <w:rsid w:val="00BB061D"/>
    <w:rsid w:val="00BC5CFE"/>
    <w:rsid w:val="00BE3116"/>
    <w:rsid w:val="00C03D5B"/>
    <w:rsid w:val="00C17AC8"/>
    <w:rsid w:val="00C36E6C"/>
    <w:rsid w:val="00C43073"/>
    <w:rsid w:val="00C461EA"/>
    <w:rsid w:val="00C77E83"/>
    <w:rsid w:val="00C95975"/>
    <w:rsid w:val="00CE79D5"/>
    <w:rsid w:val="00D33952"/>
    <w:rsid w:val="00D33B4C"/>
    <w:rsid w:val="00D3405E"/>
    <w:rsid w:val="00D348BE"/>
    <w:rsid w:val="00D63DDA"/>
    <w:rsid w:val="00D81249"/>
    <w:rsid w:val="00D90807"/>
    <w:rsid w:val="00DD47F1"/>
    <w:rsid w:val="00DE0832"/>
    <w:rsid w:val="00E066D0"/>
    <w:rsid w:val="00E14A1A"/>
    <w:rsid w:val="00E47795"/>
    <w:rsid w:val="00E52986"/>
    <w:rsid w:val="00E56CBE"/>
    <w:rsid w:val="00E67F1B"/>
    <w:rsid w:val="00E7506E"/>
    <w:rsid w:val="00E80CE9"/>
    <w:rsid w:val="00EA14C2"/>
    <w:rsid w:val="00EA3C58"/>
    <w:rsid w:val="00EC38F4"/>
    <w:rsid w:val="00EC49B2"/>
    <w:rsid w:val="00EE60E5"/>
    <w:rsid w:val="00EE6B6A"/>
    <w:rsid w:val="00EF2EBC"/>
    <w:rsid w:val="00F172ED"/>
    <w:rsid w:val="00F22871"/>
    <w:rsid w:val="00F240D0"/>
    <w:rsid w:val="00F242B2"/>
    <w:rsid w:val="00F844FA"/>
    <w:rsid w:val="00F85F74"/>
    <w:rsid w:val="00FB465C"/>
    <w:rsid w:val="00FB7A15"/>
    <w:rsid w:val="00FD300A"/>
    <w:rsid w:val="00FE5670"/>
    <w:rsid w:val="00FF63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128C1168-FB7E-40C5-AA1B-5425C5AC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A68"/>
    <w:pPr>
      <w:ind w:left="720"/>
      <w:contextualSpacing/>
    </w:pPr>
  </w:style>
  <w:style w:type="paragraph" w:styleId="Header">
    <w:name w:val="header"/>
    <w:basedOn w:val="Normal"/>
    <w:link w:val="HeaderChar"/>
    <w:uiPriority w:val="99"/>
    <w:unhideWhenUsed/>
    <w:rsid w:val="00810A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0A68"/>
  </w:style>
  <w:style w:type="paragraph" w:styleId="Footer">
    <w:name w:val="footer"/>
    <w:basedOn w:val="Normal"/>
    <w:link w:val="FooterChar"/>
    <w:uiPriority w:val="99"/>
    <w:unhideWhenUsed/>
    <w:rsid w:val="00810A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0A68"/>
  </w:style>
  <w:style w:type="paragraph" w:styleId="BalloonText">
    <w:name w:val="Balloon Text"/>
    <w:basedOn w:val="Normal"/>
    <w:link w:val="BalloonTextChar"/>
    <w:uiPriority w:val="99"/>
    <w:semiHidden/>
    <w:unhideWhenUsed/>
    <w:rsid w:val="00A9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7"/>
    <w:rPr>
      <w:rFonts w:ascii="Tahoma" w:hAnsi="Tahoma" w:cs="Tahoma"/>
      <w:sz w:val="16"/>
      <w:szCs w:val="16"/>
    </w:rPr>
  </w:style>
  <w:style w:type="paragraph" w:customStyle="1" w:styleId="naiskr">
    <w:name w:val="naiskr"/>
    <w:basedOn w:val="Normal"/>
    <w:rsid w:val="00CE79D5"/>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E79D5"/>
  </w:style>
  <w:style w:type="character" w:styleId="Hyperlink">
    <w:name w:val="Hyperlink"/>
    <w:basedOn w:val="DefaultParagraphFont"/>
    <w:uiPriority w:val="99"/>
    <w:semiHidden/>
    <w:unhideWhenUsed/>
    <w:rsid w:val="00CE79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D7AF2-1FEC-48C0-9AF1-11E686F3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8</Pages>
  <Words>1693</Words>
  <Characters>12078</Characters>
  <Application>Microsoft Office Word</Application>
  <DocSecurity>0</DocSecurity>
  <Lines>236</Lines>
  <Paragraphs>106</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2009.gada 17.jūnija noteikumos Nr.582 „Noteikumi par darbības programmas „Uzņēmējdarbība un inovācijas” papildinājuma 2.3.1.1.1.apakšaktivitātes „Ārējo tirgu apgūšana – ārējais mārketings” </vt:lpstr>
    </vt:vector>
  </TitlesOfParts>
  <Company/>
  <LinksUpToDate>false</LinksUpToDate>
  <CharactersWithSpaces>13665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2009.gada 17.jūnija noteikumos Nr.582 „Noteikumi par darbības programmas „Uzņēmējdarbība un inovācijas” papildinājuma 2.3.1.1.1.apakšaktivitātes „Ārējo tirgu apgūšana – ārējais mārketings” sesto un turpmākajām kārtām”” sākotnējās ietekmes novērtējuma ziņojums (anotācija)</dc:title>
  <dc:subject>Anotācija</dc:subject>
  <dc:creator>Kaspars Purmalietis</dc:creator>
  <cp:keywords/>
  <dc:description>Kaspars.Purmalietis@em.gov.lv, 67013108</dc:description>
  <cp:lastModifiedBy>Kaspars Purmalietis</cp:lastModifiedBy>
  <cp:revision>35</cp:revision>
  <dcterms:created xsi:type="dcterms:W3CDTF">2015-07-08T11:57:00Z</dcterms:created>
  <dcterms:modified xsi:type="dcterms:W3CDTF">2015-08-03T10:35:00Z</dcterms:modified>
  <cp:contentStatus/>
</cp:coreProperties>
</file>