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EB1" w:rsidRPr="004D310E" w:rsidRDefault="00CA3EB1" w:rsidP="00CA3EB1">
      <w:pPr>
        <w:pStyle w:val="z-TopofForm"/>
        <w:ind w:right="-99"/>
        <w:rPr>
          <w:rFonts w:ascii="Times New Roman" w:hAnsi="Times New Roman" w:cs="Times New Roman"/>
          <w:sz w:val="26"/>
          <w:szCs w:val="26"/>
        </w:rPr>
      </w:pPr>
      <w:r w:rsidRPr="004D310E">
        <w:rPr>
          <w:rFonts w:ascii="Times New Roman" w:hAnsi="Times New Roman" w:cs="Times New Roman"/>
          <w:sz w:val="26"/>
          <w:szCs w:val="26"/>
        </w:rPr>
        <w:t>Top of Form</w:t>
      </w:r>
    </w:p>
    <w:p w:rsidR="00CA3EB1" w:rsidRPr="004D310E" w:rsidRDefault="00CA3EB1" w:rsidP="00CA3EB1">
      <w:pPr>
        <w:ind w:right="-99"/>
        <w:jc w:val="center"/>
        <w:rPr>
          <w:b/>
          <w:sz w:val="26"/>
          <w:szCs w:val="26"/>
        </w:rPr>
      </w:pPr>
      <w:bookmarkStart w:id="0" w:name="bkm16"/>
      <w:bookmarkStart w:id="1" w:name="b"/>
      <w:bookmarkStart w:id="2" w:name="OLE_LINK2"/>
      <w:bookmarkStart w:id="3" w:name="OLE_LINK1"/>
      <w:bookmarkStart w:id="4" w:name="OLE_LINK3"/>
      <w:bookmarkStart w:id="5" w:name="OLE_LINK4"/>
      <w:bookmarkStart w:id="6" w:name="OLE_LINK5"/>
      <w:bookmarkEnd w:id="0"/>
      <w:bookmarkEnd w:id="1"/>
      <w:r w:rsidRPr="004D310E">
        <w:rPr>
          <w:b/>
          <w:sz w:val="26"/>
          <w:szCs w:val="26"/>
        </w:rPr>
        <w:t xml:space="preserve">Ministru kabineta noteikumu projekta “Grozījumi Ministru kabineta 2011.gada 15.februāra noteikumos Nr.132 “Rotaļlietu drošuma noteikumi”” sākotnējās ietekmes novērtējuma </w:t>
      </w:r>
      <w:smartTag w:uri="schemas-tilde-lv/tildestengine" w:element="veidnes">
        <w:smartTagPr>
          <w:attr w:name="baseform" w:val="ziņojums"/>
          <w:attr w:name="text" w:val="ziņojums&#10;"/>
          <w:attr w:name="id" w:val="-1"/>
        </w:smartTagPr>
        <w:r w:rsidRPr="004D310E">
          <w:rPr>
            <w:b/>
            <w:sz w:val="26"/>
            <w:szCs w:val="26"/>
          </w:rPr>
          <w:t>ziņojums</w:t>
        </w:r>
      </w:smartTag>
      <w:bookmarkEnd w:id="2"/>
    </w:p>
    <w:p w:rsidR="00CA3EB1" w:rsidRPr="004D310E" w:rsidRDefault="00CA3EB1" w:rsidP="00CA3EB1">
      <w:pPr>
        <w:pStyle w:val="naislab"/>
        <w:spacing w:before="0" w:after="0"/>
        <w:ind w:right="-99"/>
        <w:jc w:val="center"/>
        <w:outlineLvl w:val="0"/>
        <w:rPr>
          <w:b/>
          <w:sz w:val="26"/>
          <w:szCs w:val="26"/>
        </w:rPr>
      </w:pPr>
      <w:r w:rsidRPr="004D310E">
        <w:rPr>
          <w:b/>
          <w:sz w:val="26"/>
          <w:szCs w:val="26"/>
        </w:rPr>
        <w:t>(anotācija)</w:t>
      </w:r>
      <w:bookmarkEnd w:id="3"/>
      <w:bookmarkEnd w:id="4"/>
      <w:bookmarkEnd w:id="5"/>
      <w:bookmarkEnd w:id="6"/>
    </w:p>
    <w:p w:rsidR="00CA3EB1" w:rsidRPr="004D310E" w:rsidRDefault="00CA3EB1" w:rsidP="00CA3EB1">
      <w:pPr>
        <w:pStyle w:val="naislab"/>
        <w:spacing w:before="0" w:after="0"/>
        <w:ind w:right="-99"/>
        <w:jc w:val="center"/>
        <w:outlineLvl w:val="0"/>
        <w:rPr>
          <w:b/>
          <w:sz w:val="26"/>
          <w:szCs w:val="26"/>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1418"/>
        <w:gridCol w:w="6378"/>
      </w:tblGrid>
      <w:tr w:rsidR="00CA3EB1" w:rsidRPr="004D310E" w:rsidTr="007F53FB">
        <w:tc>
          <w:tcPr>
            <w:tcW w:w="5000" w:type="pct"/>
            <w:gridSpan w:val="3"/>
            <w:tcBorders>
              <w:top w:val="single" w:sz="4" w:space="0" w:color="auto"/>
              <w:left w:val="single" w:sz="4" w:space="0" w:color="auto"/>
              <w:bottom w:val="single" w:sz="4" w:space="0" w:color="auto"/>
              <w:right w:val="single" w:sz="4" w:space="0" w:color="auto"/>
            </w:tcBorders>
          </w:tcPr>
          <w:p w:rsidR="00CA3EB1" w:rsidRPr="004D310E" w:rsidRDefault="00CA3EB1" w:rsidP="007F53FB">
            <w:pPr>
              <w:pStyle w:val="naisnod"/>
              <w:spacing w:before="0" w:after="0"/>
              <w:ind w:right="-99"/>
              <w:rPr>
                <w:sz w:val="26"/>
                <w:szCs w:val="26"/>
              </w:rPr>
            </w:pPr>
            <w:r w:rsidRPr="004D310E">
              <w:rPr>
                <w:sz w:val="26"/>
                <w:szCs w:val="26"/>
              </w:rPr>
              <w:t>I. Tiesību akta projekta izstrādes nepieciešamība</w:t>
            </w:r>
          </w:p>
        </w:tc>
      </w:tr>
      <w:tr w:rsidR="00CA3EB1" w:rsidRPr="004D310E" w:rsidTr="007F53FB">
        <w:trPr>
          <w:trHeight w:val="630"/>
        </w:trPr>
        <w:tc>
          <w:tcPr>
            <w:tcW w:w="256" w:type="pct"/>
            <w:tcBorders>
              <w:top w:val="single" w:sz="4" w:space="0" w:color="auto"/>
              <w:left w:val="single" w:sz="4" w:space="0" w:color="auto"/>
              <w:bottom w:val="single" w:sz="4" w:space="0" w:color="auto"/>
              <w:right w:val="single" w:sz="4" w:space="0" w:color="auto"/>
            </w:tcBorders>
          </w:tcPr>
          <w:p w:rsidR="00CA3EB1" w:rsidRPr="004D310E" w:rsidRDefault="00CA3EB1" w:rsidP="007F53FB">
            <w:pPr>
              <w:pStyle w:val="naiskr"/>
              <w:spacing w:before="0" w:after="0"/>
              <w:ind w:right="-99"/>
              <w:jc w:val="center"/>
              <w:rPr>
                <w:sz w:val="26"/>
                <w:szCs w:val="26"/>
              </w:rPr>
            </w:pPr>
            <w:r w:rsidRPr="004D310E">
              <w:rPr>
                <w:sz w:val="26"/>
                <w:szCs w:val="26"/>
              </w:rPr>
              <w:t>1.</w:t>
            </w:r>
          </w:p>
        </w:tc>
        <w:tc>
          <w:tcPr>
            <w:tcW w:w="863" w:type="pct"/>
            <w:tcBorders>
              <w:top w:val="single" w:sz="4" w:space="0" w:color="auto"/>
              <w:left w:val="single" w:sz="4" w:space="0" w:color="auto"/>
              <w:bottom w:val="single" w:sz="4" w:space="0" w:color="auto"/>
              <w:right w:val="single" w:sz="4" w:space="0" w:color="auto"/>
            </w:tcBorders>
          </w:tcPr>
          <w:p w:rsidR="00CA3EB1" w:rsidRPr="004D310E" w:rsidRDefault="00CA3EB1" w:rsidP="007F53FB">
            <w:pPr>
              <w:pStyle w:val="naiskr"/>
              <w:spacing w:before="0" w:after="0"/>
              <w:ind w:left="10" w:right="-99" w:hanging="10"/>
              <w:jc w:val="both"/>
              <w:rPr>
                <w:sz w:val="26"/>
                <w:szCs w:val="26"/>
              </w:rPr>
            </w:pPr>
            <w:r w:rsidRPr="004D310E">
              <w:rPr>
                <w:sz w:val="26"/>
                <w:szCs w:val="26"/>
              </w:rPr>
              <w:t>Pamatojums</w:t>
            </w:r>
          </w:p>
        </w:tc>
        <w:tc>
          <w:tcPr>
            <w:tcW w:w="3881" w:type="pct"/>
            <w:tcBorders>
              <w:top w:val="single" w:sz="4" w:space="0" w:color="auto"/>
              <w:left w:val="single" w:sz="4" w:space="0" w:color="auto"/>
              <w:bottom w:val="single" w:sz="4" w:space="0" w:color="auto"/>
              <w:right w:val="single" w:sz="4" w:space="0" w:color="auto"/>
            </w:tcBorders>
          </w:tcPr>
          <w:p w:rsidR="00CA3EB1" w:rsidRPr="00CA3EB1" w:rsidRDefault="00CA3EB1" w:rsidP="003245AA">
            <w:pPr>
              <w:pStyle w:val="naisf"/>
              <w:spacing w:before="0" w:after="0"/>
              <w:ind w:left="70" w:right="23" w:firstLine="226"/>
              <w:rPr>
                <w:sz w:val="26"/>
                <w:szCs w:val="26"/>
              </w:rPr>
            </w:pPr>
            <w:r w:rsidRPr="004D310E">
              <w:rPr>
                <w:sz w:val="26"/>
                <w:szCs w:val="26"/>
              </w:rPr>
              <w:t xml:space="preserve"> Ministru kabineta noteikumu projekts “Grozījumi Ministru kabineta 2011.gada 15.februāra noteikumos Nr.132 “Rotaļlietu drošuma noteikumi””</w:t>
            </w:r>
            <w:r>
              <w:rPr>
                <w:sz w:val="26"/>
                <w:szCs w:val="26"/>
              </w:rPr>
              <w:t xml:space="preserve"> (turpmāk – Noteikumu projekts) </w:t>
            </w:r>
            <w:r w:rsidRPr="004D310E">
              <w:rPr>
                <w:sz w:val="26"/>
                <w:szCs w:val="26"/>
              </w:rPr>
              <w:t xml:space="preserve">izstrādāts, </w:t>
            </w:r>
            <w:r>
              <w:rPr>
                <w:sz w:val="26"/>
                <w:szCs w:val="26"/>
              </w:rPr>
              <w:t xml:space="preserve">lai pielāgotu </w:t>
            </w:r>
            <w:r w:rsidRPr="004D310E">
              <w:rPr>
                <w:sz w:val="26"/>
                <w:szCs w:val="26"/>
              </w:rPr>
              <w:t xml:space="preserve">Ministru kabineta </w:t>
            </w:r>
            <w:r>
              <w:rPr>
                <w:sz w:val="26"/>
                <w:szCs w:val="26"/>
              </w:rPr>
              <w:t>2011.gada 15.februāra noteikumu</w:t>
            </w:r>
            <w:r w:rsidR="003245AA">
              <w:rPr>
                <w:sz w:val="26"/>
                <w:szCs w:val="26"/>
              </w:rPr>
              <w:t>s</w:t>
            </w:r>
            <w:r w:rsidRPr="004D310E">
              <w:rPr>
                <w:sz w:val="26"/>
                <w:szCs w:val="26"/>
              </w:rPr>
              <w:t xml:space="preserve"> “Rotaļlietu drošuma noteikumi” (turpmāk – Noteikumi Nr.132)</w:t>
            </w:r>
            <w:r>
              <w:rPr>
                <w:sz w:val="26"/>
                <w:szCs w:val="26"/>
              </w:rPr>
              <w:t xml:space="preserve"> </w:t>
            </w:r>
            <w:r w:rsidRPr="004D310E">
              <w:rPr>
                <w:sz w:val="26"/>
                <w:szCs w:val="26"/>
              </w:rPr>
              <w:t xml:space="preserve">atbilstoši </w:t>
            </w:r>
            <w:r>
              <w:rPr>
                <w:sz w:val="26"/>
                <w:szCs w:val="26"/>
              </w:rPr>
              <w:t xml:space="preserve">prasībām, kas izriet no: (1) Komisijas 2014.gada 20.jūnija Direktīvas 2014/79/ES, ar ko groza II pielikuma C papildinājumu Eiropas Parlamenta un Padomes Direktīvai 2009/48/EK par rotaļlietu drošumu attiecībā uz TCEP, TCPP un TDCP, (2) Komisijas 2014.gada 23.jūnija Direktīvas 2014/81/ES, ar ko groza II pielikuma C papildinājumu Eiropas Parlamenta un Padomes Direktīvai 2009/48/EK par rotaļlietu drošumu attiecībā uz </w:t>
            </w:r>
            <w:proofErr w:type="spellStart"/>
            <w:r>
              <w:rPr>
                <w:sz w:val="26"/>
                <w:szCs w:val="26"/>
              </w:rPr>
              <w:t>bisfenolu</w:t>
            </w:r>
            <w:proofErr w:type="spellEnd"/>
            <w:r>
              <w:rPr>
                <w:sz w:val="26"/>
                <w:szCs w:val="26"/>
              </w:rPr>
              <w:t xml:space="preserve"> A, un (3) </w:t>
            </w:r>
            <w:r w:rsidRPr="004D310E">
              <w:rPr>
                <w:sz w:val="26"/>
                <w:szCs w:val="26"/>
              </w:rPr>
              <w:t xml:space="preserve">Komisijas  2014.gada 30.jūnija Direktīvas 2014/84/ES, </w:t>
            </w:r>
            <w:r w:rsidRPr="001971C2">
              <w:rPr>
                <w:sz w:val="26"/>
                <w:szCs w:val="26"/>
              </w:rPr>
              <w:t>ar ko groza Eiropas Parlamenta un Padomes Direktīvas 2009/48/EK par rotaļlietu drošumu II pielikuma A papildinājumu attiecībā uz niķeli</w:t>
            </w:r>
            <w:r>
              <w:rPr>
                <w:i/>
                <w:sz w:val="26"/>
                <w:szCs w:val="26"/>
              </w:rPr>
              <w:t xml:space="preserve">. </w:t>
            </w:r>
          </w:p>
        </w:tc>
      </w:tr>
      <w:tr w:rsidR="00CA3EB1" w:rsidRPr="004D310E" w:rsidTr="007F53FB">
        <w:trPr>
          <w:trHeight w:val="629"/>
        </w:trPr>
        <w:tc>
          <w:tcPr>
            <w:tcW w:w="256" w:type="pct"/>
            <w:tcBorders>
              <w:top w:val="single" w:sz="4" w:space="0" w:color="auto"/>
              <w:left w:val="single" w:sz="4" w:space="0" w:color="auto"/>
              <w:bottom w:val="single" w:sz="4" w:space="0" w:color="auto"/>
              <w:right w:val="single" w:sz="4" w:space="0" w:color="auto"/>
            </w:tcBorders>
          </w:tcPr>
          <w:p w:rsidR="00CA3EB1" w:rsidRPr="004D310E" w:rsidRDefault="00CA3EB1" w:rsidP="007F53FB">
            <w:pPr>
              <w:pStyle w:val="naiskr"/>
              <w:spacing w:before="0" w:after="0"/>
              <w:ind w:right="-99"/>
              <w:jc w:val="center"/>
              <w:rPr>
                <w:sz w:val="26"/>
                <w:szCs w:val="26"/>
              </w:rPr>
            </w:pPr>
            <w:r w:rsidRPr="004D310E">
              <w:rPr>
                <w:sz w:val="26"/>
                <w:szCs w:val="26"/>
              </w:rPr>
              <w:t>2.</w:t>
            </w:r>
          </w:p>
        </w:tc>
        <w:tc>
          <w:tcPr>
            <w:tcW w:w="863" w:type="pct"/>
            <w:tcBorders>
              <w:top w:val="single" w:sz="4" w:space="0" w:color="auto"/>
              <w:left w:val="single" w:sz="4" w:space="0" w:color="auto"/>
              <w:bottom w:val="single" w:sz="4" w:space="0" w:color="auto"/>
              <w:right w:val="single" w:sz="4" w:space="0" w:color="auto"/>
            </w:tcBorders>
          </w:tcPr>
          <w:p w:rsidR="00CA3EB1" w:rsidRPr="004D310E" w:rsidRDefault="00CA3EB1" w:rsidP="007F53FB">
            <w:pPr>
              <w:pStyle w:val="naiskr"/>
              <w:spacing w:before="0" w:after="0"/>
              <w:ind w:right="129"/>
              <w:jc w:val="both"/>
              <w:rPr>
                <w:sz w:val="26"/>
                <w:szCs w:val="26"/>
              </w:rPr>
            </w:pPr>
            <w:r w:rsidRPr="004D310E">
              <w:rPr>
                <w:sz w:val="26"/>
                <w:szCs w:val="26"/>
              </w:rPr>
              <w:t>Pašreizējā situācija un problēmas, kuru risināšanai tiesību akta projekts izstrādāts, tiesiskā regulējuma mērķis un būtība</w:t>
            </w:r>
          </w:p>
        </w:tc>
        <w:tc>
          <w:tcPr>
            <w:tcW w:w="3881" w:type="pct"/>
            <w:tcBorders>
              <w:top w:val="single" w:sz="4" w:space="0" w:color="auto"/>
              <w:left w:val="single" w:sz="4" w:space="0" w:color="auto"/>
              <w:bottom w:val="single" w:sz="4" w:space="0" w:color="auto"/>
              <w:right w:val="single" w:sz="4" w:space="0" w:color="auto"/>
            </w:tcBorders>
          </w:tcPr>
          <w:p w:rsidR="007D0D67" w:rsidRDefault="00CA3EB1" w:rsidP="004E7532">
            <w:pPr>
              <w:pStyle w:val="naisf"/>
              <w:spacing w:before="0" w:after="0"/>
              <w:ind w:left="70" w:right="23" w:firstLine="226"/>
              <w:rPr>
                <w:sz w:val="26"/>
                <w:szCs w:val="26"/>
              </w:rPr>
            </w:pPr>
            <w:r>
              <w:rPr>
                <w:sz w:val="26"/>
                <w:szCs w:val="26"/>
              </w:rPr>
              <w:t>1) 2014.gada 10.jūlijā spēkā stājās Komisijas Direktīva 2014/79/ES</w:t>
            </w:r>
            <w:r w:rsidR="00711022">
              <w:rPr>
                <w:sz w:val="26"/>
                <w:szCs w:val="26"/>
              </w:rPr>
              <w:t>,</w:t>
            </w:r>
            <w:r>
              <w:rPr>
                <w:sz w:val="26"/>
                <w:szCs w:val="26"/>
              </w:rPr>
              <w:t xml:space="preserve"> </w:t>
            </w:r>
            <w:r w:rsidRPr="002649E1">
              <w:rPr>
                <w:i/>
                <w:sz w:val="26"/>
                <w:szCs w:val="26"/>
              </w:rPr>
              <w:t>ar ko groza II pielikuma C papildinājumu Eiropas Parlamenta un Padomes Direktīvai 2009/48/EK par rotaļlietu drošumu attiecībā uz TCEP, TCPP un TDCP</w:t>
            </w:r>
            <w:r>
              <w:rPr>
                <w:sz w:val="26"/>
                <w:szCs w:val="26"/>
              </w:rPr>
              <w:t xml:space="preserve"> </w:t>
            </w:r>
            <w:r w:rsidRPr="00CA3EB1">
              <w:rPr>
                <w:sz w:val="26"/>
                <w:szCs w:val="26"/>
              </w:rPr>
              <w:t>(turpmāk – Direktīva 2014/79/ES).</w:t>
            </w:r>
            <w:r w:rsidR="00247E04">
              <w:rPr>
                <w:sz w:val="26"/>
                <w:szCs w:val="26"/>
              </w:rPr>
              <w:t xml:space="preserve"> </w:t>
            </w:r>
            <w:r w:rsidR="007D0D67">
              <w:rPr>
                <w:sz w:val="26"/>
                <w:szCs w:val="26"/>
              </w:rPr>
              <w:t xml:space="preserve">Ar </w:t>
            </w:r>
            <w:r>
              <w:rPr>
                <w:sz w:val="26"/>
                <w:szCs w:val="26"/>
              </w:rPr>
              <w:t>Direktīv</w:t>
            </w:r>
            <w:r w:rsidR="007D0D67">
              <w:rPr>
                <w:sz w:val="26"/>
                <w:szCs w:val="26"/>
              </w:rPr>
              <w:t>u</w:t>
            </w:r>
            <w:r>
              <w:rPr>
                <w:sz w:val="26"/>
                <w:szCs w:val="26"/>
              </w:rPr>
              <w:t xml:space="preserve"> 2014/79/ES </w:t>
            </w:r>
            <w:r w:rsidR="007D0D67">
              <w:rPr>
                <w:sz w:val="26"/>
                <w:szCs w:val="26"/>
              </w:rPr>
              <w:t xml:space="preserve">Komisija </w:t>
            </w:r>
            <w:r w:rsidR="004E7532">
              <w:rPr>
                <w:sz w:val="26"/>
                <w:szCs w:val="26"/>
              </w:rPr>
              <w:t>nosaka</w:t>
            </w:r>
            <w:r w:rsidR="007D0D67">
              <w:rPr>
                <w:sz w:val="26"/>
                <w:szCs w:val="26"/>
              </w:rPr>
              <w:t xml:space="preserve"> konkrētas rob</w:t>
            </w:r>
            <w:r w:rsidR="009F6260">
              <w:rPr>
                <w:sz w:val="26"/>
                <w:szCs w:val="26"/>
              </w:rPr>
              <w:t xml:space="preserve">ežvērtības ķīmiskajai vielai </w:t>
            </w:r>
            <w:proofErr w:type="spellStart"/>
            <w:r w:rsidR="009F6260">
              <w:rPr>
                <w:sz w:val="26"/>
                <w:szCs w:val="26"/>
              </w:rPr>
              <w:t>tri</w:t>
            </w:r>
            <w:r w:rsidR="007D0D67">
              <w:rPr>
                <w:sz w:val="26"/>
                <w:szCs w:val="26"/>
              </w:rPr>
              <w:t>s</w:t>
            </w:r>
            <w:proofErr w:type="spellEnd"/>
            <w:r w:rsidR="007D0D67">
              <w:rPr>
                <w:sz w:val="26"/>
                <w:szCs w:val="26"/>
              </w:rPr>
              <w:t>(2-hloretil)fosfāt</w:t>
            </w:r>
            <w:r w:rsidR="00313101">
              <w:rPr>
                <w:sz w:val="26"/>
                <w:szCs w:val="26"/>
              </w:rPr>
              <w:t>am</w:t>
            </w:r>
            <w:r w:rsidR="007D0D67">
              <w:rPr>
                <w:sz w:val="26"/>
                <w:szCs w:val="26"/>
              </w:rPr>
              <w:t xml:space="preserve"> (TCEP) un tā </w:t>
            </w:r>
            <w:proofErr w:type="spellStart"/>
            <w:r w:rsidR="007D0D67">
              <w:rPr>
                <w:sz w:val="26"/>
                <w:szCs w:val="26"/>
              </w:rPr>
              <w:t>halogenētajiem</w:t>
            </w:r>
            <w:proofErr w:type="spellEnd"/>
            <w:r w:rsidR="007D0D67">
              <w:rPr>
                <w:sz w:val="26"/>
                <w:szCs w:val="26"/>
              </w:rPr>
              <w:t xml:space="preserve"> aizstājējiem</w:t>
            </w:r>
            <w:r w:rsidR="00B0783C">
              <w:rPr>
                <w:sz w:val="26"/>
                <w:szCs w:val="26"/>
              </w:rPr>
              <w:t xml:space="preserve"> -</w:t>
            </w:r>
            <w:r w:rsidR="007D0D67">
              <w:rPr>
                <w:sz w:val="26"/>
                <w:szCs w:val="26"/>
              </w:rPr>
              <w:t xml:space="preserve">  </w:t>
            </w:r>
            <w:proofErr w:type="spellStart"/>
            <w:r w:rsidR="007D0D67" w:rsidRPr="007D0D67">
              <w:rPr>
                <w:sz w:val="26"/>
                <w:szCs w:val="26"/>
              </w:rPr>
              <w:t>tris</w:t>
            </w:r>
            <w:proofErr w:type="spellEnd"/>
            <w:r w:rsidR="007D0D67" w:rsidRPr="007D0D67">
              <w:rPr>
                <w:sz w:val="26"/>
                <w:szCs w:val="26"/>
              </w:rPr>
              <w:t>[2-hlor-1-</w:t>
            </w:r>
            <w:r w:rsidR="007D0D67">
              <w:rPr>
                <w:sz w:val="26"/>
                <w:szCs w:val="26"/>
              </w:rPr>
              <w:t>(</w:t>
            </w:r>
            <w:proofErr w:type="spellStart"/>
            <w:r w:rsidR="007D0D67">
              <w:rPr>
                <w:sz w:val="26"/>
                <w:szCs w:val="26"/>
              </w:rPr>
              <w:t>hlormetil</w:t>
            </w:r>
            <w:proofErr w:type="spellEnd"/>
            <w:r w:rsidR="007D0D67">
              <w:rPr>
                <w:sz w:val="26"/>
                <w:szCs w:val="26"/>
              </w:rPr>
              <w:t>)etil]fosfātam (TDCP)</w:t>
            </w:r>
            <w:r w:rsidR="007D0D67" w:rsidRPr="007D0D67">
              <w:rPr>
                <w:sz w:val="26"/>
                <w:szCs w:val="26"/>
              </w:rPr>
              <w:t xml:space="preserve"> un </w:t>
            </w:r>
            <w:proofErr w:type="spellStart"/>
            <w:r w:rsidR="007D0D67" w:rsidRPr="007D0D67">
              <w:rPr>
                <w:sz w:val="26"/>
                <w:szCs w:val="26"/>
              </w:rPr>
              <w:t>tris</w:t>
            </w:r>
            <w:proofErr w:type="spellEnd"/>
            <w:r w:rsidR="007D0D67" w:rsidRPr="007D0D67">
              <w:rPr>
                <w:sz w:val="26"/>
                <w:szCs w:val="26"/>
              </w:rPr>
              <w:t>(2-hlor-1-metiletil)fosfāta</w:t>
            </w:r>
            <w:r w:rsidR="00711022">
              <w:rPr>
                <w:sz w:val="26"/>
                <w:szCs w:val="26"/>
              </w:rPr>
              <w:t xml:space="preserve">m (TCPP), </w:t>
            </w:r>
            <w:r w:rsidR="00313101">
              <w:rPr>
                <w:sz w:val="26"/>
                <w:szCs w:val="26"/>
              </w:rPr>
              <w:t>šādā veidā nodrošinot</w:t>
            </w:r>
            <w:r w:rsidR="00711022">
              <w:rPr>
                <w:sz w:val="26"/>
                <w:szCs w:val="26"/>
              </w:rPr>
              <w:t xml:space="preserve"> augst</w:t>
            </w:r>
            <w:r w:rsidR="00313101">
              <w:rPr>
                <w:sz w:val="26"/>
                <w:szCs w:val="26"/>
              </w:rPr>
              <w:t>as</w:t>
            </w:r>
            <w:r w:rsidR="00711022">
              <w:rPr>
                <w:sz w:val="26"/>
                <w:szCs w:val="26"/>
              </w:rPr>
              <w:t xml:space="preserve"> drošuma </w:t>
            </w:r>
            <w:r w:rsidR="00313101">
              <w:rPr>
                <w:sz w:val="26"/>
                <w:szCs w:val="26"/>
              </w:rPr>
              <w:t>prasības</w:t>
            </w:r>
            <w:r w:rsidR="004E7532">
              <w:rPr>
                <w:sz w:val="26"/>
                <w:szCs w:val="26"/>
              </w:rPr>
              <w:t xml:space="preserve"> </w:t>
            </w:r>
            <w:r w:rsidR="00711022">
              <w:rPr>
                <w:sz w:val="26"/>
                <w:szCs w:val="26"/>
              </w:rPr>
              <w:t xml:space="preserve">rotaļlietām, kuras paredzētas bērniem vecumā līdz 36 mēnešiem un citām rotaļlietām, kuras </w:t>
            </w:r>
            <w:r w:rsidR="00A374CB">
              <w:rPr>
                <w:sz w:val="26"/>
                <w:szCs w:val="26"/>
              </w:rPr>
              <w:t>paredzētas</w:t>
            </w:r>
            <w:r w:rsidR="00711022">
              <w:rPr>
                <w:sz w:val="26"/>
                <w:szCs w:val="26"/>
              </w:rPr>
              <w:t xml:space="preserve"> ievietošanai mutē. </w:t>
            </w:r>
            <w:r w:rsidR="00B0783C">
              <w:rPr>
                <w:sz w:val="26"/>
                <w:szCs w:val="26"/>
              </w:rPr>
              <w:t xml:space="preserve"> </w:t>
            </w:r>
          </w:p>
          <w:p w:rsidR="00B0783C" w:rsidRDefault="00B0783C" w:rsidP="007F53FB">
            <w:pPr>
              <w:pStyle w:val="naisf"/>
              <w:spacing w:before="0" w:after="0"/>
              <w:ind w:left="70" w:right="23" w:firstLine="226"/>
              <w:rPr>
                <w:sz w:val="26"/>
                <w:szCs w:val="26"/>
              </w:rPr>
            </w:pPr>
            <w:r>
              <w:rPr>
                <w:sz w:val="26"/>
                <w:szCs w:val="26"/>
              </w:rPr>
              <w:t xml:space="preserve">Saskaņā ar Eiropas Parlamenta un Padomes 2008.gada 16.decembra Regulu (EK) Nr.1272/2008 </w:t>
            </w:r>
            <w:r w:rsidRPr="002649E1">
              <w:rPr>
                <w:i/>
                <w:sz w:val="26"/>
                <w:szCs w:val="26"/>
              </w:rPr>
              <w:t>par vielu un maisījumu klasificēšanu, marķēšanu un iepakošanu un ar ko groza un atceļ Direkt</w:t>
            </w:r>
            <w:r w:rsidRPr="00C4265A">
              <w:rPr>
                <w:i/>
                <w:sz w:val="26"/>
                <w:szCs w:val="26"/>
              </w:rPr>
              <w:t>īvas 67/548/EEK</w:t>
            </w:r>
            <w:r w:rsidRPr="002649E1">
              <w:rPr>
                <w:i/>
                <w:sz w:val="26"/>
                <w:szCs w:val="26"/>
              </w:rPr>
              <w:t xml:space="preserve"> un 1999/45/EK un groza Regulu (EK) Nr.1907/2006</w:t>
            </w:r>
            <w:r>
              <w:rPr>
                <w:sz w:val="26"/>
                <w:szCs w:val="26"/>
              </w:rPr>
              <w:t xml:space="preserve"> </w:t>
            </w:r>
            <w:r w:rsidR="004E7532">
              <w:rPr>
                <w:sz w:val="26"/>
                <w:szCs w:val="26"/>
              </w:rPr>
              <w:t xml:space="preserve">(turpmāk – Regula Nr.1272/2008) </w:t>
            </w:r>
            <w:r>
              <w:rPr>
                <w:sz w:val="26"/>
                <w:szCs w:val="26"/>
              </w:rPr>
              <w:t xml:space="preserve">TCEP ir klasificēts kā 2.kategorijas kancerogēna viela un 1.B kategorijas reproduktīvajai sistēmai toksiska viela.  </w:t>
            </w:r>
          </w:p>
          <w:p w:rsidR="007F53FB" w:rsidRDefault="00B0783C" w:rsidP="00247E04">
            <w:pPr>
              <w:pStyle w:val="naisf"/>
              <w:spacing w:before="0" w:after="0"/>
              <w:ind w:left="70" w:right="23" w:firstLine="226"/>
              <w:rPr>
                <w:sz w:val="26"/>
                <w:szCs w:val="26"/>
              </w:rPr>
            </w:pPr>
            <w:r>
              <w:rPr>
                <w:sz w:val="26"/>
                <w:szCs w:val="26"/>
              </w:rPr>
              <w:lastRenderedPageBreak/>
              <w:t>Veselības un vides apdraudējuma zinātniskā komiteja (</w:t>
            </w:r>
            <w:proofErr w:type="spellStart"/>
            <w:r w:rsidR="00716D09">
              <w:rPr>
                <w:i/>
                <w:sz w:val="26"/>
                <w:szCs w:val="26"/>
              </w:rPr>
              <w:t>Scientific</w:t>
            </w:r>
            <w:proofErr w:type="spellEnd"/>
            <w:r w:rsidR="00716D09">
              <w:rPr>
                <w:i/>
                <w:sz w:val="26"/>
                <w:szCs w:val="26"/>
              </w:rPr>
              <w:t xml:space="preserve"> </w:t>
            </w:r>
            <w:proofErr w:type="spellStart"/>
            <w:r w:rsidR="00716D09">
              <w:rPr>
                <w:i/>
                <w:sz w:val="26"/>
                <w:szCs w:val="26"/>
              </w:rPr>
              <w:t>Committee</w:t>
            </w:r>
            <w:proofErr w:type="spellEnd"/>
            <w:r w:rsidR="00716D09">
              <w:rPr>
                <w:i/>
                <w:sz w:val="26"/>
                <w:szCs w:val="26"/>
              </w:rPr>
              <w:t xml:space="preserve"> </w:t>
            </w:r>
            <w:proofErr w:type="spellStart"/>
            <w:r w:rsidR="00716D09">
              <w:rPr>
                <w:i/>
                <w:sz w:val="26"/>
                <w:szCs w:val="26"/>
              </w:rPr>
              <w:t>on</w:t>
            </w:r>
            <w:proofErr w:type="spellEnd"/>
            <w:r w:rsidR="00716D09">
              <w:rPr>
                <w:i/>
                <w:sz w:val="26"/>
                <w:szCs w:val="26"/>
              </w:rPr>
              <w:t xml:space="preserve"> Health </w:t>
            </w:r>
            <w:proofErr w:type="spellStart"/>
            <w:r w:rsidR="00716D09">
              <w:rPr>
                <w:i/>
                <w:sz w:val="26"/>
                <w:szCs w:val="26"/>
              </w:rPr>
              <w:t>and</w:t>
            </w:r>
            <w:proofErr w:type="spellEnd"/>
            <w:r w:rsidR="00716D09">
              <w:rPr>
                <w:i/>
                <w:sz w:val="26"/>
                <w:szCs w:val="26"/>
              </w:rPr>
              <w:t xml:space="preserve"> </w:t>
            </w:r>
            <w:proofErr w:type="spellStart"/>
            <w:r w:rsidR="00716D09">
              <w:rPr>
                <w:i/>
                <w:sz w:val="26"/>
                <w:szCs w:val="26"/>
              </w:rPr>
              <w:t>Environmental</w:t>
            </w:r>
            <w:proofErr w:type="spellEnd"/>
            <w:r w:rsidR="00716D09">
              <w:rPr>
                <w:i/>
                <w:sz w:val="26"/>
                <w:szCs w:val="26"/>
              </w:rPr>
              <w:t xml:space="preserve"> Risks</w:t>
            </w:r>
            <w:r w:rsidR="00716D09">
              <w:rPr>
                <w:sz w:val="26"/>
                <w:szCs w:val="26"/>
              </w:rPr>
              <w:t xml:space="preserve"> jeb </w:t>
            </w:r>
            <w:r>
              <w:rPr>
                <w:sz w:val="26"/>
                <w:szCs w:val="26"/>
              </w:rPr>
              <w:t xml:space="preserve">SCHER) savā 2012.gada 22.marta atzinumā </w:t>
            </w:r>
            <w:proofErr w:type="spellStart"/>
            <w:r w:rsidRPr="002649E1">
              <w:rPr>
                <w:i/>
                <w:sz w:val="26"/>
                <w:szCs w:val="26"/>
              </w:rPr>
              <w:t>Opinion</w:t>
            </w:r>
            <w:proofErr w:type="spellEnd"/>
            <w:r w:rsidRPr="002649E1">
              <w:rPr>
                <w:i/>
                <w:sz w:val="26"/>
                <w:szCs w:val="26"/>
              </w:rPr>
              <w:t xml:space="preserve"> </w:t>
            </w:r>
            <w:proofErr w:type="spellStart"/>
            <w:r w:rsidRPr="002649E1">
              <w:rPr>
                <w:i/>
                <w:sz w:val="26"/>
                <w:szCs w:val="26"/>
              </w:rPr>
              <w:t>on</w:t>
            </w:r>
            <w:proofErr w:type="spellEnd"/>
            <w:r w:rsidRPr="002649E1">
              <w:rPr>
                <w:i/>
                <w:sz w:val="26"/>
                <w:szCs w:val="26"/>
              </w:rPr>
              <w:t xml:space="preserve"> </w:t>
            </w:r>
            <w:proofErr w:type="spellStart"/>
            <w:r w:rsidRPr="008F4B70">
              <w:rPr>
                <w:i/>
                <w:sz w:val="26"/>
                <w:szCs w:val="26"/>
              </w:rPr>
              <w:t>tri</w:t>
            </w:r>
            <w:r w:rsidRPr="002649E1">
              <w:rPr>
                <w:i/>
                <w:sz w:val="26"/>
                <w:szCs w:val="26"/>
              </w:rPr>
              <w:t>s</w:t>
            </w:r>
            <w:proofErr w:type="spellEnd"/>
            <w:r w:rsidRPr="002649E1">
              <w:rPr>
                <w:i/>
                <w:sz w:val="26"/>
                <w:szCs w:val="26"/>
              </w:rPr>
              <w:t>(2-chloroethyl)</w:t>
            </w:r>
            <w:proofErr w:type="spellStart"/>
            <w:r w:rsidRPr="002649E1">
              <w:rPr>
                <w:i/>
                <w:sz w:val="26"/>
                <w:szCs w:val="26"/>
              </w:rPr>
              <w:t>phosphate</w:t>
            </w:r>
            <w:proofErr w:type="spellEnd"/>
            <w:r w:rsidRPr="002649E1">
              <w:rPr>
                <w:i/>
                <w:sz w:val="26"/>
                <w:szCs w:val="26"/>
              </w:rPr>
              <w:t xml:space="preserve"> (TCEP)</w:t>
            </w:r>
            <w:r w:rsidR="007F53FB">
              <w:rPr>
                <w:i/>
                <w:sz w:val="26"/>
                <w:szCs w:val="26"/>
              </w:rPr>
              <w:t xml:space="preserve"> </w:t>
            </w:r>
            <w:proofErr w:type="spellStart"/>
            <w:r w:rsidRPr="002649E1">
              <w:rPr>
                <w:i/>
                <w:sz w:val="26"/>
                <w:szCs w:val="26"/>
              </w:rPr>
              <w:t>in</w:t>
            </w:r>
            <w:proofErr w:type="spellEnd"/>
            <w:r w:rsidRPr="002649E1">
              <w:rPr>
                <w:i/>
                <w:sz w:val="26"/>
                <w:szCs w:val="26"/>
              </w:rPr>
              <w:t xml:space="preserve"> </w:t>
            </w:r>
            <w:proofErr w:type="spellStart"/>
            <w:r w:rsidRPr="002649E1">
              <w:rPr>
                <w:i/>
                <w:sz w:val="26"/>
                <w:szCs w:val="26"/>
              </w:rPr>
              <w:t>toys</w:t>
            </w:r>
            <w:proofErr w:type="spellEnd"/>
            <w:r>
              <w:rPr>
                <w:i/>
                <w:sz w:val="26"/>
                <w:szCs w:val="26"/>
              </w:rPr>
              <w:t xml:space="preserve"> </w:t>
            </w:r>
            <w:r w:rsidR="000E3A05">
              <w:rPr>
                <w:sz w:val="26"/>
                <w:szCs w:val="26"/>
              </w:rPr>
              <w:t>(atzinums ir pieejams e</w:t>
            </w:r>
            <w:r w:rsidR="000E3A05">
              <w:rPr>
                <w:sz w:val="26"/>
                <w:szCs w:val="26"/>
              </w:rPr>
              <w:noBreakHyphen/>
              <w:t>vietnē: </w:t>
            </w:r>
            <w:hyperlink r:id="rId8" w:history="1">
              <w:r w:rsidR="000E3A05" w:rsidRPr="00E26E82">
                <w:rPr>
                  <w:rStyle w:val="Hyperlink"/>
                  <w:sz w:val="26"/>
                  <w:szCs w:val="26"/>
                </w:rPr>
                <w:t>http://ec.europa.eu/health/scientific_committees/environmental_risks/docs/scher_o_158.pdf</w:t>
              </w:r>
            </w:hyperlink>
            <w:r w:rsidR="008C7E09">
              <w:rPr>
                <w:sz w:val="26"/>
                <w:szCs w:val="26"/>
              </w:rPr>
              <w:t xml:space="preserve">) </w:t>
            </w:r>
            <w:proofErr w:type="spellStart"/>
            <w:r w:rsidR="007F53FB">
              <w:rPr>
                <w:sz w:val="26"/>
                <w:szCs w:val="26"/>
              </w:rPr>
              <w:t>ir</w:t>
            </w:r>
            <w:proofErr w:type="spellEnd"/>
            <w:r w:rsidR="007F53FB">
              <w:rPr>
                <w:sz w:val="26"/>
                <w:szCs w:val="26"/>
              </w:rPr>
              <w:t xml:space="preserve"> </w:t>
            </w:r>
            <w:r w:rsidR="000C6A38">
              <w:rPr>
                <w:sz w:val="26"/>
                <w:szCs w:val="26"/>
              </w:rPr>
              <w:t>informējusi</w:t>
            </w:r>
            <w:r w:rsidR="007F53FB">
              <w:rPr>
                <w:sz w:val="26"/>
                <w:szCs w:val="26"/>
              </w:rPr>
              <w:t xml:space="preserve"> par TCEP ietekmi uz veselību, norādot, ka ietekme uz veselību (jo īpaši ietekme uz nierēm) tika novērota pēc atkārtotas saskares ar 12 mg TCEP</w:t>
            </w:r>
            <w:r w:rsidR="007F53FB" w:rsidRPr="002649E1">
              <w:rPr>
                <w:sz w:val="26"/>
                <w:szCs w:val="26"/>
              </w:rPr>
              <w:t>/</w:t>
            </w:r>
            <w:r w:rsidR="007F53FB">
              <w:rPr>
                <w:sz w:val="26"/>
                <w:szCs w:val="26"/>
              </w:rPr>
              <w:t xml:space="preserve">kg ķermeņa svara dienā. Apsverot drošuma kritērijus, SCHER ieteica TCEP robežvērtību rotaļlietās noteikt pie pietiekami jūtīgas analītiskās metodes noteikšanas robežas. Pielietojot minēto metodi, TCEP robežvērtība tika noteikta 5mg/kg apmērā.  Vienlaikus SCHER savā  2012.gada 22.marta atzinumā veica novērtējumu TCEP </w:t>
            </w:r>
            <w:proofErr w:type="spellStart"/>
            <w:r w:rsidR="007F53FB">
              <w:rPr>
                <w:sz w:val="26"/>
                <w:szCs w:val="26"/>
              </w:rPr>
              <w:t>halogenētajiem</w:t>
            </w:r>
            <w:proofErr w:type="spellEnd"/>
            <w:r w:rsidR="007F53FB">
              <w:rPr>
                <w:sz w:val="26"/>
                <w:szCs w:val="26"/>
              </w:rPr>
              <w:t xml:space="preserve"> aizstājējiem – TDCP un TCPP. Pamatojo</w:t>
            </w:r>
            <w:r w:rsidR="00043F4A">
              <w:rPr>
                <w:sz w:val="26"/>
                <w:szCs w:val="26"/>
              </w:rPr>
              <w:t>ties uz novērtējuma rezultātiem un</w:t>
            </w:r>
            <w:r w:rsidR="007F53FB">
              <w:rPr>
                <w:sz w:val="26"/>
                <w:szCs w:val="26"/>
              </w:rPr>
              <w:t xml:space="preserve"> norādot uz šo vielu iespējamo </w:t>
            </w:r>
            <w:proofErr w:type="spellStart"/>
            <w:r w:rsidR="007F53FB">
              <w:rPr>
                <w:sz w:val="26"/>
                <w:szCs w:val="26"/>
              </w:rPr>
              <w:t>kancerogenitāti</w:t>
            </w:r>
            <w:proofErr w:type="spellEnd"/>
            <w:r w:rsidR="007F53FB">
              <w:rPr>
                <w:sz w:val="26"/>
                <w:szCs w:val="26"/>
              </w:rPr>
              <w:t xml:space="preserve">, tika atbalstīta analoģijas principa pielietošana attiecībā uz TDCP un TCPP, un </w:t>
            </w:r>
            <w:r w:rsidR="00043F4A">
              <w:rPr>
                <w:sz w:val="26"/>
                <w:szCs w:val="26"/>
              </w:rPr>
              <w:t xml:space="preserve">to </w:t>
            </w:r>
            <w:r w:rsidR="007F53FB">
              <w:rPr>
                <w:sz w:val="26"/>
                <w:szCs w:val="26"/>
              </w:rPr>
              <w:t xml:space="preserve">maksimālais saturs tāpat noteikts 5 mg/kg.  </w:t>
            </w:r>
            <w:r w:rsidR="00247E04">
              <w:rPr>
                <w:sz w:val="26"/>
                <w:szCs w:val="26"/>
              </w:rPr>
              <w:t xml:space="preserve"> </w:t>
            </w:r>
            <w:r w:rsidR="007F53FB">
              <w:rPr>
                <w:sz w:val="26"/>
                <w:szCs w:val="26"/>
              </w:rPr>
              <w:t xml:space="preserve">  </w:t>
            </w:r>
          </w:p>
          <w:p w:rsidR="00247E04" w:rsidRPr="00247E04" w:rsidRDefault="0098412A" w:rsidP="00247E04">
            <w:pPr>
              <w:pStyle w:val="naisf"/>
              <w:spacing w:before="0" w:after="0"/>
              <w:ind w:left="70" w:right="23" w:firstLine="226"/>
              <w:rPr>
                <w:sz w:val="26"/>
                <w:szCs w:val="26"/>
              </w:rPr>
            </w:pPr>
            <w:r w:rsidRPr="00247E04">
              <w:rPr>
                <w:sz w:val="26"/>
                <w:szCs w:val="26"/>
              </w:rPr>
              <w:t>Lai Noteikumus Nr.132 pielāgotu Direktīvas 2014/79/ES prasībām attiecībā uz TCEP, TCPP un TDCP, nepieciešams</w:t>
            </w:r>
            <w:r w:rsidR="00247E04" w:rsidRPr="00247E04">
              <w:rPr>
                <w:sz w:val="26"/>
                <w:szCs w:val="26"/>
              </w:rPr>
              <w:t xml:space="preserve"> grozīt </w:t>
            </w:r>
            <w:r w:rsidR="00FC1C4B">
              <w:rPr>
                <w:sz w:val="26"/>
                <w:szCs w:val="26"/>
              </w:rPr>
              <w:t xml:space="preserve">Noteikumu Nr.132 </w:t>
            </w:r>
            <w:r w:rsidR="00247E04" w:rsidRPr="00247E04">
              <w:rPr>
                <w:sz w:val="26"/>
                <w:szCs w:val="26"/>
              </w:rPr>
              <w:t>2.pielikuma III nodaļas 7.punktu</w:t>
            </w:r>
            <w:r w:rsidR="00247E04">
              <w:rPr>
                <w:sz w:val="26"/>
                <w:szCs w:val="26"/>
              </w:rPr>
              <w:t xml:space="preserve">, norādot, ka </w:t>
            </w:r>
            <w:r w:rsidR="00FC1C4B">
              <w:rPr>
                <w:sz w:val="26"/>
                <w:szCs w:val="26"/>
              </w:rPr>
              <w:t>minētā</w:t>
            </w:r>
            <w:r w:rsidR="00247E04">
              <w:rPr>
                <w:sz w:val="26"/>
                <w:szCs w:val="26"/>
              </w:rPr>
              <w:t xml:space="preserve"> pielikuma III nodaļas 4.,</w:t>
            </w:r>
            <w:r w:rsidR="00187C78">
              <w:rPr>
                <w:sz w:val="26"/>
                <w:szCs w:val="26"/>
              </w:rPr>
              <w:t xml:space="preserve"> </w:t>
            </w:r>
            <w:r w:rsidR="00247E04">
              <w:rPr>
                <w:sz w:val="26"/>
                <w:szCs w:val="26"/>
              </w:rPr>
              <w:t xml:space="preserve">5. un 6.punkts neattiecas uz TCEP un tā </w:t>
            </w:r>
            <w:proofErr w:type="spellStart"/>
            <w:r w:rsidR="00247E04">
              <w:rPr>
                <w:sz w:val="26"/>
                <w:szCs w:val="26"/>
              </w:rPr>
              <w:t>halogenētajiem</w:t>
            </w:r>
            <w:proofErr w:type="spellEnd"/>
            <w:r w:rsidR="00247E04">
              <w:rPr>
                <w:sz w:val="26"/>
                <w:szCs w:val="26"/>
              </w:rPr>
              <w:t xml:space="preserve"> aizstājējiem – TDCP un TCPP, kas izmantoti rotaļlietās un rotaļlietu daļās, kuras paredzētas bērniem vecumā līdz 36 mēnešiem, vai citās rotaļlietās, kuras </w:t>
            </w:r>
            <w:r w:rsidR="00A374CB">
              <w:rPr>
                <w:sz w:val="26"/>
                <w:szCs w:val="26"/>
              </w:rPr>
              <w:t>paredzētas</w:t>
            </w:r>
            <w:r w:rsidR="00247E04">
              <w:rPr>
                <w:sz w:val="26"/>
                <w:szCs w:val="26"/>
              </w:rPr>
              <w:t xml:space="preserve"> ievietošanai mutē, ja to saturs nepārsniedz robežvērtību 5 mg/kg.</w:t>
            </w:r>
          </w:p>
          <w:p w:rsidR="00CA3EB1" w:rsidRDefault="00CA3EB1" w:rsidP="004E7532">
            <w:pPr>
              <w:pStyle w:val="naisf"/>
              <w:spacing w:before="0" w:after="0"/>
              <w:ind w:left="70" w:right="23" w:firstLine="226"/>
              <w:rPr>
                <w:sz w:val="26"/>
                <w:szCs w:val="26"/>
              </w:rPr>
            </w:pPr>
            <w:r>
              <w:rPr>
                <w:sz w:val="26"/>
                <w:szCs w:val="26"/>
              </w:rPr>
              <w:t>2) Komisijas Direktīva 2014/81/ES</w:t>
            </w:r>
            <w:r w:rsidR="00E42213">
              <w:rPr>
                <w:sz w:val="26"/>
                <w:szCs w:val="26"/>
              </w:rPr>
              <w:t>,</w:t>
            </w:r>
            <w:r>
              <w:rPr>
                <w:sz w:val="26"/>
                <w:szCs w:val="26"/>
              </w:rPr>
              <w:t xml:space="preserve"> </w:t>
            </w:r>
            <w:r w:rsidRPr="002649E1">
              <w:rPr>
                <w:i/>
                <w:sz w:val="26"/>
                <w:szCs w:val="26"/>
              </w:rPr>
              <w:t xml:space="preserve">ar ko groza II pielikuma C papildinājumu Eiropas Parlamenta un Padomes Direktīvai 2009/48/EK par rotaļlietu drošumu attiecībā uz </w:t>
            </w:r>
            <w:proofErr w:type="spellStart"/>
            <w:r w:rsidRPr="002649E1">
              <w:rPr>
                <w:i/>
                <w:sz w:val="26"/>
                <w:szCs w:val="26"/>
              </w:rPr>
              <w:t>bisfenolu</w:t>
            </w:r>
            <w:proofErr w:type="spellEnd"/>
            <w:r w:rsidRPr="002649E1">
              <w:rPr>
                <w:i/>
                <w:sz w:val="26"/>
                <w:szCs w:val="26"/>
              </w:rPr>
              <w:t xml:space="preserve"> A</w:t>
            </w:r>
            <w:r>
              <w:rPr>
                <w:i/>
                <w:sz w:val="26"/>
                <w:szCs w:val="26"/>
              </w:rPr>
              <w:t xml:space="preserve"> </w:t>
            </w:r>
            <w:r w:rsidRPr="0095611F">
              <w:rPr>
                <w:sz w:val="26"/>
                <w:szCs w:val="26"/>
              </w:rPr>
              <w:t>(turpmāk – Direktīva 2014/81/ES)</w:t>
            </w:r>
            <w:r>
              <w:rPr>
                <w:sz w:val="26"/>
                <w:szCs w:val="26"/>
              </w:rPr>
              <w:t xml:space="preserve"> stājās spēkā 2014.gada 14.jūlijā. </w:t>
            </w:r>
            <w:r w:rsidR="004E7532">
              <w:rPr>
                <w:sz w:val="26"/>
                <w:szCs w:val="26"/>
              </w:rPr>
              <w:t xml:space="preserve">Ar Direktīvu 2014/81/ES Komisija nosaka īpašas prasības </w:t>
            </w:r>
            <w:proofErr w:type="spellStart"/>
            <w:r w:rsidR="004E7532">
              <w:rPr>
                <w:sz w:val="26"/>
                <w:szCs w:val="26"/>
              </w:rPr>
              <w:t>bisfenola</w:t>
            </w:r>
            <w:proofErr w:type="spellEnd"/>
            <w:r w:rsidR="004E7532">
              <w:rPr>
                <w:sz w:val="26"/>
                <w:szCs w:val="26"/>
              </w:rPr>
              <w:t xml:space="preserve"> A saturam rotaļlietās, kuras paredzētas bērniem vecumā līdz 36 mēnešiem, un kuras </w:t>
            </w:r>
            <w:r w:rsidR="00A374CB">
              <w:rPr>
                <w:sz w:val="26"/>
                <w:szCs w:val="26"/>
              </w:rPr>
              <w:t>paredzētas</w:t>
            </w:r>
            <w:r w:rsidR="004E7532">
              <w:rPr>
                <w:sz w:val="26"/>
                <w:szCs w:val="26"/>
              </w:rPr>
              <w:t xml:space="preserve"> ievietošanai mutē. </w:t>
            </w:r>
            <w:r>
              <w:rPr>
                <w:sz w:val="26"/>
                <w:szCs w:val="26"/>
              </w:rPr>
              <w:t xml:space="preserve">Saskaņā ar Regulu </w:t>
            </w:r>
            <w:r w:rsidR="004E7532">
              <w:rPr>
                <w:sz w:val="26"/>
                <w:szCs w:val="26"/>
              </w:rPr>
              <w:t>Nr.</w:t>
            </w:r>
            <w:r>
              <w:rPr>
                <w:sz w:val="26"/>
                <w:szCs w:val="26"/>
              </w:rPr>
              <w:t xml:space="preserve">1272/2008 </w:t>
            </w:r>
            <w:proofErr w:type="spellStart"/>
            <w:r>
              <w:rPr>
                <w:sz w:val="26"/>
                <w:szCs w:val="26"/>
              </w:rPr>
              <w:t>bisfenols</w:t>
            </w:r>
            <w:proofErr w:type="spellEnd"/>
            <w:r>
              <w:rPr>
                <w:sz w:val="26"/>
                <w:szCs w:val="26"/>
              </w:rPr>
              <w:t xml:space="preserve"> A ir klasificēts kā 2.kategorijas reproduktīvajai sistēmai toksiska viela.   </w:t>
            </w:r>
          </w:p>
          <w:p w:rsidR="00CA3EB1" w:rsidRDefault="00CA3EB1" w:rsidP="007F53FB">
            <w:pPr>
              <w:pStyle w:val="naisf"/>
              <w:spacing w:before="0" w:after="0"/>
              <w:ind w:left="70" w:right="23" w:firstLine="226"/>
              <w:rPr>
                <w:sz w:val="26"/>
                <w:szCs w:val="26"/>
              </w:rPr>
            </w:pPr>
            <w:r>
              <w:rPr>
                <w:sz w:val="26"/>
                <w:szCs w:val="26"/>
              </w:rPr>
              <w:t xml:space="preserve">Standarts EN 71-9:2005+A1:2007 paredz </w:t>
            </w:r>
            <w:proofErr w:type="spellStart"/>
            <w:r>
              <w:rPr>
                <w:sz w:val="26"/>
                <w:szCs w:val="26"/>
              </w:rPr>
              <w:t>bisfenola</w:t>
            </w:r>
            <w:proofErr w:type="spellEnd"/>
            <w:r>
              <w:rPr>
                <w:sz w:val="26"/>
                <w:szCs w:val="26"/>
              </w:rPr>
              <w:t xml:space="preserve"> A migrācijas robežu – 0,1mg/l, bet standartos EN 71-10:2005  un EN 71-11:2005 </w:t>
            </w:r>
            <w:r w:rsidR="004E7532">
              <w:rPr>
                <w:sz w:val="26"/>
                <w:szCs w:val="26"/>
              </w:rPr>
              <w:t xml:space="preserve">ir </w:t>
            </w:r>
            <w:r>
              <w:rPr>
                <w:sz w:val="26"/>
                <w:szCs w:val="26"/>
              </w:rPr>
              <w:t xml:space="preserve">noteiktas </w:t>
            </w:r>
            <w:proofErr w:type="spellStart"/>
            <w:r w:rsidR="00043F4A">
              <w:rPr>
                <w:sz w:val="26"/>
                <w:szCs w:val="26"/>
              </w:rPr>
              <w:t>bisfenola</w:t>
            </w:r>
            <w:proofErr w:type="spellEnd"/>
            <w:r w:rsidR="00043F4A">
              <w:rPr>
                <w:sz w:val="26"/>
                <w:szCs w:val="26"/>
              </w:rPr>
              <w:t xml:space="preserve"> A </w:t>
            </w:r>
            <w:r>
              <w:rPr>
                <w:sz w:val="26"/>
                <w:szCs w:val="26"/>
              </w:rPr>
              <w:t xml:space="preserve">testēšanas metodes. Minētos standartus rotaļlietu ražotāji izmanto par atsauci, lai nodrošinātu, ka rotaļlietās esošais </w:t>
            </w:r>
            <w:proofErr w:type="spellStart"/>
            <w:r>
              <w:rPr>
                <w:sz w:val="26"/>
                <w:szCs w:val="26"/>
              </w:rPr>
              <w:t>bisfenols</w:t>
            </w:r>
            <w:proofErr w:type="spellEnd"/>
            <w:r>
              <w:rPr>
                <w:sz w:val="26"/>
                <w:szCs w:val="26"/>
              </w:rPr>
              <w:t xml:space="preserve"> A nerada nelabvēlīgu iedarbību. </w:t>
            </w:r>
            <w:r w:rsidRPr="004E7532">
              <w:rPr>
                <w:sz w:val="26"/>
                <w:szCs w:val="26"/>
              </w:rPr>
              <w:t xml:space="preserve">Savukārt Regula </w:t>
            </w:r>
            <w:r w:rsidR="00244141">
              <w:rPr>
                <w:sz w:val="26"/>
                <w:szCs w:val="26"/>
              </w:rPr>
              <w:t>Nr.</w:t>
            </w:r>
            <w:r w:rsidRPr="004E7532">
              <w:rPr>
                <w:sz w:val="26"/>
                <w:szCs w:val="26"/>
              </w:rPr>
              <w:t xml:space="preserve">1272/2008 nosaka, ka </w:t>
            </w:r>
            <w:r w:rsidR="00DC7477">
              <w:rPr>
                <w:sz w:val="26"/>
                <w:szCs w:val="26"/>
              </w:rPr>
              <w:t xml:space="preserve">gadījumos </w:t>
            </w:r>
            <w:r w:rsidRPr="004E7532">
              <w:rPr>
                <w:sz w:val="26"/>
                <w:szCs w:val="26"/>
              </w:rPr>
              <w:t xml:space="preserve">ja nepastāv īpašas </w:t>
            </w:r>
            <w:r w:rsidRPr="004E7532">
              <w:rPr>
                <w:sz w:val="26"/>
                <w:szCs w:val="26"/>
              </w:rPr>
              <w:lastRenderedPageBreak/>
              <w:t xml:space="preserve">prasības, rotaļlietas </w:t>
            </w:r>
            <w:proofErr w:type="spellStart"/>
            <w:r w:rsidRPr="004E7532">
              <w:rPr>
                <w:sz w:val="26"/>
                <w:szCs w:val="26"/>
              </w:rPr>
              <w:t>bisfenolu</w:t>
            </w:r>
            <w:proofErr w:type="spellEnd"/>
            <w:r w:rsidRPr="004E7532">
              <w:rPr>
                <w:sz w:val="26"/>
                <w:szCs w:val="26"/>
              </w:rPr>
              <w:t xml:space="preserve"> A v</w:t>
            </w:r>
            <w:r w:rsidR="004E7532" w:rsidRPr="004E7532">
              <w:rPr>
                <w:sz w:val="26"/>
                <w:szCs w:val="26"/>
              </w:rPr>
              <w:t>ar saturēt šādās koncentrācijās:</w:t>
            </w:r>
            <w:r w:rsidRPr="004E7532">
              <w:rPr>
                <w:sz w:val="26"/>
                <w:szCs w:val="26"/>
              </w:rPr>
              <w:t xml:space="preserve"> 5% sākot ar 2013.gada 20.jūliju, un 3% sākot ar 2015.gada 1.jūniju.</w:t>
            </w:r>
            <w:r>
              <w:rPr>
                <w:sz w:val="26"/>
                <w:szCs w:val="26"/>
              </w:rPr>
              <w:t xml:space="preserve">  </w:t>
            </w:r>
          </w:p>
          <w:p w:rsidR="00CA3EB1" w:rsidRDefault="002D476C" w:rsidP="007F53FB">
            <w:pPr>
              <w:pStyle w:val="naisf"/>
              <w:spacing w:before="0" w:after="0"/>
              <w:ind w:left="70" w:right="23" w:firstLine="226"/>
              <w:rPr>
                <w:sz w:val="26"/>
                <w:szCs w:val="26"/>
              </w:rPr>
            </w:pPr>
            <w:r>
              <w:rPr>
                <w:sz w:val="26"/>
                <w:szCs w:val="26"/>
              </w:rPr>
              <w:t>Eiropas Komisijas Vienotā pētniecības centra</w:t>
            </w:r>
            <w:r w:rsidR="00CA3EB1">
              <w:rPr>
                <w:sz w:val="26"/>
                <w:szCs w:val="26"/>
              </w:rPr>
              <w:t xml:space="preserve"> Veselības un pa</w:t>
            </w:r>
            <w:r>
              <w:rPr>
                <w:sz w:val="26"/>
                <w:szCs w:val="26"/>
              </w:rPr>
              <w:t>tērētāju aizsardzības institūts</w:t>
            </w:r>
            <w:r w:rsidR="00CA3EB1">
              <w:rPr>
                <w:sz w:val="26"/>
                <w:szCs w:val="26"/>
              </w:rPr>
              <w:t xml:space="preserve"> savā galīgajā riska novērtējuma ziņojumā </w:t>
            </w:r>
            <w:proofErr w:type="spellStart"/>
            <w:r w:rsidR="00CA3EB1" w:rsidRPr="002649E1">
              <w:rPr>
                <w:i/>
                <w:sz w:val="26"/>
                <w:szCs w:val="26"/>
              </w:rPr>
              <w:t>Updated</w:t>
            </w:r>
            <w:proofErr w:type="spellEnd"/>
            <w:r w:rsidR="00CA3EB1" w:rsidRPr="002649E1">
              <w:rPr>
                <w:i/>
                <w:sz w:val="26"/>
                <w:szCs w:val="26"/>
              </w:rPr>
              <w:t xml:space="preserve"> </w:t>
            </w:r>
            <w:proofErr w:type="spellStart"/>
            <w:r w:rsidR="00CA3EB1" w:rsidRPr="002649E1">
              <w:rPr>
                <w:i/>
                <w:sz w:val="26"/>
                <w:szCs w:val="26"/>
              </w:rPr>
              <w:t>European</w:t>
            </w:r>
            <w:proofErr w:type="spellEnd"/>
            <w:r w:rsidR="00CA3EB1" w:rsidRPr="002649E1">
              <w:rPr>
                <w:i/>
                <w:sz w:val="26"/>
                <w:szCs w:val="26"/>
              </w:rPr>
              <w:t xml:space="preserve"> </w:t>
            </w:r>
            <w:proofErr w:type="spellStart"/>
            <w:r w:rsidR="00CA3EB1" w:rsidRPr="002649E1">
              <w:rPr>
                <w:i/>
                <w:sz w:val="26"/>
                <w:szCs w:val="26"/>
              </w:rPr>
              <w:t>Union</w:t>
            </w:r>
            <w:proofErr w:type="spellEnd"/>
            <w:r w:rsidR="00CA3EB1" w:rsidRPr="002649E1">
              <w:rPr>
                <w:i/>
                <w:sz w:val="26"/>
                <w:szCs w:val="26"/>
              </w:rPr>
              <w:t xml:space="preserve"> Risk </w:t>
            </w:r>
            <w:proofErr w:type="spellStart"/>
            <w:r w:rsidR="00CA3EB1" w:rsidRPr="002649E1">
              <w:rPr>
                <w:i/>
                <w:sz w:val="26"/>
                <w:szCs w:val="26"/>
              </w:rPr>
              <w:t>Assessment</w:t>
            </w:r>
            <w:proofErr w:type="spellEnd"/>
            <w:r w:rsidR="00CA3EB1" w:rsidRPr="002649E1">
              <w:rPr>
                <w:i/>
                <w:sz w:val="26"/>
                <w:szCs w:val="26"/>
              </w:rPr>
              <w:t xml:space="preserve"> </w:t>
            </w:r>
            <w:proofErr w:type="spellStart"/>
            <w:r w:rsidR="00CA3EB1" w:rsidRPr="002649E1">
              <w:rPr>
                <w:i/>
                <w:sz w:val="26"/>
                <w:szCs w:val="26"/>
              </w:rPr>
              <w:t>Report</w:t>
            </w:r>
            <w:proofErr w:type="spellEnd"/>
            <w:r w:rsidR="00CA3EB1" w:rsidRPr="002649E1">
              <w:rPr>
                <w:i/>
                <w:sz w:val="26"/>
                <w:szCs w:val="26"/>
              </w:rPr>
              <w:t xml:space="preserve"> 4,4’-isopropylidenediphenol</w:t>
            </w:r>
            <w:r w:rsidR="00CA3EB1">
              <w:rPr>
                <w:sz w:val="26"/>
                <w:szCs w:val="26"/>
              </w:rPr>
              <w:t xml:space="preserve"> </w:t>
            </w:r>
            <w:r w:rsidR="00CA3EB1" w:rsidRPr="002649E1">
              <w:rPr>
                <w:i/>
                <w:sz w:val="26"/>
                <w:szCs w:val="26"/>
              </w:rPr>
              <w:t>(</w:t>
            </w:r>
            <w:proofErr w:type="spellStart"/>
            <w:r w:rsidR="00CA3EB1" w:rsidRPr="002649E1">
              <w:rPr>
                <w:i/>
                <w:sz w:val="26"/>
                <w:szCs w:val="26"/>
              </w:rPr>
              <w:t>bisphenol</w:t>
            </w:r>
            <w:proofErr w:type="spellEnd"/>
            <w:r w:rsidR="00CA3EB1" w:rsidRPr="002649E1">
              <w:rPr>
                <w:i/>
                <w:sz w:val="26"/>
                <w:szCs w:val="26"/>
              </w:rPr>
              <w:t>-A)</w:t>
            </w:r>
            <w:r w:rsidR="000E3A05">
              <w:rPr>
                <w:sz w:val="26"/>
                <w:szCs w:val="26"/>
              </w:rPr>
              <w:t xml:space="preserve"> (</w:t>
            </w:r>
            <w:r w:rsidR="00D45314">
              <w:rPr>
                <w:sz w:val="26"/>
                <w:szCs w:val="26"/>
              </w:rPr>
              <w:t>ziņojums</w:t>
            </w:r>
            <w:r w:rsidR="000E3A05">
              <w:rPr>
                <w:sz w:val="26"/>
                <w:szCs w:val="26"/>
              </w:rPr>
              <w:t xml:space="preserve"> </w:t>
            </w:r>
            <w:r w:rsidR="00D45314">
              <w:rPr>
                <w:sz w:val="26"/>
                <w:szCs w:val="26"/>
              </w:rPr>
              <w:t>ir pieejams</w:t>
            </w:r>
            <w:r w:rsidR="000E3A05">
              <w:rPr>
                <w:sz w:val="26"/>
                <w:szCs w:val="26"/>
              </w:rPr>
              <w:t xml:space="preserve"> e-vietnē: </w:t>
            </w:r>
            <w:hyperlink r:id="rId9" w:history="1">
              <w:r w:rsidR="000E3A05" w:rsidRPr="00E26E82">
                <w:rPr>
                  <w:rStyle w:val="Hyperlink"/>
                  <w:sz w:val="26"/>
                  <w:szCs w:val="26"/>
                </w:rPr>
                <w:t>http://echa.europa.eu/documents/10162/d1d9e186-4385-4595-b6cb-5a1a7a160f07</w:t>
              </w:r>
            </w:hyperlink>
            <w:r w:rsidR="000E3A05">
              <w:rPr>
                <w:sz w:val="26"/>
                <w:szCs w:val="26"/>
              </w:rPr>
              <w:t xml:space="preserve">) </w:t>
            </w:r>
            <w:r w:rsidR="00CA3EB1">
              <w:rPr>
                <w:sz w:val="26"/>
                <w:szCs w:val="26"/>
              </w:rPr>
              <w:t xml:space="preserve">secināja, ka </w:t>
            </w:r>
            <w:proofErr w:type="spellStart"/>
            <w:r w:rsidR="00CA3EB1">
              <w:rPr>
                <w:sz w:val="26"/>
                <w:szCs w:val="26"/>
              </w:rPr>
              <w:t>bisfenolam</w:t>
            </w:r>
            <w:proofErr w:type="spellEnd"/>
            <w:r w:rsidR="00CA3EB1">
              <w:rPr>
                <w:sz w:val="26"/>
                <w:szCs w:val="26"/>
              </w:rPr>
              <w:t xml:space="preserve"> A novērojama endokrīnās modulācijas aktivitāte, un</w:t>
            </w:r>
            <w:r w:rsidR="004E7532">
              <w:rPr>
                <w:sz w:val="26"/>
                <w:szCs w:val="26"/>
              </w:rPr>
              <w:t xml:space="preserve"> būtu</w:t>
            </w:r>
            <w:r w:rsidR="00CA3EB1">
              <w:rPr>
                <w:sz w:val="26"/>
                <w:szCs w:val="26"/>
              </w:rPr>
              <w:t xml:space="preserve"> jāveic turpmāki pētījumi, lai novērtētu </w:t>
            </w:r>
            <w:proofErr w:type="spellStart"/>
            <w:r w:rsidR="00CA3EB1">
              <w:rPr>
                <w:sz w:val="26"/>
                <w:szCs w:val="26"/>
              </w:rPr>
              <w:t>bisfenola</w:t>
            </w:r>
            <w:proofErr w:type="spellEnd"/>
            <w:r w:rsidR="00CA3EB1">
              <w:rPr>
                <w:sz w:val="26"/>
                <w:szCs w:val="26"/>
              </w:rPr>
              <w:t xml:space="preserve"> A potenciālo spēju mazās devās kaitīgi ietekmēt bērnu attīstību.  </w:t>
            </w:r>
          </w:p>
          <w:p w:rsidR="00CA3EB1" w:rsidRDefault="004E7532" w:rsidP="004E7532">
            <w:pPr>
              <w:pStyle w:val="naisf"/>
              <w:spacing w:before="0" w:after="0"/>
              <w:ind w:left="70" w:right="23" w:firstLine="226"/>
              <w:rPr>
                <w:sz w:val="26"/>
                <w:szCs w:val="26"/>
              </w:rPr>
            </w:pPr>
            <w:r>
              <w:rPr>
                <w:sz w:val="26"/>
                <w:szCs w:val="26"/>
              </w:rPr>
              <w:t xml:space="preserve">Tādēļ </w:t>
            </w:r>
            <w:r w:rsidR="00CA3EB1">
              <w:rPr>
                <w:sz w:val="26"/>
                <w:szCs w:val="26"/>
              </w:rPr>
              <w:t xml:space="preserve">Direktīvā 2014/81/ES noteikta </w:t>
            </w:r>
            <w:proofErr w:type="spellStart"/>
            <w:r w:rsidR="00CA3EB1">
              <w:rPr>
                <w:sz w:val="26"/>
                <w:szCs w:val="26"/>
              </w:rPr>
              <w:t>bisfenola</w:t>
            </w:r>
            <w:proofErr w:type="spellEnd"/>
            <w:r w:rsidR="00CA3EB1">
              <w:rPr>
                <w:sz w:val="26"/>
                <w:szCs w:val="26"/>
              </w:rPr>
              <w:t xml:space="preserve"> A migrācijas robeža 0,1% mg/l</w:t>
            </w:r>
            <w:r>
              <w:rPr>
                <w:sz w:val="26"/>
                <w:szCs w:val="26"/>
              </w:rPr>
              <w:t xml:space="preserve"> atbilstoši standartam EN 71-9:2005+A1:2007 (saskaņā ar standartos EN 71-10:2005  un EN 71-11:2005 noteiktajām metodēm), lai nodrošinātu augstāku bērnu aizsardzību, nekā to paredz Regula Nr.1272/2008. </w:t>
            </w:r>
            <w:r w:rsidR="00CA3EB1">
              <w:rPr>
                <w:sz w:val="26"/>
                <w:szCs w:val="26"/>
              </w:rPr>
              <w:t xml:space="preserve">  </w:t>
            </w:r>
            <w:r w:rsidR="00247E04">
              <w:rPr>
                <w:sz w:val="26"/>
                <w:szCs w:val="26"/>
              </w:rPr>
              <w:t xml:space="preserve"> </w:t>
            </w:r>
          </w:p>
          <w:p w:rsidR="00247E04" w:rsidRDefault="00247E04" w:rsidP="00187C78">
            <w:pPr>
              <w:pStyle w:val="naisf"/>
              <w:spacing w:before="0" w:after="0"/>
              <w:ind w:left="70" w:right="23" w:firstLine="226"/>
              <w:rPr>
                <w:sz w:val="26"/>
                <w:szCs w:val="26"/>
              </w:rPr>
            </w:pPr>
            <w:r>
              <w:rPr>
                <w:sz w:val="26"/>
                <w:szCs w:val="26"/>
              </w:rPr>
              <w:t>Lai Noteikumos Nr.132 ieviest</w:t>
            </w:r>
            <w:r w:rsidR="00187C78">
              <w:rPr>
                <w:sz w:val="26"/>
                <w:szCs w:val="26"/>
              </w:rPr>
              <w:t>u</w:t>
            </w:r>
            <w:r>
              <w:rPr>
                <w:sz w:val="26"/>
                <w:szCs w:val="26"/>
              </w:rPr>
              <w:t xml:space="preserve"> </w:t>
            </w:r>
            <w:r w:rsidRPr="00247E04">
              <w:rPr>
                <w:sz w:val="26"/>
                <w:szCs w:val="26"/>
              </w:rPr>
              <w:t>Direktīvas 2014/81/ES prasības,</w:t>
            </w:r>
            <w:r>
              <w:rPr>
                <w:sz w:val="26"/>
                <w:szCs w:val="26"/>
              </w:rPr>
              <w:t xml:space="preserve"> </w:t>
            </w:r>
            <w:r w:rsidR="00187C78">
              <w:rPr>
                <w:sz w:val="26"/>
                <w:szCs w:val="26"/>
              </w:rPr>
              <w:t xml:space="preserve">nepieciešams </w:t>
            </w:r>
            <w:r w:rsidR="00187C78" w:rsidRPr="00247E04">
              <w:rPr>
                <w:sz w:val="26"/>
                <w:szCs w:val="26"/>
              </w:rPr>
              <w:t>grozīt Noteikumu Nr.132 2.pielikuma III nodaļas 7.punktu</w:t>
            </w:r>
            <w:r w:rsidR="00187C78">
              <w:rPr>
                <w:sz w:val="26"/>
                <w:szCs w:val="26"/>
              </w:rPr>
              <w:t xml:space="preserve">, norādot, ka šā pielikuma III nodaļas 4., 5. un 6.punkts </w:t>
            </w:r>
            <w:r w:rsidR="00A374CB">
              <w:rPr>
                <w:sz w:val="26"/>
                <w:szCs w:val="26"/>
              </w:rPr>
              <w:t xml:space="preserve">tāpat </w:t>
            </w:r>
            <w:r w:rsidR="00187C78">
              <w:rPr>
                <w:sz w:val="26"/>
                <w:szCs w:val="26"/>
              </w:rPr>
              <w:t xml:space="preserve">neattiecas uz </w:t>
            </w:r>
            <w:proofErr w:type="spellStart"/>
            <w:r w:rsidR="00187C78">
              <w:rPr>
                <w:sz w:val="26"/>
                <w:szCs w:val="26"/>
              </w:rPr>
              <w:t>bisfenolu</w:t>
            </w:r>
            <w:proofErr w:type="spellEnd"/>
            <w:r w:rsidR="00187C78">
              <w:rPr>
                <w:sz w:val="26"/>
                <w:szCs w:val="26"/>
              </w:rPr>
              <w:t xml:space="preserve"> A,  kas izmantots rotaļlietās un rotaļlietu daļās, kuras paredzētas bērniem vecumā līdz 36 mēnešiem, vai citās rotaļlietās, kuras </w:t>
            </w:r>
            <w:r w:rsidR="00A374CB">
              <w:rPr>
                <w:sz w:val="26"/>
                <w:szCs w:val="26"/>
              </w:rPr>
              <w:t>paredzētas</w:t>
            </w:r>
            <w:r w:rsidR="00187C78">
              <w:rPr>
                <w:sz w:val="26"/>
                <w:szCs w:val="26"/>
              </w:rPr>
              <w:t xml:space="preserve"> ievietošanai mutē, ja tā migrācijas robeža nepārsniedz 0,1 mg/l saskaņā ar standartos EN 71-10:2005 un EN 71-11:2005 noteiktajām metodēm</w:t>
            </w:r>
            <w:r w:rsidR="00FC1C4B">
              <w:rPr>
                <w:sz w:val="26"/>
                <w:szCs w:val="26"/>
              </w:rPr>
              <w:t>.</w:t>
            </w:r>
          </w:p>
          <w:p w:rsidR="00CA3EB1" w:rsidRPr="0010599A" w:rsidRDefault="00CA3EB1" w:rsidP="007F53FB">
            <w:pPr>
              <w:pStyle w:val="naisf"/>
              <w:spacing w:before="0" w:after="0"/>
              <w:ind w:left="70" w:right="23" w:firstLine="226"/>
              <w:rPr>
                <w:sz w:val="26"/>
                <w:szCs w:val="26"/>
              </w:rPr>
            </w:pPr>
            <w:r>
              <w:rPr>
                <w:sz w:val="26"/>
                <w:szCs w:val="26"/>
              </w:rPr>
              <w:t xml:space="preserve">3) 2014.gada 20.jūlijā spēkā stājās Komisijas Direktīva 2014/84/ES, </w:t>
            </w:r>
            <w:r w:rsidRPr="00A17674">
              <w:rPr>
                <w:i/>
                <w:sz w:val="26"/>
                <w:szCs w:val="26"/>
              </w:rPr>
              <w:t xml:space="preserve">ar </w:t>
            </w:r>
            <w:r w:rsidR="00F56D25" w:rsidRPr="00A17674">
              <w:rPr>
                <w:i/>
                <w:sz w:val="26"/>
                <w:szCs w:val="26"/>
              </w:rPr>
              <w:t>ko groza Eiropas Parlamenta un P</w:t>
            </w:r>
            <w:r w:rsidRPr="00A17674">
              <w:rPr>
                <w:i/>
                <w:sz w:val="26"/>
                <w:szCs w:val="26"/>
              </w:rPr>
              <w:t>adomes Direktīvas 2009/48/EK par rotaļlietu drošumu II pielikuma A papildinājumu attiecībā uz niķeli</w:t>
            </w:r>
            <w:r w:rsidR="00A17674">
              <w:rPr>
                <w:sz w:val="26"/>
                <w:szCs w:val="26"/>
              </w:rPr>
              <w:t xml:space="preserve"> (turpmāk – Direktīva 2014/84/ES).</w:t>
            </w:r>
            <w:r>
              <w:rPr>
                <w:sz w:val="26"/>
                <w:szCs w:val="26"/>
              </w:rPr>
              <w:t xml:space="preserve"> </w:t>
            </w:r>
          </w:p>
          <w:p w:rsidR="00CA3EB1" w:rsidRPr="004D310E" w:rsidRDefault="00CA3EB1" w:rsidP="00A17674">
            <w:pPr>
              <w:pStyle w:val="naisf"/>
              <w:spacing w:before="0" w:after="0"/>
              <w:ind w:left="70" w:right="23" w:firstLine="226"/>
              <w:rPr>
                <w:sz w:val="26"/>
                <w:szCs w:val="26"/>
              </w:rPr>
            </w:pPr>
            <w:r w:rsidRPr="004D310E">
              <w:rPr>
                <w:sz w:val="26"/>
                <w:szCs w:val="26"/>
              </w:rPr>
              <w:t xml:space="preserve">  Niķelis tiek izmantots tādos rotaļlietu izstrādājumos kā, piemēram,  dzelzceļa modeļi un bateriju kontakti. Saskaņā ar</w:t>
            </w:r>
            <w:r>
              <w:rPr>
                <w:sz w:val="26"/>
                <w:szCs w:val="26"/>
              </w:rPr>
              <w:t xml:space="preserve">  </w:t>
            </w:r>
            <w:r w:rsidRPr="004D310E">
              <w:rPr>
                <w:sz w:val="26"/>
                <w:szCs w:val="26"/>
              </w:rPr>
              <w:t>Regulu 1272/2008</w:t>
            </w:r>
            <w:r>
              <w:rPr>
                <w:i/>
                <w:sz w:val="26"/>
                <w:szCs w:val="26"/>
              </w:rPr>
              <w:t xml:space="preserve"> </w:t>
            </w:r>
            <w:r w:rsidRPr="004D310E">
              <w:rPr>
                <w:sz w:val="26"/>
                <w:szCs w:val="26"/>
              </w:rPr>
              <w:t xml:space="preserve">niķelis ir klasificēts kā </w:t>
            </w:r>
            <w:r w:rsidR="00A17674">
              <w:rPr>
                <w:sz w:val="26"/>
                <w:szCs w:val="26"/>
              </w:rPr>
              <w:t xml:space="preserve">2.kategorijas kancerogēna viela. </w:t>
            </w:r>
            <w:r w:rsidRPr="004D310E">
              <w:rPr>
                <w:sz w:val="26"/>
                <w:szCs w:val="26"/>
              </w:rPr>
              <w:t xml:space="preserve">Pašreiz Noteikumos Nr.132 ir ieviestas </w:t>
            </w:r>
            <w:r w:rsidR="009A5E85">
              <w:rPr>
                <w:sz w:val="26"/>
                <w:szCs w:val="26"/>
              </w:rPr>
              <w:t xml:space="preserve">Eiropas Parlamenta un Padomes 2009.gada 18.jūnija </w:t>
            </w:r>
            <w:r w:rsidR="009A5E85" w:rsidRPr="004D310E">
              <w:rPr>
                <w:sz w:val="26"/>
                <w:szCs w:val="26"/>
              </w:rPr>
              <w:t>Direktīvas 2009/48/EK</w:t>
            </w:r>
            <w:r w:rsidR="009A5E85">
              <w:rPr>
                <w:sz w:val="26"/>
                <w:szCs w:val="26"/>
              </w:rPr>
              <w:t xml:space="preserve"> </w:t>
            </w:r>
            <w:r w:rsidR="009A5E85" w:rsidRPr="009A5E85">
              <w:rPr>
                <w:i/>
                <w:sz w:val="26"/>
                <w:szCs w:val="26"/>
              </w:rPr>
              <w:t>par rotaļlietu drošumu</w:t>
            </w:r>
            <w:r w:rsidR="009A5E85">
              <w:rPr>
                <w:sz w:val="26"/>
                <w:szCs w:val="26"/>
              </w:rPr>
              <w:t xml:space="preserve"> (turpmāk – Direktīva 2009/48/EK)</w:t>
            </w:r>
            <w:r w:rsidR="009A5E85" w:rsidRPr="004D310E">
              <w:rPr>
                <w:sz w:val="26"/>
                <w:szCs w:val="26"/>
              </w:rPr>
              <w:t xml:space="preserve"> </w:t>
            </w:r>
            <w:r w:rsidRPr="004D310E">
              <w:rPr>
                <w:sz w:val="26"/>
                <w:szCs w:val="26"/>
              </w:rPr>
              <w:t>prasības, kuras atļauj niķeļa izmantošanu nerūsējošā tēraudā, jo ir pierādīts šāda veida niķeļa izmantošanas drošums (Noteikumu Nr.132 2.pi</w:t>
            </w:r>
            <w:r w:rsidR="00A17674">
              <w:rPr>
                <w:sz w:val="26"/>
                <w:szCs w:val="26"/>
              </w:rPr>
              <w:t>elikuma III nodaļas 7.punkts).</w:t>
            </w:r>
            <w:r w:rsidRPr="004D310E">
              <w:rPr>
                <w:sz w:val="26"/>
                <w:szCs w:val="26"/>
              </w:rPr>
              <w:t xml:space="preserve">  </w:t>
            </w:r>
          </w:p>
          <w:p w:rsidR="00CA3EB1" w:rsidRPr="004D310E" w:rsidRDefault="00CA3EB1" w:rsidP="007F53FB">
            <w:pPr>
              <w:pStyle w:val="naisf"/>
              <w:spacing w:before="0" w:after="0"/>
              <w:ind w:left="70" w:right="23" w:firstLine="226"/>
              <w:rPr>
                <w:sz w:val="26"/>
                <w:szCs w:val="26"/>
              </w:rPr>
            </w:pPr>
            <w:r>
              <w:rPr>
                <w:sz w:val="26"/>
                <w:szCs w:val="26"/>
              </w:rPr>
              <w:t xml:space="preserve">SCHER </w:t>
            </w:r>
            <w:r w:rsidR="00A17674">
              <w:rPr>
                <w:sz w:val="26"/>
                <w:szCs w:val="26"/>
              </w:rPr>
              <w:t>veica</w:t>
            </w:r>
            <w:r w:rsidRPr="004D310E">
              <w:rPr>
                <w:sz w:val="26"/>
                <w:szCs w:val="26"/>
              </w:rPr>
              <w:t xml:space="preserve"> veselības apdraudējuma novērtējumu, ko rada metāliska niķeļa klātbūtne elektroniskajās rotaļlietās </w:t>
            </w:r>
            <w:r w:rsidRPr="004D310E">
              <w:rPr>
                <w:sz w:val="26"/>
                <w:szCs w:val="26"/>
              </w:rPr>
              <w:lastRenderedPageBreak/>
              <w:t>(galvanizācija, pārklājums un sakausējumi, ka</w:t>
            </w:r>
            <w:r>
              <w:rPr>
                <w:sz w:val="26"/>
                <w:szCs w:val="26"/>
              </w:rPr>
              <w:t xml:space="preserve">s nodrošina elektrovadītspēju). </w:t>
            </w:r>
            <w:r w:rsidRPr="004D310E">
              <w:rPr>
                <w:sz w:val="26"/>
                <w:szCs w:val="26"/>
              </w:rPr>
              <w:t>2012.gada 25.septembra S</w:t>
            </w:r>
            <w:r>
              <w:rPr>
                <w:sz w:val="26"/>
                <w:szCs w:val="26"/>
              </w:rPr>
              <w:t>C</w:t>
            </w:r>
            <w:r w:rsidRPr="004D310E">
              <w:rPr>
                <w:sz w:val="26"/>
                <w:szCs w:val="26"/>
              </w:rPr>
              <w:t xml:space="preserve">HER sniegtajā atzinumā </w:t>
            </w:r>
            <w:proofErr w:type="spellStart"/>
            <w:r w:rsidRPr="004D310E">
              <w:rPr>
                <w:i/>
                <w:sz w:val="26"/>
                <w:szCs w:val="26"/>
              </w:rPr>
              <w:t>Assessment</w:t>
            </w:r>
            <w:proofErr w:type="spellEnd"/>
            <w:r w:rsidRPr="004D310E">
              <w:rPr>
                <w:i/>
                <w:sz w:val="26"/>
                <w:szCs w:val="26"/>
              </w:rPr>
              <w:t xml:space="preserve"> </w:t>
            </w:r>
            <w:proofErr w:type="spellStart"/>
            <w:r w:rsidRPr="004D310E">
              <w:rPr>
                <w:i/>
                <w:sz w:val="26"/>
                <w:szCs w:val="26"/>
              </w:rPr>
              <w:t>of</w:t>
            </w:r>
            <w:proofErr w:type="spellEnd"/>
            <w:r w:rsidRPr="004D310E">
              <w:rPr>
                <w:i/>
                <w:sz w:val="26"/>
                <w:szCs w:val="26"/>
              </w:rPr>
              <w:t xml:space="preserve"> </w:t>
            </w:r>
            <w:proofErr w:type="spellStart"/>
            <w:r w:rsidRPr="004D310E">
              <w:rPr>
                <w:i/>
                <w:sz w:val="26"/>
                <w:szCs w:val="26"/>
              </w:rPr>
              <w:t>the</w:t>
            </w:r>
            <w:proofErr w:type="spellEnd"/>
            <w:r w:rsidRPr="004D310E">
              <w:rPr>
                <w:i/>
                <w:sz w:val="26"/>
                <w:szCs w:val="26"/>
              </w:rPr>
              <w:t xml:space="preserve"> Health Risks </w:t>
            </w:r>
            <w:proofErr w:type="spellStart"/>
            <w:r w:rsidRPr="004D310E">
              <w:rPr>
                <w:i/>
                <w:sz w:val="26"/>
                <w:szCs w:val="26"/>
              </w:rPr>
              <w:t>from</w:t>
            </w:r>
            <w:proofErr w:type="spellEnd"/>
            <w:r w:rsidRPr="004D310E">
              <w:rPr>
                <w:i/>
                <w:sz w:val="26"/>
                <w:szCs w:val="26"/>
              </w:rPr>
              <w:t xml:space="preserve"> </w:t>
            </w:r>
            <w:proofErr w:type="spellStart"/>
            <w:r w:rsidRPr="004D310E">
              <w:rPr>
                <w:i/>
                <w:sz w:val="26"/>
                <w:szCs w:val="26"/>
              </w:rPr>
              <w:t>the</w:t>
            </w:r>
            <w:proofErr w:type="spellEnd"/>
            <w:r w:rsidRPr="004D310E">
              <w:rPr>
                <w:i/>
                <w:sz w:val="26"/>
                <w:szCs w:val="26"/>
              </w:rPr>
              <w:t xml:space="preserve"> </w:t>
            </w:r>
            <w:proofErr w:type="spellStart"/>
            <w:r w:rsidRPr="004D310E">
              <w:rPr>
                <w:i/>
                <w:sz w:val="26"/>
                <w:szCs w:val="26"/>
              </w:rPr>
              <w:t>Use</w:t>
            </w:r>
            <w:proofErr w:type="spellEnd"/>
            <w:r w:rsidRPr="004D310E">
              <w:rPr>
                <w:i/>
                <w:sz w:val="26"/>
                <w:szCs w:val="26"/>
              </w:rPr>
              <w:t xml:space="preserve"> </w:t>
            </w:r>
            <w:proofErr w:type="spellStart"/>
            <w:r w:rsidRPr="004D310E">
              <w:rPr>
                <w:i/>
                <w:sz w:val="26"/>
                <w:szCs w:val="26"/>
              </w:rPr>
              <w:t>of</w:t>
            </w:r>
            <w:proofErr w:type="spellEnd"/>
            <w:r w:rsidRPr="004D310E">
              <w:rPr>
                <w:i/>
                <w:sz w:val="26"/>
                <w:szCs w:val="26"/>
              </w:rPr>
              <w:t xml:space="preserve"> </w:t>
            </w:r>
            <w:proofErr w:type="spellStart"/>
            <w:r w:rsidRPr="004D310E">
              <w:rPr>
                <w:i/>
                <w:sz w:val="26"/>
                <w:szCs w:val="26"/>
              </w:rPr>
              <w:t>Metallic</w:t>
            </w:r>
            <w:proofErr w:type="spellEnd"/>
            <w:r w:rsidRPr="004D310E">
              <w:rPr>
                <w:i/>
                <w:sz w:val="26"/>
                <w:szCs w:val="26"/>
              </w:rPr>
              <w:t xml:space="preserve"> </w:t>
            </w:r>
            <w:proofErr w:type="spellStart"/>
            <w:r w:rsidRPr="004D310E">
              <w:rPr>
                <w:i/>
                <w:sz w:val="26"/>
                <w:szCs w:val="26"/>
              </w:rPr>
              <w:t>Nickel</w:t>
            </w:r>
            <w:proofErr w:type="spellEnd"/>
            <w:r w:rsidRPr="004D310E">
              <w:rPr>
                <w:i/>
                <w:sz w:val="26"/>
                <w:szCs w:val="26"/>
              </w:rPr>
              <w:t xml:space="preserve"> (CAS No 7440-02-0) </w:t>
            </w:r>
            <w:proofErr w:type="spellStart"/>
            <w:r w:rsidRPr="004D310E">
              <w:rPr>
                <w:i/>
                <w:sz w:val="26"/>
                <w:szCs w:val="26"/>
              </w:rPr>
              <w:t>in</w:t>
            </w:r>
            <w:proofErr w:type="spellEnd"/>
            <w:r w:rsidRPr="004D310E">
              <w:rPr>
                <w:i/>
                <w:sz w:val="26"/>
                <w:szCs w:val="26"/>
              </w:rPr>
              <w:t xml:space="preserve"> </w:t>
            </w:r>
            <w:proofErr w:type="spellStart"/>
            <w:r w:rsidRPr="004D310E">
              <w:rPr>
                <w:i/>
                <w:sz w:val="26"/>
                <w:szCs w:val="26"/>
              </w:rPr>
              <w:t>Toys</w:t>
            </w:r>
            <w:proofErr w:type="spellEnd"/>
            <w:r w:rsidRPr="004D310E">
              <w:rPr>
                <w:sz w:val="26"/>
                <w:szCs w:val="26"/>
              </w:rPr>
              <w:t xml:space="preserve"> ir norādīts uz šāda veida niķeļa izmantošanas drošumu (</w:t>
            </w:r>
            <w:r w:rsidR="00D45314">
              <w:rPr>
                <w:sz w:val="26"/>
                <w:szCs w:val="26"/>
              </w:rPr>
              <w:t>atzinums</w:t>
            </w:r>
            <w:r w:rsidRPr="004D310E">
              <w:rPr>
                <w:sz w:val="26"/>
                <w:szCs w:val="26"/>
              </w:rPr>
              <w:t xml:space="preserve"> ir </w:t>
            </w:r>
            <w:r w:rsidR="00D45314">
              <w:rPr>
                <w:sz w:val="26"/>
                <w:szCs w:val="26"/>
              </w:rPr>
              <w:t>pieejams</w:t>
            </w:r>
            <w:r w:rsidRPr="004D310E">
              <w:rPr>
                <w:sz w:val="26"/>
                <w:szCs w:val="26"/>
              </w:rPr>
              <w:t xml:space="preserve"> </w:t>
            </w:r>
            <w:r w:rsidR="000E3A05">
              <w:rPr>
                <w:sz w:val="26"/>
                <w:szCs w:val="26"/>
              </w:rPr>
              <w:t>e-</w:t>
            </w:r>
            <w:r w:rsidRPr="004D310E">
              <w:rPr>
                <w:sz w:val="26"/>
                <w:szCs w:val="26"/>
              </w:rPr>
              <w:t xml:space="preserve">vietnē: </w:t>
            </w:r>
            <w:hyperlink r:id="rId10" w:history="1">
              <w:r w:rsidRPr="004D310E">
                <w:rPr>
                  <w:rStyle w:val="Hyperlink"/>
                  <w:sz w:val="26"/>
                  <w:szCs w:val="26"/>
                </w:rPr>
                <w:t>http://ec.europa.eu/health/scientific_committees/environmental_risks/docs/scher_o_163.pdf</w:t>
              </w:r>
            </w:hyperlink>
            <w:r w:rsidRPr="004D310E">
              <w:rPr>
                <w:sz w:val="26"/>
                <w:szCs w:val="26"/>
              </w:rPr>
              <w:t xml:space="preserve">). </w:t>
            </w:r>
          </w:p>
          <w:p w:rsidR="00CA3EB1" w:rsidRPr="004D310E" w:rsidRDefault="00CA3EB1" w:rsidP="007F53FB">
            <w:pPr>
              <w:pStyle w:val="naisf"/>
              <w:spacing w:before="0" w:after="0"/>
              <w:ind w:left="70" w:right="23" w:firstLine="226"/>
              <w:rPr>
                <w:sz w:val="26"/>
                <w:szCs w:val="26"/>
              </w:rPr>
            </w:pPr>
            <w:r w:rsidRPr="004D310E">
              <w:rPr>
                <w:sz w:val="26"/>
                <w:szCs w:val="26"/>
              </w:rPr>
              <w:t>Direktīvas 2014/84/ES 1.pants groza Direktīvas 2009/48/EK</w:t>
            </w:r>
            <w:r w:rsidR="009A5E85">
              <w:rPr>
                <w:sz w:val="26"/>
                <w:szCs w:val="26"/>
              </w:rPr>
              <w:t xml:space="preserve"> </w:t>
            </w:r>
            <w:r w:rsidRPr="004D310E">
              <w:rPr>
                <w:sz w:val="26"/>
                <w:szCs w:val="26"/>
              </w:rPr>
              <w:t>II pielikuma A papildinājumu, nosakot niķeļa  atļauto izmanto</w:t>
            </w:r>
            <w:r w:rsidR="00DC7477">
              <w:rPr>
                <w:sz w:val="26"/>
                <w:szCs w:val="26"/>
              </w:rPr>
              <w:t>jumu</w:t>
            </w:r>
            <w:r w:rsidRPr="004D310E">
              <w:rPr>
                <w:sz w:val="26"/>
                <w:szCs w:val="26"/>
              </w:rPr>
              <w:t>:</w:t>
            </w:r>
          </w:p>
          <w:p w:rsidR="00CA3EB1" w:rsidRPr="004D310E" w:rsidRDefault="00CA3EB1" w:rsidP="00CA3EB1">
            <w:pPr>
              <w:pStyle w:val="naisf"/>
              <w:numPr>
                <w:ilvl w:val="0"/>
                <w:numId w:val="1"/>
              </w:numPr>
              <w:spacing w:before="0" w:after="0"/>
              <w:ind w:right="23"/>
              <w:rPr>
                <w:sz w:val="26"/>
                <w:szCs w:val="26"/>
              </w:rPr>
            </w:pPr>
            <w:r w:rsidRPr="004D310E">
              <w:rPr>
                <w:sz w:val="26"/>
                <w:szCs w:val="26"/>
              </w:rPr>
              <w:t xml:space="preserve">Rotaļlietās un rotaļlietu daļās, kas izgatavotas no nerūsējoša tērauda; </w:t>
            </w:r>
          </w:p>
          <w:p w:rsidR="00CA3EB1" w:rsidRPr="004D310E" w:rsidRDefault="00CA3EB1" w:rsidP="00CA3EB1">
            <w:pPr>
              <w:pStyle w:val="naisf"/>
              <w:numPr>
                <w:ilvl w:val="0"/>
                <w:numId w:val="1"/>
              </w:numPr>
              <w:spacing w:before="0" w:after="0"/>
              <w:ind w:right="23"/>
              <w:rPr>
                <w:sz w:val="26"/>
                <w:szCs w:val="26"/>
              </w:rPr>
            </w:pPr>
            <w:r w:rsidRPr="004D310E">
              <w:rPr>
                <w:sz w:val="26"/>
                <w:szCs w:val="26"/>
              </w:rPr>
              <w:t>Rotaļlietu daļās, kas paredzētas elektriskās strāvas vadīšanai.</w:t>
            </w:r>
          </w:p>
          <w:p w:rsidR="00A17674" w:rsidRDefault="00CA3EB1" w:rsidP="00A17674">
            <w:pPr>
              <w:pStyle w:val="naisf"/>
              <w:spacing w:before="0" w:after="0"/>
              <w:ind w:left="70" w:right="23" w:firstLine="226"/>
              <w:rPr>
                <w:sz w:val="26"/>
                <w:szCs w:val="26"/>
              </w:rPr>
            </w:pPr>
            <w:r w:rsidRPr="004D310E">
              <w:rPr>
                <w:sz w:val="26"/>
                <w:szCs w:val="26"/>
              </w:rPr>
              <w:t xml:space="preserve">Lai ieviestu Direktīvas 2014/84/ES prasības, ir nepieciešams </w:t>
            </w:r>
            <w:r w:rsidR="00FC1C4B">
              <w:rPr>
                <w:sz w:val="26"/>
                <w:szCs w:val="26"/>
              </w:rPr>
              <w:t>grozīt</w:t>
            </w:r>
            <w:r w:rsidRPr="004D310E">
              <w:rPr>
                <w:sz w:val="26"/>
                <w:szCs w:val="26"/>
              </w:rPr>
              <w:t xml:space="preserve"> </w:t>
            </w:r>
            <w:r w:rsidR="00FC1C4B">
              <w:rPr>
                <w:sz w:val="26"/>
                <w:szCs w:val="26"/>
              </w:rPr>
              <w:t xml:space="preserve">Noteikumu Nr.132 </w:t>
            </w:r>
            <w:r w:rsidRPr="004D310E">
              <w:rPr>
                <w:sz w:val="26"/>
                <w:szCs w:val="26"/>
              </w:rPr>
              <w:t>2.pielikuma III nodaļas 7.punktu ar normu, ka</w:t>
            </w:r>
            <w:r>
              <w:rPr>
                <w:sz w:val="26"/>
                <w:szCs w:val="26"/>
              </w:rPr>
              <w:t xml:space="preserve"> minētā pielikuma</w:t>
            </w:r>
            <w:r w:rsidRPr="004D310E">
              <w:rPr>
                <w:sz w:val="26"/>
                <w:szCs w:val="26"/>
              </w:rPr>
              <w:t xml:space="preserve"> </w:t>
            </w:r>
            <w:r>
              <w:rPr>
                <w:sz w:val="26"/>
                <w:szCs w:val="26"/>
              </w:rPr>
              <w:t xml:space="preserve">III nodaļas </w:t>
            </w:r>
            <w:r w:rsidRPr="004D310E">
              <w:rPr>
                <w:sz w:val="26"/>
                <w:szCs w:val="26"/>
              </w:rPr>
              <w:t xml:space="preserve">4., 5. un 6.punkts neattiecas uz  </w:t>
            </w:r>
            <w:r>
              <w:rPr>
                <w:sz w:val="26"/>
                <w:szCs w:val="26"/>
              </w:rPr>
              <w:t xml:space="preserve">niķeli </w:t>
            </w:r>
            <w:r w:rsidRPr="004D310E">
              <w:rPr>
                <w:sz w:val="26"/>
                <w:szCs w:val="26"/>
              </w:rPr>
              <w:t>rotaļlietā</w:t>
            </w:r>
            <w:r>
              <w:rPr>
                <w:sz w:val="26"/>
                <w:szCs w:val="26"/>
              </w:rPr>
              <w:t>s</w:t>
            </w:r>
            <w:r w:rsidRPr="004D310E">
              <w:rPr>
                <w:sz w:val="26"/>
                <w:szCs w:val="26"/>
              </w:rPr>
              <w:t xml:space="preserve"> un rotaļlietu daļā</w:t>
            </w:r>
            <w:r>
              <w:rPr>
                <w:sz w:val="26"/>
                <w:szCs w:val="26"/>
              </w:rPr>
              <w:t>s</w:t>
            </w:r>
            <w:r w:rsidRPr="004D310E">
              <w:rPr>
                <w:sz w:val="26"/>
                <w:szCs w:val="26"/>
              </w:rPr>
              <w:t>, kas izgatavotas no nerūsējoša tērauda un</w:t>
            </w:r>
            <w:r>
              <w:rPr>
                <w:sz w:val="26"/>
                <w:szCs w:val="26"/>
              </w:rPr>
              <w:t xml:space="preserve"> niķeli</w:t>
            </w:r>
            <w:r w:rsidRPr="004D310E">
              <w:rPr>
                <w:sz w:val="26"/>
                <w:szCs w:val="26"/>
              </w:rPr>
              <w:t xml:space="preserve"> rotaļlietu daļā</w:t>
            </w:r>
            <w:r>
              <w:rPr>
                <w:sz w:val="26"/>
                <w:szCs w:val="26"/>
              </w:rPr>
              <w:t>s</w:t>
            </w:r>
            <w:r w:rsidRPr="004D310E">
              <w:rPr>
                <w:sz w:val="26"/>
                <w:szCs w:val="26"/>
              </w:rPr>
              <w:t xml:space="preserve">, kas paredzētas elektriskās strāvas vadīšanai. </w:t>
            </w:r>
            <w:r w:rsidR="00A17674">
              <w:rPr>
                <w:sz w:val="26"/>
                <w:szCs w:val="26"/>
              </w:rPr>
              <w:t xml:space="preserve"> </w:t>
            </w:r>
          </w:p>
          <w:p w:rsidR="00273F42" w:rsidRDefault="00CA3EB1" w:rsidP="00273F42">
            <w:pPr>
              <w:pStyle w:val="naisf"/>
              <w:spacing w:before="0" w:after="0"/>
              <w:ind w:left="70" w:right="23" w:firstLine="226"/>
              <w:rPr>
                <w:color w:val="auto"/>
                <w:sz w:val="26"/>
                <w:szCs w:val="26"/>
              </w:rPr>
            </w:pPr>
            <w:r>
              <w:rPr>
                <w:sz w:val="26"/>
                <w:szCs w:val="26"/>
              </w:rPr>
              <w:t>4</w:t>
            </w:r>
            <w:r w:rsidRPr="004D310E">
              <w:rPr>
                <w:sz w:val="26"/>
                <w:szCs w:val="26"/>
              </w:rPr>
              <w:t xml:space="preserve">) Pamatojoties uz likuma “Par atbilstības novērtēšanu” 8.panta otro daļu, 2013.gada 3.decembrī tika pieņemti un 2013.gada 7.decembrī spēkā stājās </w:t>
            </w:r>
            <w:r>
              <w:rPr>
                <w:sz w:val="26"/>
                <w:szCs w:val="26"/>
              </w:rPr>
              <w:t xml:space="preserve">Ministru kabineta noteikumi Nr.1376 “Kārtība, kādā izveido paziņošanas komisiju, kā arī kārtība, kādā komisija pieņem lēmumu un paziņo Eiropas Komisijai par atbilstības novērtēšanas institūcijām, kas veic atbilstības novērtēšanu reglamentētajā sfērā” (turpmāk - </w:t>
            </w:r>
            <w:r w:rsidRPr="004D310E">
              <w:rPr>
                <w:sz w:val="26"/>
                <w:szCs w:val="26"/>
              </w:rPr>
              <w:t>Noteikumi Nr.1376</w:t>
            </w:r>
            <w:r>
              <w:rPr>
                <w:sz w:val="26"/>
                <w:szCs w:val="26"/>
              </w:rPr>
              <w:t>)</w:t>
            </w:r>
            <w:r w:rsidRPr="00A035BC">
              <w:rPr>
                <w:color w:val="auto"/>
                <w:sz w:val="26"/>
                <w:szCs w:val="26"/>
              </w:rPr>
              <w:t xml:space="preserve">, ar kuriem tika izveidota atbilstības novērtēšanas institūciju paziņošanas komisija un noteikta kārtība, kādā paziņo Eiropas Komisijai par atbilstības novērtēšanas institūcijām,  kas veic atbilstības novērtēšanu reglamentētajā sfērā. </w:t>
            </w:r>
            <w:r w:rsidR="00273F42">
              <w:rPr>
                <w:color w:val="auto"/>
                <w:sz w:val="26"/>
                <w:szCs w:val="26"/>
              </w:rPr>
              <w:t xml:space="preserve"> </w:t>
            </w:r>
          </w:p>
          <w:p w:rsidR="00CA3EB1" w:rsidRPr="004D310E" w:rsidRDefault="00CA3EB1" w:rsidP="00273F42">
            <w:pPr>
              <w:pStyle w:val="naisf"/>
              <w:spacing w:before="0" w:after="0"/>
              <w:ind w:left="70" w:right="23" w:firstLine="226"/>
              <w:rPr>
                <w:sz w:val="26"/>
                <w:szCs w:val="26"/>
              </w:rPr>
            </w:pPr>
            <w:r w:rsidRPr="00A035BC">
              <w:rPr>
                <w:color w:val="auto"/>
                <w:sz w:val="26"/>
                <w:szCs w:val="26"/>
              </w:rPr>
              <w:t xml:space="preserve">Lai nodrošinātu tiesību </w:t>
            </w:r>
            <w:r w:rsidRPr="00A035BC">
              <w:rPr>
                <w:rFonts w:eastAsia="Calibri"/>
                <w:color w:val="auto"/>
                <w:sz w:val="26"/>
                <w:szCs w:val="26"/>
                <w:lang w:eastAsia="en-US"/>
              </w:rPr>
              <w:t>normu saderību un</w:t>
            </w:r>
            <w:r w:rsidRPr="00A035BC">
              <w:rPr>
                <w:rFonts w:eastAsia="Calibri"/>
                <w:color w:val="auto"/>
                <w:sz w:val="26"/>
                <w:szCs w:val="26"/>
              </w:rPr>
              <w:t xml:space="preserve"> a</w:t>
            </w:r>
            <w:r w:rsidRPr="00A035BC">
              <w:rPr>
                <w:rFonts w:eastAsia="Calibri"/>
                <w:color w:val="auto"/>
                <w:sz w:val="26"/>
                <w:szCs w:val="26"/>
                <w:lang w:eastAsia="en-US"/>
              </w:rPr>
              <w:t>t</w:t>
            </w:r>
            <w:r w:rsidRPr="00A035BC">
              <w:rPr>
                <w:rFonts w:eastAsia="Calibri"/>
                <w:color w:val="auto"/>
                <w:sz w:val="26"/>
                <w:szCs w:val="26"/>
              </w:rPr>
              <w:t>bilstību esošajai praksei paziņošanas sistēmas funkcionēšanā, ir</w:t>
            </w:r>
            <w:r w:rsidRPr="00A035BC">
              <w:rPr>
                <w:color w:val="auto"/>
                <w:sz w:val="26"/>
                <w:szCs w:val="26"/>
              </w:rPr>
              <w:t xml:space="preserve"> nepieciešams svītrot Noteikumu Nr.132 VI nodaļu “VI. Kārtība, kādā institūcijas tiek paziņotas Eiropas Komisijai” (Noteikumu Nr.132 51.-58.punkts), jo šādu kārtību, kādā institūcijas tiek paziņotas Eiropas Komisijai, paredz Noteikumi Nr.1376. Tāpat Noteikumos Nr.132</w:t>
            </w:r>
            <w:r w:rsidRPr="00A035BC">
              <w:rPr>
                <w:color w:val="auto"/>
              </w:rPr>
              <w:t xml:space="preserve"> </w:t>
            </w:r>
            <w:r w:rsidRPr="00A035BC">
              <w:rPr>
                <w:color w:val="auto"/>
                <w:sz w:val="26"/>
                <w:szCs w:val="26"/>
              </w:rPr>
              <w:t xml:space="preserve">nepieciešams precizēt “paziņotās institūcijas” definīciju, papildinot to ar atsauci uz Noteikumiem Nr.1376, lai „paziņotās institūcijas” definīcija atbilstu paziņošanas sistēmas normatīvajam regulējumam. </w:t>
            </w:r>
          </w:p>
        </w:tc>
      </w:tr>
      <w:tr w:rsidR="00CA3EB1" w:rsidRPr="004D310E" w:rsidTr="007F53FB">
        <w:trPr>
          <w:trHeight w:val="530"/>
        </w:trPr>
        <w:tc>
          <w:tcPr>
            <w:tcW w:w="256" w:type="pct"/>
            <w:tcBorders>
              <w:top w:val="single" w:sz="4" w:space="0" w:color="auto"/>
              <w:left w:val="single" w:sz="4" w:space="0" w:color="auto"/>
              <w:bottom w:val="single" w:sz="4" w:space="0" w:color="auto"/>
              <w:right w:val="single" w:sz="4" w:space="0" w:color="auto"/>
            </w:tcBorders>
          </w:tcPr>
          <w:p w:rsidR="00CA3EB1" w:rsidRPr="004D310E" w:rsidRDefault="00CA3EB1" w:rsidP="007F53FB">
            <w:pPr>
              <w:pStyle w:val="naiskr"/>
              <w:spacing w:before="0" w:after="0"/>
              <w:ind w:right="-99"/>
              <w:jc w:val="center"/>
              <w:rPr>
                <w:sz w:val="26"/>
                <w:szCs w:val="26"/>
              </w:rPr>
            </w:pPr>
            <w:r w:rsidRPr="004D310E">
              <w:rPr>
                <w:sz w:val="26"/>
                <w:szCs w:val="26"/>
              </w:rPr>
              <w:lastRenderedPageBreak/>
              <w:t>3.</w:t>
            </w:r>
          </w:p>
        </w:tc>
        <w:tc>
          <w:tcPr>
            <w:tcW w:w="863" w:type="pct"/>
            <w:tcBorders>
              <w:top w:val="single" w:sz="4" w:space="0" w:color="auto"/>
              <w:left w:val="single" w:sz="4" w:space="0" w:color="auto"/>
              <w:bottom w:val="single" w:sz="4" w:space="0" w:color="auto"/>
              <w:right w:val="single" w:sz="4" w:space="0" w:color="auto"/>
            </w:tcBorders>
          </w:tcPr>
          <w:p w:rsidR="00CA3EB1" w:rsidRPr="004D310E" w:rsidRDefault="00CA3EB1" w:rsidP="007F53FB">
            <w:pPr>
              <w:pStyle w:val="naiskr"/>
              <w:spacing w:before="0" w:after="0"/>
              <w:jc w:val="both"/>
              <w:rPr>
                <w:sz w:val="26"/>
                <w:szCs w:val="26"/>
              </w:rPr>
            </w:pPr>
            <w:r w:rsidRPr="004D310E">
              <w:rPr>
                <w:sz w:val="26"/>
                <w:szCs w:val="26"/>
              </w:rPr>
              <w:t>Projektu izstrādē iesaistītās institūcijas</w:t>
            </w:r>
          </w:p>
        </w:tc>
        <w:tc>
          <w:tcPr>
            <w:tcW w:w="3881" w:type="pct"/>
            <w:tcBorders>
              <w:top w:val="single" w:sz="4" w:space="0" w:color="auto"/>
              <w:left w:val="single" w:sz="4" w:space="0" w:color="auto"/>
              <w:bottom w:val="single" w:sz="4" w:space="0" w:color="auto"/>
              <w:right w:val="single" w:sz="4" w:space="0" w:color="auto"/>
            </w:tcBorders>
          </w:tcPr>
          <w:p w:rsidR="00CA3EB1" w:rsidRPr="004D310E" w:rsidRDefault="00CA3EB1" w:rsidP="007F53FB">
            <w:pPr>
              <w:pStyle w:val="FootnoteText"/>
              <w:ind w:right="-99"/>
              <w:jc w:val="both"/>
              <w:rPr>
                <w:sz w:val="26"/>
                <w:szCs w:val="26"/>
              </w:rPr>
            </w:pPr>
            <w:r w:rsidRPr="004D310E">
              <w:rPr>
                <w:sz w:val="26"/>
                <w:szCs w:val="26"/>
              </w:rPr>
              <w:t>Projekts šo jomu neskar.</w:t>
            </w:r>
          </w:p>
        </w:tc>
      </w:tr>
      <w:tr w:rsidR="00CA3EB1" w:rsidRPr="004D310E" w:rsidTr="007F53FB">
        <w:trPr>
          <w:trHeight w:val="384"/>
        </w:trPr>
        <w:tc>
          <w:tcPr>
            <w:tcW w:w="256" w:type="pct"/>
            <w:tcBorders>
              <w:top w:val="single" w:sz="4" w:space="0" w:color="auto"/>
              <w:left w:val="single" w:sz="4" w:space="0" w:color="auto"/>
              <w:bottom w:val="single" w:sz="4" w:space="0" w:color="auto"/>
              <w:right w:val="single" w:sz="4" w:space="0" w:color="auto"/>
            </w:tcBorders>
          </w:tcPr>
          <w:p w:rsidR="00CA3EB1" w:rsidRPr="004D310E" w:rsidRDefault="00CA3EB1" w:rsidP="007F53FB">
            <w:pPr>
              <w:pStyle w:val="naiskr"/>
              <w:spacing w:before="0" w:after="0"/>
              <w:ind w:right="-99"/>
              <w:jc w:val="center"/>
              <w:rPr>
                <w:sz w:val="26"/>
                <w:szCs w:val="26"/>
              </w:rPr>
            </w:pPr>
            <w:r w:rsidRPr="004D310E">
              <w:rPr>
                <w:sz w:val="26"/>
                <w:szCs w:val="26"/>
              </w:rPr>
              <w:t>4.</w:t>
            </w:r>
          </w:p>
        </w:tc>
        <w:tc>
          <w:tcPr>
            <w:tcW w:w="863" w:type="pct"/>
            <w:tcBorders>
              <w:top w:val="single" w:sz="4" w:space="0" w:color="auto"/>
              <w:left w:val="single" w:sz="4" w:space="0" w:color="auto"/>
              <w:bottom w:val="single" w:sz="4" w:space="0" w:color="auto"/>
              <w:right w:val="single" w:sz="4" w:space="0" w:color="auto"/>
            </w:tcBorders>
          </w:tcPr>
          <w:p w:rsidR="00CA3EB1" w:rsidRPr="004D310E" w:rsidRDefault="00CA3EB1" w:rsidP="007F53FB">
            <w:pPr>
              <w:pStyle w:val="naiskr"/>
              <w:spacing w:before="0" w:after="0"/>
              <w:jc w:val="both"/>
              <w:rPr>
                <w:sz w:val="26"/>
                <w:szCs w:val="26"/>
              </w:rPr>
            </w:pPr>
            <w:r w:rsidRPr="004D310E">
              <w:rPr>
                <w:sz w:val="26"/>
                <w:szCs w:val="26"/>
              </w:rPr>
              <w:t>Cita informācija</w:t>
            </w:r>
          </w:p>
        </w:tc>
        <w:tc>
          <w:tcPr>
            <w:tcW w:w="3881" w:type="pct"/>
            <w:tcBorders>
              <w:top w:val="single" w:sz="4" w:space="0" w:color="auto"/>
              <w:left w:val="single" w:sz="4" w:space="0" w:color="auto"/>
              <w:bottom w:val="single" w:sz="4" w:space="0" w:color="auto"/>
              <w:right w:val="single" w:sz="4" w:space="0" w:color="auto"/>
            </w:tcBorders>
          </w:tcPr>
          <w:p w:rsidR="00CA3EB1" w:rsidRPr="004D310E" w:rsidRDefault="00CA3EB1" w:rsidP="007F53FB">
            <w:pPr>
              <w:pStyle w:val="naisf"/>
              <w:spacing w:before="0" w:after="0"/>
              <w:ind w:right="23" w:firstLine="0"/>
              <w:rPr>
                <w:sz w:val="26"/>
                <w:szCs w:val="26"/>
              </w:rPr>
            </w:pPr>
            <w:r w:rsidRPr="004D310E">
              <w:rPr>
                <w:sz w:val="26"/>
                <w:szCs w:val="26"/>
              </w:rPr>
              <w:t>Nav.</w:t>
            </w:r>
          </w:p>
        </w:tc>
      </w:tr>
    </w:tbl>
    <w:p w:rsidR="00CA3EB1" w:rsidRPr="004D310E" w:rsidRDefault="00CA3EB1" w:rsidP="00CA3EB1">
      <w:pPr>
        <w:pStyle w:val="NormalWeb"/>
        <w:ind w:right="-99" w:firstLine="0"/>
        <w:rPr>
          <w:sz w:val="26"/>
          <w:szCs w:val="26"/>
        </w:rPr>
      </w:pP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2968"/>
        <w:gridCol w:w="4830"/>
      </w:tblGrid>
      <w:tr w:rsidR="00CA3EB1" w:rsidRPr="004D310E" w:rsidTr="007F53FB">
        <w:tc>
          <w:tcPr>
            <w:tcW w:w="5000" w:type="pct"/>
            <w:gridSpan w:val="3"/>
            <w:tcBorders>
              <w:top w:val="single" w:sz="4" w:space="0" w:color="auto"/>
              <w:left w:val="single" w:sz="4" w:space="0" w:color="auto"/>
              <w:bottom w:val="single" w:sz="4" w:space="0" w:color="auto"/>
              <w:right w:val="single" w:sz="4" w:space="0" w:color="auto"/>
            </w:tcBorders>
          </w:tcPr>
          <w:p w:rsidR="00CA3EB1" w:rsidRPr="004D310E" w:rsidRDefault="00CA3EB1" w:rsidP="007F53FB">
            <w:pPr>
              <w:pStyle w:val="naisnod"/>
              <w:spacing w:before="0" w:after="0"/>
              <w:ind w:right="-99"/>
              <w:rPr>
                <w:sz w:val="26"/>
                <w:szCs w:val="26"/>
              </w:rPr>
            </w:pPr>
            <w:r w:rsidRPr="004D310E">
              <w:rPr>
                <w:sz w:val="26"/>
                <w:szCs w:val="26"/>
              </w:rPr>
              <w:t>II. Tiesību akta projekta ietekme uz sabiedrību, tautsaimniecības attīstību un administratīvo slogu</w:t>
            </w:r>
          </w:p>
        </w:tc>
      </w:tr>
      <w:tr w:rsidR="00CA3EB1" w:rsidRPr="004D310E" w:rsidTr="007F53F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58" w:type="pct"/>
            <w:tcBorders>
              <w:top w:val="outset" w:sz="6" w:space="0" w:color="000000"/>
              <w:left w:val="single" w:sz="4" w:space="0" w:color="auto"/>
              <w:bottom w:val="outset" w:sz="6" w:space="0" w:color="000000"/>
              <w:right w:val="outset" w:sz="6" w:space="0" w:color="000000"/>
            </w:tcBorders>
            <w:hideMark/>
          </w:tcPr>
          <w:p w:rsidR="00CA3EB1" w:rsidRPr="004D310E" w:rsidRDefault="00CA3EB1" w:rsidP="007F53FB">
            <w:pPr>
              <w:pStyle w:val="NormalWeb"/>
              <w:ind w:firstLine="0"/>
              <w:jc w:val="center"/>
              <w:rPr>
                <w:sz w:val="26"/>
                <w:szCs w:val="26"/>
              </w:rPr>
            </w:pPr>
            <w:r w:rsidRPr="004D310E">
              <w:rPr>
                <w:sz w:val="26"/>
                <w:szCs w:val="26"/>
              </w:rPr>
              <w:t>1.</w:t>
            </w:r>
          </w:p>
        </w:tc>
        <w:tc>
          <w:tcPr>
            <w:tcW w:w="1805" w:type="pct"/>
            <w:tcBorders>
              <w:top w:val="outset" w:sz="6" w:space="0" w:color="000000"/>
              <w:left w:val="outset" w:sz="6" w:space="0" w:color="000000"/>
              <w:bottom w:val="outset" w:sz="6" w:space="0" w:color="000000"/>
              <w:right w:val="outset" w:sz="6" w:space="0" w:color="000000"/>
            </w:tcBorders>
            <w:hideMark/>
          </w:tcPr>
          <w:p w:rsidR="00CA3EB1" w:rsidRPr="004D310E" w:rsidRDefault="00CA3EB1" w:rsidP="007F53FB">
            <w:pPr>
              <w:pStyle w:val="NormalWeb"/>
              <w:ind w:firstLine="0"/>
              <w:rPr>
                <w:sz w:val="26"/>
                <w:szCs w:val="26"/>
              </w:rPr>
            </w:pPr>
            <w:r w:rsidRPr="004D310E">
              <w:rPr>
                <w:sz w:val="26"/>
                <w:szCs w:val="26"/>
              </w:rPr>
              <w:t xml:space="preserve">Sabiedrības </w:t>
            </w:r>
            <w:proofErr w:type="spellStart"/>
            <w:r w:rsidRPr="004D310E">
              <w:rPr>
                <w:sz w:val="26"/>
                <w:szCs w:val="26"/>
              </w:rPr>
              <w:t>mērķgrupas</w:t>
            </w:r>
            <w:proofErr w:type="spellEnd"/>
            <w:r w:rsidRPr="004D310E">
              <w:rPr>
                <w:sz w:val="26"/>
                <w:szCs w:val="26"/>
              </w:rPr>
              <w:t>, kuras tiesiskais regulējums ietekmē vai varētu ietekmēt</w:t>
            </w:r>
          </w:p>
        </w:tc>
        <w:tc>
          <w:tcPr>
            <w:tcW w:w="2937" w:type="pct"/>
            <w:tcBorders>
              <w:top w:val="outset" w:sz="6" w:space="0" w:color="000000"/>
              <w:left w:val="outset" w:sz="6" w:space="0" w:color="000000"/>
              <w:bottom w:val="outset" w:sz="6" w:space="0" w:color="000000"/>
              <w:right w:val="single" w:sz="4" w:space="0" w:color="auto"/>
            </w:tcBorders>
            <w:hideMark/>
          </w:tcPr>
          <w:p w:rsidR="00CA3EB1" w:rsidRPr="004D310E" w:rsidRDefault="00CA3EB1" w:rsidP="007F53FB">
            <w:pPr>
              <w:pStyle w:val="NormalWeb"/>
              <w:spacing w:before="0" w:after="0"/>
              <w:ind w:firstLine="232"/>
              <w:rPr>
                <w:sz w:val="26"/>
                <w:szCs w:val="26"/>
              </w:rPr>
            </w:pPr>
            <w:r w:rsidRPr="004D310E">
              <w:rPr>
                <w:sz w:val="26"/>
                <w:szCs w:val="26"/>
              </w:rPr>
              <w:t xml:space="preserve"> Patērētāji – bērni un viņu pieskatītāji (saskaņā ar Centrālās statistikas pārvaldes datu bāzē esošo informāciju, 2014.gadā – 294 384 bērnu vecumā līdz 14 gadiem, no 2 001 468 kopējā Latvijas iedzīvotāju skaita, kā arī, ņemot vērā Direktīvas 2009/48/EK mērķi – nodrošināt augstu rotaļlietu drošuma līmeni nolūkā aizsargāt bērnu veselību un drošību, nosakot saskaņotas rotaļlietu dr</w:t>
            </w:r>
            <w:r w:rsidR="00DC7477">
              <w:rPr>
                <w:sz w:val="26"/>
                <w:szCs w:val="26"/>
              </w:rPr>
              <w:t>ošuma prasības iekšējā tirgū – D</w:t>
            </w:r>
            <w:r w:rsidRPr="004D310E">
              <w:rPr>
                <w:sz w:val="26"/>
                <w:szCs w:val="26"/>
              </w:rPr>
              <w:t>irektīvas</w:t>
            </w:r>
            <w:r w:rsidR="00DC7477">
              <w:rPr>
                <w:sz w:val="26"/>
                <w:szCs w:val="26"/>
              </w:rPr>
              <w:t xml:space="preserve"> 2014/79/ES, Direktīvas 2014/81/ES un Direktīvas 2014/84/ES</w:t>
            </w:r>
            <w:r w:rsidRPr="004D310E">
              <w:rPr>
                <w:sz w:val="26"/>
                <w:szCs w:val="26"/>
              </w:rPr>
              <w:t xml:space="preserve"> ieviešana Latvijā skars arī ~507 miljonus ES patērētāju). </w:t>
            </w:r>
          </w:p>
          <w:p w:rsidR="00CA3EB1" w:rsidRPr="004D310E" w:rsidRDefault="00CA3EB1" w:rsidP="000A2A64">
            <w:pPr>
              <w:pStyle w:val="NormalWeb"/>
              <w:spacing w:before="0" w:after="0"/>
              <w:ind w:firstLine="232"/>
              <w:rPr>
                <w:sz w:val="26"/>
                <w:szCs w:val="26"/>
              </w:rPr>
            </w:pPr>
            <w:r w:rsidRPr="004D310E">
              <w:rPr>
                <w:sz w:val="26"/>
                <w:szCs w:val="26"/>
              </w:rPr>
              <w:t xml:space="preserve">Tirgus dalībnieki – rotaļlietu ražotāji, to pilnvarotie pārstāvji, importētāji un izplatītāji, kuriem būs jāņem vērā Noteikumu projektā noteiktās drošuma prasības </w:t>
            </w:r>
            <w:r w:rsidR="000A2A64">
              <w:rPr>
                <w:sz w:val="26"/>
                <w:szCs w:val="26"/>
              </w:rPr>
              <w:t>ķīmisko</w:t>
            </w:r>
            <w:r w:rsidRPr="004D310E">
              <w:rPr>
                <w:sz w:val="26"/>
                <w:szCs w:val="26"/>
              </w:rPr>
              <w:t xml:space="preserve"> viel</w:t>
            </w:r>
            <w:r w:rsidR="000A2A64">
              <w:rPr>
                <w:sz w:val="26"/>
                <w:szCs w:val="26"/>
              </w:rPr>
              <w:t>u</w:t>
            </w:r>
            <w:r w:rsidRPr="004D310E">
              <w:rPr>
                <w:sz w:val="26"/>
                <w:szCs w:val="26"/>
              </w:rPr>
              <w:t xml:space="preserve"> – </w:t>
            </w:r>
            <w:r w:rsidR="000A2A64">
              <w:rPr>
                <w:sz w:val="26"/>
                <w:szCs w:val="26"/>
              </w:rPr>
              <w:t xml:space="preserve">TCEP, TCPP, TDCP un </w:t>
            </w:r>
            <w:proofErr w:type="spellStart"/>
            <w:r w:rsidR="000A2A64">
              <w:rPr>
                <w:sz w:val="26"/>
                <w:szCs w:val="26"/>
              </w:rPr>
              <w:t>bisfenola</w:t>
            </w:r>
            <w:proofErr w:type="spellEnd"/>
            <w:r w:rsidR="000A2A64">
              <w:rPr>
                <w:sz w:val="26"/>
                <w:szCs w:val="26"/>
              </w:rPr>
              <w:t xml:space="preserve"> A, kā arī </w:t>
            </w:r>
            <w:r w:rsidRPr="004D310E">
              <w:rPr>
                <w:sz w:val="26"/>
                <w:szCs w:val="26"/>
              </w:rPr>
              <w:t>niķeļa izmantošanai rotaļlietu izstrādājumos un to daļās.</w:t>
            </w:r>
          </w:p>
        </w:tc>
      </w:tr>
      <w:tr w:rsidR="00CA3EB1" w:rsidRPr="004D310E" w:rsidTr="007F53F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58" w:type="pct"/>
            <w:tcBorders>
              <w:top w:val="outset" w:sz="6" w:space="0" w:color="000000"/>
              <w:left w:val="single" w:sz="4" w:space="0" w:color="auto"/>
              <w:bottom w:val="outset" w:sz="6" w:space="0" w:color="000000"/>
              <w:right w:val="outset" w:sz="6" w:space="0" w:color="000000"/>
            </w:tcBorders>
            <w:hideMark/>
          </w:tcPr>
          <w:p w:rsidR="00CA3EB1" w:rsidRPr="004D310E" w:rsidRDefault="00CA3EB1" w:rsidP="007F53FB">
            <w:pPr>
              <w:pStyle w:val="NormalWeb"/>
              <w:ind w:firstLine="0"/>
              <w:jc w:val="center"/>
              <w:rPr>
                <w:sz w:val="26"/>
                <w:szCs w:val="26"/>
              </w:rPr>
            </w:pPr>
            <w:r w:rsidRPr="004D310E">
              <w:rPr>
                <w:sz w:val="26"/>
                <w:szCs w:val="26"/>
              </w:rPr>
              <w:t>2.</w:t>
            </w:r>
          </w:p>
        </w:tc>
        <w:tc>
          <w:tcPr>
            <w:tcW w:w="1805" w:type="pct"/>
            <w:tcBorders>
              <w:top w:val="outset" w:sz="6" w:space="0" w:color="000000"/>
              <w:left w:val="outset" w:sz="6" w:space="0" w:color="000000"/>
              <w:bottom w:val="outset" w:sz="6" w:space="0" w:color="000000"/>
              <w:right w:val="outset" w:sz="6" w:space="0" w:color="000000"/>
            </w:tcBorders>
            <w:hideMark/>
          </w:tcPr>
          <w:p w:rsidR="00CA3EB1" w:rsidRPr="004D310E" w:rsidRDefault="00CA3EB1" w:rsidP="007F53FB">
            <w:pPr>
              <w:pStyle w:val="NormalWeb"/>
              <w:ind w:firstLine="0"/>
              <w:rPr>
                <w:sz w:val="26"/>
                <w:szCs w:val="26"/>
              </w:rPr>
            </w:pPr>
            <w:r w:rsidRPr="004D310E">
              <w:rPr>
                <w:sz w:val="26"/>
                <w:szCs w:val="26"/>
              </w:rPr>
              <w:t>Tiesiskā regulējuma ietekme uz tautsaimniecību un administratīvo slogu</w:t>
            </w:r>
          </w:p>
        </w:tc>
        <w:tc>
          <w:tcPr>
            <w:tcW w:w="2937" w:type="pct"/>
            <w:tcBorders>
              <w:top w:val="outset" w:sz="6" w:space="0" w:color="000000"/>
              <w:left w:val="outset" w:sz="6" w:space="0" w:color="000000"/>
              <w:bottom w:val="outset" w:sz="6" w:space="0" w:color="000000"/>
              <w:right w:val="single" w:sz="4" w:space="0" w:color="auto"/>
            </w:tcBorders>
            <w:hideMark/>
          </w:tcPr>
          <w:p w:rsidR="00CA3EB1" w:rsidRDefault="00CA3EB1" w:rsidP="002D476C">
            <w:pPr>
              <w:pStyle w:val="NormalWeb"/>
              <w:spacing w:before="0" w:after="0"/>
              <w:ind w:left="57" w:right="57" w:firstLine="176"/>
              <w:rPr>
                <w:sz w:val="26"/>
                <w:szCs w:val="26"/>
              </w:rPr>
            </w:pPr>
            <w:r w:rsidRPr="004D310E">
              <w:rPr>
                <w:sz w:val="26"/>
                <w:szCs w:val="26"/>
              </w:rPr>
              <w:t>Noteikumu projektā ietvertais regulējums paredz veicināt īpaši neaizsargātā</w:t>
            </w:r>
            <w:r>
              <w:rPr>
                <w:sz w:val="26"/>
                <w:szCs w:val="26"/>
              </w:rPr>
              <w:t>kā</w:t>
            </w:r>
            <w:r w:rsidRPr="004D310E">
              <w:rPr>
                <w:sz w:val="26"/>
                <w:szCs w:val="26"/>
              </w:rPr>
              <w:t xml:space="preserve">s patērētāju daļas – bērnu tiesību aizsardzību, pielāgojot to </w:t>
            </w:r>
            <w:r w:rsidR="002D476C">
              <w:rPr>
                <w:sz w:val="26"/>
                <w:szCs w:val="26"/>
              </w:rPr>
              <w:t xml:space="preserve"> Direktīvas 2014/79/ES, Direktīvas 2014/81/ES un </w:t>
            </w:r>
            <w:r w:rsidRPr="004D310E">
              <w:rPr>
                <w:sz w:val="26"/>
                <w:szCs w:val="26"/>
              </w:rPr>
              <w:t>Direktīvas 2014/84/ES prasībām, nodrošinot, ka patērētājiem tiks piedāvātas tikai drošas  preces.</w:t>
            </w:r>
            <w:r w:rsidR="00741461">
              <w:rPr>
                <w:sz w:val="26"/>
                <w:szCs w:val="26"/>
              </w:rPr>
              <w:t xml:space="preserve"> </w:t>
            </w:r>
          </w:p>
          <w:p w:rsidR="00741461" w:rsidRPr="004D310E" w:rsidRDefault="00741461" w:rsidP="007F53FB">
            <w:pPr>
              <w:pStyle w:val="NormalWeb"/>
              <w:spacing w:before="0" w:after="0"/>
              <w:ind w:left="57" w:right="57" w:firstLine="176"/>
              <w:rPr>
                <w:sz w:val="26"/>
                <w:szCs w:val="26"/>
              </w:rPr>
            </w:pPr>
            <w:r w:rsidRPr="004D310E">
              <w:rPr>
                <w:sz w:val="26"/>
                <w:szCs w:val="26"/>
              </w:rPr>
              <w:t>Šobrīd nav pieeja</w:t>
            </w:r>
            <w:r>
              <w:rPr>
                <w:sz w:val="26"/>
                <w:szCs w:val="26"/>
              </w:rPr>
              <w:t>ma informācija, ka līdz ar jaunu</w:t>
            </w:r>
            <w:r w:rsidRPr="004D310E">
              <w:rPr>
                <w:sz w:val="26"/>
                <w:szCs w:val="26"/>
              </w:rPr>
              <w:t xml:space="preserve"> normatīvo regulējumu</w:t>
            </w:r>
            <w:r>
              <w:rPr>
                <w:sz w:val="26"/>
                <w:szCs w:val="26"/>
              </w:rPr>
              <w:t xml:space="preserve"> </w:t>
            </w:r>
            <w:r w:rsidRPr="004D310E">
              <w:rPr>
                <w:sz w:val="26"/>
                <w:szCs w:val="26"/>
              </w:rPr>
              <w:t>mainītos</w:t>
            </w:r>
            <w:r>
              <w:rPr>
                <w:sz w:val="26"/>
                <w:szCs w:val="26"/>
              </w:rPr>
              <w:t xml:space="preserve"> rotaļlietu</w:t>
            </w:r>
            <w:r w:rsidRPr="004D310E">
              <w:rPr>
                <w:sz w:val="26"/>
                <w:szCs w:val="26"/>
              </w:rPr>
              <w:t xml:space="preserve"> ražošanas apjoms</w:t>
            </w:r>
            <w:r>
              <w:rPr>
                <w:sz w:val="26"/>
                <w:szCs w:val="26"/>
              </w:rPr>
              <w:t>.</w:t>
            </w:r>
          </w:p>
          <w:p w:rsidR="00CA3EB1" w:rsidRPr="004D310E" w:rsidRDefault="00CA3EB1" w:rsidP="007F53FB">
            <w:pPr>
              <w:pStyle w:val="NormalWeb"/>
              <w:spacing w:before="0" w:after="0"/>
              <w:ind w:left="57" w:right="57" w:firstLine="176"/>
              <w:rPr>
                <w:sz w:val="26"/>
                <w:szCs w:val="26"/>
              </w:rPr>
            </w:pPr>
            <w:r w:rsidRPr="004D310E">
              <w:rPr>
                <w:sz w:val="26"/>
                <w:szCs w:val="26"/>
              </w:rPr>
              <w:t>Noteikumu projektā ietvertais regulējums neparedz palielināt administratīvo slogu.</w:t>
            </w:r>
          </w:p>
        </w:tc>
      </w:tr>
      <w:tr w:rsidR="00CA3EB1" w:rsidRPr="004D310E" w:rsidTr="007F53F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58" w:type="pct"/>
            <w:tcBorders>
              <w:top w:val="outset" w:sz="6" w:space="0" w:color="000000"/>
              <w:left w:val="single" w:sz="4" w:space="0" w:color="auto"/>
              <w:bottom w:val="outset" w:sz="6" w:space="0" w:color="000000"/>
              <w:right w:val="outset" w:sz="6" w:space="0" w:color="000000"/>
            </w:tcBorders>
            <w:hideMark/>
          </w:tcPr>
          <w:p w:rsidR="00CA3EB1" w:rsidRPr="004D310E" w:rsidRDefault="00CA3EB1" w:rsidP="007F53FB">
            <w:pPr>
              <w:pStyle w:val="NormalWeb"/>
              <w:ind w:firstLine="0"/>
              <w:jc w:val="center"/>
              <w:rPr>
                <w:sz w:val="26"/>
                <w:szCs w:val="26"/>
              </w:rPr>
            </w:pPr>
            <w:r w:rsidRPr="004D310E">
              <w:rPr>
                <w:sz w:val="26"/>
                <w:szCs w:val="26"/>
              </w:rPr>
              <w:lastRenderedPageBreak/>
              <w:t>3.</w:t>
            </w:r>
          </w:p>
        </w:tc>
        <w:tc>
          <w:tcPr>
            <w:tcW w:w="1805" w:type="pct"/>
            <w:tcBorders>
              <w:top w:val="outset" w:sz="6" w:space="0" w:color="000000"/>
              <w:left w:val="outset" w:sz="6" w:space="0" w:color="000000"/>
              <w:bottom w:val="outset" w:sz="6" w:space="0" w:color="000000"/>
              <w:right w:val="outset" w:sz="6" w:space="0" w:color="000000"/>
            </w:tcBorders>
            <w:hideMark/>
          </w:tcPr>
          <w:p w:rsidR="00CA3EB1" w:rsidRPr="004D310E" w:rsidRDefault="00CA3EB1" w:rsidP="007F53FB">
            <w:pPr>
              <w:pStyle w:val="NormalWeb"/>
              <w:ind w:firstLine="0"/>
              <w:rPr>
                <w:sz w:val="26"/>
                <w:szCs w:val="26"/>
              </w:rPr>
            </w:pPr>
            <w:r w:rsidRPr="004D310E">
              <w:rPr>
                <w:sz w:val="26"/>
                <w:szCs w:val="26"/>
              </w:rPr>
              <w:t>Administratīvo izmaksu monetārs novērtējums</w:t>
            </w:r>
          </w:p>
        </w:tc>
        <w:tc>
          <w:tcPr>
            <w:tcW w:w="2937" w:type="pct"/>
            <w:tcBorders>
              <w:top w:val="outset" w:sz="6" w:space="0" w:color="000000"/>
              <w:left w:val="outset" w:sz="6" w:space="0" w:color="000000"/>
              <w:bottom w:val="outset" w:sz="6" w:space="0" w:color="000000"/>
              <w:right w:val="single" w:sz="4" w:space="0" w:color="auto"/>
            </w:tcBorders>
            <w:hideMark/>
          </w:tcPr>
          <w:p w:rsidR="00CA3EB1" w:rsidRPr="004D310E" w:rsidRDefault="00CA3EB1" w:rsidP="00F57871">
            <w:pPr>
              <w:ind w:firstLine="233"/>
              <w:jc w:val="both"/>
              <w:rPr>
                <w:sz w:val="26"/>
                <w:szCs w:val="26"/>
              </w:rPr>
            </w:pPr>
            <w:r w:rsidRPr="004D310E">
              <w:rPr>
                <w:sz w:val="26"/>
                <w:szCs w:val="26"/>
              </w:rPr>
              <w:t>Noteikumu</w:t>
            </w:r>
            <w:r w:rsidR="00F57871">
              <w:rPr>
                <w:sz w:val="26"/>
                <w:szCs w:val="26"/>
              </w:rPr>
              <w:t xml:space="preserve"> projektam nav tiešas finansiālā</w:t>
            </w:r>
            <w:r w:rsidRPr="004D310E">
              <w:rPr>
                <w:sz w:val="26"/>
                <w:szCs w:val="26"/>
              </w:rPr>
              <w:t>s ietekmes uz patērētājiem, rotaļlietu ražotājiem, to pilnvarotajiem pārstāvjiem, importētājiem un izplatītājiem, jo šobrīd nav pieejama informācija, ka līdz ar jauna rotaļlietu drošumu regulē</w:t>
            </w:r>
            <w:r w:rsidR="00F57871">
              <w:rPr>
                <w:sz w:val="26"/>
                <w:szCs w:val="26"/>
              </w:rPr>
              <w:t xml:space="preserve">jošā normatīvā akta pieņemšanu </w:t>
            </w:r>
            <w:r w:rsidRPr="004D310E">
              <w:rPr>
                <w:sz w:val="26"/>
                <w:szCs w:val="26"/>
              </w:rPr>
              <w:t xml:space="preserve">mainītos rotaļlietu </w:t>
            </w:r>
            <w:r w:rsidR="00F57871">
              <w:rPr>
                <w:sz w:val="26"/>
                <w:szCs w:val="26"/>
              </w:rPr>
              <w:t>ražo</w:t>
            </w:r>
            <w:r w:rsidRPr="004D310E">
              <w:rPr>
                <w:sz w:val="26"/>
                <w:szCs w:val="26"/>
              </w:rPr>
              <w:t xml:space="preserve">šanas izmaksas vai tiktu paaugstinātas rotaļlietu cenas.  </w:t>
            </w:r>
          </w:p>
        </w:tc>
      </w:tr>
      <w:tr w:rsidR="00CA3EB1" w:rsidRPr="004D310E" w:rsidTr="007F53F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58" w:type="pct"/>
            <w:tcBorders>
              <w:top w:val="outset" w:sz="6" w:space="0" w:color="000000"/>
              <w:left w:val="single" w:sz="4" w:space="0" w:color="auto"/>
              <w:bottom w:val="single" w:sz="4" w:space="0" w:color="auto"/>
              <w:right w:val="outset" w:sz="6" w:space="0" w:color="000000"/>
            </w:tcBorders>
            <w:hideMark/>
          </w:tcPr>
          <w:p w:rsidR="00CA3EB1" w:rsidRPr="004D310E" w:rsidRDefault="00CA3EB1" w:rsidP="007F53FB">
            <w:pPr>
              <w:pStyle w:val="NormalWeb"/>
              <w:ind w:firstLine="0"/>
              <w:jc w:val="center"/>
              <w:rPr>
                <w:sz w:val="26"/>
                <w:szCs w:val="26"/>
              </w:rPr>
            </w:pPr>
            <w:r w:rsidRPr="004D310E">
              <w:rPr>
                <w:sz w:val="26"/>
                <w:szCs w:val="26"/>
              </w:rPr>
              <w:t>4.</w:t>
            </w:r>
          </w:p>
        </w:tc>
        <w:tc>
          <w:tcPr>
            <w:tcW w:w="1805" w:type="pct"/>
            <w:tcBorders>
              <w:top w:val="outset" w:sz="6" w:space="0" w:color="000000"/>
              <w:left w:val="outset" w:sz="6" w:space="0" w:color="000000"/>
              <w:bottom w:val="single" w:sz="4" w:space="0" w:color="auto"/>
              <w:right w:val="outset" w:sz="6" w:space="0" w:color="000000"/>
            </w:tcBorders>
            <w:hideMark/>
          </w:tcPr>
          <w:p w:rsidR="00CA3EB1" w:rsidRPr="004D310E" w:rsidRDefault="00CA3EB1" w:rsidP="007F53FB">
            <w:pPr>
              <w:pStyle w:val="NormalWeb"/>
              <w:ind w:firstLine="0"/>
              <w:rPr>
                <w:sz w:val="26"/>
                <w:szCs w:val="26"/>
              </w:rPr>
            </w:pPr>
            <w:r w:rsidRPr="004D310E">
              <w:rPr>
                <w:sz w:val="26"/>
                <w:szCs w:val="26"/>
              </w:rPr>
              <w:t>Cita informācija</w:t>
            </w:r>
          </w:p>
        </w:tc>
        <w:tc>
          <w:tcPr>
            <w:tcW w:w="2937" w:type="pct"/>
            <w:tcBorders>
              <w:top w:val="outset" w:sz="6" w:space="0" w:color="000000"/>
              <w:left w:val="outset" w:sz="6" w:space="0" w:color="000000"/>
              <w:bottom w:val="outset" w:sz="6" w:space="0" w:color="000000"/>
              <w:right w:val="single" w:sz="4" w:space="0" w:color="auto"/>
            </w:tcBorders>
            <w:hideMark/>
          </w:tcPr>
          <w:p w:rsidR="00CA3EB1" w:rsidRPr="004D310E" w:rsidRDefault="00CA3EB1" w:rsidP="007F53FB">
            <w:pPr>
              <w:pStyle w:val="NormalWeb"/>
              <w:spacing w:before="0" w:after="0"/>
              <w:ind w:right="57" w:firstLine="0"/>
              <w:rPr>
                <w:sz w:val="26"/>
                <w:szCs w:val="26"/>
              </w:rPr>
            </w:pPr>
            <w:r w:rsidRPr="004D310E">
              <w:rPr>
                <w:sz w:val="26"/>
                <w:szCs w:val="26"/>
              </w:rPr>
              <w:t>Nav.</w:t>
            </w:r>
          </w:p>
        </w:tc>
      </w:tr>
      <w:tr w:rsidR="00CA3EB1" w:rsidRPr="004D310E" w:rsidTr="007F53F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After w:val="1"/>
          <w:wAfter w:w="2937" w:type="pct"/>
          <w:trHeight w:val="157"/>
        </w:trPr>
        <w:tc>
          <w:tcPr>
            <w:tcW w:w="258" w:type="pct"/>
            <w:tcBorders>
              <w:top w:val="single" w:sz="4" w:space="0" w:color="auto"/>
              <w:left w:val="nil"/>
              <w:bottom w:val="nil"/>
              <w:right w:val="nil"/>
            </w:tcBorders>
            <w:hideMark/>
          </w:tcPr>
          <w:p w:rsidR="00CA3EB1" w:rsidRPr="004D310E" w:rsidRDefault="00CA3EB1" w:rsidP="007F53FB">
            <w:pPr>
              <w:pStyle w:val="NormalWeb"/>
              <w:ind w:firstLine="0"/>
              <w:rPr>
                <w:sz w:val="26"/>
                <w:szCs w:val="26"/>
              </w:rPr>
            </w:pPr>
          </w:p>
        </w:tc>
        <w:tc>
          <w:tcPr>
            <w:tcW w:w="1805" w:type="pct"/>
            <w:tcBorders>
              <w:top w:val="single" w:sz="4" w:space="0" w:color="auto"/>
              <w:left w:val="nil"/>
              <w:bottom w:val="nil"/>
              <w:right w:val="nil"/>
            </w:tcBorders>
          </w:tcPr>
          <w:p w:rsidR="00CA3EB1" w:rsidRPr="004D310E" w:rsidRDefault="00CA3EB1" w:rsidP="007F53FB">
            <w:pPr>
              <w:pStyle w:val="NormalWeb"/>
              <w:ind w:firstLine="0"/>
              <w:rPr>
                <w:sz w:val="26"/>
                <w:szCs w:val="26"/>
              </w:rPr>
            </w:pPr>
          </w:p>
        </w:tc>
      </w:tr>
      <w:tr w:rsidR="00CA3EB1" w:rsidRPr="004D310E" w:rsidTr="007F53FB">
        <w:tc>
          <w:tcPr>
            <w:tcW w:w="5000" w:type="pct"/>
            <w:gridSpan w:val="3"/>
            <w:tcBorders>
              <w:top w:val="single" w:sz="4" w:space="0" w:color="auto"/>
              <w:left w:val="single" w:sz="4" w:space="0" w:color="auto"/>
              <w:bottom w:val="single" w:sz="4" w:space="0" w:color="auto"/>
              <w:right w:val="single" w:sz="4" w:space="0" w:color="auto"/>
            </w:tcBorders>
          </w:tcPr>
          <w:p w:rsidR="00CA3EB1" w:rsidRPr="004D310E" w:rsidRDefault="00CA3EB1" w:rsidP="007F53FB">
            <w:pPr>
              <w:pStyle w:val="naisnod"/>
              <w:spacing w:before="0" w:after="0"/>
              <w:ind w:right="-99"/>
              <w:rPr>
                <w:sz w:val="26"/>
                <w:szCs w:val="26"/>
              </w:rPr>
            </w:pPr>
            <w:r w:rsidRPr="004D310E">
              <w:rPr>
                <w:sz w:val="26"/>
                <w:szCs w:val="26"/>
              </w:rPr>
              <w:t>V. Tiesību akta projekta atbilstība Latvijas Republikas starptautiskajām saistībām</w:t>
            </w:r>
          </w:p>
        </w:tc>
      </w:tr>
      <w:tr w:rsidR="00CA3EB1" w:rsidRPr="004D310E" w:rsidTr="007F53FB">
        <w:tc>
          <w:tcPr>
            <w:tcW w:w="258" w:type="pct"/>
            <w:tcBorders>
              <w:top w:val="single" w:sz="4" w:space="0" w:color="auto"/>
              <w:left w:val="single" w:sz="4" w:space="0" w:color="auto"/>
              <w:bottom w:val="single" w:sz="4" w:space="0" w:color="auto"/>
              <w:right w:val="single" w:sz="4" w:space="0" w:color="auto"/>
            </w:tcBorders>
          </w:tcPr>
          <w:p w:rsidR="00CA3EB1" w:rsidRPr="004D310E" w:rsidRDefault="00CA3EB1" w:rsidP="007F53FB">
            <w:pPr>
              <w:pStyle w:val="naiskr"/>
              <w:tabs>
                <w:tab w:val="left" w:pos="2628"/>
              </w:tabs>
              <w:spacing w:before="0" w:after="0"/>
              <w:ind w:right="-99"/>
              <w:jc w:val="both"/>
              <w:rPr>
                <w:iCs/>
                <w:sz w:val="26"/>
                <w:szCs w:val="26"/>
              </w:rPr>
            </w:pPr>
            <w:r w:rsidRPr="004D310E">
              <w:rPr>
                <w:iCs/>
                <w:sz w:val="26"/>
                <w:szCs w:val="26"/>
              </w:rPr>
              <w:t>1.</w:t>
            </w:r>
          </w:p>
        </w:tc>
        <w:tc>
          <w:tcPr>
            <w:tcW w:w="1805" w:type="pct"/>
            <w:tcBorders>
              <w:top w:val="single" w:sz="4" w:space="0" w:color="auto"/>
              <w:left w:val="single" w:sz="4" w:space="0" w:color="auto"/>
              <w:bottom w:val="single" w:sz="4" w:space="0" w:color="auto"/>
              <w:right w:val="single" w:sz="4" w:space="0" w:color="auto"/>
            </w:tcBorders>
          </w:tcPr>
          <w:p w:rsidR="00CA3EB1" w:rsidRPr="004D310E" w:rsidRDefault="00CA3EB1" w:rsidP="007F53FB">
            <w:pPr>
              <w:pStyle w:val="naiskr"/>
              <w:spacing w:before="0" w:after="0"/>
              <w:jc w:val="both"/>
              <w:rPr>
                <w:iCs/>
                <w:sz w:val="26"/>
                <w:szCs w:val="26"/>
              </w:rPr>
            </w:pPr>
            <w:r w:rsidRPr="004D310E">
              <w:rPr>
                <w:sz w:val="26"/>
                <w:szCs w:val="26"/>
              </w:rPr>
              <w:t>Saistības pret Eiropas Savienību</w:t>
            </w:r>
          </w:p>
        </w:tc>
        <w:tc>
          <w:tcPr>
            <w:tcW w:w="2937" w:type="pct"/>
            <w:tcBorders>
              <w:top w:val="single" w:sz="4" w:space="0" w:color="auto"/>
              <w:left w:val="single" w:sz="4" w:space="0" w:color="auto"/>
              <w:bottom w:val="single" w:sz="4" w:space="0" w:color="auto"/>
              <w:right w:val="single" w:sz="4" w:space="0" w:color="auto"/>
            </w:tcBorders>
          </w:tcPr>
          <w:p w:rsidR="001830C3" w:rsidRDefault="00F57871" w:rsidP="007F53FB">
            <w:pPr>
              <w:pStyle w:val="naiskr"/>
              <w:tabs>
                <w:tab w:val="left" w:pos="297"/>
              </w:tabs>
              <w:spacing w:before="0" w:after="0"/>
              <w:ind w:right="34"/>
              <w:jc w:val="both"/>
              <w:rPr>
                <w:bCs/>
                <w:sz w:val="26"/>
                <w:szCs w:val="26"/>
              </w:rPr>
            </w:pPr>
            <w:r>
              <w:rPr>
                <w:bCs/>
                <w:sz w:val="26"/>
                <w:szCs w:val="26"/>
              </w:rPr>
              <w:t xml:space="preserve">1) </w:t>
            </w:r>
            <w:r w:rsidR="001830C3">
              <w:rPr>
                <w:bCs/>
                <w:sz w:val="26"/>
                <w:szCs w:val="26"/>
              </w:rPr>
              <w:t xml:space="preserve">Komisijas 2014.gada 20.jūnija Direktīva 2014/79/ES, </w:t>
            </w:r>
            <w:r w:rsidR="001830C3" w:rsidRPr="004B15DF">
              <w:rPr>
                <w:bCs/>
                <w:i/>
                <w:sz w:val="26"/>
                <w:szCs w:val="26"/>
              </w:rPr>
              <w:t>ar ko groza II pielikuma C papildinājumu Eiropas Parlamenta un Padomes Direktīvai 2009/48/EK par rotaļlietu drošumu attiecībā uz TCEP, TCPP un TDCP</w:t>
            </w:r>
            <w:r w:rsidR="001830C3">
              <w:rPr>
                <w:bCs/>
                <w:sz w:val="26"/>
                <w:szCs w:val="26"/>
              </w:rPr>
              <w:t>. Dalībvalstis vēlākais līdz 2015.gada 21.decembrim pieņem un publicē normatīvos un administratīvos aktus, kas vajadzīgi, lai izpildītu minētās direktīvas prasības.</w:t>
            </w:r>
          </w:p>
          <w:p w:rsidR="001830C3" w:rsidRDefault="001830C3" w:rsidP="001830C3">
            <w:pPr>
              <w:pStyle w:val="naiskr"/>
              <w:tabs>
                <w:tab w:val="left" w:pos="297"/>
              </w:tabs>
              <w:spacing w:before="0" w:after="0"/>
              <w:ind w:right="34"/>
              <w:jc w:val="both"/>
              <w:rPr>
                <w:bCs/>
                <w:sz w:val="26"/>
                <w:szCs w:val="26"/>
              </w:rPr>
            </w:pPr>
            <w:r>
              <w:rPr>
                <w:bCs/>
                <w:sz w:val="26"/>
                <w:szCs w:val="26"/>
              </w:rPr>
              <w:t xml:space="preserve">2) Komisijas 2014.gada 23.jūnija Direktīva 2014/81/ES, </w:t>
            </w:r>
            <w:r w:rsidRPr="004B15DF">
              <w:rPr>
                <w:bCs/>
                <w:i/>
                <w:sz w:val="26"/>
                <w:szCs w:val="26"/>
              </w:rPr>
              <w:t xml:space="preserve">ar ko groza II pielikuma C papildinājumu Eiropas Parlamenta un Padomes Direktīvai 2009/48/EK par rotaļlietu drošumu attiecībā uz </w:t>
            </w:r>
            <w:proofErr w:type="spellStart"/>
            <w:r w:rsidRPr="004B15DF">
              <w:rPr>
                <w:bCs/>
                <w:i/>
                <w:sz w:val="26"/>
                <w:szCs w:val="26"/>
              </w:rPr>
              <w:t>bisfenolu</w:t>
            </w:r>
            <w:proofErr w:type="spellEnd"/>
            <w:r w:rsidRPr="004B15DF">
              <w:rPr>
                <w:bCs/>
                <w:i/>
                <w:sz w:val="26"/>
                <w:szCs w:val="26"/>
              </w:rPr>
              <w:t xml:space="preserve"> A</w:t>
            </w:r>
            <w:r>
              <w:rPr>
                <w:bCs/>
                <w:sz w:val="26"/>
                <w:szCs w:val="26"/>
              </w:rPr>
              <w:t>. Dalībvalstis vēlākais līdz 2015.gada 21.decembrim pieņem un publicē normatīvos un administratīvos aktus, kas vajadzīgi, lai izpildītu minētās direktīvas prasības.</w:t>
            </w:r>
          </w:p>
          <w:p w:rsidR="00CA3EB1" w:rsidRPr="004D310E" w:rsidRDefault="001830C3" w:rsidP="007F53FB">
            <w:pPr>
              <w:pStyle w:val="naiskr"/>
              <w:tabs>
                <w:tab w:val="left" w:pos="297"/>
              </w:tabs>
              <w:spacing w:before="0" w:after="0"/>
              <w:ind w:right="34"/>
              <w:jc w:val="both"/>
              <w:rPr>
                <w:bCs/>
                <w:sz w:val="26"/>
                <w:szCs w:val="26"/>
              </w:rPr>
            </w:pPr>
            <w:r>
              <w:rPr>
                <w:bCs/>
                <w:sz w:val="26"/>
                <w:szCs w:val="26"/>
              </w:rPr>
              <w:t xml:space="preserve">3) </w:t>
            </w:r>
            <w:r w:rsidRPr="004D310E">
              <w:rPr>
                <w:bCs/>
                <w:sz w:val="26"/>
                <w:szCs w:val="26"/>
              </w:rPr>
              <w:t xml:space="preserve">Komisijas 2014.gada 30.jūnija Direktīva 2014/84/ES, </w:t>
            </w:r>
            <w:r w:rsidRPr="004B15DF">
              <w:rPr>
                <w:bCs/>
                <w:i/>
                <w:sz w:val="26"/>
                <w:szCs w:val="26"/>
              </w:rPr>
              <w:t>ar ko groza Eiropas Parlamenta un Padomes Direktīvas 2009/48/EK par rotaļlietu drošumu II pielikuma A papildinājumu attiecībā uz niķeli</w:t>
            </w:r>
            <w:r>
              <w:rPr>
                <w:bCs/>
                <w:sz w:val="26"/>
                <w:szCs w:val="26"/>
              </w:rPr>
              <w:t xml:space="preserve">.   </w:t>
            </w:r>
          </w:p>
        </w:tc>
      </w:tr>
      <w:tr w:rsidR="00CA3EB1" w:rsidRPr="004D310E" w:rsidTr="007F53FB">
        <w:tc>
          <w:tcPr>
            <w:tcW w:w="258" w:type="pct"/>
            <w:tcBorders>
              <w:top w:val="single" w:sz="4" w:space="0" w:color="auto"/>
              <w:left w:val="single" w:sz="4" w:space="0" w:color="auto"/>
              <w:bottom w:val="single" w:sz="4" w:space="0" w:color="auto"/>
              <w:right w:val="single" w:sz="4" w:space="0" w:color="auto"/>
            </w:tcBorders>
          </w:tcPr>
          <w:p w:rsidR="00CA3EB1" w:rsidRPr="004D310E" w:rsidRDefault="00CA3EB1" w:rsidP="007F53FB">
            <w:pPr>
              <w:pStyle w:val="naiskr"/>
              <w:tabs>
                <w:tab w:val="left" w:pos="2628"/>
              </w:tabs>
              <w:spacing w:before="0" w:after="0"/>
              <w:ind w:right="-99"/>
              <w:jc w:val="both"/>
              <w:rPr>
                <w:iCs/>
                <w:sz w:val="26"/>
                <w:szCs w:val="26"/>
              </w:rPr>
            </w:pPr>
            <w:r w:rsidRPr="004D310E">
              <w:rPr>
                <w:iCs/>
                <w:sz w:val="26"/>
                <w:szCs w:val="26"/>
              </w:rPr>
              <w:t>2.</w:t>
            </w:r>
          </w:p>
        </w:tc>
        <w:tc>
          <w:tcPr>
            <w:tcW w:w="1805" w:type="pct"/>
            <w:tcBorders>
              <w:top w:val="single" w:sz="4" w:space="0" w:color="auto"/>
              <w:left w:val="single" w:sz="4" w:space="0" w:color="auto"/>
              <w:bottom w:val="single" w:sz="4" w:space="0" w:color="auto"/>
              <w:right w:val="single" w:sz="4" w:space="0" w:color="auto"/>
            </w:tcBorders>
          </w:tcPr>
          <w:p w:rsidR="00CA3EB1" w:rsidRPr="004D310E" w:rsidRDefault="00CA3EB1" w:rsidP="007F53FB">
            <w:pPr>
              <w:pStyle w:val="naiskr"/>
              <w:tabs>
                <w:tab w:val="left" w:pos="2628"/>
              </w:tabs>
              <w:spacing w:before="0" w:after="0"/>
              <w:ind w:right="-99"/>
              <w:jc w:val="both"/>
              <w:rPr>
                <w:iCs/>
                <w:sz w:val="26"/>
                <w:szCs w:val="26"/>
              </w:rPr>
            </w:pPr>
            <w:r w:rsidRPr="004D310E">
              <w:rPr>
                <w:sz w:val="26"/>
                <w:szCs w:val="26"/>
              </w:rPr>
              <w:t>Citas starptautiskās saistības</w:t>
            </w:r>
          </w:p>
        </w:tc>
        <w:tc>
          <w:tcPr>
            <w:tcW w:w="2937" w:type="pct"/>
            <w:tcBorders>
              <w:top w:val="single" w:sz="4" w:space="0" w:color="auto"/>
              <w:left w:val="single" w:sz="4" w:space="0" w:color="auto"/>
              <w:bottom w:val="single" w:sz="4" w:space="0" w:color="auto"/>
              <w:right w:val="single" w:sz="4" w:space="0" w:color="auto"/>
            </w:tcBorders>
          </w:tcPr>
          <w:p w:rsidR="00CA3EB1" w:rsidRPr="004D310E" w:rsidRDefault="00CA3EB1" w:rsidP="007F53FB">
            <w:pPr>
              <w:pStyle w:val="naiskr"/>
              <w:tabs>
                <w:tab w:val="left" w:pos="2628"/>
              </w:tabs>
              <w:spacing w:before="0" w:after="0"/>
              <w:ind w:right="-99"/>
              <w:jc w:val="both"/>
              <w:rPr>
                <w:iCs/>
                <w:sz w:val="26"/>
                <w:szCs w:val="26"/>
              </w:rPr>
            </w:pPr>
            <w:r w:rsidRPr="004D310E">
              <w:rPr>
                <w:sz w:val="26"/>
                <w:szCs w:val="26"/>
              </w:rPr>
              <w:t>Projekts šo jomu neskar.</w:t>
            </w:r>
          </w:p>
        </w:tc>
      </w:tr>
      <w:tr w:rsidR="00CA3EB1" w:rsidRPr="004D310E" w:rsidTr="007F53FB">
        <w:tc>
          <w:tcPr>
            <w:tcW w:w="258" w:type="pct"/>
            <w:tcBorders>
              <w:top w:val="single" w:sz="4" w:space="0" w:color="auto"/>
              <w:left w:val="single" w:sz="4" w:space="0" w:color="auto"/>
              <w:bottom w:val="single" w:sz="4" w:space="0" w:color="auto"/>
              <w:right w:val="single" w:sz="4" w:space="0" w:color="auto"/>
            </w:tcBorders>
          </w:tcPr>
          <w:p w:rsidR="00CA3EB1" w:rsidRPr="004D310E" w:rsidRDefault="00CA3EB1" w:rsidP="007F53FB">
            <w:pPr>
              <w:pStyle w:val="naiskr"/>
              <w:tabs>
                <w:tab w:val="left" w:pos="2628"/>
              </w:tabs>
              <w:spacing w:before="0" w:after="0"/>
              <w:ind w:right="-99"/>
              <w:jc w:val="both"/>
              <w:rPr>
                <w:iCs/>
                <w:sz w:val="26"/>
                <w:szCs w:val="26"/>
              </w:rPr>
            </w:pPr>
            <w:r w:rsidRPr="004D310E">
              <w:rPr>
                <w:iCs/>
                <w:sz w:val="26"/>
                <w:szCs w:val="26"/>
              </w:rPr>
              <w:t>3.</w:t>
            </w:r>
          </w:p>
        </w:tc>
        <w:tc>
          <w:tcPr>
            <w:tcW w:w="1805" w:type="pct"/>
            <w:tcBorders>
              <w:top w:val="single" w:sz="4" w:space="0" w:color="auto"/>
              <w:left w:val="single" w:sz="4" w:space="0" w:color="auto"/>
              <w:bottom w:val="single" w:sz="4" w:space="0" w:color="auto"/>
              <w:right w:val="single" w:sz="4" w:space="0" w:color="auto"/>
            </w:tcBorders>
          </w:tcPr>
          <w:p w:rsidR="00CA3EB1" w:rsidRPr="004D310E" w:rsidRDefault="00CA3EB1" w:rsidP="007F53FB">
            <w:pPr>
              <w:pStyle w:val="naiskr"/>
              <w:tabs>
                <w:tab w:val="left" w:pos="2628"/>
              </w:tabs>
              <w:spacing w:before="0" w:after="0"/>
              <w:ind w:right="-99"/>
              <w:jc w:val="both"/>
              <w:rPr>
                <w:sz w:val="26"/>
                <w:szCs w:val="26"/>
              </w:rPr>
            </w:pPr>
            <w:r w:rsidRPr="004D310E">
              <w:rPr>
                <w:sz w:val="26"/>
                <w:szCs w:val="26"/>
              </w:rPr>
              <w:t>Cita informācija</w:t>
            </w:r>
          </w:p>
        </w:tc>
        <w:tc>
          <w:tcPr>
            <w:tcW w:w="2937" w:type="pct"/>
            <w:tcBorders>
              <w:top w:val="single" w:sz="4" w:space="0" w:color="auto"/>
              <w:left w:val="single" w:sz="4" w:space="0" w:color="auto"/>
              <w:bottom w:val="single" w:sz="4" w:space="0" w:color="auto"/>
              <w:right w:val="single" w:sz="4" w:space="0" w:color="auto"/>
            </w:tcBorders>
          </w:tcPr>
          <w:p w:rsidR="00CA3EB1" w:rsidRPr="004D310E" w:rsidRDefault="00CA3EB1" w:rsidP="007F53FB">
            <w:pPr>
              <w:pStyle w:val="naiskr"/>
              <w:tabs>
                <w:tab w:val="left" w:pos="2628"/>
              </w:tabs>
              <w:spacing w:before="0" w:after="0"/>
              <w:ind w:right="-99"/>
              <w:jc w:val="both"/>
              <w:rPr>
                <w:iCs/>
                <w:sz w:val="26"/>
                <w:szCs w:val="26"/>
              </w:rPr>
            </w:pPr>
            <w:r w:rsidRPr="004D310E">
              <w:rPr>
                <w:iCs/>
                <w:sz w:val="26"/>
                <w:szCs w:val="26"/>
              </w:rPr>
              <w:t>Nav.</w:t>
            </w:r>
          </w:p>
        </w:tc>
      </w:tr>
    </w:tbl>
    <w:p w:rsidR="00B42AC2" w:rsidRPr="004D310E" w:rsidRDefault="00B42AC2" w:rsidP="00187C78">
      <w:pPr>
        <w:pStyle w:val="naisf"/>
        <w:spacing w:before="0" w:after="0"/>
        <w:ind w:right="-99" w:firstLine="0"/>
        <w:rPr>
          <w:sz w:val="26"/>
          <w:szCs w:val="26"/>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397"/>
        <w:gridCol w:w="1876"/>
        <w:gridCol w:w="1701"/>
        <w:gridCol w:w="1243"/>
      </w:tblGrid>
      <w:tr w:rsidR="00CA3EB1" w:rsidRPr="004D310E" w:rsidTr="007F53FB">
        <w:trPr>
          <w:trHeight w:val="523"/>
        </w:trPr>
        <w:tc>
          <w:tcPr>
            <w:tcW w:w="8217" w:type="dxa"/>
            <w:gridSpan w:val="4"/>
            <w:tcBorders>
              <w:top w:val="single" w:sz="4" w:space="0" w:color="auto"/>
              <w:left w:val="single" w:sz="4" w:space="0" w:color="auto"/>
              <w:bottom w:val="single" w:sz="4" w:space="0" w:color="auto"/>
              <w:right w:val="single" w:sz="4" w:space="0" w:color="auto"/>
            </w:tcBorders>
            <w:vAlign w:val="center"/>
          </w:tcPr>
          <w:p w:rsidR="00CA3EB1" w:rsidRPr="004D310E" w:rsidRDefault="00CA3EB1" w:rsidP="007F53FB">
            <w:pPr>
              <w:pStyle w:val="naisnod"/>
              <w:spacing w:before="0" w:after="0"/>
              <w:ind w:right="-99"/>
              <w:rPr>
                <w:sz w:val="26"/>
                <w:szCs w:val="26"/>
              </w:rPr>
            </w:pPr>
            <w:r w:rsidRPr="004D310E">
              <w:rPr>
                <w:sz w:val="26"/>
                <w:szCs w:val="26"/>
              </w:rPr>
              <w:lastRenderedPageBreak/>
              <w:t xml:space="preserve">1.tabula </w:t>
            </w:r>
          </w:p>
          <w:p w:rsidR="00CA3EB1" w:rsidRPr="004D310E" w:rsidRDefault="00CA3EB1" w:rsidP="007F53FB">
            <w:pPr>
              <w:pStyle w:val="naisnod"/>
              <w:spacing w:before="0" w:after="0"/>
              <w:ind w:right="-99"/>
              <w:rPr>
                <w:i/>
                <w:sz w:val="26"/>
                <w:szCs w:val="26"/>
              </w:rPr>
            </w:pPr>
            <w:r w:rsidRPr="004D310E">
              <w:rPr>
                <w:sz w:val="26"/>
                <w:szCs w:val="26"/>
              </w:rPr>
              <w:t>Tiesību akta projekta atbilstība ES tiesību aktiem</w:t>
            </w:r>
          </w:p>
        </w:tc>
      </w:tr>
      <w:tr w:rsidR="00E26B25" w:rsidRPr="004D310E" w:rsidTr="007F53FB">
        <w:trPr>
          <w:trHeight w:val="523"/>
        </w:trPr>
        <w:tc>
          <w:tcPr>
            <w:tcW w:w="8217" w:type="dxa"/>
            <w:gridSpan w:val="4"/>
            <w:tcBorders>
              <w:top w:val="single" w:sz="4" w:space="0" w:color="auto"/>
              <w:left w:val="single" w:sz="4" w:space="0" w:color="auto"/>
              <w:bottom w:val="single" w:sz="4" w:space="0" w:color="auto"/>
              <w:right w:val="single" w:sz="4" w:space="0" w:color="auto"/>
            </w:tcBorders>
            <w:vAlign w:val="center"/>
          </w:tcPr>
          <w:p w:rsidR="00E26B25" w:rsidRPr="00E26B25" w:rsidRDefault="00E26B25" w:rsidP="007F53FB">
            <w:pPr>
              <w:pStyle w:val="naisnod"/>
              <w:spacing w:before="0" w:after="0"/>
              <w:ind w:right="-99"/>
              <w:rPr>
                <w:b w:val="0"/>
                <w:sz w:val="26"/>
                <w:szCs w:val="26"/>
              </w:rPr>
            </w:pPr>
            <w:r w:rsidRPr="00E26B25">
              <w:rPr>
                <w:b w:val="0"/>
                <w:bCs w:val="0"/>
                <w:sz w:val="26"/>
                <w:szCs w:val="26"/>
              </w:rPr>
              <w:t xml:space="preserve">Komisijas 2014.gada 20.jūnija Direktīva 2014/79/ES, </w:t>
            </w:r>
            <w:r w:rsidRPr="00E26B25">
              <w:rPr>
                <w:b w:val="0"/>
                <w:bCs w:val="0"/>
                <w:i/>
                <w:sz w:val="26"/>
                <w:szCs w:val="26"/>
              </w:rPr>
              <w:t>ar ko groza II pielikuma C papildinājumu Eiropas Parlamenta un Padomes Direktīvai 2009/48/EK par rotaļlietu drošumu attiecībā uz TCEP, TCPP un TDCP</w:t>
            </w:r>
          </w:p>
        </w:tc>
      </w:tr>
      <w:tr w:rsidR="00CA3EB1" w:rsidRPr="004D310E" w:rsidTr="007F53FB">
        <w:trPr>
          <w:trHeight w:val="165"/>
        </w:trPr>
        <w:tc>
          <w:tcPr>
            <w:tcW w:w="3397" w:type="dxa"/>
            <w:tcBorders>
              <w:top w:val="single" w:sz="4" w:space="0" w:color="auto"/>
              <w:left w:val="single" w:sz="4" w:space="0" w:color="auto"/>
              <w:bottom w:val="single" w:sz="4" w:space="0" w:color="auto"/>
              <w:right w:val="single" w:sz="4" w:space="0" w:color="auto"/>
            </w:tcBorders>
            <w:vAlign w:val="center"/>
          </w:tcPr>
          <w:p w:rsidR="00CA3EB1" w:rsidRPr="004D310E" w:rsidRDefault="00CA3EB1" w:rsidP="007F53FB">
            <w:pPr>
              <w:pStyle w:val="naiskr"/>
              <w:spacing w:before="0" w:after="0"/>
              <w:ind w:right="-99"/>
              <w:jc w:val="center"/>
              <w:rPr>
                <w:sz w:val="26"/>
                <w:szCs w:val="26"/>
              </w:rPr>
            </w:pPr>
            <w:r w:rsidRPr="004D310E">
              <w:rPr>
                <w:sz w:val="26"/>
                <w:szCs w:val="26"/>
              </w:rPr>
              <w:t>A</w:t>
            </w:r>
          </w:p>
        </w:tc>
        <w:tc>
          <w:tcPr>
            <w:tcW w:w="1876" w:type="dxa"/>
            <w:tcBorders>
              <w:top w:val="single" w:sz="4" w:space="0" w:color="auto"/>
              <w:left w:val="single" w:sz="4" w:space="0" w:color="auto"/>
              <w:bottom w:val="single" w:sz="4" w:space="0" w:color="auto"/>
              <w:right w:val="single" w:sz="4" w:space="0" w:color="auto"/>
            </w:tcBorders>
            <w:vAlign w:val="center"/>
          </w:tcPr>
          <w:p w:rsidR="00CA3EB1" w:rsidRPr="004D310E" w:rsidRDefault="00CA3EB1" w:rsidP="007F53FB">
            <w:pPr>
              <w:pStyle w:val="naiskr"/>
              <w:spacing w:before="0" w:after="0"/>
              <w:ind w:right="-99"/>
              <w:jc w:val="center"/>
              <w:rPr>
                <w:sz w:val="26"/>
                <w:szCs w:val="26"/>
              </w:rPr>
            </w:pPr>
            <w:r w:rsidRPr="004D310E">
              <w:rPr>
                <w:sz w:val="26"/>
                <w:szCs w:val="26"/>
              </w:rPr>
              <w:t>B</w:t>
            </w:r>
          </w:p>
        </w:tc>
        <w:tc>
          <w:tcPr>
            <w:tcW w:w="1701" w:type="dxa"/>
            <w:tcBorders>
              <w:top w:val="single" w:sz="4" w:space="0" w:color="auto"/>
              <w:left w:val="single" w:sz="4" w:space="0" w:color="auto"/>
              <w:bottom w:val="single" w:sz="4" w:space="0" w:color="auto"/>
              <w:right w:val="single" w:sz="4" w:space="0" w:color="auto"/>
            </w:tcBorders>
            <w:vAlign w:val="center"/>
          </w:tcPr>
          <w:p w:rsidR="00CA3EB1" w:rsidRPr="004D310E" w:rsidRDefault="00CA3EB1" w:rsidP="007F53FB">
            <w:pPr>
              <w:pStyle w:val="naiskr"/>
              <w:spacing w:before="0" w:after="0"/>
              <w:ind w:right="-99"/>
              <w:jc w:val="center"/>
              <w:rPr>
                <w:sz w:val="26"/>
                <w:szCs w:val="26"/>
              </w:rPr>
            </w:pPr>
            <w:r w:rsidRPr="004D310E">
              <w:rPr>
                <w:sz w:val="26"/>
                <w:szCs w:val="26"/>
              </w:rPr>
              <w:t>C</w:t>
            </w:r>
          </w:p>
        </w:tc>
        <w:tc>
          <w:tcPr>
            <w:tcW w:w="1243" w:type="dxa"/>
            <w:tcBorders>
              <w:top w:val="single" w:sz="4" w:space="0" w:color="auto"/>
              <w:left w:val="single" w:sz="4" w:space="0" w:color="auto"/>
              <w:bottom w:val="single" w:sz="4" w:space="0" w:color="auto"/>
              <w:right w:val="single" w:sz="4" w:space="0" w:color="auto"/>
            </w:tcBorders>
            <w:vAlign w:val="center"/>
          </w:tcPr>
          <w:p w:rsidR="00CA3EB1" w:rsidRPr="004D310E" w:rsidRDefault="00CA3EB1" w:rsidP="007F53FB">
            <w:pPr>
              <w:pStyle w:val="naiskr"/>
              <w:spacing w:before="0" w:after="0"/>
              <w:ind w:right="-99"/>
              <w:jc w:val="center"/>
              <w:rPr>
                <w:sz w:val="26"/>
                <w:szCs w:val="26"/>
              </w:rPr>
            </w:pPr>
            <w:r w:rsidRPr="004D310E">
              <w:rPr>
                <w:sz w:val="26"/>
                <w:szCs w:val="26"/>
              </w:rPr>
              <w:t>D</w:t>
            </w:r>
          </w:p>
        </w:tc>
      </w:tr>
      <w:tr w:rsidR="00E26B25" w:rsidRPr="004D310E" w:rsidTr="007F53FB">
        <w:trPr>
          <w:trHeight w:val="165"/>
        </w:trPr>
        <w:tc>
          <w:tcPr>
            <w:tcW w:w="3397" w:type="dxa"/>
            <w:tcBorders>
              <w:top w:val="single" w:sz="4" w:space="0" w:color="auto"/>
              <w:left w:val="single" w:sz="4" w:space="0" w:color="auto"/>
              <w:bottom w:val="single" w:sz="4" w:space="0" w:color="auto"/>
              <w:right w:val="single" w:sz="4" w:space="0" w:color="auto"/>
            </w:tcBorders>
            <w:vAlign w:val="center"/>
          </w:tcPr>
          <w:p w:rsidR="00E26B25" w:rsidRPr="004D310E" w:rsidRDefault="00E26B25" w:rsidP="00E26B25">
            <w:pPr>
              <w:pStyle w:val="naiskr"/>
              <w:spacing w:before="0" w:after="0"/>
              <w:ind w:right="-99"/>
              <w:rPr>
                <w:sz w:val="26"/>
                <w:szCs w:val="26"/>
              </w:rPr>
            </w:pPr>
            <w:r>
              <w:rPr>
                <w:sz w:val="26"/>
                <w:szCs w:val="26"/>
              </w:rPr>
              <w:t>1.pants</w:t>
            </w:r>
          </w:p>
        </w:tc>
        <w:tc>
          <w:tcPr>
            <w:tcW w:w="1876" w:type="dxa"/>
            <w:tcBorders>
              <w:top w:val="single" w:sz="4" w:space="0" w:color="auto"/>
              <w:left w:val="single" w:sz="4" w:space="0" w:color="auto"/>
              <w:bottom w:val="single" w:sz="4" w:space="0" w:color="auto"/>
              <w:right w:val="single" w:sz="4" w:space="0" w:color="auto"/>
            </w:tcBorders>
            <w:vAlign w:val="center"/>
          </w:tcPr>
          <w:p w:rsidR="00E26B25" w:rsidRPr="004D310E" w:rsidRDefault="00E26B25" w:rsidP="00187C78">
            <w:pPr>
              <w:pStyle w:val="naiskr"/>
              <w:spacing w:before="0" w:after="0"/>
              <w:ind w:right="-99"/>
              <w:jc w:val="center"/>
              <w:rPr>
                <w:sz w:val="26"/>
                <w:szCs w:val="26"/>
              </w:rPr>
            </w:pPr>
            <w:r w:rsidRPr="00187C78">
              <w:rPr>
                <w:sz w:val="26"/>
                <w:szCs w:val="26"/>
              </w:rPr>
              <w:t xml:space="preserve">2.pielikuma III </w:t>
            </w:r>
            <w:r w:rsidR="00572D8D" w:rsidRPr="00187C78">
              <w:rPr>
                <w:sz w:val="26"/>
                <w:szCs w:val="26"/>
              </w:rPr>
              <w:t>no</w:t>
            </w:r>
            <w:r w:rsidRPr="00187C78">
              <w:rPr>
                <w:sz w:val="26"/>
                <w:szCs w:val="26"/>
              </w:rPr>
              <w:t xml:space="preserve">daļas </w:t>
            </w:r>
            <w:r w:rsidR="00187C78" w:rsidRPr="00187C78">
              <w:rPr>
                <w:sz w:val="26"/>
                <w:szCs w:val="26"/>
              </w:rPr>
              <w:t>7</w:t>
            </w:r>
            <w:r w:rsidRPr="00187C78">
              <w:rPr>
                <w:sz w:val="26"/>
                <w:szCs w:val="26"/>
              </w:rPr>
              <w:t>.</w:t>
            </w:r>
            <w:r w:rsidR="00A13A49" w:rsidRPr="00187C78">
              <w:rPr>
                <w:sz w:val="26"/>
                <w:szCs w:val="26"/>
              </w:rPr>
              <w:t>2. apakš</w:t>
            </w:r>
            <w:r w:rsidRPr="00187C78">
              <w:rPr>
                <w:sz w:val="26"/>
                <w:szCs w:val="26"/>
              </w:rPr>
              <w:t>punk</w:t>
            </w:r>
            <w:r w:rsidR="00A13A49" w:rsidRPr="00187C78">
              <w:rPr>
                <w:sz w:val="26"/>
                <w:szCs w:val="26"/>
              </w:rPr>
              <w:t>ts</w:t>
            </w:r>
          </w:p>
        </w:tc>
        <w:tc>
          <w:tcPr>
            <w:tcW w:w="1701" w:type="dxa"/>
            <w:tcBorders>
              <w:top w:val="single" w:sz="4" w:space="0" w:color="auto"/>
              <w:left w:val="single" w:sz="4" w:space="0" w:color="auto"/>
              <w:bottom w:val="single" w:sz="4" w:space="0" w:color="auto"/>
              <w:right w:val="single" w:sz="4" w:space="0" w:color="auto"/>
            </w:tcBorders>
            <w:vAlign w:val="center"/>
          </w:tcPr>
          <w:p w:rsidR="00E26B25" w:rsidRPr="004D310E" w:rsidRDefault="00E26B25" w:rsidP="00E26B25">
            <w:pPr>
              <w:jc w:val="center"/>
              <w:rPr>
                <w:sz w:val="26"/>
                <w:szCs w:val="26"/>
                <w:lang w:eastAsia="lv-LV"/>
              </w:rPr>
            </w:pPr>
            <w:r w:rsidRPr="004D310E">
              <w:rPr>
                <w:sz w:val="26"/>
                <w:szCs w:val="26"/>
                <w:lang w:eastAsia="lv-LV"/>
              </w:rPr>
              <w:t>Ieviests pilnībā</w:t>
            </w:r>
          </w:p>
        </w:tc>
        <w:tc>
          <w:tcPr>
            <w:tcW w:w="1243" w:type="dxa"/>
            <w:tcBorders>
              <w:top w:val="single" w:sz="4" w:space="0" w:color="auto"/>
              <w:left w:val="single" w:sz="4" w:space="0" w:color="auto"/>
              <w:bottom w:val="single" w:sz="4" w:space="0" w:color="auto"/>
              <w:right w:val="single" w:sz="4" w:space="0" w:color="auto"/>
            </w:tcBorders>
            <w:vAlign w:val="center"/>
          </w:tcPr>
          <w:p w:rsidR="00E26B25" w:rsidRPr="004D310E" w:rsidRDefault="00E26B25" w:rsidP="00E26B25">
            <w:pPr>
              <w:jc w:val="center"/>
              <w:rPr>
                <w:sz w:val="26"/>
                <w:szCs w:val="26"/>
                <w:lang w:eastAsia="lv-LV"/>
              </w:rPr>
            </w:pPr>
            <w:r w:rsidRPr="004D310E">
              <w:rPr>
                <w:sz w:val="26"/>
                <w:szCs w:val="26"/>
                <w:lang w:eastAsia="lv-LV"/>
              </w:rPr>
              <w:t xml:space="preserve">Stingrākas prasības nav paredzētas </w:t>
            </w:r>
          </w:p>
        </w:tc>
      </w:tr>
      <w:tr w:rsidR="00E26B25" w:rsidRPr="004D310E" w:rsidTr="00244141">
        <w:trPr>
          <w:trHeight w:val="165"/>
        </w:trPr>
        <w:tc>
          <w:tcPr>
            <w:tcW w:w="3397" w:type="dxa"/>
            <w:tcBorders>
              <w:top w:val="single" w:sz="4" w:space="0" w:color="auto"/>
              <w:left w:val="single" w:sz="4" w:space="0" w:color="auto"/>
              <w:bottom w:val="single" w:sz="4" w:space="0" w:color="auto"/>
              <w:right w:val="single" w:sz="4" w:space="0" w:color="auto"/>
            </w:tcBorders>
            <w:vAlign w:val="center"/>
          </w:tcPr>
          <w:p w:rsidR="00E26B25" w:rsidRPr="004D310E" w:rsidRDefault="00E26B25" w:rsidP="00E26B25">
            <w:pPr>
              <w:pStyle w:val="naiskr"/>
              <w:spacing w:before="0" w:after="0"/>
              <w:ind w:right="-99"/>
              <w:rPr>
                <w:sz w:val="26"/>
                <w:szCs w:val="26"/>
              </w:rPr>
            </w:pPr>
            <w:r w:rsidRPr="004D310E">
              <w:rPr>
                <w:sz w:val="26"/>
                <w:szCs w:val="26"/>
              </w:rPr>
              <w:t>Kā ir izmantota ES tiesību aktā paredzētā rīcības brīvība dalībvalstij pārņemt vai ieviest noteiktas ES tiesību akta normas</w:t>
            </w:r>
          </w:p>
        </w:tc>
        <w:tc>
          <w:tcPr>
            <w:tcW w:w="4820" w:type="dxa"/>
            <w:gridSpan w:val="3"/>
            <w:tcBorders>
              <w:top w:val="single" w:sz="4" w:space="0" w:color="auto"/>
              <w:left w:val="single" w:sz="4" w:space="0" w:color="auto"/>
              <w:bottom w:val="single" w:sz="4" w:space="0" w:color="auto"/>
              <w:right w:val="single" w:sz="4" w:space="0" w:color="auto"/>
            </w:tcBorders>
            <w:vAlign w:val="center"/>
          </w:tcPr>
          <w:p w:rsidR="00E26B25" w:rsidRPr="004D310E" w:rsidRDefault="00E26B25" w:rsidP="00E26B25">
            <w:pPr>
              <w:pStyle w:val="naiskr"/>
              <w:spacing w:before="0" w:after="0"/>
              <w:ind w:right="-99"/>
              <w:rPr>
                <w:sz w:val="26"/>
                <w:szCs w:val="26"/>
              </w:rPr>
            </w:pPr>
            <w:r w:rsidRPr="004D310E">
              <w:rPr>
                <w:iCs/>
                <w:sz w:val="26"/>
                <w:szCs w:val="26"/>
              </w:rPr>
              <w:t>Noteikumu projektā iekļautās ES tiesību akta normas neparedz rīcības brīvību dalībvalstīm.</w:t>
            </w:r>
          </w:p>
        </w:tc>
      </w:tr>
      <w:tr w:rsidR="00E26B25" w:rsidRPr="004D310E" w:rsidTr="00244141">
        <w:trPr>
          <w:trHeight w:val="165"/>
        </w:trPr>
        <w:tc>
          <w:tcPr>
            <w:tcW w:w="3397" w:type="dxa"/>
            <w:tcBorders>
              <w:top w:val="single" w:sz="4" w:space="0" w:color="auto"/>
              <w:left w:val="single" w:sz="4" w:space="0" w:color="auto"/>
              <w:bottom w:val="single" w:sz="4" w:space="0" w:color="auto"/>
              <w:right w:val="single" w:sz="4" w:space="0" w:color="auto"/>
            </w:tcBorders>
            <w:vAlign w:val="center"/>
          </w:tcPr>
          <w:p w:rsidR="00E26B25" w:rsidRPr="004D310E" w:rsidRDefault="00E26B25" w:rsidP="00E26B25">
            <w:pPr>
              <w:pStyle w:val="naiskr"/>
              <w:spacing w:before="0" w:after="0"/>
              <w:ind w:right="-99"/>
              <w:rPr>
                <w:sz w:val="26"/>
                <w:szCs w:val="26"/>
              </w:rPr>
            </w:pPr>
            <w:r w:rsidRPr="00E26B25">
              <w:rPr>
                <w:sz w:val="26"/>
                <w:szCs w:val="26"/>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820" w:type="dxa"/>
            <w:gridSpan w:val="3"/>
            <w:tcBorders>
              <w:top w:val="single" w:sz="4" w:space="0" w:color="auto"/>
              <w:left w:val="single" w:sz="4" w:space="0" w:color="auto"/>
              <w:bottom w:val="single" w:sz="4" w:space="0" w:color="auto"/>
              <w:right w:val="single" w:sz="4" w:space="0" w:color="auto"/>
            </w:tcBorders>
            <w:vAlign w:val="center"/>
          </w:tcPr>
          <w:p w:rsidR="00E26B25" w:rsidRPr="004D310E" w:rsidRDefault="00E26B25" w:rsidP="00E26B25">
            <w:pPr>
              <w:pStyle w:val="naiskr"/>
              <w:spacing w:before="0" w:after="0"/>
              <w:ind w:right="-99"/>
              <w:rPr>
                <w:sz w:val="26"/>
                <w:szCs w:val="26"/>
              </w:rPr>
            </w:pPr>
            <w:r w:rsidRPr="004D310E">
              <w:rPr>
                <w:sz w:val="26"/>
                <w:szCs w:val="26"/>
              </w:rPr>
              <w:t>Projekts šo jomu neskar.</w:t>
            </w:r>
          </w:p>
        </w:tc>
      </w:tr>
      <w:tr w:rsidR="00E26B25" w:rsidRPr="004D310E" w:rsidTr="00244141">
        <w:trPr>
          <w:trHeight w:val="165"/>
        </w:trPr>
        <w:tc>
          <w:tcPr>
            <w:tcW w:w="3397" w:type="dxa"/>
            <w:tcBorders>
              <w:top w:val="single" w:sz="4" w:space="0" w:color="auto"/>
              <w:left w:val="single" w:sz="4" w:space="0" w:color="auto"/>
              <w:bottom w:val="single" w:sz="4" w:space="0" w:color="auto"/>
              <w:right w:val="single" w:sz="4" w:space="0" w:color="auto"/>
            </w:tcBorders>
            <w:vAlign w:val="center"/>
          </w:tcPr>
          <w:p w:rsidR="00E26B25" w:rsidRPr="004D310E" w:rsidRDefault="00E26B25" w:rsidP="00E26B25">
            <w:pPr>
              <w:pStyle w:val="naiskr"/>
              <w:spacing w:before="0" w:after="0"/>
              <w:ind w:right="-99"/>
              <w:rPr>
                <w:sz w:val="26"/>
                <w:szCs w:val="26"/>
              </w:rPr>
            </w:pPr>
            <w:r w:rsidRPr="004D310E">
              <w:rPr>
                <w:sz w:val="26"/>
                <w:szCs w:val="26"/>
              </w:rPr>
              <w:t>Cita informācija</w:t>
            </w:r>
          </w:p>
        </w:tc>
        <w:tc>
          <w:tcPr>
            <w:tcW w:w="4820" w:type="dxa"/>
            <w:gridSpan w:val="3"/>
            <w:tcBorders>
              <w:top w:val="single" w:sz="4" w:space="0" w:color="auto"/>
              <w:left w:val="single" w:sz="4" w:space="0" w:color="auto"/>
              <w:bottom w:val="single" w:sz="4" w:space="0" w:color="auto"/>
              <w:right w:val="single" w:sz="4" w:space="0" w:color="auto"/>
            </w:tcBorders>
            <w:vAlign w:val="center"/>
          </w:tcPr>
          <w:p w:rsidR="00E26B25" w:rsidRPr="004D310E" w:rsidRDefault="00E26B25" w:rsidP="00E26B25">
            <w:pPr>
              <w:pStyle w:val="naiskr"/>
              <w:spacing w:before="0" w:after="0"/>
              <w:ind w:right="-99"/>
              <w:rPr>
                <w:sz w:val="26"/>
                <w:szCs w:val="26"/>
              </w:rPr>
            </w:pPr>
            <w:r>
              <w:rPr>
                <w:sz w:val="26"/>
                <w:szCs w:val="26"/>
              </w:rPr>
              <w:t>Nav.</w:t>
            </w:r>
          </w:p>
        </w:tc>
      </w:tr>
      <w:tr w:rsidR="00E26B25" w:rsidRPr="004D310E" w:rsidTr="00244141">
        <w:trPr>
          <w:trHeight w:val="165"/>
        </w:trPr>
        <w:tc>
          <w:tcPr>
            <w:tcW w:w="8217" w:type="dxa"/>
            <w:gridSpan w:val="4"/>
            <w:tcBorders>
              <w:top w:val="single" w:sz="4" w:space="0" w:color="auto"/>
              <w:left w:val="single" w:sz="4" w:space="0" w:color="auto"/>
              <w:bottom w:val="single" w:sz="4" w:space="0" w:color="auto"/>
              <w:right w:val="single" w:sz="4" w:space="0" w:color="auto"/>
            </w:tcBorders>
            <w:vAlign w:val="center"/>
          </w:tcPr>
          <w:p w:rsidR="00E26B25" w:rsidRPr="004D310E" w:rsidRDefault="00E26B25" w:rsidP="007F53FB">
            <w:pPr>
              <w:pStyle w:val="naiskr"/>
              <w:spacing w:before="0" w:after="0"/>
              <w:ind w:right="-99"/>
              <w:jc w:val="center"/>
              <w:rPr>
                <w:sz w:val="26"/>
                <w:szCs w:val="26"/>
              </w:rPr>
            </w:pPr>
            <w:r>
              <w:rPr>
                <w:bCs/>
                <w:sz w:val="26"/>
                <w:szCs w:val="26"/>
              </w:rPr>
              <w:t xml:space="preserve">Komisijas 2014.gada 23.jūnija Direktīva 2014/81/ES, </w:t>
            </w:r>
            <w:r w:rsidRPr="004B15DF">
              <w:rPr>
                <w:bCs/>
                <w:i/>
                <w:sz w:val="26"/>
                <w:szCs w:val="26"/>
              </w:rPr>
              <w:t xml:space="preserve">ar ko groza II pielikuma C papildinājumu Eiropas Parlamenta un Padomes Direktīvai 2009/48/EK par rotaļlietu drošumu attiecībā uz </w:t>
            </w:r>
            <w:proofErr w:type="spellStart"/>
            <w:r w:rsidRPr="004B15DF">
              <w:rPr>
                <w:bCs/>
                <w:i/>
                <w:sz w:val="26"/>
                <w:szCs w:val="26"/>
              </w:rPr>
              <w:t>bisfenolu</w:t>
            </w:r>
            <w:proofErr w:type="spellEnd"/>
            <w:r w:rsidRPr="004B15DF">
              <w:rPr>
                <w:bCs/>
                <w:i/>
                <w:sz w:val="26"/>
                <w:szCs w:val="26"/>
              </w:rPr>
              <w:t xml:space="preserve"> A</w:t>
            </w:r>
          </w:p>
        </w:tc>
      </w:tr>
      <w:tr w:rsidR="00E26B25" w:rsidRPr="004D310E" w:rsidTr="007F53FB">
        <w:trPr>
          <w:trHeight w:val="165"/>
        </w:trPr>
        <w:tc>
          <w:tcPr>
            <w:tcW w:w="3397" w:type="dxa"/>
            <w:tcBorders>
              <w:top w:val="single" w:sz="4" w:space="0" w:color="auto"/>
              <w:left w:val="single" w:sz="4" w:space="0" w:color="auto"/>
              <w:bottom w:val="single" w:sz="4" w:space="0" w:color="auto"/>
              <w:right w:val="single" w:sz="4" w:space="0" w:color="auto"/>
            </w:tcBorders>
            <w:vAlign w:val="center"/>
          </w:tcPr>
          <w:p w:rsidR="00E26B25" w:rsidRPr="004D310E" w:rsidRDefault="00E26B25" w:rsidP="00E26B25">
            <w:pPr>
              <w:pStyle w:val="naiskr"/>
              <w:spacing w:before="0" w:after="0"/>
              <w:ind w:right="-99"/>
              <w:jc w:val="center"/>
              <w:rPr>
                <w:sz w:val="26"/>
                <w:szCs w:val="26"/>
              </w:rPr>
            </w:pPr>
            <w:r w:rsidRPr="004D310E">
              <w:rPr>
                <w:sz w:val="26"/>
                <w:szCs w:val="26"/>
              </w:rPr>
              <w:t>A</w:t>
            </w:r>
          </w:p>
        </w:tc>
        <w:tc>
          <w:tcPr>
            <w:tcW w:w="1876" w:type="dxa"/>
            <w:tcBorders>
              <w:top w:val="single" w:sz="4" w:space="0" w:color="auto"/>
              <w:left w:val="single" w:sz="4" w:space="0" w:color="auto"/>
              <w:bottom w:val="single" w:sz="4" w:space="0" w:color="auto"/>
              <w:right w:val="single" w:sz="4" w:space="0" w:color="auto"/>
            </w:tcBorders>
            <w:vAlign w:val="center"/>
          </w:tcPr>
          <w:p w:rsidR="00E26B25" w:rsidRPr="004D310E" w:rsidRDefault="00E26B25" w:rsidP="00E26B25">
            <w:pPr>
              <w:pStyle w:val="naiskr"/>
              <w:spacing w:before="0" w:after="0"/>
              <w:ind w:right="-99"/>
              <w:jc w:val="center"/>
              <w:rPr>
                <w:sz w:val="26"/>
                <w:szCs w:val="26"/>
              </w:rPr>
            </w:pPr>
            <w:r w:rsidRPr="004D310E">
              <w:rPr>
                <w:sz w:val="26"/>
                <w:szCs w:val="26"/>
              </w:rPr>
              <w:t>B</w:t>
            </w:r>
          </w:p>
        </w:tc>
        <w:tc>
          <w:tcPr>
            <w:tcW w:w="1701" w:type="dxa"/>
            <w:tcBorders>
              <w:top w:val="single" w:sz="4" w:space="0" w:color="auto"/>
              <w:left w:val="single" w:sz="4" w:space="0" w:color="auto"/>
              <w:bottom w:val="single" w:sz="4" w:space="0" w:color="auto"/>
              <w:right w:val="single" w:sz="4" w:space="0" w:color="auto"/>
            </w:tcBorders>
            <w:vAlign w:val="center"/>
          </w:tcPr>
          <w:p w:rsidR="00E26B25" w:rsidRPr="004D310E" w:rsidRDefault="00E26B25" w:rsidP="00E26B25">
            <w:pPr>
              <w:pStyle w:val="naiskr"/>
              <w:spacing w:before="0" w:after="0"/>
              <w:ind w:right="-99"/>
              <w:jc w:val="center"/>
              <w:rPr>
                <w:sz w:val="26"/>
                <w:szCs w:val="26"/>
              </w:rPr>
            </w:pPr>
            <w:r w:rsidRPr="004D310E">
              <w:rPr>
                <w:sz w:val="26"/>
                <w:szCs w:val="26"/>
              </w:rPr>
              <w:t>C</w:t>
            </w:r>
          </w:p>
        </w:tc>
        <w:tc>
          <w:tcPr>
            <w:tcW w:w="1243" w:type="dxa"/>
            <w:tcBorders>
              <w:top w:val="single" w:sz="4" w:space="0" w:color="auto"/>
              <w:left w:val="single" w:sz="4" w:space="0" w:color="auto"/>
              <w:bottom w:val="single" w:sz="4" w:space="0" w:color="auto"/>
              <w:right w:val="single" w:sz="4" w:space="0" w:color="auto"/>
            </w:tcBorders>
            <w:vAlign w:val="center"/>
          </w:tcPr>
          <w:p w:rsidR="00E26B25" w:rsidRPr="004D310E" w:rsidRDefault="00E26B25" w:rsidP="00E26B25">
            <w:pPr>
              <w:pStyle w:val="naiskr"/>
              <w:spacing w:before="0" w:after="0"/>
              <w:ind w:right="-99"/>
              <w:jc w:val="center"/>
              <w:rPr>
                <w:sz w:val="26"/>
                <w:szCs w:val="26"/>
              </w:rPr>
            </w:pPr>
            <w:r w:rsidRPr="004D310E">
              <w:rPr>
                <w:sz w:val="26"/>
                <w:szCs w:val="26"/>
              </w:rPr>
              <w:t>D</w:t>
            </w:r>
          </w:p>
        </w:tc>
      </w:tr>
      <w:tr w:rsidR="00E26B25" w:rsidRPr="004D310E" w:rsidTr="007F53FB">
        <w:trPr>
          <w:trHeight w:val="165"/>
        </w:trPr>
        <w:tc>
          <w:tcPr>
            <w:tcW w:w="3397" w:type="dxa"/>
            <w:tcBorders>
              <w:top w:val="single" w:sz="4" w:space="0" w:color="auto"/>
              <w:left w:val="single" w:sz="4" w:space="0" w:color="auto"/>
              <w:bottom w:val="single" w:sz="4" w:space="0" w:color="auto"/>
              <w:right w:val="single" w:sz="4" w:space="0" w:color="auto"/>
            </w:tcBorders>
            <w:vAlign w:val="center"/>
          </w:tcPr>
          <w:p w:rsidR="00E26B25" w:rsidRPr="004D310E" w:rsidRDefault="00E26B25" w:rsidP="00E26B25">
            <w:pPr>
              <w:pStyle w:val="naiskr"/>
              <w:spacing w:before="0" w:after="0"/>
              <w:ind w:right="-99"/>
              <w:rPr>
                <w:sz w:val="26"/>
                <w:szCs w:val="26"/>
              </w:rPr>
            </w:pPr>
            <w:r>
              <w:rPr>
                <w:sz w:val="26"/>
                <w:szCs w:val="26"/>
              </w:rPr>
              <w:t>1.pants</w:t>
            </w:r>
          </w:p>
        </w:tc>
        <w:tc>
          <w:tcPr>
            <w:tcW w:w="1876" w:type="dxa"/>
            <w:tcBorders>
              <w:top w:val="single" w:sz="4" w:space="0" w:color="auto"/>
              <w:left w:val="single" w:sz="4" w:space="0" w:color="auto"/>
              <w:bottom w:val="single" w:sz="4" w:space="0" w:color="auto"/>
              <w:right w:val="single" w:sz="4" w:space="0" w:color="auto"/>
            </w:tcBorders>
            <w:vAlign w:val="center"/>
          </w:tcPr>
          <w:p w:rsidR="00E26B25" w:rsidRPr="004D310E" w:rsidRDefault="00A13A49" w:rsidP="00187C78">
            <w:pPr>
              <w:pStyle w:val="naiskr"/>
              <w:spacing w:before="0" w:after="0"/>
              <w:ind w:right="-99"/>
              <w:jc w:val="center"/>
              <w:rPr>
                <w:sz w:val="26"/>
                <w:szCs w:val="26"/>
              </w:rPr>
            </w:pPr>
            <w:r w:rsidRPr="00187C78">
              <w:rPr>
                <w:sz w:val="26"/>
                <w:szCs w:val="26"/>
              </w:rPr>
              <w:t xml:space="preserve">2.pielikuma III </w:t>
            </w:r>
            <w:r w:rsidR="00572D8D" w:rsidRPr="00187C78">
              <w:rPr>
                <w:sz w:val="26"/>
                <w:szCs w:val="26"/>
              </w:rPr>
              <w:t>no</w:t>
            </w:r>
            <w:r w:rsidRPr="00187C78">
              <w:rPr>
                <w:sz w:val="26"/>
                <w:szCs w:val="26"/>
              </w:rPr>
              <w:t>daļ</w:t>
            </w:r>
            <w:r w:rsidR="00BE5BBC" w:rsidRPr="00187C78">
              <w:rPr>
                <w:sz w:val="26"/>
                <w:szCs w:val="26"/>
              </w:rPr>
              <w:t xml:space="preserve">as </w:t>
            </w:r>
            <w:r w:rsidR="00187C78" w:rsidRPr="00187C78">
              <w:rPr>
                <w:sz w:val="26"/>
                <w:szCs w:val="26"/>
              </w:rPr>
              <w:t>7.2</w:t>
            </w:r>
            <w:r w:rsidRPr="00187C78">
              <w:rPr>
                <w:sz w:val="26"/>
                <w:szCs w:val="26"/>
              </w:rPr>
              <w:t>. apakšpunkts</w:t>
            </w:r>
          </w:p>
        </w:tc>
        <w:tc>
          <w:tcPr>
            <w:tcW w:w="1701" w:type="dxa"/>
            <w:tcBorders>
              <w:top w:val="single" w:sz="4" w:space="0" w:color="auto"/>
              <w:left w:val="single" w:sz="4" w:space="0" w:color="auto"/>
              <w:bottom w:val="single" w:sz="4" w:space="0" w:color="auto"/>
              <w:right w:val="single" w:sz="4" w:space="0" w:color="auto"/>
            </w:tcBorders>
            <w:vAlign w:val="center"/>
          </w:tcPr>
          <w:p w:rsidR="00E26B25" w:rsidRPr="004D310E" w:rsidRDefault="00E26B25" w:rsidP="00E26B25">
            <w:pPr>
              <w:jc w:val="center"/>
              <w:rPr>
                <w:sz w:val="26"/>
                <w:szCs w:val="26"/>
                <w:lang w:eastAsia="lv-LV"/>
              </w:rPr>
            </w:pPr>
            <w:r w:rsidRPr="004D310E">
              <w:rPr>
                <w:sz w:val="26"/>
                <w:szCs w:val="26"/>
                <w:lang w:eastAsia="lv-LV"/>
              </w:rPr>
              <w:t>Ieviests pilnībā</w:t>
            </w:r>
          </w:p>
        </w:tc>
        <w:tc>
          <w:tcPr>
            <w:tcW w:w="1243" w:type="dxa"/>
            <w:tcBorders>
              <w:top w:val="single" w:sz="4" w:space="0" w:color="auto"/>
              <w:left w:val="single" w:sz="4" w:space="0" w:color="auto"/>
              <w:bottom w:val="single" w:sz="4" w:space="0" w:color="auto"/>
              <w:right w:val="single" w:sz="4" w:space="0" w:color="auto"/>
            </w:tcBorders>
            <w:vAlign w:val="center"/>
          </w:tcPr>
          <w:p w:rsidR="00E26B25" w:rsidRPr="004D310E" w:rsidRDefault="00E26B25" w:rsidP="00E26B25">
            <w:pPr>
              <w:jc w:val="center"/>
              <w:rPr>
                <w:sz w:val="26"/>
                <w:szCs w:val="26"/>
                <w:lang w:eastAsia="lv-LV"/>
              </w:rPr>
            </w:pPr>
            <w:r w:rsidRPr="004D310E">
              <w:rPr>
                <w:sz w:val="26"/>
                <w:szCs w:val="26"/>
                <w:lang w:eastAsia="lv-LV"/>
              </w:rPr>
              <w:t xml:space="preserve">Stingrākas prasības nav paredzētas </w:t>
            </w:r>
          </w:p>
        </w:tc>
      </w:tr>
      <w:tr w:rsidR="00A13A49" w:rsidRPr="004D310E" w:rsidTr="00244141">
        <w:trPr>
          <w:trHeight w:val="165"/>
        </w:trPr>
        <w:tc>
          <w:tcPr>
            <w:tcW w:w="3397" w:type="dxa"/>
            <w:tcBorders>
              <w:top w:val="single" w:sz="4" w:space="0" w:color="auto"/>
              <w:left w:val="single" w:sz="4" w:space="0" w:color="auto"/>
              <w:bottom w:val="single" w:sz="4" w:space="0" w:color="auto"/>
              <w:right w:val="single" w:sz="4" w:space="0" w:color="auto"/>
            </w:tcBorders>
            <w:vAlign w:val="center"/>
          </w:tcPr>
          <w:p w:rsidR="00A13A49" w:rsidRPr="004D310E" w:rsidRDefault="00A13A49" w:rsidP="00E26B25">
            <w:pPr>
              <w:pStyle w:val="naiskr"/>
              <w:spacing w:before="0" w:after="0"/>
              <w:ind w:right="-99"/>
              <w:rPr>
                <w:sz w:val="26"/>
                <w:szCs w:val="26"/>
              </w:rPr>
            </w:pPr>
            <w:r w:rsidRPr="004D310E">
              <w:rPr>
                <w:sz w:val="26"/>
                <w:szCs w:val="26"/>
              </w:rPr>
              <w:t>Kā ir izmantota ES tiesību aktā paredzētā rīcības brīvība dalībvalstij pārņemt vai ieviest noteiktas ES tiesību akta normas</w:t>
            </w:r>
          </w:p>
        </w:tc>
        <w:tc>
          <w:tcPr>
            <w:tcW w:w="4820" w:type="dxa"/>
            <w:gridSpan w:val="3"/>
            <w:tcBorders>
              <w:top w:val="single" w:sz="4" w:space="0" w:color="auto"/>
              <w:left w:val="single" w:sz="4" w:space="0" w:color="auto"/>
              <w:bottom w:val="single" w:sz="4" w:space="0" w:color="auto"/>
              <w:right w:val="single" w:sz="4" w:space="0" w:color="auto"/>
            </w:tcBorders>
            <w:vAlign w:val="center"/>
          </w:tcPr>
          <w:p w:rsidR="00A13A49" w:rsidRPr="004D310E" w:rsidRDefault="00A13A49" w:rsidP="00A13A49">
            <w:pPr>
              <w:pStyle w:val="naiskr"/>
              <w:spacing w:before="0" w:after="0"/>
              <w:ind w:right="-99"/>
              <w:rPr>
                <w:sz w:val="26"/>
                <w:szCs w:val="26"/>
              </w:rPr>
            </w:pPr>
            <w:r w:rsidRPr="004D310E">
              <w:rPr>
                <w:iCs/>
                <w:sz w:val="26"/>
                <w:szCs w:val="26"/>
              </w:rPr>
              <w:t>Noteikumu projektā iekļautās ES tiesību akta normas neparedz rīcības brīvību dalībvalstīm.</w:t>
            </w:r>
          </w:p>
        </w:tc>
      </w:tr>
      <w:tr w:rsidR="00A13A49" w:rsidRPr="004D310E" w:rsidTr="00244141">
        <w:trPr>
          <w:trHeight w:val="165"/>
        </w:trPr>
        <w:tc>
          <w:tcPr>
            <w:tcW w:w="3397" w:type="dxa"/>
            <w:tcBorders>
              <w:top w:val="single" w:sz="4" w:space="0" w:color="auto"/>
              <w:left w:val="single" w:sz="4" w:space="0" w:color="auto"/>
              <w:bottom w:val="single" w:sz="4" w:space="0" w:color="auto"/>
              <w:right w:val="single" w:sz="4" w:space="0" w:color="auto"/>
            </w:tcBorders>
            <w:vAlign w:val="center"/>
          </w:tcPr>
          <w:p w:rsidR="00A13A49" w:rsidRPr="004D310E" w:rsidRDefault="00A13A49" w:rsidP="00E26B25">
            <w:pPr>
              <w:pStyle w:val="naiskr"/>
              <w:spacing w:before="0" w:after="0"/>
              <w:ind w:right="-99"/>
              <w:rPr>
                <w:sz w:val="26"/>
                <w:szCs w:val="26"/>
              </w:rPr>
            </w:pPr>
            <w:r w:rsidRPr="00E26B25">
              <w:rPr>
                <w:sz w:val="26"/>
                <w:szCs w:val="26"/>
              </w:rPr>
              <w:t xml:space="preserve">Saistības sniegt paziņojumu ES institūcijām un ES dalībvalstīm atbilstoši normatīvajiem aktiem, kas regulē informācijas sniegšanu par tehnisko noteikumu, valsts atbalsta </w:t>
            </w:r>
            <w:r w:rsidRPr="00E26B25">
              <w:rPr>
                <w:sz w:val="26"/>
                <w:szCs w:val="26"/>
              </w:rPr>
              <w:lastRenderedPageBreak/>
              <w:t>piešķiršanas un finanšu noteikumu (attiecībā uz monetāro politiku) projektiem</w:t>
            </w:r>
          </w:p>
        </w:tc>
        <w:tc>
          <w:tcPr>
            <w:tcW w:w="4820" w:type="dxa"/>
            <w:gridSpan w:val="3"/>
            <w:tcBorders>
              <w:top w:val="single" w:sz="4" w:space="0" w:color="auto"/>
              <w:left w:val="single" w:sz="4" w:space="0" w:color="auto"/>
              <w:bottom w:val="single" w:sz="4" w:space="0" w:color="auto"/>
              <w:right w:val="single" w:sz="4" w:space="0" w:color="auto"/>
            </w:tcBorders>
            <w:vAlign w:val="center"/>
          </w:tcPr>
          <w:p w:rsidR="00A13A49" w:rsidRPr="004D310E" w:rsidRDefault="00A13A49" w:rsidP="00A13A49">
            <w:pPr>
              <w:pStyle w:val="naiskr"/>
              <w:spacing w:before="0" w:after="0"/>
              <w:ind w:right="-99"/>
              <w:rPr>
                <w:sz w:val="26"/>
                <w:szCs w:val="26"/>
              </w:rPr>
            </w:pPr>
            <w:r w:rsidRPr="004D310E">
              <w:rPr>
                <w:sz w:val="26"/>
                <w:szCs w:val="26"/>
              </w:rPr>
              <w:lastRenderedPageBreak/>
              <w:t>Projekts šo jomu neskar.</w:t>
            </w:r>
          </w:p>
        </w:tc>
      </w:tr>
      <w:tr w:rsidR="00A13A49" w:rsidRPr="004D310E" w:rsidTr="00244141">
        <w:trPr>
          <w:trHeight w:val="165"/>
        </w:trPr>
        <w:tc>
          <w:tcPr>
            <w:tcW w:w="3397" w:type="dxa"/>
            <w:tcBorders>
              <w:top w:val="single" w:sz="4" w:space="0" w:color="auto"/>
              <w:left w:val="single" w:sz="4" w:space="0" w:color="auto"/>
              <w:bottom w:val="single" w:sz="4" w:space="0" w:color="auto"/>
              <w:right w:val="single" w:sz="4" w:space="0" w:color="auto"/>
            </w:tcBorders>
            <w:vAlign w:val="center"/>
          </w:tcPr>
          <w:p w:rsidR="00A13A49" w:rsidRPr="004D310E" w:rsidRDefault="00A13A49" w:rsidP="00E26B25">
            <w:pPr>
              <w:pStyle w:val="naiskr"/>
              <w:spacing w:before="0" w:after="0"/>
              <w:ind w:right="-99"/>
              <w:rPr>
                <w:sz w:val="26"/>
                <w:szCs w:val="26"/>
              </w:rPr>
            </w:pPr>
            <w:r w:rsidRPr="004D310E">
              <w:rPr>
                <w:sz w:val="26"/>
                <w:szCs w:val="26"/>
              </w:rPr>
              <w:lastRenderedPageBreak/>
              <w:t>Cita informācija</w:t>
            </w:r>
          </w:p>
        </w:tc>
        <w:tc>
          <w:tcPr>
            <w:tcW w:w="4820" w:type="dxa"/>
            <w:gridSpan w:val="3"/>
            <w:tcBorders>
              <w:top w:val="single" w:sz="4" w:space="0" w:color="auto"/>
              <w:left w:val="single" w:sz="4" w:space="0" w:color="auto"/>
              <w:bottom w:val="single" w:sz="4" w:space="0" w:color="auto"/>
              <w:right w:val="single" w:sz="4" w:space="0" w:color="auto"/>
            </w:tcBorders>
            <w:vAlign w:val="center"/>
          </w:tcPr>
          <w:p w:rsidR="00A13A49" w:rsidRPr="004D310E" w:rsidRDefault="00A13A49" w:rsidP="00A13A49">
            <w:pPr>
              <w:pStyle w:val="naiskr"/>
              <w:spacing w:before="0" w:after="0"/>
              <w:ind w:right="-99"/>
              <w:rPr>
                <w:sz w:val="26"/>
                <w:szCs w:val="26"/>
              </w:rPr>
            </w:pPr>
            <w:r>
              <w:rPr>
                <w:sz w:val="26"/>
                <w:szCs w:val="26"/>
              </w:rPr>
              <w:t>Nav.</w:t>
            </w:r>
          </w:p>
        </w:tc>
      </w:tr>
      <w:tr w:rsidR="00E26B25" w:rsidRPr="004D310E" w:rsidTr="00244141">
        <w:trPr>
          <w:trHeight w:val="165"/>
        </w:trPr>
        <w:tc>
          <w:tcPr>
            <w:tcW w:w="8217" w:type="dxa"/>
            <w:gridSpan w:val="4"/>
            <w:tcBorders>
              <w:top w:val="single" w:sz="4" w:space="0" w:color="auto"/>
              <w:left w:val="single" w:sz="4" w:space="0" w:color="auto"/>
              <w:bottom w:val="single" w:sz="4" w:space="0" w:color="auto"/>
              <w:right w:val="single" w:sz="4" w:space="0" w:color="auto"/>
            </w:tcBorders>
            <w:vAlign w:val="center"/>
          </w:tcPr>
          <w:p w:rsidR="00E26B25" w:rsidRPr="004D310E" w:rsidRDefault="00A13A49" w:rsidP="007F53FB">
            <w:pPr>
              <w:pStyle w:val="naiskr"/>
              <w:spacing w:before="0" w:after="0"/>
              <w:ind w:right="-99"/>
              <w:jc w:val="center"/>
              <w:rPr>
                <w:sz w:val="26"/>
                <w:szCs w:val="26"/>
              </w:rPr>
            </w:pPr>
            <w:r w:rsidRPr="004D310E">
              <w:rPr>
                <w:bCs/>
                <w:sz w:val="26"/>
                <w:szCs w:val="26"/>
              </w:rPr>
              <w:t xml:space="preserve">Komisijas 2014.gada 30.jūnija Direktīva 2014/84/ES, </w:t>
            </w:r>
            <w:r w:rsidRPr="004B15DF">
              <w:rPr>
                <w:bCs/>
                <w:i/>
                <w:sz w:val="26"/>
                <w:szCs w:val="26"/>
              </w:rPr>
              <w:t>ar ko groza Eiropas Parlamenta un Padomes Direktīvas 2009/48/EK par rotaļlietu drošumu II pielikuma A papildinājumu attiecībā uz niķeli</w:t>
            </w:r>
          </w:p>
        </w:tc>
      </w:tr>
      <w:tr w:rsidR="00A13A49" w:rsidRPr="004D310E" w:rsidTr="007F53FB">
        <w:trPr>
          <w:trHeight w:val="165"/>
        </w:trPr>
        <w:tc>
          <w:tcPr>
            <w:tcW w:w="3397" w:type="dxa"/>
            <w:tcBorders>
              <w:top w:val="single" w:sz="4" w:space="0" w:color="auto"/>
              <w:left w:val="single" w:sz="4" w:space="0" w:color="auto"/>
              <w:bottom w:val="single" w:sz="4" w:space="0" w:color="auto"/>
              <w:right w:val="single" w:sz="4" w:space="0" w:color="auto"/>
            </w:tcBorders>
            <w:vAlign w:val="center"/>
          </w:tcPr>
          <w:p w:rsidR="00A13A49" w:rsidRPr="004D310E" w:rsidRDefault="00A13A49" w:rsidP="00A13A49">
            <w:pPr>
              <w:pStyle w:val="naiskr"/>
              <w:spacing w:before="0" w:after="0"/>
              <w:ind w:right="-99"/>
              <w:jc w:val="center"/>
              <w:rPr>
                <w:sz w:val="26"/>
                <w:szCs w:val="26"/>
              </w:rPr>
            </w:pPr>
            <w:r w:rsidRPr="004D310E">
              <w:rPr>
                <w:sz w:val="26"/>
                <w:szCs w:val="26"/>
              </w:rPr>
              <w:t>A</w:t>
            </w:r>
          </w:p>
        </w:tc>
        <w:tc>
          <w:tcPr>
            <w:tcW w:w="1876" w:type="dxa"/>
            <w:tcBorders>
              <w:top w:val="single" w:sz="4" w:space="0" w:color="auto"/>
              <w:left w:val="single" w:sz="4" w:space="0" w:color="auto"/>
              <w:bottom w:val="single" w:sz="4" w:space="0" w:color="auto"/>
              <w:right w:val="single" w:sz="4" w:space="0" w:color="auto"/>
            </w:tcBorders>
            <w:vAlign w:val="center"/>
          </w:tcPr>
          <w:p w:rsidR="00A13A49" w:rsidRPr="004D310E" w:rsidRDefault="00A13A49" w:rsidP="00A13A49">
            <w:pPr>
              <w:pStyle w:val="naiskr"/>
              <w:spacing w:before="0" w:after="0"/>
              <w:ind w:right="-99"/>
              <w:jc w:val="center"/>
              <w:rPr>
                <w:sz w:val="26"/>
                <w:szCs w:val="26"/>
              </w:rPr>
            </w:pPr>
            <w:r w:rsidRPr="004D310E">
              <w:rPr>
                <w:sz w:val="26"/>
                <w:szCs w:val="26"/>
              </w:rPr>
              <w:t>B</w:t>
            </w:r>
          </w:p>
        </w:tc>
        <w:tc>
          <w:tcPr>
            <w:tcW w:w="1701" w:type="dxa"/>
            <w:tcBorders>
              <w:top w:val="single" w:sz="4" w:space="0" w:color="auto"/>
              <w:left w:val="single" w:sz="4" w:space="0" w:color="auto"/>
              <w:bottom w:val="single" w:sz="4" w:space="0" w:color="auto"/>
              <w:right w:val="single" w:sz="4" w:space="0" w:color="auto"/>
            </w:tcBorders>
            <w:vAlign w:val="center"/>
          </w:tcPr>
          <w:p w:rsidR="00A13A49" w:rsidRPr="004D310E" w:rsidRDefault="00A13A49" w:rsidP="00A13A49">
            <w:pPr>
              <w:pStyle w:val="naiskr"/>
              <w:spacing w:before="0" w:after="0"/>
              <w:ind w:right="-99"/>
              <w:jc w:val="center"/>
              <w:rPr>
                <w:sz w:val="26"/>
                <w:szCs w:val="26"/>
              </w:rPr>
            </w:pPr>
            <w:r w:rsidRPr="004D310E">
              <w:rPr>
                <w:sz w:val="26"/>
                <w:szCs w:val="26"/>
              </w:rPr>
              <w:t>C</w:t>
            </w:r>
          </w:p>
        </w:tc>
        <w:tc>
          <w:tcPr>
            <w:tcW w:w="1243" w:type="dxa"/>
            <w:tcBorders>
              <w:top w:val="single" w:sz="4" w:space="0" w:color="auto"/>
              <w:left w:val="single" w:sz="4" w:space="0" w:color="auto"/>
              <w:bottom w:val="single" w:sz="4" w:space="0" w:color="auto"/>
              <w:right w:val="single" w:sz="4" w:space="0" w:color="auto"/>
            </w:tcBorders>
            <w:vAlign w:val="center"/>
          </w:tcPr>
          <w:p w:rsidR="00A13A49" w:rsidRPr="004D310E" w:rsidRDefault="00A13A49" w:rsidP="00A13A49">
            <w:pPr>
              <w:pStyle w:val="naiskr"/>
              <w:spacing w:before="0" w:after="0"/>
              <w:ind w:right="-99"/>
              <w:jc w:val="center"/>
              <w:rPr>
                <w:sz w:val="26"/>
                <w:szCs w:val="26"/>
              </w:rPr>
            </w:pPr>
            <w:r w:rsidRPr="004D310E">
              <w:rPr>
                <w:sz w:val="26"/>
                <w:szCs w:val="26"/>
              </w:rPr>
              <w:t>D</w:t>
            </w:r>
          </w:p>
        </w:tc>
      </w:tr>
      <w:tr w:rsidR="00CA3EB1" w:rsidRPr="004D310E" w:rsidTr="007F53FB">
        <w:trPr>
          <w:trHeight w:val="165"/>
        </w:trPr>
        <w:tc>
          <w:tcPr>
            <w:tcW w:w="3397" w:type="dxa"/>
            <w:tcBorders>
              <w:top w:val="single" w:sz="4" w:space="0" w:color="auto"/>
              <w:left w:val="single" w:sz="4" w:space="0" w:color="auto"/>
              <w:bottom w:val="single" w:sz="4" w:space="0" w:color="auto"/>
              <w:right w:val="single" w:sz="4" w:space="0" w:color="auto"/>
            </w:tcBorders>
            <w:vAlign w:val="center"/>
          </w:tcPr>
          <w:p w:rsidR="00CA3EB1" w:rsidRPr="004D310E" w:rsidRDefault="00CA3EB1" w:rsidP="007F53FB">
            <w:pPr>
              <w:rPr>
                <w:sz w:val="26"/>
                <w:szCs w:val="26"/>
                <w:lang w:eastAsia="lv-LV"/>
              </w:rPr>
            </w:pPr>
            <w:r w:rsidRPr="004D310E">
              <w:rPr>
                <w:sz w:val="26"/>
                <w:szCs w:val="26"/>
                <w:lang w:eastAsia="lv-LV"/>
              </w:rPr>
              <w:t>1.pants</w:t>
            </w:r>
          </w:p>
        </w:tc>
        <w:tc>
          <w:tcPr>
            <w:tcW w:w="1876" w:type="dxa"/>
            <w:tcBorders>
              <w:top w:val="single" w:sz="4" w:space="0" w:color="auto"/>
              <w:left w:val="single" w:sz="4" w:space="0" w:color="auto"/>
              <w:bottom w:val="single" w:sz="4" w:space="0" w:color="auto"/>
              <w:right w:val="single" w:sz="4" w:space="0" w:color="auto"/>
            </w:tcBorders>
            <w:vAlign w:val="center"/>
          </w:tcPr>
          <w:p w:rsidR="00CA3EB1" w:rsidRPr="004D310E" w:rsidRDefault="00CA3EB1" w:rsidP="00BE5BBC">
            <w:pPr>
              <w:jc w:val="center"/>
              <w:rPr>
                <w:sz w:val="26"/>
                <w:szCs w:val="26"/>
                <w:lang w:eastAsia="lv-LV"/>
              </w:rPr>
            </w:pPr>
            <w:r w:rsidRPr="004D310E">
              <w:rPr>
                <w:sz w:val="26"/>
                <w:szCs w:val="26"/>
                <w:lang w:eastAsia="lv-LV"/>
              </w:rPr>
              <w:t>2.pielikuma III nodaļas 7.</w:t>
            </w:r>
            <w:r w:rsidR="00A374CB">
              <w:rPr>
                <w:sz w:val="26"/>
                <w:szCs w:val="26"/>
                <w:lang w:eastAsia="lv-LV"/>
              </w:rPr>
              <w:t>1.</w:t>
            </w:r>
            <w:r w:rsidR="00187C78">
              <w:rPr>
                <w:sz w:val="26"/>
                <w:szCs w:val="26"/>
                <w:lang w:eastAsia="lv-LV"/>
              </w:rPr>
              <w:t>apakš</w:t>
            </w:r>
            <w:r w:rsidRPr="004D310E">
              <w:rPr>
                <w:sz w:val="26"/>
                <w:szCs w:val="26"/>
                <w:lang w:eastAsia="lv-LV"/>
              </w:rPr>
              <w:t>punkts</w:t>
            </w:r>
          </w:p>
        </w:tc>
        <w:tc>
          <w:tcPr>
            <w:tcW w:w="1701" w:type="dxa"/>
            <w:tcBorders>
              <w:top w:val="single" w:sz="4" w:space="0" w:color="auto"/>
              <w:left w:val="single" w:sz="4" w:space="0" w:color="auto"/>
              <w:bottom w:val="single" w:sz="4" w:space="0" w:color="auto"/>
              <w:right w:val="single" w:sz="4" w:space="0" w:color="auto"/>
            </w:tcBorders>
            <w:vAlign w:val="center"/>
          </w:tcPr>
          <w:p w:rsidR="00CA3EB1" w:rsidRPr="004D310E" w:rsidRDefault="00CA3EB1" w:rsidP="007F53FB">
            <w:pPr>
              <w:jc w:val="center"/>
              <w:rPr>
                <w:sz w:val="26"/>
                <w:szCs w:val="26"/>
                <w:lang w:eastAsia="lv-LV"/>
              </w:rPr>
            </w:pPr>
            <w:r w:rsidRPr="004D310E">
              <w:rPr>
                <w:sz w:val="26"/>
                <w:szCs w:val="26"/>
                <w:lang w:eastAsia="lv-LV"/>
              </w:rPr>
              <w:t>Ieviests pilnībā</w:t>
            </w:r>
          </w:p>
        </w:tc>
        <w:tc>
          <w:tcPr>
            <w:tcW w:w="1243" w:type="dxa"/>
            <w:tcBorders>
              <w:top w:val="single" w:sz="4" w:space="0" w:color="auto"/>
              <w:left w:val="single" w:sz="4" w:space="0" w:color="auto"/>
              <w:bottom w:val="single" w:sz="4" w:space="0" w:color="auto"/>
              <w:right w:val="single" w:sz="4" w:space="0" w:color="auto"/>
            </w:tcBorders>
            <w:vAlign w:val="center"/>
          </w:tcPr>
          <w:p w:rsidR="00CA3EB1" w:rsidRPr="004D310E" w:rsidRDefault="00CA3EB1" w:rsidP="007F53FB">
            <w:pPr>
              <w:jc w:val="center"/>
              <w:rPr>
                <w:sz w:val="26"/>
                <w:szCs w:val="26"/>
                <w:lang w:eastAsia="lv-LV"/>
              </w:rPr>
            </w:pPr>
            <w:r w:rsidRPr="004D310E">
              <w:rPr>
                <w:sz w:val="26"/>
                <w:szCs w:val="26"/>
                <w:lang w:eastAsia="lv-LV"/>
              </w:rPr>
              <w:t xml:space="preserve">Stingrākas prasības nav paredzētas </w:t>
            </w:r>
          </w:p>
        </w:tc>
      </w:tr>
      <w:tr w:rsidR="00CA3EB1" w:rsidRPr="004D310E" w:rsidTr="007F53FB">
        <w:trPr>
          <w:trHeight w:val="281"/>
        </w:trPr>
        <w:tc>
          <w:tcPr>
            <w:tcW w:w="3397" w:type="dxa"/>
            <w:tcBorders>
              <w:top w:val="single" w:sz="4" w:space="0" w:color="auto"/>
              <w:left w:val="single" w:sz="4" w:space="0" w:color="auto"/>
              <w:bottom w:val="single" w:sz="4" w:space="0" w:color="auto"/>
              <w:right w:val="single" w:sz="4" w:space="0" w:color="auto"/>
            </w:tcBorders>
            <w:vAlign w:val="center"/>
          </w:tcPr>
          <w:p w:rsidR="00CA3EB1" w:rsidRPr="004D310E" w:rsidRDefault="00CA3EB1" w:rsidP="007F53FB">
            <w:pPr>
              <w:pStyle w:val="naiskr"/>
              <w:spacing w:before="0" w:after="0"/>
              <w:ind w:right="-99"/>
              <w:rPr>
                <w:sz w:val="26"/>
                <w:szCs w:val="26"/>
              </w:rPr>
            </w:pPr>
            <w:r w:rsidRPr="004D310E">
              <w:rPr>
                <w:sz w:val="26"/>
                <w:szCs w:val="26"/>
              </w:rPr>
              <w:t>Kā ir izmantota ES tiesību aktā paredzētā rīcības brīvība dalībvalstij pārņemt vai ieviest noteiktas ES tiesību akta normas</w:t>
            </w:r>
          </w:p>
        </w:tc>
        <w:tc>
          <w:tcPr>
            <w:tcW w:w="4820" w:type="dxa"/>
            <w:gridSpan w:val="3"/>
            <w:tcBorders>
              <w:top w:val="single" w:sz="4" w:space="0" w:color="auto"/>
              <w:left w:val="single" w:sz="4" w:space="0" w:color="auto"/>
              <w:bottom w:val="single" w:sz="4" w:space="0" w:color="auto"/>
              <w:right w:val="single" w:sz="4" w:space="0" w:color="auto"/>
            </w:tcBorders>
          </w:tcPr>
          <w:p w:rsidR="00CA3EB1" w:rsidRPr="004D310E" w:rsidRDefault="00CA3EB1" w:rsidP="007F53FB">
            <w:pPr>
              <w:pStyle w:val="naiskr"/>
              <w:spacing w:before="0" w:after="0"/>
              <w:ind w:right="-99"/>
              <w:rPr>
                <w:sz w:val="26"/>
                <w:szCs w:val="26"/>
              </w:rPr>
            </w:pPr>
            <w:r w:rsidRPr="004D310E">
              <w:rPr>
                <w:iCs/>
                <w:sz w:val="26"/>
                <w:szCs w:val="26"/>
              </w:rPr>
              <w:t>Noteikumu projektā iekļautās ES tiesību akta normas neparedz rīcības brīvību dalībvalstīm.</w:t>
            </w:r>
          </w:p>
        </w:tc>
      </w:tr>
      <w:tr w:rsidR="00CA3EB1" w:rsidRPr="004D310E" w:rsidTr="007F53FB">
        <w:trPr>
          <w:trHeight w:val="913"/>
        </w:trPr>
        <w:tc>
          <w:tcPr>
            <w:tcW w:w="3397" w:type="dxa"/>
            <w:tcBorders>
              <w:top w:val="single" w:sz="4" w:space="0" w:color="auto"/>
              <w:left w:val="single" w:sz="4" w:space="0" w:color="auto"/>
              <w:bottom w:val="single" w:sz="4" w:space="0" w:color="auto"/>
              <w:right w:val="single" w:sz="4" w:space="0" w:color="auto"/>
            </w:tcBorders>
            <w:vAlign w:val="center"/>
          </w:tcPr>
          <w:p w:rsidR="00CA3EB1" w:rsidRPr="004D310E" w:rsidRDefault="00CA3EB1" w:rsidP="007F53FB">
            <w:pPr>
              <w:pStyle w:val="naiskr"/>
              <w:spacing w:before="0" w:after="0"/>
              <w:ind w:right="32"/>
              <w:rPr>
                <w:i/>
                <w:sz w:val="26"/>
                <w:szCs w:val="26"/>
              </w:rPr>
            </w:pPr>
            <w:r w:rsidRPr="004D310E">
              <w:rPr>
                <w:sz w:val="26"/>
                <w:szCs w:val="26"/>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820" w:type="dxa"/>
            <w:gridSpan w:val="3"/>
            <w:tcBorders>
              <w:top w:val="single" w:sz="4" w:space="0" w:color="auto"/>
              <w:left w:val="single" w:sz="4" w:space="0" w:color="auto"/>
              <w:bottom w:val="single" w:sz="4" w:space="0" w:color="auto"/>
              <w:right w:val="single" w:sz="4" w:space="0" w:color="auto"/>
            </w:tcBorders>
          </w:tcPr>
          <w:p w:rsidR="00E26B25" w:rsidRDefault="00E26B25" w:rsidP="007F53FB">
            <w:pPr>
              <w:pStyle w:val="naiskr"/>
              <w:spacing w:before="0" w:after="0"/>
              <w:ind w:right="-99"/>
              <w:rPr>
                <w:sz w:val="26"/>
                <w:szCs w:val="26"/>
              </w:rPr>
            </w:pPr>
          </w:p>
          <w:p w:rsidR="00E26B25" w:rsidRDefault="00E26B25" w:rsidP="007F53FB">
            <w:pPr>
              <w:pStyle w:val="naiskr"/>
              <w:spacing w:before="0" w:after="0"/>
              <w:ind w:right="-99"/>
              <w:rPr>
                <w:sz w:val="26"/>
                <w:szCs w:val="26"/>
              </w:rPr>
            </w:pPr>
          </w:p>
          <w:p w:rsidR="00E26B25" w:rsidRDefault="00E26B25" w:rsidP="007F53FB">
            <w:pPr>
              <w:pStyle w:val="naiskr"/>
              <w:spacing w:before="0" w:after="0"/>
              <w:ind w:right="-99"/>
              <w:rPr>
                <w:sz w:val="26"/>
                <w:szCs w:val="26"/>
              </w:rPr>
            </w:pPr>
          </w:p>
          <w:p w:rsidR="00E26B25" w:rsidRDefault="00E26B25" w:rsidP="007F53FB">
            <w:pPr>
              <w:pStyle w:val="naiskr"/>
              <w:spacing w:before="0" w:after="0"/>
              <w:ind w:right="-99"/>
              <w:rPr>
                <w:sz w:val="26"/>
                <w:szCs w:val="26"/>
              </w:rPr>
            </w:pPr>
          </w:p>
          <w:p w:rsidR="00CA3EB1" w:rsidRPr="004D310E" w:rsidRDefault="00CA3EB1" w:rsidP="007F53FB">
            <w:pPr>
              <w:pStyle w:val="naiskr"/>
              <w:spacing w:before="0" w:after="0"/>
              <w:ind w:right="-99"/>
              <w:rPr>
                <w:sz w:val="26"/>
                <w:szCs w:val="26"/>
              </w:rPr>
            </w:pPr>
            <w:r w:rsidRPr="004D310E">
              <w:rPr>
                <w:sz w:val="26"/>
                <w:szCs w:val="26"/>
              </w:rPr>
              <w:t>Projekts šo jomu neskar.</w:t>
            </w:r>
          </w:p>
        </w:tc>
      </w:tr>
      <w:tr w:rsidR="00CA3EB1" w:rsidRPr="004D310E" w:rsidTr="007F53FB">
        <w:trPr>
          <w:trHeight w:val="382"/>
        </w:trPr>
        <w:tc>
          <w:tcPr>
            <w:tcW w:w="3397" w:type="dxa"/>
            <w:tcBorders>
              <w:top w:val="single" w:sz="4" w:space="0" w:color="auto"/>
              <w:left w:val="single" w:sz="4" w:space="0" w:color="auto"/>
              <w:bottom w:val="single" w:sz="4" w:space="0" w:color="auto"/>
              <w:right w:val="single" w:sz="4" w:space="0" w:color="auto"/>
            </w:tcBorders>
          </w:tcPr>
          <w:p w:rsidR="00CA3EB1" w:rsidRPr="004D310E" w:rsidRDefault="00CA3EB1" w:rsidP="007F53FB">
            <w:pPr>
              <w:pStyle w:val="naiskr"/>
              <w:spacing w:before="0" w:after="0"/>
              <w:ind w:right="-99"/>
              <w:rPr>
                <w:sz w:val="26"/>
                <w:szCs w:val="26"/>
              </w:rPr>
            </w:pPr>
            <w:r w:rsidRPr="004D310E">
              <w:rPr>
                <w:sz w:val="26"/>
                <w:szCs w:val="26"/>
              </w:rPr>
              <w:t>Cita informācija</w:t>
            </w:r>
          </w:p>
        </w:tc>
        <w:tc>
          <w:tcPr>
            <w:tcW w:w="4820" w:type="dxa"/>
            <w:gridSpan w:val="3"/>
            <w:tcBorders>
              <w:top w:val="single" w:sz="4" w:space="0" w:color="auto"/>
              <w:left w:val="single" w:sz="4" w:space="0" w:color="auto"/>
              <w:bottom w:val="single" w:sz="4" w:space="0" w:color="auto"/>
              <w:right w:val="single" w:sz="4" w:space="0" w:color="auto"/>
            </w:tcBorders>
          </w:tcPr>
          <w:p w:rsidR="00CA3EB1" w:rsidRPr="004D310E" w:rsidRDefault="00CA3EB1" w:rsidP="007F53FB">
            <w:pPr>
              <w:pStyle w:val="naiskr"/>
              <w:spacing w:before="0" w:after="0"/>
              <w:ind w:right="-99"/>
              <w:jc w:val="both"/>
              <w:rPr>
                <w:i/>
                <w:sz w:val="26"/>
                <w:szCs w:val="26"/>
              </w:rPr>
            </w:pPr>
            <w:r w:rsidRPr="004D310E">
              <w:rPr>
                <w:sz w:val="26"/>
                <w:szCs w:val="26"/>
              </w:rPr>
              <w:t>Nav.</w:t>
            </w:r>
          </w:p>
        </w:tc>
      </w:tr>
    </w:tbl>
    <w:p w:rsidR="00CA3EB1" w:rsidRDefault="00CA3EB1" w:rsidP="00CA3EB1">
      <w:pPr>
        <w:pStyle w:val="naisf"/>
        <w:spacing w:before="0" w:after="0"/>
        <w:ind w:right="-99" w:firstLine="0"/>
        <w:rPr>
          <w:sz w:val="26"/>
          <w:szCs w:val="26"/>
        </w:rPr>
      </w:pPr>
    </w:p>
    <w:p w:rsidR="00CA3EB1" w:rsidRPr="004D310E" w:rsidRDefault="00CA3EB1" w:rsidP="00CA3EB1">
      <w:pPr>
        <w:pStyle w:val="naisf"/>
        <w:spacing w:before="0" w:after="0"/>
        <w:ind w:right="-99" w:firstLine="0"/>
        <w:rPr>
          <w:sz w:val="26"/>
          <w:szCs w:val="26"/>
        </w:rPr>
      </w:pPr>
    </w:p>
    <w:tbl>
      <w:tblPr>
        <w:tblW w:w="4895"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7"/>
        <w:gridCol w:w="2842"/>
        <w:gridCol w:w="4955"/>
      </w:tblGrid>
      <w:tr w:rsidR="00CA3EB1" w:rsidRPr="004D310E" w:rsidTr="007F53FB">
        <w:trPr>
          <w:tblCellSpacing w:w="0" w:type="dxa"/>
        </w:trPr>
        <w:tc>
          <w:tcPr>
            <w:tcW w:w="254" w:type="pct"/>
            <w:tcBorders>
              <w:top w:val="outset" w:sz="6" w:space="0" w:color="auto"/>
              <w:left w:val="outset" w:sz="6" w:space="0" w:color="auto"/>
              <w:bottom w:val="outset" w:sz="6" w:space="0" w:color="auto"/>
              <w:right w:val="outset" w:sz="6" w:space="0" w:color="auto"/>
            </w:tcBorders>
          </w:tcPr>
          <w:p w:rsidR="00CA3EB1" w:rsidRPr="004D310E" w:rsidRDefault="00CA3EB1" w:rsidP="007F53FB">
            <w:pPr>
              <w:spacing w:before="63" w:after="63"/>
              <w:jc w:val="center"/>
              <w:rPr>
                <w:b/>
                <w:bCs/>
                <w:sz w:val="26"/>
                <w:szCs w:val="26"/>
                <w:lang w:eastAsia="lv-LV"/>
              </w:rPr>
            </w:pPr>
          </w:p>
        </w:tc>
        <w:tc>
          <w:tcPr>
            <w:tcW w:w="4746" w:type="pct"/>
            <w:gridSpan w:val="2"/>
            <w:tcBorders>
              <w:top w:val="outset" w:sz="6" w:space="0" w:color="auto"/>
              <w:left w:val="outset" w:sz="6" w:space="0" w:color="auto"/>
              <w:bottom w:val="outset" w:sz="6" w:space="0" w:color="auto"/>
              <w:right w:val="outset" w:sz="6" w:space="0" w:color="auto"/>
            </w:tcBorders>
            <w:hideMark/>
          </w:tcPr>
          <w:p w:rsidR="00CA3EB1" w:rsidRPr="004D310E" w:rsidRDefault="00CA3EB1" w:rsidP="007F53FB">
            <w:pPr>
              <w:spacing w:before="63" w:after="63"/>
              <w:jc w:val="center"/>
              <w:rPr>
                <w:sz w:val="26"/>
                <w:szCs w:val="26"/>
                <w:lang w:eastAsia="lv-LV"/>
              </w:rPr>
            </w:pPr>
            <w:r w:rsidRPr="004D310E">
              <w:rPr>
                <w:b/>
                <w:bCs/>
                <w:sz w:val="26"/>
                <w:szCs w:val="26"/>
                <w:lang w:eastAsia="lv-LV"/>
              </w:rPr>
              <w:t> VI. Sabiedrības līdzdalība un komunikācijas aktivitātes</w:t>
            </w:r>
          </w:p>
        </w:tc>
      </w:tr>
      <w:tr w:rsidR="00CA3EB1" w:rsidRPr="004D310E" w:rsidTr="007F53FB">
        <w:trPr>
          <w:trHeight w:val="553"/>
          <w:tblCellSpacing w:w="0" w:type="dxa"/>
        </w:trPr>
        <w:tc>
          <w:tcPr>
            <w:tcW w:w="254" w:type="pct"/>
            <w:tcBorders>
              <w:top w:val="outset" w:sz="6" w:space="0" w:color="auto"/>
              <w:left w:val="outset" w:sz="6" w:space="0" w:color="auto"/>
              <w:bottom w:val="outset" w:sz="6" w:space="0" w:color="auto"/>
              <w:right w:val="outset" w:sz="6" w:space="0" w:color="auto"/>
            </w:tcBorders>
          </w:tcPr>
          <w:p w:rsidR="00CA3EB1" w:rsidRPr="004D310E" w:rsidRDefault="00CA3EB1" w:rsidP="007F53FB">
            <w:pPr>
              <w:spacing w:before="63" w:after="63"/>
              <w:jc w:val="center"/>
              <w:rPr>
                <w:sz w:val="26"/>
                <w:szCs w:val="26"/>
                <w:lang w:eastAsia="lv-LV"/>
              </w:rPr>
            </w:pPr>
            <w:r w:rsidRPr="004D310E">
              <w:rPr>
                <w:sz w:val="26"/>
                <w:szCs w:val="26"/>
                <w:lang w:eastAsia="lv-LV"/>
              </w:rPr>
              <w:t>1.</w:t>
            </w:r>
          </w:p>
        </w:tc>
        <w:tc>
          <w:tcPr>
            <w:tcW w:w="1730" w:type="pct"/>
            <w:tcBorders>
              <w:top w:val="outset" w:sz="6" w:space="0" w:color="auto"/>
              <w:left w:val="outset" w:sz="6" w:space="0" w:color="auto"/>
              <w:bottom w:val="outset" w:sz="6" w:space="0" w:color="auto"/>
              <w:right w:val="outset" w:sz="6" w:space="0" w:color="auto"/>
            </w:tcBorders>
            <w:hideMark/>
          </w:tcPr>
          <w:p w:rsidR="00CA3EB1" w:rsidRPr="004D310E" w:rsidRDefault="00CA3EB1" w:rsidP="007F53FB">
            <w:pPr>
              <w:spacing w:before="63" w:after="63"/>
              <w:rPr>
                <w:sz w:val="26"/>
                <w:szCs w:val="26"/>
                <w:lang w:eastAsia="lv-LV"/>
              </w:rPr>
            </w:pPr>
            <w:r w:rsidRPr="004D310E">
              <w:rPr>
                <w:sz w:val="26"/>
                <w:szCs w:val="26"/>
                <w:lang w:eastAsia="lv-LV"/>
              </w:rPr>
              <w:t>Plānotās sabiedrības līdzdalības un komunikācijas aktivitātes saistībā ar projektu</w:t>
            </w:r>
          </w:p>
        </w:tc>
        <w:tc>
          <w:tcPr>
            <w:tcW w:w="3016" w:type="pct"/>
            <w:tcBorders>
              <w:top w:val="outset" w:sz="6" w:space="0" w:color="auto"/>
              <w:left w:val="outset" w:sz="6" w:space="0" w:color="auto"/>
              <w:bottom w:val="outset" w:sz="6" w:space="0" w:color="auto"/>
              <w:right w:val="outset" w:sz="6" w:space="0" w:color="auto"/>
            </w:tcBorders>
            <w:hideMark/>
          </w:tcPr>
          <w:p w:rsidR="00CA3EB1" w:rsidRPr="00023F50" w:rsidRDefault="00CA3EB1" w:rsidP="007F53FB">
            <w:pPr>
              <w:pStyle w:val="Subtitle"/>
              <w:spacing w:before="0" w:after="0" w:line="240" w:lineRule="auto"/>
              <w:ind w:firstLine="0"/>
              <w:jc w:val="both"/>
              <w:rPr>
                <w:rFonts w:ascii="Times New Roman" w:hAnsi="Times New Roman" w:cs="Times New Roman"/>
                <w:sz w:val="26"/>
                <w:szCs w:val="26"/>
                <w:lang w:val="lv-LV"/>
              </w:rPr>
            </w:pPr>
            <w:r w:rsidRPr="004D310E">
              <w:rPr>
                <w:rFonts w:ascii="Times New Roman" w:hAnsi="Times New Roman" w:cs="Times New Roman"/>
                <w:sz w:val="26"/>
                <w:szCs w:val="26"/>
                <w:lang w:eastAsia="lv-LV"/>
              </w:rPr>
              <w:t xml:space="preserve"> </w:t>
            </w:r>
            <w:r w:rsidRPr="00023F50">
              <w:rPr>
                <w:rFonts w:ascii="Times New Roman" w:hAnsi="Times New Roman" w:cs="Times New Roman"/>
                <w:sz w:val="26"/>
                <w:szCs w:val="26"/>
                <w:lang w:val="lv-LV" w:eastAsia="lv-LV"/>
              </w:rPr>
              <w:t xml:space="preserve">Noteikumu projekts </w:t>
            </w:r>
            <w:r>
              <w:rPr>
                <w:rFonts w:ascii="Times New Roman" w:hAnsi="Times New Roman" w:cs="Times New Roman"/>
                <w:sz w:val="26"/>
                <w:szCs w:val="26"/>
                <w:lang w:val="lv-LV" w:eastAsia="lv-LV"/>
              </w:rPr>
              <w:t xml:space="preserve">no 2.aprīļa līdz 16.aprīlim </w:t>
            </w:r>
            <w:r w:rsidRPr="00023F50">
              <w:rPr>
                <w:rFonts w:ascii="Times New Roman" w:hAnsi="Times New Roman" w:cs="Times New Roman"/>
                <w:sz w:val="26"/>
                <w:szCs w:val="26"/>
                <w:lang w:val="lv-LV" w:eastAsia="lv-LV"/>
              </w:rPr>
              <w:t xml:space="preserve">tika ievietots </w:t>
            </w:r>
            <w:r w:rsidRPr="00023F50">
              <w:rPr>
                <w:rFonts w:ascii="Times New Roman" w:hAnsi="Times New Roman" w:cs="Times New Roman"/>
                <w:sz w:val="26"/>
                <w:szCs w:val="26"/>
                <w:lang w:eastAsia="lv-LV"/>
              </w:rPr>
              <w:t xml:space="preserve"> </w:t>
            </w:r>
            <w:proofErr w:type="spellStart"/>
            <w:r w:rsidRPr="00023F50">
              <w:rPr>
                <w:rFonts w:ascii="Times New Roman" w:hAnsi="Times New Roman" w:cs="Times New Roman"/>
                <w:sz w:val="26"/>
                <w:szCs w:val="26"/>
                <w:lang w:eastAsia="lv-LV"/>
              </w:rPr>
              <w:t>Ekonomikas</w:t>
            </w:r>
            <w:proofErr w:type="spellEnd"/>
            <w:r w:rsidRPr="00023F50">
              <w:rPr>
                <w:rFonts w:ascii="Times New Roman" w:hAnsi="Times New Roman" w:cs="Times New Roman"/>
                <w:sz w:val="26"/>
                <w:szCs w:val="26"/>
                <w:lang w:eastAsia="lv-LV"/>
              </w:rPr>
              <w:t xml:space="preserve"> </w:t>
            </w:r>
            <w:proofErr w:type="spellStart"/>
            <w:r w:rsidRPr="00023F50">
              <w:rPr>
                <w:rFonts w:ascii="Times New Roman" w:hAnsi="Times New Roman" w:cs="Times New Roman"/>
                <w:sz w:val="26"/>
                <w:szCs w:val="26"/>
                <w:lang w:eastAsia="lv-LV"/>
              </w:rPr>
              <w:t>ministrijas</w:t>
            </w:r>
            <w:proofErr w:type="spellEnd"/>
            <w:r w:rsidRPr="00023F50">
              <w:rPr>
                <w:rFonts w:ascii="Times New Roman" w:hAnsi="Times New Roman" w:cs="Times New Roman"/>
                <w:sz w:val="26"/>
                <w:szCs w:val="26"/>
                <w:lang w:eastAsia="lv-LV"/>
              </w:rPr>
              <w:t xml:space="preserve"> </w:t>
            </w:r>
            <w:proofErr w:type="spellStart"/>
            <w:r w:rsidRPr="00023F50">
              <w:rPr>
                <w:rFonts w:ascii="Times New Roman" w:hAnsi="Times New Roman" w:cs="Times New Roman"/>
                <w:sz w:val="26"/>
                <w:szCs w:val="26"/>
                <w:lang w:eastAsia="lv-LV"/>
              </w:rPr>
              <w:t>mājaslapā</w:t>
            </w:r>
            <w:proofErr w:type="spellEnd"/>
            <w:r w:rsidRPr="00023F50">
              <w:rPr>
                <w:rFonts w:ascii="Times New Roman" w:hAnsi="Times New Roman" w:cs="Times New Roman"/>
                <w:sz w:val="26"/>
                <w:szCs w:val="26"/>
                <w:lang w:eastAsia="lv-LV"/>
              </w:rPr>
              <w:t xml:space="preserve">: </w:t>
            </w:r>
            <w:hyperlink r:id="rId11" w:history="1">
              <w:r w:rsidRPr="00023F50">
                <w:rPr>
                  <w:rStyle w:val="Hyperlink"/>
                  <w:rFonts w:ascii="Times New Roman" w:hAnsi="Times New Roman" w:cs="Times New Roman"/>
                  <w:sz w:val="26"/>
                  <w:szCs w:val="26"/>
                  <w:lang w:eastAsia="lv-LV"/>
                </w:rPr>
                <w:t>www.em.gov.lv</w:t>
              </w:r>
            </w:hyperlink>
            <w:r>
              <w:rPr>
                <w:rFonts w:ascii="Times New Roman" w:hAnsi="Times New Roman" w:cs="Times New Roman"/>
                <w:sz w:val="26"/>
                <w:szCs w:val="26"/>
                <w:lang w:eastAsia="lv-LV"/>
              </w:rPr>
              <w:t xml:space="preserve"> </w:t>
            </w:r>
            <w:proofErr w:type="spellStart"/>
            <w:r>
              <w:rPr>
                <w:rFonts w:ascii="Times New Roman" w:hAnsi="Times New Roman" w:cs="Times New Roman"/>
                <w:sz w:val="26"/>
                <w:szCs w:val="26"/>
                <w:lang w:eastAsia="lv-LV"/>
              </w:rPr>
              <w:t>sabiedriskajai</w:t>
            </w:r>
            <w:proofErr w:type="spellEnd"/>
            <w:r>
              <w:rPr>
                <w:rFonts w:ascii="Times New Roman" w:hAnsi="Times New Roman" w:cs="Times New Roman"/>
                <w:sz w:val="26"/>
                <w:szCs w:val="26"/>
                <w:lang w:eastAsia="lv-LV"/>
              </w:rPr>
              <w:t xml:space="preserve"> </w:t>
            </w:r>
            <w:proofErr w:type="spellStart"/>
            <w:r>
              <w:rPr>
                <w:rFonts w:ascii="Times New Roman" w:hAnsi="Times New Roman" w:cs="Times New Roman"/>
                <w:sz w:val="26"/>
                <w:szCs w:val="26"/>
                <w:lang w:eastAsia="lv-LV"/>
              </w:rPr>
              <w:t>apspriešanai</w:t>
            </w:r>
            <w:proofErr w:type="spellEnd"/>
            <w:r>
              <w:rPr>
                <w:rFonts w:ascii="Times New Roman" w:hAnsi="Times New Roman" w:cs="Times New Roman"/>
                <w:sz w:val="26"/>
                <w:szCs w:val="26"/>
                <w:lang w:eastAsia="lv-LV"/>
              </w:rPr>
              <w:t>.</w:t>
            </w:r>
            <w:r w:rsidRPr="00023F50">
              <w:rPr>
                <w:rFonts w:ascii="Times New Roman" w:hAnsi="Times New Roman" w:cs="Times New Roman"/>
                <w:sz w:val="26"/>
                <w:szCs w:val="26"/>
                <w:lang w:eastAsia="lv-LV"/>
              </w:rPr>
              <w:t xml:space="preserve"> </w:t>
            </w:r>
          </w:p>
        </w:tc>
      </w:tr>
      <w:tr w:rsidR="00CA3EB1" w:rsidRPr="004D310E" w:rsidTr="007F53FB">
        <w:trPr>
          <w:trHeight w:val="339"/>
          <w:tblCellSpacing w:w="0" w:type="dxa"/>
        </w:trPr>
        <w:tc>
          <w:tcPr>
            <w:tcW w:w="254" w:type="pct"/>
            <w:tcBorders>
              <w:top w:val="outset" w:sz="6" w:space="0" w:color="auto"/>
              <w:left w:val="outset" w:sz="6" w:space="0" w:color="auto"/>
              <w:bottom w:val="outset" w:sz="6" w:space="0" w:color="auto"/>
              <w:right w:val="outset" w:sz="6" w:space="0" w:color="auto"/>
            </w:tcBorders>
          </w:tcPr>
          <w:p w:rsidR="00CA3EB1" w:rsidRPr="004D310E" w:rsidRDefault="00CA3EB1" w:rsidP="007F53FB">
            <w:pPr>
              <w:spacing w:before="63" w:after="63"/>
              <w:jc w:val="center"/>
              <w:rPr>
                <w:sz w:val="26"/>
                <w:szCs w:val="26"/>
                <w:lang w:eastAsia="lv-LV"/>
              </w:rPr>
            </w:pPr>
            <w:r w:rsidRPr="004D310E">
              <w:rPr>
                <w:sz w:val="26"/>
                <w:szCs w:val="26"/>
                <w:lang w:eastAsia="lv-LV"/>
              </w:rPr>
              <w:t>2.</w:t>
            </w:r>
          </w:p>
        </w:tc>
        <w:tc>
          <w:tcPr>
            <w:tcW w:w="1730" w:type="pct"/>
            <w:tcBorders>
              <w:top w:val="outset" w:sz="6" w:space="0" w:color="auto"/>
              <w:left w:val="outset" w:sz="6" w:space="0" w:color="auto"/>
              <w:bottom w:val="outset" w:sz="6" w:space="0" w:color="auto"/>
              <w:right w:val="outset" w:sz="6" w:space="0" w:color="auto"/>
            </w:tcBorders>
            <w:hideMark/>
          </w:tcPr>
          <w:p w:rsidR="00CA3EB1" w:rsidRPr="004D310E" w:rsidRDefault="00CA3EB1" w:rsidP="007F53FB">
            <w:pPr>
              <w:spacing w:before="63" w:after="63"/>
              <w:rPr>
                <w:sz w:val="26"/>
                <w:szCs w:val="26"/>
                <w:lang w:eastAsia="lv-LV"/>
              </w:rPr>
            </w:pPr>
            <w:r w:rsidRPr="004D310E">
              <w:rPr>
                <w:sz w:val="26"/>
                <w:szCs w:val="26"/>
                <w:lang w:eastAsia="lv-LV"/>
              </w:rPr>
              <w:t> Sabiedrības līdzdalība projekta izstrādē</w:t>
            </w:r>
          </w:p>
        </w:tc>
        <w:tc>
          <w:tcPr>
            <w:tcW w:w="3016" w:type="pct"/>
            <w:tcBorders>
              <w:top w:val="outset" w:sz="6" w:space="0" w:color="auto"/>
              <w:left w:val="outset" w:sz="6" w:space="0" w:color="auto"/>
              <w:bottom w:val="outset" w:sz="6" w:space="0" w:color="auto"/>
              <w:right w:val="outset" w:sz="6" w:space="0" w:color="auto"/>
            </w:tcBorders>
            <w:hideMark/>
          </w:tcPr>
          <w:p w:rsidR="00CA3EB1" w:rsidRPr="00023F50" w:rsidRDefault="00CA3EB1" w:rsidP="007F53FB">
            <w:pPr>
              <w:jc w:val="both"/>
              <w:rPr>
                <w:sz w:val="26"/>
                <w:szCs w:val="26"/>
                <w:lang w:eastAsia="lv-LV"/>
              </w:rPr>
            </w:pPr>
            <w:r w:rsidRPr="00023F50">
              <w:rPr>
                <w:sz w:val="26"/>
                <w:szCs w:val="26"/>
              </w:rPr>
              <w:t>Noteikumu projekts tika nosūtīts saskaņošanai Latvijas Darba devēju konfederācijai</w:t>
            </w:r>
            <w:r w:rsidRPr="00023F50">
              <w:rPr>
                <w:b/>
                <w:sz w:val="26"/>
                <w:szCs w:val="26"/>
              </w:rPr>
              <w:t xml:space="preserve">, </w:t>
            </w:r>
            <w:r>
              <w:rPr>
                <w:sz w:val="26"/>
                <w:szCs w:val="26"/>
              </w:rPr>
              <w:t>Latvijas T</w:t>
            </w:r>
            <w:r w:rsidRPr="00023F50">
              <w:rPr>
                <w:sz w:val="26"/>
                <w:szCs w:val="26"/>
              </w:rPr>
              <w:t>irdzniecības un rūpniecības kamerai</w:t>
            </w:r>
            <w:r>
              <w:rPr>
                <w:b/>
                <w:sz w:val="26"/>
                <w:szCs w:val="26"/>
              </w:rPr>
              <w:t xml:space="preserve"> </w:t>
            </w:r>
            <w:r>
              <w:rPr>
                <w:sz w:val="26"/>
                <w:szCs w:val="26"/>
              </w:rPr>
              <w:t xml:space="preserve">un </w:t>
            </w:r>
            <w:r w:rsidRPr="00023F50">
              <w:rPr>
                <w:sz w:val="26"/>
                <w:szCs w:val="26"/>
              </w:rPr>
              <w:t>Latvijas Tirgotāju asociācijai.</w:t>
            </w:r>
          </w:p>
        </w:tc>
      </w:tr>
      <w:tr w:rsidR="00CA3EB1" w:rsidRPr="004D310E" w:rsidTr="007F53FB">
        <w:trPr>
          <w:trHeight w:val="375"/>
          <w:tblCellSpacing w:w="0" w:type="dxa"/>
        </w:trPr>
        <w:tc>
          <w:tcPr>
            <w:tcW w:w="254" w:type="pct"/>
            <w:tcBorders>
              <w:top w:val="outset" w:sz="6" w:space="0" w:color="auto"/>
              <w:left w:val="outset" w:sz="6" w:space="0" w:color="auto"/>
              <w:bottom w:val="outset" w:sz="6" w:space="0" w:color="auto"/>
              <w:right w:val="outset" w:sz="6" w:space="0" w:color="auto"/>
            </w:tcBorders>
          </w:tcPr>
          <w:p w:rsidR="00CA3EB1" w:rsidRPr="004D310E" w:rsidRDefault="00CA3EB1" w:rsidP="007F53FB">
            <w:pPr>
              <w:spacing w:before="63" w:after="63"/>
              <w:jc w:val="center"/>
              <w:rPr>
                <w:sz w:val="26"/>
                <w:szCs w:val="26"/>
                <w:lang w:eastAsia="lv-LV"/>
              </w:rPr>
            </w:pPr>
            <w:r w:rsidRPr="004D310E">
              <w:rPr>
                <w:sz w:val="26"/>
                <w:szCs w:val="26"/>
                <w:lang w:eastAsia="lv-LV"/>
              </w:rPr>
              <w:t>3.</w:t>
            </w:r>
          </w:p>
        </w:tc>
        <w:tc>
          <w:tcPr>
            <w:tcW w:w="1730" w:type="pct"/>
            <w:tcBorders>
              <w:top w:val="outset" w:sz="6" w:space="0" w:color="auto"/>
              <w:left w:val="outset" w:sz="6" w:space="0" w:color="auto"/>
              <w:bottom w:val="outset" w:sz="6" w:space="0" w:color="auto"/>
              <w:right w:val="outset" w:sz="6" w:space="0" w:color="auto"/>
            </w:tcBorders>
            <w:hideMark/>
          </w:tcPr>
          <w:p w:rsidR="00CA3EB1" w:rsidRPr="004D310E" w:rsidRDefault="00CA3EB1" w:rsidP="007F53FB">
            <w:pPr>
              <w:spacing w:before="63" w:after="63"/>
              <w:rPr>
                <w:sz w:val="26"/>
                <w:szCs w:val="26"/>
                <w:lang w:eastAsia="lv-LV"/>
              </w:rPr>
            </w:pPr>
            <w:r w:rsidRPr="004D310E">
              <w:rPr>
                <w:sz w:val="26"/>
                <w:szCs w:val="26"/>
                <w:lang w:eastAsia="lv-LV"/>
              </w:rPr>
              <w:t> Sabiedrības līdzdalības rezultāti</w:t>
            </w:r>
          </w:p>
        </w:tc>
        <w:tc>
          <w:tcPr>
            <w:tcW w:w="3016" w:type="pct"/>
            <w:tcBorders>
              <w:top w:val="outset" w:sz="6" w:space="0" w:color="auto"/>
              <w:left w:val="outset" w:sz="6" w:space="0" w:color="auto"/>
              <w:bottom w:val="outset" w:sz="6" w:space="0" w:color="auto"/>
              <w:right w:val="outset" w:sz="6" w:space="0" w:color="auto"/>
            </w:tcBorders>
            <w:hideMark/>
          </w:tcPr>
          <w:p w:rsidR="00CA3EB1" w:rsidRPr="004D310E" w:rsidRDefault="00CA3EB1" w:rsidP="007F53FB">
            <w:pPr>
              <w:jc w:val="both"/>
              <w:rPr>
                <w:sz w:val="26"/>
                <w:szCs w:val="26"/>
                <w:lang w:eastAsia="lv-LV"/>
              </w:rPr>
            </w:pPr>
            <w:r w:rsidRPr="00023F50">
              <w:rPr>
                <w:sz w:val="26"/>
                <w:szCs w:val="26"/>
              </w:rPr>
              <w:t>Pēc informācijas publicēšan</w:t>
            </w:r>
            <w:r>
              <w:rPr>
                <w:sz w:val="26"/>
                <w:szCs w:val="26"/>
              </w:rPr>
              <w:t>as Ekonomikas ministrijas mājas</w:t>
            </w:r>
            <w:r w:rsidRPr="00023F50">
              <w:rPr>
                <w:sz w:val="26"/>
                <w:szCs w:val="26"/>
              </w:rPr>
              <w:t>lapā iebildumi vai priekšlikumi no sabiedrības netika saņemti.</w:t>
            </w:r>
          </w:p>
        </w:tc>
      </w:tr>
      <w:tr w:rsidR="00CA3EB1" w:rsidRPr="004D310E" w:rsidTr="007F53FB">
        <w:trPr>
          <w:trHeight w:val="397"/>
          <w:tblCellSpacing w:w="0" w:type="dxa"/>
        </w:trPr>
        <w:tc>
          <w:tcPr>
            <w:tcW w:w="254" w:type="pct"/>
            <w:tcBorders>
              <w:top w:val="outset" w:sz="6" w:space="0" w:color="auto"/>
              <w:left w:val="outset" w:sz="6" w:space="0" w:color="auto"/>
              <w:bottom w:val="outset" w:sz="6" w:space="0" w:color="auto"/>
              <w:right w:val="outset" w:sz="6" w:space="0" w:color="auto"/>
            </w:tcBorders>
          </w:tcPr>
          <w:p w:rsidR="00CA3EB1" w:rsidRPr="004D310E" w:rsidRDefault="00CA3EB1" w:rsidP="007F53FB">
            <w:pPr>
              <w:spacing w:before="63" w:after="63"/>
              <w:jc w:val="center"/>
              <w:rPr>
                <w:sz w:val="26"/>
                <w:szCs w:val="26"/>
                <w:lang w:eastAsia="lv-LV"/>
              </w:rPr>
            </w:pPr>
            <w:r w:rsidRPr="004D310E">
              <w:rPr>
                <w:sz w:val="26"/>
                <w:szCs w:val="26"/>
                <w:lang w:eastAsia="lv-LV"/>
              </w:rPr>
              <w:t>4.</w:t>
            </w:r>
          </w:p>
        </w:tc>
        <w:tc>
          <w:tcPr>
            <w:tcW w:w="1730" w:type="pct"/>
            <w:tcBorders>
              <w:top w:val="outset" w:sz="6" w:space="0" w:color="auto"/>
              <w:left w:val="outset" w:sz="6" w:space="0" w:color="auto"/>
              <w:bottom w:val="outset" w:sz="6" w:space="0" w:color="auto"/>
              <w:right w:val="outset" w:sz="6" w:space="0" w:color="auto"/>
            </w:tcBorders>
            <w:hideMark/>
          </w:tcPr>
          <w:p w:rsidR="00CA3EB1" w:rsidRPr="004D310E" w:rsidRDefault="00CA3EB1" w:rsidP="007F53FB">
            <w:pPr>
              <w:spacing w:before="63" w:after="63"/>
              <w:rPr>
                <w:sz w:val="26"/>
                <w:szCs w:val="26"/>
                <w:lang w:eastAsia="lv-LV"/>
              </w:rPr>
            </w:pPr>
            <w:r w:rsidRPr="004D310E">
              <w:rPr>
                <w:sz w:val="26"/>
                <w:szCs w:val="26"/>
                <w:lang w:eastAsia="lv-LV"/>
              </w:rPr>
              <w:t> Cita informācija</w:t>
            </w:r>
          </w:p>
        </w:tc>
        <w:tc>
          <w:tcPr>
            <w:tcW w:w="3016" w:type="pct"/>
            <w:tcBorders>
              <w:top w:val="outset" w:sz="6" w:space="0" w:color="auto"/>
              <w:left w:val="outset" w:sz="6" w:space="0" w:color="auto"/>
              <w:bottom w:val="outset" w:sz="6" w:space="0" w:color="auto"/>
              <w:right w:val="outset" w:sz="6" w:space="0" w:color="auto"/>
            </w:tcBorders>
            <w:hideMark/>
          </w:tcPr>
          <w:p w:rsidR="00CA3EB1" w:rsidRPr="004D310E" w:rsidRDefault="00CA3EB1" w:rsidP="007F53FB">
            <w:pPr>
              <w:spacing w:before="63" w:after="63"/>
              <w:rPr>
                <w:sz w:val="26"/>
                <w:szCs w:val="26"/>
                <w:lang w:eastAsia="lv-LV"/>
              </w:rPr>
            </w:pPr>
            <w:r w:rsidRPr="004D310E">
              <w:rPr>
                <w:sz w:val="26"/>
                <w:szCs w:val="26"/>
                <w:lang w:eastAsia="lv-LV"/>
              </w:rPr>
              <w:t>Nav.</w:t>
            </w:r>
          </w:p>
        </w:tc>
      </w:tr>
    </w:tbl>
    <w:p w:rsidR="00CA3EB1" w:rsidRPr="004D310E" w:rsidRDefault="00CA3EB1" w:rsidP="00B42AC2">
      <w:pPr>
        <w:pStyle w:val="naisf"/>
        <w:spacing w:before="0" w:after="0"/>
        <w:ind w:right="-99" w:firstLine="0"/>
        <w:rPr>
          <w:sz w:val="26"/>
          <w:szCs w:val="26"/>
        </w:rPr>
      </w:pPr>
      <w:bookmarkStart w:id="7" w:name="_GoBack"/>
      <w:bookmarkEnd w:id="7"/>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1"/>
        <w:gridCol w:w="2868"/>
        <w:gridCol w:w="4928"/>
      </w:tblGrid>
      <w:tr w:rsidR="00CA3EB1" w:rsidRPr="004D310E" w:rsidTr="007F53FB">
        <w:tc>
          <w:tcPr>
            <w:tcW w:w="8217" w:type="dxa"/>
            <w:gridSpan w:val="3"/>
            <w:tcBorders>
              <w:top w:val="single" w:sz="4" w:space="0" w:color="auto"/>
              <w:left w:val="single" w:sz="4" w:space="0" w:color="auto"/>
              <w:bottom w:val="single" w:sz="4" w:space="0" w:color="auto"/>
              <w:right w:val="single" w:sz="4" w:space="0" w:color="auto"/>
            </w:tcBorders>
          </w:tcPr>
          <w:p w:rsidR="00CA3EB1" w:rsidRPr="004D310E" w:rsidRDefault="00CA3EB1" w:rsidP="007F53FB">
            <w:pPr>
              <w:pStyle w:val="naisnod"/>
              <w:spacing w:before="0" w:after="0"/>
              <w:ind w:left="57" w:right="-99"/>
              <w:rPr>
                <w:sz w:val="26"/>
                <w:szCs w:val="26"/>
              </w:rPr>
            </w:pPr>
            <w:r w:rsidRPr="004D310E">
              <w:rPr>
                <w:sz w:val="26"/>
                <w:szCs w:val="26"/>
              </w:rPr>
              <w:t>VII. Tiesību akta projekta izpildes nodrošināšana un tās ietekme uz institūcijām</w:t>
            </w:r>
          </w:p>
        </w:tc>
      </w:tr>
      <w:tr w:rsidR="00CA3EB1" w:rsidRPr="004D310E" w:rsidTr="007F53FB">
        <w:trPr>
          <w:trHeight w:val="427"/>
        </w:trPr>
        <w:tc>
          <w:tcPr>
            <w:tcW w:w="421" w:type="dxa"/>
            <w:tcBorders>
              <w:top w:val="single" w:sz="4" w:space="0" w:color="auto"/>
              <w:left w:val="single" w:sz="4" w:space="0" w:color="auto"/>
              <w:bottom w:val="single" w:sz="4" w:space="0" w:color="auto"/>
              <w:right w:val="single" w:sz="4" w:space="0" w:color="auto"/>
            </w:tcBorders>
          </w:tcPr>
          <w:p w:rsidR="00CA3EB1" w:rsidRPr="004D310E" w:rsidRDefault="00CA3EB1" w:rsidP="007F53FB">
            <w:pPr>
              <w:pStyle w:val="naisnod"/>
              <w:spacing w:before="0" w:after="0"/>
              <w:ind w:left="57" w:right="-99"/>
              <w:jc w:val="left"/>
              <w:rPr>
                <w:b w:val="0"/>
                <w:sz w:val="26"/>
                <w:szCs w:val="26"/>
              </w:rPr>
            </w:pPr>
            <w:r w:rsidRPr="004D310E">
              <w:rPr>
                <w:b w:val="0"/>
                <w:sz w:val="26"/>
                <w:szCs w:val="26"/>
              </w:rPr>
              <w:t>1.</w:t>
            </w:r>
          </w:p>
        </w:tc>
        <w:tc>
          <w:tcPr>
            <w:tcW w:w="2868" w:type="dxa"/>
            <w:tcBorders>
              <w:top w:val="single" w:sz="4" w:space="0" w:color="auto"/>
              <w:left w:val="single" w:sz="4" w:space="0" w:color="auto"/>
              <w:bottom w:val="single" w:sz="4" w:space="0" w:color="auto"/>
              <w:right w:val="single" w:sz="4" w:space="0" w:color="auto"/>
            </w:tcBorders>
          </w:tcPr>
          <w:p w:rsidR="00CA3EB1" w:rsidRPr="004D310E" w:rsidRDefault="00CA3EB1" w:rsidP="007F53FB">
            <w:pPr>
              <w:pStyle w:val="naisf"/>
              <w:spacing w:before="0" w:after="0"/>
              <w:ind w:left="57" w:right="-99" w:firstLine="0"/>
              <w:jc w:val="left"/>
              <w:rPr>
                <w:sz w:val="26"/>
                <w:szCs w:val="26"/>
              </w:rPr>
            </w:pPr>
            <w:r w:rsidRPr="004D310E">
              <w:rPr>
                <w:sz w:val="26"/>
                <w:szCs w:val="26"/>
              </w:rPr>
              <w:t xml:space="preserve">Projekta izpildē iesaistītās institūcijas </w:t>
            </w:r>
          </w:p>
        </w:tc>
        <w:tc>
          <w:tcPr>
            <w:tcW w:w="4928" w:type="dxa"/>
            <w:tcBorders>
              <w:top w:val="single" w:sz="4" w:space="0" w:color="auto"/>
              <w:left w:val="single" w:sz="4" w:space="0" w:color="auto"/>
              <w:bottom w:val="single" w:sz="4" w:space="0" w:color="auto"/>
              <w:right w:val="single" w:sz="4" w:space="0" w:color="auto"/>
            </w:tcBorders>
          </w:tcPr>
          <w:p w:rsidR="00CA3EB1" w:rsidRPr="004D310E" w:rsidRDefault="00CA3EB1" w:rsidP="007F53FB">
            <w:pPr>
              <w:pStyle w:val="naisnod"/>
              <w:spacing w:before="0" w:after="0"/>
              <w:ind w:left="57"/>
              <w:jc w:val="both"/>
              <w:rPr>
                <w:b w:val="0"/>
                <w:sz w:val="26"/>
                <w:szCs w:val="26"/>
              </w:rPr>
            </w:pPr>
            <w:r w:rsidRPr="004D310E">
              <w:rPr>
                <w:b w:val="0"/>
                <w:sz w:val="26"/>
                <w:szCs w:val="26"/>
              </w:rPr>
              <w:t>Projekta izpildi nodrošinās Patērētāju tiesību aizsardzības centrs.</w:t>
            </w:r>
          </w:p>
        </w:tc>
      </w:tr>
      <w:tr w:rsidR="00CA3EB1" w:rsidRPr="004D310E" w:rsidTr="007F53FB">
        <w:trPr>
          <w:trHeight w:val="463"/>
        </w:trPr>
        <w:tc>
          <w:tcPr>
            <w:tcW w:w="421" w:type="dxa"/>
            <w:tcBorders>
              <w:top w:val="single" w:sz="4" w:space="0" w:color="auto"/>
              <w:left w:val="single" w:sz="4" w:space="0" w:color="auto"/>
              <w:bottom w:val="single" w:sz="4" w:space="0" w:color="auto"/>
              <w:right w:val="single" w:sz="4" w:space="0" w:color="auto"/>
            </w:tcBorders>
          </w:tcPr>
          <w:p w:rsidR="00CA3EB1" w:rsidRPr="004D310E" w:rsidRDefault="00CA3EB1" w:rsidP="007F53FB">
            <w:pPr>
              <w:pStyle w:val="naisnod"/>
              <w:spacing w:before="0" w:after="0"/>
              <w:ind w:left="57" w:right="-99"/>
              <w:jc w:val="left"/>
              <w:rPr>
                <w:b w:val="0"/>
                <w:sz w:val="26"/>
                <w:szCs w:val="26"/>
              </w:rPr>
            </w:pPr>
            <w:r w:rsidRPr="004D310E">
              <w:rPr>
                <w:b w:val="0"/>
                <w:sz w:val="26"/>
                <w:szCs w:val="26"/>
              </w:rPr>
              <w:t>2.</w:t>
            </w:r>
          </w:p>
        </w:tc>
        <w:tc>
          <w:tcPr>
            <w:tcW w:w="2868" w:type="dxa"/>
            <w:tcBorders>
              <w:top w:val="single" w:sz="4" w:space="0" w:color="auto"/>
              <w:left w:val="single" w:sz="4" w:space="0" w:color="auto"/>
              <w:bottom w:val="single" w:sz="4" w:space="0" w:color="auto"/>
              <w:right w:val="single" w:sz="4" w:space="0" w:color="auto"/>
            </w:tcBorders>
          </w:tcPr>
          <w:p w:rsidR="00CA3EB1" w:rsidRPr="004D310E" w:rsidRDefault="00CA3EB1" w:rsidP="007F53FB">
            <w:pPr>
              <w:pStyle w:val="naisf"/>
              <w:spacing w:before="0" w:after="0"/>
              <w:ind w:left="57" w:right="53" w:firstLine="0"/>
              <w:jc w:val="left"/>
              <w:rPr>
                <w:sz w:val="26"/>
                <w:szCs w:val="26"/>
              </w:rPr>
            </w:pPr>
            <w:r w:rsidRPr="004D310E">
              <w:rPr>
                <w:sz w:val="26"/>
                <w:szCs w:val="26"/>
              </w:rPr>
              <w:t xml:space="preserve">Projekta izpildes ietekme uz pārvaldes funkcijām un institucionālo struktūru. </w:t>
            </w:r>
          </w:p>
          <w:p w:rsidR="00CA3EB1" w:rsidRPr="004D310E" w:rsidRDefault="00CA3EB1" w:rsidP="007F53FB">
            <w:pPr>
              <w:pStyle w:val="naisf"/>
              <w:spacing w:before="0" w:after="0"/>
              <w:ind w:left="57" w:right="53" w:firstLine="0"/>
              <w:jc w:val="left"/>
              <w:rPr>
                <w:sz w:val="26"/>
                <w:szCs w:val="26"/>
              </w:rPr>
            </w:pPr>
            <w:r w:rsidRPr="004D310E">
              <w:rPr>
                <w:sz w:val="26"/>
                <w:szCs w:val="26"/>
              </w:rPr>
              <w:t>Jaunu institūciju izveide, esošu institūciju likvidācija vai reorganizācija, to ietekme uz institūcijas cilvēkresursiem</w:t>
            </w:r>
          </w:p>
        </w:tc>
        <w:tc>
          <w:tcPr>
            <w:tcW w:w="4928" w:type="dxa"/>
            <w:tcBorders>
              <w:top w:val="single" w:sz="4" w:space="0" w:color="auto"/>
              <w:left w:val="single" w:sz="4" w:space="0" w:color="auto"/>
              <w:bottom w:val="single" w:sz="4" w:space="0" w:color="auto"/>
              <w:right w:val="single" w:sz="4" w:space="0" w:color="auto"/>
            </w:tcBorders>
          </w:tcPr>
          <w:p w:rsidR="00CA3EB1" w:rsidRPr="004D310E" w:rsidRDefault="00CA3EB1" w:rsidP="007F53FB">
            <w:pPr>
              <w:pStyle w:val="naisnod"/>
              <w:spacing w:before="0" w:after="0"/>
              <w:ind w:left="57"/>
              <w:jc w:val="both"/>
              <w:rPr>
                <w:b w:val="0"/>
                <w:sz w:val="26"/>
                <w:szCs w:val="26"/>
              </w:rPr>
            </w:pPr>
            <w:r w:rsidRPr="004D310E">
              <w:rPr>
                <w:b w:val="0"/>
                <w:sz w:val="26"/>
                <w:szCs w:val="26"/>
              </w:rPr>
              <w:t>Projekts šo jomu neskar.</w:t>
            </w:r>
          </w:p>
        </w:tc>
      </w:tr>
      <w:tr w:rsidR="00CA3EB1" w:rsidRPr="004D310E" w:rsidTr="007F53FB">
        <w:trPr>
          <w:trHeight w:val="237"/>
        </w:trPr>
        <w:tc>
          <w:tcPr>
            <w:tcW w:w="421" w:type="dxa"/>
            <w:tcBorders>
              <w:top w:val="single" w:sz="4" w:space="0" w:color="auto"/>
              <w:left w:val="single" w:sz="4" w:space="0" w:color="auto"/>
              <w:bottom w:val="single" w:sz="4" w:space="0" w:color="auto"/>
              <w:right w:val="single" w:sz="4" w:space="0" w:color="auto"/>
            </w:tcBorders>
          </w:tcPr>
          <w:p w:rsidR="00CA3EB1" w:rsidRPr="004D310E" w:rsidRDefault="00CA3EB1" w:rsidP="007F53FB">
            <w:pPr>
              <w:pStyle w:val="naiskr"/>
              <w:spacing w:before="0" w:after="0"/>
              <w:ind w:left="57" w:right="-99"/>
              <w:rPr>
                <w:sz w:val="26"/>
                <w:szCs w:val="26"/>
              </w:rPr>
            </w:pPr>
            <w:r w:rsidRPr="004D310E">
              <w:rPr>
                <w:sz w:val="26"/>
                <w:szCs w:val="26"/>
              </w:rPr>
              <w:t>3.</w:t>
            </w:r>
          </w:p>
        </w:tc>
        <w:tc>
          <w:tcPr>
            <w:tcW w:w="2868" w:type="dxa"/>
            <w:tcBorders>
              <w:top w:val="single" w:sz="4" w:space="0" w:color="auto"/>
              <w:left w:val="single" w:sz="4" w:space="0" w:color="auto"/>
              <w:bottom w:val="single" w:sz="4" w:space="0" w:color="auto"/>
              <w:right w:val="single" w:sz="4" w:space="0" w:color="auto"/>
            </w:tcBorders>
          </w:tcPr>
          <w:p w:rsidR="00CA3EB1" w:rsidRPr="004D310E" w:rsidRDefault="00CA3EB1" w:rsidP="007F53FB">
            <w:pPr>
              <w:pStyle w:val="naiskr"/>
              <w:spacing w:before="0" w:after="0"/>
              <w:ind w:left="57" w:right="-99"/>
              <w:rPr>
                <w:sz w:val="26"/>
                <w:szCs w:val="26"/>
              </w:rPr>
            </w:pPr>
            <w:r w:rsidRPr="004D310E">
              <w:rPr>
                <w:sz w:val="26"/>
                <w:szCs w:val="26"/>
              </w:rPr>
              <w:t>Cita informācija</w:t>
            </w:r>
          </w:p>
        </w:tc>
        <w:tc>
          <w:tcPr>
            <w:tcW w:w="4928" w:type="dxa"/>
            <w:tcBorders>
              <w:top w:val="single" w:sz="4" w:space="0" w:color="auto"/>
              <w:left w:val="single" w:sz="4" w:space="0" w:color="auto"/>
              <w:bottom w:val="single" w:sz="4" w:space="0" w:color="auto"/>
              <w:right w:val="single" w:sz="4" w:space="0" w:color="auto"/>
            </w:tcBorders>
          </w:tcPr>
          <w:p w:rsidR="00CA3EB1" w:rsidRPr="004D310E" w:rsidRDefault="00CA3EB1" w:rsidP="007F53FB">
            <w:pPr>
              <w:pStyle w:val="naiskr"/>
              <w:spacing w:before="0" w:after="0"/>
              <w:ind w:left="57" w:right="-99"/>
              <w:rPr>
                <w:sz w:val="26"/>
                <w:szCs w:val="26"/>
              </w:rPr>
            </w:pPr>
            <w:r w:rsidRPr="004D310E">
              <w:rPr>
                <w:sz w:val="26"/>
                <w:szCs w:val="26"/>
              </w:rPr>
              <w:t>Nav.</w:t>
            </w:r>
          </w:p>
        </w:tc>
      </w:tr>
    </w:tbl>
    <w:p w:rsidR="00CA3EB1" w:rsidRPr="004D310E" w:rsidRDefault="00CA3EB1" w:rsidP="00CA3EB1">
      <w:pPr>
        <w:tabs>
          <w:tab w:val="left" w:pos="6840"/>
        </w:tabs>
        <w:ind w:right="-99"/>
        <w:rPr>
          <w:sz w:val="26"/>
          <w:szCs w:val="26"/>
          <w:lang w:eastAsia="lv-LV"/>
        </w:rPr>
      </w:pPr>
    </w:p>
    <w:p w:rsidR="00CA3EB1" w:rsidRPr="004D310E" w:rsidRDefault="00CA3EB1" w:rsidP="00CA3EB1">
      <w:pPr>
        <w:spacing w:line="270" w:lineRule="atLeast"/>
        <w:rPr>
          <w:rStyle w:val="apple-style-span"/>
          <w:i/>
          <w:sz w:val="26"/>
          <w:szCs w:val="26"/>
        </w:rPr>
      </w:pPr>
      <w:r w:rsidRPr="004D310E">
        <w:rPr>
          <w:rStyle w:val="apple-style-span"/>
          <w:i/>
          <w:sz w:val="26"/>
          <w:szCs w:val="26"/>
        </w:rPr>
        <w:t>Anotācijas III un IV sadaļa – projekts šīs jomas neskar.</w:t>
      </w:r>
    </w:p>
    <w:p w:rsidR="00CA3EB1" w:rsidRPr="004D310E" w:rsidRDefault="00CA3EB1" w:rsidP="00CA3EB1">
      <w:pPr>
        <w:rPr>
          <w:b/>
          <w:bCs/>
          <w:sz w:val="26"/>
          <w:szCs w:val="26"/>
        </w:rPr>
      </w:pPr>
    </w:p>
    <w:p w:rsidR="00CA3EB1" w:rsidRPr="004D310E" w:rsidRDefault="00CA3EB1" w:rsidP="00CA3EB1">
      <w:pPr>
        <w:rPr>
          <w:b/>
          <w:bCs/>
          <w:sz w:val="26"/>
          <w:szCs w:val="26"/>
        </w:rPr>
      </w:pPr>
    </w:p>
    <w:p w:rsidR="008C7E09" w:rsidRDefault="00CA3EB1" w:rsidP="00CA3EB1">
      <w:pPr>
        <w:pStyle w:val="Heading1"/>
        <w:ind w:right="-666"/>
        <w:jc w:val="both"/>
        <w:rPr>
          <w:sz w:val="26"/>
          <w:szCs w:val="26"/>
        </w:rPr>
      </w:pPr>
      <w:r w:rsidRPr="004D310E">
        <w:rPr>
          <w:sz w:val="26"/>
          <w:szCs w:val="26"/>
        </w:rPr>
        <w:t>Ekonomikas ministre</w:t>
      </w:r>
      <w:r w:rsidR="008C7E09">
        <w:rPr>
          <w:sz w:val="26"/>
          <w:szCs w:val="26"/>
        </w:rPr>
        <w:t xml:space="preserve">s pienākumu izpildītājs, </w:t>
      </w:r>
    </w:p>
    <w:p w:rsidR="00CA3EB1" w:rsidRPr="004D310E" w:rsidRDefault="008C7E09" w:rsidP="00CA3EB1">
      <w:pPr>
        <w:pStyle w:val="Heading1"/>
        <w:ind w:right="-666"/>
        <w:jc w:val="both"/>
        <w:rPr>
          <w:sz w:val="26"/>
          <w:szCs w:val="26"/>
        </w:rPr>
      </w:pPr>
      <w:r>
        <w:rPr>
          <w:sz w:val="26"/>
          <w:szCs w:val="26"/>
        </w:rPr>
        <w:t>veselības ministrs</w:t>
      </w:r>
      <w:r w:rsidR="00CA3EB1" w:rsidRPr="004D310E">
        <w:rPr>
          <w:sz w:val="26"/>
          <w:szCs w:val="26"/>
        </w:rPr>
        <w:tab/>
        <w:t xml:space="preserve">            </w:t>
      </w:r>
      <w:r w:rsidR="00CA3EB1" w:rsidRPr="004D310E">
        <w:rPr>
          <w:sz w:val="26"/>
          <w:szCs w:val="26"/>
        </w:rPr>
        <w:tab/>
      </w:r>
      <w:r w:rsidR="00CA3EB1" w:rsidRPr="004D310E">
        <w:rPr>
          <w:sz w:val="26"/>
          <w:szCs w:val="26"/>
        </w:rPr>
        <w:tab/>
      </w:r>
      <w:r w:rsidR="00CA3EB1" w:rsidRPr="004D310E">
        <w:rPr>
          <w:sz w:val="26"/>
          <w:szCs w:val="26"/>
        </w:rPr>
        <w:tab/>
      </w:r>
      <w:r w:rsidR="00CA3EB1" w:rsidRPr="004D310E">
        <w:rPr>
          <w:sz w:val="26"/>
          <w:szCs w:val="26"/>
        </w:rPr>
        <w:tab/>
        <w:t xml:space="preserve">      </w:t>
      </w:r>
      <w:r w:rsidR="00A374CB">
        <w:rPr>
          <w:sz w:val="26"/>
          <w:szCs w:val="26"/>
        </w:rPr>
        <w:t xml:space="preserve">   </w:t>
      </w:r>
      <w:r>
        <w:rPr>
          <w:sz w:val="26"/>
          <w:szCs w:val="26"/>
        </w:rPr>
        <w:t xml:space="preserve">                        </w:t>
      </w:r>
      <w:proofErr w:type="spellStart"/>
      <w:r>
        <w:rPr>
          <w:sz w:val="26"/>
          <w:szCs w:val="26"/>
        </w:rPr>
        <w:t>G.Belēvičs</w:t>
      </w:r>
      <w:proofErr w:type="spellEnd"/>
    </w:p>
    <w:p w:rsidR="00CA3EB1" w:rsidRPr="008E3426" w:rsidRDefault="00CA3EB1" w:rsidP="00CA3EB1">
      <w:pPr>
        <w:tabs>
          <w:tab w:val="left" w:pos="6237"/>
        </w:tabs>
        <w:ind w:right="-666"/>
        <w:rPr>
          <w:bCs/>
          <w:sz w:val="27"/>
          <w:szCs w:val="27"/>
        </w:rPr>
      </w:pPr>
    </w:p>
    <w:p w:rsidR="00CA3EB1" w:rsidRPr="008E3426" w:rsidRDefault="00CA3EB1" w:rsidP="00CA3EB1">
      <w:pPr>
        <w:tabs>
          <w:tab w:val="left" w:pos="6237"/>
        </w:tabs>
        <w:ind w:right="-666"/>
        <w:rPr>
          <w:bCs/>
          <w:sz w:val="27"/>
          <w:szCs w:val="27"/>
        </w:rPr>
      </w:pPr>
    </w:p>
    <w:p w:rsidR="00CA3EB1" w:rsidRPr="008E3426" w:rsidRDefault="00CA3EB1" w:rsidP="00CA3EB1">
      <w:pPr>
        <w:ind w:right="-666"/>
        <w:rPr>
          <w:bCs/>
          <w:sz w:val="27"/>
          <w:szCs w:val="27"/>
        </w:rPr>
      </w:pPr>
      <w:r w:rsidRPr="008E3426">
        <w:rPr>
          <w:bCs/>
          <w:sz w:val="27"/>
          <w:szCs w:val="27"/>
        </w:rPr>
        <w:t xml:space="preserve">Vīza:  </w:t>
      </w:r>
    </w:p>
    <w:p w:rsidR="00CA3EB1" w:rsidRPr="008E3426" w:rsidRDefault="00CA3EB1" w:rsidP="00CA3EB1">
      <w:pPr>
        <w:ind w:right="-666"/>
        <w:rPr>
          <w:bCs/>
          <w:sz w:val="27"/>
          <w:szCs w:val="27"/>
        </w:rPr>
      </w:pPr>
    </w:p>
    <w:p w:rsidR="00A374CB" w:rsidRDefault="00187C78" w:rsidP="00CA3EB1">
      <w:pPr>
        <w:ind w:right="-666"/>
        <w:rPr>
          <w:bCs/>
          <w:sz w:val="27"/>
          <w:szCs w:val="27"/>
        </w:rPr>
      </w:pPr>
      <w:r>
        <w:rPr>
          <w:bCs/>
          <w:sz w:val="27"/>
          <w:szCs w:val="27"/>
        </w:rPr>
        <w:t>valsts sekretārs</w:t>
      </w:r>
      <w:r w:rsidR="00CA3EB1">
        <w:rPr>
          <w:bCs/>
          <w:sz w:val="27"/>
          <w:szCs w:val="27"/>
        </w:rPr>
        <w:tab/>
        <w:t xml:space="preserve">                                                                     </w:t>
      </w:r>
      <w:r>
        <w:rPr>
          <w:bCs/>
          <w:sz w:val="27"/>
          <w:szCs w:val="27"/>
        </w:rPr>
        <w:t xml:space="preserve">          </w:t>
      </w:r>
      <w:proofErr w:type="spellStart"/>
      <w:r>
        <w:rPr>
          <w:bCs/>
          <w:sz w:val="27"/>
          <w:szCs w:val="27"/>
        </w:rPr>
        <w:t>R.Beinarovičs</w:t>
      </w:r>
      <w:proofErr w:type="spellEnd"/>
      <w:r w:rsidR="00CA3EB1" w:rsidRPr="008E3426">
        <w:rPr>
          <w:bCs/>
          <w:sz w:val="27"/>
          <w:szCs w:val="27"/>
        </w:rPr>
        <w:tab/>
      </w:r>
    </w:p>
    <w:p w:rsidR="00A374CB" w:rsidRDefault="00A374CB" w:rsidP="00CA3EB1">
      <w:pPr>
        <w:ind w:right="-666"/>
        <w:rPr>
          <w:bCs/>
          <w:sz w:val="27"/>
          <w:szCs w:val="27"/>
        </w:rPr>
      </w:pPr>
    </w:p>
    <w:p w:rsidR="00A374CB" w:rsidRDefault="00A374CB" w:rsidP="00CA3EB1">
      <w:pPr>
        <w:ind w:right="-666"/>
        <w:rPr>
          <w:bCs/>
          <w:sz w:val="27"/>
          <w:szCs w:val="27"/>
        </w:rPr>
      </w:pPr>
    </w:p>
    <w:p w:rsidR="00CA3EB1" w:rsidRPr="00E94C46" w:rsidRDefault="00CA3EB1" w:rsidP="00CA3EB1">
      <w:pPr>
        <w:ind w:right="-666"/>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w:t>
      </w:r>
      <w:r w:rsidRPr="00E94C46">
        <w:rPr>
          <w:bCs/>
          <w:sz w:val="28"/>
          <w:szCs w:val="28"/>
        </w:rPr>
        <w:tab/>
      </w:r>
      <w:r>
        <w:rPr>
          <w:bCs/>
          <w:sz w:val="28"/>
          <w:szCs w:val="28"/>
        </w:rPr>
        <w:t xml:space="preserve">                </w:t>
      </w:r>
    </w:p>
    <w:p w:rsidR="00CA3EB1" w:rsidRPr="00AE27A2" w:rsidRDefault="00CA3EB1" w:rsidP="00CA3EB1">
      <w:pPr>
        <w:pStyle w:val="naisf"/>
        <w:tabs>
          <w:tab w:val="left" w:pos="5325"/>
        </w:tabs>
        <w:spacing w:before="0" w:after="0"/>
        <w:ind w:firstLine="0"/>
        <w:rPr>
          <w:sz w:val="20"/>
          <w:szCs w:val="20"/>
        </w:rPr>
      </w:pPr>
    </w:p>
    <w:p w:rsidR="00CA3EB1" w:rsidRPr="00A01C1E" w:rsidRDefault="008C7E09" w:rsidP="00CA3EB1">
      <w:pPr>
        <w:pStyle w:val="naisf"/>
        <w:tabs>
          <w:tab w:val="left" w:pos="0"/>
        </w:tabs>
        <w:spacing w:before="0" w:after="0"/>
        <w:ind w:firstLine="0"/>
        <w:rPr>
          <w:sz w:val="20"/>
          <w:szCs w:val="20"/>
        </w:rPr>
      </w:pPr>
      <w:r>
        <w:rPr>
          <w:sz w:val="20"/>
          <w:szCs w:val="20"/>
        </w:rPr>
        <w:t>14</w:t>
      </w:r>
      <w:r w:rsidR="00187C78">
        <w:rPr>
          <w:sz w:val="20"/>
          <w:szCs w:val="20"/>
        </w:rPr>
        <w:t>.07</w:t>
      </w:r>
      <w:r w:rsidR="00CA3EB1" w:rsidRPr="00A01C1E">
        <w:rPr>
          <w:sz w:val="20"/>
          <w:szCs w:val="20"/>
        </w:rPr>
        <w:t>.2015.</w:t>
      </w:r>
      <w:r w:rsidR="00CA3EB1">
        <w:rPr>
          <w:sz w:val="20"/>
          <w:szCs w:val="20"/>
        </w:rPr>
        <w:t xml:space="preserve"> </w:t>
      </w:r>
    </w:p>
    <w:p w:rsidR="00CA3EB1" w:rsidRDefault="00187C78" w:rsidP="00CA3EB1">
      <w:pPr>
        <w:pStyle w:val="naisf"/>
        <w:tabs>
          <w:tab w:val="left" w:pos="0"/>
        </w:tabs>
        <w:spacing w:before="0" w:after="0"/>
        <w:ind w:firstLine="0"/>
        <w:rPr>
          <w:sz w:val="20"/>
          <w:szCs w:val="20"/>
        </w:rPr>
      </w:pPr>
      <w:r>
        <w:rPr>
          <w:sz w:val="20"/>
          <w:szCs w:val="20"/>
        </w:rPr>
        <w:t>20</w:t>
      </w:r>
      <w:r w:rsidR="008C7E09">
        <w:rPr>
          <w:sz w:val="20"/>
          <w:szCs w:val="20"/>
        </w:rPr>
        <w:t>13</w:t>
      </w:r>
    </w:p>
    <w:p w:rsidR="00CA3EB1" w:rsidRPr="00A01C1E" w:rsidRDefault="00CA3EB1" w:rsidP="00CA3EB1">
      <w:pPr>
        <w:pStyle w:val="naisf"/>
        <w:tabs>
          <w:tab w:val="left" w:pos="0"/>
        </w:tabs>
        <w:spacing w:before="0" w:after="0"/>
        <w:ind w:firstLine="0"/>
        <w:rPr>
          <w:sz w:val="20"/>
          <w:szCs w:val="20"/>
        </w:rPr>
      </w:pPr>
      <w:r w:rsidRPr="00A01C1E">
        <w:rPr>
          <w:sz w:val="20"/>
          <w:szCs w:val="20"/>
        </w:rPr>
        <w:t>Ivanova, 67013156</w:t>
      </w:r>
    </w:p>
    <w:p w:rsidR="00CA3EB1" w:rsidRPr="001971C2" w:rsidRDefault="006C2399" w:rsidP="00CA3EB1">
      <w:pPr>
        <w:pStyle w:val="naisf"/>
        <w:tabs>
          <w:tab w:val="left" w:pos="0"/>
        </w:tabs>
        <w:spacing w:before="0" w:after="0"/>
        <w:ind w:firstLine="0"/>
        <w:rPr>
          <w:sz w:val="20"/>
          <w:szCs w:val="20"/>
        </w:rPr>
      </w:pPr>
      <w:hyperlink r:id="rId12" w:history="1">
        <w:r w:rsidR="00CA3EB1" w:rsidRPr="00A01C1E">
          <w:rPr>
            <w:rStyle w:val="Hyperlink"/>
            <w:sz w:val="20"/>
            <w:szCs w:val="20"/>
          </w:rPr>
          <w:t>Margarita.Ivanova@em.gov.lv</w:t>
        </w:r>
      </w:hyperlink>
      <w:bookmarkStart w:id="8" w:name="c"/>
      <w:bookmarkEnd w:id="8"/>
    </w:p>
    <w:p w:rsidR="00BA7F8E" w:rsidRDefault="00BA7F8E"/>
    <w:sectPr w:rsidR="00BA7F8E" w:rsidSect="007F53FB">
      <w:headerReference w:type="default" r:id="rId13"/>
      <w:footerReference w:type="default" r:id="rId14"/>
      <w:footerReference w:type="first" r:id="rId15"/>
      <w:pgSz w:w="11906" w:h="16838"/>
      <w:pgMar w:top="1440" w:right="17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399" w:rsidRDefault="006C2399" w:rsidP="00CD1D80">
      <w:r>
        <w:separator/>
      </w:r>
    </w:p>
  </w:endnote>
  <w:endnote w:type="continuationSeparator" w:id="0">
    <w:p w:rsidR="006C2399" w:rsidRDefault="006C2399" w:rsidP="00CD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141" w:rsidRDefault="00244141" w:rsidP="007F53FB">
    <w:pPr>
      <w:pStyle w:val="Footer"/>
      <w:jc w:val="both"/>
      <w:rPr>
        <w:sz w:val="20"/>
        <w:szCs w:val="20"/>
      </w:rPr>
    </w:pPr>
  </w:p>
  <w:p w:rsidR="00244141" w:rsidRPr="004D310E" w:rsidRDefault="00244141" w:rsidP="007F53FB">
    <w:pPr>
      <w:pStyle w:val="Footer"/>
      <w:jc w:val="both"/>
      <w:rPr>
        <w:sz w:val="20"/>
        <w:szCs w:val="20"/>
      </w:rPr>
    </w:pPr>
    <w:r>
      <w:rPr>
        <w:sz w:val="20"/>
        <w:szCs w:val="20"/>
      </w:rPr>
      <w:t>EMAnot_groz_not.Nr.132_</w:t>
    </w:r>
    <w:r w:rsidR="008C7E09">
      <w:rPr>
        <w:sz w:val="20"/>
        <w:szCs w:val="20"/>
      </w:rPr>
      <w:t>14</w:t>
    </w:r>
    <w:r w:rsidR="00187C78">
      <w:rPr>
        <w:sz w:val="20"/>
        <w:szCs w:val="20"/>
      </w:rPr>
      <w:t>07</w:t>
    </w:r>
    <w:r>
      <w:rPr>
        <w:sz w:val="20"/>
        <w:szCs w:val="20"/>
      </w:rPr>
      <w:t>15</w:t>
    </w:r>
    <w:r w:rsidRPr="00E90168">
      <w:rPr>
        <w:sz w:val="20"/>
        <w:szCs w:val="20"/>
      </w:rPr>
      <w:t xml:space="preserve">; Ministru </w:t>
    </w:r>
    <w:r>
      <w:rPr>
        <w:sz w:val="20"/>
        <w:szCs w:val="20"/>
      </w:rPr>
      <w:t>kabineta noteikumu projekta</w:t>
    </w:r>
    <w:r w:rsidRPr="00E90168">
      <w:rPr>
        <w:sz w:val="20"/>
        <w:szCs w:val="20"/>
      </w:rPr>
      <w:t xml:space="preserve"> „</w:t>
    </w:r>
    <w:r w:rsidRPr="00E90168">
      <w:rPr>
        <w:bCs/>
        <w:sz w:val="20"/>
        <w:szCs w:val="20"/>
      </w:rPr>
      <w:t>Grozījumi Ministru kabineta 2011.gada 15.februāra noteikumos Nr.132 „</w:t>
    </w:r>
    <w:r w:rsidRPr="00E90168">
      <w:rPr>
        <w:sz w:val="20"/>
        <w:szCs w:val="20"/>
      </w:rPr>
      <w:t>Rotaļlietu drošuma noteikumi””</w:t>
    </w:r>
    <w:r>
      <w:rPr>
        <w:sz w:val="20"/>
        <w:szCs w:val="20"/>
      </w:rPr>
      <w:t xml:space="preserve"> sākotnējās ietekmes novērtējuma ziņojums (anotācija)</w:t>
    </w:r>
  </w:p>
  <w:p w:rsidR="00244141" w:rsidRDefault="002441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141" w:rsidRPr="004D310E" w:rsidRDefault="008C7E09" w:rsidP="007F53FB">
    <w:pPr>
      <w:pStyle w:val="Footer"/>
      <w:jc w:val="both"/>
      <w:rPr>
        <w:sz w:val="20"/>
        <w:szCs w:val="20"/>
      </w:rPr>
    </w:pPr>
    <w:r>
      <w:rPr>
        <w:sz w:val="20"/>
        <w:szCs w:val="20"/>
      </w:rPr>
      <w:t>EMAnot_groz_not.Nr.132_14</w:t>
    </w:r>
    <w:r w:rsidR="00187C78">
      <w:rPr>
        <w:sz w:val="20"/>
        <w:szCs w:val="20"/>
      </w:rPr>
      <w:t>07</w:t>
    </w:r>
    <w:r w:rsidR="00244141">
      <w:rPr>
        <w:sz w:val="20"/>
        <w:szCs w:val="20"/>
      </w:rPr>
      <w:t>15</w:t>
    </w:r>
    <w:r w:rsidR="00244141" w:rsidRPr="00E90168">
      <w:rPr>
        <w:sz w:val="20"/>
        <w:szCs w:val="20"/>
      </w:rPr>
      <w:t>; Mini</w:t>
    </w:r>
    <w:r w:rsidR="00244141">
      <w:rPr>
        <w:sz w:val="20"/>
        <w:szCs w:val="20"/>
      </w:rPr>
      <w:t>stru kabineta noteikumu projekta</w:t>
    </w:r>
    <w:r w:rsidR="00244141" w:rsidRPr="00E90168">
      <w:rPr>
        <w:sz w:val="20"/>
        <w:szCs w:val="20"/>
      </w:rPr>
      <w:t xml:space="preserve"> „</w:t>
    </w:r>
    <w:r w:rsidR="00244141" w:rsidRPr="00E90168">
      <w:rPr>
        <w:bCs/>
        <w:sz w:val="20"/>
        <w:szCs w:val="20"/>
      </w:rPr>
      <w:t>Grozījumi Ministru kabineta 2011.gada 15.februāra noteikumos Nr.132 „</w:t>
    </w:r>
    <w:r w:rsidR="00244141" w:rsidRPr="00E90168">
      <w:rPr>
        <w:sz w:val="20"/>
        <w:szCs w:val="20"/>
      </w:rPr>
      <w:t>Rotaļlietu drošuma noteikumi””</w:t>
    </w:r>
    <w:r w:rsidR="00244141">
      <w:rPr>
        <w:sz w:val="20"/>
        <w:szCs w:val="20"/>
      </w:rPr>
      <w:t xml:space="preserve"> sākotnējās ietekmes novērtējuma ziņojums (anotācija)</w:t>
    </w:r>
  </w:p>
  <w:p w:rsidR="00244141" w:rsidRDefault="002441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399" w:rsidRDefault="006C2399" w:rsidP="00CD1D80">
      <w:r>
        <w:separator/>
      </w:r>
    </w:p>
  </w:footnote>
  <w:footnote w:type="continuationSeparator" w:id="0">
    <w:p w:rsidR="006C2399" w:rsidRDefault="006C2399" w:rsidP="00CD1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141" w:rsidRDefault="00244141">
    <w:pPr>
      <w:pStyle w:val="Header"/>
      <w:jc w:val="center"/>
    </w:pPr>
    <w:r>
      <w:fldChar w:fldCharType="begin"/>
    </w:r>
    <w:r>
      <w:instrText xml:space="preserve"> PAGE   \* MERGEFORMAT </w:instrText>
    </w:r>
    <w:r>
      <w:fldChar w:fldCharType="separate"/>
    </w:r>
    <w:r w:rsidR="008021D3">
      <w:rPr>
        <w:noProof/>
      </w:rPr>
      <w:t>9</w:t>
    </w:r>
    <w:r>
      <w:fldChar w:fldCharType="end"/>
    </w:r>
  </w:p>
  <w:p w:rsidR="00244141" w:rsidRDefault="002441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262037"/>
    <w:multiLevelType w:val="hybridMultilevel"/>
    <w:tmpl w:val="A5BA72DC"/>
    <w:lvl w:ilvl="0" w:tplc="1E1684DE">
      <w:start w:val="2014"/>
      <w:numFmt w:val="bullet"/>
      <w:lvlText w:val="-"/>
      <w:lvlJc w:val="left"/>
      <w:pPr>
        <w:ind w:left="656" w:hanging="360"/>
      </w:pPr>
      <w:rPr>
        <w:rFonts w:ascii="Times New Roman" w:eastAsia="Times New Roman" w:hAnsi="Times New Roman" w:cs="Times New Roman" w:hint="default"/>
      </w:rPr>
    </w:lvl>
    <w:lvl w:ilvl="1" w:tplc="04260003" w:tentative="1">
      <w:start w:val="1"/>
      <w:numFmt w:val="bullet"/>
      <w:lvlText w:val="o"/>
      <w:lvlJc w:val="left"/>
      <w:pPr>
        <w:ind w:left="1376" w:hanging="360"/>
      </w:pPr>
      <w:rPr>
        <w:rFonts w:ascii="Courier New" w:hAnsi="Courier New" w:cs="Courier New" w:hint="default"/>
      </w:rPr>
    </w:lvl>
    <w:lvl w:ilvl="2" w:tplc="04260005" w:tentative="1">
      <w:start w:val="1"/>
      <w:numFmt w:val="bullet"/>
      <w:lvlText w:val=""/>
      <w:lvlJc w:val="left"/>
      <w:pPr>
        <w:ind w:left="2096" w:hanging="360"/>
      </w:pPr>
      <w:rPr>
        <w:rFonts w:ascii="Wingdings" w:hAnsi="Wingdings" w:hint="default"/>
      </w:rPr>
    </w:lvl>
    <w:lvl w:ilvl="3" w:tplc="04260001" w:tentative="1">
      <w:start w:val="1"/>
      <w:numFmt w:val="bullet"/>
      <w:lvlText w:val=""/>
      <w:lvlJc w:val="left"/>
      <w:pPr>
        <w:ind w:left="2816" w:hanging="360"/>
      </w:pPr>
      <w:rPr>
        <w:rFonts w:ascii="Symbol" w:hAnsi="Symbol" w:hint="default"/>
      </w:rPr>
    </w:lvl>
    <w:lvl w:ilvl="4" w:tplc="04260003" w:tentative="1">
      <w:start w:val="1"/>
      <w:numFmt w:val="bullet"/>
      <w:lvlText w:val="o"/>
      <w:lvlJc w:val="left"/>
      <w:pPr>
        <w:ind w:left="3536" w:hanging="360"/>
      </w:pPr>
      <w:rPr>
        <w:rFonts w:ascii="Courier New" w:hAnsi="Courier New" w:cs="Courier New" w:hint="default"/>
      </w:rPr>
    </w:lvl>
    <w:lvl w:ilvl="5" w:tplc="04260005" w:tentative="1">
      <w:start w:val="1"/>
      <w:numFmt w:val="bullet"/>
      <w:lvlText w:val=""/>
      <w:lvlJc w:val="left"/>
      <w:pPr>
        <w:ind w:left="4256" w:hanging="360"/>
      </w:pPr>
      <w:rPr>
        <w:rFonts w:ascii="Wingdings" w:hAnsi="Wingdings" w:hint="default"/>
      </w:rPr>
    </w:lvl>
    <w:lvl w:ilvl="6" w:tplc="04260001" w:tentative="1">
      <w:start w:val="1"/>
      <w:numFmt w:val="bullet"/>
      <w:lvlText w:val=""/>
      <w:lvlJc w:val="left"/>
      <w:pPr>
        <w:ind w:left="4976" w:hanging="360"/>
      </w:pPr>
      <w:rPr>
        <w:rFonts w:ascii="Symbol" w:hAnsi="Symbol" w:hint="default"/>
      </w:rPr>
    </w:lvl>
    <w:lvl w:ilvl="7" w:tplc="04260003" w:tentative="1">
      <w:start w:val="1"/>
      <w:numFmt w:val="bullet"/>
      <w:lvlText w:val="o"/>
      <w:lvlJc w:val="left"/>
      <w:pPr>
        <w:ind w:left="5696" w:hanging="360"/>
      </w:pPr>
      <w:rPr>
        <w:rFonts w:ascii="Courier New" w:hAnsi="Courier New" w:cs="Courier New" w:hint="default"/>
      </w:rPr>
    </w:lvl>
    <w:lvl w:ilvl="8" w:tplc="04260005" w:tentative="1">
      <w:start w:val="1"/>
      <w:numFmt w:val="bullet"/>
      <w:lvlText w:val=""/>
      <w:lvlJc w:val="left"/>
      <w:pPr>
        <w:ind w:left="64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B1"/>
    <w:rsid w:val="00004DCA"/>
    <w:rsid w:val="00043F4A"/>
    <w:rsid w:val="000A2A64"/>
    <w:rsid w:val="000C6A38"/>
    <w:rsid w:val="000D59BC"/>
    <w:rsid w:val="000E3A05"/>
    <w:rsid w:val="00145CCD"/>
    <w:rsid w:val="001830C3"/>
    <w:rsid w:val="00187C78"/>
    <w:rsid w:val="00244141"/>
    <w:rsid w:val="00247E04"/>
    <w:rsid w:val="00273F42"/>
    <w:rsid w:val="002D476C"/>
    <w:rsid w:val="00313101"/>
    <w:rsid w:val="003245AA"/>
    <w:rsid w:val="003271E7"/>
    <w:rsid w:val="003872C0"/>
    <w:rsid w:val="00485316"/>
    <w:rsid w:val="004A2260"/>
    <w:rsid w:val="004B15DF"/>
    <w:rsid w:val="004E7532"/>
    <w:rsid w:val="00523AAD"/>
    <w:rsid w:val="00572D8D"/>
    <w:rsid w:val="00652B95"/>
    <w:rsid w:val="006C2399"/>
    <w:rsid w:val="00711022"/>
    <w:rsid w:val="00716D09"/>
    <w:rsid w:val="00741461"/>
    <w:rsid w:val="007D0D67"/>
    <w:rsid w:val="007F53FB"/>
    <w:rsid w:val="008021D3"/>
    <w:rsid w:val="008C7E09"/>
    <w:rsid w:val="008D4E63"/>
    <w:rsid w:val="008E756C"/>
    <w:rsid w:val="0098412A"/>
    <w:rsid w:val="009A5E85"/>
    <w:rsid w:val="009F6260"/>
    <w:rsid w:val="00A13A49"/>
    <w:rsid w:val="00A17674"/>
    <w:rsid w:val="00A374CB"/>
    <w:rsid w:val="00A95EDB"/>
    <w:rsid w:val="00AB5CC0"/>
    <w:rsid w:val="00B0783C"/>
    <w:rsid w:val="00B42AC2"/>
    <w:rsid w:val="00BA3F9E"/>
    <w:rsid w:val="00BA7F8E"/>
    <w:rsid w:val="00BD502F"/>
    <w:rsid w:val="00BE5BBC"/>
    <w:rsid w:val="00C66193"/>
    <w:rsid w:val="00CA3EB1"/>
    <w:rsid w:val="00CD1D80"/>
    <w:rsid w:val="00CF005A"/>
    <w:rsid w:val="00D45314"/>
    <w:rsid w:val="00DC7477"/>
    <w:rsid w:val="00E26B25"/>
    <w:rsid w:val="00E42213"/>
    <w:rsid w:val="00F56D25"/>
    <w:rsid w:val="00F57871"/>
    <w:rsid w:val="00F73A93"/>
    <w:rsid w:val="00FC1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8266342B-94A5-49ED-9ACF-D6EE52AE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EB1"/>
    <w:rPr>
      <w:rFonts w:eastAsia="Times New Roman" w:cs="Times New Roman"/>
      <w:color w:val="000000"/>
      <w:sz w:val="24"/>
      <w:szCs w:val="24"/>
    </w:rPr>
  </w:style>
  <w:style w:type="paragraph" w:styleId="Heading1">
    <w:name w:val="heading 1"/>
    <w:basedOn w:val="Normal"/>
    <w:next w:val="Normal"/>
    <w:link w:val="Heading1Char"/>
    <w:qFormat/>
    <w:rsid w:val="00CA3EB1"/>
    <w:pPr>
      <w:keepNext/>
      <w:jc w:val="right"/>
      <w:outlineLvl w:val="0"/>
    </w:pPr>
    <w:rPr>
      <w:color w:val="auto"/>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EB1"/>
    <w:rPr>
      <w:rFonts w:eastAsia="Times New Roman" w:cs="Times New Roman"/>
      <w:szCs w:val="20"/>
      <w:lang w:eastAsia="lv-LV"/>
    </w:rPr>
  </w:style>
  <w:style w:type="paragraph" w:styleId="z-TopofForm">
    <w:name w:val="HTML Top of Form"/>
    <w:basedOn w:val="Normal"/>
    <w:next w:val="Normal"/>
    <w:link w:val="z-TopofFormChar"/>
    <w:hidden/>
    <w:uiPriority w:val="99"/>
    <w:semiHidden/>
    <w:unhideWhenUsed/>
    <w:rsid w:val="00CA3EB1"/>
    <w:pPr>
      <w:pBdr>
        <w:bottom w:val="single" w:sz="6" w:space="1" w:color="auto"/>
      </w:pBdr>
      <w:jc w:val="center"/>
    </w:pPr>
    <w:rPr>
      <w:rFonts w:ascii="Arial" w:hAnsi="Arial" w:cs="Arial"/>
      <w:vanish/>
      <w:sz w:val="16"/>
      <w:szCs w:val="16"/>
      <w:lang w:eastAsia="lv-LV"/>
    </w:rPr>
  </w:style>
  <w:style w:type="character" w:customStyle="1" w:styleId="z-TopofFormChar">
    <w:name w:val="z-Top of Form Char"/>
    <w:basedOn w:val="DefaultParagraphFont"/>
    <w:link w:val="z-TopofForm"/>
    <w:uiPriority w:val="99"/>
    <w:semiHidden/>
    <w:rsid w:val="00CA3EB1"/>
    <w:rPr>
      <w:rFonts w:ascii="Arial" w:eastAsia="Times New Roman" w:hAnsi="Arial" w:cs="Arial"/>
      <w:vanish/>
      <w:color w:val="000000"/>
      <w:sz w:val="16"/>
      <w:szCs w:val="16"/>
      <w:lang w:eastAsia="lv-LV"/>
    </w:rPr>
  </w:style>
  <w:style w:type="paragraph" w:styleId="NormalWeb">
    <w:name w:val="Normal (Web)"/>
    <w:basedOn w:val="Normal"/>
    <w:uiPriority w:val="99"/>
    <w:unhideWhenUsed/>
    <w:rsid w:val="00CA3EB1"/>
    <w:pPr>
      <w:spacing w:before="69" w:after="69"/>
      <w:ind w:firstLine="346"/>
      <w:jc w:val="both"/>
    </w:pPr>
    <w:rPr>
      <w:lang w:eastAsia="lv-LV"/>
    </w:rPr>
  </w:style>
  <w:style w:type="paragraph" w:styleId="FootnoteText">
    <w:name w:val="footnote text"/>
    <w:basedOn w:val="Normal"/>
    <w:link w:val="FootnoteTextChar"/>
    <w:uiPriority w:val="99"/>
    <w:semiHidden/>
    <w:unhideWhenUsed/>
    <w:rsid w:val="00CA3EB1"/>
    <w:rPr>
      <w:sz w:val="20"/>
      <w:szCs w:val="20"/>
      <w:lang w:eastAsia="lv-LV"/>
    </w:rPr>
  </w:style>
  <w:style w:type="character" w:customStyle="1" w:styleId="FootnoteTextChar">
    <w:name w:val="Footnote Text Char"/>
    <w:basedOn w:val="DefaultParagraphFont"/>
    <w:link w:val="FootnoteText"/>
    <w:uiPriority w:val="99"/>
    <w:semiHidden/>
    <w:rsid w:val="00CA3EB1"/>
    <w:rPr>
      <w:rFonts w:eastAsia="Times New Roman" w:cs="Times New Roman"/>
      <w:color w:val="000000"/>
      <w:sz w:val="20"/>
      <w:szCs w:val="20"/>
      <w:lang w:eastAsia="lv-LV"/>
    </w:rPr>
  </w:style>
  <w:style w:type="paragraph" w:customStyle="1" w:styleId="naisf">
    <w:name w:val="naisf"/>
    <w:basedOn w:val="Normal"/>
    <w:rsid w:val="00CA3EB1"/>
    <w:pPr>
      <w:spacing w:before="69" w:after="69"/>
      <w:ind w:firstLine="346"/>
      <w:jc w:val="both"/>
    </w:pPr>
    <w:rPr>
      <w:lang w:eastAsia="lv-LV"/>
    </w:rPr>
  </w:style>
  <w:style w:type="paragraph" w:customStyle="1" w:styleId="naisnod">
    <w:name w:val="naisnod"/>
    <w:basedOn w:val="Normal"/>
    <w:rsid w:val="00CA3EB1"/>
    <w:pPr>
      <w:spacing w:before="150" w:after="150"/>
      <w:jc w:val="center"/>
    </w:pPr>
    <w:rPr>
      <w:b/>
      <w:bCs/>
      <w:lang w:eastAsia="lv-LV"/>
    </w:rPr>
  </w:style>
  <w:style w:type="paragraph" w:customStyle="1" w:styleId="naislab">
    <w:name w:val="naislab"/>
    <w:basedOn w:val="Normal"/>
    <w:rsid w:val="00CA3EB1"/>
    <w:pPr>
      <w:spacing w:before="75" w:after="75"/>
      <w:jc w:val="right"/>
    </w:pPr>
    <w:rPr>
      <w:lang w:eastAsia="lv-LV"/>
    </w:rPr>
  </w:style>
  <w:style w:type="paragraph" w:customStyle="1" w:styleId="naiskr">
    <w:name w:val="naiskr"/>
    <w:basedOn w:val="Normal"/>
    <w:rsid w:val="00CA3EB1"/>
    <w:pPr>
      <w:spacing w:before="75" w:after="75"/>
    </w:pPr>
    <w:rPr>
      <w:lang w:eastAsia="lv-LV"/>
    </w:rPr>
  </w:style>
  <w:style w:type="character" w:customStyle="1" w:styleId="apple-style-span">
    <w:name w:val="apple-style-span"/>
    <w:basedOn w:val="DefaultParagraphFont"/>
    <w:rsid w:val="00CA3EB1"/>
  </w:style>
  <w:style w:type="paragraph" w:styleId="Header">
    <w:name w:val="header"/>
    <w:basedOn w:val="Normal"/>
    <w:link w:val="HeaderChar"/>
    <w:uiPriority w:val="99"/>
    <w:unhideWhenUsed/>
    <w:rsid w:val="00CA3EB1"/>
    <w:pPr>
      <w:tabs>
        <w:tab w:val="center" w:pos="4153"/>
        <w:tab w:val="right" w:pos="8306"/>
      </w:tabs>
    </w:pPr>
  </w:style>
  <w:style w:type="character" w:customStyle="1" w:styleId="HeaderChar">
    <w:name w:val="Header Char"/>
    <w:basedOn w:val="DefaultParagraphFont"/>
    <w:link w:val="Header"/>
    <w:uiPriority w:val="99"/>
    <w:rsid w:val="00CA3EB1"/>
    <w:rPr>
      <w:rFonts w:eastAsia="Times New Roman" w:cs="Times New Roman"/>
      <w:color w:val="000000"/>
      <w:sz w:val="24"/>
      <w:szCs w:val="24"/>
    </w:rPr>
  </w:style>
  <w:style w:type="paragraph" w:styleId="Footer">
    <w:name w:val="footer"/>
    <w:basedOn w:val="Normal"/>
    <w:link w:val="FooterChar"/>
    <w:uiPriority w:val="99"/>
    <w:unhideWhenUsed/>
    <w:rsid w:val="00CA3EB1"/>
    <w:pPr>
      <w:tabs>
        <w:tab w:val="center" w:pos="4153"/>
        <w:tab w:val="right" w:pos="8306"/>
      </w:tabs>
    </w:pPr>
  </w:style>
  <w:style w:type="character" w:customStyle="1" w:styleId="FooterChar">
    <w:name w:val="Footer Char"/>
    <w:basedOn w:val="DefaultParagraphFont"/>
    <w:link w:val="Footer"/>
    <w:uiPriority w:val="99"/>
    <w:rsid w:val="00CA3EB1"/>
    <w:rPr>
      <w:rFonts w:eastAsia="Times New Roman" w:cs="Times New Roman"/>
      <w:color w:val="000000"/>
      <w:sz w:val="24"/>
      <w:szCs w:val="24"/>
    </w:rPr>
  </w:style>
  <w:style w:type="character" w:styleId="Hyperlink">
    <w:name w:val="Hyperlink"/>
    <w:uiPriority w:val="99"/>
    <w:rsid w:val="00CA3EB1"/>
    <w:rPr>
      <w:color w:val="0000FF"/>
      <w:u w:val="single"/>
    </w:rPr>
  </w:style>
  <w:style w:type="paragraph" w:styleId="Subtitle">
    <w:name w:val="Subtitle"/>
    <w:basedOn w:val="Normal"/>
    <w:link w:val="SubtitleChar"/>
    <w:qFormat/>
    <w:rsid w:val="00CA3EB1"/>
    <w:pPr>
      <w:widowControl w:val="0"/>
      <w:spacing w:before="60" w:after="60" w:line="360" w:lineRule="auto"/>
      <w:ind w:firstLine="720"/>
      <w:jc w:val="center"/>
      <w:outlineLvl w:val="1"/>
    </w:pPr>
    <w:rPr>
      <w:rFonts w:ascii="Arial" w:hAnsi="Arial" w:cs="Arial"/>
      <w:color w:val="auto"/>
      <w:lang w:val="en-AU"/>
    </w:rPr>
  </w:style>
  <w:style w:type="character" w:customStyle="1" w:styleId="SubtitleChar">
    <w:name w:val="Subtitle Char"/>
    <w:basedOn w:val="DefaultParagraphFont"/>
    <w:link w:val="Subtitle"/>
    <w:rsid w:val="00CA3EB1"/>
    <w:rPr>
      <w:rFonts w:ascii="Arial" w:eastAsia="Times New Roman" w:hAnsi="Arial" w:cs="Arial"/>
      <w:sz w:val="24"/>
      <w:szCs w:val="24"/>
      <w:lang w:val="en-AU"/>
    </w:rPr>
  </w:style>
  <w:style w:type="paragraph" w:styleId="BalloonText">
    <w:name w:val="Balloon Text"/>
    <w:basedOn w:val="Normal"/>
    <w:link w:val="BalloonTextChar"/>
    <w:uiPriority w:val="99"/>
    <w:semiHidden/>
    <w:unhideWhenUsed/>
    <w:rsid w:val="00387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2C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health/scientific_committees/environmental_risks/docs/scher_o_158.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garita.Ivanova@e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c.europa.eu/health/scientific_committees/environmental_risks/docs/scher_o_163.pdf" TargetMode="External"/><Relationship Id="rId4" Type="http://schemas.openxmlformats.org/officeDocument/2006/relationships/settings" Target="settings.xml"/><Relationship Id="rId9" Type="http://schemas.openxmlformats.org/officeDocument/2006/relationships/hyperlink" Target="http://echa.europa.eu/documents/10162/d1d9e186-4385-4595-b6cb-5a1a7a160f0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CC4C8-20E5-4ECD-A530-CB91A4DB2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2326</Words>
  <Characters>14818</Characters>
  <Application>Microsoft Office Word</Application>
  <DocSecurity>0</DocSecurity>
  <Lines>529</Lines>
  <Paragraphs>300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15.februāra noteikumos Nr.132 „Rotaļlietu drošuma noteikumi”” sākotnējās ietekmes novērtējuma ziņojums (anotācija)</vt:lpstr>
    </vt:vector>
  </TitlesOfParts>
  <Company>LR Ekonomikas ministrija</Company>
  <LinksUpToDate>false</LinksUpToDate>
  <CharactersWithSpaces>16844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15.februāra noteikumos Nr.132 „Rotaļlietu drošuma noteikumi”” sākotnējās ietekmes novērtējuma ziņojums (anotācija)</dc:title>
  <dc:subject>Noteikumu projekta anotācija</dc:subject>
  <dc:creator>Margarita Ivanova</dc:creator>
  <cp:keywords/>
  <dc:description>Margarita.Ivanova@em.gov.lv, 67013156</dc:description>
  <cp:lastModifiedBy>Margarita Ivanova</cp:lastModifiedBy>
  <cp:revision>4</cp:revision>
  <cp:lastPrinted>2015-07-07T11:28:00Z</cp:lastPrinted>
  <dcterms:created xsi:type="dcterms:W3CDTF">2015-07-14T11:48:00Z</dcterms:created>
  <dcterms:modified xsi:type="dcterms:W3CDTF">2015-07-14T12:25:00Z</dcterms:modified>
</cp:coreProperties>
</file>