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2DCAC5" w14:textId="77777777" w:rsidR="00AB2A5C" w:rsidRPr="00B23E16" w:rsidRDefault="00AB2A5C" w:rsidP="00AB2A5C">
      <w:pPr>
        <w:jc w:val="center"/>
        <w:rPr>
          <w:b/>
          <w:sz w:val="28"/>
          <w:szCs w:val="28"/>
        </w:rPr>
      </w:pPr>
      <w:r w:rsidRPr="00B23E16">
        <w:rPr>
          <w:b/>
          <w:sz w:val="28"/>
          <w:szCs w:val="28"/>
        </w:rPr>
        <w:t>Ministru kabineta noteikumu projekta „</w:t>
      </w:r>
      <w:r w:rsidR="00A15CB5" w:rsidRPr="00B23E16">
        <w:rPr>
          <w:b/>
          <w:sz w:val="28"/>
          <w:szCs w:val="28"/>
        </w:rPr>
        <w:t>Grozījum</w:t>
      </w:r>
      <w:r w:rsidR="00D17A21" w:rsidRPr="00B23E16">
        <w:rPr>
          <w:b/>
          <w:sz w:val="28"/>
          <w:szCs w:val="28"/>
        </w:rPr>
        <w:t>i</w:t>
      </w:r>
      <w:r w:rsidR="00A15CB5" w:rsidRPr="00B23E16">
        <w:rPr>
          <w:b/>
          <w:sz w:val="28"/>
          <w:szCs w:val="28"/>
        </w:rPr>
        <w:t xml:space="preserve"> Ministru kabineta </w:t>
      </w:r>
      <w:proofErr w:type="gramStart"/>
      <w:r w:rsidR="00A15CB5" w:rsidRPr="00B23E16">
        <w:rPr>
          <w:b/>
          <w:sz w:val="28"/>
          <w:szCs w:val="28"/>
        </w:rPr>
        <w:t>2008.gada</w:t>
      </w:r>
      <w:proofErr w:type="gramEnd"/>
      <w:r w:rsidR="00A15CB5" w:rsidRPr="00B23E16">
        <w:rPr>
          <w:b/>
          <w:sz w:val="28"/>
          <w:szCs w:val="28"/>
        </w:rPr>
        <w:t xml:space="preserve"> 22.janvāra noteikumos Nr.32</w:t>
      </w:r>
      <w:r w:rsidR="00A15CB5" w:rsidRPr="00B23E16">
        <w:rPr>
          <w:b/>
          <w:bCs/>
          <w:sz w:val="28"/>
          <w:szCs w:val="28"/>
        </w:rPr>
        <w:t xml:space="preserve"> „Prosti</w:t>
      </w:r>
      <w:r w:rsidR="00FE3772" w:rsidRPr="00B23E16">
        <w:rPr>
          <w:b/>
          <w:bCs/>
          <w:sz w:val="28"/>
          <w:szCs w:val="28"/>
        </w:rPr>
        <w:t>tūcijas ierobežošanas noteikumi”</w:t>
      </w:r>
      <w:r w:rsidRPr="00B23E16">
        <w:rPr>
          <w:b/>
          <w:sz w:val="28"/>
          <w:szCs w:val="28"/>
        </w:rPr>
        <w:t>”</w:t>
      </w:r>
      <w:r w:rsidR="00A15CB5" w:rsidRPr="00B23E16">
        <w:rPr>
          <w:b/>
          <w:sz w:val="28"/>
          <w:szCs w:val="28"/>
        </w:rPr>
        <w:t xml:space="preserve"> </w:t>
      </w:r>
      <w:r w:rsidRPr="00B23E16">
        <w:rPr>
          <w:b/>
          <w:sz w:val="28"/>
          <w:szCs w:val="28"/>
        </w:rPr>
        <w:t>sākotnējās ietekmes novērtējuma ziņojums</w:t>
      </w:r>
    </w:p>
    <w:p w14:paraId="59C8C0F4" w14:textId="77777777" w:rsidR="00AB2A5C" w:rsidRPr="00B23E16" w:rsidRDefault="00AB2A5C" w:rsidP="00AB2A5C">
      <w:pPr>
        <w:pStyle w:val="Footer"/>
        <w:jc w:val="center"/>
        <w:rPr>
          <w:b/>
          <w:sz w:val="28"/>
          <w:szCs w:val="28"/>
        </w:rPr>
      </w:pPr>
      <w:r w:rsidRPr="00B23E16">
        <w:rPr>
          <w:b/>
          <w:sz w:val="28"/>
          <w:szCs w:val="28"/>
        </w:rPr>
        <w:t>(anotācija)</w:t>
      </w:r>
    </w:p>
    <w:p w14:paraId="059F453C" w14:textId="77777777" w:rsidR="00AB2A5C" w:rsidRPr="00B23E16" w:rsidRDefault="00AB2A5C" w:rsidP="00AB2A5C">
      <w:pPr>
        <w:pStyle w:val="BodyText"/>
        <w:rPr>
          <w:szCs w:val="28"/>
        </w:rPr>
      </w:pPr>
    </w:p>
    <w:tbl>
      <w:tblPr>
        <w:tblW w:w="9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
        <w:gridCol w:w="2649"/>
        <w:gridCol w:w="5367"/>
      </w:tblGrid>
      <w:tr w:rsidR="00B23E16" w:rsidRPr="00B23E16" w14:paraId="2320616B" w14:textId="77777777" w:rsidTr="00625A17">
        <w:trPr>
          <w:trHeight w:val="333"/>
        </w:trPr>
        <w:tc>
          <w:tcPr>
            <w:tcW w:w="9061" w:type="dxa"/>
            <w:gridSpan w:val="3"/>
          </w:tcPr>
          <w:p w14:paraId="4A2FB430" w14:textId="77777777" w:rsidR="00AB2A5C" w:rsidRPr="00B23E16" w:rsidRDefault="00AB2A5C" w:rsidP="000A782E">
            <w:pPr>
              <w:pStyle w:val="BodyText"/>
              <w:rPr>
                <w:szCs w:val="28"/>
              </w:rPr>
            </w:pPr>
            <w:r w:rsidRPr="00B23E16">
              <w:rPr>
                <w:szCs w:val="28"/>
              </w:rPr>
              <w:t>I. Tiesību akta projekta izstrādes nepieciešamība</w:t>
            </w:r>
          </w:p>
        </w:tc>
      </w:tr>
      <w:tr w:rsidR="00B23E16" w:rsidRPr="00B23E16" w14:paraId="0B76C40C" w14:textId="77777777" w:rsidTr="000A782E">
        <w:tc>
          <w:tcPr>
            <w:tcW w:w="1045" w:type="dxa"/>
          </w:tcPr>
          <w:p w14:paraId="2C460064" w14:textId="77777777" w:rsidR="00AB2A5C" w:rsidRPr="00B23E16" w:rsidRDefault="00AB2A5C" w:rsidP="000A782E">
            <w:pPr>
              <w:jc w:val="center"/>
              <w:rPr>
                <w:sz w:val="28"/>
                <w:szCs w:val="28"/>
              </w:rPr>
            </w:pPr>
            <w:r w:rsidRPr="00B23E16">
              <w:rPr>
                <w:sz w:val="28"/>
                <w:szCs w:val="28"/>
              </w:rPr>
              <w:t>1.</w:t>
            </w:r>
          </w:p>
        </w:tc>
        <w:tc>
          <w:tcPr>
            <w:tcW w:w="2649" w:type="dxa"/>
          </w:tcPr>
          <w:p w14:paraId="1489D0DA" w14:textId="77777777" w:rsidR="00AB2A5C" w:rsidRPr="00B23E16" w:rsidRDefault="00AB2A5C" w:rsidP="000A782E">
            <w:pPr>
              <w:rPr>
                <w:sz w:val="28"/>
                <w:szCs w:val="28"/>
              </w:rPr>
            </w:pPr>
            <w:r w:rsidRPr="00B23E16">
              <w:rPr>
                <w:sz w:val="28"/>
                <w:szCs w:val="28"/>
              </w:rPr>
              <w:t>Pamatojums</w:t>
            </w:r>
          </w:p>
        </w:tc>
        <w:tc>
          <w:tcPr>
            <w:tcW w:w="5367" w:type="dxa"/>
          </w:tcPr>
          <w:p w14:paraId="061DEA7B" w14:textId="77777777" w:rsidR="00D32320" w:rsidRPr="00B23E16" w:rsidRDefault="00F33C3D" w:rsidP="0068422A">
            <w:pPr>
              <w:pStyle w:val="naiskr"/>
              <w:spacing w:before="0" w:after="0"/>
              <w:ind w:hanging="5"/>
              <w:jc w:val="both"/>
              <w:rPr>
                <w:sz w:val="28"/>
                <w:szCs w:val="28"/>
              </w:rPr>
            </w:pPr>
            <w:r w:rsidRPr="00B23E16">
              <w:rPr>
                <w:sz w:val="28"/>
                <w:szCs w:val="28"/>
              </w:rPr>
              <w:t xml:space="preserve">Ministru kabineta </w:t>
            </w:r>
            <w:proofErr w:type="gramStart"/>
            <w:r w:rsidRPr="00B23E16">
              <w:rPr>
                <w:sz w:val="28"/>
                <w:szCs w:val="28"/>
              </w:rPr>
              <w:t>2013.gada</w:t>
            </w:r>
            <w:proofErr w:type="gramEnd"/>
            <w:r w:rsidRPr="00B23E16">
              <w:rPr>
                <w:sz w:val="28"/>
                <w:szCs w:val="28"/>
              </w:rPr>
              <w:t xml:space="preserve"> 16.jūlija sēdes </w:t>
            </w:r>
            <w:proofErr w:type="spellStart"/>
            <w:r w:rsidRPr="00B23E16">
              <w:rPr>
                <w:sz w:val="28"/>
                <w:szCs w:val="28"/>
              </w:rPr>
              <w:t>protokollēmuma</w:t>
            </w:r>
            <w:proofErr w:type="spellEnd"/>
            <w:r w:rsidRPr="00B23E16">
              <w:rPr>
                <w:sz w:val="28"/>
                <w:szCs w:val="28"/>
              </w:rPr>
              <w:t xml:space="preserve"> „Par likumprojektu „Grozījumi Krimināllikumā ””  (prot. Nr.40, 17.§) 5.punkts, kas paredz Iekšlietu ministrijai uzdevumu izstrādāt un iekšlietu ministram līdz 2013.gada 15.novembrim iesniegt noteiktā kārtībā Ministru kabinetā nepieciešamos grozījumus Ministru kabineta 2008.gada 22.janvāra noteikumos Nr.32 „Prostitūcijas ierobežošanas noteikumi”</w:t>
            </w:r>
            <w:r w:rsidR="00D32320" w:rsidRPr="00B23E16">
              <w:rPr>
                <w:sz w:val="28"/>
                <w:szCs w:val="28"/>
              </w:rPr>
              <w:t xml:space="preserve"> (turpmāk – Noteikumi Nr.32).</w:t>
            </w:r>
          </w:p>
          <w:p w14:paraId="44B91566" w14:textId="77777777" w:rsidR="0068422A" w:rsidRPr="00B23E16" w:rsidRDefault="00D922A3" w:rsidP="00D922A3">
            <w:pPr>
              <w:pStyle w:val="naiskr"/>
              <w:spacing w:before="0" w:after="0"/>
              <w:ind w:hanging="5"/>
              <w:jc w:val="both"/>
              <w:rPr>
                <w:sz w:val="28"/>
                <w:szCs w:val="28"/>
              </w:rPr>
            </w:pPr>
            <w:r w:rsidRPr="00B23E16">
              <w:rPr>
                <w:sz w:val="28"/>
                <w:szCs w:val="28"/>
              </w:rPr>
              <w:t>M</w:t>
            </w:r>
            <w:r w:rsidR="0068422A" w:rsidRPr="00B23E16">
              <w:rPr>
                <w:sz w:val="28"/>
                <w:szCs w:val="28"/>
              </w:rPr>
              <w:t xml:space="preserve">inistru kabineta </w:t>
            </w:r>
            <w:proofErr w:type="gramStart"/>
            <w:r w:rsidR="0068422A" w:rsidRPr="00B23E16">
              <w:rPr>
                <w:sz w:val="28"/>
                <w:szCs w:val="28"/>
              </w:rPr>
              <w:t>2013.gada</w:t>
            </w:r>
            <w:proofErr w:type="gramEnd"/>
            <w:r w:rsidR="0068422A" w:rsidRPr="00B23E16">
              <w:rPr>
                <w:sz w:val="28"/>
                <w:szCs w:val="28"/>
              </w:rPr>
              <w:t xml:space="preserve"> 5.marta sēd</w:t>
            </w:r>
            <w:r w:rsidR="00D32320" w:rsidRPr="00B23E16">
              <w:rPr>
                <w:sz w:val="28"/>
                <w:szCs w:val="28"/>
              </w:rPr>
              <w:t xml:space="preserve">es </w:t>
            </w:r>
            <w:proofErr w:type="spellStart"/>
            <w:r w:rsidR="00D32320" w:rsidRPr="00B23E16">
              <w:rPr>
                <w:sz w:val="28"/>
                <w:szCs w:val="28"/>
              </w:rPr>
              <w:t>protokollēmuma</w:t>
            </w:r>
            <w:proofErr w:type="spellEnd"/>
            <w:r w:rsidR="00D32320" w:rsidRPr="00B23E16">
              <w:rPr>
                <w:sz w:val="28"/>
                <w:szCs w:val="28"/>
              </w:rPr>
              <w:t xml:space="preserve"> „Par informatīvo ziņojumu „Par ārvalstu pieredzi prostitūcijas ierobežošanas jomā un priekšlikumiem prostitūcijas mazināšanai Latvijā” (prot. Nr.13, 30.§)</w:t>
            </w:r>
            <w:r w:rsidRPr="00B23E16">
              <w:rPr>
                <w:sz w:val="28"/>
                <w:szCs w:val="28"/>
              </w:rPr>
              <w:t xml:space="preserve"> </w:t>
            </w:r>
            <w:r w:rsidR="0068422A" w:rsidRPr="00B23E16">
              <w:rPr>
                <w:sz w:val="28"/>
                <w:szCs w:val="28"/>
              </w:rPr>
              <w:t>3.2.</w:t>
            </w:r>
            <w:r w:rsidR="00D32320" w:rsidRPr="00B23E16">
              <w:rPr>
                <w:sz w:val="28"/>
                <w:szCs w:val="28"/>
              </w:rPr>
              <w:t>apakšpunkts, kas paredz</w:t>
            </w:r>
            <w:r w:rsidR="0068422A" w:rsidRPr="00B23E16">
              <w:rPr>
                <w:sz w:val="28"/>
                <w:szCs w:val="28"/>
              </w:rPr>
              <w:t xml:space="preserve"> </w:t>
            </w:r>
            <w:r w:rsidR="00D32320" w:rsidRPr="00B23E16">
              <w:rPr>
                <w:sz w:val="28"/>
                <w:szCs w:val="28"/>
              </w:rPr>
              <w:t xml:space="preserve">uzdevumu </w:t>
            </w:r>
            <w:r w:rsidR="0068422A" w:rsidRPr="00B23E16">
              <w:rPr>
                <w:sz w:val="28"/>
                <w:szCs w:val="28"/>
              </w:rPr>
              <w:t>Iekšlietu ministrijai sadarbībā ar Veselības ministriju, biedrību „Latvijas Ģimenes plānošanas un seksuālās veselības asociācija „Papardes zieds”” un biedrību „Resursu centrs sievietēm „Marta”” izvērtēt grozījumu nepieciešamību</w:t>
            </w:r>
            <w:r w:rsidRPr="00B23E16">
              <w:rPr>
                <w:sz w:val="28"/>
                <w:szCs w:val="28"/>
              </w:rPr>
              <w:t xml:space="preserve"> </w:t>
            </w:r>
            <w:r w:rsidR="00D32320" w:rsidRPr="00B23E16">
              <w:rPr>
                <w:sz w:val="28"/>
                <w:szCs w:val="28"/>
              </w:rPr>
              <w:t xml:space="preserve">Noteikumos Nr.32, </w:t>
            </w:r>
            <w:r w:rsidR="0068422A" w:rsidRPr="00B23E16">
              <w:rPr>
                <w:sz w:val="28"/>
                <w:szCs w:val="28"/>
              </w:rPr>
              <w:t>tajā skaitā attiecībā uz prasībām saistībā ar veselības pārbaudēm prostitūcijā iesaistītājam personām, un, ja nepieciešams, iekšlietu ministram līdz 2014.gada 1.janvārim iesniegt noteiktā kārtībā Ministru kabinetā projektu par grozījumiem minētajos noteikumos</w:t>
            </w:r>
            <w:r w:rsidR="00D32320" w:rsidRPr="00B23E16">
              <w:rPr>
                <w:sz w:val="28"/>
                <w:szCs w:val="28"/>
              </w:rPr>
              <w:t>.</w:t>
            </w:r>
          </w:p>
        </w:tc>
      </w:tr>
      <w:tr w:rsidR="00B23E16" w:rsidRPr="00B23E16" w14:paraId="45DD72D8" w14:textId="77777777" w:rsidTr="000A782E">
        <w:tc>
          <w:tcPr>
            <w:tcW w:w="1045" w:type="dxa"/>
          </w:tcPr>
          <w:p w14:paraId="664BB99A" w14:textId="77777777" w:rsidR="00AB2A5C" w:rsidRPr="00B23E16" w:rsidRDefault="00AB2A5C" w:rsidP="000A782E">
            <w:pPr>
              <w:jc w:val="center"/>
              <w:rPr>
                <w:sz w:val="28"/>
                <w:szCs w:val="28"/>
              </w:rPr>
            </w:pPr>
            <w:r w:rsidRPr="00B23E16">
              <w:rPr>
                <w:sz w:val="28"/>
                <w:szCs w:val="28"/>
              </w:rPr>
              <w:t>2.</w:t>
            </w:r>
          </w:p>
        </w:tc>
        <w:tc>
          <w:tcPr>
            <w:tcW w:w="2649" w:type="dxa"/>
          </w:tcPr>
          <w:p w14:paraId="021C4076" w14:textId="77777777" w:rsidR="00AB2A5C" w:rsidRPr="00B23E16" w:rsidRDefault="00AB2A5C" w:rsidP="000A782E">
            <w:pPr>
              <w:rPr>
                <w:sz w:val="28"/>
                <w:szCs w:val="28"/>
              </w:rPr>
            </w:pPr>
            <w:r w:rsidRPr="00B23E16">
              <w:rPr>
                <w:sz w:val="28"/>
                <w:szCs w:val="28"/>
              </w:rPr>
              <w:t>Pašreizējā situācija un problēmas</w:t>
            </w:r>
          </w:p>
        </w:tc>
        <w:tc>
          <w:tcPr>
            <w:tcW w:w="5367" w:type="dxa"/>
          </w:tcPr>
          <w:p w14:paraId="10E1977B" w14:textId="77777777" w:rsidR="002631AF" w:rsidRPr="00B23E16" w:rsidRDefault="000957D3" w:rsidP="00367A42">
            <w:pPr>
              <w:pStyle w:val="naiskr"/>
              <w:spacing w:before="0" w:after="0"/>
              <w:contextualSpacing/>
              <w:jc w:val="both"/>
              <w:rPr>
                <w:sz w:val="28"/>
                <w:szCs w:val="28"/>
              </w:rPr>
            </w:pPr>
            <w:r w:rsidRPr="00B23E16">
              <w:rPr>
                <w:sz w:val="28"/>
                <w:szCs w:val="28"/>
              </w:rPr>
              <w:t xml:space="preserve">    </w:t>
            </w:r>
            <w:proofErr w:type="gramStart"/>
            <w:r w:rsidR="00367A42" w:rsidRPr="00B23E16">
              <w:rPr>
                <w:sz w:val="28"/>
                <w:szCs w:val="28"/>
              </w:rPr>
              <w:t>2011.gada</w:t>
            </w:r>
            <w:proofErr w:type="gramEnd"/>
            <w:r w:rsidR="00367A42" w:rsidRPr="00B23E16">
              <w:rPr>
                <w:sz w:val="28"/>
                <w:szCs w:val="28"/>
              </w:rPr>
              <w:t xml:space="preserve"> 17.decembrī Eiropas Savienības Oficiālajā Vēstnesī tika publicēta Eiropas Parlamenta un Padomes Direktīva 2011/93/ES par seksuālas vardarbības pret bērniem, bērnu seksuālas izmantošanas un bērnu pornogrāfijas apkarošanu, un ar kuru aizstāj Padomes Pamatlēmumu 2004/68/TI (turpmāk </w:t>
            </w:r>
            <w:r w:rsidR="002631AF" w:rsidRPr="00B23E16">
              <w:rPr>
                <w:sz w:val="28"/>
                <w:szCs w:val="28"/>
              </w:rPr>
              <w:t>-</w:t>
            </w:r>
            <w:r w:rsidR="00367A42" w:rsidRPr="00B23E16">
              <w:rPr>
                <w:sz w:val="28"/>
                <w:szCs w:val="28"/>
              </w:rPr>
              <w:t xml:space="preserve"> Direktīva). </w:t>
            </w:r>
          </w:p>
          <w:p w14:paraId="397D0E65" w14:textId="77777777" w:rsidR="00F319CB" w:rsidRPr="00B23E16" w:rsidRDefault="000957D3" w:rsidP="00F319CB">
            <w:pPr>
              <w:pStyle w:val="naiskr"/>
              <w:spacing w:before="0" w:after="0"/>
              <w:contextualSpacing/>
              <w:jc w:val="both"/>
              <w:rPr>
                <w:sz w:val="28"/>
                <w:szCs w:val="28"/>
              </w:rPr>
            </w:pPr>
            <w:r w:rsidRPr="00B23E16">
              <w:rPr>
                <w:sz w:val="28"/>
                <w:szCs w:val="28"/>
              </w:rPr>
              <w:lastRenderedPageBreak/>
              <w:t xml:space="preserve">    </w:t>
            </w:r>
            <w:r w:rsidR="00F319CB" w:rsidRPr="00B23E16">
              <w:rPr>
                <w:sz w:val="28"/>
                <w:szCs w:val="28"/>
              </w:rPr>
              <w:t>Direktīva nosaka minimālos standartus attiecībā uz tādu noziedzīgu nodarījumu sastāviem un sankcijām, kas saistīti ar seksuālu vardarbību pret bērniem, bērnu seksuālu izmantošanu un bērnu pornogrāfiju.</w:t>
            </w:r>
          </w:p>
          <w:p w14:paraId="0D9E18D4" w14:textId="77777777" w:rsidR="000957D3" w:rsidRPr="00B23E16" w:rsidRDefault="000957D3" w:rsidP="000957D3">
            <w:pPr>
              <w:pStyle w:val="naiskr"/>
              <w:spacing w:before="0" w:after="0"/>
              <w:contextualSpacing/>
              <w:jc w:val="both"/>
              <w:rPr>
                <w:iCs/>
                <w:sz w:val="28"/>
                <w:szCs w:val="28"/>
              </w:rPr>
            </w:pPr>
            <w:r w:rsidRPr="00B23E16">
              <w:rPr>
                <w:sz w:val="28"/>
                <w:szCs w:val="28"/>
              </w:rPr>
              <w:t xml:space="preserve">    Lai nodrošinātu Direktīvas prasību pārņemšanu</w:t>
            </w:r>
            <w:r w:rsidR="00AD25D4" w:rsidRPr="00B23E16">
              <w:rPr>
                <w:sz w:val="28"/>
                <w:szCs w:val="28"/>
              </w:rPr>
              <w:t>,</w:t>
            </w:r>
            <w:r w:rsidRPr="00B23E16">
              <w:rPr>
                <w:iCs/>
                <w:sz w:val="28"/>
                <w:szCs w:val="28"/>
              </w:rPr>
              <w:t xml:space="preserve"> Tieslietu ministrijā </w:t>
            </w:r>
            <w:r w:rsidR="00D1222A" w:rsidRPr="00B23E16">
              <w:rPr>
                <w:iCs/>
                <w:sz w:val="28"/>
                <w:szCs w:val="28"/>
              </w:rPr>
              <w:t xml:space="preserve">ar Tieslietu ministrijas </w:t>
            </w:r>
            <w:proofErr w:type="gramStart"/>
            <w:r w:rsidR="00D1222A" w:rsidRPr="00B23E16">
              <w:rPr>
                <w:iCs/>
                <w:sz w:val="28"/>
                <w:szCs w:val="28"/>
              </w:rPr>
              <w:t>2012.gada</w:t>
            </w:r>
            <w:proofErr w:type="gramEnd"/>
            <w:r w:rsidR="00D1222A" w:rsidRPr="00B23E16">
              <w:rPr>
                <w:iCs/>
                <w:sz w:val="28"/>
                <w:szCs w:val="28"/>
              </w:rPr>
              <w:t xml:space="preserve"> 20.marta rīkojumu</w:t>
            </w:r>
            <w:r w:rsidR="00F33C3D" w:rsidRPr="00B23E16">
              <w:rPr>
                <w:iCs/>
                <w:sz w:val="28"/>
                <w:szCs w:val="28"/>
              </w:rPr>
              <w:t xml:space="preserve"> Nr.1-1/102</w:t>
            </w:r>
            <w:r w:rsidRPr="00B23E16">
              <w:rPr>
                <w:iCs/>
                <w:sz w:val="28"/>
                <w:szCs w:val="28"/>
              </w:rPr>
              <w:t xml:space="preserve"> tika</w:t>
            </w:r>
            <w:r w:rsidR="00F33C3D" w:rsidRPr="00B23E16">
              <w:rPr>
                <w:iCs/>
                <w:sz w:val="28"/>
                <w:szCs w:val="28"/>
              </w:rPr>
              <w:t xml:space="preserve"> izveidota darba grupa, kuras ietvaros tika </w:t>
            </w:r>
            <w:r w:rsidRPr="00B23E16">
              <w:rPr>
                <w:iCs/>
                <w:sz w:val="28"/>
                <w:szCs w:val="28"/>
              </w:rPr>
              <w:t>izstrādāti grozījumi Krimināllikumā, Kriminālprocesa likumā,</w:t>
            </w:r>
            <w:r w:rsidR="008D4EC2" w:rsidRPr="00B23E16">
              <w:rPr>
                <w:iCs/>
                <w:sz w:val="28"/>
                <w:szCs w:val="28"/>
              </w:rPr>
              <w:t xml:space="preserve"> Latvijas Ad</w:t>
            </w:r>
            <w:r w:rsidR="00322749" w:rsidRPr="00B23E16">
              <w:rPr>
                <w:iCs/>
                <w:sz w:val="28"/>
                <w:szCs w:val="28"/>
              </w:rPr>
              <w:t>ministr</w:t>
            </w:r>
            <w:r w:rsidR="008D4EC2" w:rsidRPr="00B23E16">
              <w:rPr>
                <w:iCs/>
                <w:sz w:val="28"/>
                <w:szCs w:val="28"/>
              </w:rPr>
              <w:t>a</w:t>
            </w:r>
            <w:r w:rsidR="00322749" w:rsidRPr="00B23E16">
              <w:rPr>
                <w:iCs/>
                <w:sz w:val="28"/>
                <w:szCs w:val="28"/>
              </w:rPr>
              <w:t>t</w:t>
            </w:r>
            <w:r w:rsidR="008D4EC2" w:rsidRPr="00B23E16">
              <w:rPr>
                <w:iCs/>
                <w:sz w:val="28"/>
                <w:szCs w:val="28"/>
              </w:rPr>
              <w:t>īvo pārkāpumu kodeksā,</w:t>
            </w:r>
            <w:r w:rsidRPr="00B23E16">
              <w:rPr>
                <w:iCs/>
                <w:sz w:val="28"/>
                <w:szCs w:val="28"/>
              </w:rPr>
              <w:t xml:space="preserve"> Bērnu tiesību aizsardzības likumā, Pornogrāfijas ierobežošanas likumā, Sociālo pakalpojumu un sociālās palīdzības </w:t>
            </w:r>
            <w:r w:rsidR="00D1222A" w:rsidRPr="00B23E16">
              <w:rPr>
                <w:iCs/>
                <w:sz w:val="28"/>
                <w:szCs w:val="28"/>
              </w:rPr>
              <w:t>likumā</w:t>
            </w:r>
            <w:r w:rsidR="008D4EC2" w:rsidRPr="00B23E16">
              <w:rPr>
                <w:iCs/>
                <w:sz w:val="28"/>
                <w:szCs w:val="28"/>
              </w:rPr>
              <w:t>, likumā „Par valsts kompensāciju cietušajiem” un</w:t>
            </w:r>
            <w:r w:rsidR="00D1222A" w:rsidRPr="00B23E16">
              <w:rPr>
                <w:iCs/>
                <w:sz w:val="28"/>
                <w:szCs w:val="28"/>
              </w:rPr>
              <w:t xml:space="preserve"> </w:t>
            </w:r>
            <w:r w:rsidRPr="00B23E16">
              <w:rPr>
                <w:iCs/>
                <w:sz w:val="28"/>
                <w:szCs w:val="28"/>
              </w:rPr>
              <w:t>likumā „Par presi un citiem masu informācijas līdzekļiem”.</w:t>
            </w:r>
          </w:p>
          <w:p w14:paraId="052B3238" w14:textId="77777777" w:rsidR="000957D3" w:rsidRPr="00B23E16" w:rsidRDefault="000957D3" w:rsidP="000957D3">
            <w:pPr>
              <w:pStyle w:val="naiskr"/>
              <w:spacing w:before="0" w:after="0"/>
              <w:contextualSpacing/>
              <w:jc w:val="both"/>
              <w:rPr>
                <w:sz w:val="28"/>
                <w:szCs w:val="28"/>
              </w:rPr>
            </w:pPr>
            <w:r w:rsidRPr="00B23E16">
              <w:rPr>
                <w:sz w:val="28"/>
                <w:szCs w:val="28"/>
              </w:rPr>
              <w:t xml:space="preserve">   </w:t>
            </w:r>
            <w:r w:rsidR="00F33C3D" w:rsidRPr="00B23E16">
              <w:rPr>
                <w:sz w:val="28"/>
                <w:szCs w:val="28"/>
              </w:rPr>
              <w:t xml:space="preserve">  </w:t>
            </w:r>
            <w:r w:rsidRPr="00B23E16">
              <w:rPr>
                <w:sz w:val="28"/>
                <w:szCs w:val="28"/>
              </w:rPr>
              <w:t xml:space="preserve">Saskaņā ar Direktīvas </w:t>
            </w:r>
            <w:proofErr w:type="gramStart"/>
            <w:r w:rsidRPr="00B23E16">
              <w:rPr>
                <w:sz w:val="28"/>
                <w:szCs w:val="28"/>
              </w:rPr>
              <w:t>4.panta</w:t>
            </w:r>
            <w:proofErr w:type="gramEnd"/>
            <w:r w:rsidRPr="00B23E16">
              <w:rPr>
                <w:sz w:val="28"/>
                <w:szCs w:val="28"/>
              </w:rPr>
              <w:t xml:space="preserve"> 7.punktu dalībvalstīm ir jānodrošina, lai par iesaistīšanos seksuālās darbībās ar bērnu, izmantojot bērnu prostitūciju, paredzētais maksimālais brīvības atņemšanas sods ir vismaz pieci gadi, ja bērns nav sasniedzis </w:t>
            </w:r>
            <w:proofErr w:type="spellStart"/>
            <w:r w:rsidRPr="00B23E16">
              <w:rPr>
                <w:sz w:val="28"/>
                <w:szCs w:val="28"/>
              </w:rPr>
              <w:t>dzimumpilngadības</w:t>
            </w:r>
            <w:proofErr w:type="spellEnd"/>
            <w:r w:rsidRPr="00B23E16">
              <w:rPr>
                <w:sz w:val="28"/>
                <w:szCs w:val="28"/>
              </w:rPr>
              <w:t xml:space="preserve"> vecumu, un vismaz divi gadi, ja bērns minēto vecumu ir sasniedzis.</w:t>
            </w:r>
          </w:p>
          <w:p w14:paraId="65324078" w14:textId="5D4BBE47" w:rsidR="000957D3" w:rsidRPr="00B23E16" w:rsidRDefault="000957D3" w:rsidP="000957D3">
            <w:pPr>
              <w:pStyle w:val="naiskr"/>
              <w:spacing w:before="0" w:after="0"/>
              <w:contextualSpacing/>
              <w:jc w:val="both"/>
              <w:rPr>
                <w:sz w:val="28"/>
                <w:szCs w:val="28"/>
              </w:rPr>
            </w:pPr>
            <w:r w:rsidRPr="00B23E16">
              <w:rPr>
                <w:iCs/>
                <w:sz w:val="28"/>
                <w:szCs w:val="28"/>
              </w:rPr>
              <w:t xml:space="preserve">     Ņemot vērā, ka Krimināllikumā </w:t>
            </w:r>
            <w:r w:rsidRPr="00B23E16">
              <w:rPr>
                <w:sz w:val="28"/>
                <w:szCs w:val="28"/>
              </w:rPr>
              <w:t>nav skaidri noteikta kriminālatbildība par bērna prostitūcijas izmantošanu (proti, nevis bērna iesaistīšanu prostitūcijā vai, piemēram, piespiešanu ar to nodarboties, bet gan bērna paša piedāvāto seksuālo pakalpojumu saņemšanu par maksu</w:t>
            </w:r>
            <w:r w:rsidR="007A2456" w:rsidRPr="00B23E16">
              <w:rPr>
                <w:sz w:val="28"/>
                <w:szCs w:val="28"/>
              </w:rPr>
              <w:t>),</w:t>
            </w:r>
            <w:r w:rsidR="00F33C3D" w:rsidRPr="00B23E16">
              <w:rPr>
                <w:sz w:val="28"/>
                <w:szCs w:val="28"/>
              </w:rPr>
              <w:t xml:space="preserve"> </w:t>
            </w:r>
            <w:r w:rsidR="00322749" w:rsidRPr="00B23E16">
              <w:rPr>
                <w:iCs/>
                <w:sz w:val="28"/>
                <w:szCs w:val="28"/>
              </w:rPr>
              <w:t xml:space="preserve">ar </w:t>
            </w:r>
            <w:proofErr w:type="gramStart"/>
            <w:r w:rsidR="00322749" w:rsidRPr="00B23E16">
              <w:rPr>
                <w:iCs/>
                <w:sz w:val="28"/>
                <w:szCs w:val="28"/>
              </w:rPr>
              <w:t>2014.gada</w:t>
            </w:r>
            <w:proofErr w:type="gramEnd"/>
            <w:r w:rsidR="00322749" w:rsidRPr="00B23E16">
              <w:rPr>
                <w:iCs/>
                <w:sz w:val="28"/>
                <w:szCs w:val="28"/>
              </w:rPr>
              <w:t xml:space="preserve"> </w:t>
            </w:r>
            <w:r w:rsidR="00CD4A17" w:rsidRPr="00B23E16">
              <w:rPr>
                <w:iCs/>
                <w:sz w:val="28"/>
                <w:szCs w:val="28"/>
              </w:rPr>
              <w:t xml:space="preserve">15.maija likumu </w:t>
            </w:r>
            <w:r w:rsidR="00322749" w:rsidRPr="00B23E16">
              <w:rPr>
                <w:iCs/>
                <w:sz w:val="28"/>
                <w:szCs w:val="28"/>
              </w:rPr>
              <w:t>“</w:t>
            </w:r>
            <w:r w:rsidRPr="00B23E16">
              <w:rPr>
                <w:iCs/>
                <w:sz w:val="28"/>
                <w:szCs w:val="28"/>
              </w:rPr>
              <w:t xml:space="preserve">Grozījumi Krimināllikumā” </w:t>
            </w:r>
            <w:r w:rsidR="00322749" w:rsidRPr="00B23E16">
              <w:rPr>
                <w:iCs/>
                <w:sz w:val="28"/>
                <w:szCs w:val="28"/>
              </w:rPr>
              <w:t xml:space="preserve">Krimināllikumā </w:t>
            </w:r>
            <w:r w:rsidR="00CD4A17" w:rsidRPr="00B23E16">
              <w:rPr>
                <w:iCs/>
                <w:sz w:val="28"/>
                <w:szCs w:val="28"/>
              </w:rPr>
              <w:t>164.panta 3.</w:t>
            </w:r>
            <w:r w:rsidR="00CD4A17" w:rsidRPr="00B23E16">
              <w:rPr>
                <w:iCs/>
                <w:sz w:val="28"/>
                <w:szCs w:val="28"/>
                <w:vertAlign w:val="superscript"/>
              </w:rPr>
              <w:t>1</w:t>
            </w:r>
            <w:r w:rsidR="00CD4A17" w:rsidRPr="00B23E16">
              <w:rPr>
                <w:iCs/>
                <w:sz w:val="28"/>
                <w:szCs w:val="28"/>
              </w:rPr>
              <w:t xml:space="preserve"> daļā </w:t>
            </w:r>
            <w:r w:rsidR="00322749" w:rsidRPr="00B23E16">
              <w:rPr>
                <w:iCs/>
                <w:sz w:val="28"/>
                <w:szCs w:val="28"/>
              </w:rPr>
              <w:t xml:space="preserve">tika noteikta kriminālatbildība </w:t>
            </w:r>
            <w:r w:rsidR="00F33C3D" w:rsidRPr="00B23E16">
              <w:rPr>
                <w:sz w:val="28"/>
                <w:szCs w:val="28"/>
              </w:rPr>
              <w:t xml:space="preserve">par </w:t>
            </w:r>
            <w:r w:rsidRPr="00B23E16">
              <w:rPr>
                <w:sz w:val="28"/>
                <w:szCs w:val="28"/>
              </w:rPr>
              <w:t>nepiln</w:t>
            </w:r>
            <w:r w:rsidR="00AD25D4" w:rsidRPr="00B23E16">
              <w:rPr>
                <w:sz w:val="28"/>
                <w:szCs w:val="28"/>
              </w:rPr>
              <w:t>gadīgas personas prostitūcijas izmantošan</w:t>
            </w:r>
            <w:r w:rsidR="00322749" w:rsidRPr="00B23E16">
              <w:rPr>
                <w:sz w:val="28"/>
                <w:szCs w:val="28"/>
              </w:rPr>
              <w:t>u</w:t>
            </w:r>
            <w:r w:rsidRPr="00B23E16">
              <w:rPr>
                <w:sz w:val="28"/>
                <w:szCs w:val="28"/>
              </w:rPr>
              <w:t>.</w:t>
            </w:r>
          </w:p>
          <w:p w14:paraId="53E0294A" w14:textId="3002434A" w:rsidR="00AB2A5C" w:rsidRPr="00B23E16" w:rsidRDefault="000957D3" w:rsidP="00AD25D4">
            <w:pPr>
              <w:pStyle w:val="naiskr"/>
              <w:tabs>
                <w:tab w:val="left" w:pos="2628"/>
              </w:tabs>
              <w:spacing w:before="0" w:after="0"/>
              <w:jc w:val="both"/>
              <w:rPr>
                <w:sz w:val="28"/>
                <w:szCs w:val="28"/>
              </w:rPr>
            </w:pPr>
            <w:r w:rsidRPr="00B23E16">
              <w:rPr>
                <w:iCs/>
                <w:sz w:val="28"/>
                <w:szCs w:val="28"/>
              </w:rPr>
              <w:t xml:space="preserve">    Kārtību, kādā ierobežojama prostitūcija, nosaka </w:t>
            </w:r>
            <w:r w:rsidR="00CD3225" w:rsidRPr="00B23E16">
              <w:rPr>
                <w:sz w:val="28"/>
                <w:szCs w:val="28"/>
              </w:rPr>
              <w:t>N</w:t>
            </w:r>
            <w:r w:rsidR="00AD25D4" w:rsidRPr="00B23E16">
              <w:rPr>
                <w:sz w:val="28"/>
                <w:szCs w:val="28"/>
              </w:rPr>
              <w:t xml:space="preserve">oteikumi Nr.32. Minētie noteikumi </w:t>
            </w:r>
            <w:r w:rsidRPr="00B23E16">
              <w:rPr>
                <w:sz w:val="28"/>
                <w:szCs w:val="28"/>
              </w:rPr>
              <w:t xml:space="preserve">nesatur normas, kas noteiktu aizliegumu attiecībā uz </w:t>
            </w:r>
            <w:r w:rsidR="00AD25D4" w:rsidRPr="00B23E16">
              <w:rPr>
                <w:sz w:val="28"/>
                <w:szCs w:val="28"/>
              </w:rPr>
              <w:t>nepilngadīgas personas</w:t>
            </w:r>
            <w:r w:rsidRPr="00B23E16">
              <w:rPr>
                <w:sz w:val="28"/>
                <w:szCs w:val="28"/>
              </w:rPr>
              <w:t xml:space="preserve"> prostitūcijas izmantošanu. </w:t>
            </w:r>
            <w:r w:rsidR="00322749" w:rsidRPr="00B23E16">
              <w:rPr>
                <w:sz w:val="28"/>
                <w:szCs w:val="28"/>
              </w:rPr>
              <w:t xml:space="preserve">Ņemot vērā minēto, arī ar </w:t>
            </w:r>
            <w:proofErr w:type="gramStart"/>
            <w:r w:rsidR="00CD4A17" w:rsidRPr="00B23E16">
              <w:rPr>
                <w:iCs/>
                <w:sz w:val="28"/>
                <w:szCs w:val="28"/>
              </w:rPr>
              <w:t>2014.gada</w:t>
            </w:r>
            <w:proofErr w:type="gramEnd"/>
            <w:r w:rsidR="00CD4A17" w:rsidRPr="00B23E16">
              <w:rPr>
                <w:iCs/>
                <w:sz w:val="28"/>
                <w:szCs w:val="28"/>
              </w:rPr>
              <w:t xml:space="preserve"> 15.maija </w:t>
            </w:r>
            <w:r w:rsidR="00322749" w:rsidRPr="00B23E16">
              <w:rPr>
                <w:iCs/>
                <w:sz w:val="28"/>
                <w:szCs w:val="28"/>
              </w:rPr>
              <w:t>likumu “Grozījumi Krimināllikumā”</w:t>
            </w:r>
            <w:r w:rsidR="00CD3225" w:rsidRPr="00B23E16">
              <w:rPr>
                <w:iCs/>
                <w:sz w:val="28"/>
                <w:szCs w:val="28"/>
              </w:rPr>
              <w:t xml:space="preserve"> paredzētos grozījumus</w:t>
            </w:r>
            <w:r w:rsidR="00CD3225" w:rsidRPr="00B23E16">
              <w:rPr>
                <w:sz w:val="28"/>
                <w:szCs w:val="28"/>
              </w:rPr>
              <w:t xml:space="preserve">, </w:t>
            </w:r>
            <w:r w:rsidR="000F2BFE" w:rsidRPr="00B23E16">
              <w:rPr>
                <w:sz w:val="28"/>
                <w:szCs w:val="28"/>
              </w:rPr>
              <w:t>ir izstrādāts Minist</w:t>
            </w:r>
            <w:r w:rsidR="00322749" w:rsidRPr="00B23E16">
              <w:rPr>
                <w:sz w:val="28"/>
                <w:szCs w:val="28"/>
              </w:rPr>
              <w:t xml:space="preserve">ru kabineta </w:t>
            </w:r>
            <w:r w:rsidR="00322749" w:rsidRPr="00B23E16">
              <w:rPr>
                <w:sz w:val="28"/>
                <w:szCs w:val="28"/>
              </w:rPr>
              <w:lastRenderedPageBreak/>
              <w:t>noteikumu projekts</w:t>
            </w:r>
            <w:r w:rsidRPr="00B23E16">
              <w:rPr>
                <w:bCs/>
                <w:sz w:val="28"/>
                <w:szCs w:val="28"/>
              </w:rPr>
              <w:t xml:space="preserve"> „</w:t>
            </w:r>
            <w:r w:rsidRPr="00B23E16">
              <w:rPr>
                <w:sz w:val="28"/>
                <w:szCs w:val="28"/>
              </w:rPr>
              <w:t>Prostitūcijas ierobežošanas noteikumi”</w:t>
            </w:r>
            <w:r w:rsidR="000F2BFE" w:rsidRPr="00B23E16">
              <w:rPr>
                <w:sz w:val="28"/>
                <w:szCs w:val="28"/>
              </w:rPr>
              <w:t xml:space="preserve"> (turpmāk - Projekts)</w:t>
            </w:r>
            <w:r w:rsidRPr="00B23E16">
              <w:rPr>
                <w:sz w:val="28"/>
                <w:szCs w:val="28"/>
              </w:rPr>
              <w:t xml:space="preserve">, nosakot </w:t>
            </w:r>
            <w:r w:rsidR="00322749" w:rsidRPr="00B23E16">
              <w:rPr>
                <w:sz w:val="28"/>
                <w:szCs w:val="28"/>
              </w:rPr>
              <w:t>tajā</w:t>
            </w:r>
            <w:r w:rsidR="00CD3225" w:rsidRPr="00B23E16">
              <w:rPr>
                <w:sz w:val="28"/>
                <w:szCs w:val="28"/>
              </w:rPr>
              <w:t xml:space="preserve"> </w:t>
            </w:r>
            <w:r w:rsidRPr="00B23E16">
              <w:rPr>
                <w:sz w:val="28"/>
                <w:szCs w:val="28"/>
              </w:rPr>
              <w:t xml:space="preserve">aizliegumu </w:t>
            </w:r>
            <w:r w:rsidR="00CD3225" w:rsidRPr="00B23E16">
              <w:rPr>
                <w:sz w:val="28"/>
                <w:szCs w:val="28"/>
              </w:rPr>
              <w:t>nepilngadīgas personas</w:t>
            </w:r>
            <w:r w:rsidRPr="00B23E16">
              <w:rPr>
                <w:sz w:val="28"/>
                <w:szCs w:val="28"/>
              </w:rPr>
              <w:t xml:space="preserve"> prostitūcijas izmanto</w:t>
            </w:r>
            <w:r w:rsidR="004626DC" w:rsidRPr="00B23E16">
              <w:rPr>
                <w:sz w:val="28"/>
                <w:szCs w:val="28"/>
              </w:rPr>
              <w:t>šanai.</w:t>
            </w:r>
          </w:p>
          <w:p w14:paraId="65867015" w14:textId="77777777" w:rsidR="0099451C" w:rsidRDefault="0068422A" w:rsidP="0067702C">
            <w:pPr>
              <w:tabs>
                <w:tab w:val="left" w:pos="709"/>
              </w:tabs>
              <w:jc w:val="both"/>
              <w:rPr>
                <w:sz w:val="28"/>
                <w:szCs w:val="28"/>
              </w:rPr>
            </w:pPr>
            <w:r w:rsidRPr="00B23E16">
              <w:rPr>
                <w:sz w:val="28"/>
                <w:szCs w:val="28"/>
              </w:rPr>
              <w:t xml:space="preserve">    Noteikumi Nr.32 nosaka prasību</w:t>
            </w:r>
            <w:r w:rsidR="00BB3BC1" w:rsidRPr="00B23E16">
              <w:rPr>
                <w:sz w:val="28"/>
                <w:szCs w:val="28"/>
              </w:rPr>
              <w:t xml:space="preserve">, ka ar prostitūciju aizliegts nodarboties personai, kurai nav veselības kartes. Šāda prasība ir pretrunā ar ANO Konvencijas par cīņu pret cilvēku tirdzniecību un prostitūcijas ekspluatēšanu no trešo personu puses </w:t>
            </w:r>
            <w:proofErr w:type="gramStart"/>
            <w:r w:rsidR="00BB3BC1" w:rsidRPr="00B23E16">
              <w:rPr>
                <w:sz w:val="28"/>
                <w:szCs w:val="28"/>
              </w:rPr>
              <w:t>6.pantu</w:t>
            </w:r>
            <w:proofErr w:type="gramEnd"/>
            <w:r w:rsidR="00BB3BC1" w:rsidRPr="00B23E16">
              <w:rPr>
                <w:sz w:val="28"/>
                <w:szCs w:val="28"/>
              </w:rPr>
              <w:t xml:space="preserve">, kas nosaka, ka valstis apņemas atzīt par spēkā neesošiem jebkuru normatīvo aktu noteikumus, kas paredz prostitūtu vai personu, kas varētu nodarboties ar prostitūciju, reģistrāciju vai uzraudzību, vai arī uzliek par pienākumu šīm personām reģistrēties vai uzrādīt īpašus dokumentus. Ņemot vērā minēto, </w:t>
            </w:r>
            <w:r w:rsidR="00C74F46" w:rsidRPr="00B23E16">
              <w:rPr>
                <w:sz w:val="28"/>
                <w:szCs w:val="28"/>
              </w:rPr>
              <w:t xml:space="preserve">prasība personai, kas nodarbojas ar prostitūciju, pēc </w:t>
            </w:r>
            <w:r w:rsidR="0099451C">
              <w:rPr>
                <w:sz w:val="28"/>
                <w:szCs w:val="28"/>
              </w:rPr>
              <w:t>veselības kartēm, ir svītrojama.</w:t>
            </w:r>
          </w:p>
          <w:p w14:paraId="0A8DAA7E" w14:textId="7050F561" w:rsidR="0099451C" w:rsidRDefault="0099451C" w:rsidP="0067702C">
            <w:pPr>
              <w:tabs>
                <w:tab w:val="left" w:pos="709"/>
              </w:tabs>
              <w:jc w:val="both"/>
              <w:rPr>
                <w:sz w:val="28"/>
                <w:szCs w:val="28"/>
                <w:lang w:eastAsia="lv-LV"/>
              </w:rPr>
            </w:pPr>
            <w:r>
              <w:rPr>
                <w:sz w:val="28"/>
                <w:szCs w:val="28"/>
              </w:rPr>
              <w:t>Sākotnēji projektā minētā regulējuma vietā tika paredzēts pienākums</w:t>
            </w:r>
            <w:r w:rsidR="00BB3BC1" w:rsidRPr="00B23E16">
              <w:rPr>
                <w:sz w:val="28"/>
                <w:szCs w:val="28"/>
              </w:rPr>
              <w:t xml:space="preserve"> persona</w:t>
            </w:r>
            <w:r>
              <w:rPr>
                <w:sz w:val="28"/>
                <w:szCs w:val="28"/>
              </w:rPr>
              <w:t>i</w:t>
            </w:r>
            <w:r w:rsidR="00101027" w:rsidRPr="00B23E16">
              <w:rPr>
                <w:sz w:val="28"/>
                <w:szCs w:val="28"/>
              </w:rPr>
              <w:t>, kas nodarbojas ar prostitūciju,</w:t>
            </w:r>
            <w:r w:rsidR="00BB3BC1" w:rsidRPr="00B23E16">
              <w:rPr>
                <w:sz w:val="28"/>
                <w:szCs w:val="28"/>
              </w:rPr>
              <w:t xml:space="preserve"> reizi gadā vai nepiecie</w:t>
            </w:r>
            <w:r>
              <w:rPr>
                <w:sz w:val="28"/>
                <w:szCs w:val="28"/>
              </w:rPr>
              <w:t>šamības gadījumā biežāk pārbaudīt</w:t>
            </w:r>
            <w:r w:rsidR="00BB3BC1" w:rsidRPr="00B23E16">
              <w:rPr>
                <w:sz w:val="28"/>
                <w:szCs w:val="28"/>
              </w:rPr>
              <w:t xml:space="preserve"> veselību pie ģimenes ārsta</w:t>
            </w:r>
            <w:r w:rsidR="00E33D22" w:rsidRPr="00B23E16">
              <w:rPr>
                <w:sz w:val="28"/>
                <w:szCs w:val="28"/>
              </w:rPr>
              <w:t xml:space="preserve">. </w:t>
            </w:r>
            <w:r>
              <w:rPr>
                <w:sz w:val="28"/>
                <w:szCs w:val="28"/>
              </w:rPr>
              <w:t xml:space="preserve">Ņemot vērā Veselības ministrijas un nevalstisko organizāciju paustos viedokļus starpministriju sanāksmē, tika nolemts normas attiecībā uz veselības pārbaudēm, </w:t>
            </w:r>
            <w:r>
              <w:rPr>
                <w:sz w:val="28"/>
                <w:szCs w:val="28"/>
                <w:lang w:eastAsia="lv-LV"/>
              </w:rPr>
              <w:t>svītrot. Svītrojot regulējumu par nepieciešamību personai, kas nodarbojas ar prostitūciju, būt veselības kartei, minētajām normām saglabājas tikai deklaratīvs raksturs un to izpilde</w:t>
            </w:r>
            <w:proofErr w:type="gramStart"/>
            <w:r>
              <w:rPr>
                <w:sz w:val="28"/>
                <w:szCs w:val="28"/>
                <w:lang w:eastAsia="lv-LV"/>
              </w:rPr>
              <w:t xml:space="preserve"> un</w:t>
            </w:r>
            <w:proofErr w:type="gramEnd"/>
            <w:r>
              <w:rPr>
                <w:sz w:val="28"/>
                <w:szCs w:val="28"/>
                <w:lang w:eastAsia="lv-LV"/>
              </w:rPr>
              <w:t xml:space="preserve"> kontrole nav </w:t>
            </w:r>
            <w:r w:rsidR="004A6C69">
              <w:rPr>
                <w:sz w:val="28"/>
                <w:szCs w:val="28"/>
                <w:lang w:eastAsia="lv-LV"/>
              </w:rPr>
              <w:t>īstenojama</w:t>
            </w:r>
            <w:r>
              <w:rPr>
                <w:sz w:val="28"/>
                <w:szCs w:val="28"/>
                <w:lang w:eastAsia="lv-LV"/>
              </w:rPr>
              <w:t>.</w:t>
            </w:r>
          </w:p>
          <w:p w14:paraId="704CF10D" w14:textId="786E9E34" w:rsidR="006E3EEA" w:rsidRPr="00B23E16" w:rsidRDefault="006E3EEA" w:rsidP="001025F7">
            <w:pPr>
              <w:pStyle w:val="naiskr"/>
              <w:tabs>
                <w:tab w:val="left" w:pos="2628"/>
              </w:tabs>
              <w:spacing w:before="0" w:after="0"/>
              <w:jc w:val="both"/>
              <w:rPr>
                <w:sz w:val="28"/>
                <w:szCs w:val="28"/>
              </w:rPr>
            </w:pPr>
            <w:r w:rsidRPr="00B23E16">
              <w:rPr>
                <w:sz w:val="28"/>
                <w:szCs w:val="28"/>
              </w:rPr>
              <w:t xml:space="preserve">Vienlaikus saskaņā ar Ministru kabineta </w:t>
            </w:r>
            <w:proofErr w:type="gramStart"/>
            <w:r w:rsidRPr="00B23E16">
              <w:rPr>
                <w:sz w:val="28"/>
                <w:szCs w:val="28"/>
              </w:rPr>
              <w:t>2013.gada</w:t>
            </w:r>
            <w:proofErr w:type="gramEnd"/>
            <w:r w:rsidRPr="00B23E16">
              <w:rPr>
                <w:sz w:val="28"/>
                <w:szCs w:val="28"/>
              </w:rPr>
              <w:t xml:space="preserve"> 5.marta sēdes </w:t>
            </w:r>
            <w:proofErr w:type="spellStart"/>
            <w:r w:rsidRPr="00B23E16">
              <w:rPr>
                <w:sz w:val="28"/>
                <w:szCs w:val="28"/>
              </w:rPr>
              <w:t>protokollēmuma</w:t>
            </w:r>
            <w:proofErr w:type="spellEnd"/>
            <w:r w:rsidRPr="00B23E16">
              <w:rPr>
                <w:sz w:val="28"/>
                <w:szCs w:val="28"/>
              </w:rPr>
              <w:t xml:space="preserve"> „Par informatīvo ziņojumu „Par ārvalstu pieredzi prostitūcijas ierobežošanas jomā un priekšlikumiem prostitūcijas mazināšanai Latvijā” (prot. Nr.13, 30.§) 2.1.apakšpunkt</w:t>
            </w:r>
            <w:r w:rsidR="00353CA9" w:rsidRPr="00B23E16">
              <w:rPr>
                <w:sz w:val="28"/>
                <w:szCs w:val="28"/>
              </w:rPr>
              <w:t>ā doto uzdevumu</w:t>
            </w:r>
            <w:r w:rsidRPr="00B23E16">
              <w:rPr>
                <w:sz w:val="28"/>
                <w:szCs w:val="28"/>
              </w:rPr>
              <w:t xml:space="preserve"> Tieslietu ministrija sadarbībā ar iesaistītajām institūcijām un biedrību „Resursu centrs sievietēm „Marta”” izvērtēja grozījumu nepieciešamību Krimināllikumā, </w:t>
            </w:r>
            <w:r w:rsidRPr="00B23E16">
              <w:rPr>
                <w:sz w:val="28"/>
                <w:szCs w:val="28"/>
              </w:rPr>
              <w:lastRenderedPageBreak/>
              <w:t xml:space="preserve">saistībā ar kriminālatbildības noteikšanu par cilvēku tirdzniecības upuru seksuālo pakalpojumu izmantošanu. Visu iesaistīto institūciju vidū tika panākta vienošanās par grozījumu veikšanu </w:t>
            </w:r>
            <w:r w:rsidR="0067702C" w:rsidRPr="00B23E16">
              <w:rPr>
                <w:sz w:val="28"/>
                <w:szCs w:val="28"/>
              </w:rPr>
              <w:t>Krimināllikum</w:t>
            </w:r>
            <w:r w:rsidRPr="00B23E16">
              <w:rPr>
                <w:sz w:val="28"/>
                <w:szCs w:val="28"/>
              </w:rPr>
              <w:t>ā</w:t>
            </w:r>
            <w:r w:rsidR="00826588" w:rsidRPr="00B23E16">
              <w:rPr>
                <w:sz w:val="28"/>
                <w:szCs w:val="28"/>
              </w:rPr>
              <w:t xml:space="preserve">, paredzot </w:t>
            </w:r>
            <w:proofErr w:type="spellStart"/>
            <w:r w:rsidR="00353CA9" w:rsidRPr="00B23E16">
              <w:rPr>
                <w:sz w:val="28"/>
                <w:szCs w:val="28"/>
              </w:rPr>
              <w:t>kriminalizēt</w:t>
            </w:r>
            <w:proofErr w:type="spellEnd"/>
            <w:r w:rsidR="00353CA9" w:rsidRPr="00B23E16">
              <w:rPr>
                <w:sz w:val="28"/>
                <w:szCs w:val="28"/>
              </w:rPr>
              <w:t xml:space="preserve"> tādas darbības kā cilvēku tirdzniecības upuru seksuālo pakalpojumu izmantošana</w:t>
            </w:r>
            <w:r w:rsidR="001025F7" w:rsidRPr="00B23E16">
              <w:rPr>
                <w:sz w:val="28"/>
                <w:szCs w:val="28"/>
              </w:rPr>
              <w:t>.</w:t>
            </w:r>
          </w:p>
          <w:p w14:paraId="52C86480" w14:textId="77777777" w:rsidR="001025F7" w:rsidRPr="00B23E16" w:rsidRDefault="001025F7" w:rsidP="001025F7">
            <w:pPr>
              <w:pStyle w:val="naiskr"/>
              <w:tabs>
                <w:tab w:val="left" w:pos="2628"/>
              </w:tabs>
              <w:spacing w:before="0" w:after="0"/>
              <w:jc w:val="both"/>
              <w:rPr>
                <w:sz w:val="28"/>
                <w:szCs w:val="28"/>
              </w:rPr>
            </w:pPr>
            <w:r w:rsidRPr="00B23E16">
              <w:rPr>
                <w:sz w:val="28"/>
                <w:szCs w:val="28"/>
              </w:rPr>
              <w:t xml:space="preserve">Eiropas Savienības dalībvalstīm izvērtēt iespēju </w:t>
            </w:r>
            <w:proofErr w:type="spellStart"/>
            <w:r w:rsidRPr="00B23E16">
              <w:rPr>
                <w:sz w:val="28"/>
                <w:szCs w:val="28"/>
              </w:rPr>
              <w:t>kriminalizēt</w:t>
            </w:r>
            <w:proofErr w:type="spellEnd"/>
            <w:r w:rsidRPr="00B23E16">
              <w:rPr>
                <w:sz w:val="28"/>
                <w:szCs w:val="28"/>
              </w:rPr>
              <w:t xml:space="preserve"> darbības, kad pakalpojumi tiek apzināti saņemti no cilvēktirdzniecības upura, paredz Eiropas Parlamenta un Padomes Direktīvas 2011/36/ES par cilvēku tirdzniecības novēršanu un apkarošanu un cietušo aizsardzību, un ar kuru aizstāj Padomes Pamatlēmumu 2002/629/TI, </w:t>
            </w:r>
            <w:proofErr w:type="gramStart"/>
            <w:r w:rsidRPr="00B23E16">
              <w:rPr>
                <w:sz w:val="28"/>
                <w:szCs w:val="28"/>
              </w:rPr>
              <w:t>18.panta</w:t>
            </w:r>
            <w:proofErr w:type="gramEnd"/>
            <w:r w:rsidRPr="00B23E16">
              <w:rPr>
                <w:sz w:val="28"/>
                <w:szCs w:val="28"/>
              </w:rPr>
              <w:t xml:space="preserve"> 4.punkts. Norāde par to, ka Latvijā nav noteikta kriminālatbildība par pakalpojumu izmantošanu,</w:t>
            </w:r>
            <w:r w:rsidR="00D922A3" w:rsidRPr="00B23E16">
              <w:rPr>
                <w:sz w:val="28"/>
                <w:szCs w:val="28"/>
              </w:rPr>
              <w:t xml:space="preserve"> </w:t>
            </w:r>
            <w:r w:rsidRPr="00B23E16">
              <w:rPr>
                <w:sz w:val="28"/>
                <w:szCs w:val="28"/>
              </w:rPr>
              <w:t xml:space="preserve">apzinoties, ka šos pakalpojumus sniedzošā persona ir cilvēktirdzniecības upuris un aicinājums </w:t>
            </w:r>
            <w:proofErr w:type="spellStart"/>
            <w:r w:rsidRPr="00B23E16">
              <w:rPr>
                <w:sz w:val="28"/>
                <w:szCs w:val="28"/>
              </w:rPr>
              <w:t>kriminalizēt</w:t>
            </w:r>
            <w:proofErr w:type="spellEnd"/>
            <w:r w:rsidRPr="00B23E16">
              <w:rPr>
                <w:sz w:val="28"/>
                <w:szCs w:val="28"/>
              </w:rPr>
              <w:t xml:space="preserve"> minētās darbības Latvijai izteikts arī GRETAS (</w:t>
            </w:r>
            <w:proofErr w:type="spellStart"/>
            <w:r w:rsidRPr="00B23E16">
              <w:rPr>
                <w:sz w:val="28"/>
                <w:szCs w:val="28"/>
              </w:rPr>
              <w:t>Group</w:t>
            </w:r>
            <w:proofErr w:type="spellEnd"/>
            <w:r w:rsidRPr="00B23E16">
              <w:rPr>
                <w:sz w:val="28"/>
                <w:szCs w:val="28"/>
              </w:rPr>
              <w:t xml:space="preserve"> </w:t>
            </w:r>
            <w:proofErr w:type="spellStart"/>
            <w:r w:rsidRPr="00B23E16">
              <w:rPr>
                <w:sz w:val="28"/>
                <w:szCs w:val="28"/>
              </w:rPr>
              <w:t>of</w:t>
            </w:r>
            <w:proofErr w:type="spellEnd"/>
            <w:r w:rsidRPr="00B23E16">
              <w:rPr>
                <w:sz w:val="28"/>
                <w:szCs w:val="28"/>
              </w:rPr>
              <w:t xml:space="preserve"> </w:t>
            </w:r>
            <w:proofErr w:type="spellStart"/>
            <w:r w:rsidRPr="00B23E16">
              <w:rPr>
                <w:sz w:val="28"/>
                <w:szCs w:val="28"/>
              </w:rPr>
              <w:t>Exsperts</w:t>
            </w:r>
            <w:proofErr w:type="spellEnd"/>
            <w:r w:rsidRPr="00B23E16">
              <w:rPr>
                <w:sz w:val="28"/>
                <w:szCs w:val="28"/>
              </w:rPr>
              <w:t xml:space="preserve"> </w:t>
            </w:r>
            <w:proofErr w:type="spellStart"/>
            <w:r w:rsidRPr="00B23E16">
              <w:rPr>
                <w:sz w:val="28"/>
                <w:szCs w:val="28"/>
              </w:rPr>
              <w:t>on</w:t>
            </w:r>
            <w:proofErr w:type="spellEnd"/>
            <w:r w:rsidRPr="00B23E16">
              <w:rPr>
                <w:sz w:val="28"/>
                <w:szCs w:val="28"/>
              </w:rPr>
              <w:t xml:space="preserve"> </w:t>
            </w:r>
            <w:proofErr w:type="spellStart"/>
            <w:r w:rsidR="00ED4C36" w:rsidRPr="00B23E16">
              <w:rPr>
                <w:sz w:val="28"/>
                <w:szCs w:val="28"/>
              </w:rPr>
              <w:t>Action</w:t>
            </w:r>
            <w:proofErr w:type="spellEnd"/>
            <w:r w:rsidR="00ED4C36" w:rsidRPr="00B23E16">
              <w:rPr>
                <w:sz w:val="28"/>
                <w:szCs w:val="28"/>
              </w:rPr>
              <w:t xml:space="preserve"> </w:t>
            </w:r>
            <w:proofErr w:type="spellStart"/>
            <w:r w:rsidR="00ED4C36" w:rsidRPr="00B23E16">
              <w:rPr>
                <w:sz w:val="28"/>
                <w:szCs w:val="28"/>
              </w:rPr>
              <w:t>against</w:t>
            </w:r>
            <w:proofErr w:type="spellEnd"/>
            <w:r w:rsidR="00ED4C36" w:rsidRPr="00B23E16">
              <w:rPr>
                <w:sz w:val="28"/>
                <w:szCs w:val="28"/>
              </w:rPr>
              <w:t xml:space="preserve"> </w:t>
            </w:r>
            <w:proofErr w:type="spellStart"/>
            <w:r w:rsidR="00ED4C36" w:rsidRPr="00B23E16">
              <w:rPr>
                <w:sz w:val="28"/>
                <w:szCs w:val="28"/>
              </w:rPr>
              <w:t>Trafficking</w:t>
            </w:r>
            <w:proofErr w:type="spellEnd"/>
            <w:r w:rsidR="00ED4C36" w:rsidRPr="00B23E16">
              <w:rPr>
                <w:sz w:val="28"/>
                <w:szCs w:val="28"/>
              </w:rPr>
              <w:t xml:space="preserve"> </w:t>
            </w:r>
            <w:proofErr w:type="spellStart"/>
            <w:r w:rsidR="00ED4C36" w:rsidRPr="00B23E16">
              <w:rPr>
                <w:sz w:val="28"/>
                <w:szCs w:val="28"/>
              </w:rPr>
              <w:t>in</w:t>
            </w:r>
            <w:proofErr w:type="spellEnd"/>
            <w:r w:rsidR="00ED4C36" w:rsidRPr="00B23E16">
              <w:rPr>
                <w:sz w:val="28"/>
                <w:szCs w:val="28"/>
              </w:rPr>
              <w:t xml:space="preserve"> </w:t>
            </w:r>
            <w:proofErr w:type="spellStart"/>
            <w:r w:rsidR="00ED4C36" w:rsidRPr="00B23E16">
              <w:rPr>
                <w:sz w:val="28"/>
                <w:szCs w:val="28"/>
              </w:rPr>
              <w:t>H</w:t>
            </w:r>
            <w:r w:rsidRPr="00B23E16">
              <w:rPr>
                <w:sz w:val="28"/>
                <w:szCs w:val="28"/>
              </w:rPr>
              <w:t>uman</w:t>
            </w:r>
            <w:proofErr w:type="spellEnd"/>
            <w:r w:rsidRPr="00B23E16">
              <w:rPr>
                <w:sz w:val="28"/>
                <w:szCs w:val="28"/>
              </w:rPr>
              <w:t xml:space="preserve"> </w:t>
            </w:r>
            <w:proofErr w:type="spellStart"/>
            <w:r w:rsidRPr="00B23E16">
              <w:rPr>
                <w:sz w:val="28"/>
                <w:szCs w:val="28"/>
              </w:rPr>
              <w:t>Beings</w:t>
            </w:r>
            <w:proofErr w:type="spellEnd"/>
            <w:r w:rsidRPr="00B23E16">
              <w:rPr>
                <w:sz w:val="28"/>
                <w:szCs w:val="28"/>
              </w:rPr>
              <w:t xml:space="preserve">) </w:t>
            </w:r>
            <w:proofErr w:type="gramStart"/>
            <w:r w:rsidRPr="00B23E16">
              <w:rPr>
                <w:sz w:val="28"/>
                <w:szCs w:val="28"/>
              </w:rPr>
              <w:t>2012.gada</w:t>
            </w:r>
            <w:proofErr w:type="gramEnd"/>
            <w:r w:rsidRPr="00B23E16">
              <w:rPr>
                <w:sz w:val="28"/>
                <w:szCs w:val="28"/>
              </w:rPr>
              <w:t xml:space="preserve"> ziņojumā.</w:t>
            </w:r>
          </w:p>
          <w:p w14:paraId="46B82794" w14:textId="3A1D6385" w:rsidR="00164C86" w:rsidRDefault="00164C86" w:rsidP="00D17A21">
            <w:pPr>
              <w:pStyle w:val="naiskr"/>
              <w:tabs>
                <w:tab w:val="left" w:pos="2628"/>
              </w:tabs>
              <w:spacing w:before="0" w:after="0"/>
              <w:jc w:val="both"/>
              <w:rPr>
                <w:sz w:val="28"/>
                <w:szCs w:val="28"/>
              </w:rPr>
            </w:pPr>
            <w:r w:rsidRPr="00B23E16">
              <w:rPr>
                <w:sz w:val="28"/>
                <w:szCs w:val="28"/>
              </w:rPr>
              <w:t xml:space="preserve">Ņemot vērā minēto, </w:t>
            </w:r>
            <w:r w:rsidR="000C2522" w:rsidRPr="00B23E16">
              <w:rPr>
                <w:sz w:val="28"/>
                <w:szCs w:val="28"/>
              </w:rPr>
              <w:t xml:space="preserve">ar </w:t>
            </w:r>
            <w:proofErr w:type="gramStart"/>
            <w:r w:rsidR="000C2522" w:rsidRPr="00B23E16">
              <w:rPr>
                <w:sz w:val="28"/>
                <w:szCs w:val="28"/>
              </w:rPr>
              <w:t>2014.gada</w:t>
            </w:r>
            <w:proofErr w:type="gramEnd"/>
            <w:r w:rsidR="000C2522" w:rsidRPr="00B23E16">
              <w:rPr>
                <w:sz w:val="28"/>
                <w:szCs w:val="28"/>
              </w:rPr>
              <w:t xml:space="preserve"> 15.maija likumu “Grozījumi Krimināllikumā” tika izdarīti grozījumi Krimināllikuma 164.pantā, paredzot </w:t>
            </w:r>
            <w:r w:rsidR="007D38BB" w:rsidRPr="00B23E16">
              <w:rPr>
                <w:sz w:val="28"/>
                <w:szCs w:val="28"/>
              </w:rPr>
              <w:t>kriminālatbildību</w:t>
            </w:r>
            <w:r w:rsidR="000C2522" w:rsidRPr="00B23E16">
              <w:rPr>
                <w:sz w:val="28"/>
                <w:szCs w:val="28"/>
              </w:rPr>
              <w:t xml:space="preserve"> par cilvēku tirdzniecības upura prostitūcijas </w:t>
            </w:r>
            <w:r w:rsidR="007D38BB" w:rsidRPr="00B23E16">
              <w:rPr>
                <w:sz w:val="28"/>
                <w:szCs w:val="28"/>
              </w:rPr>
              <w:t xml:space="preserve"> izmantošanu. Saistībā ar minēto attiecīgi izdarāmi </w:t>
            </w:r>
            <w:r w:rsidR="00D17A21" w:rsidRPr="00B23E16">
              <w:rPr>
                <w:sz w:val="28"/>
                <w:szCs w:val="28"/>
              </w:rPr>
              <w:t xml:space="preserve">attiecīgi grozījumi </w:t>
            </w:r>
            <w:r w:rsidR="00B2551C" w:rsidRPr="00B23E16">
              <w:rPr>
                <w:sz w:val="28"/>
                <w:szCs w:val="28"/>
              </w:rPr>
              <w:t>Noteikumos Nr.32,</w:t>
            </w:r>
            <w:r w:rsidR="007D38BB" w:rsidRPr="00B23E16">
              <w:rPr>
                <w:sz w:val="28"/>
                <w:szCs w:val="28"/>
              </w:rPr>
              <w:t xml:space="preserve"> </w:t>
            </w:r>
            <w:proofErr w:type="gramStart"/>
            <w:r w:rsidR="007D38BB" w:rsidRPr="00B23E16">
              <w:rPr>
                <w:sz w:val="28"/>
                <w:szCs w:val="28"/>
              </w:rPr>
              <w:t>paredzot, ka cilvēktirdzniecības upura prostitūcijas izmantošanas ir</w:t>
            </w:r>
            <w:proofErr w:type="gramEnd"/>
            <w:r w:rsidR="007D38BB" w:rsidRPr="00B23E16">
              <w:rPr>
                <w:sz w:val="28"/>
                <w:szCs w:val="28"/>
              </w:rPr>
              <w:t xml:space="preserve"> aizliegta.</w:t>
            </w:r>
          </w:p>
          <w:p w14:paraId="6FF9CF1E" w14:textId="3793BD03" w:rsidR="00CA55CD" w:rsidRDefault="007D5DFB" w:rsidP="00271CF8">
            <w:pPr>
              <w:pStyle w:val="naiskr"/>
              <w:tabs>
                <w:tab w:val="left" w:pos="2628"/>
              </w:tabs>
              <w:spacing w:before="0" w:after="0"/>
              <w:jc w:val="both"/>
              <w:rPr>
                <w:sz w:val="28"/>
                <w:szCs w:val="28"/>
              </w:rPr>
            </w:pPr>
            <w:r>
              <w:rPr>
                <w:sz w:val="28"/>
                <w:szCs w:val="28"/>
              </w:rPr>
              <w:t xml:space="preserve">Vienlaikus, ņemot vērā nevalstisko organizāciju un Tiesībsarga biroja pausto viedokli starpministriju (starpinstitūciju) sanāksmē par </w:t>
            </w:r>
            <w:r w:rsidR="00620D6B">
              <w:rPr>
                <w:sz w:val="28"/>
                <w:szCs w:val="28"/>
              </w:rPr>
              <w:t xml:space="preserve">to, ka Noteikumos Nr.32 paredzētajiem ierobežojumiem </w:t>
            </w:r>
            <w:r>
              <w:rPr>
                <w:sz w:val="28"/>
                <w:szCs w:val="28"/>
              </w:rPr>
              <w:t>nav izvēlēts atbilstošs tiesiskā regulējuma līmenis, proti,</w:t>
            </w:r>
            <w:r w:rsidR="00620D6B">
              <w:rPr>
                <w:sz w:val="28"/>
                <w:szCs w:val="28"/>
              </w:rPr>
              <w:t xml:space="preserve"> ka Noteikumos Nr.32 paredzētie</w:t>
            </w:r>
            <w:r>
              <w:rPr>
                <w:sz w:val="28"/>
                <w:szCs w:val="28"/>
              </w:rPr>
              <w:t xml:space="preserve"> ierobežojumi </w:t>
            </w:r>
            <w:r w:rsidR="00AE4171">
              <w:rPr>
                <w:sz w:val="28"/>
                <w:szCs w:val="28"/>
              </w:rPr>
              <w:t>ir nosakāmi</w:t>
            </w:r>
            <w:r>
              <w:rPr>
                <w:sz w:val="28"/>
                <w:szCs w:val="28"/>
              </w:rPr>
              <w:t xml:space="preserve"> likuma līmenī</w:t>
            </w:r>
            <w:r w:rsidR="00620D6B">
              <w:rPr>
                <w:sz w:val="28"/>
                <w:szCs w:val="28"/>
              </w:rPr>
              <w:t xml:space="preserve">, </w:t>
            </w:r>
            <w:r w:rsidR="00AE4171">
              <w:rPr>
                <w:sz w:val="28"/>
                <w:szCs w:val="28"/>
              </w:rPr>
              <w:t xml:space="preserve">tika </w:t>
            </w:r>
            <w:r w:rsidR="00620D6B">
              <w:rPr>
                <w:sz w:val="28"/>
                <w:szCs w:val="28"/>
              </w:rPr>
              <w:t>nolemts Iekšlietu ministrijā</w:t>
            </w:r>
            <w:r w:rsidR="00AD01B0">
              <w:rPr>
                <w:sz w:val="28"/>
                <w:szCs w:val="28"/>
              </w:rPr>
              <w:t>, iesaistot visas iesaistītās ministrijas un institūcijas, kā arī nevalstiskās organizācijas,</w:t>
            </w:r>
            <w:r w:rsidR="00620D6B">
              <w:rPr>
                <w:sz w:val="28"/>
                <w:szCs w:val="28"/>
              </w:rPr>
              <w:t xml:space="preserve"> vei</w:t>
            </w:r>
            <w:r w:rsidR="00AE4171">
              <w:rPr>
                <w:sz w:val="28"/>
                <w:szCs w:val="28"/>
              </w:rPr>
              <w:t xml:space="preserve">dot darba grupu, kuras </w:t>
            </w:r>
            <w:r w:rsidR="00AE4171">
              <w:rPr>
                <w:sz w:val="28"/>
                <w:szCs w:val="28"/>
              </w:rPr>
              <w:lastRenderedPageBreak/>
              <w:t>uzdevums</w:t>
            </w:r>
            <w:r w:rsidR="00620D6B">
              <w:rPr>
                <w:sz w:val="28"/>
                <w:szCs w:val="28"/>
              </w:rPr>
              <w:t xml:space="preserve"> būs izstrādāt jaunu likumu prostitūcijas ierobežošanas jomā, tādējādi, nodrošinot prostitūcijā iesaistītajām personām noteikto ierobežojumu</w:t>
            </w:r>
            <w:r w:rsidR="00AD01B0">
              <w:rPr>
                <w:sz w:val="28"/>
                <w:szCs w:val="28"/>
              </w:rPr>
              <w:t xml:space="preserve"> noteikšanu atbilstošā tiesiskā regulējuma līmenī un </w:t>
            </w:r>
            <w:r w:rsidR="00271CF8">
              <w:rPr>
                <w:sz w:val="28"/>
                <w:szCs w:val="28"/>
              </w:rPr>
              <w:t xml:space="preserve">nodrošinot </w:t>
            </w:r>
            <w:r w:rsidR="00AD01B0">
              <w:rPr>
                <w:sz w:val="28"/>
                <w:szCs w:val="28"/>
              </w:rPr>
              <w:t>Latvijas Republikas Satversmē noteikt</w:t>
            </w:r>
            <w:r w:rsidR="00271CF8">
              <w:rPr>
                <w:sz w:val="28"/>
                <w:szCs w:val="28"/>
              </w:rPr>
              <w:t>o</w:t>
            </w:r>
            <w:r w:rsidR="00AD01B0">
              <w:rPr>
                <w:sz w:val="28"/>
                <w:szCs w:val="28"/>
              </w:rPr>
              <w:t xml:space="preserve"> </w:t>
            </w:r>
            <w:r w:rsidR="00AD01B0" w:rsidRPr="00271CF8">
              <w:rPr>
                <w:sz w:val="28"/>
                <w:szCs w:val="28"/>
              </w:rPr>
              <w:t>pamatties</w:t>
            </w:r>
            <w:r w:rsidR="00271CF8" w:rsidRPr="00271CF8">
              <w:rPr>
                <w:sz w:val="28"/>
                <w:szCs w:val="28"/>
              </w:rPr>
              <w:t>ību ievērošanu</w:t>
            </w:r>
            <w:r w:rsidR="00AD01B0" w:rsidRPr="00271CF8">
              <w:rPr>
                <w:sz w:val="28"/>
                <w:szCs w:val="28"/>
              </w:rPr>
              <w:t>, kas paredz, ka</w:t>
            </w:r>
            <w:r w:rsidR="00AD01B0" w:rsidRPr="00271CF8">
              <w:rPr>
                <w:bCs/>
                <w:sz w:val="28"/>
                <w:szCs w:val="28"/>
              </w:rPr>
              <w:t xml:space="preserve"> i</w:t>
            </w:r>
            <w:r w:rsidR="00AD01B0" w:rsidRPr="00271CF8">
              <w:rPr>
                <w:sz w:val="28"/>
                <w:szCs w:val="28"/>
              </w:rPr>
              <w:t>kvienam ir tiesības brīvi izvēlēties nodarbošanos un darbavietu atbilstoši</w:t>
            </w:r>
            <w:r w:rsidR="00271CF8">
              <w:rPr>
                <w:sz w:val="28"/>
                <w:szCs w:val="28"/>
              </w:rPr>
              <w:t xml:space="preserve"> savām spējām un kvalifikācijai (</w:t>
            </w:r>
            <w:r w:rsidR="00271CF8" w:rsidRPr="00271CF8">
              <w:rPr>
                <w:sz w:val="28"/>
                <w:szCs w:val="28"/>
              </w:rPr>
              <w:t xml:space="preserve">Latvijas Republikas Satversmes </w:t>
            </w:r>
            <w:r w:rsidR="00271CF8" w:rsidRPr="00271CF8">
              <w:rPr>
                <w:bCs/>
                <w:sz w:val="28"/>
                <w:szCs w:val="28"/>
              </w:rPr>
              <w:t>106.</w:t>
            </w:r>
            <w:r w:rsidR="00271CF8">
              <w:rPr>
                <w:bCs/>
                <w:sz w:val="28"/>
                <w:szCs w:val="28"/>
              </w:rPr>
              <w:t xml:space="preserve">pants) un ka </w:t>
            </w:r>
            <w:r w:rsidR="00AD01B0" w:rsidRPr="00271CF8">
              <w:rPr>
                <w:bCs/>
                <w:sz w:val="28"/>
                <w:szCs w:val="28"/>
              </w:rPr>
              <w:t>p</w:t>
            </w:r>
            <w:r w:rsidR="00AD01B0" w:rsidRPr="00271CF8">
              <w:rPr>
                <w:sz w:val="28"/>
                <w:szCs w:val="28"/>
              </w:rPr>
              <w:t xml:space="preserve">ersonas tiesības, kas noteiktas Satversmes </w:t>
            </w:r>
            <w:r w:rsidR="005B76D9">
              <w:rPr>
                <w:sz w:val="28"/>
                <w:szCs w:val="28"/>
              </w:rPr>
              <w:t>106.</w:t>
            </w:r>
            <w:r w:rsidR="00271CF8">
              <w:rPr>
                <w:sz w:val="28"/>
                <w:szCs w:val="28"/>
              </w:rPr>
              <w:t>pantā</w:t>
            </w:r>
            <w:r w:rsidR="00AD01B0" w:rsidRPr="00271CF8">
              <w:rPr>
                <w:sz w:val="28"/>
                <w:szCs w:val="28"/>
              </w:rPr>
              <w:t xml:space="preserve">, var ierobežot likumā paredzētajos gadījumos, lai aizsargātu citu cilvēku tiesības, demokrātisko valsts iekārtu, sabiedrības </w:t>
            </w:r>
            <w:r w:rsidR="00271CF8">
              <w:rPr>
                <w:sz w:val="28"/>
                <w:szCs w:val="28"/>
              </w:rPr>
              <w:t>drošību, labklājību un tikumību (</w:t>
            </w:r>
            <w:r w:rsidR="00271CF8" w:rsidRPr="00271CF8">
              <w:rPr>
                <w:sz w:val="28"/>
                <w:szCs w:val="28"/>
              </w:rPr>
              <w:t>Latvijas Republikas Satversmes 116.pant</w:t>
            </w:r>
            <w:r w:rsidR="00271CF8">
              <w:rPr>
                <w:sz w:val="28"/>
                <w:szCs w:val="28"/>
              </w:rPr>
              <w:t>s).</w:t>
            </w:r>
          </w:p>
          <w:p w14:paraId="781B9241" w14:textId="77777777" w:rsidR="005C4F41" w:rsidRDefault="003F2144" w:rsidP="005C4F41">
            <w:pPr>
              <w:pStyle w:val="Header"/>
              <w:spacing w:after="120"/>
              <w:ind w:firstLine="720"/>
              <w:jc w:val="both"/>
              <w:rPr>
                <w:sz w:val="28"/>
                <w:szCs w:val="28"/>
              </w:rPr>
            </w:pPr>
            <w:r>
              <w:rPr>
                <w:sz w:val="28"/>
                <w:szCs w:val="28"/>
              </w:rPr>
              <w:t xml:space="preserve">Saistībā ar minēto, projektam pievienots Ministru kabineta sēdēs </w:t>
            </w:r>
            <w:proofErr w:type="spellStart"/>
            <w:r>
              <w:rPr>
                <w:sz w:val="28"/>
                <w:szCs w:val="28"/>
              </w:rPr>
              <w:t>protokollēmuma</w:t>
            </w:r>
            <w:proofErr w:type="spellEnd"/>
            <w:r>
              <w:rPr>
                <w:sz w:val="28"/>
                <w:szCs w:val="28"/>
              </w:rPr>
              <w:t xml:space="preserve"> projekts, kas paredz uzdevumu </w:t>
            </w:r>
            <w:r w:rsidRPr="003F2144">
              <w:rPr>
                <w:sz w:val="28"/>
                <w:szCs w:val="28"/>
              </w:rPr>
              <w:t>I</w:t>
            </w:r>
            <w:r w:rsidRPr="003F2144">
              <w:rPr>
                <w:sz w:val="28"/>
                <w:szCs w:val="28"/>
              </w:rPr>
              <w:tab/>
            </w:r>
            <w:proofErr w:type="spellStart"/>
            <w:r w:rsidRPr="003F2144">
              <w:rPr>
                <w:sz w:val="28"/>
                <w:szCs w:val="28"/>
              </w:rPr>
              <w:t>ekšlietu</w:t>
            </w:r>
            <w:proofErr w:type="spellEnd"/>
            <w:r w:rsidRPr="003F2144">
              <w:rPr>
                <w:sz w:val="28"/>
                <w:szCs w:val="28"/>
              </w:rPr>
              <w:t xml:space="preserve"> ministrijai sadarbībā ar Tieslietu ministriju, Veselības ministriju, Labklājības ministriju, Vides aizsardzības un reģionālas </w:t>
            </w:r>
            <w:r w:rsidRPr="003F2144">
              <w:rPr>
                <w:rStyle w:val="Strong"/>
                <w:b w:val="0"/>
                <w:sz w:val="28"/>
                <w:szCs w:val="28"/>
              </w:rPr>
              <w:t>attīstības</w:t>
            </w:r>
            <w:r w:rsidRPr="003F2144">
              <w:rPr>
                <w:sz w:val="28"/>
                <w:szCs w:val="28"/>
              </w:rPr>
              <w:t xml:space="preserve"> ministriju, Tiesībsarga biroju un iesaistot nevalstiskās organizācijas izstrādāt likumprojektu prostitūcijas ierobežošanas jomā un iesniegt to Valsts kancelejā līdz </w:t>
            </w:r>
            <w:proofErr w:type="gramStart"/>
            <w:r w:rsidRPr="003F2144">
              <w:rPr>
                <w:sz w:val="28"/>
                <w:szCs w:val="28"/>
              </w:rPr>
              <w:t>2017.gada</w:t>
            </w:r>
            <w:proofErr w:type="gramEnd"/>
            <w:r w:rsidRPr="003F2144">
              <w:rPr>
                <w:sz w:val="28"/>
                <w:szCs w:val="28"/>
              </w:rPr>
              <w:t xml:space="preserve"> 1.janvārim. </w:t>
            </w:r>
          </w:p>
          <w:p w14:paraId="6CC4682D" w14:textId="54C6C724" w:rsidR="003F2144" w:rsidRPr="003F2144" w:rsidRDefault="003F2144" w:rsidP="005C4F41">
            <w:pPr>
              <w:pStyle w:val="Header"/>
              <w:spacing w:after="120"/>
              <w:ind w:firstLine="720"/>
              <w:jc w:val="both"/>
              <w:rPr>
                <w:sz w:val="28"/>
                <w:szCs w:val="28"/>
              </w:rPr>
            </w:pPr>
            <w:r w:rsidRPr="003F2144">
              <w:rPr>
                <w:sz w:val="28"/>
                <w:szCs w:val="28"/>
              </w:rPr>
              <w:t>Taču, lai līdz jaunā likuma pieņemšanai varētu nodrošināt prostitūcijas jomas uzraudzību valstī, nepieciešams saglabāt šobrīd Ministru kabineta noteikumos ietverto regulējumu prostitūcijas ierobežošanas jomā.</w:t>
            </w:r>
          </w:p>
        </w:tc>
      </w:tr>
      <w:tr w:rsidR="00B23E16" w:rsidRPr="00B23E16" w14:paraId="4C34A0C4" w14:textId="77777777" w:rsidTr="000A782E">
        <w:tc>
          <w:tcPr>
            <w:tcW w:w="1045" w:type="dxa"/>
          </w:tcPr>
          <w:p w14:paraId="5B8BA2E8" w14:textId="7178D44E" w:rsidR="00AB2A5C" w:rsidRPr="00B23E16" w:rsidRDefault="00AB2A5C" w:rsidP="000A782E">
            <w:pPr>
              <w:jc w:val="center"/>
              <w:rPr>
                <w:sz w:val="28"/>
                <w:szCs w:val="28"/>
              </w:rPr>
            </w:pPr>
            <w:r w:rsidRPr="00B23E16">
              <w:rPr>
                <w:sz w:val="28"/>
                <w:szCs w:val="28"/>
              </w:rPr>
              <w:lastRenderedPageBreak/>
              <w:t>3.</w:t>
            </w:r>
          </w:p>
        </w:tc>
        <w:tc>
          <w:tcPr>
            <w:tcW w:w="2649" w:type="dxa"/>
          </w:tcPr>
          <w:p w14:paraId="16F58157" w14:textId="77777777" w:rsidR="00AB2A5C" w:rsidRPr="00B23E16" w:rsidRDefault="00AB2A5C" w:rsidP="000A782E">
            <w:pPr>
              <w:rPr>
                <w:sz w:val="28"/>
                <w:szCs w:val="28"/>
              </w:rPr>
            </w:pPr>
            <w:r w:rsidRPr="00B23E16">
              <w:rPr>
                <w:sz w:val="28"/>
                <w:szCs w:val="28"/>
              </w:rPr>
              <w:t>Saistītie politikas ietekmes novērtējumi un pētījumi</w:t>
            </w:r>
          </w:p>
        </w:tc>
        <w:tc>
          <w:tcPr>
            <w:tcW w:w="5367" w:type="dxa"/>
          </w:tcPr>
          <w:p w14:paraId="636F9F06" w14:textId="77777777" w:rsidR="00AB2A5C" w:rsidRPr="00B23E16" w:rsidRDefault="00AB2A5C" w:rsidP="000A782E">
            <w:pPr>
              <w:tabs>
                <w:tab w:val="left" w:pos="5279"/>
              </w:tabs>
              <w:ind w:right="31"/>
              <w:jc w:val="both"/>
              <w:rPr>
                <w:sz w:val="28"/>
                <w:szCs w:val="28"/>
              </w:rPr>
            </w:pPr>
            <w:r w:rsidRPr="00B23E16">
              <w:rPr>
                <w:bCs/>
                <w:sz w:val="28"/>
                <w:szCs w:val="28"/>
              </w:rPr>
              <w:t>Projekts šo jomu neskar.</w:t>
            </w:r>
          </w:p>
        </w:tc>
      </w:tr>
      <w:tr w:rsidR="00B23E16" w:rsidRPr="00B23E16" w14:paraId="1A784646" w14:textId="77777777" w:rsidTr="000A782E">
        <w:tc>
          <w:tcPr>
            <w:tcW w:w="1045" w:type="dxa"/>
          </w:tcPr>
          <w:p w14:paraId="1A085526" w14:textId="77777777" w:rsidR="00AB2A5C" w:rsidRPr="00B23E16" w:rsidRDefault="00AB2A5C" w:rsidP="000A782E">
            <w:pPr>
              <w:jc w:val="center"/>
              <w:rPr>
                <w:sz w:val="28"/>
                <w:szCs w:val="28"/>
              </w:rPr>
            </w:pPr>
            <w:r w:rsidRPr="00B23E16">
              <w:rPr>
                <w:sz w:val="28"/>
                <w:szCs w:val="28"/>
              </w:rPr>
              <w:t>4.</w:t>
            </w:r>
          </w:p>
        </w:tc>
        <w:tc>
          <w:tcPr>
            <w:tcW w:w="2649" w:type="dxa"/>
          </w:tcPr>
          <w:p w14:paraId="4CB75364" w14:textId="77777777" w:rsidR="00AB2A5C" w:rsidRPr="00B23E16" w:rsidRDefault="00AB2A5C" w:rsidP="000A782E">
            <w:pPr>
              <w:rPr>
                <w:sz w:val="28"/>
                <w:szCs w:val="28"/>
              </w:rPr>
            </w:pPr>
            <w:r w:rsidRPr="00B23E16">
              <w:rPr>
                <w:sz w:val="28"/>
                <w:szCs w:val="28"/>
              </w:rPr>
              <w:t>Tiesiskā regulējuma mērķis un būtība</w:t>
            </w:r>
          </w:p>
        </w:tc>
        <w:tc>
          <w:tcPr>
            <w:tcW w:w="5367" w:type="dxa"/>
          </w:tcPr>
          <w:p w14:paraId="30071333" w14:textId="12DFB844" w:rsidR="00577026" w:rsidRPr="00B23E16" w:rsidRDefault="000934B5" w:rsidP="008C2682">
            <w:pPr>
              <w:pStyle w:val="naiskr"/>
              <w:tabs>
                <w:tab w:val="left" w:pos="2628"/>
              </w:tabs>
              <w:spacing w:before="0" w:after="0"/>
              <w:jc w:val="both"/>
              <w:rPr>
                <w:sz w:val="28"/>
                <w:szCs w:val="28"/>
              </w:rPr>
            </w:pPr>
            <w:r w:rsidRPr="00B23E16">
              <w:rPr>
                <w:sz w:val="28"/>
                <w:szCs w:val="28"/>
              </w:rPr>
              <w:t>P</w:t>
            </w:r>
            <w:r w:rsidR="000F2BFE" w:rsidRPr="00B23E16">
              <w:rPr>
                <w:sz w:val="28"/>
                <w:szCs w:val="28"/>
              </w:rPr>
              <w:t>rojekta mērķis ir nodrošināt Krimināllikuma normu piemērošanu</w:t>
            </w:r>
            <w:r w:rsidR="00425B85" w:rsidRPr="00B23E16">
              <w:rPr>
                <w:sz w:val="28"/>
                <w:szCs w:val="28"/>
              </w:rPr>
              <w:t xml:space="preserve">. </w:t>
            </w:r>
            <w:r w:rsidR="001959C0" w:rsidRPr="00B23E16">
              <w:rPr>
                <w:sz w:val="28"/>
                <w:szCs w:val="28"/>
              </w:rPr>
              <w:t>Vienlaikus p</w:t>
            </w:r>
            <w:r w:rsidR="007C608D" w:rsidRPr="00B23E16">
              <w:rPr>
                <w:sz w:val="28"/>
                <w:szCs w:val="28"/>
              </w:rPr>
              <w:t>rojekts p</w:t>
            </w:r>
            <w:r w:rsidR="004626DC" w:rsidRPr="00B23E16">
              <w:rPr>
                <w:sz w:val="28"/>
                <w:szCs w:val="28"/>
              </w:rPr>
              <w:t xml:space="preserve">aredz </w:t>
            </w:r>
            <w:r w:rsidR="00CD3225" w:rsidRPr="00B23E16">
              <w:rPr>
                <w:sz w:val="28"/>
                <w:szCs w:val="28"/>
              </w:rPr>
              <w:t>precizēt N</w:t>
            </w:r>
            <w:r w:rsidR="007C608D" w:rsidRPr="00B23E16">
              <w:rPr>
                <w:sz w:val="28"/>
                <w:szCs w:val="28"/>
              </w:rPr>
              <w:t xml:space="preserve">oteikumu Nr.32 </w:t>
            </w:r>
            <w:r w:rsidR="004626DC" w:rsidRPr="00B23E16">
              <w:rPr>
                <w:sz w:val="28"/>
                <w:szCs w:val="28"/>
              </w:rPr>
              <w:t>12.punktu</w:t>
            </w:r>
            <w:r w:rsidR="00CD3225" w:rsidRPr="00B23E16">
              <w:rPr>
                <w:sz w:val="28"/>
                <w:szCs w:val="28"/>
              </w:rPr>
              <w:t>, papildinot to ar aizliegumu izmantot n</w:t>
            </w:r>
            <w:r w:rsidR="00E55A06" w:rsidRPr="00B23E16">
              <w:rPr>
                <w:sz w:val="28"/>
                <w:szCs w:val="28"/>
              </w:rPr>
              <w:t>ep</w:t>
            </w:r>
            <w:r w:rsidR="00AB142A" w:rsidRPr="00B23E16">
              <w:rPr>
                <w:sz w:val="28"/>
                <w:szCs w:val="28"/>
              </w:rPr>
              <w:t xml:space="preserve">ilngadīgas personas </w:t>
            </w:r>
            <w:r w:rsidR="00E70992" w:rsidRPr="00B23E16">
              <w:rPr>
                <w:sz w:val="28"/>
                <w:szCs w:val="28"/>
              </w:rPr>
              <w:t xml:space="preserve">un cilvēktirdzniecības upura </w:t>
            </w:r>
            <w:r w:rsidR="00AB142A" w:rsidRPr="00B23E16">
              <w:rPr>
                <w:sz w:val="28"/>
                <w:szCs w:val="28"/>
              </w:rPr>
              <w:t>prostitūciju</w:t>
            </w:r>
            <w:r w:rsidR="001959C0" w:rsidRPr="00B23E16">
              <w:rPr>
                <w:sz w:val="28"/>
                <w:szCs w:val="28"/>
              </w:rPr>
              <w:t>. Tāpat</w:t>
            </w:r>
            <w:r w:rsidR="00425B85" w:rsidRPr="00B23E16">
              <w:rPr>
                <w:sz w:val="28"/>
                <w:szCs w:val="28"/>
              </w:rPr>
              <w:t xml:space="preserve"> projekts paredz </w:t>
            </w:r>
            <w:r w:rsidR="00BE189B" w:rsidRPr="00B23E16">
              <w:rPr>
                <w:sz w:val="28"/>
                <w:szCs w:val="28"/>
              </w:rPr>
              <w:t xml:space="preserve">svītrot </w:t>
            </w:r>
            <w:r w:rsidR="00425B85" w:rsidRPr="00B23E16">
              <w:rPr>
                <w:sz w:val="28"/>
                <w:szCs w:val="28"/>
              </w:rPr>
              <w:t xml:space="preserve">no Noteikumiem Nr.32 prasību personai, kas nodarbojas ar prostitūciju, būt </w:t>
            </w:r>
            <w:r w:rsidR="00425B85" w:rsidRPr="00B23E16">
              <w:rPr>
                <w:sz w:val="28"/>
                <w:szCs w:val="28"/>
              </w:rPr>
              <w:lastRenderedPageBreak/>
              <w:t xml:space="preserve">veselības kartei, līdz ar ko arī pienākumu pēc klienta pieprasījuma uzrādīt to. </w:t>
            </w:r>
            <w:r w:rsidR="009A3E8D">
              <w:rPr>
                <w:sz w:val="28"/>
                <w:szCs w:val="28"/>
              </w:rPr>
              <w:t>Saistībā ar minēto, no noteikumiem Nr.32</w:t>
            </w:r>
            <w:r w:rsidR="007D5DFB">
              <w:rPr>
                <w:sz w:val="28"/>
                <w:szCs w:val="28"/>
              </w:rPr>
              <w:t xml:space="preserve"> svītrota </w:t>
            </w:r>
            <w:r w:rsidR="009A3E8D">
              <w:rPr>
                <w:sz w:val="28"/>
                <w:szCs w:val="28"/>
              </w:rPr>
              <w:t xml:space="preserve">arī </w:t>
            </w:r>
            <w:r w:rsidR="008C2682">
              <w:rPr>
                <w:sz w:val="28"/>
                <w:szCs w:val="28"/>
              </w:rPr>
              <w:t>norma</w:t>
            </w:r>
            <w:r w:rsidR="007D5DFB">
              <w:rPr>
                <w:sz w:val="28"/>
                <w:szCs w:val="28"/>
              </w:rPr>
              <w:t xml:space="preserve"> </w:t>
            </w:r>
            <w:r w:rsidR="009A3E8D" w:rsidRPr="009A3E8D">
              <w:rPr>
                <w:sz w:val="28"/>
                <w:szCs w:val="28"/>
              </w:rPr>
              <w:t>attiecībā uz pienākumu personai, kas nodarbojas ar prostitūciju, reizi mēnesī pārbaudīt veselīb</w:t>
            </w:r>
            <w:r w:rsidR="008C2682">
              <w:rPr>
                <w:sz w:val="28"/>
                <w:szCs w:val="28"/>
              </w:rPr>
              <w:t>u pie dermatologa un venerologa</w:t>
            </w:r>
            <w:r w:rsidR="009A3E8D">
              <w:rPr>
                <w:sz w:val="28"/>
                <w:szCs w:val="28"/>
              </w:rPr>
              <w:t>, jo</w:t>
            </w:r>
            <w:proofErr w:type="gramStart"/>
            <w:r w:rsidR="009A3E8D">
              <w:rPr>
                <w:sz w:val="28"/>
                <w:szCs w:val="28"/>
              </w:rPr>
              <w:t xml:space="preserve"> svītrojot prasību par veselība</w:t>
            </w:r>
            <w:r w:rsidR="008C2682">
              <w:rPr>
                <w:sz w:val="28"/>
                <w:szCs w:val="28"/>
              </w:rPr>
              <w:t>s karšu nepieciešamību</w:t>
            </w:r>
            <w:proofErr w:type="gramEnd"/>
            <w:r w:rsidR="008C2682">
              <w:rPr>
                <w:sz w:val="28"/>
                <w:szCs w:val="28"/>
              </w:rPr>
              <w:t>, minētajai</w:t>
            </w:r>
            <w:r w:rsidR="009A3E8D">
              <w:rPr>
                <w:sz w:val="28"/>
                <w:szCs w:val="28"/>
              </w:rPr>
              <w:t xml:space="preserve"> norm</w:t>
            </w:r>
            <w:r w:rsidR="008C2682">
              <w:rPr>
                <w:sz w:val="28"/>
                <w:szCs w:val="28"/>
              </w:rPr>
              <w:t>ai</w:t>
            </w:r>
            <w:r w:rsidR="009A3E8D">
              <w:rPr>
                <w:sz w:val="28"/>
                <w:szCs w:val="28"/>
              </w:rPr>
              <w:t xml:space="preserve"> kļūst </w:t>
            </w:r>
            <w:r w:rsidR="008C2682">
              <w:rPr>
                <w:sz w:val="28"/>
                <w:szCs w:val="28"/>
              </w:rPr>
              <w:t>tikai deklaratīvs raksturs un tās</w:t>
            </w:r>
            <w:r w:rsidR="009A3E8D">
              <w:rPr>
                <w:sz w:val="28"/>
                <w:szCs w:val="28"/>
              </w:rPr>
              <w:t xml:space="preserve"> izpilde nekādā veidā nav </w:t>
            </w:r>
            <w:r w:rsidR="00620D6B">
              <w:rPr>
                <w:sz w:val="28"/>
                <w:szCs w:val="28"/>
              </w:rPr>
              <w:t xml:space="preserve">īstenojama un </w:t>
            </w:r>
            <w:r w:rsidR="009A3E8D">
              <w:rPr>
                <w:sz w:val="28"/>
                <w:szCs w:val="28"/>
              </w:rPr>
              <w:t>izkontrolējama.</w:t>
            </w:r>
          </w:p>
        </w:tc>
      </w:tr>
      <w:tr w:rsidR="00B23E16" w:rsidRPr="00B23E16" w14:paraId="196AC04F" w14:textId="77777777" w:rsidTr="000A782E">
        <w:tc>
          <w:tcPr>
            <w:tcW w:w="1045" w:type="dxa"/>
          </w:tcPr>
          <w:p w14:paraId="132CAE7E" w14:textId="77777777" w:rsidR="00AB2A5C" w:rsidRPr="00B23E16" w:rsidRDefault="00AB2A5C" w:rsidP="000A782E">
            <w:pPr>
              <w:jc w:val="center"/>
              <w:rPr>
                <w:sz w:val="28"/>
                <w:szCs w:val="28"/>
              </w:rPr>
            </w:pPr>
            <w:r w:rsidRPr="00B23E16">
              <w:rPr>
                <w:sz w:val="28"/>
                <w:szCs w:val="28"/>
              </w:rPr>
              <w:lastRenderedPageBreak/>
              <w:t>5.</w:t>
            </w:r>
          </w:p>
        </w:tc>
        <w:tc>
          <w:tcPr>
            <w:tcW w:w="2649" w:type="dxa"/>
          </w:tcPr>
          <w:p w14:paraId="342EE10E" w14:textId="77777777" w:rsidR="00AB2A5C" w:rsidRPr="00B23E16" w:rsidRDefault="00AB2A5C" w:rsidP="000A782E">
            <w:pPr>
              <w:rPr>
                <w:sz w:val="28"/>
                <w:szCs w:val="28"/>
              </w:rPr>
            </w:pPr>
            <w:r w:rsidRPr="00B23E16">
              <w:rPr>
                <w:sz w:val="28"/>
                <w:szCs w:val="28"/>
              </w:rPr>
              <w:t>Projekta izstrādē iesaistītās institūcijas</w:t>
            </w:r>
          </w:p>
        </w:tc>
        <w:tc>
          <w:tcPr>
            <w:tcW w:w="5367" w:type="dxa"/>
          </w:tcPr>
          <w:p w14:paraId="057CA24B" w14:textId="77777777" w:rsidR="00AB2A5C" w:rsidRPr="00B23E16" w:rsidRDefault="002E1C7C" w:rsidP="000A782E">
            <w:pPr>
              <w:tabs>
                <w:tab w:val="left" w:pos="5279"/>
              </w:tabs>
              <w:ind w:right="31"/>
              <w:jc w:val="both"/>
              <w:rPr>
                <w:sz w:val="28"/>
                <w:szCs w:val="28"/>
              </w:rPr>
            </w:pPr>
            <w:r w:rsidRPr="00B23E16">
              <w:rPr>
                <w:sz w:val="28"/>
                <w:szCs w:val="28"/>
              </w:rPr>
              <w:t>Projekts šo jomu neskar.</w:t>
            </w:r>
          </w:p>
        </w:tc>
      </w:tr>
      <w:tr w:rsidR="00B23E16" w:rsidRPr="00B23E16" w14:paraId="4A5F4E71" w14:textId="77777777" w:rsidTr="000A782E">
        <w:trPr>
          <w:cantSplit/>
          <w:trHeight w:val="989"/>
        </w:trPr>
        <w:tc>
          <w:tcPr>
            <w:tcW w:w="1045" w:type="dxa"/>
          </w:tcPr>
          <w:p w14:paraId="2F605EDB" w14:textId="77777777" w:rsidR="00AB2A5C" w:rsidRPr="00B23E16" w:rsidRDefault="00AB2A5C" w:rsidP="000A782E">
            <w:pPr>
              <w:jc w:val="center"/>
              <w:rPr>
                <w:sz w:val="28"/>
                <w:szCs w:val="28"/>
              </w:rPr>
            </w:pPr>
            <w:r w:rsidRPr="00B23E16">
              <w:rPr>
                <w:sz w:val="28"/>
                <w:szCs w:val="28"/>
              </w:rPr>
              <w:t>6.</w:t>
            </w:r>
          </w:p>
        </w:tc>
        <w:tc>
          <w:tcPr>
            <w:tcW w:w="2649" w:type="dxa"/>
          </w:tcPr>
          <w:p w14:paraId="1F23CE54" w14:textId="77777777" w:rsidR="00AB2A5C" w:rsidRPr="00B23E16" w:rsidRDefault="00AB2A5C" w:rsidP="000A782E">
            <w:pPr>
              <w:rPr>
                <w:sz w:val="28"/>
                <w:szCs w:val="28"/>
              </w:rPr>
            </w:pPr>
            <w:r w:rsidRPr="00B23E16">
              <w:rPr>
                <w:sz w:val="28"/>
                <w:szCs w:val="28"/>
              </w:rPr>
              <w:t>Iemesli, kādēļ netika nodrošināta sabiedrības līdzdalība</w:t>
            </w:r>
          </w:p>
        </w:tc>
        <w:tc>
          <w:tcPr>
            <w:tcW w:w="5367" w:type="dxa"/>
          </w:tcPr>
          <w:p w14:paraId="3BAF2D08" w14:textId="77777777" w:rsidR="00AB2A5C" w:rsidRPr="00B23E16" w:rsidRDefault="00E55A06" w:rsidP="004626DC">
            <w:pPr>
              <w:pStyle w:val="FootnoteText"/>
              <w:spacing w:after="0" w:line="240" w:lineRule="auto"/>
              <w:jc w:val="both"/>
              <w:rPr>
                <w:rFonts w:ascii="Times New Roman" w:hAnsi="Times New Roman"/>
                <w:sz w:val="28"/>
                <w:szCs w:val="28"/>
              </w:rPr>
            </w:pPr>
            <w:r w:rsidRPr="00B23E16">
              <w:rPr>
                <w:rFonts w:ascii="Times New Roman" w:hAnsi="Times New Roman"/>
                <w:sz w:val="28"/>
                <w:szCs w:val="28"/>
              </w:rPr>
              <w:t>Projekts šo jomu neskar</w:t>
            </w:r>
            <w:r w:rsidR="00AD25D4" w:rsidRPr="00B23E16">
              <w:rPr>
                <w:rFonts w:ascii="Times New Roman" w:hAnsi="Times New Roman"/>
                <w:sz w:val="28"/>
                <w:szCs w:val="28"/>
              </w:rPr>
              <w:t>.</w:t>
            </w:r>
          </w:p>
        </w:tc>
      </w:tr>
      <w:tr w:rsidR="00B23E16" w:rsidRPr="00B23E16" w14:paraId="2C2094E0" w14:textId="77777777" w:rsidTr="000A782E">
        <w:tc>
          <w:tcPr>
            <w:tcW w:w="1045" w:type="dxa"/>
          </w:tcPr>
          <w:p w14:paraId="45512A47" w14:textId="77777777" w:rsidR="00AB2A5C" w:rsidRPr="00B23E16" w:rsidRDefault="00AB2A5C" w:rsidP="000A782E">
            <w:pPr>
              <w:jc w:val="center"/>
              <w:rPr>
                <w:sz w:val="28"/>
                <w:szCs w:val="28"/>
              </w:rPr>
            </w:pPr>
            <w:r w:rsidRPr="00B23E16">
              <w:rPr>
                <w:sz w:val="28"/>
                <w:szCs w:val="28"/>
              </w:rPr>
              <w:t>7.</w:t>
            </w:r>
          </w:p>
        </w:tc>
        <w:tc>
          <w:tcPr>
            <w:tcW w:w="2649" w:type="dxa"/>
          </w:tcPr>
          <w:p w14:paraId="55CFCED7" w14:textId="77777777" w:rsidR="00AB2A5C" w:rsidRPr="00B23E16" w:rsidRDefault="00AB2A5C" w:rsidP="000A782E">
            <w:pPr>
              <w:rPr>
                <w:sz w:val="28"/>
                <w:szCs w:val="28"/>
              </w:rPr>
            </w:pPr>
            <w:r w:rsidRPr="00B23E16">
              <w:rPr>
                <w:sz w:val="28"/>
                <w:szCs w:val="28"/>
              </w:rPr>
              <w:t> Cita informācija</w:t>
            </w:r>
          </w:p>
        </w:tc>
        <w:tc>
          <w:tcPr>
            <w:tcW w:w="5367" w:type="dxa"/>
          </w:tcPr>
          <w:p w14:paraId="203F0146" w14:textId="77777777" w:rsidR="00AB2A5C" w:rsidRPr="00B23E16" w:rsidRDefault="00E55A06" w:rsidP="000A782E">
            <w:pPr>
              <w:tabs>
                <w:tab w:val="left" w:pos="5279"/>
              </w:tabs>
              <w:ind w:left="34" w:right="31" w:firstLine="318"/>
              <w:jc w:val="both"/>
              <w:rPr>
                <w:sz w:val="28"/>
                <w:szCs w:val="28"/>
              </w:rPr>
            </w:pPr>
            <w:r w:rsidRPr="00B23E16">
              <w:rPr>
                <w:sz w:val="28"/>
                <w:szCs w:val="28"/>
              </w:rPr>
              <w:t>Nav.</w:t>
            </w:r>
          </w:p>
        </w:tc>
      </w:tr>
    </w:tbl>
    <w:p w14:paraId="78FC22EC" w14:textId="77777777" w:rsidR="00E55A06" w:rsidRPr="00B23E16" w:rsidRDefault="00E55A06" w:rsidP="002F4D25">
      <w:pPr>
        <w:spacing w:after="200" w:line="276" w:lineRule="auto"/>
        <w:rPr>
          <w:sz w:val="28"/>
          <w:szCs w:val="28"/>
          <w:lang w:eastAsia="lv-LV"/>
        </w:rPr>
      </w:pPr>
    </w:p>
    <w:tbl>
      <w:tblPr>
        <w:tblpPr w:leftFromText="180" w:rightFromText="180" w:vertAnchor="text" w:horzAnchor="margin" w:tblpXSpec="center" w:tblpY="149"/>
        <w:tblW w:w="9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46"/>
        <w:gridCol w:w="4395"/>
        <w:gridCol w:w="3832"/>
      </w:tblGrid>
      <w:tr w:rsidR="00B23E16" w:rsidRPr="00B23E16" w14:paraId="2A9E6424" w14:textId="77777777" w:rsidTr="009633A7">
        <w:tc>
          <w:tcPr>
            <w:tcW w:w="9073" w:type="dxa"/>
            <w:gridSpan w:val="3"/>
            <w:vAlign w:val="center"/>
          </w:tcPr>
          <w:p w14:paraId="7BD4B7DC" w14:textId="77777777" w:rsidR="00E55A06" w:rsidRPr="00B23E16" w:rsidRDefault="00E55A06" w:rsidP="00E33D22">
            <w:pPr>
              <w:pStyle w:val="naisnod"/>
              <w:spacing w:before="0" w:after="0"/>
              <w:rPr>
                <w:sz w:val="28"/>
                <w:szCs w:val="28"/>
              </w:rPr>
            </w:pPr>
            <w:r w:rsidRPr="00B23E16">
              <w:rPr>
                <w:sz w:val="28"/>
                <w:szCs w:val="28"/>
              </w:rPr>
              <w:t>II. Tiesību akta projekta ietekme uz sabiedrību</w:t>
            </w:r>
          </w:p>
        </w:tc>
      </w:tr>
      <w:tr w:rsidR="00B23E16" w:rsidRPr="00B23E16" w14:paraId="75A63A39" w14:textId="77777777" w:rsidTr="009633A7">
        <w:trPr>
          <w:trHeight w:val="921"/>
        </w:trPr>
        <w:tc>
          <w:tcPr>
            <w:tcW w:w="846" w:type="dxa"/>
          </w:tcPr>
          <w:p w14:paraId="19747E3D" w14:textId="77777777" w:rsidR="00E55A06" w:rsidRPr="00B23E16" w:rsidRDefault="00E55A06" w:rsidP="00E33D22">
            <w:pPr>
              <w:pStyle w:val="naiskr"/>
              <w:spacing w:before="0" w:after="0"/>
              <w:rPr>
                <w:sz w:val="28"/>
                <w:szCs w:val="28"/>
              </w:rPr>
            </w:pPr>
            <w:r w:rsidRPr="00B23E16">
              <w:rPr>
                <w:sz w:val="28"/>
                <w:szCs w:val="28"/>
              </w:rPr>
              <w:t>1.</w:t>
            </w:r>
          </w:p>
        </w:tc>
        <w:tc>
          <w:tcPr>
            <w:tcW w:w="4395" w:type="dxa"/>
          </w:tcPr>
          <w:p w14:paraId="251BB6BD" w14:textId="77777777" w:rsidR="00E55A06" w:rsidRPr="00B23E16" w:rsidRDefault="00E55A06" w:rsidP="00E33D22">
            <w:pPr>
              <w:pStyle w:val="naiskr"/>
              <w:spacing w:before="0" w:after="0"/>
              <w:rPr>
                <w:sz w:val="28"/>
                <w:szCs w:val="28"/>
              </w:rPr>
            </w:pPr>
            <w:r w:rsidRPr="00B23E16">
              <w:rPr>
                <w:sz w:val="28"/>
                <w:szCs w:val="28"/>
              </w:rPr>
              <w:t>Sabiedrības mērķgrupa</w:t>
            </w:r>
          </w:p>
        </w:tc>
        <w:tc>
          <w:tcPr>
            <w:tcW w:w="3832" w:type="dxa"/>
          </w:tcPr>
          <w:p w14:paraId="333E3C90" w14:textId="77777777" w:rsidR="00E55A06" w:rsidRPr="00B23E16" w:rsidRDefault="00E55A06" w:rsidP="00E70992">
            <w:pPr>
              <w:pStyle w:val="naiskr"/>
              <w:spacing w:before="0" w:after="0"/>
              <w:ind w:hanging="57"/>
              <w:jc w:val="both"/>
              <w:rPr>
                <w:sz w:val="28"/>
                <w:szCs w:val="28"/>
              </w:rPr>
            </w:pPr>
            <w:r w:rsidRPr="00B23E16">
              <w:rPr>
                <w:iCs/>
                <w:sz w:val="28"/>
                <w:szCs w:val="28"/>
              </w:rPr>
              <w:t> </w:t>
            </w:r>
            <w:r w:rsidR="00504F4E" w:rsidRPr="00B23E16">
              <w:rPr>
                <w:iCs/>
                <w:sz w:val="28"/>
                <w:szCs w:val="28"/>
              </w:rPr>
              <w:t>Personas, kuras izmantos nepilngadīgas personas</w:t>
            </w:r>
            <w:r w:rsidR="00E70992" w:rsidRPr="00B23E16">
              <w:rPr>
                <w:iCs/>
                <w:sz w:val="28"/>
                <w:szCs w:val="28"/>
              </w:rPr>
              <w:t xml:space="preserve"> vai</w:t>
            </w:r>
            <w:proofErr w:type="gramStart"/>
            <w:r w:rsidR="00E70992" w:rsidRPr="00B23E16">
              <w:rPr>
                <w:iCs/>
                <w:sz w:val="28"/>
                <w:szCs w:val="28"/>
              </w:rPr>
              <w:t xml:space="preserve"> </w:t>
            </w:r>
            <w:r w:rsidR="00E70992" w:rsidRPr="00B23E16">
              <w:rPr>
                <w:sz w:val="28"/>
                <w:szCs w:val="28"/>
              </w:rPr>
              <w:t xml:space="preserve"> </w:t>
            </w:r>
            <w:proofErr w:type="gramEnd"/>
            <w:r w:rsidR="00E70992" w:rsidRPr="00B23E16">
              <w:rPr>
                <w:sz w:val="28"/>
                <w:szCs w:val="28"/>
              </w:rPr>
              <w:t xml:space="preserve">cilvēktirdzniecības upura </w:t>
            </w:r>
            <w:r w:rsidR="00504F4E" w:rsidRPr="00B23E16">
              <w:rPr>
                <w:iCs/>
                <w:sz w:val="28"/>
                <w:szCs w:val="28"/>
              </w:rPr>
              <w:t xml:space="preserve"> prostit</w:t>
            </w:r>
            <w:r w:rsidR="007A2456" w:rsidRPr="00B23E16">
              <w:rPr>
                <w:iCs/>
                <w:sz w:val="28"/>
                <w:szCs w:val="28"/>
              </w:rPr>
              <w:t>ūciju.</w:t>
            </w:r>
            <w:r w:rsidR="00101027" w:rsidRPr="00B23E16">
              <w:rPr>
                <w:iCs/>
                <w:sz w:val="28"/>
                <w:szCs w:val="28"/>
              </w:rPr>
              <w:t xml:space="preserve"> Personas, kas nodarbojas ar prostitūciju.</w:t>
            </w:r>
          </w:p>
        </w:tc>
      </w:tr>
      <w:tr w:rsidR="00B23E16" w:rsidRPr="00B23E16" w14:paraId="03B6BACE" w14:textId="77777777" w:rsidTr="009633A7">
        <w:trPr>
          <w:trHeight w:val="523"/>
        </w:trPr>
        <w:tc>
          <w:tcPr>
            <w:tcW w:w="846" w:type="dxa"/>
          </w:tcPr>
          <w:p w14:paraId="05149BB7" w14:textId="77777777" w:rsidR="00E55A06" w:rsidRPr="00B23E16" w:rsidRDefault="00E55A06" w:rsidP="00E33D22">
            <w:pPr>
              <w:pStyle w:val="naiskr"/>
              <w:spacing w:before="0" w:after="0"/>
              <w:rPr>
                <w:sz w:val="28"/>
                <w:szCs w:val="28"/>
              </w:rPr>
            </w:pPr>
            <w:r w:rsidRPr="00B23E16">
              <w:rPr>
                <w:sz w:val="28"/>
                <w:szCs w:val="28"/>
              </w:rPr>
              <w:t>2.</w:t>
            </w:r>
          </w:p>
        </w:tc>
        <w:tc>
          <w:tcPr>
            <w:tcW w:w="4395" w:type="dxa"/>
          </w:tcPr>
          <w:p w14:paraId="02A66A77" w14:textId="77777777" w:rsidR="00E55A06" w:rsidRPr="00B23E16" w:rsidRDefault="00E55A06" w:rsidP="00E33D22">
            <w:pPr>
              <w:pStyle w:val="naiskr"/>
              <w:spacing w:before="0" w:after="0"/>
              <w:rPr>
                <w:sz w:val="28"/>
                <w:szCs w:val="28"/>
              </w:rPr>
            </w:pPr>
            <w:r w:rsidRPr="00B23E16">
              <w:rPr>
                <w:sz w:val="28"/>
                <w:szCs w:val="28"/>
              </w:rPr>
              <w:t>Citas sabiedrības grupas (bez mērķgrupas), kuras tiesiskais regulējums arī ietekmē vai varētu ietekmēt</w:t>
            </w:r>
          </w:p>
        </w:tc>
        <w:tc>
          <w:tcPr>
            <w:tcW w:w="3832" w:type="dxa"/>
          </w:tcPr>
          <w:p w14:paraId="454F066F" w14:textId="77777777" w:rsidR="00E55A06" w:rsidRPr="00B23E16" w:rsidRDefault="00E55A06" w:rsidP="00E33D22">
            <w:pPr>
              <w:pStyle w:val="naiskr"/>
              <w:spacing w:before="0" w:after="0"/>
              <w:rPr>
                <w:sz w:val="28"/>
                <w:szCs w:val="28"/>
              </w:rPr>
            </w:pPr>
            <w:r w:rsidRPr="00B23E16">
              <w:rPr>
                <w:sz w:val="28"/>
                <w:szCs w:val="28"/>
              </w:rPr>
              <w:t>Projekts šo jomu neskar.</w:t>
            </w:r>
          </w:p>
        </w:tc>
      </w:tr>
      <w:tr w:rsidR="00B23E16" w:rsidRPr="00B23E16" w14:paraId="252B1328" w14:textId="77777777" w:rsidTr="009633A7">
        <w:trPr>
          <w:trHeight w:val="517"/>
        </w:trPr>
        <w:tc>
          <w:tcPr>
            <w:tcW w:w="846" w:type="dxa"/>
          </w:tcPr>
          <w:p w14:paraId="1429193A" w14:textId="77777777" w:rsidR="00E55A06" w:rsidRPr="00B23E16" w:rsidRDefault="00E55A06" w:rsidP="00E33D22">
            <w:pPr>
              <w:pStyle w:val="naiskr"/>
              <w:spacing w:before="0" w:after="0"/>
              <w:rPr>
                <w:sz w:val="28"/>
                <w:szCs w:val="28"/>
              </w:rPr>
            </w:pPr>
            <w:r w:rsidRPr="00B23E16">
              <w:rPr>
                <w:sz w:val="28"/>
                <w:szCs w:val="28"/>
              </w:rPr>
              <w:t>3.</w:t>
            </w:r>
          </w:p>
        </w:tc>
        <w:tc>
          <w:tcPr>
            <w:tcW w:w="4395" w:type="dxa"/>
          </w:tcPr>
          <w:p w14:paraId="07B975E1" w14:textId="77777777" w:rsidR="00E55A06" w:rsidRPr="00B23E16" w:rsidRDefault="00E55A06" w:rsidP="00E33D22">
            <w:pPr>
              <w:pStyle w:val="naiskr"/>
              <w:spacing w:before="0" w:after="0"/>
              <w:rPr>
                <w:sz w:val="28"/>
                <w:szCs w:val="28"/>
              </w:rPr>
            </w:pPr>
            <w:r w:rsidRPr="00B23E16">
              <w:rPr>
                <w:sz w:val="28"/>
                <w:szCs w:val="28"/>
              </w:rPr>
              <w:t>Tiesiskā regulējuma finansiālā ietekme</w:t>
            </w:r>
          </w:p>
        </w:tc>
        <w:tc>
          <w:tcPr>
            <w:tcW w:w="3832" w:type="dxa"/>
          </w:tcPr>
          <w:p w14:paraId="70EBE7DE" w14:textId="77777777" w:rsidR="00E55A06" w:rsidRPr="00B23E16" w:rsidRDefault="00E55A06" w:rsidP="00E33D22">
            <w:pPr>
              <w:pStyle w:val="naiskr"/>
              <w:spacing w:before="0" w:after="0"/>
              <w:rPr>
                <w:sz w:val="28"/>
                <w:szCs w:val="28"/>
              </w:rPr>
            </w:pPr>
            <w:r w:rsidRPr="00B23E16">
              <w:rPr>
                <w:sz w:val="28"/>
                <w:szCs w:val="28"/>
              </w:rPr>
              <w:t>Projekts šo jomu neskar.</w:t>
            </w:r>
          </w:p>
        </w:tc>
      </w:tr>
      <w:tr w:rsidR="00B23E16" w:rsidRPr="00B23E16" w14:paraId="4674EAD0" w14:textId="77777777" w:rsidTr="009633A7">
        <w:trPr>
          <w:trHeight w:val="517"/>
        </w:trPr>
        <w:tc>
          <w:tcPr>
            <w:tcW w:w="846" w:type="dxa"/>
          </w:tcPr>
          <w:p w14:paraId="008AA167" w14:textId="77777777" w:rsidR="00E55A06" w:rsidRPr="00B23E16" w:rsidRDefault="00E55A06" w:rsidP="00E33D22">
            <w:pPr>
              <w:pStyle w:val="naiskr"/>
              <w:spacing w:before="0" w:after="0"/>
              <w:rPr>
                <w:sz w:val="28"/>
                <w:szCs w:val="28"/>
              </w:rPr>
            </w:pPr>
            <w:r w:rsidRPr="00B23E16">
              <w:rPr>
                <w:sz w:val="28"/>
                <w:szCs w:val="28"/>
              </w:rPr>
              <w:t>4.</w:t>
            </w:r>
          </w:p>
        </w:tc>
        <w:tc>
          <w:tcPr>
            <w:tcW w:w="4395" w:type="dxa"/>
          </w:tcPr>
          <w:p w14:paraId="615EA4EA" w14:textId="77777777" w:rsidR="00E55A06" w:rsidRPr="00B23E16" w:rsidRDefault="00E55A06" w:rsidP="00E33D22">
            <w:pPr>
              <w:pStyle w:val="naiskr"/>
              <w:spacing w:before="0" w:after="0"/>
              <w:rPr>
                <w:sz w:val="28"/>
                <w:szCs w:val="28"/>
              </w:rPr>
            </w:pPr>
            <w:r w:rsidRPr="00B23E16">
              <w:rPr>
                <w:sz w:val="28"/>
                <w:szCs w:val="28"/>
              </w:rPr>
              <w:t>Tiesiskā regulējuma nefinansiālā ietekme</w:t>
            </w:r>
          </w:p>
        </w:tc>
        <w:tc>
          <w:tcPr>
            <w:tcW w:w="3832" w:type="dxa"/>
          </w:tcPr>
          <w:p w14:paraId="06E97D34" w14:textId="52DC2182" w:rsidR="00E55A06" w:rsidRPr="00B23E16" w:rsidRDefault="002C44CA" w:rsidP="003317D4">
            <w:pPr>
              <w:jc w:val="both"/>
              <w:rPr>
                <w:sz w:val="28"/>
                <w:szCs w:val="28"/>
                <w:lang w:eastAsia="lv-LV"/>
              </w:rPr>
            </w:pPr>
            <w:r w:rsidRPr="00B23E16">
              <w:rPr>
                <w:sz w:val="28"/>
                <w:szCs w:val="28"/>
              </w:rPr>
              <w:t>Tiks noteikts aizliegums</w:t>
            </w:r>
            <w:r w:rsidR="00F27404" w:rsidRPr="00B23E16">
              <w:rPr>
                <w:sz w:val="28"/>
                <w:szCs w:val="28"/>
              </w:rPr>
              <w:t xml:space="preserve"> </w:t>
            </w:r>
            <w:r w:rsidRPr="00B23E16">
              <w:rPr>
                <w:sz w:val="28"/>
                <w:szCs w:val="28"/>
              </w:rPr>
              <w:t>izmantot nepilngadīgas personas</w:t>
            </w:r>
            <w:r w:rsidR="00E70992" w:rsidRPr="00B23E16">
              <w:rPr>
                <w:sz w:val="28"/>
                <w:szCs w:val="28"/>
              </w:rPr>
              <w:t xml:space="preserve"> un</w:t>
            </w:r>
            <w:proofErr w:type="gramStart"/>
            <w:r w:rsidR="00E70992" w:rsidRPr="00B23E16">
              <w:rPr>
                <w:sz w:val="28"/>
                <w:szCs w:val="28"/>
              </w:rPr>
              <w:t xml:space="preserve">  </w:t>
            </w:r>
            <w:proofErr w:type="gramEnd"/>
            <w:r w:rsidR="00E70992" w:rsidRPr="00B23E16">
              <w:rPr>
                <w:sz w:val="28"/>
                <w:szCs w:val="28"/>
              </w:rPr>
              <w:t xml:space="preserve">cilvēktirdzniecības upura </w:t>
            </w:r>
            <w:r w:rsidRPr="00B23E16">
              <w:rPr>
                <w:sz w:val="28"/>
                <w:szCs w:val="28"/>
              </w:rPr>
              <w:t>prostitūciju, kuru pārkāpjot persona tiks saukta pie kriminālatbildības</w:t>
            </w:r>
            <w:r w:rsidR="00E55A06" w:rsidRPr="00B23E16">
              <w:rPr>
                <w:sz w:val="28"/>
                <w:szCs w:val="28"/>
              </w:rPr>
              <w:t>.</w:t>
            </w:r>
            <w:r w:rsidR="00F27404" w:rsidRPr="00B23E16">
              <w:rPr>
                <w:sz w:val="28"/>
                <w:szCs w:val="28"/>
              </w:rPr>
              <w:t xml:space="preserve"> </w:t>
            </w:r>
          </w:p>
        </w:tc>
      </w:tr>
      <w:tr w:rsidR="00B23E16" w:rsidRPr="00B23E16" w14:paraId="4A82B76A" w14:textId="77777777" w:rsidTr="009633A7">
        <w:trPr>
          <w:trHeight w:val="531"/>
        </w:trPr>
        <w:tc>
          <w:tcPr>
            <w:tcW w:w="846" w:type="dxa"/>
          </w:tcPr>
          <w:p w14:paraId="0E610CE0" w14:textId="77777777" w:rsidR="00E55A06" w:rsidRPr="00B23E16" w:rsidRDefault="00E55A06" w:rsidP="00E33D22">
            <w:pPr>
              <w:pStyle w:val="naiskr"/>
              <w:spacing w:before="0" w:after="0"/>
              <w:rPr>
                <w:sz w:val="28"/>
                <w:szCs w:val="28"/>
              </w:rPr>
            </w:pPr>
            <w:r w:rsidRPr="00B23E16">
              <w:rPr>
                <w:sz w:val="28"/>
                <w:szCs w:val="28"/>
              </w:rPr>
              <w:t>5.</w:t>
            </w:r>
          </w:p>
        </w:tc>
        <w:tc>
          <w:tcPr>
            <w:tcW w:w="4395" w:type="dxa"/>
          </w:tcPr>
          <w:p w14:paraId="3C37A2A6" w14:textId="77777777" w:rsidR="00E55A06" w:rsidRPr="00B23E16" w:rsidRDefault="00E55A06" w:rsidP="00E33D22">
            <w:pPr>
              <w:pStyle w:val="naiskr"/>
              <w:spacing w:before="0" w:after="0"/>
              <w:rPr>
                <w:sz w:val="28"/>
                <w:szCs w:val="28"/>
              </w:rPr>
            </w:pPr>
            <w:r w:rsidRPr="00B23E16">
              <w:rPr>
                <w:sz w:val="28"/>
                <w:szCs w:val="28"/>
              </w:rPr>
              <w:t>Administratīvās procedūras raksturojums</w:t>
            </w:r>
          </w:p>
        </w:tc>
        <w:tc>
          <w:tcPr>
            <w:tcW w:w="3832" w:type="dxa"/>
          </w:tcPr>
          <w:p w14:paraId="3D6799C4" w14:textId="77777777" w:rsidR="00E55A06" w:rsidRPr="00B23E16" w:rsidRDefault="00E55A06" w:rsidP="00E33D22">
            <w:pPr>
              <w:pStyle w:val="naiskr"/>
              <w:spacing w:before="0" w:after="0"/>
              <w:rPr>
                <w:sz w:val="28"/>
                <w:szCs w:val="28"/>
              </w:rPr>
            </w:pPr>
            <w:r w:rsidRPr="00B23E16">
              <w:rPr>
                <w:sz w:val="28"/>
                <w:szCs w:val="28"/>
              </w:rPr>
              <w:t>Projekts šo jomu neskar.</w:t>
            </w:r>
          </w:p>
        </w:tc>
      </w:tr>
      <w:tr w:rsidR="00B23E16" w:rsidRPr="00B23E16" w14:paraId="1326E13F" w14:textId="77777777" w:rsidTr="009633A7">
        <w:trPr>
          <w:trHeight w:val="357"/>
        </w:trPr>
        <w:tc>
          <w:tcPr>
            <w:tcW w:w="846" w:type="dxa"/>
          </w:tcPr>
          <w:p w14:paraId="13C334BA" w14:textId="77777777" w:rsidR="00E55A06" w:rsidRPr="00B23E16" w:rsidRDefault="00E55A06" w:rsidP="00E33D22">
            <w:pPr>
              <w:pStyle w:val="naiskr"/>
              <w:spacing w:before="0" w:after="0"/>
              <w:rPr>
                <w:sz w:val="28"/>
                <w:szCs w:val="28"/>
              </w:rPr>
            </w:pPr>
            <w:r w:rsidRPr="00B23E16">
              <w:rPr>
                <w:sz w:val="28"/>
                <w:szCs w:val="28"/>
              </w:rPr>
              <w:t>6.</w:t>
            </w:r>
          </w:p>
        </w:tc>
        <w:tc>
          <w:tcPr>
            <w:tcW w:w="4395" w:type="dxa"/>
          </w:tcPr>
          <w:p w14:paraId="42CA8788" w14:textId="77777777" w:rsidR="00E55A06" w:rsidRPr="00B23E16" w:rsidRDefault="00E55A06" w:rsidP="00E33D22">
            <w:pPr>
              <w:pStyle w:val="naiskr"/>
              <w:spacing w:before="0" w:after="0"/>
              <w:rPr>
                <w:sz w:val="28"/>
                <w:szCs w:val="28"/>
              </w:rPr>
            </w:pPr>
            <w:r w:rsidRPr="00B23E16">
              <w:rPr>
                <w:sz w:val="28"/>
                <w:szCs w:val="28"/>
              </w:rPr>
              <w:t>Administratīvo izmaksu monetārs novērtējums</w:t>
            </w:r>
          </w:p>
        </w:tc>
        <w:tc>
          <w:tcPr>
            <w:tcW w:w="3832" w:type="dxa"/>
          </w:tcPr>
          <w:p w14:paraId="6EBE3C94" w14:textId="77777777" w:rsidR="00E55A06" w:rsidRPr="00B23E16" w:rsidRDefault="00E55A06" w:rsidP="00E33D22">
            <w:pPr>
              <w:pStyle w:val="naiskr"/>
              <w:spacing w:before="0" w:after="0"/>
              <w:rPr>
                <w:sz w:val="28"/>
                <w:szCs w:val="28"/>
              </w:rPr>
            </w:pPr>
            <w:r w:rsidRPr="00B23E16">
              <w:rPr>
                <w:sz w:val="28"/>
                <w:szCs w:val="28"/>
              </w:rPr>
              <w:t>Projekts šo jomu neskar.</w:t>
            </w:r>
          </w:p>
        </w:tc>
      </w:tr>
      <w:tr w:rsidR="00B23E16" w:rsidRPr="00B23E16" w14:paraId="64AFDA99" w14:textId="77777777" w:rsidTr="009633A7">
        <w:tc>
          <w:tcPr>
            <w:tcW w:w="846" w:type="dxa"/>
          </w:tcPr>
          <w:p w14:paraId="559BDB84" w14:textId="77777777" w:rsidR="00E55A06" w:rsidRPr="00B23E16" w:rsidRDefault="00E55A06" w:rsidP="00E33D22">
            <w:pPr>
              <w:pStyle w:val="naiskr"/>
              <w:spacing w:before="0" w:after="0"/>
              <w:rPr>
                <w:sz w:val="28"/>
                <w:szCs w:val="28"/>
              </w:rPr>
            </w:pPr>
            <w:r w:rsidRPr="00B23E16">
              <w:rPr>
                <w:sz w:val="28"/>
                <w:szCs w:val="28"/>
              </w:rPr>
              <w:t>7.</w:t>
            </w:r>
          </w:p>
        </w:tc>
        <w:tc>
          <w:tcPr>
            <w:tcW w:w="4395" w:type="dxa"/>
          </w:tcPr>
          <w:p w14:paraId="5741488B" w14:textId="77777777" w:rsidR="00E55A06" w:rsidRPr="00B23E16" w:rsidRDefault="00E55A06" w:rsidP="00E33D22">
            <w:pPr>
              <w:pStyle w:val="naiskr"/>
              <w:spacing w:before="0" w:after="0"/>
              <w:rPr>
                <w:sz w:val="28"/>
                <w:szCs w:val="28"/>
              </w:rPr>
            </w:pPr>
            <w:r w:rsidRPr="00B23E16">
              <w:rPr>
                <w:sz w:val="28"/>
                <w:szCs w:val="28"/>
              </w:rPr>
              <w:t>Cita informācija</w:t>
            </w:r>
          </w:p>
        </w:tc>
        <w:tc>
          <w:tcPr>
            <w:tcW w:w="3832" w:type="dxa"/>
          </w:tcPr>
          <w:p w14:paraId="7E88E46B" w14:textId="77777777" w:rsidR="00E55A06" w:rsidRPr="00B23E16" w:rsidRDefault="00E55A06" w:rsidP="00E33D22">
            <w:pPr>
              <w:pStyle w:val="naiskr"/>
              <w:spacing w:before="0" w:after="0"/>
              <w:rPr>
                <w:sz w:val="28"/>
                <w:szCs w:val="28"/>
              </w:rPr>
            </w:pPr>
            <w:r w:rsidRPr="00B23E16">
              <w:rPr>
                <w:sz w:val="28"/>
                <w:szCs w:val="28"/>
              </w:rPr>
              <w:t>Nav.</w:t>
            </w:r>
          </w:p>
        </w:tc>
      </w:tr>
    </w:tbl>
    <w:p w14:paraId="496217FE" w14:textId="77777777" w:rsidR="00E55A06" w:rsidRPr="00B23E16" w:rsidRDefault="00E55A06" w:rsidP="00E55A06">
      <w:pPr>
        <w:pStyle w:val="naisf"/>
        <w:spacing w:before="0" w:after="0"/>
        <w:rPr>
          <w:sz w:val="28"/>
          <w:szCs w:val="28"/>
        </w:rPr>
      </w:pPr>
    </w:p>
    <w:p w14:paraId="533F4124" w14:textId="77777777" w:rsidR="00E55A06" w:rsidRPr="00B23E16" w:rsidRDefault="00E55A06" w:rsidP="00E55A06">
      <w:pPr>
        <w:pStyle w:val="naisf"/>
        <w:spacing w:before="0" w:after="0"/>
        <w:rPr>
          <w:sz w:val="28"/>
          <w:szCs w:val="28"/>
        </w:rPr>
      </w:pPr>
    </w:p>
    <w:p w14:paraId="3CB2E210" w14:textId="77777777" w:rsidR="0072343F" w:rsidRPr="00B23E16" w:rsidRDefault="0072343F" w:rsidP="00E55A06">
      <w:pPr>
        <w:pStyle w:val="naisf"/>
        <w:spacing w:before="0" w:after="0"/>
        <w:rPr>
          <w:sz w:val="28"/>
          <w:szCs w:val="28"/>
        </w:rPr>
      </w:pPr>
    </w:p>
    <w:p w14:paraId="35974D70" w14:textId="77777777" w:rsidR="0072343F" w:rsidRPr="00B23E16" w:rsidRDefault="0072343F" w:rsidP="00E55A06">
      <w:pPr>
        <w:pStyle w:val="naisf"/>
        <w:spacing w:before="0" w:after="0"/>
        <w:rPr>
          <w:sz w:val="28"/>
          <w:szCs w:val="28"/>
        </w:rPr>
      </w:pPr>
    </w:p>
    <w:tbl>
      <w:tblPr>
        <w:tblW w:w="93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98"/>
        <w:gridCol w:w="4197"/>
        <w:gridCol w:w="4768"/>
      </w:tblGrid>
      <w:tr w:rsidR="00B23E16" w:rsidRPr="00B23E16" w14:paraId="169DCFD2" w14:textId="77777777" w:rsidTr="002C44CA">
        <w:trPr>
          <w:jc w:val="center"/>
        </w:trPr>
        <w:tc>
          <w:tcPr>
            <w:tcW w:w="9363" w:type="dxa"/>
            <w:gridSpan w:val="3"/>
          </w:tcPr>
          <w:p w14:paraId="0882A26C" w14:textId="77777777" w:rsidR="00E55A06" w:rsidRPr="00B23E16" w:rsidRDefault="00E55A06" w:rsidP="00E33D22">
            <w:pPr>
              <w:pStyle w:val="naisnod"/>
              <w:spacing w:before="0" w:after="0"/>
              <w:ind w:left="57" w:right="57"/>
              <w:rPr>
                <w:sz w:val="28"/>
                <w:szCs w:val="28"/>
              </w:rPr>
            </w:pPr>
            <w:r w:rsidRPr="00B23E16">
              <w:rPr>
                <w:sz w:val="28"/>
                <w:szCs w:val="28"/>
              </w:rPr>
              <w:t>VI. Sabiedrības līdzdalība un šīs līdzdalības rezultāti</w:t>
            </w:r>
          </w:p>
        </w:tc>
      </w:tr>
      <w:tr w:rsidR="00B23E16" w:rsidRPr="00B23E16" w14:paraId="29FF2061" w14:textId="77777777" w:rsidTr="002C44CA">
        <w:trPr>
          <w:trHeight w:val="553"/>
          <w:jc w:val="center"/>
        </w:trPr>
        <w:tc>
          <w:tcPr>
            <w:tcW w:w="398" w:type="dxa"/>
          </w:tcPr>
          <w:p w14:paraId="3F3A62D0" w14:textId="77777777" w:rsidR="00E55A06" w:rsidRPr="00B23E16" w:rsidRDefault="00E55A06" w:rsidP="00E33D22">
            <w:pPr>
              <w:pStyle w:val="naiskr"/>
              <w:spacing w:before="0" w:after="0"/>
              <w:ind w:left="57" w:right="57"/>
              <w:rPr>
                <w:bCs/>
                <w:sz w:val="28"/>
                <w:szCs w:val="28"/>
              </w:rPr>
            </w:pPr>
            <w:r w:rsidRPr="00B23E16">
              <w:rPr>
                <w:bCs/>
                <w:sz w:val="28"/>
                <w:szCs w:val="28"/>
              </w:rPr>
              <w:t>1.</w:t>
            </w:r>
          </w:p>
        </w:tc>
        <w:tc>
          <w:tcPr>
            <w:tcW w:w="4197" w:type="dxa"/>
          </w:tcPr>
          <w:p w14:paraId="3DED8FE4" w14:textId="77777777" w:rsidR="00E55A06" w:rsidRPr="00B23E16" w:rsidRDefault="00E55A06" w:rsidP="00E33D22">
            <w:pPr>
              <w:pStyle w:val="naiskr"/>
              <w:tabs>
                <w:tab w:val="left" w:pos="170"/>
              </w:tabs>
              <w:spacing w:before="0" w:after="0"/>
              <w:ind w:left="57" w:right="57"/>
              <w:rPr>
                <w:sz w:val="28"/>
                <w:szCs w:val="28"/>
              </w:rPr>
            </w:pPr>
            <w:r w:rsidRPr="00B23E16">
              <w:rPr>
                <w:sz w:val="28"/>
                <w:szCs w:val="28"/>
              </w:rPr>
              <w:t>Sabiedrības informēšana par projekta izstrādes uzsākšanu</w:t>
            </w:r>
          </w:p>
        </w:tc>
        <w:tc>
          <w:tcPr>
            <w:tcW w:w="4768" w:type="dxa"/>
          </w:tcPr>
          <w:p w14:paraId="6FDE7F3F" w14:textId="79C36B57" w:rsidR="00E55A06" w:rsidRPr="004B39D8" w:rsidRDefault="00005B50" w:rsidP="00005B50">
            <w:pPr>
              <w:pStyle w:val="naiskr"/>
              <w:spacing w:before="0" w:after="0"/>
              <w:ind w:left="57" w:right="57"/>
              <w:jc w:val="both"/>
              <w:rPr>
                <w:sz w:val="28"/>
                <w:szCs w:val="28"/>
              </w:rPr>
            </w:pPr>
            <w:r w:rsidRPr="004B39D8">
              <w:rPr>
                <w:sz w:val="28"/>
                <w:szCs w:val="28"/>
              </w:rPr>
              <w:t xml:space="preserve">Sabiedrība informēta, izsludinot projektu </w:t>
            </w:r>
            <w:proofErr w:type="gramStart"/>
            <w:r w:rsidRPr="004B39D8">
              <w:rPr>
                <w:sz w:val="28"/>
                <w:szCs w:val="28"/>
              </w:rPr>
              <w:t>2013.gada</w:t>
            </w:r>
            <w:proofErr w:type="gramEnd"/>
            <w:r w:rsidRPr="004B39D8">
              <w:rPr>
                <w:sz w:val="28"/>
                <w:szCs w:val="28"/>
              </w:rPr>
              <w:t xml:space="preserve"> 26.septembra Valsts sekretāru sanāksmē (prot.Nr.38, 8.§, VSS-1793)</w:t>
            </w:r>
            <w:r w:rsidR="004B39D8" w:rsidRPr="004B39D8">
              <w:rPr>
                <w:sz w:val="28"/>
                <w:szCs w:val="28"/>
              </w:rPr>
              <w:t>, projekta saskaņošanas gaitā</w:t>
            </w:r>
            <w:r w:rsidRPr="004B39D8">
              <w:rPr>
                <w:sz w:val="28"/>
                <w:szCs w:val="28"/>
              </w:rPr>
              <w:t xml:space="preserve"> </w:t>
            </w:r>
            <w:r w:rsidR="004B39D8" w:rsidRPr="004B39D8">
              <w:rPr>
                <w:sz w:val="28"/>
                <w:szCs w:val="28"/>
              </w:rPr>
              <w:t>iesaistot nevalstiskās organizācijas (biedrību „Resursu centrs sievietēm „Marta””, biedrību „Latvijas Ģimenes plānošanas un seksuālās veselības asociācija „Papardes zieds””, biedrību „DIA+LOGS”, biedrību “Apvienība „HIV.LV”</w:t>
            </w:r>
            <w:r w:rsidR="004B39D8">
              <w:rPr>
                <w:sz w:val="28"/>
                <w:szCs w:val="28"/>
              </w:rPr>
              <w:t>,</w:t>
            </w:r>
            <w:r w:rsidR="004B39D8" w:rsidRPr="004B39D8">
              <w:rPr>
                <w:sz w:val="28"/>
                <w:szCs w:val="28"/>
              </w:rPr>
              <w:t xml:space="preserve"> </w:t>
            </w:r>
            <w:r w:rsidRPr="004B39D8">
              <w:rPr>
                <w:sz w:val="28"/>
                <w:szCs w:val="28"/>
              </w:rPr>
              <w:t>kā arī apspriežot projektu</w:t>
            </w:r>
            <w:r w:rsidRPr="0009736F">
              <w:rPr>
                <w:rFonts w:eastAsiaTheme="minorHAnsi"/>
                <w:sz w:val="28"/>
                <w:szCs w:val="28"/>
              </w:rPr>
              <w:t xml:space="preserve"> HIV infekcijas, tuberkulozes un seksuālās transmisijas infekciju izplatības ierobežošanas koordinācijas komisijas 2014.gada 17.septembra sanāksmē</w:t>
            </w:r>
            <w:r w:rsidR="004B39D8" w:rsidRPr="0009736F">
              <w:rPr>
                <w:rFonts w:eastAsiaTheme="minorHAnsi"/>
                <w:sz w:val="28"/>
                <w:szCs w:val="28"/>
              </w:rPr>
              <w:t>.</w:t>
            </w:r>
          </w:p>
          <w:p w14:paraId="5DB5FEDC" w14:textId="311AE561" w:rsidR="00005B50" w:rsidRPr="00B23E16" w:rsidRDefault="00005B50" w:rsidP="00005B50">
            <w:pPr>
              <w:pStyle w:val="naiskr"/>
              <w:spacing w:before="0" w:after="0"/>
              <w:ind w:left="57" w:right="57"/>
              <w:jc w:val="both"/>
              <w:rPr>
                <w:sz w:val="28"/>
                <w:szCs w:val="28"/>
              </w:rPr>
            </w:pPr>
          </w:p>
        </w:tc>
      </w:tr>
      <w:tr w:rsidR="00B23E16" w:rsidRPr="00B23E16" w14:paraId="2846E955" w14:textId="77777777" w:rsidTr="002C44CA">
        <w:trPr>
          <w:trHeight w:val="339"/>
          <w:jc w:val="center"/>
        </w:trPr>
        <w:tc>
          <w:tcPr>
            <w:tcW w:w="398" w:type="dxa"/>
          </w:tcPr>
          <w:p w14:paraId="3B89F6A4" w14:textId="45C478E4" w:rsidR="00E55A06" w:rsidRPr="00B23E16" w:rsidRDefault="00E55A06" w:rsidP="00E33D22">
            <w:pPr>
              <w:pStyle w:val="naiskr"/>
              <w:spacing w:before="0" w:after="0"/>
              <w:ind w:left="57" w:right="57"/>
              <w:rPr>
                <w:bCs/>
                <w:sz w:val="28"/>
                <w:szCs w:val="28"/>
              </w:rPr>
            </w:pPr>
            <w:r w:rsidRPr="00B23E16">
              <w:rPr>
                <w:bCs/>
                <w:sz w:val="28"/>
                <w:szCs w:val="28"/>
              </w:rPr>
              <w:t>2.</w:t>
            </w:r>
          </w:p>
        </w:tc>
        <w:tc>
          <w:tcPr>
            <w:tcW w:w="4197" w:type="dxa"/>
          </w:tcPr>
          <w:p w14:paraId="36C7BD68" w14:textId="77777777" w:rsidR="00E55A06" w:rsidRPr="00B23E16" w:rsidRDefault="00E55A06" w:rsidP="00E33D22">
            <w:pPr>
              <w:pStyle w:val="naiskr"/>
              <w:spacing w:before="0" w:after="0"/>
              <w:ind w:left="57" w:right="57"/>
              <w:rPr>
                <w:sz w:val="28"/>
                <w:szCs w:val="28"/>
              </w:rPr>
            </w:pPr>
            <w:r w:rsidRPr="00B23E16">
              <w:rPr>
                <w:sz w:val="28"/>
                <w:szCs w:val="28"/>
              </w:rPr>
              <w:t xml:space="preserve">Sabiedrības līdzdalība projekta izstrādē </w:t>
            </w:r>
          </w:p>
        </w:tc>
        <w:tc>
          <w:tcPr>
            <w:tcW w:w="4768" w:type="dxa"/>
          </w:tcPr>
          <w:p w14:paraId="4595D097" w14:textId="77777777" w:rsidR="004B39D8" w:rsidRPr="00621B11" w:rsidRDefault="00793A76" w:rsidP="00793A76">
            <w:pPr>
              <w:tabs>
                <w:tab w:val="left" w:pos="709"/>
              </w:tabs>
              <w:jc w:val="both"/>
              <w:rPr>
                <w:sz w:val="28"/>
                <w:szCs w:val="28"/>
              </w:rPr>
            </w:pPr>
            <w:r w:rsidRPr="00621B11">
              <w:rPr>
                <w:sz w:val="28"/>
                <w:szCs w:val="28"/>
              </w:rPr>
              <w:t xml:space="preserve">Par </w:t>
            </w:r>
            <w:r w:rsidR="004B39D8" w:rsidRPr="00621B11">
              <w:rPr>
                <w:sz w:val="28"/>
                <w:szCs w:val="28"/>
              </w:rPr>
              <w:t>projektā ietverto regulējumu saskaņošanas gaitā iebildumus izteikusi biedrība „Resursu centrs sievietēm „Marta”” un biedrība „Latvijas Ģimenes plānošanas un seksuālās veselības asociācija „Papardes zieds””.</w:t>
            </w:r>
          </w:p>
          <w:p w14:paraId="27BA11BB" w14:textId="31039B2B" w:rsidR="009E3831" w:rsidRPr="00B23E16" w:rsidRDefault="004B39D8" w:rsidP="00DD2234">
            <w:pPr>
              <w:tabs>
                <w:tab w:val="left" w:pos="709"/>
              </w:tabs>
              <w:jc w:val="both"/>
              <w:rPr>
                <w:iCs/>
                <w:sz w:val="28"/>
                <w:szCs w:val="28"/>
              </w:rPr>
            </w:pPr>
            <w:r w:rsidRPr="00621B11">
              <w:rPr>
                <w:sz w:val="28"/>
                <w:szCs w:val="28"/>
              </w:rPr>
              <w:t>Biedrība „DIA+LOGS” un biedrība “Apvienība „HIV.LV” izteica iebildumus par projektā regulētajiem</w:t>
            </w:r>
            <w:r w:rsidR="00793A76" w:rsidRPr="00621B11">
              <w:rPr>
                <w:sz w:val="28"/>
                <w:szCs w:val="28"/>
              </w:rPr>
              <w:t xml:space="preserve"> jautājumiem, kas saistīti ar personu, kas sniedz seksuālos pakalpojumus par maksu, veselības pārbaudēm, to uzraudzības iespējām projektā piedāvātajā veidā </w:t>
            </w:r>
            <w:r w:rsidR="00793A76" w:rsidRPr="0009736F">
              <w:rPr>
                <w:rFonts w:eastAsiaTheme="minorHAnsi"/>
                <w:sz w:val="28"/>
                <w:szCs w:val="28"/>
              </w:rPr>
              <w:t>HIV infekcijas, tuberkulozes un seksuālās transmisijas infekciju izplatības ierobež</w:t>
            </w:r>
            <w:r w:rsidR="00005B50" w:rsidRPr="0009736F">
              <w:rPr>
                <w:rFonts w:eastAsiaTheme="minorHAnsi"/>
                <w:sz w:val="28"/>
                <w:szCs w:val="28"/>
              </w:rPr>
              <w:t xml:space="preserve">ošanas koordinācijas komisijas </w:t>
            </w:r>
            <w:proofErr w:type="gramStart"/>
            <w:r w:rsidR="00793A76" w:rsidRPr="0009736F">
              <w:rPr>
                <w:rFonts w:eastAsiaTheme="minorHAnsi"/>
                <w:sz w:val="28"/>
                <w:szCs w:val="28"/>
              </w:rPr>
              <w:t>2014.gada</w:t>
            </w:r>
            <w:proofErr w:type="gramEnd"/>
            <w:r w:rsidR="00793A76" w:rsidRPr="0009736F">
              <w:rPr>
                <w:rFonts w:eastAsiaTheme="minorHAnsi"/>
                <w:sz w:val="28"/>
                <w:szCs w:val="28"/>
              </w:rPr>
              <w:t xml:space="preserve"> 17.septembra sanāksmē. </w:t>
            </w:r>
            <w:r w:rsidR="00793A76" w:rsidRPr="0099451C">
              <w:rPr>
                <w:rFonts w:eastAsiaTheme="minorHAnsi"/>
                <w:sz w:val="28"/>
                <w:szCs w:val="28"/>
              </w:rPr>
              <w:t xml:space="preserve">Vairums </w:t>
            </w:r>
            <w:r w:rsidRPr="0099451C">
              <w:rPr>
                <w:rFonts w:eastAsiaTheme="minorHAnsi"/>
                <w:sz w:val="28"/>
                <w:szCs w:val="28"/>
              </w:rPr>
              <w:t>minētās sanāksmes</w:t>
            </w:r>
            <w:r w:rsidR="00793A76" w:rsidRPr="0099451C">
              <w:rPr>
                <w:rFonts w:eastAsiaTheme="minorHAnsi"/>
                <w:sz w:val="28"/>
                <w:szCs w:val="28"/>
              </w:rPr>
              <w:t xml:space="preserve"> </w:t>
            </w:r>
            <w:r w:rsidRPr="0099451C">
              <w:rPr>
                <w:rFonts w:eastAsiaTheme="minorHAnsi"/>
                <w:sz w:val="28"/>
                <w:szCs w:val="28"/>
              </w:rPr>
              <w:t>pārstāvju</w:t>
            </w:r>
            <w:r w:rsidR="00793A76" w:rsidRPr="0099451C">
              <w:rPr>
                <w:rFonts w:eastAsiaTheme="minorHAnsi"/>
                <w:sz w:val="28"/>
                <w:szCs w:val="28"/>
              </w:rPr>
              <w:t xml:space="preserve"> pauda viedokli, ka </w:t>
            </w:r>
            <w:r w:rsidR="00E54BBB" w:rsidRPr="0099451C">
              <w:rPr>
                <w:rFonts w:eastAsiaTheme="minorHAnsi"/>
                <w:sz w:val="28"/>
                <w:szCs w:val="28"/>
              </w:rPr>
              <w:t>p</w:t>
            </w:r>
            <w:r w:rsidRPr="0099451C">
              <w:rPr>
                <w:rFonts w:eastAsiaTheme="minorHAnsi"/>
                <w:sz w:val="28"/>
                <w:szCs w:val="28"/>
              </w:rPr>
              <w:t>rojekta 8.punkta</w:t>
            </w:r>
            <w:r w:rsidR="00793A76" w:rsidRPr="0099451C">
              <w:rPr>
                <w:rFonts w:eastAsiaTheme="minorHAnsi"/>
                <w:sz w:val="28"/>
                <w:szCs w:val="28"/>
              </w:rPr>
              <w:t xml:space="preserve"> saturs ir deklaratīvs un neparedzot tām kontroles mehānismu, t</w:t>
            </w:r>
            <w:r w:rsidR="00DD2234">
              <w:rPr>
                <w:rFonts w:eastAsiaTheme="minorHAnsi"/>
                <w:sz w:val="28"/>
                <w:szCs w:val="28"/>
              </w:rPr>
              <w:t>as</w:t>
            </w:r>
            <w:proofErr w:type="gramStart"/>
            <w:r w:rsidR="00DD2234">
              <w:rPr>
                <w:rFonts w:eastAsiaTheme="minorHAnsi"/>
                <w:sz w:val="28"/>
                <w:szCs w:val="28"/>
              </w:rPr>
              <w:t xml:space="preserve"> </w:t>
            </w:r>
            <w:r w:rsidR="00793A76" w:rsidRPr="0099451C">
              <w:rPr>
                <w:rFonts w:eastAsiaTheme="minorHAnsi"/>
                <w:sz w:val="28"/>
                <w:szCs w:val="28"/>
              </w:rPr>
              <w:t xml:space="preserve"> </w:t>
            </w:r>
            <w:proofErr w:type="gramEnd"/>
            <w:r w:rsidR="00793A76" w:rsidRPr="0099451C">
              <w:rPr>
                <w:rFonts w:eastAsiaTheme="minorHAnsi"/>
                <w:sz w:val="28"/>
                <w:szCs w:val="28"/>
              </w:rPr>
              <w:t>ir svītrojam</w:t>
            </w:r>
            <w:r w:rsidR="00DD2234">
              <w:rPr>
                <w:rFonts w:eastAsiaTheme="minorHAnsi"/>
                <w:sz w:val="28"/>
                <w:szCs w:val="28"/>
              </w:rPr>
              <w:t>s</w:t>
            </w:r>
            <w:r w:rsidR="00793A76" w:rsidRPr="0099451C">
              <w:rPr>
                <w:rFonts w:eastAsiaTheme="minorHAnsi"/>
                <w:sz w:val="28"/>
                <w:szCs w:val="28"/>
              </w:rPr>
              <w:t xml:space="preserve">. </w:t>
            </w:r>
            <w:proofErr w:type="spellStart"/>
            <w:r w:rsidR="00793A76" w:rsidRPr="00621B11">
              <w:rPr>
                <w:rFonts w:eastAsiaTheme="minorHAnsi"/>
                <w:sz w:val="28"/>
                <w:szCs w:val="28"/>
                <w:lang w:val="en-US"/>
              </w:rPr>
              <w:t>Īpaši</w:t>
            </w:r>
            <w:proofErr w:type="spellEnd"/>
            <w:r w:rsidR="00793A76" w:rsidRPr="00621B11">
              <w:rPr>
                <w:rFonts w:eastAsiaTheme="minorHAnsi"/>
                <w:sz w:val="28"/>
                <w:szCs w:val="28"/>
                <w:lang w:val="en-US"/>
              </w:rPr>
              <w:t xml:space="preserve"> </w:t>
            </w:r>
            <w:proofErr w:type="spellStart"/>
            <w:r w:rsidR="00793A76" w:rsidRPr="00621B11">
              <w:rPr>
                <w:rFonts w:eastAsiaTheme="minorHAnsi"/>
                <w:sz w:val="28"/>
                <w:szCs w:val="28"/>
                <w:lang w:val="en-US"/>
              </w:rPr>
              <w:t>tas</w:t>
            </w:r>
            <w:proofErr w:type="spellEnd"/>
            <w:r w:rsidR="00793A76" w:rsidRPr="00621B11">
              <w:rPr>
                <w:rFonts w:eastAsiaTheme="minorHAnsi"/>
                <w:sz w:val="28"/>
                <w:szCs w:val="28"/>
                <w:lang w:val="en-US"/>
              </w:rPr>
              <w:t xml:space="preserve"> </w:t>
            </w:r>
            <w:proofErr w:type="spellStart"/>
            <w:r w:rsidR="00793A76" w:rsidRPr="00621B11">
              <w:rPr>
                <w:rFonts w:eastAsiaTheme="minorHAnsi"/>
                <w:sz w:val="28"/>
                <w:szCs w:val="28"/>
                <w:lang w:val="en-US"/>
              </w:rPr>
              <w:t>attiecināms</w:t>
            </w:r>
            <w:proofErr w:type="spellEnd"/>
            <w:r w:rsidR="00793A76" w:rsidRPr="00621B11">
              <w:rPr>
                <w:rFonts w:eastAsiaTheme="minorHAnsi"/>
                <w:sz w:val="28"/>
                <w:szCs w:val="28"/>
                <w:lang w:val="en-US"/>
              </w:rPr>
              <w:t xml:space="preserve"> </w:t>
            </w:r>
            <w:proofErr w:type="spellStart"/>
            <w:r w:rsidR="00793A76" w:rsidRPr="00621B11">
              <w:rPr>
                <w:rFonts w:eastAsiaTheme="minorHAnsi"/>
                <w:sz w:val="28"/>
                <w:szCs w:val="28"/>
                <w:lang w:val="en-US"/>
              </w:rPr>
              <w:t>uz</w:t>
            </w:r>
            <w:proofErr w:type="spellEnd"/>
            <w:r w:rsidR="00793A76" w:rsidRPr="00621B11">
              <w:rPr>
                <w:rFonts w:eastAsiaTheme="minorHAnsi"/>
                <w:sz w:val="28"/>
                <w:szCs w:val="28"/>
                <w:lang w:val="en-US"/>
              </w:rPr>
              <w:t xml:space="preserve"> </w:t>
            </w:r>
            <w:proofErr w:type="spellStart"/>
            <w:r w:rsidR="00793A76" w:rsidRPr="00621B11">
              <w:rPr>
                <w:rFonts w:eastAsiaTheme="minorHAnsi"/>
                <w:sz w:val="28"/>
                <w:szCs w:val="28"/>
                <w:lang w:val="en-US"/>
              </w:rPr>
              <w:t>personām</w:t>
            </w:r>
            <w:proofErr w:type="spellEnd"/>
            <w:r w:rsidR="00793A76" w:rsidRPr="00621B11">
              <w:rPr>
                <w:rFonts w:eastAsiaTheme="minorHAnsi"/>
                <w:sz w:val="28"/>
                <w:szCs w:val="28"/>
                <w:lang w:val="en-US"/>
              </w:rPr>
              <w:t xml:space="preserve">, </w:t>
            </w:r>
            <w:proofErr w:type="spellStart"/>
            <w:r w:rsidR="00793A76" w:rsidRPr="00621B11">
              <w:rPr>
                <w:rFonts w:eastAsiaTheme="minorHAnsi"/>
                <w:sz w:val="28"/>
                <w:szCs w:val="28"/>
                <w:lang w:val="en-US"/>
              </w:rPr>
              <w:t>kas</w:t>
            </w:r>
            <w:proofErr w:type="spellEnd"/>
            <w:r w:rsidR="00793A76" w:rsidRPr="00621B11">
              <w:rPr>
                <w:rFonts w:eastAsiaTheme="minorHAnsi"/>
                <w:sz w:val="28"/>
                <w:szCs w:val="28"/>
                <w:lang w:val="en-US"/>
              </w:rPr>
              <w:t xml:space="preserve"> </w:t>
            </w:r>
            <w:proofErr w:type="spellStart"/>
            <w:r w:rsidR="00793A76" w:rsidRPr="00621B11">
              <w:rPr>
                <w:rFonts w:eastAsiaTheme="minorHAnsi"/>
                <w:sz w:val="28"/>
                <w:szCs w:val="28"/>
                <w:lang w:val="en-US"/>
              </w:rPr>
              <w:t>saņem</w:t>
            </w:r>
            <w:proofErr w:type="spellEnd"/>
            <w:r w:rsidR="00793A76" w:rsidRPr="00621B11">
              <w:rPr>
                <w:rFonts w:eastAsiaTheme="minorHAnsi"/>
                <w:sz w:val="28"/>
                <w:szCs w:val="28"/>
                <w:lang w:val="en-US"/>
              </w:rPr>
              <w:t xml:space="preserve"> </w:t>
            </w:r>
            <w:proofErr w:type="spellStart"/>
            <w:r w:rsidR="00793A76" w:rsidRPr="00621B11">
              <w:rPr>
                <w:rFonts w:eastAsiaTheme="minorHAnsi"/>
                <w:sz w:val="28"/>
                <w:szCs w:val="28"/>
                <w:lang w:val="en-US"/>
              </w:rPr>
              <w:t>seksuālos</w:t>
            </w:r>
            <w:proofErr w:type="spellEnd"/>
            <w:r w:rsidR="00793A76" w:rsidRPr="00621B11">
              <w:rPr>
                <w:rFonts w:eastAsiaTheme="minorHAnsi"/>
                <w:sz w:val="28"/>
                <w:szCs w:val="28"/>
                <w:lang w:val="en-US"/>
              </w:rPr>
              <w:t xml:space="preserve"> </w:t>
            </w:r>
            <w:proofErr w:type="spellStart"/>
            <w:r w:rsidR="00793A76" w:rsidRPr="00621B11">
              <w:rPr>
                <w:rFonts w:eastAsiaTheme="minorHAnsi"/>
                <w:sz w:val="28"/>
                <w:szCs w:val="28"/>
                <w:lang w:val="en-US"/>
              </w:rPr>
              <w:t>pakalpojumus</w:t>
            </w:r>
            <w:proofErr w:type="spellEnd"/>
            <w:r w:rsidR="00793A76" w:rsidRPr="00621B11">
              <w:rPr>
                <w:rFonts w:eastAsiaTheme="minorHAnsi"/>
                <w:sz w:val="28"/>
                <w:szCs w:val="28"/>
                <w:lang w:val="en-US"/>
              </w:rPr>
              <w:t xml:space="preserve"> par </w:t>
            </w:r>
            <w:proofErr w:type="spellStart"/>
            <w:r w:rsidR="00793A76" w:rsidRPr="00621B11">
              <w:rPr>
                <w:rFonts w:eastAsiaTheme="minorHAnsi"/>
                <w:sz w:val="28"/>
                <w:szCs w:val="28"/>
                <w:lang w:val="en-US"/>
              </w:rPr>
              <w:t>maksu</w:t>
            </w:r>
            <w:proofErr w:type="spellEnd"/>
            <w:r w:rsidR="00793A76" w:rsidRPr="00621B11">
              <w:rPr>
                <w:rFonts w:eastAsiaTheme="minorHAnsi"/>
                <w:sz w:val="28"/>
                <w:szCs w:val="28"/>
                <w:lang w:val="en-US"/>
              </w:rPr>
              <w:t>.</w:t>
            </w:r>
          </w:p>
        </w:tc>
      </w:tr>
      <w:tr w:rsidR="00B23E16" w:rsidRPr="00B23E16" w14:paraId="650B78CF" w14:textId="77777777" w:rsidTr="002C44CA">
        <w:trPr>
          <w:trHeight w:val="375"/>
          <w:jc w:val="center"/>
        </w:trPr>
        <w:tc>
          <w:tcPr>
            <w:tcW w:w="398" w:type="dxa"/>
          </w:tcPr>
          <w:p w14:paraId="437236C6" w14:textId="0660B8C0" w:rsidR="00E55A06" w:rsidRPr="00B23E16" w:rsidRDefault="00E55A06" w:rsidP="00E33D22">
            <w:pPr>
              <w:pStyle w:val="naiskr"/>
              <w:spacing w:before="0" w:after="0"/>
              <w:ind w:left="57" w:right="57"/>
              <w:rPr>
                <w:bCs/>
                <w:sz w:val="28"/>
                <w:szCs w:val="28"/>
              </w:rPr>
            </w:pPr>
            <w:r w:rsidRPr="00B23E16">
              <w:rPr>
                <w:bCs/>
                <w:sz w:val="28"/>
                <w:szCs w:val="28"/>
              </w:rPr>
              <w:t>3.</w:t>
            </w:r>
          </w:p>
        </w:tc>
        <w:tc>
          <w:tcPr>
            <w:tcW w:w="4197" w:type="dxa"/>
          </w:tcPr>
          <w:p w14:paraId="0FAC1C0E" w14:textId="77777777" w:rsidR="00E55A06" w:rsidRPr="00B23E16" w:rsidRDefault="00E55A06" w:rsidP="00E33D22">
            <w:pPr>
              <w:pStyle w:val="naiskr"/>
              <w:spacing w:before="0" w:after="0"/>
              <w:ind w:left="57" w:right="57"/>
              <w:rPr>
                <w:sz w:val="28"/>
                <w:szCs w:val="28"/>
              </w:rPr>
            </w:pPr>
            <w:r w:rsidRPr="00B23E16">
              <w:rPr>
                <w:sz w:val="28"/>
                <w:szCs w:val="28"/>
              </w:rPr>
              <w:t xml:space="preserve">Sabiedrības līdzdalības rezultāti </w:t>
            </w:r>
          </w:p>
        </w:tc>
        <w:tc>
          <w:tcPr>
            <w:tcW w:w="4768" w:type="dxa"/>
          </w:tcPr>
          <w:p w14:paraId="12B88883" w14:textId="7FCD8B8C" w:rsidR="009C14E7" w:rsidRDefault="009C14E7" w:rsidP="009C14E7">
            <w:pPr>
              <w:tabs>
                <w:tab w:val="left" w:pos="709"/>
              </w:tabs>
              <w:jc w:val="both"/>
              <w:rPr>
                <w:sz w:val="28"/>
                <w:szCs w:val="28"/>
              </w:rPr>
            </w:pPr>
            <w:r w:rsidRPr="00621B11">
              <w:rPr>
                <w:sz w:val="28"/>
                <w:szCs w:val="28"/>
              </w:rPr>
              <w:t>Par biedrība</w:t>
            </w:r>
            <w:r>
              <w:rPr>
                <w:sz w:val="28"/>
                <w:szCs w:val="28"/>
              </w:rPr>
              <w:t>s</w:t>
            </w:r>
            <w:r w:rsidRPr="00621B11">
              <w:rPr>
                <w:sz w:val="28"/>
                <w:szCs w:val="28"/>
              </w:rPr>
              <w:t xml:space="preserve"> „Resursu centrs sievietēm „Marta”” un biedrība</w:t>
            </w:r>
            <w:r>
              <w:rPr>
                <w:sz w:val="28"/>
                <w:szCs w:val="28"/>
              </w:rPr>
              <w:t>s</w:t>
            </w:r>
            <w:r w:rsidRPr="00621B11">
              <w:rPr>
                <w:sz w:val="28"/>
                <w:szCs w:val="28"/>
              </w:rPr>
              <w:t xml:space="preserve"> „Latvijas Ģimenes </w:t>
            </w:r>
            <w:r w:rsidRPr="00621B11">
              <w:rPr>
                <w:sz w:val="28"/>
                <w:szCs w:val="28"/>
              </w:rPr>
              <w:lastRenderedPageBreak/>
              <w:t>plānošanas un seksuālās veselīb</w:t>
            </w:r>
            <w:r>
              <w:rPr>
                <w:sz w:val="28"/>
                <w:szCs w:val="28"/>
              </w:rPr>
              <w:t>as asociācija „Papardes zieds”” iebildumiem panākta vienošanās starpministriju (starpinstitūciju) sanāksmes laikā, paredzot veidot darba grupu jaunā likuma prostitūcijas ierobežošanas jomā izstrādē un tās ietvaros vērtējot jautājumus par seksuālo pakalpojumu pircēju sodīšanu un risinot jautājumus par sociālo programmu īstenošanu personām, kas nodarbojas ar prostitūciju.</w:t>
            </w:r>
          </w:p>
          <w:p w14:paraId="58BCFB8F" w14:textId="4B475F46" w:rsidR="00E55A06" w:rsidRPr="00B23E16" w:rsidRDefault="009C14E7" w:rsidP="009C14E7">
            <w:pPr>
              <w:tabs>
                <w:tab w:val="left" w:pos="709"/>
              </w:tabs>
              <w:jc w:val="both"/>
              <w:rPr>
                <w:iCs/>
                <w:sz w:val="28"/>
                <w:szCs w:val="28"/>
              </w:rPr>
            </w:pPr>
            <w:r>
              <w:rPr>
                <w:sz w:val="28"/>
                <w:szCs w:val="28"/>
              </w:rPr>
              <w:t>Arī par b</w:t>
            </w:r>
            <w:r w:rsidRPr="00621B11">
              <w:rPr>
                <w:sz w:val="28"/>
                <w:szCs w:val="28"/>
              </w:rPr>
              <w:t>iedrība</w:t>
            </w:r>
            <w:r>
              <w:rPr>
                <w:sz w:val="28"/>
                <w:szCs w:val="28"/>
              </w:rPr>
              <w:t>s</w:t>
            </w:r>
            <w:r w:rsidRPr="00621B11">
              <w:rPr>
                <w:sz w:val="28"/>
                <w:szCs w:val="28"/>
              </w:rPr>
              <w:t xml:space="preserve"> „DIA+LOGS” un biedrība</w:t>
            </w:r>
            <w:r>
              <w:rPr>
                <w:sz w:val="28"/>
                <w:szCs w:val="28"/>
              </w:rPr>
              <w:t>s</w:t>
            </w:r>
            <w:r w:rsidRPr="00621B11">
              <w:rPr>
                <w:sz w:val="28"/>
                <w:szCs w:val="28"/>
              </w:rPr>
              <w:t xml:space="preserve"> “Apvienība „HIV.LV” </w:t>
            </w:r>
            <w:r>
              <w:rPr>
                <w:sz w:val="28"/>
                <w:szCs w:val="28"/>
              </w:rPr>
              <w:t>iebildumiem un</w:t>
            </w:r>
            <w:proofErr w:type="gramStart"/>
            <w:r>
              <w:rPr>
                <w:sz w:val="28"/>
                <w:szCs w:val="28"/>
              </w:rPr>
              <w:t xml:space="preserve"> priekšlikumiem panākta vienošanās starpministriju (starpinstitūciju) sanāksmes laikā</w:t>
            </w:r>
            <w:proofErr w:type="gramEnd"/>
            <w:r>
              <w:rPr>
                <w:sz w:val="28"/>
                <w:szCs w:val="28"/>
              </w:rPr>
              <w:t xml:space="preserve">, paredzot </w:t>
            </w:r>
            <w:r w:rsidRPr="009C14E7">
              <w:rPr>
                <w:rFonts w:eastAsiaTheme="minorHAnsi"/>
                <w:sz w:val="28"/>
                <w:szCs w:val="28"/>
              </w:rPr>
              <w:t xml:space="preserve">svītrot </w:t>
            </w:r>
            <w:r>
              <w:rPr>
                <w:rFonts w:eastAsiaTheme="minorHAnsi"/>
                <w:sz w:val="28"/>
                <w:szCs w:val="28"/>
              </w:rPr>
              <w:t xml:space="preserve">Noteikumu Nr.32 </w:t>
            </w:r>
            <w:r w:rsidRPr="009C14E7">
              <w:rPr>
                <w:rFonts w:eastAsiaTheme="minorHAnsi"/>
                <w:sz w:val="28"/>
                <w:szCs w:val="28"/>
              </w:rPr>
              <w:t>normas, kas attiecās uz veselības pārbaudēm un to īstenošanu, kuras pēc veselības karšu svītrošanas kļūst deklaratīvas un neīstenojamas.</w:t>
            </w:r>
          </w:p>
        </w:tc>
      </w:tr>
      <w:tr w:rsidR="00B23E16" w:rsidRPr="00B23E16" w14:paraId="1CB24694" w14:textId="77777777" w:rsidTr="002C44CA">
        <w:trPr>
          <w:trHeight w:val="397"/>
          <w:jc w:val="center"/>
        </w:trPr>
        <w:tc>
          <w:tcPr>
            <w:tcW w:w="398" w:type="dxa"/>
          </w:tcPr>
          <w:p w14:paraId="04269191" w14:textId="77777777" w:rsidR="00E55A06" w:rsidRPr="00B23E16" w:rsidRDefault="00E55A06" w:rsidP="00E33D22">
            <w:pPr>
              <w:pStyle w:val="naiskr"/>
              <w:spacing w:before="0" w:after="0"/>
              <w:ind w:left="57" w:right="57"/>
              <w:rPr>
                <w:bCs/>
                <w:sz w:val="28"/>
                <w:szCs w:val="28"/>
              </w:rPr>
            </w:pPr>
            <w:r w:rsidRPr="00B23E16">
              <w:rPr>
                <w:bCs/>
                <w:sz w:val="28"/>
                <w:szCs w:val="28"/>
              </w:rPr>
              <w:lastRenderedPageBreak/>
              <w:t>4.</w:t>
            </w:r>
          </w:p>
        </w:tc>
        <w:tc>
          <w:tcPr>
            <w:tcW w:w="4197" w:type="dxa"/>
          </w:tcPr>
          <w:p w14:paraId="56AB1E86" w14:textId="77777777" w:rsidR="00E55A06" w:rsidRPr="00B23E16" w:rsidRDefault="00E55A06" w:rsidP="00E33D22">
            <w:pPr>
              <w:pStyle w:val="naiskr"/>
              <w:spacing w:before="0" w:after="0"/>
              <w:ind w:left="57" w:right="57"/>
              <w:rPr>
                <w:sz w:val="28"/>
                <w:szCs w:val="28"/>
              </w:rPr>
            </w:pPr>
            <w:r w:rsidRPr="00B23E16">
              <w:rPr>
                <w:sz w:val="28"/>
                <w:szCs w:val="28"/>
              </w:rPr>
              <w:t>Saeimas un ekspertu līdzdalība</w:t>
            </w:r>
          </w:p>
        </w:tc>
        <w:tc>
          <w:tcPr>
            <w:tcW w:w="4768" w:type="dxa"/>
          </w:tcPr>
          <w:p w14:paraId="7DBED304" w14:textId="77777777" w:rsidR="00E55A06" w:rsidRPr="00B23E16" w:rsidRDefault="005E7838" w:rsidP="000F2BFE">
            <w:pPr>
              <w:pStyle w:val="naiskr"/>
              <w:spacing w:before="0" w:after="0"/>
              <w:ind w:left="57" w:right="57"/>
              <w:jc w:val="both"/>
              <w:rPr>
                <w:sz w:val="28"/>
                <w:szCs w:val="28"/>
              </w:rPr>
            </w:pPr>
            <w:r w:rsidRPr="00B23E16">
              <w:rPr>
                <w:sz w:val="28"/>
                <w:szCs w:val="28"/>
              </w:rPr>
              <w:t>Projekts šo jomu neskar.</w:t>
            </w:r>
          </w:p>
        </w:tc>
      </w:tr>
      <w:tr w:rsidR="00B23E16" w:rsidRPr="00B23E16" w14:paraId="606B33F4" w14:textId="77777777" w:rsidTr="002C44CA">
        <w:trPr>
          <w:trHeight w:val="476"/>
          <w:jc w:val="center"/>
        </w:trPr>
        <w:tc>
          <w:tcPr>
            <w:tcW w:w="398" w:type="dxa"/>
          </w:tcPr>
          <w:p w14:paraId="7E4A54A2" w14:textId="77777777" w:rsidR="00E55A06" w:rsidRPr="00B23E16" w:rsidRDefault="00E55A06" w:rsidP="002C44CA">
            <w:pPr>
              <w:pStyle w:val="naiskr"/>
              <w:spacing w:before="0" w:after="0"/>
              <w:ind w:left="57" w:right="57"/>
              <w:rPr>
                <w:bCs/>
                <w:sz w:val="28"/>
                <w:szCs w:val="28"/>
              </w:rPr>
            </w:pPr>
            <w:r w:rsidRPr="00B23E16">
              <w:rPr>
                <w:bCs/>
                <w:sz w:val="28"/>
                <w:szCs w:val="28"/>
              </w:rPr>
              <w:t>5</w:t>
            </w:r>
            <w:r w:rsidR="002C44CA" w:rsidRPr="00B23E16">
              <w:rPr>
                <w:bCs/>
                <w:sz w:val="28"/>
                <w:szCs w:val="28"/>
              </w:rPr>
              <w:t>.</w:t>
            </w:r>
          </w:p>
        </w:tc>
        <w:tc>
          <w:tcPr>
            <w:tcW w:w="4197" w:type="dxa"/>
          </w:tcPr>
          <w:p w14:paraId="049DC5E3" w14:textId="77777777" w:rsidR="00E55A06" w:rsidRPr="00B23E16" w:rsidRDefault="00E55A06" w:rsidP="00E33D22">
            <w:pPr>
              <w:pStyle w:val="naiskr"/>
              <w:spacing w:before="0" w:after="0"/>
              <w:ind w:left="57" w:right="57"/>
              <w:rPr>
                <w:sz w:val="28"/>
                <w:szCs w:val="28"/>
              </w:rPr>
            </w:pPr>
            <w:r w:rsidRPr="00B23E16">
              <w:rPr>
                <w:sz w:val="28"/>
                <w:szCs w:val="28"/>
              </w:rPr>
              <w:t>Cita informācija</w:t>
            </w:r>
          </w:p>
          <w:p w14:paraId="33BD52D5" w14:textId="77777777" w:rsidR="00E55A06" w:rsidRPr="00B23E16" w:rsidRDefault="00E55A06" w:rsidP="00E33D22">
            <w:pPr>
              <w:pStyle w:val="naiskr"/>
              <w:spacing w:before="0" w:after="0"/>
              <w:ind w:left="57" w:right="57"/>
              <w:rPr>
                <w:sz w:val="28"/>
                <w:szCs w:val="28"/>
              </w:rPr>
            </w:pPr>
          </w:p>
        </w:tc>
        <w:tc>
          <w:tcPr>
            <w:tcW w:w="4768" w:type="dxa"/>
          </w:tcPr>
          <w:p w14:paraId="1FC4EAAA" w14:textId="095C99B0" w:rsidR="003E0D2F" w:rsidRPr="00B23E16" w:rsidRDefault="00B22476" w:rsidP="00312ECD">
            <w:pPr>
              <w:pStyle w:val="FootnoteText"/>
              <w:spacing w:after="0" w:line="240" w:lineRule="auto"/>
              <w:jc w:val="both"/>
              <w:rPr>
                <w:rFonts w:ascii="Times New Roman" w:hAnsi="Times New Roman"/>
                <w:sz w:val="28"/>
                <w:szCs w:val="28"/>
              </w:rPr>
            </w:pPr>
            <w:r>
              <w:rPr>
                <w:rFonts w:ascii="Times New Roman" w:hAnsi="Times New Roman"/>
                <w:sz w:val="28"/>
                <w:szCs w:val="28"/>
              </w:rPr>
              <w:t xml:space="preserve"> Nav.</w:t>
            </w:r>
          </w:p>
        </w:tc>
      </w:tr>
    </w:tbl>
    <w:p w14:paraId="0BB4FA53" w14:textId="084E0B8B" w:rsidR="00E55A06" w:rsidRPr="00B23E16" w:rsidRDefault="00E55A06" w:rsidP="002F4D25">
      <w:pPr>
        <w:spacing w:after="200" w:line="276" w:lineRule="auto"/>
        <w:rPr>
          <w:sz w:val="28"/>
          <w:szCs w:val="28"/>
          <w:lang w:eastAsia="lv-LV"/>
        </w:rPr>
      </w:pPr>
    </w:p>
    <w:tbl>
      <w:tblPr>
        <w:tblW w:w="4885"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3"/>
        <w:gridCol w:w="5030"/>
      </w:tblGrid>
      <w:tr w:rsidR="00B22476" w:rsidRPr="00B23E16" w14:paraId="3006A66C" w14:textId="77777777" w:rsidTr="00B22476">
        <w:tc>
          <w:tcPr>
            <w:tcW w:w="2159" w:type="pct"/>
            <w:tcBorders>
              <w:top w:val="single" w:sz="4" w:space="0" w:color="auto"/>
              <w:left w:val="single" w:sz="4" w:space="0" w:color="auto"/>
              <w:bottom w:val="single" w:sz="4" w:space="0" w:color="auto"/>
              <w:right w:val="single" w:sz="4" w:space="0" w:color="auto"/>
            </w:tcBorders>
            <w:hideMark/>
          </w:tcPr>
          <w:p w14:paraId="7F3936A7" w14:textId="77777777" w:rsidR="00B22476" w:rsidRPr="00B23E16" w:rsidRDefault="00B22476">
            <w:pPr>
              <w:pStyle w:val="naisf"/>
              <w:spacing w:before="0" w:after="0"/>
              <w:ind w:firstLine="0"/>
              <w:jc w:val="left"/>
              <w:rPr>
                <w:sz w:val="28"/>
                <w:szCs w:val="28"/>
              </w:rPr>
            </w:pPr>
            <w:r w:rsidRPr="00B23E16">
              <w:rPr>
                <w:sz w:val="28"/>
                <w:szCs w:val="28"/>
              </w:rPr>
              <w:t xml:space="preserve">Projekta izpildē iesaistītās institūcijas </w:t>
            </w:r>
          </w:p>
        </w:tc>
        <w:tc>
          <w:tcPr>
            <w:tcW w:w="2841" w:type="pct"/>
            <w:tcBorders>
              <w:top w:val="single" w:sz="4" w:space="0" w:color="auto"/>
              <w:left w:val="single" w:sz="4" w:space="0" w:color="auto"/>
              <w:bottom w:val="single" w:sz="4" w:space="0" w:color="auto"/>
              <w:right w:val="single" w:sz="4" w:space="0" w:color="auto"/>
            </w:tcBorders>
            <w:hideMark/>
          </w:tcPr>
          <w:p w14:paraId="50F2AED6" w14:textId="5E50A134" w:rsidR="00B22476" w:rsidRPr="00B23E16" w:rsidRDefault="00B22476" w:rsidP="005E7838">
            <w:pPr>
              <w:pStyle w:val="naisnod"/>
              <w:spacing w:before="0" w:after="0"/>
              <w:jc w:val="both"/>
              <w:rPr>
                <w:b w:val="0"/>
                <w:sz w:val="28"/>
                <w:szCs w:val="28"/>
              </w:rPr>
            </w:pPr>
            <w:r w:rsidRPr="00B23E16">
              <w:rPr>
                <w:b w:val="0"/>
                <w:iCs/>
                <w:sz w:val="28"/>
                <w:szCs w:val="28"/>
              </w:rPr>
              <w:t>Valsts policija un pašvaldības policija</w:t>
            </w:r>
          </w:p>
        </w:tc>
      </w:tr>
      <w:tr w:rsidR="00B22476" w:rsidRPr="00B23E16" w14:paraId="071D2692" w14:textId="77777777" w:rsidTr="00B22476">
        <w:tc>
          <w:tcPr>
            <w:tcW w:w="2159" w:type="pct"/>
            <w:tcBorders>
              <w:top w:val="single" w:sz="4" w:space="0" w:color="auto"/>
              <w:left w:val="single" w:sz="4" w:space="0" w:color="auto"/>
              <w:bottom w:val="single" w:sz="4" w:space="0" w:color="auto"/>
              <w:right w:val="single" w:sz="4" w:space="0" w:color="auto"/>
            </w:tcBorders>
            <w:hideMark/>
          </w:tcPr>
          <w:p w14:paraId="0A2B56ED" w14:textId="77777777" w:rsidR="00B22476" w:rsidRPr="00B23E16" w:rsidRDefault="00B22476">
            <w:pPr>
              <w:pStyle w:val="naisf"/>
              <w:spacing w:before="0" w:after="0"/>
              <w:ind w:firstLine="0"/>
              <w:jc w:val="left"/>
              <w:rPr>
                <w:sz w:val="28"/>
                <w:szCs w:val="28"/>
              </w:rPr>
            </w:pPr>
            <w:r w:rsidRPr="00B23E16">
              <w:rPr>
                <w:sz w:val="28"/>
                <w:szCs w:val="28"/>
              </w:rPr>
              <w:t xml:space="preserve">Projekta izpildes ietekme uz pārvaldes funkcijām </w:t>
            </w:r>
          </w:p>
        </w:tc>
        <w:tc>
          <w:tcPr>
            <w:tcW w:w="2841" w:type="pct"/>
            <w:tcBorders>
              <w:top w:val="single" w:sz="4" w:space="0" w:color="auto"/>
              <w:left w:val="single" w:sz="4" w:space="0" w:color="auto"/>
              <w:bottom w:val="single" w:sz="4" w:space="0" w:color="auto"/>
              <w:right w:val="single" w:sz="4" w:space="0" w:color="auto"/>
            </w:tcBorders>
            <w:hideMark/>
          </w:tcPr>
          <w:p w14:paraId="3BB285D5" w14:textId="77777777" w:rsidR="00B22476" w:rsidRPr="00B23E16" w:rsidRDefault="00B22476" w:rsidP="005E7838">
            <w:pPr>
              <w:pStyle w:val="FootnoteText"/>
              <w:jc w:val="both"/>
              <w:rPr>
                <w:rFonts w:ascii="Times New Roman" w:hAnsi="Times New Roman"/>
                <w:i/>
                <w:sz w:val="28"/>
                <w:szCs w:val="28"/>
              </w:rPr>
            </w:pPr>
            <w:r w:rsidRPr="00B23E16">
              <w:rPr>
                <w:rFonts w:ascii="Times New Roman" w:hAnsi="Times New Roman"/>
                <w:sz w:val="28"/>
                <w:szCs w:val="28"/>
              </w:rPr>
              <w:t>Projekts nesašaurina un nepaplašina Valsts policijas funkcijas un uzdevumus.</w:t>
            </w:r>
          </w:p>
        </w:tc>
      </w:tr>
      <w:tr w:rsidR="00B22476" w:rsidRPr="00B23E16" w14:paraId="46A5C3C7" w14:textId="77777777" w:rsidTr="00B22476">
        <w:tc>
          <w:tcPr>
            <w:tcW w:w="2159" w:type="pct"/>
            <w:tcBorders>
              <w:top w:val="single" w:sz="4" w:space="0" w:color="auto"/>
              <w:left w:val="single" w:sz="4" w:space="0" w:color="auto"/>
              <w:bottom w:val="single" w:sz="4" w:space="0" w:color="auto"/>
              <w:right w:val="single" w:sz="4" w:space="0" w:color="auto"/>
            </w:tcBorders>
            <w:hideMark/>
          </w:tcPr>
          <w:p w14:paraId="045D5B7A" w14:textId="77777777" w:rsidR="00B22476" w:rsidRPr="00B23E16" w:rsidRDefault="00B22476">
            <w:pPr>
              <w:pStyle w:val="naisf"/>
              <w:spacing w:before="0" w:after="0"/>
              <w:ind w:firstLine="0"/>
              <w:jc w:val="left"/>
              <w:rPr>
                <w:sz w:val="28"/>
                <w:szCs w:val="28"/>
              </w:rPr>
            </w:pPr>
            <w:r w:rsidRPr="00B23E16">
              <w:rPr>
                <w:sz w:val="28"/>
                <w:szCs w:val="28"/>
              </w:rPr>
              <w:t>Projekta izpildes ietekme uz pārvaldes institucionālo struktūru.</w:t>
            </w:r>
          </w:p>
          <w:p w14:paraId="0C8AFFC9" w14:textId="77777777" w:rsidR="00B22476" w:rsidRPr="00B23E16" w:rsidRDefault="00B22476">
            <w:pPr>
              <w:pStyle w:val="naisf"/>
              <w:spacing w:before="0" w:after="0"/>
              <w:ind w:firstLine="0"/>
              <w:jc w:val="left"/>
              <w:rPr>
                <w:sz w:val="28"/>
                <w:szCs w:val="28"/>
              </w:rPr>
            </w:pPr>
            <w:r w:rsidRPr="00B23E16">
              <w:rPr>
                <w:sz w:val="28"/>
                <w:szCs w:val="28"/>
              </w:rPr>
              <w:t>Jaunu institūciju izveide.</w:t>
            </w:r>
          </w:p>
        </w:tc>
        <w:tc>
          <w:tcPr>
            <w:tcW w:w="2841" w:type="pct"/>
            <w:tcBorders>
              <w:top w:val="single" w:sz="4" w:space="0" w:color="auto"/>
              <w:left w:val="single" w:sz="4" w:space="0" w:color="auto"/>
              <w:bottom w:val="single" w:sz="4" w:space="0" w:color="auto"/>
              <w:right w:val="single" w:sz="4" w:space="0" w:color="auto"/>
            </w:tcBorders>
            <w:hideMark/>
          </w:tcPr>
          <w:p w14:paraId="4B8378CB" w14:textId="77777777" w:rsidR="00B22476" w:rsidRPr="00B23E16" w:rsidRDefault="00B22476">
            <w:pPr>
              <w:pStyle w:val="naisnod"/>
              <w:spacing w:before="0" w:after="0"/>
              <w:jc w:val="both"/>
              <w:rPr>
                <w:b w:val="0"/>
                <w:sz w:val="28"/>
                <w:szCs w:val="28"/>
              </w:rPr>
            </w:pPr>
            <w:r w:rsidRPr="00B23E16">
              <w:rPr>
                <w:b w:val="0"/>
                <w:sz w:val="28"/>
                <w:szCs w:val="28"/>
              </w:rPr>
              <w:t>Saistībā ar projekta izpildi nav nepieciešams veidot jaunas institūcijas.</w:t>
            </w:r>
          </w:p>
        </w:tc>
      </w:tr>
      <w:tr w:rsidR="00B22476" w:rsidRPr="00B23E16" w14:paraId="1A2CBA71" w14:textId="77777777" w:rsidTr="00B22476">
        <w:tc>
          <w:tcPr>
            <w:tcW w:w="2159" w:type="pct"/>
            <w:tcBorders>
              <w:top w:val="single" w:sz="4" w:space="0" w:color="auto"/>
              <w:left w:val="single" w:sz="4" w:space="0" w:color="auto"/>
              <w:bottom w:val="single" w:sz="4" w:space="0" w:color="auto"/>
              <w:right w:val="single" w:sz="4" w:space="0" w:color="auto"/>
            </w:tcBorders>
            <w:hideMark/>
          </w:tcPr>
          <w:p w14:paraId="60548800" w14:textId="77777777" w:rsidR="00B22476" w:rsidRPr="00B23E16" w:rsidRDefault="00B22476">
            <w:pPr>
              <w:pStyle w:val="naisf"/>
              <w:spacing w:before="0" w:after="0"/>
              <w:ind w:firstLine="0"/>
              <w:jc w:val="left"/>
              <w:rPr>
                <w:sz w:val="28"/>
                <w:szCs w:val="28"/>
              </w:rPr>
            </w:pPr>
            <w:r w:rsidRPr="00B23E16">
              <w:rPr>
                <w:sz w:val="28"/>
                <w:szCs w:val="28"/>
              </w:rPr>
              <w:t>Projekta izpildes ietekme uz pārvaldes institucionālo struktūru.</w:t>
            </w:r>
          </w:p>
          <w:p w14:paraId="25F2589E" w14:textId="77777777" w:rsidR="00B22476" w:rsidRPr="00B23E16" w:rsidRDefault="00B22476">
            <w:pPr>
              <w:pStyle w:val="naisf"/>
              <w:spacing w:before="0" w:after="0"/>
              <w:ind w:firstLine="0"/>
              <w:jc w:val="left"/>
              <w:rPr>
                <w:sz w:val="28"/>
                <w:szCs w:val="28"/>
              </w:rPr>
            </w:pPr>
            <w:r w:rsidRPr="00B23E16">
              <w:rPr>
                <w:sz w:val="28"/>
                <w:szCs w:val="28"/>
              </w:rPr>
              <w:t>Jaunu institūciju likvidācija.</w:t>
            </w:r>
          </w:p>
        </w:tc>
        <w:tc>
          <w:tcPr>
            <w:tcW w:w="2841" w:type="pct"/>
            <w:tcBorders>
              <w:top w:val="single" w:sz="4" w:space="0" w:color="auto"/>
              <w:left w:val="single" w:sz="4" w:space="0" w:color="auto"/>
              <w:bottom w:val="single" w:sz="4" w:space="0" w:color="auto"/>
              <w:right w:val="single" w:sz="4" w:space="0" w:color="auto"/>
            </w:tcBorders>
            <w:hideMark/>
          </w:tcPr>
          <w:p w14:paraId="5D3E7F76" w14:textId="77777777" w:rsidR="00B22476" w:rsidRPr="00B23E16" w:rsidRDefault="00B22476">
            <w:pPr>
              <w:pStyle w:val="naisnod"/>
              <w:spacing w:before="0" w:after="0"/>
              <w:jc w:val="both"/>
              <w:rPr>
                <w:b w:val="0"/>
                <w:sz w:val="28"/>
                <w:szCs w:val="28"/>
              </w:rPr>
            </w:pPr>
            <w:r w:rsidRPr="00B23E16">
              <w:rPr>
                <w:b w:val="0"/>
                <w:sz w:val="28"/>
                <w:szCs w:val="28"/>
              </w:rPr>
              <w:t>Saistībā ar projekta izpildi nav plānots mainīt esošo pārvaldes institucionālo struktūru.</w:t>
            </w:r>
          </w:p>
        </w:tc>
      </w:tr>
      <w:tr w:rsidR="00B22476" w:rsidRPr="00B23E16" w14:paraId="0E03772F" w14:textId="77777777" w:rsidTr="00B22476">
        <w:tc>
          <w:tcPr>
            <w:tcW w:w="2159" w:type="pct"/>
            <w:tcBorders>
              <w:top w:val="single" w:sz="4" w:space="0" w:color="auto"/>
              <w:left w:val="single" w:sz="4" w:space="0" w:color="auto"/>
              <w:bottom w:val="single" w:sz="4" w:space="0" w:color="auto"/>
              <w:right w:val="single" w:sz="4" w:space="0" w:color="auto"/>
            </w:tcBorders>
            <w:hideMark/>
          </w:tcPr>
          <w:p w14:paraId="40F95066" w14:textId="77777777" w:rsidR="00B22476" w:rsidRPr="00B23E16" w:rsidRDefault="00B22476">
            <w:pPr>
              <w:pStyle w:val="naisf"/>
              <w:spacing w:before="0" w:after="0"/>
              <w:ind w:firstLine="0"/>
              <w:jc w:val="left"/>
              <w:rPr>
                <w:sz w:val="28"/>
                <w:szCs w:val="28"/>
              </w:rPr>
            </w:pPr>
            <w:r w:rsidRPr="00B23E16">
              <w:rPr>
                <w:sz w:val="28"/>
                <w:szCs w:val="28"/>
              </w:rPr>
              <w:t>Projekta izpildes ietekme uz pārvaldes institucionālo struktūru.</w:t>
            </w:r>
          </w:p>
          <w:p w14:paraId="378E409B" w14:textId="77777777" w:rsidR="00B22476" w:rsidRPr="00B23E16" w:rsidRDefault="00B22476">
            <w:pPr>
              <w:pStyle w:val="naisf"/>
              <w:spacing w:before="0" w:after="0"/>
              <w:ind w:firstLine="0"/>
              <w:jc w:val="left"/>
              <w:rPr>
                <w:sz w:val="28"/>
                <w:szCs w:val="28"/>
              </w:rPr>
            </w:pPr>
            <w:r w:rsidRPr="00B23E16">
              <w:rPr>
                <w:sz w:val="28"/>
                <w:szCs w:val="28"/>
              </w:rPr>
              <w:t>Esošu institūciju reorganizācija.</w:t>
            </w:r>
          </w:p>
        </w:tc>
        <w:tc>
          <w:tcPr>
            <w:tcW w:w="2841" w:type="pct"/>
            <w:tcBorders>
              <w:top w:val="single" w:sz="4" w:space="0" w:color="auto"/>
              <w:left w:val="single" w:sz="4" w:space="0" w:color="auto"/>
              <w:bottom w:val="single" w:sz="4" w:space="0" w:color="auto"/>
              <w:right w:val="single" w:sz="4" w:space="0" w:color="auto"/>
            </w:tcBorders>
            <w:hideMark/>
          </w:tcPr>
          <w:p w14:paraId="67515532" w14:textId="77777777" w:rsidR="00B22476" w:rsidRPr="00B23E16" w:rsidRDefault="00B22476">
            <w:pPr>
              <w:pStyle w:val="naisnod"/>
              <w:spacing w:before="0" w:after="0"/>
              <w:jc w:val="both"/>
              <w:rPr>
                <w:b w:val="0"/>
                <w:i/>
                <w:sz w:val="28"/>
                <w:szCs w:val="28"/>
              </w:rPr>
            </w:pPr>
            <w:r w:rsidRPr="00B23E16">
              <w:rPr>
                <w:b w:val="0"/>
                <w:sz w:val="28"/>
                <w:szCs w:val="28"/>
              </w:rPr>
              <w:t>Saistībā ar projekta izpildi nav plānots mainīt esošo pārvaldes institucionālo struktūru.</w:t>
            </w:r>
          </w:p>
        </w:tc>
      </w:tr>
      <w:tr w:rsidR="00B22476" w:rsidRPr="00B23E16" w14:paraId="1203A21F" w14:textId="77777777" w:rsidTr="00B22476">
        <w:tc>
          <w:tcPr>
            <w:tcW w:w="2159" w:type="pct"/>
            <w:tcBorders>
              <w:top w:val="single" w:sz="4" w:space="0" w:color="auto"/>
              <w:left w:val="single" w:sz="4" w:space="0" w:color="auto"/>
              <w:bottom w:val="single" w:sz="4" w:space="0" w:color="auto"/>
              <w:right w:val="single" w:sz="4" w:space="0" w:color="auto"/>
            </w:tcBorders>
            <w:vAlign w:val="center"/>
            <w:hideMark/>
          </w:tcPr>
          <w:p w14:paraId="35FFF32F" w14:textId="77777777" w:rsidR="00B22476" w:rsidRPr="00B23E16" w:rsidRDefault="00B22476">
            <w:pPr>
              <w:pStyle w:val="naiskr"/>
              <w:spacing w:before="0" w:after="0"/>
              <w:rPr>
                <w:sz w:val="28"/>
                <w:szCs w:val="28"/>
              </w:rPr>
            </w:pPr>
            <w:r w:rsidRPr="00B23E16">
              <w:rPr>
                <w:sz w:val="28"/>
                <w:szCs w:val="28"/>
              </w:rPr>
              <w:t>Cita informācija.</w:t>
            </w:r>
          </w:p>
        </w:tc>
        <w:tc>
          <w:tcPr>
            <w:tcW w:w="2841" w:type="pct"/>
            <w:tcBorders>
              <w:top w:val="single" w:sz="4" w:space="0" w:color="auto"/>
              <w:left w:val="single" w:sz="4" w:space="0" w:color="auto"/>
              <w:bottom w:val="single" w:sz="4" w:space="0" w:color="auto"/>
              <w:right w:val="single" w:sz="4" w:space="0" w:color="auto"/>
            </w:tcBorders>
            <w:hideMark/>
          </w:tcPr>
          <w:p w14:paraId="372112E3" w14:textId="77777777" w:rsidR="00B22476" w:rsidRPr="00B23E16" w:rsidRDefault="00B22476">
            <w:pPr>
              <w:pStyle w:val="naiskr"/>
              <w:spacing w:before="0" w:after="0"/>
              <w:jc w:val="both"/>
              <w:rPr>
                <w:sz w:val="28"/>
                <w:szCs w:val="28"/>
              </w:rPr>
            </w:pPr>
            <w:r w:rsidRPr="00B23E16">
              <w:rPr>
                <w:sz w:val="28"/>
                <w:szCs w:val="28"/>
              </w:rPr>
              <w:t>Nav</w:t>
            </w:r>
          </w:p>
        </w:tc>
      </w:tr>
    </w:tbl>
    <w:p w14:paraId="306F4373" w14:textId="77777777" w:rsidR="005E7838" w:rsidRPr="00B23E16" w:rsidRDefault="005E7838" w:rsidP="002F4D25">
      <w:pPr>
        <w:spacing w:after="200" w:line="276" w:lineRule="auto"/>
        <w:rPr>
          <w:sz w:val="28"/>
          <w:szCs w:val="28"/>
          <w:lang w:eastAsia="lv-LV"/>
        </w:rPr>
      </w:pPr>
    </w:p>
    <w:p w14:paraId="377B517E" w14:textId="77777777" w:rsidR="00AB2A5C" w:rsidRPr="00B23E16" w:rsidRDefault="00AB2A5C" w:rsidP="002F4D25">
      <w:pPr>
        <w:spacing w:after="200" w:line="276" w:lineRule="auto"/>
        <w:rPr>
          <w:sz w:val="28"/>
          <w:szCs w:val="28"/>
          <w:lang w:eastAsia="lv-LV"/>
        </w:rPr>
      </w:pPr>
      <w:r w:rsidRPr="00B23E16">
        <w:rPr>
          <w:sz w:val="28"/>
          <w:szCs w:val="28"/>
          <w:lang w:eastAsia="lv-LV"/>
        </w:rPr>
        <w:t>Anotācijas</w:t>
      </w:r>
      <w:r w:rsidR="005E7838" w:rsidRPr="00B23E16">
        <w:rPr>
          <w:sz w:val="28"/>
          <w:szCs w:val="28"/>
          <w:lang w:eastAsia="lv-LV"/>
        </w:rPr>
        <w:t xml:space="preserve"> </w:t>
      </w:r>
      <w:r w:rsidR="00D91823" w:rsidRPr="00B23E16">
        <w:rPr>
          <w:sz w:val="28"/>
          <w:szCs w:val="28"/>
          <w:lang w:eastAsia="lv-LV"/>
        </w:rPr>
        <w:t>III, IV un</w:t>
      </w:r>
      <w:r w:rsidRPr="00B23E16">
        <w:rPr>
          <w:sz w:val="28"/>
          <w:szCs w:val="28"/>
          <w:lang w:eastAsia="lv-LV"/>
        </w:rPr>
        <w:t xml:space="preserve"> V</w:t>
      </w:r>
      <w:r w:rsidR="005E7838" w:rsidRPr="00B23E16">
        <w:rPr>
          <w:sz w:val="28"/>
          <w:szCs w:val="28"/>
          <w:lang w:eastAsia="lv-LV"/>
        </w:rPr>
        <w:t xml:space="preserve"> </w:t>
      </w:r>
      <w:r w:rsidRPr="00B23E16">
        <w:rPr>
          <w:sz w:val="28"/>
          <w:szCs w:val="28"/>
          <w:lang w:eastAsia="lv-LV"/>
        </w:rPr>
        <w:t xml:space="preserve">sadaļa </w:t>
      </w:r>
      <w:r w:rsidR="005E7838" w:rsidRPr="00B23E16">
        <w:rPr>
          <w:sz w:val="28"/>
          <w:szCs w:val="28"/>
          <w:lang w:eastAsia="lv-LV"/>
        </w:rPr>
        <w:t xml:space="preserve">- </w:t>
      </w:r>
      <w:r w:rsidRPr="00B23E16">
        <w:rPr>
          <w:sz w:val="28"/>
          <w:szCs w:val="28"/>
          <w:lang w:eastAsia="lv-LV"/>
        </w:rPr>
        <w:t xml:space="preserve">projekts šīs jomas neskar. </w:t>
      </w:r>
    </w:p>
    <w:p w14:paraId="353DBE82" w14:textId="77777777" w:rsidR="009633A7" w:rsidRPr="00B23E16" w:rsidRDefault="009633A7" w:rsidP="00AB2A5C">
      <w:pPr>
        <w:rPr>
          <w:vanish/>
          <w:sz w:val="28"/>
          <w:szCs w:val="28"/>
          <w:lang w:eastAsia="lv-LV"/>
        </w:rPr>
      </w:pPr>
    </w:p>
    <w:p w14:paraId="1CC26149" w14:textId="77777777" w:rsidR="00C20152" w:rsidRPr="00B23E16" w:rsidRDefault="00C20152" w:rsidP="00C20152">
      <w:pPr>
        <w:jc w:val="both"/>
        <w:rPr>
          <w:sz w:val="28"/>
          <w:szCs w:val="28"/>
          <w:lang w:val="de-DE"/>
        </w:rPr>
      </w:pPr>
    </w:p>
    <w:p w14:paraId="681B021D" w14:textId="77777777" w:rsidR="00AB2A5C" w:rsidRPr="00B23E16" w:rsidRDefault="00AB2A5C" w:rsidP="00AB2A5C">
      <w:pPr>
        <w:ind w:firstLine="720"/>
        <w:jc w:val="both"/>
        <w:rPr>
          <w:sz w:val="28"/>
          <w:szCs w:val="28"/>
          <w:lang w:val="de-DE"/>
        </w:rPr>
      </w:pPr>
      <w:r w:rsidRPr="00B23E16">
        <w:rPr>
          <w:sz w:val="28"/>
          <w:szCs w:val="28"/>
          <w:lang w:val="de-DE"/>
        </w:rPr>
        <w:t>Iekšlietu ministrs</w:t>
      </w:r>
      <w:r w:rsidRPr="00B23E16">
        <w:rPr>
          <w:sz w:val="28"/>
          <w:szCs w:val="28"/>
          <w:lang w:val="de-DE"/>
        </w:rPr>
        <w:tab/>
      </w:r>
      <w:r w:rsidRPr="00B23E16">
        <w:rPr>
          <w:sz w:val="28"/>
          <w:szCs w:val="28"/>
          <w:lang w:val="de-DE"/>
        </w:rPr>
        <w:tab/>
      </w:r>
      <w:r w:rsidRPr="00B23E16">
        <w:rPr>
          <w:sz w:val="28"/>
          <w:szCs w:val="28"/>
          <w:lang w:val="de-DE"/>
        </w:rPr>
        <w:tab/>
      </w:r>
      <w:r w:rsidRPr="00B23E16">
        <w:rPr>
          <w:sz w:val="28"/>
          <w:szCs w:val="28"/>
          <w:lang w:val="de-DE"/>
        </w:rPr>
        <w:tab/>
      </w:r>
      <w:r w:rsidRPr="00B23E16">
        <w:rPr>
          <w:sz w:val="28"/>
          <w:szCs w:val="28"/>
          <w:lang w:val="de-DE"/>
        </w:rPr>
        <w:tab/>
        <w:t>R. Kozlovskis</w:t>
      </w:r>
    </w:p>
    <w:p w14:paraId="6F2CEF25" w14:textId="77777777" w:rsidR="00AB2A5C" w:rsidRPr="00B23E16" w:rsidRDefault="00AB2A5C" w:rsidP="00AB2A5C">
      <w:pPr>
        <w:pStyle w:val="naisf"/>
        <w:rPr>
          <w:sz w:val="28"/>
          <w:szCs w:val="28"/>
        </w:rPr>
      </w:pPr>
      <w:r w:rsidRPr="00B23E16">
        <w:rPr>
          <w:sz w:val="28"/>
          <w:szCs w:val="28"/>
        </w:rPr>
        <w:tab/>
      </w:r>
    </w:p>
    <w:p w14:paraId="29DF4BC3" w14:textId="77777777" w:rsidR="004247D5" w:rsidRPr="00B23E16" w:rsidRDefault="004247D5" w:rsidP="00AB2A5C">
      <w:pPr>
        <w:pStyle w:val="naisf"/>
        <w:rPr>
          <w:sz w:val="28"/>
          <w:szCs w:val="28"/>
        </w:rPr>
      </w:pPr>
    </w:p>
    <w:p w14:paraId="14D2903E" w14:textId="7E71DDE7" w:rsidR="00E45FF2" w:rsidRDefault="00AB2A5C" w:rsidP="00577026">
      <w:pPr>
        <w:pStyle w:val="naisf"/>
        <w:ind w:left="720" w:firstLine="0"/>
        <w:rPr>
          <w:sz w:val="28"/>
          <w:szCs w:val="28"/>
        </w:rPr>
      </w:pPr>
      <w:r w:rsidRPr="00B23E16">
        <w:rPr>
          <w:sz w:val="28"/>
          <w:szCs w:val="28"/>
        </w:rPr>
        <w:t>Vīza: valsts sekretāre</w:t>
      </w:r>
      <w:r w:rsidR="00FD2BAF">
        <w:rPr>
          <w:sz w:val="28"/>
          <w:szCs w:val="28"/>
        </w:rPr>
        <w:tab/>
      </w:r>
      <w:r w:rsidR="00FD2BAF">
        <w:rPr>
          <w:sz w:val="28"/>
          <w:szCs w:val="28"/>
        </w:rPr>
        <w:tab/>
      </w:r>
      <w:r w:rsidR="00FD2BAF">
        <w:rPr>
          <w:sz w:val="28"/>
          <w:szCs w:val="28"/>
        </w:rPr>
        <w:tab/>
      </w:r>
      <w:r w:rsidR="00FD2BAF">
        <w:rPr>
          <w:sz w:val="28"/>
          <w:szCs w:val="28"/>
        </w:rPr>
        <w:tab/>
        <w:t>I.Pētersone - Godmane</w:t>
      </w:r>
      <w:bookmarkStart w:id="0" w:name="_GoBack"/>
      <w:bookmarkEnd w:id="0"/>
    </w:p>
    <w:p w14:paraId="766A5246" w14:textId="3C5768A5" w:rsidR="005B6AAA" w:rsidRPr="00B23E16" w:rsidRDefault="00AB2A5C" w:rsidP="00577026">
      <w:pPr>
        <w:pStyle w:val="naisf"/>
        <w:ind w:left="720" w:firstLine="0"/>
        <w:rPr>
          <w:sz w:val="28"/>
          <w:szCs w:val="28"/>
        </w:rPr>
      </w:pPr>
      <w:r w:rsidRPr="00B23E16">
        <w:rPr>
          <w:sz w:val="28"/>
          <w:szCs w:val="28"/>
        </w:rPr>
        <w:tab/>
      </w:r>
      <w:r w:rsidRPr="00B23E16">
        <w:rPr>
          <w:sz w:val="28"/>
          <w:szCs w:val="28"/>
        </w:rPr>
        <w:tab/>
      </w:r>
    </w:p>
    <w:p w14:paraId="67E350D9" w14:textId="77777777" w:rsidR="000F2BFE" w:rsidRPr="00B23E16" w:rsidRDefault="000F2BFE" w:rsidP="00577026">
      <w:pPr>
        <w:pStyle w:val="naisf"/>
        <w:ind w:left="720" w:firstLine="0"/>
        <w:rPr>
          <w:sz w:val="28"/>
          <w:szCs w:val="28"/>
        </w:rPr>
      </w:pPr>
    </w:p>
    <w:p w14:paraId="2A2FA2DC" w14:textId="77777777" w:rsidR="001E36EA" w:rsidRPr="00B23E16" w:rsidRDefault="001E36EA" w:rsidP="00577026">
      <w:pPr>
        <w:pStyle w:val="naisf"/>
        <w:ind w:left="720" w:firstLine="0"/>
        <w:rPr>
          <w:sz w:val="28"/>
          <w:szCs w:val="28"/>
        </w:rPr>
      </w:pPr>
    </w:p>
    <w:p w14:paraId="39897389" w14:textId="77777777" w:rsidR="00B23E16" w:rsidRPr="00B23E16" w:rsidRDefault="00B23E16" w:rsidP="00577026">
      <w:pPr>
        <w:pStyle w:val="naisf"/>
        <w:ind w:left="720" w:firstLine="0"/>
        <w:rPr>
          <w:sz w:val="28"/>
          <w:szCs w:val="28"/>
        </w:rPr>
      </w:pPr>
    </w:p>
    <w:p w14:paraId="692219EC" w14:textId="77777777" w:rsidR="00B23E16" w:rsidRPr="00B23E16" w:rsidRDefault="00B23E16" w:rsidP="00577026">
      <w:pPr>
        <w:pStyle w:val="naisf"/>
        <w:ind w:left="720" w:firstLine="0"/>
        <w:rPr>
          <w:sz w:val="28"/>
          <w:szCs w:val="28"/>
        </w:rPr>
      </w:pPr>
    </w:p>
    <w:p w14:paraId="5C4953B1" w14:textId="77777777" w:rsidR="00B23E16" w:rsidRPr="00B23E16" w:rsidRDefault="00B23E16" w:rsidP="00577026">
      <w:pPr>
        <w:pStyle w:val="naisf"/>
        <w:ind w:left="720" w:firstLine="0"/>
        <w:rPr>
          <w:sz w:val="28"/>
          <w:szCs w:val="28"/>
        </w:rPr>
      </w:pPr>
    </w:p>
    <w:p w14:paraId="041C88CB" w14:textId="77777777" w:rsidR="00B23E16" w:rsidRPr="00B23E16" w:rsidRDefault="00B23E16" w:rsidP="00577026">
      <w:pPr>
        <w:pStyle w:val="naisf"/>
        <w:ind w:left="720" w:firstLine="0"/>
        <w:rPr>
          <w:sz w:val="28"/>
          <w:szCs w:val="28"/>
        </w:rPr>
      </w:pPr>
    </w:p>
    <w:p w14:paraId="55B87EE7" w14:textId="77777777" w:rsidR="00B23E16" w:rsidRDefault="00B23E16" w:rsidP="00577026">
      <w:pPr>
        <w:pStyle w:val="naisf"/>
        <w:ind w:left="720" w:firstLine="0"/>
        <w:rPr>
          <w:sz w:val="28"/>
          <w:szCs w:val="28"/>
        </w:rPr>
      </w:pPr>
    </w:p>
    <w:p w14:paraId="41E6F89B" w14:textId="77777777" w:rsidR="00124CF4" w:rsidRDefault="00124CF4" w:rsidP="00577026">
      <w:pPr>
        <w:pStyle w:val="naisf"/>
        <w:ind w:left="720" w:firstLine="0"/>
        <w:rPr>
          <w:sz w:val="28"/>
          <w:szCs w:val="28"/>
        </w:rPr>
      </w:pPr>
    </w:p>
    <w:p w14:paraId="54DC30A4" w14:textId="77777777" w:rsidR="00124CF4" w:rsidRDefault="00124CF4" w:rsidP="00577026">
      <w:pPr>
        <w:pStyle w:val="naisf"/>
        <w:ind w:left="720" w:firstLine="0"/>
        <w:rPr>
          <w:sz w:val="28"/>
          <w:szCs w:val="28"/>
        </w:rPr>
      </w:pPr>
    </w:p>
    <w:p w14:paraId="1E42F7B8" w14:textId="77777777" w:rsidR="00124CF4" w:rsidRDefault="00124CF4" w:rsidP="00577026">
      <w:pPr>
        <w:pStyle w:val="naisf"/>
        <w:ind w:left="720" w:firstLine="0"/>
        <w:rPr>
          <w:sz w:val="28"/>
          <w:szCs w:val="28"/>
        </w:rPr>
      </w:pPr>
    </w:p>
    <w:p w14:paraId="0A261627" w14:textId="77777777" w:rsidR="00124CF4" w:rsidRDefault="00124CF4" w:rsidP="00577026">
      <w:pPr>
        <w:pStyle w:val="naisf"/>
        <w:ind w:left="720" w:firstLine="0"/>
        <w:rPr>
          <w:sz w:val="28"/>
          <w:szCs w:val="28"/>
        </w:rPr>
      </w:pPr>
    </w:p>
    <w:p w14:paraId="722C9481" w14:textId="77777777" w:rsidR="00124CF4" w:rsidRDefault="00124CF4" w:rsidP="00577026">
      <w:pPr>
        <w:pStyle w:val="naisf"/>
        <w:ind w:left="720" w:firstLine="0"/>
        <w:rPr>
          <w:sz w:val="28"/>
          <w:szCs w:val="28"/>
        </w:rPr>
      </w:pPr>
    </w:p>
    <w:p w14:paraId="334A1DDD" w14:textId="77777777" w:rsidR="00124CF4" w:rsidRDefault="00124CF4" w:rsidP="00577026">
      <w:pPr>
        <w:pStyle w:val="naisf"/>
        <w:ind w:left="720" w:firstLine="0"/>
        <w:rPr>
          <w:sz w:val="28"/>
          <w:szCs w:val="28"/>
        </w:rPr>
      </w:pPr>
    </w:p>
    <w:p w14:paraId="3D686AA5" w14:textId="77777777" w:rsidR="00124CF4" w:rsidRDefault="00124CF4" w:rsidP="00577026">
      <w:pPr>
        <w:pStyle w:val="naisf"/>
        <w:ind w:left="720" w:firstLine="0"/>
        <w:rPr>
          <w:sz w:val="28"/>
          <w:szCs w:val="28"/>
        </w:rPr>
      </w:pPr>
    </w:p>
    <w:p w14:paraId="69D02118" w14:textId="77777777" w:rsidR="00124CF4" w:rsidRDefault="00124CF4" w:rsidP="00577026">
      <w:pPr>
        <w:pStyle w:val="naisf"/>
        <w:ind w:left="720" w:firstLine="0"/>
        <w:rPr>
          <w:sz w:val="28"/>
          <w:szCs w:val="28"/>
        </w:rPr>
      </w:pPr>
    </w:p>
    <w:p w14:paraId="709277CC" w14:textId="77777777" w:rsidR="00124CF4" w:rsidRDefault="00124CF4" w:rsidP="00577026">
      <w:pPr>
        <w:pStyle w:val="naisf"/>
        <w:ind w:left="720" w:firstLine="0"/>
        <w:rPr>
          <w:sz w:val="28"/>
          <w:szCs w:val="28"/>
        </w:rPr>
      </w:pPr>
    </w:p>
    <w:p w14:paraId="7486BE3E" w14:textId="77777777" w:rsidR="008C24AF" w:rsidRDefault="008C24AF" w:rsidP="00577026">
      <w:pPr>
        <w:pStyle w:val="naisf"/>
        <w:ind w:left="720" w:firstLine="0"/>
        <w:rPr>
          <w:sz w:val="28"/>
          <w:szCs w:val="28"/>
        </w:rPr>
      </w:pPr>
    </w:p>
    <w:p w14:paraId="703D52D2" w14:textId="77777777" w:rsidR="008C24AF" w:rsidRDefault="008C24AF" w:rsidP="00577026">
      <w:pPr>
        <w:pStyle w:val="naisf"/>
        <w:ind w:left="720" w:firstLine="0"/>
        <w:rPr>
          <w:sz w:val="28"/>
          <w:szCs w:val="28"/>
        </w:rPr>
      </w:pPr>
    </w:p>
    <w:p w14:paraId="7B9F3DB1" w14:textId="77777777" w:rsidR="008C24AF" w:rsidRDefault="008C24AF" w:rsidP="00577026">
      <w:pPr>
        <w:pStyle w:val="naisf"/>
        <w:ind w:left="720" w:firstLine="0"/>
        <w:rPr>
          <w:sz w:val="28"/>
          <w:szCs w:val="28"/>
        </w:rPr>
      </w:pPr>
    </w:p>
    <w:p w14:paraId="270EB5CD" w14:textId="77777777" w:rsidR="008C24AF" w:rsidRDefault="008C24AF" w:rsidP="00577026">
      <w:pPr>
        <w:pStyle w:val="naisf"/>
        <w:ind w:left="720" w:firstLine="0"/>
        <w:rPr>
          <w:sz w:val="28"/>
          <w:szCs w:val="28"/>
        </w:rPr>
      </w:pPr>
    </w:p>
    <w:p w14:paraId="7A612EBE" w14:textId="77777777" w:rsidR="008C24AF" w:rsidRDefault="008C24AF" w:rsidP="00577026">
      <w:pPr>
        <w:pStyle w:val="naisf"/>
        <w:ind w:left="720" w:firstLine="0"/>
        <w:rPr>
          <w:sz w:val="28"/>
          <w:szCs w:val="28"/>
        </w:rPr>
      </w:pPr>
    </w:p>
    <w:p w14:paraId="7D4B34D8" w14:textId="77777777" w:rsidR="008C24AF" w:rsidRDefault="008C24AF" w:rsidP="00577026">
      <w:pPr>
        <w:pStyle w:val="naisf"/>
        <w:ind w:left="720" w:firstLine="0"/>
        <w:rPr>
          <w:sz w:val="28"/>
          <w:szCs w:val="28"/>
        </w:rPr>
      </w:pPr>
    </w:p>
    <w:p w14:paraId="49372C31" w14:textId="77777777" w:rsidR="008C24AF" w:rsidRPr="00B23E16" w:rsidRDefault="008C24AF" w:rsidP="00577026">
      <w:pPr>
        <w:pStyle w:val="naisf"/>
        <w:ind w:left="720" w:firstLine="0"/>
        <w:rPr>
          <w:sz w:val="28"/>
          <w:szCs w:val="28"/>
        </w:rPr>
      </w:pPr>
    </w:p>
    <w:p w14:paraId="0087AB04" w14:textId="77777777" w:rsidR="001E36EA" w:rsidRPr="00B23E16" w:rsidRDefault="001E36EA" w:rsidP="00577026">
      <w:pPr>
        <w:pStyle w:val="naisf"/>
        <w:ind w:left="720" w:firstLine="0"/>
        <w:rPr>
          <w:sz w:val="28"/>
          <w:szCs w:val="28"/>
        </w:rPr>
      </w:pPr>
    </w:p>
    <w:p w14:paraId="6FB86ACD" w14:textId="4842B357" w:rsidR="00C20152" w:rsidRPr="00B23E16" w:rsidRDefault="00124CF4" w:rsidP="00C20152">
      <w:pPr>
        <w:rPr>
          <w:sz w:val="20"/>
          <w:szCs w:val="20"/>
        </w:rPr>
      </w:pPr>
      <w:r>
        <w:rPr>
          <w:sz w:val="20"/>
          <w:szCs w:val="20"/>
        </w:rPr>
        <w:t>30.06.15</w:t>
      </w:r>
      <w:r w:rsidR="00F27404" w:rsidRPr="00B23E16">
        <w:rPr>
          <w:sz w:val="20"/>
          <w:szCs w:val="20"/>
        </w:rPr>
        <w:t>.</w:t>
      </w:r>
      <w:r w:rsidR="002C44CA" w:rsidRPr="00B23E16">
        <w:rPr>
          <w:sz w:val="20"/>
          <w:szCs w:val="20"/>
        </w:rPr>
        <w:t xml:space="preserve"> 13:25</w:t>
      </w:r>
    </w:p>
    <w:p w14:paraId="5F29FC00" w14:textId="1DC62AFD" w:rsidR="00124CF4" w:rsidRDefault="004A1F3E" w:rsidP="00C20152">
      <w:pPr>
        <w:rPr>
          <w:sz w:val="20"/>
          <w:szCs w:val="20"/>
        </w:rPr>
      </w:pPr>
      <w:r>
        <w:rPr>
          <w:sz w:val="20"/>
          <w:szCs w:val="20"/>
        </w:rPr>
        <w:t>1616</w:t>
      </w:r>
    </w:p>
    <w:p w14:paraId="6BC1D7FE" w14:textId="68B57C2A" w:rsidR="00C20152" w:rsidRPr="00B23E16" w:rsidRDefault="00D91823" w:rsidP="00C20152">
      <w:pPr>
        <w:rPr>
          <w:sz w:val="20"/>
          <w:szCs w:val="20"/>
        </w:rPr>
      </w:pPr>
      <w:r w:rsidRPr="00B23E16">
        <w:rPr>
          <w:sz w:val="20"/>
          <w:szCs w:val="20"/>
        </w:rPr>
        <w:t>I.</w:t>
      </w:r>
      <w:r w:rsidR="00D922A3" w:rsidRPr="00B23E16">
        <w:rPr>
          <w:sz w:val="20"/>
          <w:szCs w:val="20"/>
        </w:rPr>
        <w:t xml:space="preserve">Gorbačova </w:t>
      </w:r>
      <w:proofErr w:type="spellStart"/>
      <w:r w:rsidR="00D922A3" w:rsidRPr="00B23E16">
        <w:rPr>
          <w:sz w:val="20"/>
          <w:szCs w:val="20"/>
        </w:rPr>
        <w:t>Ščogole</w:t>
      </w:r>
      <w:proofErr w:type="spellEnd"/>
    </w:p>
    <w:p w14:paraId="0688202A" w14:textId="77777777" w:rsidR="002F4D25" w:rsidRPr="00B23E16" w:rsidRDefault="00C20152" w:rsidP="00AB2A5C">
      <w:pPr>
        <w:rPr>
          <w:iCs/>
          <w:sz w:val="20"/>
          <w:szCs w:val="20"/>
        </w:rPr>
      </w:pPr>
      <w:r w:rsidRPr="00B23E16">
        <w:rPr>
          <w:sz w:val="20"/>
          <w:szCs w:val="20"/>
        </w:rPr>
        <w:t>6721</w:t>
      </w:r>
      <w:r w:rsidR="00D91823" w:rsidRPr="00B23E16">
        <w:rPr>
          <w:sz w:val="20"/>
          <w:szCs w:val="20"/>
        </w:rPr>
        <w:t>9</w:t>
      </w:r>
      <w:r w:rsidR="00164C86" w:rsidRPr="00B23E16">
        <w:rPr>
          <w:sz w:val="20"/>
          <w:szCs w:val="20"/>
        </w:rPr>
        <w:t>018</w:t>
      </w:r>
      <w:r w:rsidRPr="00B23E16">
        <w:rPr>
          <w:sz w:val="20"/>
          <w:szCs w:val="20"/>
        </w:rPr>
        <w:t xml:space="preserve">, </w:t>
      </w:r>
      <w:hyperlink r:id="rId8" w:history="1">
        <w:r w:rsidR="00164C86" w:rsidRPr="00B23E16">
          <w:rPr>
            <w:rStyle w:val="Hyperlink"/>
            <w:color w:val="auto"/>
            <w:sz w:val="20"/>
            <w:szCs w:val="20"/>
          </w:rPr>
          <w:t>inguna.gorbacova-scogole@iem.gov.lv</w:t>
        </w:r>
      </w:hyperlink>
    </w:p>
    <w:sectPr w:rsidR="002F4D25" w:rsidRPr="00B23E16" w:rsidSect="00C4624B">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90B678" w14:textId="77777777" w:rsidR="0070282A" w:rsidRDefault="0070282A">
      <w:r>
        <w:separator/>
      </w:r>
    </w:p>
  </w:endnote>
  <w:endnote w:type="continuationSeparator" w:id="0">
    <w:p w14:paraId="2687CD90" w14:textId="77777777" w:rsidR="0070282A" w:rsidRDefault="007028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B08C5E" w14:textId="77777777" w:rsidR="00ED0581" w:rsidRDefault="00ED05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98F74C" w14:textId="39121AD9" w:rsidR="00E33D22" w:rsidRPr="002F4D25" w:rsidRDefault="00E33D22" w:rsidP="002F4D25">
    <w:pPr>
      <w:jc w:val="both"/>
      <w:rPr>
        <w:color w:val="000000"/>
        <w:sz w:val="20"/>
        <w:szCs w:val="20"/>
      </w:rPr>
    </w:pPr>
    <w:r w:rsidRPr="00A301A8">
      <w:rPr>
        <w:sz w:val="20"/>
        <w:szCs w:val="20"/>
      </w:rPr>
      <w:t>IEM</w:t>
    </w:r>
    <w:r>
      <w:rPr>
        <w:sz w:val="20"/>
        <w:szCs w:val="20"/>
      </w:rPr>
      <w:t>Anot</w:t>
    </w:r>
    <w:r w:rsidRPr="00A301A8">
      <w:rPr>
        <w:sz w:val="20"/>
        <w:szCs w:val="20"/>
      </w:rPr>
      <w:t>_</w:t>
    </w:r>
    <w:r w:rsidR="00124CF4">
      <w:rPr>
        <w:sz w:val="20"/>
        <w:szCs w:val="20"/>
      </w:rPr>
      <w:t>300615</w:t>
    </w:r>
    <w:r w:rsidR="00ED0581">
      <w:rPr>
        <w:sz w:val="20"/>
        <w:szCs w:val="20"/>
      </w:rPr>
      <w:t>.</w:t>
    </w:r>
    <w:r>
      <w:rPr>
        <w:sz w:val="20"/>
      </w:rPr>
      <w:t>doc</w:t>
    </w:r>
    <w:r w:rsidRPr="00A301A8">
      <w:rPr>
        <w:sz w:val="20"/>
        <w:szCs w:val="20"/>
      </w:rPr>
      <w:t>; Mini</w:t>
    </w:r>
    <w:r>
      <w:rPr>
        <w:sz w:val="20"/>
        <w:szCs w:val="20"/>
      </w:rPr>
      <w:t>stru kabineta noteikumu projekta</w:t>
    </w:r>
    <w:r w:rsidRPr="00A301A8">
      <w:rPr>
        <w:sz w:val="20"/>
        <w:szCs w:val="20"/>
      </w:rPr>
      <w:t xml:space="preserve"> </w:t>
    </w:r>
    <w:r>
      <w:rPr>
        <w:sz w:val="20"/>
      </w:rPr>
      <w:t>„</w:t>
    </w:r>
    <w:r w:rsidR="00F27404">
      <w:rPr>
        <w:sz w:val="20"/>
        <w:szCs w:val="20"/>
      </w:rPr>
      <w:t>Grozījumi</w:t>
    </w:r>
    <w:r w:rsidRPr="00A301A8">
      <w:rPr>
        <w:color w:val="000000"/>
        <w:sz w:val="20"/>
        <w:szCs w:val="20"/>
      </w:rPr>
      <w:t xml:space="preserve"> Ministru kabineta </w:t>
    </w:r>
    <w:proofErr w:type="gramStart"/>
    <w:r w:rsidRPr="00A301A8">
      <w:rPr>
        <w:sz w:val="20"/>
        <w:szCs w:val="20"/>
      </w:rPr>
      <w:t>20</w:t>
    </w:r>
    <w:r>
      <w:rPr>
        <w:sz w:val="20"/>
        <w:szCs w:val="20"/>
      </w:rPr>
      <w:t>08</w:t>
    </w:r>
    <w:r w:rsidRPr="00A301A8">
      <w:rPr>
        <w:sz w:val="20"/>
        <w:szCs w:val="20"/>
      </w:rPr>
      <w:t>.gada</w:t>
    </w:r>
    <w:proofErr w:type="gramEnd"/>
    <w:r w:rsidRPr="00A301A8">
      <w:rPr>
        <w:sz w:val="20"/>
        <w:szCs w:val="20"/>
      </w:rPr>
      <w:t xml:space="preserve"> </w:t>
    </w:r>
    <w:r>
      <w:rPr>
        <w:sz w:val="20"/>
        <w:szCs w:val="20"/>
      </w:rPr>
      <w:t xml:space="preserve">22.janvāra </w:t>
    </w:r>
    <w:r w:rsidRPr="002F4D25">
      <w:rPr>
        <w:color w:val="000000"/>
        <w:sz w:val="20"/>
        <w:szCs w:val="20"/>
      </w:rPr>
      <w:t>noteikumos Nr.</w:t>
    </w:r>
    <w:r>
      <w:rPr>
        <w:bCs/>
        <w:sz w:val="20"/>
        <w:szCs w:val="20"/>
      </w:rPr>
      <w:t>32 „Prostitūcijas ierobežošanas noteikumi””</w:t>
    </w:r>
    <w:r>
      <w:rPr>
        <w:sz w:val="20"/>
      </w:rPr>
      <w:t xml:space="preserve"> </w:t>
    </w:r>
    <w:r w:rsidRPr="002F4D25">
      <w:rPr>
        <w:sz w:val="20"/>
        <w:szCs w:val="20"/>
      </w:rPr>
      <w:t>sākotnējās ietekmes novērtējuma ziņojums (anotācija)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373083" w14:textId="77777777" w:rsidR="00124CF4" w:rsidRPr="002F4D25" w:rsidRDefault="00124CF4" w:rsidP="00124CF4">
    <w:pPr>
      <w:jc w:val="both"/>
      <w:rPr>
        <w:color w:val="000000"/>
        <w:sz w:val="20"/>
        <w:szCs w:val="20"/>
      </w:rPr>
    </w:pPr>
    <w:r w:rsidRPr="00A301A8">
      <w:rPr>
        <w:sz w:val="20"/>
        <w:szCs w:val="20"/>
      </w:rPr>
      <w:t>IEM</w:t>
    </w:r>
    <w:r>
      <w:rPr>
        <w:sz w:val="20"/>
        <w:szCs w:val="20"/>
      </w:rPr>
      <w:t>Anot</w:t>
    </w:r>
    <w:r w:rsidRPr="00A301A8">
      <w:rPr>
        <w:sz w:val="20"/>
        <w:szCs w:val="20"/>
      </w:rPr>
      <w:t>_</w:t>
    </w:r>
    <w:r>
      <w:rPr>
        <w:sz w:val="20"/>
        <w:szCs w:val="20"/>
      </w:rPr>
      <w:t>300615.</w:t>
    </w:r>
    <w:r>
      <w:rPr>
        <w:sz w:val="20"/>
      </w:rPr>
      <w:t>doc</w:t>
    </w:r>
    <w:r w:rsidRPr="00A301A8">
      <w:rPr>
        <w:sz w:val="20"/>
        <w:szCs w:val="20"/>
      </w:rPr>
      <w:t>; Mini</w:t>
    </w:r>
    <w:r>
      <w:rPr>
        <w:sz w:val="20"/>
        <w:szCs w:val="20"/>
      </w:rPr>
      <w:t>stru kabineta noteikumu projekta</w:t>
    </w:r>
    <w:r w:rsidRPr="00A301A8">
      <w:rPr>
        <w:sz w:val="20"/>
        <w:szCs w:val="20"/>
      </w:rPr>
      <w:t xml:space="preserve"> </w:t>
    </w:r>
    <w:r>
      <w:rPr>
        <w:sz w:val="20"/>
      </w:rPr>
      <w:t>„</w:t>
    </w:r>
    <w:r>
      <w:rPr>
        <w:sz w:val="20"/>
        <w:szCs w:val="20"/>
      </w:rPr>
      <w:t>Grozījumi</w:t>
    </w:r>
    <w:r w:rsidRPr="00A301A8">
      <w:rPr>
        <w:color w:val="000000"/>
        <w:sz w:val="20"/>
        <w:szCs w:val="20"/>
      </w:rPr>
      <w:t xml:space="preserve"> Ministru kabineta </w:t>
    </w:r>
    <w:proofErr w:type="gramStart"/>
    <w:r w:rsidRPr="00A301A8">
      <w:rPr>
        <w:sz w:val="20"/>
        <w:szCs w:val="20"/>
      </w:rPr>
      <w:t>20</w:t>
    </w:r>
    <w:r>
      <w:rPr>
        <w:sz w:val="20"/>
        <w:szCs w:val="20"/>
      </w:rPr>
      <w:t>08</w:t>
    </w:r>
    <w:r w:rsidRPr="00A301A8">
      <w:rPr>
        <w:sz w:val="20"/>
        <w:szCs w:val="20"/>
      </w:rPr>
      <w:t>.gada</w:t>
    </w:r>
    <w:proofErr w:type="gramEnd"/>
    <w:r w:rsidRPr="00A301A8">
      <w:rPr>
        <w:sz w:val="20"/>
        <w:szCs w:val="20"/>
      </w:rPr>
      <w:t xml:space="preserve"> </w:t>
    </w:r>
    <w:r>
      <w:rPr>
        <w:sz w:val="20"/>
        <w:szCs w:val="20"/>
      </w:rPr>
      <w:t xml:space="preserve">22.janvāra </w:t>
    </w:r>
    <w:r w:rsidRPr="002F4D25">
      <w:rPr>
        <w:color w:val="000000"/>
        <w:sz w:val="20"/>
        <w:szCs w:val="20"/>
      </w:rPr>
      <w:t>noteikumos Nr.</w:t>
    </w:r>
    <w:r>
      <w:rPr>
        <w:bCs/>
        <w:sz w:val="20"/>
        <w:szCs w:val="20"/>
      </w:rPr>
      <w:t>32 „Prostitūcijas ierobežošanas noteikumi””</w:t>
    </w:r>
    <w:r>
      <w:rPr>
        <w:sz w:val="20"/>
      </w:rPr>
      <w:t xml:space="preserve"> </w:t>
    </w:r>
    <w:r w:rsidRPr="002F4D25">
      <w:rPr>
        <w:sz w:val="20"/>
        <w:szCs w:val="20"/>
      </w:rPr>
      <w:t>sākotnējās ietekmes novērtējuma ziņojums (anotācija)</w:t>
    </w:r>
  </w:p>
  <w:p w14:paraId="6B8F468E" w14:textId="2C9FF999" w:rsidR="00E33D22" w:rsidRPr="00124CF4" w:rsidRDefault="00E33D22" w:rsidP="00124C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F7FA2B" w14:textId="77777777" w:rsidR="0070282A" w:rsidRDefault="0070282A">
      <w:r>
        <w:separator/>
      </w:r>
    </w:p>
  </w:footnote>
  <w:footnote w:type="continuationSeparator" w:id="0">
    <w:p w14:paraId="1EF15FD9" w14:textId="77777777" w:rsidR="0070282A" w:rsidRDefault="007028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D0B3AA" w14:textId="77777777" w:rsidR="00E33D22" w:rsidRDefault="00E33D22" w:rsidP="000A782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9894551" w14:textId="77777777" w:rsidR="00E33D22" w:rsidRDefault="00E33D2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992B0E" w14:textId="77777777" w:rsidR="00E33D22" w:rsidRDefault="00E33D22" w:rsidP="000A782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D2BAF">
      <w:rPr>
        <w:rStyle w:val="PageNumber"/>
        <w:noProof/>
      </w:rPr>
      <w:t>7</w:t>
    </w:r>
    <w:r>
      <w:rPr>
        <w:rStyle w:val="PageNumber"/>
      </w:rPr>
      <w:fldChar w:fldCharType="end"/>
    </w:r>
  </w:p>
  <w:p w14:paraId="74158F00" w14:textId="77777777" w:rsidR="00E33D22" w:rsidRDefault="00E33D2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075133" w14:textId="77777777" w:rsidR="00ED0581" w:rsidRDefault="00ED05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F41A05"/>
    <w:multiLevelType w:val="hybridMultilevel"/>
    <w:tmpl w:val="55561768"/>
    <w:lvl w:ilvl="0" w:tplc="6BF06132">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73"/>
  <w:mirrorMargin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A5C"/>
    <w:rsid w:val="00005B50"/>
    <w:rsid w:val="00013082"/>
    <w:rsid w:val="00074E5D"/>
    <w:rsid w:val="000934B5"/>
    <w:rsid w:val="000957D3"/>
    <w:rsid w:val="0009736F"/>
    <w:rsid w:val="000A782E"/>
    <w:rsid w:val="000B1C55"/>
    <w:rsid w:val="000B74DC"/>
    <w:rsid w:val="000C2522"/>
    <w:rsid w:val="000F2BFE"/>
    <w:rsid w:val="00101027"/>
    <w:rsid w:val="001025F7"/>
    <w:rsid w:val="00115B39"/>
    <w:rsid w:val="001232CC"/>
    <w:rsid w:val="00124CF4"/>
    <w:rsid w:val="0014468E"/>
    <w:rsid w:val="00147180"/>
    <w:rsid w:val="00164C86"/>
    <w:rsid w:val="00173FE1"/>
    <w:rsid w:val="001959C0"/>
    <w:rsid w:val="001B0588"/>
    <w:rsid w:val="001C4429"/>
    <w:rsid w:val="001E36EA"/>
    <w:rsid w:val="001F64D7"/>
    <w:rsid w:val="00260560"/>
    <w:rsid w:val="002631AF"/>
    <w:rsid w:val="00271CF8"/>
    <w:rsid w:val="0027451F"/>
    <w:rsid w:val="002915EB"/>
    <w:rsid w:val="002A2097"/>
    <w:rsid w:val="002A6D13"/>
    <w:rsid w:val="002B02B2"/>
    <w:rsid w:val="002B2CFD"/>
    <w:rsid w:val="002C1CB9"/>
    <w:rsid w:val="002C44CA"/>
    <w:rsid w:val="002D5D0D"/>
    <w:rsid w:val="002E1C7C"/>
    <w:rsid w:val="002F4D25"/>
    <w:rsid w:val="00312ECD"/>
    <w:rsid w:val="00322749"/>
    <w:rsid w:val="003317D4"/>
    <w:rsid w:val="003424C7"/>
    <w:rsid w:val="00353CA9"/>
    <w:rsid w:val="00367A42"/>
    <w:rsid w:val="003708CE"/>
    <w:rsid w:val="00377823"/>
    <w:rsid w:val="003E0D2F"/>
    <w:rsid w:val="003F2144"/>
    <w:rsid w:val="003F609C"/>
    <w:rsid w:val="00403C4D"/>
    <w:rsid w:val="00414EFE"/>
    <w:rsid w:val="00417402"/>
    <w:rsid w:val="004247D5"/>
    <w:rsid w:val="00425B85"/>
    <w:rsid w:val="004626DC"/>
    <w:rsid w:val="004A1F3E"/>
    <w:rsid w:val="004A6C69"/>
    <w:rsid w:val="004B39D8"/>
    <w:rsid w:val="004C7562"/>
    <w:rsid w:val="004D2DCF"/>
    <w:rsid w:val="004D6E37"/>
    <w:rsid w:val="004E70BE"/>
    <w:rsid w:val="00504F4E"/>
    <w:rsid w:val="00540D8A"/>
    <w:rsid w:val="00577026"/>
    <w:rsid w:val="005B6AAA"/>
    <w:rsid w:val="005B76D9"/>
    <w:rsid w:val="005C4F41"/>
    <w:rsid w:val="005E5CB5"/>
    <w:rsid w:val="005E7838"/>
    <w:rsid w:val="00620D6B"/>
    <w:rsid w:val="00621B11"/>
    <w:rsid w:val="00625A17"/>
    <w:rsid w:val="00650147"/>
    <w:rsid w:val="00656287"/>
    <w:rsid w:val="00656C75"/>
    <w:rsid w:val="0067702C"/>
    <w:rsid w:val="0068422A"/>
    <w:rsid w:val="0069600E"/>
    <w:rsid w:val="006A07F7"/>
    <w:rsid w:val="006B0A9A"/>
    <w:rsid w:val="006E3EEA"/>
    <w:rsid w:val="0070282A"/>
    <w:rsid w:val="00712A3F"/>
    <w:rsid w:val="0072343F"/>
    <w:rsid w:val="0076432A"/>
    <w:rsid w:val="00793A76"/>
    <w:rsid w:val="007A2456"/>
    <w:rsid w:val="007A30B9"/>
    <w:rsid w:val="007C608D"/>
    <w:rsid w:val="007C7001"/>
    <w:rsid w:val="007D122D"/>
    <w:rsid w:val="007D38BB"/>
    <w:rsid w:val="007D5DFB"/>
    <w:rsid w:val="007F2D90"/>
    <w:rsid w:val="008115CE"/>
    <w:rsid w:val="00823384"/>
    <w:rsid w:val="00826588"/>
    <w:rsid w:val="0083378A"/>
    <w:rsid w:val="008652EF"/>
    <w:rsid w:val="00892383"/>
    <w:rsid w:val="008A2257"/>
    <w:rsid w:val="008A411A"/>
    <w:rsid w:val="008C24AF"/>
    <w:rsid w:val="008C2682"/>
    <w:rsid w:val="008D1C86"/>
    <w:rsid w:val="008D4EC2"/>
    <w:rsid w:val="008D62E1"/>
    <w:rsid w:val="008D74AF"/>
    <w:rsid w:val="0091013D"/>
    <w:rsid w:val="009416DC"/>
    <w:rsid w:val="009441B7"/>
    <w:rsid w:val="00960E50"/>
    <w:rsid w:val="0096308F"/>
    <w:rsid w:val="009633A7"/>
    <w:rsid w:val="00973A38"/>
    <w:rsid w:val="00993D1A"/>
    <w:rsid w:val="0099451C"/>
    <w:rsid w:val="0099733B"/>
    <w:rsid w:val="009A3E8D"/>
    <w:rsid w:val="009B30D7"/>
    <w:rsid w:val="009C14E7"/>
    <w:rsid w:val="009C472C"/>
    <w:rsid w:val="009E069F"/>
    <w:rsid w:val="009E2055"/>
    <w:rsid w:val="009E3831"/>
    <w:rsid w:val="009E4D94"/>
    <w:rsid w:val="00A15CB5"/>
    <w:rsid w:val="00A34C25"/>
    <w:rsid w:val="00A40D87"/>
    <w:rsid w:val="00A727FD"/>
    <w:rsid w:val="00AB142A"/>
    <w:rsid w:val="00AB2A5C"/>
    <w:rsid w:val="00AD01B0"/>
    <w:rsid w:val="00AD25D4"/>
    <w:rsid w:val="00AE4171"/>
    <w:rsid w:val="00B2228E"/>
    <w:rsid w:val="00B22476"/>
    <w:rsid w:val="00B23E16"/>
    <w:rsid w:val="00B2551C"/>
    <w:rsid w:val="00B87866"/>
    <w:rsid w:val="00B925A2"/>
    <w:rsid w:val="00BA3321"/>
    <w:rsid w:val="00BB3BC1"/>
    <w:rsid w:val="00BB7BEF"/>
    <w:rsid w:val="00BE189B"/>
    <w:rsid w:val="00C00F8B"/>
    <w:rsid w:val="00C12488"/>
    <w:rsid w:val="00C14201"/>
    <w:rsid w:val="00C20152"/>
    <w:rsid w:val="00C4624B"/>
    <w:rsid w:val="00C51839"/>
    <w:rsid w:val="00C72683"/>
    <w:rsid w:val="00C74F46"/>
    <w:rsid w:val="00C75C2A"/>
    <w:rsid w:val="00C761A5"/>
    <w:rsid w:val="00C83FC0"/>
    <w:rsid w:val="00CA2B5B"/>
    <w:rsid w:val="00CA55CD"/>
    <w:rsid w:val="00CC4D29"/>
    <w:rsid w:val="00CD3225"/>
    <w:rsid w:val="00CD4A17"/>
    <w:rsid w:val="00CF7CD5"/>
    <w:rsid w:val="00D00CC7"/>
    <w:rsid w:val="00D1222A"/>
    <w:rsid w:val="00D17A21"/>
    <w:rsid w:val="00D22685"/>
    <w:rsid w:val="00D23102"/>
    <w:rsid w:val="00D32320"/>
    <w:rsid w:val="00D47C60"/>
    <w:rsid w:val="00D7728D"/>
    <w:rsid w:val="00D91823"/>
    <w:rsid w:val="00D922A3"/>
    <w:rsid w:val="00DD08FA"/>
    <w:rsid w:val="00DD18D1"/>
    <w:rsid w:val="00DD2234"/>
    <w:rsid w:val="00DD342C"/>
    <w:rsid w:val="00DE3D83"/>
    <w:rsid w:val="00E33D22"/>
    <w:rsid w:val="00E45FF2"/>
    <w:rsid w:val="00E51C79"/>
    <w:rsid w:val="00E52DD7"/>
    <w:rsid w:val="00E54BBB"/>
    <w:rsid w:val="00E55A06"/>
    <w:rsid w:val="00E56BD3"/>
    <w:rsid w:val="00E70992"/>
    <w:rsid w:val="00EC7A72"/>
    <w:rsid w:val="00ED0581"/>
    <w:rsid w:val="00ED4C36"/>
    <w:rsid w:val="00ED652F"/>
    <w:rsid w:val="00EE62AC"/>
    <w:rsid w:val="00EF1ED0"/>
    <w:rsid w:val="00EF7FD1"/>
    <w:rsid w:val="00F10B48"/>
    <w:rsid w:val="00F27404"/>
    <w:rsid w:val="00F319CB"/>
    <w:rsid w:val="00F33C3D"/>
    <w:rsid w:val="00F41764"/>
    <w:rsid w:val="00F457E6"/>
    <w:rsid w:val="00FD2BAF"/>
    <w:rsid w:val="00FE3772"/>
    <w:rsid w:val="00FF52BA"/>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BDCD43"/>
  <w15:docId w15:val="{640E595A-DC13-4825-94F5-214572C3E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609C"/>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qFormat/>
    <w:rsid w:val="0069600E"/>
    <w:pPr>
      <w:spacing w:before="100" w:beforeAutospacing="1" w:after="100" w:afterAutospacing="1"/>
      <w:outlineLvl w:val="2"/>
    </w:pPr>
    <w:rPr>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B2A5C"/>
    <w:pPr>
      <w:jc w:val="center"/>
    </w:pPr>
    <w:rPr>
      <w:b/>
      <w:bCs/>
      <w:sz w:val="28"/>
    </w:rPr>
  </w:style>
  <w:style w:type="character" w:customStyle="1" w:styleId="BodyTextChar">
    <w:name w:val="Body Text Char"/>
    <w:basedOn w:val="DefaultParagraphFont"/>
    <w:link w:val="BodyText"/>
    <w:rsid w:val="00AB2A5C"/>
    <w:rPr>
      <w:rFonts w:ascii="Times New Roman" w:eastAsia="Times New Roman" w:hAnsi="Times New Roman" w:cs="Times New Roman"/>
      <w:b/>
      <w:bCs/>
      <w:sz w:val="28"/>
      <w:szCs w:val="24"/>
    </w:rPr>
  </w:style>
  <w:style w:type="paragraph" w:customStyle="1" w:styleId="naisf">
    <w:name w:val="naisf"/>
    <w:basedOn w:val="Normal"/>
    <w:rsid w:val="00AB2A5C"/>
    <w:pPr>
      <w:spacing w:before="75" w:after="75"/>
      <w:ind w:firstLine="375"/>
      <w:jc w:val="both"/>
    </w:pPr>
    <w:rPr>
      <w:lang w:eastAsia="lv-LV"/>
    </w:rPr>
  </w:style>
  <w:style w:type="paragraph" w:customStyle="1" w:styleId="naisnod">
    <w:name w:val="naisnod"/>
    <w:basedOn w:val="Normal"/>
    <w:rsid w:val="00AB2A5C"/>
    <w:pPr>
      <w:spacing w:before="450" w:after="225"/>
      <w:jc w:val="center"/>
    </w:pPr>
    <w:rPr>
      <w:b/>
      <w:bCs/>
      <w:lang w:eastAsia="lv-LV"/>
    </w:rPr>
  </w:style>
  <w:style w:type="paragraph" w:styleId="Header">
    <w:name w:val="header"/>
    <w:basedOn w:val="Normal"/>
    <w:link w:val="HeaderChar"/>
    <w:uiPriority w:val="99"/>
    <w:rsid w:val="00AB2A5C"/>
    <w:pPr>
      <w:tabs>
        <w:tab w:val="center" w:pos="4153"/>
        <w:tab w:val="right" w:pos="8306"/>
      </w:tabs>
    </w:pPr>
    <w:rPr>
      <w:lang w:eastAsia="lv-LV"/>
    </w:rPr>
  </w:style>
  <w:style w:type="character" w:customStyle="1" w:styleId="HeaderChar">
    <w:name w:val="Header Char"/>
    <w:basedOn w:val="DefaultParagraphFont"/>
    <w:link w:val="Header"/>
    <w:uiPriority w:val="99"/>
    <w:rsid w:val="00AB2A5C"/>
    <w:rPr>
      <w:rFonts w:ascii="Times New Roman" w:eastAsia="Times New Roman" w:hAnsi="Times New Roman" w:cs="Times New Roman"/>
      <w:sz w:val="24"/>
      <w:szCs w:val="24"/>
      <w:lang w:eastAsia="lv-LV"/>
    </w:rPr>
  </w:style>
  <w:style w:type="paragraph" w:styleId="Footer">
    <w:name w:val="footer"/>
    <w:basedOn w:val="Normal"/>
    <w:link w:val="FooterChar"/>
    <w:rsid w:val="00AB2A5C"/>
    <w:pPr>
      <w:tabs>
        <w:tab w:val="center" w:pos="4153"/>
        <w:tab w:val="right" w:pos="8306"/>
      </w:tabs>
    </w:pPr>
    <w:rPr>
      <w:lang w:eastAsia="lv-LV"/>
    </w:rPr>
  </w:style>
  <w:style w:type="character" w:customStyle="1" w:styleId="FooterChar">
    <w:name w:val="Footer Char"/>
    <w:basedOn w:val="DefaultParagraphFont"/>
    <w:link w:val="Footer"/>
    <w:rsid w:val="00AB2A5C"/>
    <w:rPr>
      <w:rFonts w:ascii="Times New Roman" w:eastAsia="Times New Roman" w:hAnsi="Times New Roman" w:cs="Times New Roman"/>
      <w:sz w:val="24"/>
      <w:szCs w:val="24"/>
      <w:lang w:eastAsia="lv-LV"/>
    </w:rPr>
  </w:style>
  <w:style w:type="character" w:styleId="PageNumber">
    <w:name w:val="page number"/>
    <w:basedOn w:val="DefaultParagraphFont"/>
    <w:rsid w:val="00AB2A5C"/>
  </w:style>
  <w:style w:type="paragraph" w:customStyle="1" w:styleId="naislab">
    <w:name w:val="naislab"/>
    <w:basedOn w:val="Normal"/>
    <w:rsid w:val="00AB2A5C"/>
    <w:pPr>
      <w:spacing w:before="75" w:after="75"/>
      <w:jc w:val="right"/>
    </w:pPr>
    <w:rPr>
      <w:lang w:eastAsia="lv-LV"/>
    </w:rPr>
  </w:style>
  <w:style w:type="paragraph" w:customStyle="1" w:styleId="naiskr">
    <w:name w:val="naiskr"/>
    <w:basedOn w:val="Normal"/>
    <w:rsid w:val="00AB2A5C"/>
    <w:pPr>
      <w:spacing w:before="75" w:after="75"/>
    </w:pPr>
    <w:rPr>
      <w:lang w:eastAsia="lv-LV"/>
    </w:rPr>
  </w:style>
  <w:style w:type="character" w:customStyle="1" w:styleId="Heading3Char">
    <w:name w:val="Heading 3 Char"/>
    <w:basedOn w:val="DefaultParagraphFont"/>
    <w:link w:val="Heading3"/>
    <w:uiPriority w:val="9"/>
    <w:rsid w:val="0069600E"/>
    <w:rPr>
      <w:rFonts w:ascii="Times New Roman" w:eastAsia="Times New Roman" w:hAnsi="Times New Roman" w:cs="Times New Roman"/>
      <w:b/>
      <w:bCs/>
      <w:sz w:val="27"/>
      <w:szCs w:val="27"/>
      <w:lang w:eastAsia="lv-LV"/>
    </w:rPr>
  </w:style>
  <w:style w:type="paragraph" w:customStyle="1" w:styleId="tv213">
    <w:name w:val="tv213"/>
    <w:basedOn w:val="Normal"/>
    <w:rsid w:val="00892383"/>
    <w:pPr>
      <w:spacing w:before="100" w:beforeAutospacing="1" w:after="100" w:afterAutospacing="1"/>
    </w:pPr>
    <w:rPr>
      <w:lang w:eastAsia="lv-LV"/>
    </w:rPr>
  </w:style>
  <w:style w:type="paragraph" w:styleId="FootnoteText">
    <w:name w:val="footnote text"/>
    <w:basedOn w:val="Normal"/>
    <w:link w:val="FootnoteTextChar"/>
    <w:unhideWhenUsed/>
    <w:rsid w:val="004E70BE"/>
    <w:pPr>
      <w:spacing w:after="200" w:line="276" w:lineRule="auto"/>
    </w:pPr>
    <w:rPr>
      <w:rFonts w:ascii="Calibri" w:eastAsia="Calibri" w:hAnsi="Calibri"/>
      <w:sz w:val="20"/>
      <w:szCs w:val="20"/>
    </w:rPr>
  </w:style>
  <w:style w:type="character" w:customStyle="1" w:styleId="FootnoteTextChar">
    <w:name w:val="Footnote Text Char"/>
    <w:basedOn w:val="DefaultParagraphFont"/>
    <w:link w:val="FootnoteText"/>
    <w:rsid w:val="004E70BE"/>
    <w:rPr>
      <w:rFonts w:ascii="Calibri" w:eastAsia="Calibri" w:hAnsi="Calibri" w:cs="Times New Roman"/>
      <w:sz w:val="20"/>
      <w:szCs w:val="20"/>
    </w:rPr>
  </w:style>
  <w:style w:type="paragraph" w:customStyle="1" w:styleId="naisc">
    <w:name w:val="naisc"/>
    <w:basedOn w:val="Normal"/>
    <w:rsid w:val="005E7838"/>
    <w:pPr>
      <w:spacing w:before="450" w:after="300"/>
      <w:jc w:val="center"/>
    </w:pPr>
    <w:rPr>
      <w:sz w:val="26"/>
      <w:szCs w:val="26"/>
      <w:lang w:eastAsia="lv-LV"/>
    </w:rPr>
  </w:style>
  <w:style w:type="character" w:styleId="Hyperlink">
    <w:name w:val="Hyperlink"/>
    <w:basedOn w:val="DefaultParagraphFont"/>
    <w:uiPriority w:val="99"/>
    <w:unhideWhenUsed/>
    <w:rsid w:val="00D91823"/>
    <w:rPr>
      <w:color w:val="0000FF" w:themeColor="hyperlink"/>
      <w:u w:val="single"/>
    </w:rPr>
  </w:style>
  <w:style w:type="paragraph" w:styleId="BalloonText">
    <w:name w:val="Balloon Text"/>
    <w:basedOn w:val="Normal"/>
    <w:link w:val="BalloonTextChar"/>
    <w:uiPriority w:val="99"/>
    <w:semiHidden/>
    <w:unhideWhenUsed/>
    <w:rsid w:val="0068422A"/>
    <w:rPr>
      <w:rFonts w:ascii="Tahoma" w:hAnsi="Tahoma" w:cs="Tahoma"/>
      <w:sz w:val="16"/>
      <w:szCs w:val="16"/>
    </w:rPr>
  </w:style>
  <w:style w:type="character" w:customStyle="1" w:styleId="BalloonTextChar">
    <w:name w:val="Balloon Text Char"/>
    <w:basedOn w:val="DefaultParagraphFont"/>
    <w:link w:val="BalloonText"/>
    <w:uiPriority w:val="99"/>
    <w:semiHidden/>
    <w:rsid w:val="0068422A"/>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BB7BEF"/>
    <w:rPr>
      <w:sz w:val="16"/>
      <w:szCs w:val="16"/>
    </w:rPr>
  </w:style>
  <w:style w:type="paragraph" w:styleId="CommentText">
    <w:name w:val="annotation text"/>
    <w:basedOn w:val="Normal"/>
    <w:link w:val="CommentTextChar"/>
    <w:uiPriority w:val="99"/>
    <w:semiHidden/>
    <w:unhideWhenUsed/>
    <w:rsid w:val="00BB7BEF"/>
    <w:rPr>
      <w:sz w:val="20"/>
      <w:szCs w:val="20"/>
    </w:rPr>
  </w:style>
  <w:style w:type="character" w:customStyle="1" w:styleId="CommentTextChar">
    <w:name w:val="Comment Text Char"/>
    <w:basedOn w:val="DefaultParagraphFont"/>
    <w:link w:val="CommentText"/>
    <w:uiPriority w:val="99"/>
    <w:semiHidden/>
    <w:rsid w:val="00BB7BE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B7BEF"/>
    <w:rPr>
      <w:b/>
      <w:bCs/>
    </w:rPr>
  </w:style>
  <w:style w:type="character" w:customStyle="1" w:styleId="CommentSubjectChar">
    <w:name w:val="Comment Subject Char"/>
    <w:basedOn w:val="CommentTextChar"/>
    <w:link w:val="CommentSubject"/>
    <w:uiPriority w:val="99"/>
    <w:semiHidden/>
    <w:rsid w:val="00BB7BEF"/>
    <w:rPr>
      <w:rFonts w:ascii="Times New Roman" w:eastAsia="Times New Roman" w:hAnsi="Times New Roman" w:cs="Times New Roman"/>
      <w:b/>
      <w:bCs/>
      <w:sz w:val="20"/>
      <w:szCs w:val="20"/>
    </w:rPr>
  </w:style>
  <w:style w:type="character" w:styleId="Strong">
    <w:name w:val="Strong"/>
    <w:basedOn w:val="DefaultParagraphFont"/>
    <w:uiPriority w:val="22"/>
    <w:qFormat/>
    <w:rsid w:val="003F214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0628870">
      <w:bodyDiv w:val="1"/>
      <w:marLeft w:val="0"/>
      <w:marRight w:val="0"/>
      <w:marTop w:val="0"/>
      <w:marBottom w:val="0"/>
      <w:divBdr>
        <w:top w:val="none" w:sz="0" w:space="0" w:color="auto"/>
        <w:left w:val="none" w:sz="0" w:space="0" w:color="auto"/>
        <w:bottom w:val="none" w:sz="0" w:space="0" w:color="auto"/>
        <w:right w:val="none" w:sz="0" w:space="0" w:color="auto"/>
      </w:divBdr>
    </w:div>
    <w:div w:id="724721755">
      <w:bodyDiv w:val="1"/>
      <w:marLeft w:val="0"/>
      <w:marRight w:val="0"/>
      <w:marTop w:val="0"/>
      <w:marBottom w:val="0"/>
      <w:divBdr>
        <w:top w:val="none" w:sz="0" w:space="0" w:color="auto"/>
        <w:left w:val="none" w:sz="0" w:space="0" w:color="auto"/>
        <w:bottom w:val="none" w:sz="0" w:space="0" w:color="auto"/>
        <w:right w:val="none" w:sz="0" w:space="0" w:color="auto"/>
      </w:divBdr>
    </w:div>
    <w:div w:id="1090392228">
      <w:bodyDiv w:val="1"/>
      <w:marLeft w:val="0"/>
      <w:marRight w:val="0"/>
      <w:marTop w:val="0"/>
      <w:marBottom w:val="0"/>
      <w:divBdr>
        <w:top w:val="none" w:sz="0" w:space="0" w:color="auto"/>
        <w:left w:val="none" w:sz="0" w:space="0" w:color="auto"/>
        <w:bottom w:val="none" w:sz="0" w:space="0" w:color="auto"/>
        <w:right w:val="none" w:sz="0" w:space="0" w:color="auto"/>
      </w:divBdr>
    </w:div>
    <w:div w:id="2043702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guna.gorbacova-scogole@iem.gov.l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0BC900-1E5E-497D-9243-3808DF297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339</TotalTime>
  <Pages>9</Pages>
  <Words>8961</Words>
  <Characters>5108</Characters>
  <Application>Microsoft Office Word</Application>
  <DocSecurity>0</DocSecurity>
  <Lines>42</Lines>
  <Paragraphs>28</Paragraphs>
  <ScaleCrop>false</ScaleCrop>
  <HeadingPairs>
    <vt:vector size="2" baseType="variant">
      <vt:variant>
        <vt:lpstr>Title</vt:lpstr>
      </vt:variant>
      <vt:variant>
        <vt:i4>1</vt:i4>
      </vt:variant>
    </vt:vector>
  </HeadingPairs>
  <TitlesOfParts>
    <vt:vector size="1" baseType="lpstr">
      <vt:lpstr/>
    </vt:vector>
  </TitlesOfParts>
  <Company>IeM</Company>
  <LinksUpToDate>false</LinksUpToDate>
  <CharactersWithSpaces>14041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Dace Radzeviča</dc:creator>
  <cp:lastModifiedBy>Inguna Gorbačova-Sčogole</cp:lastModifiedBy>
  <cp:revision>28</cp:revision>
  <cp:lastPrinted>2015-06-29T08:32:00Z</cp:lastPrinted>
  <dcterms:created xsi:type="dcterms:W3CDTF">2015-06-29T08:31:00Z</dcterms:created>
  <dcterms:modified xsi:type="dcterms:W3CDTF">2015-06-30T13:30:00Z</dcterms:modified>
</cp:coreProperties>
</file>