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AD" w:rsidRDefault="00CC7FAD" w:rsidP="00CC7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3.pielikums</w:t>
      </w:r>
    </w:p>
    <w:p w:rsidR="00CC7FAD" w:rsidRDefault="00CC7FAD" w:rsidP="00CC7FA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Informatīvajam ziņojumam</w:t>
      </w:r>
    </w:p>
    <w:p w:rsidR="00CC7FAD" w:rsidRDefault="00CC7FAD" w:rsidP="00CC7FA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„Par Pilsonības un migrācijas lietu </w:t>
      </w:r>
    </w:p>
    <w:p w:rsidR="00CC7FAD" w:rsidRDefault="00CC7FAD" w:rsidP="00CC7FA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pārvaldes administratīvās kapacitātes </w:t>
      </w:r>
    </w:p>
    <w:p w:rsidR="00CC7FAD" w:rsidRDefault="00CC7FAD" w:rsidP="00CC7FA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stiprināšanas pasākumiem”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C7FAD" w:rsidRDefault="00CC7FAD" w:rsidP="00CC7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FAD" w:rsidRDefault="00CC7FAD" w:rsidP="00CC7F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Nepieciešamais papildu finansējums atlīdzībai sakarā ar izmaiņām amatu klasifikācijā no 2016. gada</w:t>
      </w:r>
    </w:p>
    <w:p w:rsidR="00CC7FAD" w:rsidRDefault="00CC7FAD" w:rsidP="00CC7FAD">
      <w:pPr>
        <w:pStyle w:val="Caption"/>
        <w:keepNext/>
        <w:rPr>
          <w:color w:val="000000"/>
        </w:rPr>
      </w:pPr>
    </w:p>
    <w:tbl>
      <w:tblPr>
        <w:tblW w:w="142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10766"/>
        <w:gridCol w:w="2803"/>
      </w:tblGrid>
      <w:tr w:rsidR="00CC7FAD" w:rsidTr="00CC7FAD">
        <w:trPr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Atlīdzība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843 269</w:t>
            </w:r>
          </w:p>
        </w:tc>
      </w:tr>
      <w:tr w:rsidR="00CC7FAD" w:rsidTr="00CC7FAD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1100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Atalgojums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655 022</w:t>
            </w:r>
          </w:p>
        </w:tc>
      </w:tr>
      <w:tr w:rsidR="00CC7FAD" w:rsidTr="00CC7FAD">
        <w:trPr>
          <w:trHeight w:val="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1110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Mēnešalga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545 856</w:t>
            </w:r>
          </w:p>
        </w:tc>
      </w:tr>
      <w:tr w:rsidR="00CC7FAD" w:rsidTr="00CC7FAD">
        <w:trPr>
          <w:trHeight w:val="14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1147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Piemaksa par papildu darbu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54 583</w:t>
            </w:r>
          </w:p>
        </w:tc>
      </w:tr>
      <w:tr w:rsidR="00CC7FAD" w:rsidTr="00CC7FAD">
        <w:trPr>
          <w:trHeight w:val="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1148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Prēmijas, naudas balvas 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54 583</w:t>
            </w:r>
          </w:p>
        </w:tc>
      </w:tr>
      <w:tr w:rsidR="00CC7FAD" w:rsidTr="00CC7FAD">
        <w:trPr>
          <w:trHeight w:val="37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1200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Darba devēja valsts sociālās apdrošināšanas obligātās iemaksas, pabalsti un kompensācijas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188 247</w:t>
            </w:r>
          </w:p>
        </w:tc>
      </w:tr>
      <w:tr w:rsidR="00CC7FAD" w:rsidTr="00CC7FAD">
        <w:trPr>
          <w:trHeight w:val="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Darba devēja valsts sociālās apdrošināšanas obligātās iemaksas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160 955</w:t>
            </w:r>
          </w:p>
        </w:tc>
      </w:tr>
      <w:tr w:rsidR="00CC7FAD" w:rsidTr="00CC7FAD">
        <w:trPr>
          <w:trHeight w:val="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1220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Darba devēja pabalsti, kompensācijas un citi maksājumi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27 292</w:t>
            </w:r>
          </w:p>
        </w:tc>
      </w:tr>
      <w:tr w:rsidR="00CC7FAD" w:rsidTr="00CC7FAD">
        <w:trPr>
          <w:trHeight w:val="329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1221</w:t>
            </w:r>
          </w:p>
        </w:tc>
        <w:tc>
          <w:tcPr>
            <w:tcW w:w="10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Darba devēja pabalsti un kompensācijas, no kuriem aprēķina ienākuma nodokli un valsts sociālās apdrošināšanas obligātās iemaksas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7FAD" w:rsidRDefault="00CC7FA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27 292</w:t>
            </w:r>
          </w:p>
        </w:tc>
      </w:tr>
    </w:tbl>
    <w:p w:rsidR="00CC7FAD" w:rsidRDefault="00CC7FAD" w:rsidP="00CC7FAD">
      <w:pPr>
        <w:rPr>
          <w:rFonts w:ascii="Times New Roman" w:hAnsi="Times New Roman"/>
          <w:color w:val="000000"/>
        </w:rPr>
      </w:pPr>
    </w:p>
    <w:tbl>
      <w:tblPr>
        <w:tblW w:w="144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2"/>
        <w:gridCol w:w="426"/>
        <w:gridCol w:w="426"/>
        <w:gridCol w:w="427"/>
        <w:gridCol w:w="568"/>
        <w:gridCol w:w="283"/>
        <w:gridCol w:w="1134"/>
        <w:gridCol w:w="1134"/>
        <w:gridCol w:w="992"/>
        <w:gridCol w:w="426"/>
        <w:gridCol w:w="567"/>
        <w:gridCol w:w="708"/>
        <w:gridCol w:w="993"/>
        <w:gridCol w:w="992"/>
        <w:gridCol w:w="992"/>
        <w:gridCol w:w="709"/>
        <w:gridCol w:w="850"/>
        <w:gridCol w:w="851"/>
      </w:tblGrid>
      <w:tr w:rsidR="00CC7FAD" w:rsidTr="00CC7FAD">
        <w:trPr>
          <w:cantSplit/>
          <w:trHeight w:val="209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Struktrūrvienība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Amata vietu skaits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Amata saime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Līmenis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Statuss 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 –d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arbinieks, I-ierēdnis)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Mēnešalgu grupa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Mēnešalgas apmērs atbilstoši 3 kategorijai un piemērojamai mēnešalgu grupai</w:t>
            </w:r>
          </w:p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Pašreizējās kvalifikācijas atalgojums atbilstošai mēnešalgu grupai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Mēnešalgas apmēra izmaiņas starp mēnešalgu grupām - palielinājums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7FAD" w:rsidRDefault="00CC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Mēnešalgas palielinājums *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C7FAD" w:rsidRDefault="00CC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Kopīgais palielinājums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Gadā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 xml:space="preserve">visām amata vietām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Vispārējas piemaksas 10% apmērā no plānotas mēnešalgas kopsummas gadā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Naudas balvas, prēmijas 10% apmērā no plānotas mēnešalgas kopsummas gadā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Sociālās garantijas 5% apmērā no plānotas mēnešalgas kopsummas gadā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Kopā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Darba devēja VSAOI</w:t>
            </w:r>
          </w:p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23,59%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Kopā izdevumi atlīdzībai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2016.g.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un turpmāk</w:t>
            </w:r>
          </w:p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ik gadu </w:t>
            </w:r>
          </w:p>
        </w:tc>
      </w:tr>
      <w:tr w:rsidR="00CC7FAD" w:rsidTr="00CC7FAD">
        <w:trPr>
          <w:cantSplit/>
          <w:trHeight w:val="10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</w:t>
            </w:r>
          </w:p>
          <w:p w:rsidR="00CC7FAD" w:rsidRDefault="00CC7F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9= 7 - 8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11 =9 +10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12 =2x11x12 </w:t>
            </w:r>
            <w:proofErr w:type="spellStart"/>
            <w:r>
              <w:rPr>
                <w:b/>
                <w:bCs/>
                <w:sz w:val="16"/>
                <w:szCs w:val="16"/>
              </w:rPr>
              <w:t>mēn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13 =12 x10%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14 = 12x10%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15 = 12x5%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CC7FAD" w:rsidTr="00CC7FAD">
        <w:trPr>
          <w:trHeight w:val="45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Klientu apkalpošanas speciālisti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Starpība starp 6 un 8 mēnešalgu grupas 3 kategorijas atalgojumu (874 EUR - 700 EUR)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364 056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18 203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455 069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562 419</w:t>
            </w:r>
          </w:p>
        </w:tc>
      </w:tr>
      <w:tr w:rsidR="00CC7FAD" w:rsidTr="00CC7FAD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Jaunākais klientu apkalpošanas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speciālists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Starpība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starp 6 un 7 mēnešalgu grupas 3 kategorijas atalgojumu (788 EUR - 700 EUR)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55 680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86 018</w:t>
            </w:r>
          </w:p>
        </w:tc>
      </w:tr>
      <w:tr w:rsidR="00CC7FAD" w:rsidTr="00CC7FAD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Klientu apkalpošanas speciālists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Iedzīvotāju reģistra departamenta Elektronisko pakalpojumu nodaļā (Starpība starp 6 un 8 mēnešalgu grupas 3 kategorijas atalgojumu (874EUR -700 EUR)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14 274</w:t>
            </w:r>
          </w:p>
        </w:tc>
      </w:tr>
      <w:tr w:rsidR="00CC7FAD" w:rsidTr="00CC7FAD">
        <w:trPr>
          <w:trHeight w:val="2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Pasu centra pasu operators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31 515</w:t>
            </w:r>
          </w:p>
        </w:tc>
      </w:tr>
      <w:tr w:rsidR="00CC7FAD" w:rsidTr="00CC7FAD">
        <w:trPr>
          <w:trHeight w:val="5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Vecākais klientu apkalpošanas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specālists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Pārvaldes teritoriālajās nodaļās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17 515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91 765</w:t>
            </w:r>
          </w:p>
        </w:tc>
      </w:tr>
      <w:tr w:rsidR="00CC7FAD" w:rsidTr="00CC7FAD">
        <w:trPr>
          <w:trHeight w:val="9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Personu uzskaites dokumentu nodaļā -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Referenti(Starpība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starp 6 un 8 mēnešalgu grupas 3 kategorijas atalgojumu (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874EUR -7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 EUR)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29 232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36 539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8 619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45 158</w:t>
            </w:r>
          </w:p>
        </w:tc>
      </w:tr>
      <w:tr w:rsidR="00CC7FAD" w:rsidTr="00CC7FAD">
        <w:trPr>
          <w:trHeight w:val="79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Personu uzskaites dokumentu nodaļā - Vadošais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referents(Starpība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starp 6 un 8 mēnešalgu grupas 3 kategorijas atalgojumu (874 EUR -700 EUR)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3 222</w:t>
            </w:r>
          </w:p>
        </w:tc>
      </w:tr>
      <w:tr w:rsidR="00CC7FAD" w:rsidTr="00CC7FAD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Personu uzskaites dokumentu nodaļā - Nodaļas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vadītājs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Starpība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starp 9 un 10 mēnešalgu grupas 3 kategorijas atalgojumu (1174 EUR - 994EUR)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3 334</w:t>
            </w:r>
          </w:p>
        </w:tc>
      </w:tr>
      <w:tr w:rsidR="00CC7FAD" w:rsidTr="00CC7FAD">
        <w:trPr>
          <w:trHeight w:val="13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Personu uzskaites dokumentu nodaļā - Nodaļas vadītāja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vietnieks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Starpība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starp 8 un 9mēnešalgu grupas 3 kategorijas atalgojumu (994 EUR - 874 EUR)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5 562</w:t>
            </w:r>
          </w:p>
        </w:tc>
      </w:tr>
      <w:tr w:rsidR="00CC7FAD" w:rsidTr="00CC7FAD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Kopā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545 856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27 292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682 314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160 955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7FAD" w:rsidRDefault="00CC7F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843 269</w:t>
            </w:r>
          </w:p>
        </w:tc>
      </w:tr>
    </w:tbl>
    <w:p w:rsidR="00CC7FAD" w:rsidRDefault="00CC7FAD" w:rsidP="00CC7FAD">
      <w:pPr>
        <w:rPr>
          <w:rFonts w:ascii="Times New Roman" w:hAnsi="Times New Roman"/>
          <w:color w:val="000000"/>
        </w:rPr>
      </w:pPr>
    </w:p>
    <w:tbl>
      <w:tblPr>
        <w:tblW w:w="12880" w:type="dxa"/>
        <w:tblLook w:val="00A0" w:firstRow="1" w:lastRow="0" w:firstColumn="1" w:lastColumn="0" w:noHBand="0" w:noVBand="0"/>
      </w:tblPr>
      <w:tblGrid>
        <w:gridCol w:w="2740"/>
        <w:gridCol w:w="2500"/>
        <w:gridCol w:w="2740"/>
        <w:gridCol w:w="2320"/>
        <w:gridCol w:w="2580"/>
      </w:tblGrid>
      <w:tr w:rsidR="00CC7FAD" w:rsidTr="00CC7FAD">
        <w:trPr>
          <w:trHeight w:val="510"/>
        </w:trPr>
        <w:tc>
          <w:tcPr>
            <w:tcW w:w="1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Detalizēts aprēķins mēnešalgas palielinājumam</w:t>
            </w:r>
          </w:p>
        </w:tc>
      </w:tr>
      <w:tr w:rsidR="00CC7FAD" w:rsidTr="00CC7FAD">
        <w:trPr>
          <w:trHeight w:val="165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Klientu apkalpošanas speciālists (Elektronisko pakalpojumu administrēšanas nodaļa; Teritoriālās nodaļas)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Jaunākais klientu apkalpošanas speciālists (Teritoriālās nodaļas)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Pasu centra pasu operators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Vecākais klientu apkalpošanas speciālists (, Teritoriālās nodaļas)</w:t>
            </w:r>
          </w:p>
        </w:tc>
      </w:tr>
      <w:tr w:rsidR="00CC7FAD" w:rsidTr="00CC7FAD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Amata saime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</w:tr>
      <w:tr w:rsidR="00CC7FAD" w:rsidTr="00CC7FA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līmenis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IV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III B</w:t>
            </w:r>
          </w:p>
        </w:tc>
      </w:tr>
      <w:tr w:rsidR="00CC7FAD" w:rsidTr="00CC7FA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statuss (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D -d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arbinieks)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D</w:t>
            </w:r>
          </w:p>
        </w:tc>
      </w:tr>
      <w:tr w:rsidR="00CC7FAD" w:rsidTr="00CC7FAD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Mēnešalgu grupa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lv-LV"/>
              </w:rPr>
              <w:t>9</w:t>
            </w:r>
          </w:p>
        </w:tc>
      </w:tr>
      <w:tr w:rsidR="00CC7FAD" w:rsidTr="00CC7FAD">
        <w:trPr>
          <w:trHeight w:val="52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lastRenderedPageBreak/>
              <w:t xml:space="preserve"> Izmaksātās mēnešalgas diapazons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nodarbinātajiem EUR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487-655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523-595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753 - 586</w:t>
            </w:r>
          </w:p>
        </w:tc>
      </w:tr>
      <w:tr w:rsidR="00CC7FAD" w:rsidTr="00CC7FAD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Vidējā mēnešalga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nodarbinātajiem 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670</w:t>
            </w:r>
          </w:p>
        </w:tc>
      </w:tr>
      <w:tr w:rsidR="00CC7FAD" w:rsidTr="00CC7FAD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Mēnešalgas apmērs atbilstoši 3 kategorijai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994</w:t>
            </w:r>
          </w:p>
        </w:tc>
      </w:tr>
      <w:tr w:rsidR="00CC7FAD" w:rsidTr="00CC7FAD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Maksimālais mēnešalgas palielinājums atbilstošās mēnešalgu grupas 3 kategorijai 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324</w:t>
            </w:r>
          </w:p>
        </w:tc>
      </w:tr>
      <w:tr w:rsidR="00CC7FAD" w:rsidTr="00CC7FAD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51% no maksimālā mēnešalgas palielinājuma atbilstoši noteiktajai mēnešalgu grupas 3 kategorijai 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165</w:t>
            </w:r>
          </w:p>
        </w:tc>
      </w:tr>
      <w:tr w:rsidR="00CC7FAD" w:rsidTr="00CC7FAD">
        <w:trPr>
          <w:trHeight w:val="5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Vidējā mēnešalga pēc prognozētā palielinājuma EUR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620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835</w:t>
            </w:r>
          </w:p>
        </w:tc>
      </w:tr>
      <w:tr w:rsidR="00CC7FAD" w:rsidTr="00CC7FAD">
        <w:trPr>
          <w:trHeight w:val="10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Prognozētās mēnešalgas apmēra attiecība pret noteiktās mēnešalgu grupas 3 kategorijas mēnešalgu (%)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91.00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90.00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100.00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FAD" w:rsidRDefault="00CC7F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84.00</w:t>
            </w:r>
          </w:p>
        </w:tc>
      </w:tr>
    </w:tbl>
    <w:p w:rsidR="00CC7FAD" w:rsidRDefault="00CC7FAD" w:rsidP="00CC7FAD">
      <w:pPr>
        <w:rPr>
          <w:rFonts w:ascii="Times New Roman" w:hAnsi="Times New Roman"/>
          <w:color w:val="000000"/>
        </w:rPr>
      </w:pPr>
    </w:p>
    <w:p w:rsidR="00CC7FAD" w:rsidRDefault="00CC7FAD" w:rsidP="00CC7FAD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**Lai darbinieku, kuru kvalifikācija atbilst 3.kategorijai, darba samaksa saskaņā ar ikgadējo darbības un tās rezultātu novērtējumu, atbilstu noteiktai mēnešalgu grupas 3. kategorijas maksimālai mēnešalgai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un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lai nodrošinātu atbilstoši Valsts un pašvaldību institūciju amatpersonu un darbinieku atlīdzības likumā noteiktās sociālās garantijas, nepieciešams papildus finansējums ievērojot proporciju atbilstoši MK instrukcijas Nr.19. 52. punktam.</w:t>
      </w:r>
    </w:p>
    <w:p w:rsidR="00CC7FAD" w:rsidRDefault="00CC7FAD" w:rsidP="00CC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C7FAD" w:rsidRDefault="00CC7FAD" w:rsidP="00CC7F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Iesniedzējs:</w:t>
      </w:r>
    </w:p>
    <w:p w:rsidR="00CC7FAD" w:rsidRDefault="00CC7FAD" w:rsidP="00CC7F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Iekšlietu ministrs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  <w:t>R.Kozlovskis</w:t>
      </w:r>
    </w:p>
    <w:p w:rsidR="00CC7FAD" w:rsidRDefault="00CC7FAD" w:rsidP="00CC7F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CC7FAD" w:rsidRDefault="00CC7FAD" w:rsidP="00CC7F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Vīza:</w:t>
      </w:r>
    </w:p>
    <w:p w:rsidR="00CC7FAD" w:rsidRDefault="00CC7FAD" w:rsidP="00CC7FA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 xml:space="preserve">Valsts sekretāre </w:t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hAnsi="Times New Roman"/>
          <w:color w:val="000000"/>
          <w:sz w:val="24"/>
          <w:szCs w:val="24"/>
          <w:lang w:eastAsia="lv-LV"/>
        </w:rPr>
        <w:tab/>
        <w:t>I.Pētersone–Godmane</w:t>
      </w:r>
    </w:p>
    <w:p w:rsidR="00CC7FAD" w:rsidRDefault="00CC7FAD" w:rsidP="00CC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C7FAD" w:rsidRDefault="000444A7" w:rsidP="00CC7FA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06.08.2015. 15:05</w:t>
      </w:r>
      <w:bookmarkStart w:id="0" w:name="_GoBack"/>
      <w:bookmarkEnd w:id="0"/>
      <w:r w:rsidR="00CC7FAD">
        <w:rPr>
          <w:rFonts w:ascii="Times New Roman" w:hAnsi="Times New Roman"/>
          <w:sz w:val="18"/>
          <w:szCs w:val="18"/>
        </w:rPr>
        <w:tab/>
      </w:r>
    </w:p>
    <w:p w:rsidR="00CC7FAD" w:rsidRPr="00CC7FAD" w:rsidRDefault="00CC7FAD" w:rsidP="00CC7F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C7FAD">
        <w:rPr>
          <w:rFonts w:ascii="Times New Roman" w:hAnsi="Times New Roman"/>
          <w:sz w:val="20"/>
          <w:szCs w:val="20"/>
        </w:rPr>
        <w:t>785</w:t>
      </w:r>
    </w:p>
    <w:p w:rsidR="00CC7FAD" w:rsidRDefault="00CC7FAD" w:rsidP="00CC7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proofErr w:type="spellStart"/>
      <w:r>
        <w:rPr>
          <w:rFonts w:ascii="Times New Roman" w:hAnsi="Times New Roman"/>
          <w:sz w:val="18"/>
          <w:szCs w:val="18"/>
        </w:rPr>
        <w:t>Brīvniece</w:t>
      </w:r>
      <w:proofErr w:type="spellEnd"/>
      <w:r>
        <w:rPr>
          <w:rFonts w:ascii="Times New Roman" w:hAnsi="Times New Roman"/>
          <w:sz w:val="18"/>
          <w:szCs w:val="18"/>
        </w:rPr>
        <w:t>, 67219453</w:t>
      </w:r>
    </w:p>
    <w:p w:rsidR="007865C5" w:rsidRDefault="00CC7FAD" w:rsidP="00CC7FAD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>ramona.brivniece@pmlp.gov.lv</w:t>
      </w:r>
    </w:p>
    <w:sectPr w:rsidR="007865C5" w:rsidSect="00CC7FAD">
      <w:headerReference w:type="default" r:id="rId6"/>
      <w:footerReference w:type="default" r:id="rId7"/>
      <w:footerReference w:type="first" r:id="rId8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81" w:rsidRDefault="00D41981" w:rsidP="00CC7FAD">
      <w:pPr>
        <w:spacing w:after="0" w:line="240" w:lineRule="auto"/>
      </w:pPr>
      <w:r>
        <w:separator/>
      </w:r>
    </w:p>
  </w:endnote>
  <w:endnote w:type="continuationSeparator" w:id="0">
    <w:p w:rsidR="00D41981" w:rsidRDefault="00D41981" w:rsidP="00CC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AD" w:rsidRPr="00CC7FAD" w:rsidRDefault="00CC7FAD">
    <w:pPr>
      <w:pStyle w:val="Footer"/>
      <w:rPr>
        <w:rFonts w:ascii="Times New Roman" w:hAnsi="Times New Roman"/>
        <w:sz w:val="20"/>
        <w:szCs w:val="20"/>
      </w:rPr>
    </w:pPr>
    <w:r w:rsidRPr="00CC7FAD">
      <w:rPr>
        <w:rFonts w:ascii="Times New Roman" w:hAnsi="Times New Roman"/>
        <w:sz w:val="20"/>
        <w:szCs w:val="20"/>
      </w:rPr>
      <w:t>IEMZin</w:t>
    </w:r>
    <w:r>
      <w:rPr>
        <w:rFonts w:ascii="Times New Roman" w:hAnsi="Times New Roman"/>
        <w:sz w:val="20"/>
        <w:szCs w:val="20"/>
      </w:rPr>
      <w:t>p3_060815_kapacitate; 3.pielikums Informatīvajam ziņojumam “Par Pilsonības un migrācijas lietu pārvaldes administratīvās kapacitātes stiprināšanas pasākumiem”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AD" w:rsidRDefault="00CC7FAD">
    <w:pPr>
      <w:pStyle w:val="Footer"/>
    </w:pPr>
    <w:r w:rsidRPr="00CC7FAD">
      <w:rPr>
        <w:rFonts w:ascii="Times New Roman" w:hAnsi="Times New Roman"/>
        <w:sz w:val="20"/>
        <w:szCs w:val="20"/>
      </w:rPr>
      <w:t>IEMZin</w:t>
    </w:r>
    <w:r>
      <w:rPr>
        <w:rFonts w:ascii="Times New Roman" w:hAnsi="Times New Roman"/>
        <w:sz w:val="20"/>
        <w:szCs w:val="20"/>
      </w:rPr>
      <w:t>p3_060815_kapacitate; 3.pielikums Informatīvajam ziņojumam “Par Pilsonības un migrācijas lietu pārvaldes administratīvās kapacitātes stiprināšanas pasākumiem”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81" w:rsidRDefault="00D41981" w:rsidP="00CC7FAD">
      <w:pPr>
        <w:spacing w:after="0" w:line="240" w:lineRule="auto"/>
      </w:pPr>
      <w:r>
        <w:separator/>
      </w:r>
    </w:p>
  </w:footnote>
  <w:footnote w:type="continuationSeparator" w:id="0">
    <w:p w:rsidR="00D41981" w:rsidRDefault="00D41981" w:rsidP="00CC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014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FAD" w:rsidRDefault="00CC7F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FAD" w:rsidRDefault="00CC7F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AD"/>
    <w:rsid w:val="000444A7"/>
    <w:rsid w:val="00267D5A"/>
    <w:rsid w:val="003A3FE7"/>
    <w:rsid w:val="00463063"/>
    <w:rsid w:val="00500490"/>
    <w:rsid w:val="006B467D"/>
    <w:rsid w:val="007865C5"/>
    <w:rsid w:val="00CC7FAD"/>
    <w:rsid w:val="00D4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50D9416-60D1-48C3-BF7A-F07D69E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AD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Char">
    <w:name w:val="Caption Char"/>
    <w:basedOn w:val="DefaultParagraphFont"/>
    <w:link w:val="Caption"/>
    <w:uiPriority w:val="99"/>
    <w:semiHidden/>
    <w:locked/>
    <w:rsid w:val="00CC7F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99"/>
    <w:semiHidden/>
    <w:unhideWhenUsed/>
    <w:qFormat/>
    <w:rsid w:val="00CC7FA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F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7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F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3243</Words>
  <Characters>1850</Characters>
  <Application>Microsoft Office Word</Application>
  <DocSecurity>0</DocSecurity>
  <Lines>15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2</cp:revision>
  <dcterms:created xsi:type="dcterms:W3CDTF">2015-08-06T08:22:00Z</dcterms:created>
  <dcterms:modified xsi:type="dcterms:W3CDTF">2015-08-07T05:14:00Z</dcterms:modified>
</cp:coreProperties>
</file>