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AD" w:rsidRPr="00C2761A" w:rsidRDefault="001E21C4" w:rsidP="00A37AAD">
      <w:pPr>
        <w:jc w:val="center"/>
        <w:rPr>
          <w:b/>
          <w:sz w:val="28"/>
          <w:szCs w:val="28"/>
        </w:rPr>
      </w:pPr>
      <w:r w:rsidRPr="00C2761A">
        <w:rPr>
          <w:b/>
          <w:sz w:val="28"/>
          <w:szCs w:val="28"/>
        </w:rPr>
        <w:t>Ministru kabineta noteikumu projekta „</w:t>
      </w:r>
      <w:r w:rsidR="00750429" w:rsidRPr="00C2761A">
        <w:rPr>
          <w:b/>
          <w:sz w:val="28"/>
          <w:szCs w:val="28"/>
        </w:rPr>
        <w:t>D</w:t>
      </w:r>
      <w:r w:rsidR="00FA567A" w:rsidRPr="00C2761A">
        <w:rPr>
          <w:b/>
          <w:sz w:val="28"/>
          <w:szCs w:val="28"/>
        </w:rPr>
        <w:t xml:space="preserve">arbības programmas </w:t>
      </w:r>
      <w:r w:rsidR="00A37AAD" w:rsidRPr="00C2761A">
        <w:rPr>
          <w:b/>
          <w:sz w:val="28"/>
          <w:szCs w:val="28"/>
        </w:rPr>
        <w:t xml:space="preserve">„Izaugsme un nodarbinātība” </w:t>
      </w:r>
      <w:r w:rsidR="00750429" w:rsidRPr="00C2761A">
        <w:rPr>
          <w:b/>
          <w:sz w:val="28"/>
          <w:szCs w:val="28"/>
        </w:rPr>
        <w:t xml:space="preserve">8.2.4. </w:t>
      </w:r>
      <w:r w:rsidR="00A37AAD" w:rsidRPr="00C2761A">
        <w:rPr>
          <w:b/>
          <w:sz w:val="28"/>
          <w:szCs w:val="28"/>
        </w:rPr>
        <w:t xml:space="preserve">specifiskā atbalsta mērķa „Nodrošināt atbalstu EQAR aģentūrai izvirzīto prasību izpildei” </w:t>
      </w:r>
      <w:r w:rsidR="00750429" w:rsidRPr="00C2761A">
        <w:rPr>
          <w:b/>
          <w:sz w:val="28"/>
          <w:szCs w:val="28"/>
        </w:rPr>
        <w:t>īstenošanas noteikumi</w:t>
      </w:r>
      <w:r w:rsidR="00A37AAD" w:rsidRPr="00C2761A">
        <w:rPr>
          <w:b/>
          <w:sz w:val="28"/>
          <w:szCs w:val="28"/>
        </w:rPr>
        <w:t>” sākotnējās ietekmes novērtējuma ziņojums (anotācija)</w:t>
      </w:r>
    </w:p>
    <w:p w:rsidR="002764B8" w:rsidRPr="00C2761A" w:rsidRDefault="002764B8" w:rsidP="00DE4771">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1"/>
        <w:gridCol w:w="82"/>
        <w:gridCol w:w="1795"/>
        <w:gridCol w:w="319"/>
        <w:gridCol w:w="6091"/>
        <w:gridCol w:w="49"/>
      </w:tblGrid>
      <w:tr w:rsidR="0072604C" w:rsidRPr="00C2761A" w:rsidTr="001629C3">
        <w:trPr>
          <w:gridAfter w:val="1"/>
          <w:wAfter w:w="28" w:type="pct"/>
        </w:trPr>
        <w:tc>
          <w:tcPr>
            <w:tcW w:w="4972" w:type="pct"/>
            <w:gridSpan w:val="5"/>
            <w:tcBorders>
              <w:top w:val="single" w:sz="4" w:space="0" w:color="auto"/>
              <w:left w:val="single" w:sz="4" w:space="0" w:color="auto"/>
              <w:bottom w:val="outset" w:sz="6" w:space="0" w:color="000000"/>
              <w:right w:val="single" w:sz="4" w:space="0" w:color="auto"/>
            </w:tcBorders>
            <w:vAlign w:val="center"/>
          </w:tcPr>
          <w:p w:rsidR="0072604C" w:rsidRPr="00C2761A" w:rsidRDefault="0072604C" w:rsidP="00CD0FA2">
            <w:pPr>
              <w:spacing w:before="100" w:beforeAutospacing="1" w:after="100" w:afterAutospacing="1"/>
              <w:jc w:val="center"/>
              <w:rPr>
                <w:b/>
                <w:bCs/>
              </w:rPr>
            </w:pPr>
            <w:r w:rsidRPr="00C2761A">
              <w:rPr>
                <w:b/>
                <w:bCs/>
              </w:rPr>
              <w:t>I. Tiesību akta projekta izstrādes nepieciešamība</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1.</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Pamatojums</w:t>
            </w:r>
          </w:p>
        </w:tc>
        <w:tc>
          <w:tcPr>
            <w:tcW w:w="3681" w:type="pct"/>
            <w:gridSpan w:val="2"/>
            <w:tcBorders>
              <w:top w:val="outset" w:sz="6" w:space="0" w:color="000000"/>
              <w:left w:val="outset" w:sz="6" w:space="0" w:color="000000"/>
              <w:bottom w:val="outset" w:sz="6" w:space="0" w:color="000000"/>
              <w:right w:val="outset" w:sz="6" w:space="0" w:color="000000"/>
            </w:tcBorders>
          </w:tcPr>
          <w:p w:rsidR="00FA593C" w:rsidRPr="00C2761A" w:rsidRDefault="00FA593C" w:rsidP="007B7E40">
            <w:pPr>
              <w:pStyle w:val="ListParagraph"/>
              <w:ind w:left="0"/>
              <w:rPr>
                <w:color w:val="000000"/>
                <w:szCs w:val="24"/>
              </w:rPr>
            </w:pPr>
            <w:r w:rsidRPr="00C2761A">
              <w:rPr>
                <w:color w:val="000000"/>
                <w:szCs w:val="24"/>
              </w:rPr>
              <w:t>Ministru kabineta (turpmāk – MK) noteikumu projekts „</w:t>
            </w:r>
            <w:r w:rsidR="00750429" w:rsidRPr="00C2761A">
              <w:rPr>
                <w:color w:val="000000"/>
                <w:szCs w:val="24"/>
              </w:rPr>
              <w:t>Darbības programmas „Izaugsme un nodarbinātība” 8.2.4. specifiskā atbalsta mērķa „Nodrošināt atbalstu EQAR aģentūrai izvirzīto prasību izpildei” īstenošanas noteikumi</w:t>
            </w:r>
            <w:r w:rsidRPr="00C2761A">
              <w:rPr>
                <w:color w:val="000000"/>
                <w:szCs w:val="24"/>
              </w:rPr>
              <w:t>”</w:t>
            </w:r>
            <w:r w:rsidR="00F075EC" w:rsidRPr="00C2761A">
              <w:rPr>
                <w:szCs w:val="24"/>
              </w:rPr>
              <w:t xml:space="preserve"> (turpmāk – noteikumu projekts) sagatavots saskaņā ar</w:t>
            </w:r>
            <w:r w:rsidRPr="00C2761A">
              <w:rPr>
                <w:color w:val="000000"/>
                <w:szCs w:val="24"/>
              </w:rPr>
              <w:t>:</w:t>
            </w:r>
          </w:p>
          <w:p w:rsidR="00FA593C" w:rsidRPr="00C858D8" w:rsidRDefault="00FA593C" w:rsidP="002A06CC">
            <w:pPr>
              <w:pStyle w:val="ListParagraph"/>
              <w:numPr>
                <w:ilvl w:val="0"/>
                <w:numId w:val="15"/>
              </w:numPr>
              <w:rPr>
                <w:color w:val="000000"/>
                <w:szCs w:val="24"/>
              </w:rPr>
            </w:pPr>
            <w:r w:rsidRPr="00C2761A">
              <w:rPr>
                <w:szCs w:val="24"/>
                <w:lang w:eastAsia="lv-LV"/>
              </w:rPr>
              <w:t xml:space="preserve">Eiropas Savienības struktūrfondu un Kohēzijas fonda </w:t>
            </w:r>
            <w:r w:rsidR="00F075EC" w:rsidRPr="00C2761A">
              <w:rPr>
                <w:szCs w:val="24"/>
                <w:lang w:eastAsia="lv-LV"/>
              </w:rPr>
              <w:t xml:space="preserve">2014. – 2020.gada plānošanas perioda vadības likuma </w:t>
            </w:r>
            <w:r w:rsidR="00FA567A" w:rsidRPr="00C2761A">
              <w:rPr>
                <w:bCs/>
                <w:color w:val="000000"/>
                <w:szCs w:val="24"/>
              </w:rPr>
              <w:t xml:space="preserve">20.panta </w:t>
            </w:r>
            <w:r w:rsidR="00732323" w:rsidRPr="00C858D8">
              <w:rPr>
                <w:bCs/>
                <w:color w:val="000000"/>
                <w:szCs w:val="24"/>
              </w:rPr>
              <w:t xml:space="preserve">6. un </w:t>
            </w:r>
            <w:r w:rsidR="00FA567A" w:rsidRPr="00C858D8">
              <w:rPr>
                <w:bCs/>
                <w:color w:val="000000"/>
                <w:szCs w:val="24"/>
              </w:rPr>
              <w:t>13.punktu</w:t>
            </w:r>
            <w:r w:rsidR="006C268C" w:rsidRPr="00C858D8">
              <w:rPr>
                <w:bCs/>
                <w:color w:val="000000"/>
                <w:szCs w:val="24"/>
              </w:rPr>
              <w:t>;</w:t>
            </w:r>
          </w:p>
          <w:p w:rsidR="00AC3B6B" w:rsidRPr="00C2761A" w:rsidRDefault="00FA567A" w:rsidP="00A94D5A">
            <w:pPr>
              <w:pStyle w:val="ListParagraph"/>
              <w:numPr>
                <w:ilvl w:val="0"/>
                <w:numId w:val="15"/>
              </w:numPr>
              <w:rPr>
                <w:color w:val="000000"/>
                <w:szCs w:val="24"/>
              </w:rPr>
            </w:pPr>
            <w:r w:rsidRPr="00C858D8">
              <w:rPr>
                <w:color w:val="000000"/>
                <w:szCs w:val="24"/>
                <w:shd w:val="clear" w:color="auto" w:fill="FFFFFF"/>
              </w:rPr>
              <w:t>Ministru Prezidenta 2014.gada 21.jūlija rezolūciju</w:t>
            </w:r>
            <w:r w:rsidRPr="00C2761A">
              <w:rPr>
                <w:color w:val="000000"/>
                <w:szCs w:val="24"/>
                <w:shd w:val="clear" w:color="auto" w:fill="FFFFFF"/>
              </w:rPr>
              <w:t xml:space="preserve"> Nr.12/2014-JUR-151, kura nosaka līdz 2017.gada 1.decembrim atbilstoši kompetencei sagatavot un noteiktā kārtībā iesniegt MK </w:t>
            </w:r>
            <w:r w:rsidR="00AC3B6B" w:rsidRPr="00C2761A">
              <w:rPr>
                <w:szCs w:val="24"/>
              </w:rPr>
              <w:t xml:space="preserve">specifiskā atbalsta mērķa īstenošanas noteikumus; </w:t>
            </w:r>
          </w:p>
          <w:p w:rsidR="00B969D7" w:rsidRPr="00C2761A" w:rsidRDefault="00AC3B6B" w:rsidP="00AC3B6B">
            <w:pPr>
              <w:pStyle w:val="ListParagraph"/>
              <w:numPr>
                <w:ilvl w:val="0"/>
                <w:numId w:val="15"/>
              </w:numPr>
              <w:rPr>
                <w:szCs w:val="24"/>
              </w:rPr>
            </w:pPr>
            <w:r w:rsidRPr="00C2761A">
              <w:rPr>
                <w:szCs w:val="24"/>
              </w:rPr>
              <w:t>Eiropas Savienības fondu un Kohēzijas politikas 2014.-2020.gada plānošanas perioda darbības programmu „Izaugsme un nodarbinātība”, kas  apstiprināta Eiropas Komisijā   2014.gada 11.novembrī.</w:t>
            </w:r>
            <w:r w:rsidRPr="00C2761A">
              <w:rPr>
                <w:color w:val="000000"/>
                <w:szCs w:val="24"/>
              </w:rPr>
              <w:t xml:space="preserve"> </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2.</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997B78" w:rsidP="00CD0FA2">
            <w:pPr>
              <w:spacing w:before="100" w:beforeAutospacing="1" w:after="100" w:afterAutospacing="1"/>
            </w:pPr>
            <w:r w:rsidRPr="00C2761A">
              <w:t>Pašreizējā situācija un problēmas, kuru risināšanai tiesību akta projekts izstrādāts, tiesiskā regulējuma mērķis un būtība</w:t>
            </w:r>
          </w:p>
        </w:tc>
        <w:tc>
          <w:tcPr>
            <w:tcW w:w="3681" w:type="pct"/>
            <w:gridSpan w:val="2"/>
            <w:tcBorders>
              <w:top w:val="outset" w:sz="6" w:space="0" w:color="000000"/>
              <w:left w:val="outset" w:sz="6" w:space="0" w:color="000000"/>
              <w:bottom w:val="outset" w:sz="6" w:space="0" w:color="000000"/>
              <w:right w:val="outset" w:sz="6" w:space="0" w:color="000000"/>
            </w:tcBorders>
          </w:tcPr>
          <w:p w:rsidR="00474D3C" w:rsidRPr="00C2761A" w:rsidRDefault="00474D3C" w:rsidP="00D11178">
            <w:pPr>
              <w:pStyle w:val="Default"/>
              <w:ind w:firstLine="567"/>
              <w:jc w:val="both"/>
              <w:rPr>
                <w:rFonts w:eastAsia="Times New Roman"/>
                <w:color w:val="auto"/>
                <w:lang w:eastAsia="lv-LV"/>
              </w:rPr>
            </w:pPr>
            <w:r w:rsidRPr="00C2761A">
              <w:rPr>
                <w:rFonts w:eastAsia="Times New Roman"/>
                <w:color w:val="auto"/>
                <w:lang w:eastAsia="lv-LV"/>
              </w:rPr>
              <w:t>Augstākās izglītības sistēmas efektivitāte ir izšķirošs Latvijas konkurētspējas faktors, kas uzsvērts vairākos attīstības plānošanas dokumentos (Ilgtspējīgas attīstības stratēģijā "Latvija 2030", u.c.). Atbilstoši Izglītības attīstības pamatnostādnēm 2014.–2020.gadam un, ievērojot Eiropas Savienības (turpmāk – ES) Padomes 2013.gada un 2014.gada rekomendācijas par augstākās izglītības reformām, Izglītības un zinātnes ministrija (turpmāk – IZM) turpina īstenot uzsāktās reformas augstākās izglītības jomā, lai sasniegtu galveno mērķi – nodrošināt kvalitatīvu, starptautiski konkurētspējīgu un pētniecībā balstītu augstāko izglītību, ko īsteno efektīvi pārvaldītas institūcijas ar konsolidētiem resursiem.</w:t>
            </w:r>
          </w:p>
          <w:p w:rsidR="00474D3C" w:rsidRPr="00C2761A" w:rsidRDefault="00B829DC" w:rsidP="00D11178">
            <w:pPr>
              <w:pStyle w:val="Default"/>
              <w:ind w:firstLine="567"/>
              <w:jc w:val="both"/>
              <w:rPr>
                <w:rFonts w:eastAsia="Times New Roman"/>
                <w:color w:val="auto"/>
                <w:lang w:eastAsia="lv-LV"/>
              </w:rPr>
            </w:pPr>
            <w:r w:rsidRPr="00C2761A">
              <w:rPr>
                <w:rFonts w:eastAsia="Times New Roman"/>
                <w:color w:val="auto"/>
                <w:lang w:eastAsia="lv-LV"/>
              </w:rPr>
              <w:t xml:space="preserve">Viens no augstākās izglītības kvalitātes nodrošināšanas nosacījumiem ir </w:t>
            </w:r>
            <w:r w:rsidR="00474D3C" w:rsidRPr="00C2761A">
              <w:rPr>
                <w:rFonts w:eastAsia="Times New Roman"/>
                <w:color w:val="auto"/>
                <w:lang w:eastAsia="lv-LV"/>
              </w:rPr>
              <w:t>augstskolu un koledžu (turpmāk arī augstākās izglītības institūcijas) un to īstenoto studiju programmu (studiju virzienu) kvalitātes pārbaude (akreditācija), kuru organizē institūcija, kuras darbība atbilst „Standartiem un vadlīnijām kvalitātes nodrošināšanai Eiropas augstākās izglītības telpā” (</w:t>
            </w:r>
            <w:proofErr w:type="spellStart"/>
            <w:r w:rsidR="00A5372F" w:rsidRPr="00C2761A">
              <w:rPr>
                <w:rFonts w:eastAsia="Times New Roman"/>
                <w:i/>
                <w:color w:val="auto"/>
                <w:lang w:eastAsia="lv-LV"/>
              </w:rPr>
              <w:t>European</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Standards</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and</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Guidelines</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for</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Quality</w:t>
            </w:r>
            <w:proofErr w:type="spellEnd"/>
            <w:r w:rsidR="00A5372F" w:rsidRPr="00C2761A">
              <w:rPr>
                <w:rFonts w:eastAsia="Times New Roman"/>
                <w:i/>
                <w:color w:val="auto"/>
                <w:lang w:eastAsia="lv-LV"/>
              </w:rPr>
              <w:t xml:space="preserve"> </w:t>
            </w:r>
            <w:proofErr w:type="spellStart"/>
            <w:r w:rsidR="00A5372F" w:rsidRPr="00C2761A">
              <w:rPr>
                <w:rFonts w:eastAsia="Times New Roman"/>
                <w:i/>
                <w:color w:val="auto"/>
                <w:lang w:eastAsia="lv-LV"/>
              </w:rPr>
              <w:t>Assurance</w:t>
            </w:r>
            <w:proofErr w:type="spellEnd"/>
            <w:r w:rsidR="00474D3C" w:rsidRPr="00C2761A">
              <w:rPr>
                <w:rFonts w:eastAsia="Times New Roman"/>
                <w:color w:val="auto"/>
                <w:lang w:eastAsia="lv-LV"/>
              </w:rPr>
              <w:t>) (turpmāk arī ESG)</w:t>
            </w:r>
            <w:r w:rsidR="00474D3C" w:rsidRPr="00C2761A">
              <w:rPr>
                <w:rFonts w:eastAsia="Times New Roman"/>
                <w:color w:val="auto"/>
                <w:vertAlign w:val="superscript"/>
                <w:lang w:eastAsia="lv-LV"/>
              </w:rPr>
              <w:footnoteReference w:id="1"/>
            </w:r>
            <w:r w:rsidR="00474D3C" w:rsidRPr="00C2761A">
              <w:rPr>
                <w:rFonts w:eastAsia="Times New Roman"/>
                <w:color w:val="auto"/>
                <w:lang w:eastAsia="lv-LV"/>
              </w:rPr>
              <w:t xml:space="preserve">, kas ir galvenais kvalitātes procesu vērtēšanā </w:t>
            </w:r>
            <w:r w:rsidR="00474D3C" w:rsidRPr="00C2761A">
              <w:rPr>
                <w:rFonts w:eastAsia="Times New Roman"/>
                <w:color w:val="auto"/>
                <w:lang w:eastAsia="lv-LV"/>
              </w:rPr>
              <w:lastRenderedPageBreak/>
              <w:t>izmantojamais dokuments Eiropas augstākās izglītības telpā (turpmāk – EAIT).</w:t>
            </w:r>
          </w:p>
          <w:p w:rsidR="00474D3C" w:rsidRPr="00C2761A" w:rsidRDefault="00474D3C" w:rsidP="00D11178">
            <w:pPr>
              <w:ind w:firstLine="567"/>
              <w:jc w:val="both"/>
            </w:pPr>
            <w:r w:rsidRPr="00C2761A">
              <w:t xml:space="preserve">Šobrīd Latvijā vēl nav tādas institūcijas, kas pilnībā atbilstu ESG vadlīnijām un standartiem un varētu pretendēt uz iekļūšanu Eiropas augstākās izglītības kvalitātes nodrošināšanas reģistrā (turpmāk – EQAR). Lai to nodrošinātu, ir jārada tāda augstākās izglītības ārējās kvalitātes nodrošināšanas sistēma, kas atbilstu Eiropas asociācijas kvalitātes nodrošināšanai augstākajā izglītībā (turpmāk – ENQA) izstrādātajiem standartiem un vadlīnijām kvalitātes nodrošināšanai EAIT, paredzot, ka augstākās izglītības kvalitātes novērtēšanu un regulāru monitoringu veic neatkarīga institūcija ar atbilstošu kapacitāti. </w:t>
            </w:r>
          </w:p>
          <w:p w:rsidR="00474D3C" w:rsidRPr="00C2761A" w:rsidRDefault="00474D3C" w:rsidP="00D11178">
            <w:pPr>
              <w:ind w:firstLine="567"/>
              <w:jc w:val="both"/>
            </w:pPr>
            <w:r w:rsidRPr="00C2761A">
              <w:t>Izglītības attīstības pamatnostādņu 2014.-2020.gadam</w:t>
            </w:r>
            <w:r w:rsidRPr="00C2761A">
              <w:rPr>
                <w:vertAlign w:val="superscript"/>
              </w:rPr>
              <w:footnoteReference w:id="2"/>
            </w:r>
            <w:r w:rsidRPr="00C2761A">
              <w:t xml:space="preserve"> 3.1.rīcības virziens „Izglītības kvalitātes monitoringa sistēmas pilnveide” paredz: „Atbalstu starptautiski atvērtai augstskolu, koledžu un studiju virzienu akreditācijai, izmantojot EQAR reģistrēto institūciju pakalpojumus, vienlaikus sniedzot atbalstu starptautiski konkurētspējīgas nacionālās augstākās izglītības kvalitātes nodrošināšanas institūcijas izveidei”. Iepriekš minētajam 3.1.rīcības virzienam definēts šāds politikas rezultāts: „izveidota nacionālā augstākās izglītības kvalitātes nodrošināšanas institūcija, kas reģistrēta EQAR” un līdz 2017.gada beigām definēts arī rezultatīvais rādītājs: „izveidota un uzturēta augstākās izglītības kvalitātes nodrošināšanas nacionālā institūcija”. </w:t>
            </w:r>
          </w:p>
          <w:p w:rsidR="00474D3C" w:rsidRPr="00C2761A" w:rsidRDefault="00472F1C" w:rsidP="00D11178">
            <w:pPr>
              <w:ind w:firstLine="567"/>
              <w:jc w:val="both"/>
            </w:pPr>
            <w:r>
              <w:t>2015.gada II ceturksnī ir izveidota</w:t>
            </w:r>
            <w:r w:rsidR="00774C6E" w:rsidRPr="00C2761A">
              <w:t xml:space="preserve"> n</w:t>
            </w:r>
            <w:r w:rsidR="00474D3C" w:rsidRPr="00C2761A">
              <w:t>acionāl</w:t>
            </w:r>
            <w:r w:rsidR="00774C6E" w:rsidRPr="00C2761A">
              <w:t>ā</w:t>
            </w:r>
            <w:r w:rsidR="00474D3C" w:rsidRPr="00C2761A">
              <w:t xml:space="preserve"> augstākās izglītības kvalitātes nodrošināšanas institūcij</w:t>
            </w:r>
            <w:r w:rsidR="00774C6E" w:rsidRPr="00C2761A">
              <w:t>a</w:t>
            </w:r>
            <w:r>
              <w:t xml:space="preserve"> (</w:t>
            </w:r>
            <w:r w:rsidRPr="00472F1C">
              <w:t xml:space="preserve">oficiālais nosaukums </w:t>
            </w:r>
            <w:r>
              <w:t>–</w:t>
            </w:r>
            <w:r w:rsidRPr="00472F1C">
              <w:t xml:space="preserve"> Augstākās</w:t>
            </w:r>
            <w:r>
              <w:t xml:space="preserve"> </w:t>
            </w:r>
            <w:r w:rsidRPr="00472F1C">
              <w:t>izglītības kvalitātes aģentūra</w:t>
            </w:r>
            <w:r>
              <w:rPr>
                <w:rStyle w:val="FootnoteReference"/>
              </w:rPr>
              <w:footnoteReference w:id="3"/>
            </w:r>
            <w:r w:rsidRPr="00472F1C">
              <w:t>)</w:t>
            </w:r>
            <w:r w:rsidR="00774C6E" w:rsidRPr="00C2761A">
              <w:t xml:space="preserve">, </w:t>
            </w:r>
            <w:r w:rsidR="00474D3C" w:rsidRPr="00C2761A">
              <w:t>izveides izmaksas sedzot no valsts budžeta līdzekļiem. Eiropas Sociālā fonda (turpmāk – ESF) finansējumu plānots novirzīt nacionālās augstākās izglītības kvalitātes nodrošināšanas institūcijas sākotnējās darbības kvalitātes atbalsta pasākumiem un kapacitātes stiprināšanai ar mērķi iekļūt EQAR.</w:t>
            </w:r>
          </w:p>
          <w:p w:rsidR="00474D3C" w:rsidRPr="00C2761A" w:rsidRDefault="00474D3C" w:rsidP="00D11178">
            <w:pPr>
              <w:ind w:firstLine="567"/>
              <w:jc w:val="both"/>
            </w:pPr>
            <w:r w:rsidRPr="00C2761A">
              <w:t>EQAR aģentūras izmantošana akreditācijā veicinās 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w:t>
            </w:r>
          </w:p>
          <w:p w:rsidR="003B3004" w:rsidRPr="00C2761A" w:rsidRDefault="00474D3C" w:rsidP="00D11178">
            <w:pPr>
              <w:pStyle w:val="ListParagraph"/>
              <w:ind w:left="0" w:firstLine="567"/>
              <w:rPr>
                <w:szCs w:val="24"/>
                <w:lang w:eastAsia="lv-LV"/>
              </w:rPr>
            </w:pPr>
            <w:r w:rsidRPr="00C2761A">
              <w:rPr>
                <w:szCs w:val="24"/>
                <w:lang w:eastAsia="lv-LV"/>
              </w:rPr>
              <w:t xml:space="preserve">Jāatzīmē, ka arī ES Padomes ieteikums par Latvijas 2014.gada valsts reformu programmu un ar ko sniedz Padomes atzinumu par Latvijas 2014.gada stabilitātes programmu Latvijai laikposmā no 2014. gada līdz 2015.gadam (turpmāk – ES </w:t>
            </w:r>
            <w:r w:rsidRPr="00C2761A">
              <w:rPr>
                <w:szCs w:val="24"/>
                <w:lang w:eastAsia="lv-LV"/>
              </w:rPr>
              <w:lastRenderedPageBreak/>
              <w:t>Padomes ieteikums) norāda uz nepieciešamību paātrināt augstākās izglītības reformas īstenošanu, jo īpaši izveidojot neatkarīgu akreditācijas aģentūru, kas stimulētu augstākās izglītības kvalitāti</w:t>
            </w:r>
            <w:r w:rsidRPr="00C2761A">
              <w:rPr>
                <w:vertAlign w:val="superscript"/>
                <w:lang w:eastAsia="lv-LV"/>
              </w:rPr>
              <w:footnoteReference w:id="4"/>
            </w:r>
            <w:r w:rsidRPr="00C2761A">
              <w:rPr>
                <w:szCs w:val="24"/>
                <w:lang w:eastAsia="lv-LV"/>
              </w:rPr>
              <w:t>. Tāpēc ir būtiski veikt pasākumus, lai vidējā termiņā nodrošinātu vismaz vienas Latvijas Republikas institūcijas iekļaušanu EQAR, kas turpmāk organizētu augstākās izglītības akreditāciju atbilstoši Eiropas kvalitātes standartu prasībām.</w:t>
            </w:r>
          </w:p>
          <w:p w:rsidR="00474D3C" w:rsidRPr="00C2761A" w:rsidRDefault="00474D3C" w:rsidP="00D11178">
            <w:pPr>
              <w:pStyle w:val="Default"/>
              <w:jc w:val="both"/>
              <w:rPr>
                <w:rFonts w:eastAsia="Times New Roman"/>
                <w:color w:val="auto"/>
                <w:lang w:eastAsia="lv-LV"/>
              </w:rPr>
            </w:pPr>
          </w:p>
          <w:p w:rsidR="00EB22F0" w:rsidRPr="00C2761A" w:rsidRDefault="005F1AA1" w:rsidP="009111B0">
            <w:pPr>
              <w:ind w:firstLine="720"/>
              <w:jc w:val="both"/>
              <w:rPr>
                <w:i/>
                <w:iCs/>
                <w:u w:val="single"/>
              </w:rPr>
            </w:pPr>
            <w:r w:rsidRPr="00C2761A">
              <w:rPr>
                <w:i/>
                <w:iCs/>
                <w:u w:val="single"/>
              </w:rPr>
              <w:t>Pašreizējā situācija un p</w:t>
            </w:r>
            <w:r w:rsidR="00EB22F0" w:rsidRPr="00C2761A">
              <w:rPr>
                <w:i/>
                <w:iCs/>
                <w:u w:val="single"/>
              </w:rPr>
              <w:t xml:space="preserve">roblēmas </w:t>
            </w:r>
          </w:p>
          <w:p w:rsidR="00F96509" w:rsidRPr="00C2761A" w:rsidRDefault="00F96509" w:rsidP="009111B0">
            <w:pPr>
              <w:ind w:firstLine="720"/>
              <w:jc w:val="both"/>
              <w:rPr>
                <w:i/>
                <w:iCs/>
                <w:u w:val="single"/>
              </w:rPr>
            </w:pPr>
            <w:r w:rsidRPr="00C2761A">
              <w:t xml:space="preserve">Šobrīd gan augstākās izglītības institūciju, gan studiju virzienu akreditāciju, kā arī studiju programmu licencēšanu organizē IZM. Laika posmā no 1996.gada līdz 2012.gadam augstskolu, koledžu un studiju programmu novērtēšanu Latvijā organizēja Augstākās izglītības kvalitātes novērtēšanas centrs (turpmāk – AIKNC), pamatojoties uz Deleģēšanas līgumu ar IZM. 2010.gadā tika veikts AIKNC darbības starptautisks </w:t>
            </w:r>
            <w:proofErr w:type="spellStart"/>
            <w:r w:rsidRPr="00C2761A">
              <w:t>izvērtējums</w:t>
            </w:r>
            <w:proofErr w:type="spellEnd"/>
            <w:r w:rsidRPr="00C2761A">
              <w:t>, kura rezultātā tika atzīts, ka AIKNC pilnībā izpilda tikai 2 no 8 izvirzītajiem kritērijiem</w:t>
            </w:r>
            <w:r w:rsidRPr="00C2761A">
              <w:rPr>
                <w:rStyle w:val="FootnoteReference"/>
              </w:rPr>
              <w:footnoteReference w:id="5"/>
            </w:r>
            <w:r w:rsidRPr="00C2761A">
              <w:t xml:space="preserve">, līdz ar to EQAR reģistrā tas netika iekļauts, kā galveno trūkumu norādot finanšu un cilvēkresursu nepietiekamību. Jāatzīmē, ka Latvijā valsts finansējums ārējās kvalitātes nodrošināšanas aģentūrai netika piešķirts, līdz ar to AIKNC darbība bija atkarīga tikai no augstskolu un koledžu finansējuma. </w:t>
            </w:r>
          </w:p>
          <w:p w:rsidR="00996E1E" w:rsidRPr="00C2761A" w:rsidRDefault="00F96509" w:rsidP="00996E1E">
            <w:pPr>
              <w:ind w:firstLine="567"/>
              <w:jc w:val="both"/>
            </w:pPr>
            <w:r w:rsidRPr="00C2761A">
              <w:t xml:space="preserve">ES Padomes ieteikumā atzīts, ka Latvija nav guvusi panākumus starptautiski atzītas akreditācijas sistēmas izveidē, līdz ar to akreditācijas funkciju atkārtota deleģēšana institūcijai, kuras darbība starptautiski ir neatzīta, radītu draudus augstākās izglītības ārējās kvalitātes nodrošināšanas sistēmas attīstībai. </w:t>
            </w:r>
          </w:p>
          <w:p w:rsidR="00996E1E" w:rsidRPr="00C2761A" w:rsidRDefault="00F96509" w:rsidP="00996E1E">
            <w:pPr>
              <w:ind w:firstLine="567"/>
              <w:jc w:val="both"/>
            </w:pPr>
            <w:r w:rsidRPr="00C2761A">
              <w:t xml:space="preserve">Saskaņā ar 2013.gada 25.aprīlī veiktajiem grozījumiem Ministru kabineta 2012.gada 25.septembra noteikumos Nr.668 „Augstskolu, koledžu un studiju virzienu akreditācijas noteikumi”, kopš 2013.gada maija augstskolu, koledžu un studiju programmu akreditāciju Latvijā organizē IZM. Augstākās izglītības, zinātnes un inovāciju departamentā ir izveidots Studiju akreditācijas sekretariāts, kas sagatavo akreditācijas procesa nodrošināšanai paredzēto dokumentāciju, piedalās komisijas lēmumu projektu sagatavošanā, kā arī to </w:t>
            </w:r>
            <w:proofErr w:type="spellStart"/>
            <w:r w:rsidRPr="00C2761A">
              <w:t>pirmspārbaudē</w:t>
            </w:r>
            <w:proofErr w:type="spellEnd"/>
            <w:r w:rsidRPr="00C2761A">
              <w:t xml:space="preserve"> un organizē ekspertu darbu. Lai organizētu studiju virzienu un studiju programmu kvalitātes novērtēšanu, ir izveidota ekspertu datu bāze, kuru uztur IZM. Vienlaikus akreditācijas vajadzībām Izglītības kvalitātes valsts dienestā (turpmāk – IKVD) ir izveidota studiju virzienu datu bāze (Studiju virzienu reģistrs), kas daļēji ir </w:t>
            </w:r>
            <w:r w:rsidRPr="00C2761A">
              <w:lastRenderedPageBreak/>
              <w:t xml:space="preserve">papildināta ar informāciju no AIKNC datu bāzes par augstskolu, koledžu un studiju programmu licencēšanu un akreditāciju Latvijā, kā arī publiski pieejama informācija par akreditētajiem studiju virzieniem. </w:t>
            </w:r>
          </w:p>
          <w:p w:rsidR="00996E1E" w:rsidRPr="00C2761A" w:rsidRDefault="00F96509" w:rsidP="00996E1E">
            <w:pPr>
              <w:ind w:firstLine="567"/>
              <w:jc w:val="both"/>
            </w:pPr>
            <w:r w:rsidRPr="00C2761A">
              <w:t xml:space="preserve">Pašreizējai akreditācijas sistēmai ir vairākas nepilnības. Pastāv tikai atsevišķi kvalitātes nodrošināšanas sistēmas elementi un to nevar nosaukt par vienotu sistēmu, kas atbilstu ESG prasībām. Bieži akreditācijas un licencēšanas nodrošināšanas process ietver nelietderīgus soļus un darbības, kas primāri saistītas ar starpinstitūciju sadarbības trūkumu. Augstākās izglītības institūcijām ir ievērojams administratīvais slogs, kas saistīts ar atkārtotu informācijas iesniegšanu novērtēšanas vajadzībām, formālu prasību atkārtošanu ikgadējos pašnovērtējumu ziņojumos. Šobrīd Latvijā nav vienas institūcijas, kas pilnībā nodrošinātu akreditāciju un licencēšanu, trūkst vienuviet pieejamas pilnīgas un ticamas informācijas. Trūkst vienotas augstākās izglītības kvalitātes nodrošināšanas procesa vadības, netiek nodrošināts pastāvīgs kvalitātes monitorings. Ņemot vērā, ka kvalitātes nodrošināšanas procesi ir atrauti viens no otra, trūkst skaidru kvalitātes novērtēšanas procedūru, kas ir vērstas uz pastāvīgu kvalitātes uzlabošanu. Licencēšanas un akreditācijas procedūras ieviestas atšķirīgos laika posmos, izveidojot nošķirtas procedūras, kas nav izprotamas un pārskatāmas sabiedrībai. Juridiskais ietvars ir sadrumstalots un tiesību normas, kas ir noteiktas dažādos normatīvajos aktos, ne vienmēr ir saskaņotas. </w:t>
            </w:r>
          </w:p>
          <w:p w:rsidR="00F96509" w:rsidRPr="00C2761A" w:rsidRDefault="00F96509" w:rsidP="00D11178">
            <w:pPr>
              <w:ind w:firstLine="720"/>
              <w:jc w:val="both"/>
            </w:pPr>
            <w:r w:rsidRPr="00C2761A">
              <w:t xml:space="preserve">Nepastāvot vienai ārējās kvalitātes nodrošināšanas institūcijai ar stabilu finansējumu un adekvātu administratīvo kapacitāti, ārējās kvalitātes nodrošināšanas sistēma ir sarežģīti vadāma un rada nelietderīgi izmantotu resursu riskus (piemēram, pastāvīgi apmācot darbiniekus, kas strauji mainās nenoteiktās karjeras perspektīvas dēļ), kā arī riskus kvalitatīvi pārvaldīt informācijas plūsmas. Jāņem vērā, ka sistēmas „darba priekšmets” – augstākās izglītības programmas un augstākās izglītības institūcijas – ir ļoti mainīgs objekts, jo augstskolas un koledžas dabiski ir ieinteresētas veidot jaunas studiju programmas, mainīt līdzšinējās, kā arī uzkrājamās informācijas apjoms ir liels un tās pēctecības uzturēšana ir svarīga no </w:t>
            </w:r>
            <w:proofErr w:type="spellStart"/>
            <w:r w:rsidRPr="00C2761A">
              <w:t>diplomatzīšanas</w:t>
            </w:r>
            <w:proofErr w:type="spellEnd"/>
            <w:r w:rsidRPr="00C2761A">
              <w:t xml:space="preserve"> viedokļa. Savukārt starptautiskajai </w:t>
            </w:r>
            <w:proofErr w:type="spellStart"/>
            <w:r w:rsidRPr="00C2761A">
              <w:t>diplomatzīšanas</w:t>
            </w:r>
            <w:proofErr w:type="spellEnd"/>
            <w:r w:rsidRPr="00C2761A">
              <w:t xml:space="preserve"> sistēmai principiāli svarīgi ir uzturēt pilnu informāciju par iepriekšējos periodos pastāvējušām studiju programmām, augstskolām un koledžām un to akreditāciju.</w:t>
            </w:r>
          </w:p>
          <w:p w:rsidR="00F96509" w:rsidRPr="00C2761A" w:rsidRDefault="00F96509" w:rsidP="00D11178">
            <w:pPr>
              <w:ind w:firstLine="720"/>
              <w:jc w:val="both"/>
            </w:pPr>
            <w:r w:rsidRPr="00C2761A">
              <w:t xml:space="preserve">2014.gada 20.jūnijā Eiropas Komisijas apstiprinātais Latvijas Partnerības līgums Eiropas Savienības investīciju fondu 2014. - 2020.gada plānošanas periodam (turpmāk – Partnerības līgums) nosaka, ka: “(170)... Nacionālo aģentūru plānots izveidot 2015.gadā, izveides izmaksas sedzot no valsts budžeta līdzekļiem. EQAR aģentūras izmantošana akreditācijā veicinās </w:t>
            </w:r>
            <w:r w:rsidRPr="00C2761A">
              <w:lastRenderedPageBreak/>
              <w:t>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w:t>
            </w:r>
          </w:p>
          <w:p w:rsidR="009111B0" w:rsidRPr="00C2761A" w:rsidRDefault="00F96509" w:rsidP="00D11178">
            <w:pPr>
              <w:ind w:firstLine="720"/>
              <w:jc w:val="both"/>
            </w:pPr>
            <w:r w:rsidRPr="00C2761A">
              <w:t>Lai izvērtētu akreditācijas institūcijas izveidošanas iespējas jau 2015.gadā, kā to paredz Partnerības līgums, IZM izstrādāja koncepciju „Latvijas augstākās izglītības ārējās kvalitātes nodrošināšanas sistēmas pilnveide"</w:t>
            </w:r>
            <w:r w:rsidRPr="00C2761A">
              <w:rPr>
                <w:rStyle w:val="FootnoteReference"/>
                <w:bCs/>
                <w:noProof/>
              </w:rPr>
              <w:footnoteReference w:id="6"/>
            </w:r>
            <w:r w:rsidRPr="00C2761A">
              <w:t xml:space="preserve"> (turpmāk – koncepcija) (pieņemta ar MK 2014.gada 3.novembra rīkojumu Nr.640)</w:t>
            </w:r>
            <w:r w:rsidRPr="00C2761A">
              <w:rPr>
                <w:rStyle w:val="FootnoteReference"/>
                <w:bCs/>
                <w:noProof/>
              </w:rPr>
              <w:footnoteReference w:id="7"/>
            </w:r>
            <w:r w:rsidRPr="00C2761A">
              <w:t>, kas ir ar sociālajiem partneriem saskaņots redzējums par ilgtspējīgas augstākās izglītības kvalitātes nodrošināšanas institucionālās sistēmas izveidi. Koncepcijā ir raksturota esošā situācija augstākās izglītības kvalitātes nodrošināšanas jomā Latvijā un EAIT valstīs, izvērtēta Latvijas augstākās izglītības kvalitātes nodrošināšanas sistēma, izskatot iespējamos variantus augstākās izglītības kvalitātes nodrošināšanas institūcijas izveidei  un sniedzot priekšlikumu šādas institūcijas izveidei ar mērķi uzlabot augstākās izglītības kvalitātes nodrošināšanas sistēmu.</w:t>
            </w:r>
          </w:p>
          <w:p w:rsidR="00F96509" w:rsidRPr="00C2761A" w:rsidRDefault="00B829DC" w:rsidP="00D11178">
            <w:pPr>
              <w:ind w:firstLine="720"/>
              <w:jc w:val="both"/>
            </w:pPr>
            <w:r w:rsidRPr="00C2761A">
              <w:t>Koncepcijā tiek izvērtēti un salīdzināti četri iespējamie varianti:</w:t>
            </w:r>
          </w:p>
          <w:p w:rsidR="00F96509" w:rsidRPr="00C2761A" w:rsidRDefault="00B829DC" w:rsidP="009111B0">
            <w:pPr>
              <w:pStyle w:val="ListParagraph"/>
              <w:numPr>
                <w:ilvl w:val="0"/>
                <w:numId w:val="29"/>
              </w:numPr>
              <w:ind w:left="0" w:firstLine="357"/>
              <w:rPr>
                <w:szCs w:val="24"/>
                <w:lang w:eastAsia="lv-LV"/>
              </w:rPr>
            </w:pPr>
            <w:r w:rsidRPr="00C2761A">
              <w:rPr>
                <w:szCs w:val="24"/>
                <w:lang w:eastAsia="lv-LV"/>
              </w:rPr>
              <w:t>veidot jaunu institūciju, kas veiktu augstskolu, koledžu un studiju virzienu akreditācijas un studiju programmu licencēšanas organizēšanu un citas ar ārējās kvalitātes nodrošināšanu saistītas funkcijas;</w:t>
            </w:r>
          </w:p>
          <w:p w:rsidR="00F96509" w:rsidRPr="00C2761A" w:rsidRDefault="00B829DC" w:rsidP="009111B0">
            <w:pPr>
              <w:pStyle w:val="ListParagraph"/>
              <w:numPr>
                <w:ilvl w:val="0"/>
                <w:numId w:val="29"/>
              </w:numPr>
              <w:ind w:left="0" w:firstLine="357"/>
              <w:rPr>
                <w:szCs w:val="24"/>
                <w:lang w:eastAsia="lv-LV"/>
              </w:rPr>
            </w:pPr>
            <w:r w:rsidRPr="00C2761A">
              <w:rPr>
                <w:szCs w:val="24"/>
                <w:lang w:eastAsia="lv-LV"/>
              </w:rPr>
              <w:t>kvalitātes nodrošināšanas (akreditācijas un licencēšanas) funkcijas nodot Izglītības kvalitātes valsts dienestam;</w:t>
            </w:r>
          </w:p>
          <w:p w:rsidR="00F96509" w:rsidRPr="00C2761A" w:rsidRDefault="00B829DC" w:rsidP="009111B0">
            <w:pPr>
              <w:pStyle w:val="ListParagraph"/>
              <w:numPr>
                <w:ilvl w:val="0"/>
                <w:numId w:val="29"/>
              </w:numPr>
              <w:spacing w:before="75" w:after="75"/>
              <w:ind w:left="0" w:firstLine="357"/>
              <w:rPr>
                <w:szCs w:val="24"/>
                <w:lang w:eastAsia="lv-LV"/>
              </w:rPr>
            </w:pPr>
            <w:r w:rsidRPr="00C2761A">
              <w:rPr>
                <w:szCs w:val="24"/>
                <w:lang w:eastAsia="lv-LV"/>
              </w:rPr>
              <w:t>kvalitātes nodrošināšanas (akreditācijas un licencēšanas) funkcijas nodot Augstākās izglītības padomei;</w:t>
            </w:r>
          </w:p>
          <w:p w:rsidR="00F96509" w:rsidRPr="00C2761A" w:rsidRDefault="00B829DC" w:rsidP="009111B0">
            <w:pPr>
              <w:pStyle w:val="ListParagraph"/>
              <w:numPr>
                <w:ilvl w:val="0"/>
                <w:numId w:val="29"/>
              </w:numPr>
              <w:spacing w:before="75" w:after="75"/>
              <w:ind w:left="0" w:firstLine="357"/>
              <w:rPr>
                <w:szCs w:val="24"/>
                <w:lang w:eastAsia="lv-LV"/>
              </w:rPr>
            </w:pPr>
            <w:r w:rsidRPr="00C2761A">
              <w:rPr>
                <w:szCs w:val="24"/>
                <w:lang w:eastAsia="lv-LV"/>
              </w:rPr>
              <w:t>kvalitātes nodrošināšanas (akreditācijas un licencēšanas) funkcijas nodot Akadēmiskās informācijas centram (turpmāk– AIC).</w:t>
            </w:r>
          </w:p>
          <w:p w:rsidR="00F96509" w:rsidRPr="00C2761A" w:rsidRDefault="00B829DC" w:rsidP="00D11178">
            <w:pPr>
              <w:ind w:firstLine="720"/>
              <w:jc w:val="both"/>
            </w:pPr>
            <w:proofErr w:type="spellStart"/>
            <w:r w:rsidRPr="00C2761A">
              <w:t>Izvērtējuma</w:t>
            </w:r>
            <w:proofErr w:type="spellEnd"/>
            <w:r w:rsidRPr="00C2761A">
              <w:t xml:space="preserve"> rezultātā kā racionālākais tika </w:t>
            </w:r>
            <w:r w:rsidR="00F96509" w:rsidRPr="00C2761A">
              <w:t xml:space="preserve">atzīts 4.variants, kas paredz akreditācijas aģentūru veidot uz AIC bāzes, izveidojot tajā kvalitātes nodrošināšanas struktūrvienību (Augstākās izglītības kvalitātes nodrošināšanas departamentu). Tā kompetencē būtu organizēt augstskolu, koledžu un studiju virzienu akreditāciju un studiju programmu licencēšanu, sākot no augstskolu un koledžu pašnovērtējuma ziņojuma saņemšanas (sniedzot arī atbalstu pašnovērtējuma sagatavošanā), akreditācijas vajadzībām nepieciešamās datu bāzes uzturēšanas, ekspertu atlases un vizītes sagatavošanas, līdz lēmuma pieņemšanas sagatavošanai. Līdz ar to AIC būtu tā iestāde, kas pilda kvalitātes nodrošināšanas funkciju, veicot regulāru kvalitātes monitoringu, sniedzot atbalstu gan augstskolām un koledžām, gan ekspertiem, organizējot ekspertu apmācību un informatīvus seminārus </w:t>
            </w:r>
            <w:r w:rsidR="00F96509" w:rsidRPr="00C2761A">
              <w:lastRenderedPageBreak/>
              <w:t>augstskolām un koledžām, nodrošinot ticamas informācijas publisku pieejamību.</w:t>
            </w:r>
          </w:p>
          <w:p w:rsidR="00F96509" w:rsidRPr="00C2761A" w:rsidRDefault="00F96509" w:rsidP="00D11178">
            <w:pPr>
              <w:ind w:firstLine="720"/>
              <w:contextualSpacing/>
              <w:jc w:val="both"/>
            </w:pPr>
            <w:r w:rsidRPr="00C2761A">
              <w:t>Šis priekšlikums guva arī Latvijas valdības atbalstu – MK 2014.gada 3.novembra rīkojuma Nr.640 (prot. Nr. 59 30.§)</w:t>
            </w:r>
            <w:r w:rsidRPr="00C2761A">
              <w:rPr>
                <w:rStyle w:val="FootnoteReference"/>
                <w:bCs/>
                <w:noProof/>
              </w:rPr>
              <w:t xml:space="preserve"> </w:t>
            </w:r>
            <w:r w:rsidRPr="00C2761A">
              <w:rPr>
                <w:rStyle w:val="FootnoteReference"/>
                <w:bCs/>
                <w:noProof/>
              </w:rPr>
              <w:footnoteReference w:id="8"/>
            </w:r>
            <w:r w:rsidRPr="00C2761A">
              <w:t xml:space="preserve"> 1.punkts paredz atbalstīt koncepcijā ietverto risinājumu – akreditācijas un licencēšanas organizēšanas funkciju nodot AIC.</w:t>
            </w:r>
          </w:p>
          <w:p w:rsidR="00BF21EA" w:rsidRPr="00C2761A" w:rsidRDefault="00BF21EA" w:rsidP="00D11178">
            <w:pPr>
              <w:jc w:val="both"/>
              <w:rPr>
                <w:i/>
                <w:color w:val="000000"/>
                <w:u w:val="single"/>
              </w:rPr>
            </w:pPr>
          </w:p>
          <w:p w:rsidR="00E47057" w:rsidRPr="00C2761A" w:rsidRDefault="00E47057" w:rsidP="009111B0">
            <w:pPr>
              <w:ind w:firstLine="720"/>
              <w:jc w:val="both"/>
              <w:rPr>
                <w:i/>
                <w:color w:val="000000"/>
                <w:u w:val="single"/>
              </w:rPr>
            </w:pPr>
            <w:r w:rsidRPr="00C2761A">
              <w:rPr>
                <w:i/>
                <w:color w:val="000000"/>
                <w:u w:val="single"/>
              </w:rPr>
              <w:t>Tiesiskā regulējuma mērķis un būtība</w:t>
            </w:r>
          </w:p>
          <w:p w:rsidR="0068284C" w:rsidRPr="00C858D8" w:rsidRDefault="00B66E72" w:rsidP="009111B0">
            <w:pPr>
              <w:ind w:firstLine="720"/>
              <w:jc w:val="both"/>
            </w:pPr>
            <w:r w:rsidRPr="00C2761A">
              <w:t>Ar noteikumu projektu tiks noteikts tiesisk</w:t>
            </w:r>
            <w:r w:rsidR="00515BB7" w:rsidRPr="00C2761A">
              <w:t>ai</w:t>
            </w:r>
            <w:r w:rsidRPr="00C2761A">
              <w:t xml:space="preserve">s ietvars </w:t>
            </w:r>
            <w:r w:rsidR="00515BB7" w:rsidRPr="00C2761A">
              <w:t xml:space="preserve">specifiskā atbalsta mērķa 8.2.4 „Nodrošināt atbalstu EQAR aģentūrai izvirzīto prasību izpildei” (turpmāk – SAM 8.2.4.) </w:t>
            </w:r>
            <w:r w:rsidRPr="00C2761A">
              <w:t xml:space="preserve">īstenošanai, lai sasniegtu izvirzīto </w:t>
            </w:r>
            <w:r w:rsidR="00B829DC" w:rsidRPr="00C2761A">
              <w:rPr>
                <w:b/>
              </w:rPr>
              <w:t>SAM 8.2.4. mērķi</w:t>
            </w:r>
            <w:r w:rsidRPr="00C2761A">
              <w:t xml:space="preserve"> </w:t>
            </w:r>
            <w:r w:rsidR="00515BB7" w:rsidRPr="00C2761A">
              <w:t xml:space="preserve">– </w:t>
            </w:r>
            <w:r w:rsidRPr="00C2761A">
              <w:t xml:space="preserve">nodrošināt atbalstu EQAR aģentūrai izvirzīto prasību izpildei. </w:t>
            </w:r>
            <w:r w:rsidR="00515BB7" w:rsidRPr="00C2761A">
              <w:t>N</w:t>
            </w:r>
            <w:r w:rsidR="00321929" w:rsidRPr="00C2761A">
              <w:t>oteikumu projekt</w:t>
            </w:r>
            <w:r w:rsidRPr="00C2761A">
              <w:t>s</w:t>
            </w:r>
            <w:r w:rsidR="00321929" w:rsidRPr="00C2761A">
              <w:t xml:space="preserve"> nosaka </w:t>
            </w:r>
            <w:r w:rsidR="0068284C" w:rsidRPr="00C2761A">
              <w:t xml:space="preserve">kārtību, kādā īsteno </w:t>
            </w:r>
            <w:r w:rsidRPr="00C2761A">
              <w:t>SAM</w:t>
            </w:r>
            <w:r w:rsidR="00515BB7" w:rsidRPr="00C2761A">
              <w:t xml:space="preserve"> 8.2.4.</w:t>
            </w:r>
            <w:r w:rsidR="0068284C" w:rsidRPr="00C2761A">
              <w:t xml:space="preserve">, </w:t>
            </w:r>
            <w:r w:rsidR="0041100B" w:rsidRPr="00C2761A">
              <w:t xml:space="preserve">mērķi un mērķa grupu, </w:t>
            </w:r>
            <w:r w:rsidR="00732323" w:rsidRPr="00C858D8">
              <w:t xml:space="preserve">pieejamo </w:t>
            </w:r>
            <w:r w:rsidR="0041100B" w:rsidRPr="00C858D8">
              <w:t xml:space="preserve">finansējumu, sasniedzamos uzraudzības rādītājus, </w:t>
            </w:r>
            <w:r w:rsidR="0068284C" w:rsidRPr="00C858D8">
              <w:t>prasības projekta iesniedzējam</w:t>
            </w:r>
            <w:r w:rsidR="0041100B" w:rsidRPr="00C858D8">
              <w:t xml:space="preserve"> un sadarbības partnerim</w:t>
            </w:r>
            <w:r w:rsidR="0068284C" w:rsidRPr="00C858D8">
              <w:t xml:space="preserve">, atbalstāmās darbības, izmaksu </w:t>
            </w:r>
            <w:proofErr w:type="spellStart"/>
            <w:r w:rsidR="0068284C" w:rsidRPr="00C858D8">
              <w:t>attiecināmības</w:t>
            </w:r>
            <w:proofErr w:type="spellEnd"/>
            <w:r w:rsidR="0041100B" w:rsidRPr="00C858D8">
              <w:t xml:space="preserve"> nosacījumus</w:t>
            </w:r>
            <w:r w:rsidR="00732323" w:rsidRPr="00C858D8">
              <w:t>,</w:t>
            </w:r>
            <w:r w:rsidR="00732323" w:rsidRPr="00C858D8">
              <w:rPr>
                <w:sz w:val="28"/>
                <w:szCs w:val="28"/>
              </w:rPr>
              <w:t xml:space="preserve"> </w:t>
            </w:r>
            <w:r w:rsidR="00690AA7" w:rsidRPr="00C858D8">
              <w:t>vienkāršoto izmaksu piemērošanas nosacījumus un kārtību, kā arī</w:t>
            </w:r>
            <w:r w:rsidR="00F94810" w:rsidRPr="00C858D8">
              <w:rPr>
                <w:sz w:val="28"/>
                <w:szCs w:val="28"/>
              </w:rPr>
              <w:t xml:space="preserve"> </w:t>
            </w:r>
            <w:r w:rsidR="0068284C" w:rsidRPr="00C858D8">
              <w:t>projekt</w:t>
            </w:r>
            <w:r w:rsidR="0041100B" w:rsidRPr="00C858D8">
              <w:t>a īstenošanas nosacījumus, tai skaitā</w:t>
            </w:r>
            <w:r w:rsidR="0068284C" w:rsidRPr="00C858D8">
              <w:t xml:space="preserve"> </w:t>
            </w:r>
            <w:r w:rsidR="0041100B" w:rsidRPr="00C858D8">
              <w:t>līguma</w:t>
            </w:r>
            <w:r w:rsidR="0068284C" w:rsidRPr="00C858D8">
              <w:t xml:space="preserve"> par projekta īstenošanu v</w:t>
            </w:r>
            <w:r w:rsidR="0041100B" w:rsidRPr="00C858D8">
              <w:t>ienpusēja uzteikuma nosacījumus.</w:t>
            </w:r>
            <w:r w:rsidR="0068284C" w:rsidRPr="00C858D8">
              <w:t xml:space="preserve"> </w:t>
            </w:r>
          </w:p>
          <w:p w:rsidR="00F75F36" w:rsidRPr="00C2761A" w:rsidRDefault="00B829DC" w:rsidP="009111B0">
            <w:pPr>
              <w:ind w:firstLine="720"/>
              <w:jc w:val="both"/>
            </w:pPr>
            <w:r w:rsidRPr="00C2761A">
              <w:t>SAM 8.2.4. ietvaros paredzēts atbalsts</w:t>
            </w:r>
            <w:r w:rsidR="00F75F36" w:rsidRPr="00C2761A">
              <w:t xml:space="preserve"> akreditācijas aģentūra</w:t>
            </w:r>
            <w:r w:rsidR="00F075EC" w:rsidRPr="00C2761A">
              <w:t>s</w:t>
            </w:r>
            <w:r w:rsidR="00F75F36" w:rsidRPr="00C2761A">
              <w:t xml:space="preserve"> sākotnējās darbības kvalitātes atbalsta pasākumiem un kapacitātes stiprināšanai </w:t>
            </w:r>
            <w:r w:rsidR="004C77F0" w:rsidRPr="00C2761A">
              <w:t xml:space="preserve">ar kopējo attiecināmo </w:t>
            </w:r>
            <w:r w:rsidRPr="00C2761A">
              <w:rPr>
                <w:b/>
              </w:rPr>
              <w:t>finansējumu</w:t>
            </w:r>
            <w:r w:rsidR="004C77F0" w:rsidRPr="00C2761A">
              <w:t xml:space="preserve"> </w:t>
            </w:r>
            <w:r w:rsidR="00F75F36" w:rsidRPr="00C2761A">
              <w:t xml:space="preserve">1 500 000 </w:t>
            </w:r>
            <w:proofErr w:type="spellStart"/>
            <w:r w:rsidR="00386D54" w:rsidRPr="00C2761A">
              <w:rPr>
                <w:i/>
              </w:rPr>
              <w:t>euro</w:t>
            </w:r>
            <w:proofErr w:type="spellEnd"/>
            <w:r w:rsidR="00386D54" w:rsidRPr="00C2761A">
              <w:t xml:space="preserve"> </w:t>
            </w:r>
            <w:r w:rsidR="00F75F36" w:rsidRPr="00C2761A">
              <w:t>apmērā</w:t>
            </w:r>
            <w:r w:rsidR="0041100B" w:rsidRPr="00C2761A">
              <w:t>, tai</w:t>
            </w:r>
            <w:r w:rsidR="00F75F36" w:rsidRPr="00C2761A">
              <w:t xml:space="preserve"> skaitā  ESF</w:t>
            </w:r>
            <w:r w:rsidR="00321929" w:rsidRPr="00C2761A">
              <w:t xml:space="preserve"> </w:t>
            </w:r>
            <w:r w:rsidR="00F75F36" w:rsidRPr="00C2761A">
              <w:t xml:space="preserve">finansējums – 1 275 000 </w:t>
            </w:r>
            <w:proofErr w:type="spellStart"/>
            <w:r w:rsidR="00386D54" w:rsidRPr="00C2761A">
              <w:rPr>
                <w:i/>
              </w:rPr>
              <w:t>euro</w:t>
            </w:r>
            <w:proofErr w:type="spellEnd"/>
            <w:r w:rsidR="00F75F36" w:rsidRPr="00C2761A">
              <w:t xml:space="preserve">. </w:t>
            </w:r>
            <w:r w:rsidRPr="00C2761A">
              <w:rPr>
                <w:b/>
              </w:rPr>
              <w:t>Ierobežotu projektu atlasi</w:t>
            </w:r>
            <w:r w:rsidR="0041100B" w:rsidRPr="00C2761A">
              <w:t>, uzaicinot AIC kā vienīgo pretendentu, plānots īstenot 2015.gada 3.ceturksnī</w:t>
            </w:r>
            <w:r w:rsidR="00AC21F3" w:rsidRPr="00C2761A">
              <w:t xml:space="preserve">. </w:t>
            </w:r>
            <w:r w:rsidR="0041100B" w:rsidRPr="00C2761A">
              <w:t xml:space="preserve">Plānotais </w:t>
            </w:r>
            <w:r w:rsidRPr="00C2761A">
              <w:rPr>
                <w:b/>
              </w:rPr>
              <w:t>projekta ilgums</w:t>
            </w:r>
            <w:r w:rsidR="0041100B" w:rsidRPr="00C2761A">
              <w:t xml:space="preserve"> aptuveni 3 – 3,5 gadi. Projekta ieviešanas nosacījums – nodrošināt, ka līdz 2018.gada beigām ir iesniegti visi nepieciešamie dokumenti akreditācijas aģentūras reģistrēšanai EQAR. Sasniedzamais projekta rezultāta rādītājs – ESF atbalstu saņēmusī institūcija atbilst EQAR aģentūrai izvirzītajām prasībām.</w:t>
            </w:r>
          </w:p>
          <w:p w:rsidR="00503FA0" w:rsidRPr="00C2761A" w:rsidRDefault="005B58FB" w:rsidP="005B58FB">
            <w:pPr>
              <w:pStyle w:val="CommentText"/>
              <w:jc w:val="both"/>
            </w:pPr>
            <w:r w:rsidRPr="00C2761A">
              <w:rPr>
                <w:sz w:val="24"/>
                <w:szCs w:val="24"/>
              </w:rPr>
              <w:t xml:space="preserve">         </w:t>
            </w:r>
            <w:r w:rsidR="00503FA0" w:rsidRPr="00C2761A">
              <w:rPr>
                <w:sz w:val="24"/>
                <w:szCs w:val="24"/>
              </w:rPr>
              <w:t>Vienlaikus jāņem vērā, ka akreditācijas aģentūras novērtēšanas process un lēmuma pieņemšana par reģistrēšanu EQAR ir atkarīga no citu institūciju darba. Lēmums par reģistrēšanu EQAR var arī netikt pieņemts 2019.gadā,</w:t>
            </w:r>
            <w:r w:rsidR="00503FA0" w:rsidRPr="00C2761A">
              <w:rPr>
                <w:sz w:val="24"/>
                <w:szCs w:val="24"/>
                <w:vertAlign w:val="superscript"/>
              </w:rPr>
              <w:footnoteReference w:id="9"/>
            </w:r>
            <w:r w:rsidR="00503FA0" w:rsidRPr="00C2761A">
              <w:rPr>
                <w:sz w:val="24"/>
                <w:szCs w:val="24"/>
              </w:rPr>
              <w:t xml:space="preserve"> jo novērtēšana ir jāgaida pat līdz vienam gadam, rezultātu paziņošana – pusgadu. Lēmums par reģistrēšanu EQAR var būt arī negatīvs no akreditācijas aģentūras neatkarīgu iemeslu dēļ (piešķirtais valsts budžeta finansējums nenodrošina institūcijas neatkarību, nepietiekama pieredze akreditāciju veikšanā). Citu valstu pieredze liecina, ka negatīvs lēmums par reģistrēšanu EQAR ir ticis pieņemts nepietiekama institūcijas finansējuma dēļ.</w:t>
            </w:r>
            <w:r w:rsidRPr="00C2761A">
              <w:rPr>
                <w:sz w:val="24"/>
                <w:szCs w:val="24"/>
              </w:rPr>
              <w:t xml:space="preserve"> </w:t>
            </w:r>
            <w:r w:rsidRPr="00C2761A">
              <w:rPr>
                <w:sz w:val="24"/>
                <w:szCs w:val="24"/>
              </w:rPr>
              <w:lastRenderedPageBreak/>
              <w:t xml:space="preserve">Atsaukties uz konkrētas valsts pieredzi nav iespējams, jo   negatīvos lēmumus EQAR nepublicē. </w:t>
            </w:r>
            <w:r w:rsidR="00071DE1" w:rsidRPr="00C2761A">
              <w:rPr>
                <w:sz w:val="24"/>
                <w:szCs w:val="24"/>
              </w:rPr>
              <w:t>V</w:t>
            </w:r>
            <w:r w:rsidR="004C794F" w:rsidRPr="00C2761A">
              <w:rPr>
                <w:sz w:val="24"/>
                <w:szCs w:val="24"/>
              </w:rPr>
              <w:t xml:space="preserve">iens no </w:t>
            </w:r>
            <w:r w:rsidRPr="00C2761A">
              <w:rPr>
                <w:sz w:val="24"/>
                <w:szCs w:val="24"/>
              </w:rPr>
              <w:t>galvena</w:t>
            </w:r>
            <w:r w:rsidR="004C794F" w:rsidRPr="00C2761A">
              <w:rPr>
                <w:sz w:val="24"/>
                <w:szCs w:val="24"/>
              </w:rPr>
              <w:t>jiem iemesliem</w:t>
            </w:r>
            <w:r w:rsidRPr="00C2761A">
              <w:rPr>
                <w:sz w:val="24"/>
                <w:szCs w:val="24"/>
              </w:rPr>
              <w:t>, kādēļ AIKNC tika atteikta reģistrēšana EQAR, bija nepietiekams finansējums.</w:t>
            </w:r>
            <w:r w:rsidRPr="00C2761A">
              <w:rPr>
                <w:rStyle w:val="FootnoteReference"/>
                <w:bCs/>
                <w:noProof/>
              </w:rPr>
              <w:t xml:space="preserve"> </w:t>
            </w:r>
            <w:r w:rsidRPr="00C2761A">
              <w:rPr>
                <w:rStyle w:val="FootnoteReference"/>
                <w:bCs/>
                <w:noProof/>
              </w:rPr>
              <w:footnoteReference w:id="10"/>
            </w:r>
          </w:p>
          <w:p w:rsidR="005B58FB" w:rsidRPr="00C2761A" w:rsidRDefault="00503FA0" w:rsidP="000A5BB7">
            <w:pPr>
              <w:ind w:firstLine="720"/>
              <w:jc w:val="both"/>
            </w:pPr>
            <w:r w:rsidRPr="00C2761A">
              <w:t>Plānots, ka lēmums par akreditācijas aģentūras reģistrēšanu EQAR tiks pieņemts 2019.gadā, taču ievērojot iepriekš minētos riskus, tas ir iespējams arī vēlākā laika posmā.</w:t>
            </w:r>
            <w:r w:rsidR="005B58FB" w:rsidRPr="00C2761A">
              <w:t xml:space="preserve"> Atkārtota dokumentu iesniegšana EQAR ir iespējama pēc trīs gadu perioda un tai jābūt balstītai uz ārējo novērtējumu. Ja problēmas, kas novedušas pie negatīva lēmuma, var tikt atrisinātas īsākā laika periodā vai arī akreditācijas aģentūra, iesniedzot EQAR atbilstošu dokumentāciju, var apliecināt to, ka problēmas ir atrisinātas apmierinošā līmenī, akreditācijas aģentūra tiks uzaicināta pieteikties atkārtotai uzņemšanai ātrāk vai arī bez jauna ārējā novērtējuma. Ja tiks pieņemts negatīvs lēmums, tad iespējamā rīcība tiks norādīta EQAR atteikuma vēstulē.</w:t>
            </w:r>
          </w:p>
          <w:p w:rsidR="002444D7" w:rsidRPr="00C2761A" w:rsidRDefault="00B829DC" w:rsidP="002444D7">
            <w:pPr>
              <w:spacing w:before="75" w:after="75"/>
              <w:ind w:firstLine="720"/>
              <w:jc w:val="both"/>
              <w:rPr>
                <w:rFonts w:eastAsiaTheme="minorHAnsi"/>
                <w:b/>
              </w:rPr>
            </w:pPr>
            <w:r w:rsidRPr="00C2761A">
              <w:rPr>
                <w:rFonts w:eastAsiaTheme="minorHAnsi"/>
                <w:b/>
              </w:rPr>
              <w:t xml:space="preserve">Problēmas, ko nav iespējams risināt </w:t>
            </w:r>
            <w:r w:rsidR="007A0F64" w:rsidRPr="00C2761A">
              <w:rPr>
                <w:rFonts w:eastAsiaTheme="minorHAnsi"/>
                <w:b/>
              </w:rPr>
              <w:t>ES</w:t>
            </w:r>
            <w:r w:rsidRPr="00C2761A">
              <w:rPr>
                <w:rFonts w:eastAsiaTheme="minorHAnsi"/>
                <w:b/>
              </w:rPr>
              <w:t xml:space="preserve"> fondu atbalsta ietvaros</w:t>
            </w:r>
          </w:p>
          <w:p w:rsidR="002444D7" w:rsidRPr="00C2761A" w:rsidRDefault="007A0F64" w:rsidP="002444D7">
            <w:pPr>
              <w:ind w:firstLine="720"/>
              <w:jc w:val="both"/>
            </w:pPr>
            <w:r w:rsidRPr="00C2761A">
              <w:rPr>
                <w:rFonts w:eastAsiaTheme="minorHAnsi"/>
                <w:sz w:val="22"/>
              </w:rPr>
              <w:t>ES</w:t>
            </w:r>
            <w:r w:rsidR="00B829DC" w:rsidRPr="00C2761A">
              <w:t xml:space="preserve"> fondu atbalsta ietvaros nav iespējams risināt situāciju, ka ENQA novērtējums par atbilstību ESG varētu būt negatīvs saistībā ar to, ka starptautisko ekspertu ieskatā Latvijas nacionālais finansējums akreditācijas aģentūras darbībai ir nepietiekams, lai uzskatītu, ka </w:t>
            </w:r>
            <w:r w:rsidRPr="00C2761A">
              <w:t xml:space="preserve">akreditācijas </w:t>
            </w:r>
            <w:r w:rsidR="00C85409" w:rsidRPr="00C2761A">
              <w:t xml:space="preserve">aģentūra ir neatkarīga. Šis jautājums risināms valsts budžeta ietvaros. Tāpat ar </w:t>
            </w:r>
            <w:r w:rsidRPr="00C2761A">
              <w:rPr>
                <w:rFonts w:eastAsiaTheme="minorHAnsi"/>
                <w:sz w:val="22"/>
              </w:rPr>
              <w:t>ES</w:t>
            </w:r>
            <w:r w:rsidR="00C85409" w:rsidRPr="00C2761A">
              <w:t xml:space="preserve"> fondu atbalstu nav iespējams ietekmēt to, ka ENQA un EQAR procedūras var ieilgt, tādējādi apdraudot mērķa sasniegšanu – līdz nākamajai masveida akreditācijai 2019.gadā Latvijā ir EQAR aģentūra.</w:t>
            </w:r>
          </w:p>
          <w:p w:rsidR="00080965" w:rsidRPr="00C2761A" w:rsidRDefault="00080965">
            <w:pPr>
              <w:jc w:val="both"/>
              <w:rPr>
                <w:b/>
              </w:rPr>
            </w:pPr>
          </w:p>
          <w:p w:rsidR="00503FA0" w:rsidRPr="00C2761A" w:rsidRDefault="00B829DC" w:rsidP="00D11178">
            <w:pPr>
              <w:ind w:firstLine="720"/>
              <w:contextualSpacing/>
              <w:rPr>
                <w:i/>
              </w:rPr>
            </w:pPr>
            <w:r w:rsidRPr="00C2761A">
              <w:rPr>
                <w:b/>
              </w:rPr>
              <w:t xml:space="preserve">Projekta </w:t>
            </w:r>
            <w:proofErr w:type="spellStart"/>
            <w:r w:rsidRPr="00C2761A">
              <w:rPr>
                <w:b/>
              </w:rPr>
              <w:t>pirmsieviešanas</w:t>
            </w:r>
            <w:proofErr w:type="spellEnd"/>
            <w:r w:rsidRPr="00C2761A">
              <w:rPr>
                <w:b/>
              </w:rPr>
              <w:t xml:space="preserve"> (sagatavošanās) posms (2015.gada 1.pusgads)</w:t>
            </w:r>
          </w:p>
          <w:p w:rsidR="007F01EA" w:rsidRPr="00C2761A" w:rsidRDefault="00503FA0" w:rsidP="00D11178">
            <w:pPr>
              <w:ind w:firstLine="720"/>
              <w:contextualSpacing/>
              <w:jc w:val="both"/>
              <w:rPr>
                <w:color w:val="000000"/>
              </w:rPr>
            </w:pPr>
            <w:r w:rsidRPr="00C2761A">
              <w:rPr>
                <w:bCs/>
                <w:noProof/>
              </w:rPr>
              <w:t xml:space="preserve">Lai akreditācijas aģentūra uzsāktu savu darbu 2015.gada 2.pusgadā, vispirms ir jāveic sagatavošanās darbi.  Ir jāsagatavo normatīvā bāze – </w:t>
            </w:r>
            <w:r w:rsidRPr="00C2761A">
              <w:t xml:space="preserve">grozījumi Augstskolu likumā jau pieņemti 17.12.2014., stājas spēkā 01.07.2015., </w:t>
            </w:r>
            <w:r w:rsidR="002B65FF">
              <w:t>M</w:t>
            </w:r>
            <w:r w:rsidR="00CB38B9">
              <w:t xml:space="preserve">inistru kabineta 14.07.2015. </w:t>
            </w:r>
            <w:r w:rsidR="002B65FF">
              <w:t>sēdē ir izskatīt</w:t>
            </w:r>
            <w:r w:rsidR="006F27C9">
              <w:t>s</w:t>
            </w:r>
            <w:r w:rsidR="002B65FF">
              <w:t xml:space="preserve"> un akceptēt</w:t>
            </w:r>
            <w:r w:rsidR="006F27C9">
              <w:t>s</w:t>
            </w:r>
            <w:r w:rsidR="002B65FF">
              <w:t xml:space="preserve"> MK noteikum</w:t>
            </w:r>
            <w:r w:rsidR="006F27C9">
              <w:t>u projekts</w:t>
            </w:r>
            <w:r w:rsidR="002B65FF">
              <w:t xml:space="preserve"> “Augstskolu, koledžu un studiju virzienu akreditācijas noteikumi” (14.07.2015. </w:t>
            </w:r>
            <w:r w:rsidR="00CB38B9">
              <w:t xml:space="preserve">MK </w:t>
            </w:r>
            <w:r w:rsidR="002B65FF">
              <w:t>sēdes protokols Nr.34, 37.§), kā arī MK noteikum</w:t>
            </w:r>
            <w:r w:rsidR="006F27C9">
              <w:t>u projekts</w:t>
            </w:r>
            <w:r w:rsidR="002B65FF">
              <w:t xml:space="preserve"> “Studiju programmu licencēšanas noteikumi” (14.07.2015. </w:t>
            </w:r>
            <w:r w:rsidR="00CB38B9">
              <w:t xml:space="preserve">MK </w:t>
            </w:r>
            <w:r w:rsidR="002B65FF">
              <w:t>sēdes protokols Nr.34, 38.§</w:t>
            </w:r>
            <w:r w:rsidR="00CB38B9">
              <w:t>)</w:t>
            </w:r>
            <w:r w:rsidR="00CB38B9">
              <w:rPr>
                <w:rStyle w:val="FootnoteReference"/>
              </w:rPr>
              <w:footnoteReference w:id="11"/>
            </w:r>
            <w:r w:rsidR="00CB38B9">
              <w:t>. L</w:t>
            </w:r>
            <w:r w:rsidRPr="00D53E42">
              <w:rPr>
                <w:bCs/>
                <w:noProof/>
              </w:rPr>
              <w:t>ai</w:t>
            </w:r>
            <w:r w:rsidRPr="00C2761A">
              <w:rPr>
                <w:bCs/>
                <w:noProof/>
              </w:rPr>
              <w:t xml:space="preserve"> </w:t>
            </w:r>
            <w:r w:rsidRPr="00C2761A">
              <w:rPr>
                <w:color w:val="000000"/>
              </w:rPr>
              <w:t xml:space="preserve">kvalitātes novērtēšanas nodrošināšanas funkcijas nodotu AIC, </w:t>
            </w:r>
            <w:r w:rsidRPr="00C2761A">
              <w:t>grozījumi AIC statūtos un AIC struktūras maiņa</w:t>
            </w:r>
            <w:r w:rsidR="00BF3BD2" w:rsidRPr="00C2761A">
              <w:t xml:space="preserve"> ir veikta </w:t>
            </w:r>
            <w:r w:rsidR="00BF3BD2" w:rsidRPr="00C2761A">
              <w:lastRenderedPageBreak/>
              <w:t>(</w:t>
            </w:r>
            <w:r w:rsidRPr="00C2761A">
              <w:t>izveidot</w:t>
            </w:r>
            <w:r w:rsidR="00BF3BD2" w:rsidRPr="00C2761A">
              <w:t>s</w:t>
            </w:r>
            <w:r w:rsidRPr="00C2761A">
              <w:t xml:space="preserve"> departament</w:t>
            </w:r>
            <w:r w:rsidR="00BF3BD2" w:rsidRPr="00C2761A">
              <w:t>s</w:t>
            </w:r>
            <w:r w:rsidR="00287335">
              <w:t xml:space="preserve"> ar oficiālo nosaukumu – Augstākās izglītības kvalitātes aģentūra</w:t>
            </w:r>
            <w:r w:rsidR="00287335">
              <w:rPr>
                <w:rStyle w:val="FootnoteReference"/>
              </w:rPr>
              <w:footnoteReference w:id="12"/>
            </w:r>
            <w:r w:rsidR="00BF3BD2" w:rsidRPr="00C2761A">
              <w:t>)</w:t>
            </w:r>
            <w:r w:rsidRPr="00C2761A">
              <w:t xml:space="preserve">, jāizveido augstākās izglītības kvalitātes </w:t>
            </w:r>
            <w:r w:rsidR="00BF3BD2" w:rsidRPr="00C2761A">
              <w:t xml:space="preserve">nodrošināšanas </w:t>
            </w:r>
            <w:r w:rsidRPr="00C2761A">
              <w:t>padome (saskaņā ar koncepcijā</w:t>
            </w:r>
            <w:r w:rsidRPr="00C2761A">
              <w:rPr>
                <w:rStyle w:val="FootnoteReference"/>
                <w:bCs/>
                <w:noProof/>
              </w:rPr>
              <w:footnoteReference w:id="13"/>
            </w:r>
            <w:r w:rsidRPr="00C2761A">
              <w:t xml:space="preserve"> noteikto, kuras sastāvā iekļauts starptautiskas institūcijas pārstāvis), jāizstrādā akreditācijas aģentūras darbības principi, iekšējās procedūras, kā arī jāatlasa un jāapmāca personāls un jāiekārto darbavietas.</w:t>
            </w:r>
            <w:r w:rsidR="00071DE1" w:rsidRPr="00C2761A">
              <w:rPr>
                <w:color w:val="000000"/>
              </w:rPr>
              <w:t xml:space="preserve"> AIC </w:t>
            </w:r>
            <w:r w:rsidR="00071DE1" w:rsidRPr="00C2761A">
              <w:t xml:space="preserve">Augstākās izglītības kvalitātes nodrošināšanas </w:t>
            </w:r>
            <w:r w:rsidR="00071DE1" w:rsidRPr="00C2761A">
              <w:rPr>
                <w:color w:val="000000"/>
              </w:rPr>
              <w:t xml:space="preserve">departamentā  indikatīvi plānots nodarbināt līdz astoņiem darbiniekiem. Darbinieku uzdevumi un pienākumi izstrādāti līdz š.g. 1.jūlijam, kad AIC saskaņā ar veiktajiem grozījumiem Augstskolu likumā, pārņem kvalitātes novērtēšanas nodrošināšanas funkcijas. Darbinieki veiks akreditācijas organizēšanu, metodikas izveidi un ieviešanu, veidos ekspertu </w:t>
            </w:r>
            <w:r w:rsidR="00287335">
              <w:rPr>
                <w:color w:val="000000"/>
              </w:rPr>
              <w:t>sarakstu</w:t>
            </w:r>
            <w:r w:rsidR="00071DE1" w:rsidRPr="00C2761A">
              <w:rPr>
                <w:color w:val="000000"/>
              </w:rPr>
              <w:t xml:space="preserve">, organizēs un veiks </w:t>
            </w:r>
            <w:r w:rsidR="00E40A92" w:rsidRPr="00C2761A">
              <w:rPr>
                <w:color w:val="000000"/>
              </w:rPr>
              <w:t>augstākās izglītības institūciju</w:t>
            </w:r>
            <w:r w:rsidR="00071DE1" w:rsidRPr="00C2761A">
              <w:rPr>
                <w:color w:val="000000"/>
              </w:rPr>
              <w:t xml:space="preserve"> un ekspertu apmācību, uzturēs un atjaunos datu bāzi par akreditētajiem studiju virzieniem.</w:t>
            </w:r>
          </w:p>
          <w:p w:rsidR="00503FA0" w:rsidRPr="00C858D8" w:rsidRDefault="007F01EA" w:rsidP="00CE4A7F">
            <w:pPr>
              <w:ind w:firstLine="720"/>
              <w:contextualSpacing/>
              <w:jc w:val="both"/>
              <w:rPr>
                <w:color w:val="000000"/>
              </w:rPr>
            </w:pPr>
            <w:r w:rsidRPr="00C858D8">
              <w:rPr>
                <w:color w:val="000000"/>
              </w:rPr>
              <w:t xml:space="preserve">AIC darbinieku un ekspertu atlasē, kā arī personāla un ekspertu apmācībās papildus profesionālajām zināšanām un profesionālajai kompetencei ievēros </w:t>
            </w:r>
            <w:r w:rsidR="00E2321B" w:rsidRPr="00C858D8">
              <w:rPr>
                <w:color w:val="000000"/>
              </w:rPr>
              <w:t xml:space="preserve">Eiropas Parlamenta un Padomes 2013.gada 17.decembra regulas (ES) Nr. </w:t>
            </w:r>
            <w:hyperlink r:id="rId8" w:tgtFrame="_blank" w:history="1">
              <w:r w:rsidR="00E2321B" w:rsidRPr="00C858D8">
                <w:rPr>
                  <w:color w:val="000000"/>
                </w:rPr>
                <w:t>1303/2013</w:t>
              </w:r>
            </w:hyperlink>
            <w:r w:rsidR="00E2321B" w:rsidRPr="00C858D8">
              <w:rPr>
                <w:color w:val="000000"/>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00E2321B" w:rsidRPr="00C858D8">
                <w:rPr>
                  <w:color w:val="000000"/>
                </w:rPr>
                <w:t>1083/2006</w:t>
              </w:r>
            </w:hyperlink>
            <w:r w:rsidR="00E2321B" w:rsidRPr="00C858D8">
              <w:rPr>
                <w:color w:val="000000"/>
              </w:rPr>
              <w:t xml:space="preserve">, 7.pantā noteikto </w:t>
            </w:r>
            <w:proofErr w:type="spellStart"/>
            <w:r w:rsidR="00E2321B" w:rsidRPr="00C858D8">
              <w:rPr>
                <w:color w:val="000000"/>
              </w:rPr>
              <w:t>nediskriminācijas</w:t>
            </w:r>
            <w:proofErr w:type="spellEnd"/>
            <w:r w:rsidR="00E2321B" w:rsidRPr="00C858D8">
              <w:rPr>
                <w:color w:val="000000"/>
              </w:rPr>
              <w:t xml:space="preserve"> principu. </w:t>
            </w:r>
          </w:p>
          <w:p w:rsidR="00B367AB" w:rsidRPr="00C858D8" w:rsidRDefault="00740DAA">
            <w:pPr>
              <w:pStyle w:val="naisc"/>
              <w:spacing w:before="0" w:after="0"/>
              <w:ind w:firstLine="720"/>
              <w:jc w:val="both"/>
            </w:pPr>
            <w:r w:rsidRPr="00CB38B9">
              <w:rPr>
                <w:color w:val="000000"/>
              </w:rPr>
              <w:t xml:space="preserve">Ņemot vērā, ka </w:t>
            </w:r>
            <w:r w:rsidR="00C82F4B" w:rsidRPr="00CB38B9">
              <w:rPr>
                <w:color w:val="000000"/>
              </w:rPr>
              <w:t xml:space="preserve">saskaņā ar </w:t>
            </w:r>
            <w:r w:rsidR="00CB38B9" w:rsidRPr="00CB38B9">
              <w:t>MK</w:t>
            </w:r>
            <w:r w:rsidR="00CB38B9">
              <w:t xml:space="preserve"> noteikum</w:t>
            </w:r>
            <w:r w:rsidR="006F27C9">
              <w:t>u projektu</w:t>
            </w:r>
            <w:r w:rsidR="00CB38B9">
              <w:t xml:space="preserve"> “Augstskolu, koledžu un studiju virzienu akreditācijas noteikumi” (14.07.2015. MK sēdes protokols Nr.34, 37.§)</w:t>
            </w:r>
            <w:r w:rsidR="00C82F4B" w:rsidRPr="00C858D8">
              <w:rPr>
                <w:color w:val="000000"/>
              </w:rPr>
              <w:t xml:space="preserve"> </w:t>
            </w:r>
            <w:r w:rsidRPr="00C858D8">
              <w:rPr>
                <w:color w:val="000000"/>
              </w:rPr>
              <w:t>studiju virzienu novērtē</w:t>
            </w:r>
            <w:r w:rsidR="00C82F4B" w:rsidRPr="00C858D8">
              <w:rPr>
                <w:color w:val="000000"/>
              </w:rPr>
              <w:t>s</w:t>
            </w:r>
            <w:r w:rsidRPr="00C858D8">
              <w:rPr>
                <w:color w:val="000000"/>
              </w:rPr>
              <w:t xml:space="preserve"> studiju virziena novērtēšanas komisija, kuras sastāvā iekļauj piecus ekspertus, kuriem kopumā ir pieredze iekšējās kvalitātes nodrošināšanas sistēmu darbībā un kvalifikācija nozarē, kas atbilst vērtējamam studiju virzien</w:t>
            </w:r>
            <w:r w:rsidR="00CE4A7F" w:rsidRPr="00C858D8">
              <w:rPr>
                <w:color w:val="000000"/>
              </w:rPr>
              <w:t xml:space="preserve">am, un </w:t>
            </w:r>
            <w:r w:rsidRPr="00C858D8">
              <w:rPr>
                <w:color w:val="000000"/>
              </w:rPr>
              <w:t xml:space="preserve">no kuriem viens ir Latvijas Studentu apvienības deleģēts pārstāvis, viens ir Latvijas Darba devēju konfederācijas deleģēts pārstāvis un viens eksperts ir no ārvalstīm, nepieciešams apmācīt studējošos, darba devējus un ārvalstu ekspertus. </w:t>
            </w:r>
            <w:r w:rsidR="00CE4A7F" w:rsidRPr="00C858D8">
              <w:rPr>
                <w:color w:val="000000"/>
              </w:rPr>
              <w:t>Tāpat</w:t>
            </w:r>
            <w:r w:rsidRPr="00C858D8">
              <w:rPr>
                <w:color w:val="000000"/>
              </w:rPr>
              <w:t xml:space="preserve"> arī </w:t>
            </w:r>
            <w:r w:rsidR="00CE4A7F" w:rsidRPr="00C858D8">
              <w:rPr>
                <w:color w:val="000000"/>
              </w:rPr>
              <w:t xml:space="preserve">nepieciešams apmācīt </w:t>
            </w:r>
            <w:r w:rsidR="00C1773E" w:rsidRPr="00C858D8">
              <w:t>Augstākās izglītības padomes (turpmāk – AIP)</w:t>
            </w:r>
            <w:r w:rsidR="00CE4A7F" w:rsidRPr="00C858D8">
              <w:rPr>
                <w:color w:val="000000"/>
              </w:rPr>
              <w:t xml:space="preserve"> personālu</w:t>
            </w:r>
            <w:r w:rsidRPr="00C858D8">
              <w:rPr>
                <w:color w:val="000000"/>
              </w:rPr>
              <w:t>, ievērojot to, ka atbilstoši esošajam normatīvajam regulējumam</w:t>
            </w:r>
            <w:r w:rsidR="00CE4A7F" w:rsidRPr="00C858D8">
              <w:rPr>
                <w:color w:val="000000"/>
              </w:rPr>
              <w:t>,</w:t>
            </w:r>
            <w:r w:rsidRPr="00C858D8">
              <w:rPr>
                <w:color w:val="000000"/>
              </w:rPr>
              <w:t xml:space="preserve"> AIP ir uzskatāma par akreditācijas procesa sastāvdaļu (Augstskolu likuma 9.pants, </w:t>
            </w:r>
            <w:r w:rsidR="00CE4A7F" w:rsidRPr="00C858D8">
              <w:rPr>
                <w:color w:val="000000"/>
              </w:rPr>
              <w:t xml:space="preserve">MK </w:t>
            </w:r>
            <w:r w:rsidRPr="00C858D8">
              <w:rPr>
                <w:color w:val="000000"/>
              </w:rPr>
              <w:t>noteikum</w:t>
            </w:r>
            <w:r w:rsidR="000C444F">
              <w:rPr>
                <w:color w:val="000000"/>
              </w:rPr>
              <w:t>u projekt</w:t>
            </w:r>
            <w:r w:rsidR="006F27C9">
              <w:rPr>
                <w:color w:val="000000"/>
              </w:rPr>
              <w:t>u</w:t>
            </w:r>
            <w:r w:rsidRPr="00C858D8">
              <w:rPr>
                <w:color w:val="000000"/>
              </w:rPr>
              <w:t xml:space="preserve"> </w:t>
            </w:r>
            <w:r w:rsidRPr="006F27C9">
              <w:rPr>
                <w:color w:val="000000"/>
              </w:rPr>
              <w:t>„Augstskolu, koledžu un studiju virzienu akreditācijas noteikumi</w:t>
            </w:r>
            <w:r w:rsidR="00F80103" w:rsidRPr="006F27C9">
              <w:rPr>
                <w:color w:val="000000"/>
              </w:rPr>
              <w:t>”</w:t>
            </w:r>
            <w:r w:rsidR="006F27C9" w:rsidRPr="006F27C9">
              <w:rPr>
                <w:color w:val="000000"/>
              </w:rPr>
              <w:t xml:space="preserve"> (</w:t>
            </w:r>
            <w:r w:rsidR="006F27C9" w:rsidRPr="006F27C9">
              <w:t>14.07.2015. MK sēdes protokols Nr.34, 37.§</w:t>
            </w:r>
            <w:r w:rsidRPr="006F27C9">
              <w:rPr>
                <w:color w:val="000000"/>
              </w:rPr>
              <w:t xml:space="preserve">), </w:t>
            </w:r>
            <w:r w:rsidR="00CE4A7F" w:rsidRPr="006F27C9">
              <w:rPr>
                <w:color w:val="000000"/>
              </w:rPr>
              <w:t>un</w:t>
            </w:r>
            <w:r w:rsidRPr="00C858D8">
              <w:rPr>
                <w:color w:val="000000"/>
              </w:rPr>
              <w:t xml:space="preserve"> </w:t>
            </w:r>
            <w:r w:rsidRPr="00C858D8">
              <w:rPr>
                <w:color w:val="000000"/>
              </w:rPr>
              <w:lastRenderedPageBreak/>
              <w:t>Augstākās izglītības kvalitātes nodrošināšanas padomes locekļu</w:t>
            </w:r>
            <w:r w:rsidR="00CE4A7F" w:rsidRPr="00C858D8">
              <w:rPr>
                <w:color w:val="000000"/>
              </w:rPr>
              <w:t>s</w:t>
            </w:r>
            <w:r w:rsidRPr="00C858D8">
              <w:rPr>
                <w:color w:val="000000"/>
              </w:rPr>
              <w:t xml:space="preserve">, ņemot vērā to, ka saskaņā ar </w:t>
            </w:r>
            <w:r w:rsidR="00CB38B9" w:rsidRPr="00CB38B9">
              <w:t>MK</w:t>
            </w:r>
            <w:r w:rsidR="00CB38B9">
              <w:t xml:space="preserve"> noteikum</w:t>
            </w:r>
            <w:r w:rsidR="006F27C9">
              <w:t>u projektu</w:t>
            </w:r>
            <w:r w:rsidR="00CB38B9">
              <w:t xml:space="preserve"> “Augstskolu, koledžu un studiju virzienu akreditācijas noteikumi” (14.07.2015. MK sēdes protokols Nr.34, 37</w:t>
            </w:r>
            <w:r w:rsidR="00CB38B9" w:rsidRPr="00CB38B9">
              <w:t xml:space="preserve">.§) </w:t>
            </w:r>
            <w:r w:rsidRPr="00CB38B9">
              <w:rPr>
                <w:color w:val="000000"/>
              </w:rPr>
              <w:t>augstākās izglītības kvalitātes nodrošināšanas padome v</w:t>
            </w:r>
            <w:r w:rsidRPr="00C858D8">
              <w:rPr>
                <w:color w:val="000000"/>
              </w:rPr>
              <w:t>ei</w:t>
            </w:r>
            <w:r w:rsidR="00CE4A7F" w:rsidRPr="00C858D8">
              <w:rPr>
                <w:color w:val="000000"/>
              </w:rPr>
              <w:t>ks</w:t>
            </w:r>
            <w:r w:rsidRPr="00C858D8">
              <w:rPr>
                <w:color w:val="000000"/>
              </w:rPr>
              <w:t xml:space="preserve"> stratēģisku vadību un plānošanu augstskolu un koledžu akreditācijas organizēšanai un studiju virzie</w:t>
            </w:r>
            <w:r w:rsidR="00715333" w:rsidRPr="00C858D8">
              <w:rPr>
                <w:color w:val="000000"/>
              </w:rPr>
              <w:t>nu akreditācijas nodrošināšanai</w:t>
            </w:r>
            <w:r w:rsidRPr="00C858D8">
              <w:rPr>
                <w:color w:val="000000"/>
              </w:rPr>
              <w:t>.</w:t>
            </w:r>
            <w:r w:rsidR="00CE4A7F" w:rsidRPr="00C858D8">
              <w:rPr>
                <w:color w:val="000000"/>
              </w:rPr>
              <w:t xml:space="preserve"> </w:t>
            </w:r>
            <w:r w:rsidRPr="00C858D8">
              <w:t>Pēc apmācībām ar ekspertiem plānots slēgt sadarbības līgumus</w:t>
            </w:r>
            <w:r w:rsidR="00CB214E" w:rsidRPr="00C858D8">
              <w:t xml:space="preserve">, lai piesaistītu ekspertus studiju programmu un studiju virzienu novērtēšanai. </w:t>
            </w:r>
          </w:p>
          <w:p w:rsidR="00740DAA" w:rsidRPr="00C858D8" w:rsidRDefault="0028258A" w:rsidP="00C82F4B">
            <w:pPr>
              <w:pStyle w:val="naisc"/>
              <w:spacing w:before="0" w:after="0"/>
              <w:ind w:firstLine="720"/>
              <w:jc w:val="both"/>
              <w:rPr>
                <w:rFonts w:ascii="Tms Rmn" w:hAnsi="Tms Rmn" w:cs="Tms Rmn"/>
                <w:color w:val="000000"/>
              </w:rPr>
            </w:pPr>
            <w:r w:rsidRPr="00C858D8">
              <w:t>Studiju virzienu vērtēšanā tiks iesaistīti konkrētajam studiju virzienam nepieciešamie un dotajā brīdī pieejamie eksperti. Visus apmācītos ekspertus vienlaikus nebūs nepieciešams iesaistīt studiju virzienu vērtēšanā. Apmācot 150 ekspertus, tiks izveidots ekspertu saraksts, kuru izmantos nepieciešamo ekspertu piesaistē. Informācija par ekspertiem tiks iekļauta e-platformā.</w:t>
            </w:r>
          </w:p>
          <w:p w:rsidR="00503FA0" w:rsidRPr="00C2761A" w:rsidRDefault="00503FA0" w:rsidP="00D11178">
            <w:pPr>
              <w:ind w:firstLine="720"/>
              <w:contextualSpacing/>
              <w:jc w:val="both"/>
              <w:rPr>
                <w:bCs/>
                <w:noProof/>
              </w:rPr>
            </w:pPr>
            <w:r w:rsidRPr="00C2761A">
              <w:rPr>
                <w:bCs/>
                <w:noProof/>
              </w:rPr>
              <w:t xml:space="preserve">Akreditācijas aģentūras izveide </w:t>
            </w:r>
            <w:r w:rsidR="00287335" w:rsidRPr="00C2761A">
              <w:rPr>
                <w:bCs/>
                <w:noProof/>
              </w:rPr>
              <w:t>ti</w:t>
            </w:r>
            <w:r w:rsidR="00287335">
              <w:rPr>
                <w:bCs/>
                <w:noProof/>
              </w:rPr>
              <w:t>ek</w:t>
            </w:r>
            <w:r w:rsidR="00287335" w:rsidRPr="00C2761A">
              <w:rPr>
                <w:bCs/>
                <w:noProof/>
              </w:rPr>
              <w:t xml:space="preserve"> </w:t>
            </w:r>
            <w:r w:rsidRPr="00C2761A">
              <w:rPr>
                <w:bCs/>
                <w:noProof/>
              </w:rPr>
              <w:t>finansēta no valsts budžeta līdzekļiem.</w:t>
            </w:r>
            <w:r w:rsidRPr="00C2761A">
              <w:rPr>
                <w:color w:val="000000"/>
              </w:rPr>
              <w:t xml:space="preserve"> </w:t>
            </w:r>
            <w:r w:rsidRPr="00C2761A">
              <w:rPr>
                <w:bCs/>
                <w:noProof/>
              </w:rPr>
              <w:t xml:space="preserve">Saskaņā ar Ministru kabineta 2014.gada 10.novembra sēdes protokollēmuma (protokols Nr.61 28.§) 13.1.apakšpunktu nolemts: „samazināt izdevumus apakšprogrammā 05.02.00 “Zinātnes bāzes finansējums” 2015.gadam par 257 477 EUR, 2016.gadam par 248 957 EUR, 2017.gadam un turpmāk par 281 774 EUR un par attiecīgo finansējuma apmēru palielināt izdevumus apakšprogrammā 03.13.00 “Studiju virzienu akreditācija”, lai izveidotu Latvijas nacionālās kvalitātes nodrošināšanas institūciju, lai pilnveidotu </w:t>
            </w:r>
            <w:r w:rsidR="00B829DC" w:rsidRPr="00C2761A">
              <w:t xml:space="preserve">Latvijas augstākās izglītības ārējās kvalitātes nodrošināšanas sistēmu, kas darbotos atbilstoši Eiropas kvalitātes standartiem un vadlīnijām, kā arī nodrošinātu studiju virzienu reģistra uzturēšanu un </w:t>
            </w:r>
            <w:r w:rsidRPr="00C2761A">
              <w:rPr>
                <w:bCs/>
                <w:noProof/>
              </w:rPr>
              <w:t>pilnveidošanu, un tādējādi nodrošinātu Latvijā iegūtās augstākās izglītības atbilstību Eiropas kvalitātes prasībām”.</w:t>
            </w:r>
            <w:r w:rsidR="00E40A92" w:rsidRPr="00C2761A">
              <w:rPr>
                <w:rStyle w:val="FootnoteReference"/>
                <w:bCs/>
                <w:noProof/>
              </w:rPr>
              <w:t xml:space="preserve"> </w:t>
            </w:r>
            <w:r w:rsidR="00E40A92" w:rsidRPr="00C2761A">
              <w:rPr>
                <w:rStyle w:val="FootnoteReference"/>
                <w:bCs/>
                <w:noProof/>
              </w:rPr>
              <w:footnoteReference w:id="14"/>
            </w:r>
          </w:p>
          <w:p w:rsidR="00503FA0" w:rsidRPr="00C2761A" w:rsidRDefault="00503FA0" w:rsidP="00D11178">
            <w:pPr>
              <w:ind w:firstLine="720"/>
              <w:contextualSpacing/>
              <w:jc w:val="both"/>
            </w:pPr>
            <w:r w:rsidRPr="00C2761A">
              <w:rPr>
                <w:color w:val="000000"/>
              </w:rPr>
              <w:t>Plānots, ka, sākot ar 2015.gada 2.pusgadu, akreditācijas aģentūra gūs arī pašu ieņēmumus no akreditācijas un licencēšanas pakalpojumu sniegšanas (</w:t>
            </w:r>
            <w:r w:rsidRPr="00A34DD2">
              <w:rPr>
                <w:color w:val="000000"/>
              </w:rPr>
              <w:t>studiju programmu licencēšana un akreditācija augstskolām un koledžām ir maksas pakalpojums).</w:t>
            </w:r>
            <w:r w:rsidR="00CB38B9" w:rsidRPr="00A34DD2">
              <w:rPr>
                <w:color w:val="000000"/>
              </w:rPr>
              <w:t xml:space="preserve"> </w:t>
            </w:r>
            <w:r w:rsidR="005422C6" w:rsidRPr="00A34DD2">
              <w:rPr>
                <w:color w:val="000000"/>
              </w:rPr>
              <w:t>M</w:t>
            </w:r>
            <w:r w:rsidR="00A34DD2" w:rsidRPr="00A34DD2">
              <w:rPr>
                <w:color w:val="000000"/>
              </w:rPr>
              <w:t xml:space="preserve">inistru kabineta </w:t>
            </w:r>
            <w:r w:rsidR="00A34DD2" w:rsidRPr="00A34DD2">
              <w:rPr>
                <w:color w:val="000000"/>
              </w:rPr>
              <w:t>14.07.2015</w:t>
            </w:r>
            <w:r w:rsidR="00A34DD2" w:rsidRPr="00A34DD2">
              <w:rPr>
                <w:color w:val="000000"/>
              </w:rPr>
              <w:t xml:space="preserve">. </w:t>
            </w:r>
            <w:r w:rsidR="00CB38B9" w:rsidRPr="00A34DD2">
              <w:rPr>
                <w:color w:val="000000"/>
              </w:rPr>
              <w:t>sēdē ir izskatīt</w:t>
            </w:r>
            <w:r w:rsidR="00A34DD2" w:rsidRPr="00A34DD2">
              <w:rPr>
                <w:color w:val="000000"/>
              </w:rPr>
              <w:t>s</w:t>
            </w:r>
            <w:r w:rsidR="00CB38B9" w:rsidRPr="00A34DD2">
              <w:rPr>
                <w:color w:val="000000"/>
              </w:rPr>
              <w:t xml:space="preserve"> un akceptēt</w:t>
            </w:r>
            <w:r w:rsidR="00A34DD2" w:rsidRPr="00A34DD2">
              <w:rPr>
                <w:color w:val="000000"/>
              </w:rPr>
              <w:t>s</w:t>
            </w:r>
            <w:r w:rsidR="00CB38B9" w:rsidRPr="00A34DD2">
              <w:rPr>
                <w:color w:val="000000"/>
              </w:rPr>
              <w:t xml:space="preserve"> MK noteikum</w:t>
            </w:r>
            <w:r w:rsidR="00A34DD2" w:rsidRPr="00A34DD2">
              <w:rPr>
                <w:color w:val="000000"/>
              </w:rPr>
              <w:t>u projekts</w:t>
            </w:r>
            <w:r w:rsidR="00CB38B9" w:rsidRPr="00A34DD2">
              <w:rPr>
                <w:color w:val="000000"/>
              </w:rPr>
              <w:t xml:space="preserve"> “Nodibinājuma “Akadēmiskās informācijas centrs” maksas pakalpojumu cenrādis” (</w:t>
            </w:r>
            <w:r w:rsidR="00CB38B9" w:rsidRPr="00A34DD2">
              <w:t>14</w:t>
            </w:r>
            <w:r w:rsidR="00CB38B9">
              <w:t>.07.2015. MK sēdes protokols Nr.34, 39.§)</w:t>
            </w:r>
            <w:r w:rsidR="00A34DD2">
              <w:rPr>
                <w:rStyle w:val="FootnoteReference"/>
              </w:rPr>
              <w:footnoteReference w:id="15"/>
            </w:r>
            <w:r w:rsidR="00CB38B9">
              <w:t xml:space="preserve">, līdz ar to </w:t>
            </w:r>
            <w:r w:rsidRPr="00C2761A">
              <w:rPr>
                <w:color w:val="000000"/>
              </w:rPr>
              <w:t>spēku zaudē</w:t>
            </w:r>
            <w:r w:rsidR="00A34DD2">
              <w:rPr>
                <w:color w:val="000000"/>
              </w:rPr>
              <w:t>s</w:t>
            </w:r>
            <w:r w:rsidRPr="00C2761A">
              <w:rPr>
                <w:color w:val="000000"/>
              </w:rPr>
              <w:t xml:space="preserve"> </w:t>
            </w:r>
            <w:r w:rsidRPr="00C2761A">
              <w:t xml:space="preserve">Ministru kabineta 2013.gada 3.septembra noteikumi Nr.721 “Izglītības un zinātnes ministrijas maksas pakalpojumu cenrādis”. </w:t>
            </w:r>
          </w:p>
          <w:p w:rsidR="00D76DE8" w:rsidRPr="00C858D8" w:rsidRDefault="00D76DE8" w:rsidP="00D11178">
            <w:pPr>
              <w:ind w:firstLine="720"/>
              <w:contextualSpacing/>
              <w:jc w:val="both"/>
            </w:pPr>
            <w:r w:rsidRPr="00C858D8">
              <w:t xml:space="preserve">No iepriekš minētajiem līdzekļiem (valsts budžeta un pašu ieņēmumiem) AIC nodrošinās sasniegto rezultātu ilgtspēju vismaz piecus gadus pēc projekta pabeigšanas. </w:t>
            </w:r>
          </w:p>
          <w:p w:rsidR="00450064" w:rsidRPr="00C858D8" w:rsidRDefault="00A5372F" w:rsidP="00D11178">
            <w:pPr>
              <w:ind w:firstLine="720"/>
              <w:contextualSpacing/>
              <w:jc w:val="both"/>
            </w:pPr>
            <w:r w:rsidRPr="00C858D8">
              <w:lastRenderedPageBreak/>
              <w:t>Noteikumu projektā noteikts, ka gadījumos, ja projekta īstenošanas laikā avanss tiek izmaksāts pa daļām, finansējuma saņēmējam kā nodibinājumam, kas veic valsts pārvaldes uzdevumu, viens avansa maksājums nepārsniedz 30 procentus no projektam piešķirtā Eiropas Sociālā fonda finansējuma un valsts budžeta finansējuma kopsummas, vienlaikus nepārsniedzot MK 2015.gada 17.marta noteikumu Nr.130 “Noteikumi par valsts budžeta līdzekļu plānošanu Eiropas Savienības struktūrfondu un Kohēzijas fonda projektu īstenošanai un maksājumu veikšanu 2014.–2020.gada plānošanas periodā” 19.punktā norādītā maksimālā avansa un starpposma maksājumu kopsummu, tādējādi nodrošinot nepārtrauktu finanšu plūsmu projekta īstenošanas laikā.</w:t>
            </w:r>
            <w:r w:rsidR="00450064" w:rsidRPr="00C858D8">
              <w:t xml:space="preserve"> </w:t>
            </w:r>
          </w:p>
          <w:p w:rsidR="00341998" w:rsidRPr="00C858D8" w:rsidRDefault="00341998" w:rsidP="00D11178">
            <w:pPr>
              <w:ind w:firstLine="720"/>
              <w:contextualSpacing/>
              <w:jc w:val="both"/>
            </w:pPr>
            <w:r w:rsidRPr="00C858D8">
              <w:t xml:space="preserve">Noteikumu projektā arī paredzēta iespēja plānot  neparedzētās izmaksas papildu darbu vai pakalpojumu veikšanai, kas neparedzamu apstākļu dēļ ir kļuvuši nepieciešami noslēgtā līguma par projekta īstenošanu izpildes nodrošināšanai ne vairāk kā divu procentu apmērā no kopējām projekta attiecināmajām tiešajām izmaksām. SAM 8.2.4. projekta īstenošanas laikā var rasties detalizētāki skaidrojumi ESG prasību izpildei, kas var radīt nepieciešamību pielāgot projektu papildu prasību izpildei.  </w:t>
            </w:r>
            <w:r w:rsidR="005B64B7" w:rsidRPr="00C858D8">
              <w:t xml:space="preserve">Līdz šim šāds pasākums nav īstenots, līdz ar to plānot, kādas būs nepieciešamās īstenošanas izmaksas, var tikai indikatīvi.  </w:t>
            </w:r>
          </w:p>
          <w:p w:rsidR="00A5372F" w:rsidRPr="00C2761A" w:rsidRDefault="00A5372F" w:rsidP="00A5372F">
            <w:pPr>
              <w:ind w:firstLine="720"/>
              <w:contextualSpacing/>
              <w:jc w:val="both"/>
            </w:pPr>
          </w:p>
          <w:p w:rsidR="00503FA0" w:rsidRPr="00C2761A" w:rsidRDefault="00B829DC" w:rsidP="00D11178">
            <w:pPr>
              <w:spacing w:before="75" w:after="75"/>
              <w:ind w:firstLine="720"/>
              <w:contextualSpacing/>
              <w:jc w:val="both"/>
              <w:rPr>
                <w:b/>
              </w:rPr>
            </w:pPr>
            <w:r w:rsidRPr="00C2761A">
              <w:rPr>
                <w:b/>
              </w:rPr>
              <w:t xml:space="preserve">Projekta īstenošanas posms (2015.gada </w:t>
            </w:r>
            <w:r w:rsidR="00B078F4" w:rsidRPr="00C2761A">
              <w:rPr>
                <w:b/>
              </w:rPr>
              <w:t>IV ceturksnis</w:t>
            </w:r>
            <w:r w:rsidRPr="00C2761A">
              <w:rPr>
                <w:b/>
              </w:rPr>
              <w:t xml:space="preserve"> – 2019.gada </w:t>
            </w:r>
            <w:r w:rsidR="00B078F4" w:rsidRPr="00C2761A">
              <w:rPr>
                <w:b/>
              </w:rPr>
              <w:t>II ceturksnis</w:t>
            </w:r>
            <w:r w:rsidRPr="00C2761A">
              <w:rPr>
                <w:b/>
              </w:rPr>
              <w:t>)</w:t>
            </w:r>
          </w:p>
          <w:p w:rsidR="00503FA0" w:rsidRPr="00C2761A" w:rsidRDefault="00503FA0" w:rsidP="00841C52">
            <w:pPr>
              <w:ind w:firstLine="720"/>
              <w:jc w:val="both"/>
            </w:pPr>
            <w:r w:rsidRPr="00C2761A">
              <w:t xml:space="preserve">Lai akreditācijas aģentūra atbilstu EQAR aģentūras prasībām, tai ir jāatbilst ENQA izstrādātajiem standartiem un vadlīnijām kvalitātes nodrošināšanai Eiropas </w:t>
            </w:r>
            <w:r w:rsidR="009111B0" w:rsidRPr="00C2761A">
              <w:t>a</w:t>
            </w:r>
            <w:r w:rsidRPr="00C2761A">
              <w:t>ugstākās izglītības telpā (ESG). Līdz 2017.gada beigām plānots nodrošināt akreditācijas aģentūras atbilstību ESG.</w:t>
            </w:r>
          </w:p>
          <w:p w:rsidR="00503FA0" w:rsidRPr="00C2761A" w:rsidRDefault="00503FA0" w:rsidP="00D11178">
            <w:pPr>
              <w:shd w:val="clear" w:color="auto" w:fill="FFFFFF"/>
              <w:jc w:val="both"/>
              <w:textAlignment w:val="top"/>
            </w:pPr>
          </w:p>
          <w:p w:rsidR="00503FA0" w:rsidRPr="00C2761A" w:rsidRDefault="00503FA0" w:rsidP="00D11178">
            <w:pPr>
              <w:ind w:firstLine="720"/>
              <w:jc w:val="both"/>
            </w:pPr>
            <w:r w:rsidRPr="00C2761A">
              <w:t xml:space="preserve">Lai akreditācijas aģentūra iekļūtu EQAR reģistrā, ir jānodrošina tās institucionālā atbilstība </w:t>
            </w:r>
            <w:r w:rsidR="00B829DC" w:rsidRPr="00C2761A">
              <w:t>(</w:t>
            </w:r>
            <w:proofErr w:type="spellStart"/>
            <w:r w:rsidR="00B829DC" w:rsidRPr="00C2761A">
              <w:rPr>
                <w:i/>
              </w:rPr>
              <w:t>organisational</w:t>
            </w:r>
            <w:proofErr w:type="spellEnd"/>
            <w:r w:rsidR="00B829DC" w:rsidRPr="00C2761A">
              <w:rPr>
                <w:i/>
              </w:rPr>
              <w:t xml:space="preserve"> </w:t>
            </w:r>
            <w:proofErr w:type="spellStart"/>
            <w:r w:rsidR="00B829DC" w:rsidRPr="00C2761A">
              <w:rPr>
                <w:i/>
              </w:rPr>
              <w:t>eligibility</w:t>
            </w:r>
            <w:proofErr w:type="spellEnd"/>
            <w:r w:rsidR="00B829DC" w:rsidRPr="00C2761A">
              <w:t>)</w:t>
            </w:r>
            <w:r w:rsidRPr="00C2761A">
              <w:t xml:space="preserve"> un atbilstība (pēc būtības) ENQA izvirzītajiem Standartiem un vadlīnijām kvalitātes nodrošināšanai Eiropas augstākās izglītības telpā, t.i., institūcijai ar savām funkcijām un darbību tas ir jāpierāda.</w:t>
            </w:r>
          </w:p>
          <w:p w:rsidR="00503FA0" w:rsidRPr="00C2761A" w:rsidRDefault="00503FA0" w:rsidP="00D11178">
            <w:pPr>
              <w:ind w:firstLine="720"/>
              <w:jc w:val="both"/>
            </w:pPr>
            <w:r w:rsidRPr="00C2761A">
              <w:t xml:space="preserve">ESG sastāv no trim daļām: </w:t>
            </w:r>
          </w:p>
          <w:p w:rsidR="00503FA0" w:rsidRPr="00C2761A" w:rsidRDefault="00503FA0" w:rsidP="00841C52">
            <w:pPr>
              <w:pStyle w:val="ListParagraph"/>
              <w:numPr>
                <w:ilvl w:val="0"/>
                <w:numId w:val="34"/>
              </w:numPr>
              <w:rPr>
                <w:szCs w:val="24"/>
                <w:lang w:eastAsia="lv-LV"/>
              </w:rPr>
            </w:pPr>
            <w:r w:rsidRPr="00C2761A">
              <w:rPr>
                <w:szCs w:val="24"/>
                <w:lang w:eastAsia="lv-LV"/>
              </w:rPr>
              <w:t xml:space="preserve">Standarti un vadlīnijas iekšējai kvalitātes novērtēšanai, </w:t>
            </w:r>
          </w:p>
          <w:p w:rsidR="00503FA0" w:rsidRPr="00C2761A" w:rsidRDefault="00503FA0" w:rsidP="00841C52">
            <w:pPr>
              <w:pStyle w:val="ListParagraph"/>
              <w:numPr>
                <w:ilvl w:val="0"/>
                <w:numId w:val="34"/>
              </w:numPr>
              <w:rPr>
                <w:szCs w:val="24"/>
                <w:lang w:eastAsia="lv-LV"/>
              </w:rPr>
            </w:pPr>
            <w:r w:rsidRPr="00C2761A">
              <w:rPr>
                <w:szCs w:val="24"/>
                <w:lang w:eastAsia="lv-LV"/>
              </w:rPr>
              <w:t xml:space="preserve">Standarti un vadlīnijas ārējai kvalitātes novērtēšanai, </w:t>
            </w:r>
          </w:p>
          <w:p w:rsidR="00503FA0" w:rsidRPr="00C2761A" w:rsidRDefault="00503FA0" w:rsidP="00841C52">
            <w:pPr>
              <w:pStyle w:val="ListParagraph"/>
              <w:numPr>
                <w:ilvl w:val="0"/>
                <w:numId w:val="34"/>
              </w:numPr>
              <w:rPr>
                <w:szCs w:val="24"/>
                <w:lang w:eastAsia="lv-LV"/>
              </w:rPr>
            </w:pPr>
            <w:r w:rsidRPr="00C2761A">
              <w:rPr>
                <w:szCs w:val="24"/>
                <w:lang w:eastAsia="lv-LV"/>
              </w:rPr>
              <w:t>Standarti un vadlīnijas kvalitātes novērtēšanas aģentūrām (institucionālā atbilstība).</w:t>
            </w:r>
          </w:p>
          <w:p w:rsidR="00503FA0" w:rsidRPr="00C2761A" w:rsidRDefault="00503FA0" w:rsidP="00D11178">
            <w:pPr>
              <w:contextualSpacing/>
              <w:jc w:val="both"/>
            </w:pPr>
            <w:r w:rsidRPr="00C2761A">
              <w:t>Akreditācijas aģentūrai ir jāņem vērā visi standarti un vadlīnijas, tomēr tieši otrajā un trešajā daļā minētie ļoti tieši ietekmē akreditācijas aģentūras struktūru un darbību.</w:t>
            </w:r>
          </w:p>
          <w:p w:rsidR="00503FA0" w:rsidRPr="00C2761A" w:rsidRDefault="00503FA0" w:rsidP="00D11178">
            <w:pPr>
              <w:shd w:val="clear" w:color="auto" w:fill="FFFFFF"/>
              <w:ind w:firstLine="720"/>
              <w:jc w:val="both"/>
              <w:textAlignment w:val="top"/>
            </w:pPr>
          </w:p>
          <w:p w:rsidR="00503FA0" w:rsidRPr="00C2761A" w:rsidRDefault="00503FA0" w:rsidP="00D11178">
            <w:pPr>
              <w:shd w:val="clear" w:color="auto" w:fill="FFFFFF"/>
              <w:ind w:firstLine="720"/>
              <w:jc w:val="both"/>
              <w:textAlignment w:val="top"/>
            </w:pPr>
            <w:r w:rsidRPr="00C2761A">
              <w:t xml:space="preserve">ESG attiecībā uz institucionālo atbilstību nosaka 8 </w:t>
            </w:r>
            <w:r w:rsidRPr="00C2761A">
              <w:lastRenderedPageBreak/>
              <w:t>prasības:</w:t>
            </w:r>
          </w:p>
          <w:p w:rsidR="00503FA0" w:rsidRPr="00C2761A" w:rsidRDefault="00503FA0" w:rsidP="009111B0">
            <w:pPr>
              <w:numPr>
                <w:ilvl w:val="0"/>
                <w:numId w:val="30"/>
              </w:numPr>
              <w:contextualSpacing/>
              <w:jc w:val="both"/>
            </w:pPr>
            <w:r w:rsidRPr="00C2761A">
              <w:t>Institūcijai ir jānodrošina augstākās izglītības ārējo kvalitātes nodrošināšanas procesu pastāvēšana un efektivitāte;</w:t>
            </w:r>
          </w:p>
          <w:p w:rsidR="00503FA0" w:rsidRPr="00C2761A" w:rsidRDefault="00503FA0" w:rsidP="009111B0">
            <w:pPr>
              <w:numPr>
                <w:ilvl w:val="0"/>
                <w:numId w:val="30"/>
              </w:numPr>
              <w:contextualSpacing/>
              <w:jc w:val="both"/>
            </w:pPr>
            <w:r w:rsidRPr="00C2761A">
              <w:t>Institūcijas statuss un uzdevumi ir noteikti normatīvajos aktos, nodrošinot institūcijas neatkarību;</w:t>
            </w:r>
          </w:p>
          <w:p w:rsidR="00503FA0" w:rsidRPr="00C2761A" w:rsidRDefault="00503FA0" w:rsidP="009111B0">
            <w:pPr>
              <w:numPr>
                <w:ilvl w:val="0"/>
                <w:numId w:val="30"/>
              </w:numPr>
              <w:contextualSpacing/>
              <w:jc w:val="both"/>
              <w:rPr>
                <w:i/>
                <w:color w:val="FF0000"/>
              </w:rPr>
            </w:pPr>
            <w:r w:rsidRPr="00C2761A">
              <w:t>Institūcijai regulāri jāveic ārējās kvalitātes nodrošināšanas darbības, ārējas kvalitātes nodrošināšanas procesam ir jābūt institūcijas galvenajai darbības nozarei (institūcijai ir jābūt vismaz 2 gadu pieredzei akreditācijas organizēšanā);</w:t>
            </w:r>
          </w:p>
          <w:p w:rsidR="00503FA0" w:rsidRPr="00C2761A" w:rsidRDefault="00503FA0" w:rsidP="009111B0">
            <w:pPr>
              <w:numPr>
                <w:ilvl w:val="0"/>
                <w:numId w:val="30"/>
              </w:numPr>
              <w:contextualSpacing/>
              <w:jc w:val="both"/>
            </w:pPr>
            <w:r w:rsidRPr="00C2761A">
              <w:t>Institūcijai jābūt atbilstošiem un proporcionāliem gan cilvēku, gan finanšu resursiem, lai nodrošinātu iespēju efektīvi organizēt un veikt ārējos kvalitātes nodrošināšanas procesus;</w:t>
            </w:r>
          </w:p>
          <w:p w:rsidR="00503FA0" w:rsidRPr="00C2761A" w:rsidRDefault="00503FA0" w:rsidP="009111B0">
            <w:pPr>
              <w:numPr>
                <w:ilvl w:val="0"/>
                <w:numId w:val="30"/>
              </w:numPr>
              <w:contextualSpacing/>
              <w:jc w:val="both"/>
            </w:pPr>
            <w:r w:rsidRPr="00C2761A">
              <w:t>Institūcijas darba mērķiem un uzdevumiem jābūt skaidriem un precīzi formulētiem, tiem jābūt publiski pieejamiem;</w:t>
            </w:r>
          </w:p>
          <w:p w:rsidR="00503FA0" w:rsidRPr="00C2761A" w:rsidRDefault="00503FA0" w:rsidP="009111B0">
            <w:pPr>
              <w:numPr>
                <w:ilvl w:val="0"/>
                <w:numId w:val="30"/>
              </w:numPr>
              <w:contextualSpacing/>
              <w:jc w:val="both"/>
            </w:pPr>
            <w:r w:rsidRPr="00C2761A">
              <w:t>Institūcijai ir jābūt neatkarīgai tādā mērā, lai tā būtu patstāvīgi atbildīga par savu darbību un tās lēmumi nebūtu ietekmējami trešajām personām;</w:t>
            </w:r>
          </w:p>
          <w:p w:rsidR="00503FA0" w:rsidRPr="00C2761A" w:rsidRDefault="00503FA0" w:rsidP="009111B0">
            <w:pPr>
              <w:numPr>
                <w:ilvl w:val="0"/>
                <w:numId w:val="30"/>
              </w:numPr>
              <w:contextualSpacing/>
              <w:jc w:val="both"/>
            </w:pPr>
            <w:r w:rsidRPr="00C2761A">
              <w:t>Institūcijas izmantotajiem procesiem, kritērijiem un pasākumiem jābūt iepriekš noteiktiem un sabiedrībai pieejamiem;</w:t>
            </w:r>
          </w:p>
          <w:p w:rsidR="00503FA0" w:rsidRPr="00C2761A" w:rsidRDefault="00503FA0" w:rsidP="009111B0">
            <w:pPr>
              <w:numPr>
                <w:ilvl w:val="0"/>
                <w:numId w:val="30"/>
              </w:numPr>
              <w:contextualSpacing/>
              <w:jc w:val="both"/>
            </w:pPr>
            <w:r w:rsidRPr="00C2761A">
              <w:t>Institūcijai jānodrošina pasākumi savas atbildības stiprināšanai.</w:t>
            </w:r>
          </w:p>
          <w:p w:rsidR="00503FA0" w:rsidRPr="00C2761A" w:rsidRDefault="00503FA0" w:rsidP="00D11178">
            <w:pPr>
              <w:ind w:firstLine="720"/>
              <w:contextualSpacing/>
              <w:jc w:val="both"/>
            </w:pPr>
            <w:r w:rsidRPr="00C2761A">
              <w:t xml:space="preserve">ESG papildu kritērijs nosaka, ka institūcijai ir jānodrošina </w:t>
            </w:r>
            <w:r w:rsidR="00F16368" w:rsidRPr="00C2761A">
              <w:t xml:space="preserve">lēmumu </w:t>
            </w:r>
            <w:r w:rsidRPr="00C2761A">
              <w:t>konsekvence, apelācijas sistēma un atbilstība ENQA mērķiem.</w:t>
            </w:r>
          </w:p>
          <w:p w:rsidR="00503FA0" w:rsidRPr="00C2761A" w:rsidRDefault="00503FA0" w:rsidP="00D11178">
            <w:pPr>
              <w:ind w:firstLine="720"/>
              <w:contextualSpacing/>
              <w:jc w:val="both"/>
            </w:pPr>
            <w:r w:rsidRPr="00C2761A">
              <w:t xml:space="preserve">Šobrīd ir pabeigts darbs pie ESG aktualizācijas un pilnveidošanas, un 2015.gada </w:t>
            </w:r>
            <w:r w:rsidR="001D6E35" w:rsidRPr="00C2761A">
              <w:t>15.</w:t>
            </w:r>
            <w:r w:rsidRPr="00C2761A">
              <w:t xml:space="preserve">maijā Boloņas procesu ministru sanāksmē šīs izmaiņas </w:t>
            </w:r>
            <w:r w:rsidR="001D6E35" w:rsidRPr="00C2761A">
              <w:t xml:space="preserve">ir </w:t>
            </w:r>
            <w:r w:rsidRPr="00C2761A">
              <w:t xml:space="preserve">apstiprinātas. Būtiskākās izmaiņas skar ESG 1.daļu – Standarti un vadlīnijas iekšējai kvalitātes novērtēšanai, kas </w:t>
            </w:r>
            <w:r w:rsidR="001D6E35" w:rsidRPr="00C2761A">
              <w:t xml:space="preserve">nosaka </w:t>
            </w:r>
            <w:r w:rsidRPr="00C2761A">
              <w:t>paaugstinātas prasības augstākās izglītības institūciju iekšējās kvalitātes nodrošināšanai. Līdz ar to</w:t>
            </w:r>
            <w:r w:rsidR="001629C3" w:rsidRPr="00C2761A">
              <w:t>,</w:t>
            </w:r>
            <w:r w:rsidRPr="00C2761A">
              <w:t xml:space="preserve"> turpmāko Latvijas augstākās izglītības kvalitātes novērtēšanas darbu būs jāorganizē, ņemot vērā jaunās ESG prasības</w:t>
            </w:r>
            <w:r w:rsidR="00B829DC" w:rsidRPr="00C2761A">
              <w:rPr>
                <w:vertAlign w:val="superscript"/>
              </w:rPr>
              <w:footnoteReference w:id="16"/>
            </w:r>
            <w:r w:rsidRPr="00C2761A">
              <w:t xml:space="preserve">. </w:t>
            </w:r>
          </w:p>
          <w:p w:rsidR="00503FA0" w:rsidRPr="00C2761A" w:rsidRDefault="00503FA0" w:rsidP="00D11178">
            <w:pPr>
              <w:ind w:firstLine="720"/>
              <w:contextualSpacing/>
              <w:jc w:val="both"/>
            </w:pPr>
            <w:r w:rsidRPr="00C2761A">
              <w:t xml:space="preserve">Pēc veiktās masveida studiju virzienu akreditācijas 2013.gadā nākamā masveida studiju virzienu akreditācija notiks 2019.gadā, kuru saskaņā ar </w:t>
            </w:r>
            <w:r w:rsidR="00841C52" w:rsidRPr="00C2761A">
              <w:t xml:space="preserve">veiktajiem </w:t>
            </w:r>
            <w:r w:rsidRPr="00C2761A">
              <w:t xml:space="preserve">grozījumiem Augstskolu likumā un </w:t>
            </w:r>
            <w:r w:rsidR="00806BCE" w:rsidRPr="00806BCE">
              <w:t xml:space="preserve">MK noteikumu projektu </w:t>
            </w:r>
            <w:r w:rsidR="00806BCE" w:rsidRPr="00806BCE">
              <w:t>“</w:t>
            </w:r>
            <w:r w:rsidR="00806BCE">
              <w:t>Augstskolu, koledžu un studiju virzienu akreditācijas noteikumi” (14.07.2015. MK sēdes protokols Nr.34, 37.§)</w:t>
            </w:r>
            <w:r w:rsidR="00806BCE">
              <w:t>,</w:t>
            </w:r>
            <w:r w:rsidRPr="00C2761A">
              <w:t xml:space="preserve"> veiks AIC. Plānots, ka studiju programmu licencēšanas gadījumi 2016.gadā varētu būt – 15, tāpat arī 2017.gadā – 15, savukārt studiju virzienu ar 1 studiju programmu akreditācijas gadījumi 2016.gadā – 3 un 2017.gadā – 10</w:t>
            </w:r>
            <w:r w:rsidR="00B829DC" w:rsidRPr="00C2761A">
              <w:rPr>
                <w:vertAlign w:val="superscript"/>
              </w:rPr>
              <w:footnoteReference w:id="17"/>
            </w:r>
            <w:r w:rsidRPr="00C2761A">
              <w:t xml:space="preserve">. </w:t>
            </w:r>
          </w:p>
          <w:p w:rsidR="00503FA0" w:rsidRPr="00C2761A" w:rsidRDefault="00503FA0" w:rsidP="00D11178">
            <w:pPr>
              <w:ind w:firstLine="720"/>
              <w:contextualSpacing/>
              <w:jc w:val="both"/>
            </w:pPr>
            <w:r w:rsidRPr="00C2761A">
              <w:lastRenderedPageBreak/>
              <w:t xml:space="preserve">Lai veicinātu iepriekš minēto prasību izpildi un sekmētu akreditācijas aģentūras iekļūšanu EQAR 2019.gadā, SAM 8.2.4. īstenošanas ietvaros </w:t>
            </w:r>
            <w:r w:rsidR="00B829DC" w:rsidRPr="00C2761A">
              <w:t xml:space="preserve">atbalstāmās darbības </w:t>
            </w:r>
            <w:r w:rsidRPr="00C2761A">
              <w:t>ir</w:t>
            </w:r>
            <w:r w:rsidR="00B829DC" w:rsidRPr="00C2761A">
              <w:t xml:space="preserve"> </w:t>
            </w:r>
            <w:r w:rsidRPr="00C2761A">
              <w:t>ietvertas trīs blokos:</w:t>
            </w:r>
          </w:p>
          <w:p w:rsidR="00450CFD" w:rsidRPr="00C2761A" w:rsidRDefault="00841C52">
            <w:pPr>
              <w:numPr>
                <w:ilvl w:val="0"/>
                <w:numId w:val="16"/>
              </w:numPr>
              <w:ind w:left="0"/>
              <w:contextualSpacing/>
              <w:jc w:val="both"/>
            </w:pPr>
            <w:r w:rsidRPr="00C2761A">
              <w:t xml:space="preserve">1. </w:t>
            </w:r>
            <w:r w:rsidR="00503FA0" w:rsidRPr="00C2761A">
              <w:t>Akreditācijas aģentūras darbības kvalitātes paaugstināšana un kapacitātes stiprināšana, lai nodrošinātu tās atbilstību ESG:</w:t>
            </w:r>
          </w:p>
          <w:p w:rsidR="00450CFD" w:rsidRPr="00C2761A" w:rsidRDefault="00503FA0">
            <w:pPr>
              <w:numPr>
                <w:ilvl w:val="0"/>
                <w:numId w:val="31"/>
              </w:numPr>
              <w:contextualSpacing/>
              <w:jc w:val="both"/>
            </w:pPr>
            <w:r w:rsidRPr="00C2761A">
              <w:t xml:space="preserve">akreditācijas aģentūras kvalitātes vadības sistēmas pilnveide un aprobācija, tai skaitā </w:t>
            </w:r>
            <w:proofErr w:type="spellStart"/>
            <w:r w:rsidRPr="00C2761A">
              <w:t>pilotakreditāciju</w:t>
            </w:r>
            <w:proofErr w:type="spellEnd"/>
            <w:r w:rsidRPr="00C2761A">
              <w:t xml:space="preserve"> īstenošana;</w:t>
            </w:r>
          </w:p>
          <w:p w:rsidR="00450CFD" w:rsidRPr="00C858D8" w:rsidRDefault="00503FA0">
            <w:pPr>
              <w:numPr>
                <w:ilvl w:val="0"/>
                <w:numId w:val="31"/>
              </w:numPr>
              <w:contextualSpacing/>
              <w:jc w:val="both"/>
            </w:pPr>
            <w:r w:rsidRPr="00C2761A">
              <w:t xml:space="preserve">akreditācijas aģentūras personāla un ekspertu, tai skaitā studējošo, darba devēju </w:t>
            </w:r>
            <w:r w:rsidRPr="00C858D8">
              <w:t>un ārvalst</w:t>
            </w:r>
            <w:r w:rsidR="00DD7DFD" w:rsidRPr="00C858D8">
              <w:t>u</w:t>
            </w:r>
            <w:r w:rsidRPr="00C858D8">
              <w:t xml:space="preserve"> ekspertu</w:t>
            </w:r>
            <w:r w:rsidR="00CA5CED" w:rsidRPr="00C858D8">
              <w:t>,</w:t>
            </w:r>
            <w:r w:rsidRPr="00C858D8">
              <w:t xml:space="preserve"> </w:t>
            </w:r>
            <w:r w:rsidR="00C1773E" w:rsidRPr="00C858D8">
              <w:t>AIP</w:t>
            </w:r>
            <w:r w:rsidR="0038024C" w:rsidRPr="00C858D8">
              <w:t xml:space="preserve"> </w:t>
            </w:r>
            <w:r w:rsidR="0099255C" w:rsidRPr="00C858D8">
              <w:t xml:space="preserve">personāla </w:t>
            </w:r>
            <w:r w:rsidR="0038024C" w:rsidRPr="00C858D8">
              <w:t>un Augstākās izglītības kvalitātes nodrošināšanas padomes</w:t>
            </w:r>
            <w:r w:rsidR="0099255C" w:rsidRPr="00C858D8">
              <w:t xml:space="preserve"> locekļu</w:t>
            </w:r>
            <w:r w:rsidR="0038024C" w:rsidRPr="00C858D8">
              <w:t>,</w:t>
            </w:r>
            <w:r w:rsidR="00CA5CED" w:rsidRPr="00C858D8">
              <w:t xml:space="preserve"> </w:t>
            </w:r>
            <w:r w:rsidR="00450CFD" w:rsidRPr="00C858D8">
              <w:t>kompetenču pilnveide, tai skaitā apmācības un</w:t>
            </w:r>
            <w:r w:rsidR="00450CFD" w:rsidRPr="00C858D8" w:rsidDel="00450CFD">
              <w:t xml:space="preserve"> </w:t>
            </w:r>
            <w:r w:rsidRPr="00C858D8">
              <w:t>pieredzes apmaiņas pasākum</w:t>
            </w:r>
            <w:r w:rsidR="00450CFD" w:rsidRPr="00C858D8">
              <w:t>i</w:t>
            </w:r>
            <w:r w:rsidRPr="00C858D8">
              <w:t xml:space="preserve"> ar citu valstu akreditācijas aģentūrām, kas reģistrētas EQAR;</w:t>
            </w:r>
            <w:r w:rsidR="00B829DC" w:rsidRPr="00C858D8">
              <w:t xml:space="preserve"> </w:t>
            </w:r>
          </w:p>
          <w:p w:rsidR="00450CFD" w:rsidRPr="00C2761A" w:rsidRDefault="00503FA0">
            <w:pPr>
              <w:pStyle w:val="ListParagraph"/>
              <w:numPr>
                <w:ilvl w:val="0"/>
                <w:numId w:val="31"/>
              </w:numPr>
              <w:rPr>
                <w:szCs w:val="24"/>
                <w:lang w:eastAsia="lv-LV"/>
              </w:rPr>
            </w:pPr>
            <w:r w:rsidRPr="00C2761A">
              <w:rPr>
                <w:szCs w:val="24"/>
                <w:lang w:eastAsia="lv-LV"/>
              </w:rPr>
              <w:t>akreditācijas aģentūras materiāltehniskās bāzes un informatīvā nodrošinājuma stiprināšana, ta</w:t>
            </w:r>
            <w:r w:rsidR="00DD7DFD" w:rsidRPr="00C2761A">
              <w:rPr>
                <w:szCs w:val="24"/>
                <w:lang w:eastAsia="lv-LV"/>
              </w:rPr>
              <w:t>i</w:t>
            </w:r>
            <w:r w:rsidRPr="00C2761A">
              <w:rPr>
                <w:szCs w:val="24"/>
                <w:lang w:eastAsia="lv-LV"/>
              </w:rPr>
              <w:t xml:space="preserve"> skaitā e-platformas izveide, kas nodrošina akreditācijas procesam </w:t>
            </w:r>
            <w:r w:rsidR="00CB2377" w:rsidRPr="00C2761A">
              <w:rPr>
                <w:szCs w:val="24"/>
                <w:lang w:eastAsia="lv-LV"/>
              </w:rPr>
              <w:t>un augstākās izglītības monitoringa īstenošanai</w:t>
            </w:r>
            <w:r w:rsidR="00B829DC" w:rsidRPr="00C2761A">
              <w:rPr>
                <w:szCs w:val="24"/>
                <w:lang w:eastAsia="lv-LV"/>
              </w:rPr>
              <w:t xml:space="preserve"> nepieciešamo dokumentu apriti un</w:t>
            </w:r>
            <w:r w:rsidR="00DD7DFD" w:rsidRPr="00C2761A">
              <w:rPr>
                <w:szCs w:val="24"/>
                <w:lang w:eastAsia="lv-LV"/>
              </w:rPr>
              <w:t xml:space="preserve"> </w:t>
            </w:r>
            <w:r w:rsidRPr="00C2761A">
              <w:rPr>
                <w:szCs w:val="24"/>
                <w:lang w:eastAsia="lv-LV"/>
              </w:rPr>
              <w:t>datu uzkrāšanu</w:t>
            </w:r>
            <w:r w:rsidR="00B829DC" w:rsidRPr="00C2761A">
              <w:rPr>
                <w:szCs w:val="24"/>
                <w:lang w:eastAsia="lv-LV"/>
              </w:rPr>
              <w:t xml:space="preserve">, kā arī esošo informācijas sistēmu integrēšana un savienošana; </w:t>
            </w:r>
          </w:p>
          <w:p w:rsidR="00450CFD" w:rsidRPr="00C2761A" w:rsidRDefault="00503FA0">
            <w:pPr>
              <w:pStyle w:val="ListParagraph"/>
              <w:numPr>
                <w:ilvl w:val="0"/>
                <w:numId w:val="31"/>
              </w:numPr>
              <w:rPr>
                <w:szCs w:val="24"/>
                <w:lang w:eastAsia="lv-LV"/>
              </w:rPr>
            </w:pPr>
            <w:r w:rsidRPr="00C2761A">
              <w:rPr>
                <w:szCs w:val="24"/>
                <w:lang w:eastAsia="lv-LV"/>
              </w:rPr>
              <w:t>dalība ENQA un citās starptautiskajās organizācijās</w:t>
            </w:r>
            <w:r w:rsidR="00B829DC" w:rsidRPr="00C2761A">
              <w:rPr>
                <w:szCs w:val="24"/>
                <w:lang w:eastAsia="lv-LV"/>
              </w:rPr>
              <w:t xml:space="preserve"> un tīklos, kā arī to organizētajos pasākumos augstākās izglītības kvalitātes nodrošināšanas jautājumos;</w:t>
            </w:r>
          </w:p>
          <w:p w:rsidR="00DD7DFD" w:rsidRPr="00C2761A" w:rsidRDefault="00503FA0">
            <w:pPr>
              <w:pStyle w:val="ListParagraph"/>
              <w:numPr>
                <w:ilvl w:val="0"/>
                <w:numId w:val="31"/>
              </w:numPr>
              <w:rPr>
                <w:szCs w:val="24"/>
                <w:lang w:eastAsia="lv-LV"/>
              </w:rPr>
            </w:pPr>
            <w:r w:rsidRPr="00C2761A">
              <w:rPr>
                <w:szCs w:val="24"/>
                <w:lang w:eastAsia="lv-LV"/>
              </w:rPr>
              <w:t>akreditācijas aģentūras ārējās ekspertīzes (atbilstības pārbaude ESG) nodrošināšana</w:t>
            </w:r>
            <w:r w:rsidR="00B829DC" w:rsidRPr="00C2761A">
              <w:rPr>
                <w:szCs w:val="24"/>
                <w:lang w:eastAsia="lv-LV"/>
              </w:rPr>
              <w:t>;</w:t>
            </w:r>
          </w:p>
          <w:p w:rsidR="00C1773E" w:rsidRPr="00C2761A" w:rsidRDefault="00B829DC">
            <w:pPr>
              <w:pStyle w:val="ListParagraph"/>
              <w:numPr>
                <w:ilvl w:val="0"/>
                <w:numId w:val="31"/>
              </w:numPr>
              <w:rPr>
                <w:szCs w:val="24"/>
                <w:lang w:eastAsia="lv-LV"/>
              </w:rPr>
            </w:pPr>
            <w:r w:rsidRPr="00C2761A">
              <w:rPr>
                <w:szCs w:val="24"/>
              </w:rPr>
              <w:t>priekšlikumu izstrāde studiju programmu licencēšanas kārtības, augstākās izglītības institūciju un studiju virzienu akreditācijas normatīvās bāzes, procesa un vērtēšanas kritēriju pilnveidei</w:t>
            </w:r>
            <w:r w:rsidR="00C1773E" w:rsidRPr="00C2761A">
              <w:rPr>
                <w:szCs w:val="24"/>
                <w:lang w:eastAsia="lv-LV"/>
              </w:rPr>
              <w:t>;</w:t>
            </w:r>
          </w:p>
          <w:p w:rsidR="00450CFD" w:rsidRPr="00C858D8" w:rsidRDefault="00C1773E">
            <w:pPr>
              <w:pStyle w:val="ListParagraph"/>
              <w:numPr>
                <w:ilvl w:val="0"/>
                <w:numId w:val="31"/>
              </w:numPr>
              <w:rPr>
                <w:szCs w:val="24"/>
                <w:lang w:eastAsia="lv-LV"/>
              </w:rPr>
            </w:pPr>
            <w:r w:rsidRPr="00C858D8">
              <w:rPr>
                <w:szCs w:val="24"/>
              </w:rPr>
              <w:t>akreditācijas aģentūras attīstības stratēģijas izstrāde, kas tai skaitā ietver vidēja termiņa pasākumu plānu akreditācijas aģentūras starptautiskās konkurētspējas stiprināšanai un ārvalstu augstākās izglītības institūciju studiju programmu vai studiju virzienu akreditāciju skaita pieauguma nodrošināšanai</w:t>
            </w:r>
            <w:r w:rsidRPr="00C858D8">
              <w:rPr>
                <w:szCs w:val="24"/>
                <w:lang w:eastAsia="lv-LV"/>
              </w:rPr>
              <w:t>.</w:t>
            </w:r>
          </w:p>
          <w:p w:rsidR="00450CFD" w:rsidRPr="00C2761A" w:rsidRDefault="00450CFD">
            <w:pPr>
              <w:pStyle w:val="ListParagraph"/>
              <w:ind w:left="0"/>
              <w:rPr>
                <w:szCs w:val="24"/>
                <w:lang w:eastAsia="lv-LV"/>
              </w:rPr>
            </w:pPr>
          </w:p>
          <w:p w:rsidR="00450CFD" w:rsidRPr="00C858D8" w:rsidRDefault="00B829DC">
            <w:pPr>
              <w:numPr>
                <w:ilvl w:val="0"/>
                <w:numId w:val="16"/>
              </w:numPr>
              <w:ind w:left="0"/>
              <w:contextualSpacing/>
              <w:jc w:val="both"/>
            </w:pPr>
            <w:r w:rsidRPr="00C2761A">
              <w:t>2. Augstākās izglītības kvalitātes</w:t>
            </w:r>
            <w:r w:rsidR="00503FA0" w:rsidRPr="00C2761A">
              <w:t xml:space="preserve"> monitoringa sistēmas attīstība</w:t>
            </w:r>
            <w:r w:rsidR="00CB2377" w:rsidRPr="00C2761A">
              <w:t>,</w:t>
            </w:r>
            <w:r w:rsidRPr="00C2761A">
              <w:t xml:space="preserve"> </w:t>
            </w:r>
            <w:r w:rsidR="00CB2377" w:rsidRPr="00C2761A">
              <w:t xml:space="preserve">lai nodrošinātu augstākās izglītības attīstībai izvirzīto mērķu </w:t>
            </w:r>
            <w:r w:rsidR="00CB2377" w:rsidRPr="00C858D8">
              <w:t>sasniegšanu</w:t>
            </w:r>
            <w:r w:rsidR="00503FA0" w:rsidRPr="00C858D8">
              <w:t>:</w:t>
            </w:r>
          </w:p>
          <w:p w:rsidR="00C1773E" w:rsidRPr="00C858D8" w:rsidRDefault="00C1773E" w:rsidP="00DD7DFD">
            <w:pPr>
              <w:numPr>
                <w:ilvl w:val="0"/>
                <w:numId w:val="32"/>
              </w:numPr>
              <w:contextualSpacing/>
              <w:jc w:val="both"/>
            </w:pPr>
            <w:r w:rsidRPr="00C858D8">
              <w:t>augstākās izglītības ārējās kvalitātes nodrošināšanas sistēmas ārējā novērtējuma veikšana;</w:t>
            </w:r>
          </w:p>
          <w:p w:rsidR="00450CFD" w:rsidRPr="00C2761A" w:rsidRDefault="00503FA0" w:rsidP="00DD7DFD">
            <w:pPr>
              <w:numPr>
                <w:ilvl w:val="0"/>
                <w:numId w:val="32"/>
              </w:numPr>
              <w:contextualSpacing/>
              <w:jc w:val="both"/>
            </w:pPr>
            <w:r w:rsidRPr="00C2761A">
              <w:t>priekšlikumu izstrāde augstākās izglītības kvalitātes monitoringa sistēmas</w:t>
            </w:r>
            <w:r w:rsidRPr="00C2761A" w:rsidDel="003930D3">
              <w:t xml:space="preserve"> </w:t>
            </w:r>
            <w:r w:rsidR="00CB2377" w:rsidRPr="00C2761A">
              <w:t xml:space="preserve">pilnveidei </w:t>
            </w:r>
            <w:r w:rsidRPr="00C2761A">
              <w:t>un procedūru īstenošanai;</w:t>
            </w:r>
          </w:p>
          <w:p w:rsidR="00450CFD" w:rsidRPr="00C2761A" w:rsidRDefault="00503FA0">
            <w:pPr>
              <w:numPr>
                <w:ilvl w:val="0"/>
                <w:numId w:val="32"/>
              </w:numPr>
              <w:contextualSpacing/>
              <w:jc w:val="both"/>
            </w:pPr>
            <w:r w:rsidRPr="00C2761A">
              <w:t>priekšlikumu izstrāde</w:t>
            </w:r>
            <w:r w:rsidRPr="00C2761A" w:rsidDel="00287EB7">
              <w:t xml:space="preserve"> </w:t>
            </w:r>
            <w:r w:rsidRPr="00C2761A">
              <w:t xml:space="preserve">e-platformas darbības </w:t>
            </w:r>
            <w:r w:rsidR="00CB2377" w:rsidRPr="00C2761A">
              <w:t>attīstībai</w:t>
            </w:r>
            <w:r w:rsidRPr="00C2761A">
              <w:t>.</w:t>
            </w:r>
          </w:p>
          <w:p w:rsidR="00450CFD" w:rsidRPr="00C2761A" w:rsidRDefault="00450CFD">
            <w:pPr>
              <w:contextualSpacing/>
              <w:jc w:val="both"/>
            </w:pPr>
          </w:p>
          <w:p w:rsidR="00450CFD" w:rsidRPr="00C2761A" w:rsidRDefault="00841C52">
            <w:pPr>
              <w:numPr>
                <w:ilvl w:val="0"/>
                <w:numId w:val="16"/>
              </w:numPr>
              <w:ind w:left="0"/>
              <w:contextualSpacing/>
              <w:jc w:val="both"/>
            </w:pPr>
            <w:r w:rsidRPr="00C2761A">
              <w:t xml:space="preserve">3. </w:t>
            </w:r>
            <w:r w:rsidR="00503FA0" w:rsidRPr="00C2761A">
              <w:t>Atbalsta un informatīvie pasākumi augstākās izglītības institūcijām un akreditācijas sistēmā iesaistītajiem partneriem:</w:t>
            </w:r>
          </w:p>
          <w:p w:rsidR="00450CFD" w:rsidRPr="00C2761A" w:rsidRDefault="00503FA0">
            <w:pPr>
              <w:pStyle w:val="ListParagraph"/>
              <w:numPr>
                <w:ilvl w:val="0"/>
                <w:numId w:val="33"/>
              </w:numPr>
              <w:rPr>
                <w:szCs w:val="24"/>
                <w:lang w:eastAsia="lv-LV"/>
              </w:rPr>
            </w:pPr>
            <w:r w:rsidRPr="00C2761A">
              <w:rPr>
                <w:szCs w:val="24"/>
                <w:lang w:eastAsia="lv-LV"/>
              </w:rPr>
              <w:t xml:space="preserve">apmācības un semināri augstākās izglītības institūciju </w:t>
            </w:r>
            <w:r w:rsidRPr="00C2761A">
              <w:rPr>
                <w:szCs w:val="24"/>
                <w:lang w:eastAsia="lv-LV"/>
              </w:rPr>
              <w:lastRenderedPageBreak/>
              <w:t>ārējās un iekšējās kvalitātes nodrošināšanas jautājumos;</w:t>
            </w:r>
          </w:p>
          <w:p w:rsidR="00450CFD" w:rsidRPr="00C2761A" w:rsidRDefault="00503FA0">
            <w:pPr>
              <w:numPr>
                <w:ilvl w:val="0"/>
                <w:numId w:val="33"/>
              </w:numPr>
              <w:jc w:val="both"/>
            </w:pPr>
            <w:r w:rsidRPr="00C2761A">
              <w:t>komunikācijas un informatīvo līdzekļu nodrošināšana un attīstība</w:t>
            </w:r>
            <w:r w:rsidR="00CB2377" w:rsidRPr="00C2761A">
              <w:t>, tai skaitā</w:t>
            </w:r>
            <w:r w:rsidRPr="00C2761A">
              <w:t xml:space="preserve"> akreditācijas aģentūras mājas lapas pilnveide, informatīvo materiālu izstrāde augstākās izglītības institūciju kvalitātes nodrošināšanas jautājumos</w:t>
            </w:r>
            <w:r w:rsidR="00E61B60" w:rsidRPr="00C2761A">
              <w:t>.</w:t>
            </w:r>
          </w:p>
          <w:p w:rsidR="00450CFD" w:rsidRPr="00C2761A" w:rsidRDefault="00503FA0">
            <w:pPr>
              <w:pStyle w:val="H2"/>
              <w:spacing w:before="0" w:after="0"/>
              <w:ind w:left="0" w:right="0" w:firstLine="720"/>
              <w:jc w:val="both"/>
              <w:rPr>
                <w:rFonts w:ascii="Times New Roman" w:hAnsi="Times New Roman"/>
                <w:bCs w:val="0"/>
                <w:iCs w:val="0"/>
                <w:sz w:val="24"/>
                <w:szCs w:val="24"/>
                <w:lang w:eastAsia="en-US"/>
              </w:rPr>
            </w:pPr>
            <w:r w:rsidRPr="00C2761A">
              <w:rPr>
                <w:rFonts w:ascii="Times New Roman" w:hAnsi="Times New Roman"/>
                <w:bCs w:val="0"/>
                <w:iCs w:val="0"/>
                <w:sz w:val="24"/>
                <w:szCs w:val="24"/>
                <w:lang w:eastAsia="en-US"/>
              </w:rPr>
              <w:t>Sadarbības partneri un iesaistītās institūcijas</w:t>
            </w:r>
          </w:p>
          <w:p w:rsidR="00067040" w:rsidRPr="00C858D8" w:rsidRDefault="00503FA0" w:rsidP="00D11178">
            <w:pPr>
              <w:ind w:firstLine="720"/>
              <w:jc w:val="both"/>
            </w:pPr>
            <w:r w:rsidRPr="00C2761A">
              <w:t xml:space="preserve">SAM 8.2.4. ietvaros plānots kā sadarbības partneri iesaistīt AIP, ņemot vērā, ka AIP veic augstākās izglītības institūciju akreditāciju. AIP plānots iesaistīt </w:t>
            </w:r>
            <w:r w:rsidR="00440079" w:rsidRPr="00C858D8">
              <w:t xml:space="preserve">ekspertu apmācībās, </w:t>
            </w:r>
            <w:r w:rsidR="00B829DC" w:rsidRPr="00C858D8">
              <w:t>augstākās izglītības kvalitātes monitoringa sistēmas attīstības jautājumu risināšanā</w:t>
            </w:r>
            <w:r w:rsidR="00740DAA" w:rsidRPr="00C858D8">
              <w:t>,</w:t>
            </w:r>
            <w:r w:rsidR="00B829DC" w:rsidRPr="00C858D8">
              <w:t xml:space="preserve"> t.i., priekšlikumu izstrādē augstākās izglītības kvalitātes monitoringa sistēmas pilnveidei un procedūru īstenošanai, kā arī priekšlikumu izstrādē e-platformas attīstībai</w:t>
            </w:r>
            <w:r w:rsidR="00440079" w:rsidRPr="00C858D8">
              <w:t xml:space="preserve">, kā arī </w:t>
            </w:r>
            <w:r w:rsidR="0038024C" w:rsidRPr="00C858D8">
              <w:t>apmācību un semināru augstākās izglītības institūciju ārējās un iekšējās kvalitātes nodrošināšanas jautājumos īstenošanā.</w:t>
            </w:r>
          </w:p>
          <w:p w:rsidR="00067040" w:rsidRPr="00C2761A" w:rsidRDefault="00B829DC" w:rsidP="00D11178">
            <w:pPr>
              <w:ind w:firstLine="720"/>
              <w:jc w:val="both"/>
            </w:pPr>
            <w:r w:rsidRPr="00C2761A">
              <w:t>Kā sadarbības partneri plānots iesaistīt arī Lietuvas augstākās izglītības kvalitātes nodrošināšanas centru (</w:t>
            </w:r>
            <w:r w:rsidRPr="00C2761A">
              <w:rPr>
                <w:i/>
              </w:rPr>
              <w:t xml:space="preserve">SKVC - </w:t>
            </w:r>
            <w:proofErr w:type="spellStart"/>
            <w:r w:rsidRPr="00C2761A">
              <w:rPr>
                <w:i/>
              </w:rPr>
              <w:t>Centre</w:t>
            </w:r>
            <w:proofErr w:type="spellEnd"/>
            <w:r w:rsidRPr="00C2761A">
              <w:rPr>
                <w:i/>
              </w:rPr>
              <w:t xml:space="preserve"> </w:t>
            </w:r>
            <w:proofErr w:type="spellStart"/>
            <w:r w:rsidRPr="00C2761A">
              <w:rPr>
                <w:i/>
              </w:rPr>
              <w:t>for</w:t>
            </w:r>
            <w:proofErr w:type="spellEnd"/>
            <w:r w:rsidRPr="00C2761A">
              <w:rPr>
                <w:i/>
              </w:rPr>
              <w:t xml:space="preserve"> </w:t>
            </w:r>
            <w:proofErr w:type="spellStart"/>
            <w:r w:rsidRPr="00C2761A">
              <w:rPr>
                <w:i/>
              </w:rPr>
              <w:t>Quality</w:t>
            </w:r>
            <w:proofErr w:type="spellEnd"/>
            <w:r w:rsidRPr="00C2761A">
              <w:rPr>
                <w:i/>
              </w:rPr>
              <w:t xml:space="preserve"> </w:t>
            </w:r>
            <w:proofErr w:type="spellStart"/>
            <w:r w:rsidRPr="00C2761A">
              <w:rPr>
                <w:i/>
              </w:rPr>
              <w:t>Assessment</w:t>
            </w:r>
            <w:proofErr w:type="spellEnd"/>
            <w:r w:rsidRPr="00C2761A">
              <w:rPr>
                <w:i/>
              </w:rPr>
              <w:t xml:space="preserve"> </w:t>
            </w:r>
            <w:proofErr w:type="spellStart"/>
            <w:r w:rsidRPr="00C2761A">
              <w:rPr>
                <w:i/>
              </w:rPr>
              <w:t>in</w:t>
            </w:r>
            <w:proofErr w:type="spellEnd"/>
            <w:r w:rsidRPr="00C2761A">
              <w:rPr>
                <w:i/>
              </w:rPr>
              <w:t xml:space="preserve"> </w:t>
            </w:r>
            <w:proofErr w:type="spellStart"/>
            <w:r w:rsidRPr="00C2761A">
              <w:rPr>
                <w:i/>
              </w:rPr>
              <w:t>Higher</w:t>
            </w:r>
            <w:proofErr w:type="spellEnd"/>
            <w:r w:rsidRPr="00C2761A">
              <w:rPr>
                <w:i/>
              </w:rPr>
              <w:t xml:space="preserve"> </w:t>
            </w:r>
            <w:proofErr w:type="spellStart"/>
            <w:r w:rsidRPr="00C2761A">
              <w:rPr>
                <w:i/>
              </w:rPr>
              <w:t>Education</w:t>
            </w:r>
            <w:proofErr w:type="spellEnd"/>
            <w:r w:rsidRPr="00C2761A">
              <w:t>), kas ir EQAR reģistrēta aģentūra</w:t>
            </w:r>
            <w:r w:rsidR="000C35CA" w:rsidRPr="00C2761A">
              <w:rPr>
                <w:rStyle w:val="FootnoteReference"/>
                <w:bCs/>
                <w:noProof/>
              </w:rPr>
              <w:footnoteReference w:id="18"/>
            </w:r>
            <w:r w:rsidR="00F35D08" w:rsidRPr="00C2761A">
              <w:t xml:space="preserve"> (turpmāk – Lietuvas akreditācijas aģentūra)</w:t>
            </w:r>
            <w:r w:rsidRPr="00C2761A">
              <w:t xml:space="preserve">, ņemot vērā, ka Lietuvas akreditācijas aģentūra tāpat kā AIC veic arī diplomu atzīšanu, un AIC jau šobrīd ir izveidojusies veiksmīga sadarbība ar Lietuvas akreditācijas aģentūru diplomu atzīšanas jomā. Latvijai un Lietuvai ir arī vairākas kopīgas studiju programmas, kas veicinās Latvijas un Lietuvas akreditācijas aģentūru sadarbību akreditācijas procesa īstenošanā. </w:t>
            </w:r>
            <w:r w:rsidR="00F35D08" w:rsidRPr="00C2761A">
              <w:t xml:space="preserve">Jāatzīmē, ka Lietuvas akreditācijas aģentūra ir piekritusi būt par sadarbības partneri projektā. </w:t>
            </w:r>
            <w:r w:rsidRPr="00C2761A">
              <w:t>Lietuvas akreditācijas aģentūru plānots iesaistīt visās projekta galvenajās aktivitātēs, lai nodrošinātu Lietuvas labās prakses pārņemšanu</w:t>
            </w:r>
            <w:r w:rsidR="00E128F3" w:rsidRPr="00C2761A">
              <w:t>.</w:t>
            </w:r>
            <w:r w:rsidRPr="00C2761A">
              <w:t xml:space="preserve"> </w:t>
            </w:r>
          </w:p>
          <w:p w:rsidR="001629C3" w:rsidRPr="00C2761A" w:rsidRDefault="00B829DC">
            <w:pPr>
              <w:ind w:firstLine="720"/>
              <w:jc w:val="both"/>
            </w:pPr>
            <w:r w:rsidRPr="00C2761A">
              <w:t xml:space="preserve">Projekta īstenošanā kā sadarbības partneri tiks iesaistītas arī augstākās izglītības institūcijas, kas pieteiksies studiju virzienu </w:t>
            </w:r>
            <w:proofErr w:type="spellStart"/>
            <w:r w:rsidRPr="00C2761A">
              <w:t>pilotakreditāciju</w:t>
            </w:r>
            <w:proofErr w:type="spellEnd"/>
            <w:r w:rsidRPr="00C2761A">
              <w:t xml:space="preserve"> īstenošanai pirms akreditācijas aģentūras reģistrācijas EQAR, lai akreditācijas aģentūra uzkrātu nepieciešamo pieredzi akreditācijas procesa organizēšanā. Šīs augstākās izglītības institūcijas arī plānots iesaistīt priekšlikumu izstrādē augstākās izglītības kvalitātes monitoringa sistēmas pilnveidei un procedūru īstenošanai un e-platformas attīstībai, ņemot vērā, ka augstākās izglītības institūcijas sniedz kvalitātes monitoringam nepieciešamos datus.</w:t>
            </w:r>
            <w:r w:rsidR="00503FA0" w:rsidRPr="00C2761A">
              <w:t xml:space="preserve"> Projekta ietvaros </w:t>
            </w:r>
            <w:r w:rsidRPr="00C2761A">
              <w:t>arī plānots apmācīt augstākās izglītības institūciju personālu</w:t>
            </w:r>
            <w:r w:rsidR="00503FA0" w:rsidRPr="00C2761A">
              <w:t xml:space="preserve">, kas iesaistīts studiju programmu licencēšanas un studiju virzienu akreditācijas procesu īstenošanā. </w:t>
            </w:r>
          </w:p>
          <w:p w:rsidR="00503FA0" w:rsidRPr="00C2761A" w:rsidRDefault="00503FA0" w:rsidP="000A5BB7">
            <w:pPr>
              <w:ind w:firstLine="720"/>
              <w:jc w:val="both"/>
            </w:pPr>
            <w:r w:rsidRPr="00C2761A">
              <w:t>Projekta īstenošanas uzraudzību</w:t>
            </w:r>
            <w:r w:rsidR="008C4309" w:rsidRPr="00C2761A">
              <w:t>,</w:t>
            </w:r>
            <w:r w:rsidR="008C4309" w:rsidRPr="00C2761A">
              <w:rPr>
                <w:sz w:val="28"/>
                <w:szCs w:val="28"/>
              </w:rPr>
              <w:t xml:space="preserve"> </w:t>
            </w:r>
            <w:r w:rsidR="008C4309" w:rsidRPr="00C858D8">
              <w:t xml:space="preserve">tai skaitā piešķirtā </w:t>
            </w:r>
            <w:r w:rsidR="008C4309" w:rsidRPr="00C858D8">
              <w:rPr>
                <w:bCs/>
              </w:rPr>
              <w:t xml:space="preserve">finansējuma izlietojuma </w:t>
            </w:r>
            <w:r w:rsidR="008C4309" w:rsidRPr="00C858D8">
              <w:t>kontroli izvirzīto mērķu un rezultātu sasniegšanai,</w:t>
            </w:r>
            <w:r w:rsidRPr="00C858D8">
              <w:t xml:space="preserve"> veiks </w:t>
            </w:r>
            <w:r w:rsidR="00410C9C" w:rsidRPr="00C858D8">
              <w:t xml:space="preserve">projekta </w:t>
            </w:r>
            <w:r w:rsidRPr="00C858D8">
              <w:t xml:space="preserve">uzraudzības </w:t>
            </w:r>
            <w:r w:rsidR="00AC527E" w:rsidRPr="00C858D8">
              <w:t>padome</w:t>
            </w:r>
            <w:r w:rsidRPr="00C858D8">
              <w:t xml:space="preserve">, kurā darbosies pārstāvji no </w:t>
            </w:r>
            <w:r w:rsidR="00841C52" w:rsidRPr="00C858D8">
              <w:t>IZM</w:t>
            </w:r>
            <w:r w:rsidRPr="00C858D8">
              <w:t>, Rektoru padomes, Latvijas</w:t>
            </w:r>
            <w:r w:rsidRPr="00C2761A">
              <w:t xml:space="preserve"> Studentu apvienības, Latvijas Darba devēju konfederācijas un Latvijas </w:t>
            </w:r>
            <w:r w:rsidRPr="00C2761A">
              <w:lastRenderedPageBreak/>
              <w:t>Tirdzniecības un rūpniecības kameras.</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Projekta izstrādē iesaistītās institūcijas</w:t>
            </w:r>
          </w:p>
        </w:tc>
        <w:tc>
          <w:tcPr>
            <w:tcW w:w="3681" w:type="pct"/>
            <w:gridSpan w:val="2"/>
            <w:tcBorders>
              <w:top w:val="outset" w:sz="6" w:space="0" w:color="000000"/>
              <w:left w:val="outset" w:sz="6" w:space="0" w:color="000000"/>
              <w:bottom w:val="outset" w:sz="6" w:space="0" w:color="000000"/>
              <w:right w:val="outset" w:sz="6" w:space="0" w:color="000000"/>
            </w:tcBorders>
          </w:tcPr>
          <w:p w:rsidR="00D55D73" w:rsidRPr="00C2761A" w:rsidRDefault="004C77F0" w:rsidP="00CA6E5C">
            <w:pPr>
              <w:jc w:val="both"/>
              <w:rPr>
                <w:bCs/>
                <w:iCs/>
              </w:rPr>
            </w:pPr>
            <w:r w:rsidRPr="00C2761A">
              <w:rPr>
                <w:bCs/>
                <w:iCs/>
              </w:rPr>
              <w:t xml:space="preserve">SAM 8.2.4. plānošanas un noteikumu projekta izstrādes ietvaros </w:t>
            </w:r>
            <w:r w:rsidR="00783428" w:rsidRPr="00C2761A">
              <w:rPr>
                <w:bCs/>
                <w:iCs/>
              </w:rPr>
              <w:t>ti</w:t>
            </w:r>
            <w:r w:rsidR="00CA6E5C" w:rsidRPr="00C2761A">
              <w:rPr>
                <w:bCs/>
                <w:iCs/>
              </w:rPr>
              <w:t>ek</w:t>
            </w:r>
            <w:r w:rsidR="00783428" w:rsidRPr="00C2761A">
              <w:rPr>
                <w:bCs/>
                <w:iCs/>
              </w:rPr>
              <w:t xml:space="preserve"> iesaistītas ES fondu vadībā iesaistītās iestādes un sociālie partneri. </w:t>
            </w:r>
          </w:p>
        </w:tc>
      </w:tr>
      <w:tr w:rsidR="0072604C" w:rsidRPr="00C2761A" w:rsidTr="001629C3">
        <w:trPr>
          <w:gridAfter w:val="1"/>
          <w:wAfter w:w="28" w:type="pct"/>
          <w:trHeight w:val="35"/>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t>4</w:t>
            </w:r>
            <w:r w:rsidR="0072604C" w:rsidRPr="00C2761A">
              <w:t>.</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Cita informācija</w:t>
            </w:r>
          </w:p>
        </w:tc>
        <w:tc>
          <w:tcPr>
            <w:tcW w:w="3681" w:type="pct"/>
            <w:gridSpan w:val="2"/>
            <w:tcBorders>
              <w:top w:val="outset" w:sz="6" w:space="0" w:color="000000"/>
              <w:left w:val="outset" w:sz="6" w:space="0" w:color="000000"/>
              <w:bottom w:val="outset" w:sz="6" w:space="0" w:color="000000"/>
              <w:right w:val="outset" w:sz="6" w:space="0" w:color="000000"/>
            </w:tcBorders>
          </w:tcPr>
          <w:p w:rsidR="0072604C" w:rsidRPr="00C858D8" w:rsidRDefault="00AC527E" w:rsidP="00AC527E">
            <w:pPr>
              <w:spacing w:before="100" w:beforeAutospacing="1" w:after="100" w:afterAutospacing="1"/>
              <w:jc w:val="both"/>
              <w:rPr>
                <w:bCs/>
                <w:iCs/>
              </w:rPr>
            </w:pPr>
            <w:r w:rsidRPr="00C858D8">
              <w:t>SAM 8.2.4. p</w:t>
            </w:r>
            <w:r w:rsidR="003A5266" w:rsidRPr="00C858D8">
              <w:t>rojekta iesniegumu vērtēšanas kritērij</w:t>
            </w:r>
            <w:r w:rsidRPr="00C858D8">
              <w:t>i</w:t>
            </w:r>
            <w:r w:rsidR="003A5266" w:rsidRPr="00C858D8">
              <w:t xml:space="preserve"> </w:t>
            </w:r>
            <w:r w:rsidR="007F01EA" w:rsidRPr="00C858D8">
              <w:t>ir apstiprināti ES fondu 2014.- 2020.gada plānošanas perioda uzraudzības komitejas 2015.gada 30.aprīļa sēdē.</w:t>
            </w:r>
          </w:p>
        </w:tc>
      </w:tr>
      <w:tr w:rsidR="0072604C" w:rsidRPr="00C2761A" w:rsidTr="001629C3">
        <w:tc>
          <w:tcPr>
            <w:tcW w:w="5000" w:type="pct"/>
            <w:gridSpan w:val="6"/>
            <w:tcBorders>
              <w:top w:val="single" w:sz="4" w:space="0" w:color="auto"/>
              <w:left w:val="single" w:sz="4" w:space="0" w:color="auto"/>
              <w:bottom w:val="outset" w:sz="6" w:space="0" w:color="000000"/>
              <w:right w:val="single" w:sz="4" w:space="0" w:color="auto"/>
            </w:tcBorders>
            <w:vAlign w:val="center"/>
          </w:tcPr>
          <w:p w:rsidR="0072604C" w:rsidRPr="00C2761A" w:rsidRDefault="00B77F92" w:rsidP="00CD0FA2">
            <w:pPr>
              <w:spacing w:before="100" w:beforeAutospacing="1" w:after="100" w:afterAutospacing="1"/>
              <w:jc w:val="center"/>
              <w:rPr>
                <w:b/>
                <w:bCs/>
              </w:rPr>
            </w:pPr>
            <w:r w:rsidRPr="00C2761A">
              <w:rPr>
                <w:b/>
              </w:rPr>
              <w:t xml:space="preserve">II. </w:t>
            </w:r>
            <w:r w:rsidRPr="00984A74">
              <w:rPr>
                <w:b/>
              </w:rPr>
              <w:t>Tiesību akta projekta ietekme uz sabiedrību, tautsaimniecības attīstību un administratīvo slogu</w:t>
            </w:r>
          </w:p>
        </w:tc>
      </w:tr>
      <w:tr w:rsidR="0072604C"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101A77">
            <w:pPr>
              <w:spacing w:before="100" w:beforeAutospacing="1" w:after="100" w:afterAutospacing="1"/>
              <w:jc w:val="center"/>
            </w:pPr>
            <w:r w:rsidRPr="00C2761A">
              <w:t>1.</w:t>
            </w:r>
          </w:p>
        </w:tc>
        <w:tc>
          <w:tcPr>
            <w:tcW w:w="1214" w:type="pct"/>
            <w:gridSpan w:val="2"/>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t xml:space="preserve">Sabiedrības </w:t>
            </w:r>
            <w:proofErr w:type="spellStart"/>
            <w:r w:rsidRPr="00C2761A">
              <w:t>mērķgrupas</w:t>
            </w:r>
            <w:proofErr w:type="spellEnd"/>
            <w:r w:rsidRPr="00C2761A">
              <w:t>, kuras tiesiskais regulējums ietekmē vai varētu ietekmēt</w:t>
            </w:r>
          </w:p>
        </w:tc>
        <w:tc>
          <w:tcPr>
            <w:tcW w:w="3525" w:type="pct"/>
            <w:gridSpan w:val="2"/>
            <w:tcBorders>
              <w:top w:val="outset" w:sz="6" w:space="0" w:color="000000"/>
              <w:left w:val="outset" w:sz="6" w:space="0" w:color="000000"/>
              <w:bottom w:val="outset" w:sz="6" w:space="0" w:color="000000"/>
              <w:right w:val="outset" w:sz="6" w:space="0" w:color="000000"/>
            </w:tcBorders>
          </w:tcPr>
          <w:p w:rsidR="00D55D73" w:rsidRPr="00C858D8" w:rsidRDefault="00B22C96" w:rsidP="007F01EA">
            <w:pPr>
              <w:jc w:val="both"/>
              <w:rPr>
                <w:i/>
              </w:rPr>
            </w:pPr>
            <w:r w:rsidRPr="00C858D8">
              <w:rPr>
                <w:iCs/>
              </w:rPr>
              <w:t>SAM 8.2.4. mērķa grup</w:t>
            </w:r>
            <w:r w:rsidR="00503FA0" w:rsidRPr="00C858D8">
              <w:rPr>
                <w:iCs/>
              </w:rPr>
              <w:t xml:space="preserve">a ir </w:t>
            </w:r>
            <w:r w:rsidR="00AB3D02" w:rsidRPr="00C858D8">
              <w:rPr>
                <w:bCs/>
                <w:spacing w:val="-2"/>
              </w:rPr>
              <w:t>akreditācijas aģentūra</w:t>
            </w:r>
            <w:r w:rsidR="00E61B60" w:rsidRPr="00C858D8">
              <w:rPr>
                <w:bCs/>
                <w:spacing w:val="-2"/>
              </w:rPr>
              <w:t>, augstākās izglītības institūcijas un studējošie.</w:t>
            </w:r>
            <w:r w:rsidR="002A3B30" w:rsidRPr="00C858D8">
              <w:t xml:space="preserve"> </w:t>
            </w:r>
          </w:p>
        </w:tc>
      </w:tr>
      <w:tr w:rsidR="00B77F92"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t>2.</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Tiesiskā regulējuma ietekme uz tautsaimniecību un administratīvo slogu</w:t>
            </w:r>
          </w:p>
        </w:tc>
        <w:tc>
          <w:tcPr>
            <w:tcW w:w="3525" w:type="pct"/>
            <w:gridSpan w:val="2"/>
            <w:tcBorders>
              <w:top w:val="outset" w:sz="6" w:space="0" w:color="000000"/>
              <w:left w:val="outset" w:sz="6" w:space="0" w:color="000000"/>
              <w:bottom w:val="outset" w:sz="6" w:space="0" w:color="000000"/>
              <w:right w:val="outset" w:sz="6" w:space="0" w:color="000000"/>
            </w:tcBorders>
          </w:tcPr>
          <w:p w:rsidR="00B17C08" w:rsidRPr="00C2761A" w:rsidRDefault="00B17C08" w:rsidP="00841C52">
            <w:pPr>
              <w:pStyle w:val="ListParagraph"/>
              <w:ind w:left="0" w:firstLine="720"/>
              <w:rPr>
                <w:b/>
                <w:szCs w:val="24"/>
                <w:lang w:eastAsia="lv-LV"/>
              </w:rPr>
            </w:pPr>
            <w:r w:rsidRPr="00C2761A">
              <w:rPr>
                <w:b/>
                <w:szCs w:val="24"/>
                <w:lang w:eastAsia="lv-LV"/>
              </w:rPr>
              <w:t>Ietekme uz makroekonomisko vidi</w:t>
            </w:r>
          </w:p>
          <w:p w:rsidR="00503FA0" w:rsidRPr="00C2761A" w:rsidRDefault="00B829DC" w:rsidP="00841C52">
            <w:pPr>
              <w:pStyle w:val="Default"/>
              <w:ind w:firstLine="720"/>
              <w:jc w:val="both"/>
            </w:pPr>
            <w:r w:rsidRPr="00C2761A">
              <w:rPr>
                <w:lang w:eastAsia="lv-LV"/>
              </w:rPr>
              <w:t xml:space="preserve">SAM 8.2.4. īstenošana netiešā veidā pozitīvi ietekmēs makroekonomisko vidi. SAM 8.2.4. īstenošanas mērķis ir stiprināt akreditācijas aģentūras kapacitāti, lai tā iekļūtu EQAR reģistrā, kas nozīmē, ka tādā veidā tiks veicināta Latvijas augstākās izglītības kvalitāte un starptautiskā atpazīstamība. Augstākās izglītības kvalitāte ir viens no galvenajiem valsts </w:t>
            </w:r>
            <w:r w:rsidRPr="00C2761A">
              <w:t xml:space="preserve">konkurētspējas faktoriem, jo tā vistiešākā veidā ietekmē valsts </w:t>
            </w:r>
            <w:proofErr w:type="spellStart"/>
            <w:r w:rsidRPr="00C2761A">
              <w:t>cilvēkkapitāla</w:t>
            </w:r>
            <w:proofErr w:type="spellEnd"/>
            <w:r w:rsidRPr="00C2761A">
              <w:t xml:space="preserve"> kvalitāti, kā arī eksportspēju. </w:t>
            </w:r>
          </w:p>
          <w:p w:rsidR="00503FA0" w:rsidRPr="00C2761A" w:rsidRDefault="00503FA0" w:rsidP="00C443F9">
            <w:pPr>
              <w:ind w:firstLine="720"/>
              <w:contextualSpacing/>
              <w:jc w:val="both"/>
            </w:pPr>
            <w:r w:rsidRPr="00C2761A">
              <w:t>Uzlabojot augstākās izglītības kvalitāti</w:t>
            </w:r>
            <w:r w:rsidR="00C443F9" w:rsidRPr="00C2761A">
              <w:t xml:space="preserve"> t</w:t>
            </w:r>
            <w:r w:rsidRPr="00C2761A">
              <w:t>iks veicināta valsts ekonomikas izaugsme un attīstība (pieaugs Latvijas iekšzemes kopprodukts, uzlabosies tautsaimniecības nozaru struktūra, pieaugs augstas pievienotās vērtības preču un pakalpojumu īpatsvars Latvijas eksportā, palielināsies eksports no augstākās izglītības pakalpojumiem, palielināsies ienākumi, līdz ar to arī patēriņš un nodokļu ieņēmumi, pieaugs produktivitāte)</w:t>
            </w:r>
            <w:r w:rsidR="00C443F9" w:rsidRPr="00C2761A">
              <w:t>.</w:t>
            </w:r>
            <w:r w:rsidRPr="00C2761A">
              <w:t xml:space="preserve"> </w:t>
            </w:r>
          </w:p>
          <w:p w:rsidR="00503FA0" w:rsidRPr="00C2761A" w:rsidRDefault="00503FA0" w:rsidP="00503FA0">
            <w:pPr>
              <w:contextualSpacing/>
              <w:jc w:val="both"/>
            </w:pPr>
          </w:p>
          <w:p w:rsidR="00503FA0" w:rsidRPr="00C2761A" w:rsidRDefault="00503FA0" w:rsidP="00C33062">
            <w:pPr>
              <w:ind w:firstLine="720"/>
              <w:contextualSpacing/>
              <w:jc w:val="both"/>
              <w:rPr>
                <w:b/>
              </w:rPr>
            </w:pPr>
            <w:r w:rsidRPr="00C2761A">
              <w:rPr>
                <w:b/>
              </w:rPr>
              <w:t>Ietekme uz uzņēmējdarbības vidi</w:t>
            </w:r>
          </w:p>
          <w:p w:rsidR="00503FA0" w:rsidRPr="00C2761A" w:rsidRDefault="00503FA0" w:rsidP="00C33062">
            <w:pPr>
              <w:ind w:firstLine="720"/>
              <w:contextualSpacing/>
              <w:jc w:val="both"/>
            </w:pPr>
            <w:r w:rsidRPr="00C2761A">
              <w:t xml:space="preserve">SAM 8.2.4. īstenošana netiešā veidā pozitīvi ietekmēs uzņēmējdarbības vidi, jo cilvēkresursu kvalitāte un </w:t>
            </w:r>
            <w:proofErr w:type="spellStart"/>
            <w:r w:rsidRPr="00C2761A">
              <w:t>uzņēmējspēju</w:t>
            </w:r>
            <w:proofErr w:type="spellEnd"/>
            <w:r w:rsidRPr="00C2761A">
              <w:t xml:space="preserve"> līmenis ir viens no uzņēmējdarbības attīstību ietekmējošiem faktoriem. Akreditācijas aģentūras efektīvas darbības rezultātā uzlabosies studiju programmu kvalitāte, līdz ar to augstskolu un koledžu absolventi būs labāk sagatavoti, veiksmīgāk iekļausies darba tirgū un paaugstinās uzņēmumu konkurētspēju. Daļa no augstskolu un koledžu absolventiem kļūst arī par darba devējiem, līdz ar to studiju kvalitātes uzlabošanās veicinās </w:t>
            </w:r>
            <w:proofErr w:type="spellStart"/>
            <w:r w:rsidRPr="00C2761A">
              <w:t>uzņēmējspēju</w:t>
            </w:r>
            <w:proofErr w:type="spellEnd"/>
            <w:r w:rsidRPr="00C2761A">
              <w:t xml:space="preserve"> jeb </w:t>
            </w:r>
            <w:proofErr w:type="spellStart"/>
            <w:r w:rsidRPr="00C2761A">
              <w:t>uzņēmējkompetences</w:t>
            </w:r>
            <w:proofErr w:type="spellEnd"/>
            <w:r w:rsidRPr="00C2761A">
              <w:t xml:space="preserve"> līmeņa uzlabošanos.</w:t>
            </w:r>
          </w:p>
          <w:p w:rsidR="00503FA0" w:rsidRPr="00C2761A" w:rsidRDefault="00503FA0" w:rsidP="00C33062">
            <w:pPr>
              <w:ind w:firstLine="720"/>
              <w:contextualSpacing/>
              <w:jc w:val="both"/>
            </w:pPr>
          </w:p>
          <w:p w:rsidR="00B17C08" w:rsidRPr="00C2761A" w:rsidRDefault="00503FA0" w:rsidP="00C33062">
            <w:pPr>
              <w:ind w:firstLine="720"/>
              <w:contextualSpacing/>
              <w:jc w:val="both"/>
              <w:rPr>
                <w:b/>
              </w:rPr>
            </w:pPr>
            <w:r w:rsidRPr="00C2761A">
              <w:rPr>
                <w:b/>
              </w:rPr>
              <w:t>Ietekme uz administratīvajām procedūrām un to izmaksām</w:t>
            </w:r>
            <w:r w:rsidR="00B17C08" w:rsidRPr="00C2761A">
              <w:rPr>
                <w:b/>
              </w:rPr>
              <w:t xml:space="preserve"> </w:t>
            </w:r>
          </w:p>
          <w:p w:rsidR="00B77F92" w:rsidRPr="00C2761A" w:rsidRDefault="00503FA0" w:rsidP="00C33062">
            <w:pPr>
              <w:ind w:firstLine="720"/>
              <w:contextualSpacing/>
              <w:jc w:val="both"/>
            </w:pPr>
            <w:r w:rsidRPr="00C2761A">
              <w:rPr>
                <w:color w:val="000000"/>
              </w:rPr>
              <w:lastRenderedPageBreak/>
              <w:t>Sabiedrības grupām un institūcijām SAM 8.2.4. ietvaros plānotais tiesiskais regulējums nemaina tiesības un pienākumus, kā arī veicamās darbības.</w:t>
            </w:r>
          </w:p>
        </w:tc>
      </w:tr>
      <w:tr w:rsidR="00B77F92"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lastRenderedPageBreak/>
              <w:t>3.</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Administratīvo izmaksu monetārs novērtējums</w:t>
            </w:r>
          </w:p>
        </w:tc>
        <w:tc>
          <w:tcPr>
            <w:tcW w:w="3525" w:type="pct"/>
            <w:gridSpan w:val="2"/>
            <w:tcBorders>
              <w:top w:val="outset" w:sz="6" w:space="0" w:color="000000"/>
              <w:left w:val="outset" w:sz="6" w:space="0" w:color="000000"/>
              <w:bottom w:val="outset" w:sz="6" w:space="0" w:color="000000"/>
              <w:right w:val="outset" w:sz="6" w:space="0" w:color="000000"/>
            </w:tcBorders>
          </w:tcPr>
          <w:p w:rsidR="00B77F92" w:rsidRPr="00C2761A" w:rsidRDefault="0033346D" w:rsidP="0033346D">
            <w:pPr>
              <w:ind w:right="57"/>
              <w:jc w:val="both"/>
              <w:rPr>
                <w:iCs/>
              </w:rPr>
            </w:pPr>
            <w:r w:rsidRPr="00C2761A">
              <w:rPr>
                <w:iCs/>
              </w:rPr>
              <w:t>Noteikumu p</w:t>
            </w:r>
            <w:r w:rsidR="00B77F92" w:rsidRPr="00C2761A">
              <w:rPr>
                <w:iCs/>
              </w:rPr>
              <w:t>rojekts šo jomu neskar</w:t>
            </w:r>
          </w:p>
        </w:tc>
      </w:tr>
      <w:tr w:rsidR="00B77F92"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t>4.</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 Cita informācija</w:t>
            </w:r>
          </w:p>
        </w:tc>
        <w:tc>
          <w:tcPr>
            <w:tcW w:w="3525" w:type="pct"/>
            <w:gridSpan w:val="2"/>
            <w:tcBorders>
              <w:top w:val="outset" w:sz="6" w:space="0" w:color="000000"/>
              <w:left w:val="outset" w:sz="6" w:space="0" w:color="000000"/>
              <w:bottom w:val="outset" w:sz="6" w:space="0" w:color="000000"/>
              <w:right w:val="outset" w:sz="6" w:space="0" w:color="000000"/>
            </w:tcBorders>
          </w:tcPr>
          <w:p w:rsidR="00B77F92" w:rsidRPr="00C2761A" w:rsidRDefault="00C14A85" w:rsidP="003B3004">
            <w:pPr>
              <w:jc w:val="both"/>
            </w:pPr>
            <w:r w:rsidRPr="00C2761A">
              <w:t xml:space="preserve">SAM 8.2.4. īstenošana netiešā veidā pozitīvi ietekmēs </w:t>
            </w:r>
            <w:r w:rsidR="00B829DC" w:rsidRPr="00C2761A">
              <w:rPr>
                <w:b/>
              </w:rPr>
              <w:t>sociālo vidi</w:t>
            </w:r>
            <w:r w:rsidRPr="00C2761A">
              <w:t>. Augstākās izglītības kvalitātes uzlabošanās dos arī sociālos ieguvumus – kultūras līmeņa attīstību, sociālo saliedētību, drošāku sabiedrisko vidi, augstāku politisko līdzdalību, augstāku tehnoloģisko adaptāciju, augstāku atbildību par jaunāko paaudzi u.tml.</w:t>
            </w:r>
          </w:p>
          <w:p w:rsidR="00C14A85" w:rsidRPr="00C2761A" w:rsidRDefault="00C14A85" w:rsidP="003B3004">
            <w:pPr>
              <w:jc w:val="both"/>
            </w:pPr>
          </w:p>
          <w:p w:rsidR="00C14A85" w:rsidRPr="00C2761A" w:rsidRDefault="00C14A85" w:rsidP="00C14A85">
            <w:pPr>
              <w:jc w:val="both"/>
            </w:pPr>
            <w:r w:rsidRPr="00C2761A">
              <w:t xml:space="preserve">SAM 8.2.4. </w:t>
            </w:r>
            <w:r w:rsidRPr="00C2761A">
              <w:rPr>
                <w:bCs/>
              </w:rPr>
              <w:t xml:space="preserve">nav </w:t>
            </w:r>
            <w:r w:rsidR="00B829DC" w:rsidRPr="00C2761A">
              <w:rPr>
                <w:b/>
                <w:bCs/>
              </w:rPr>
              <w:t>ietekmes uz vidi</w:t>
            </w:r>
            <w:r w:rsidRPr="00C2761A">
              <w:rPr>
                <w:bCs/>
              </w:rPr>
              <w:t>, kā arī nav ietekmes uz horizontālo principu “Ilgtspējīga attīstība”.</w:t>
            </w:r>
          </w:p>
        </w:tc>
      </w:tr>
    </w:tbl>
    <w:p w:rsidR="00D46C2D" w:rsidRPr="00C2761A" w:rsidRDefault="00D46C2D"/>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73"/>
        <w:gridCol w:w="1352"/>
        <w:gridCol w:w="1276"/>
        <w:gridCol w:w="1246"/>
        <w:gridCol w:w="1387"/>
      </w:tblGrid>
      <w:tr w:rsidR="00BF3649" w:rsidRPr="00C2761A" w:rsidTr="00995202">
        <w:trPr>
          <w:trHeight w:val="361"/>
          <w:jc w:val="center"/>
        </w:trPr>
        <w:tc>
          <w:tcPr>
            <w:tcW w:w="8763" w:type="dxa"/>
            <w:gridSpan w:val="6"/>
            <w:vAlign w:val="center"/>
          </w:tcPr>
          <w:p w:rsidR="00BF3649" w:rsidRPr="00C2761A" w:rsidRDefault="00BF3649" w:rsidP="00016659">
            <w:pPr>
              <w:pStyle w:val="naisnod"/>
              <w:spacing w:before="0" w:after="0"/>
              <w:rPr>
                <w:b w:val="0"/>
                <w:i/>
              </w:rPr>
            </w:pPr>
            <w:r w:rsidRPr="00C2761A">
              <w:br w:type="page"/>
              <w:t>III. Tiesību akta projekta ietekme uz valsts budžetu un pašvaldību budžetiem</w:t>
            </w:r>
          </w:p>
        </w:tc>
      </w:tr>
      <w:tr w:rsidR="00BF3649" w:rsidRPr="00C2761A" w:rsidTr="00995202">
        <w:trPr>
          <w:jc w:val="center"/>
        </w:trPr>
        <w:tc>
          <w:tcPr>
            <w:tcW w:w="2229" w:type="dxa"/>
            <w:vMerge w:val="restart"/>
            <w:vAlign w:val="center"/>
          </w:tcPr>
          <w:p w:rsidR="00BF3649" w:rsidRPr="00C2761A" w:rsidRDefault="00BF3649" w:rsidP="00016659">
            <w:pPr>
              <w:pStyle w:val="naisf"/>
              <w:spacing w:before="0" w:after="0"/>
              <w:jc w:val="center"/>
              <w:rPr>
                <w:b/>
              </w:rPr>
            </w:pPr>
            <w:r w:rsidRPr="00C2761A">
              <w:rPr>
                <w:b/>
              </w:rPr>
              <w:t>Rādītāji</w:t>
            </w:r>
          </w:p>
          <w:p w:rsidR="00BF3649" w:rsidRPr="00C2761A" w:rsidRDefault="00BF3649" w:rsidP="00016659"/>
          <w:p w:rsidR="00BF3649" w:rsidRPr="00C2761A" w:rsidRDefault="00BF3649" w:rsidP="00016659"/>
          <w:p w:rsidR="00BF3649" w:rsidRPr="00C2761A" w:rsidRDefault="00BF3649" w:rsidP="00016659"/>
        </w:tc>
        <w:tc>
          <w:tcPr>
            <w:tcW w:w="2625" w:type="dxa"/>
            <w:gridSpan w:val="2"/>
            <w:vMerge w:val="restart"/>
            <w:vAlign w:val="center"/>
          </w:tcPr>
          <w:p w:rsidR="00BF3649" w:rsidRPr="00C2761A" w:rsidRDefault="00BF3649" w:rsidP="00016659">
            <w:pPr>
              <w:pStyle w:val="naisf"/>
              <w:spacing w:before="0" w:after="0"/>
              <w:jc w:val="center"/>
              <w:rPr>
                <w:b/>
              </w:rPr>
            </w:pPr>
            <w:r w:rsidRPr="00C2761A">
              <w:rPr>
                <w:b/>
              </w:rPr>
              <w:t>2015.gads</w:t>
            </w:r>
          </w:p>
        </w:tc>
        <w:tc>
          <w:tcPr>
            <w:tcW w:w="3909" w:type="dxa"/>
            <w:gridSpan w:val="3"/>
            <w:vAlign w:val="center"/>
          </w:tcPr>
          <w:p w:rsidR="00BF3649" w:rsidRPr="00C2761A" w:rsidRDefault="00BF3649" w:rsidP="00016659">
            <w:pPr>
              <w:pStyle w:val="naisf"/>
              <w:spacing w:before="0" w:after="0"/>
              <w:jc w:val="center"/>
              <w:rPr>
                <w:b/>
                <w:i/>
              </w:rPr>
            </w:pPr>
            <w:r w:rsidRPr="00C2761A">
              <w:t>Turpmākie trīs gadi (</w:t>
            </w:r>
            <w:proofErr w:type="spellStart"/>
            <w:r w:rsidRPr="00C2761A">
              <w:rPr>
                <w:i/>
              </w:rPr>
              <w:t>euro</w:t>
            </w:r>
            <w:proofErr w:type="spellEnd"/>
            <w:r w:rsidRPr="00C2761A">
              <w:t>)</w:t>
            </w:r>
          </w:p>
        </w:tc>
      </w:tr>
      <w:tr w:rsidR="00BF3649" w:rsidRPr="00C2761A" w:rsidTr="00995202">
        <w:trPr>
          <w:jc w:val="center"/>
        </w:trPr>
        <w:tc>
          <w:tcPr>
            <w:tcW w:w="2229" w:type="dxa"/>
            <w:vMerge/>
            <w:vAlign w:val="center"/>
          </w:tcPr>
          <w:p w:rsidR="00BF3649" w:rsidRPr="00C2761A" w:rsidRDefault="00BF3649" w:rsidP="00016659">
            <w:pPr>
              <w:pStyle w:val="naisf"/>
              <w:spacing w:before="0" w:after="0"/>
              <w:jc w:val="center"/>
              <w:rPr>
                <w:b/>
                <w:i/>
              </w:rPr>
            </w:pPr>
          </w:p>
        </w:tc>
        <w:tc>
          <w:tcPr>
            <w:tcW w:w="2625" w:type="dxa"/>
            <w:gridSpan w:val="2"/>
            <w:vMerge/>
            <w:vAlign w:val="center"/>
          </w:tcPr>
          <w:p w:rsidR="00BF3649" w:rsidRPr="00C2761A" w:rsidRDefault="00BF3649" w:rsidP="00016659">
            <w:pPr>
              <w:pStyle w:val="naisf"/>
              <w:spacing w:before="0" w:after="0"/>
              <w:jc w:val="center"/>
              <w:rPr>
                <w:b/>
                <w:i/>
              </w:rPr>
            </w:pPr>
          </w:p>
        </w:tc>
        <w:tc>
          <w:tcPr>
            <w:tcW w:w="1276" w:type="dxa"/>
            <w:vAlign w:val="center"/>
          </w:tcPr>
          <w:p w:rsidR="00BF3649" w:rsidRPr="00C2761A" w:rsidRDefault="00BF3649" w:rsidP="00016659">
            <w:pPr>
              <w:pStyle w:val="naisf"/>
              <w:spacing w:before="0" w:after="0"/>
              <w:jc w:val="center"/>
              <w:rPr>
                <w:b/>
                <w:i/>
              </w:rPr>
            </w:pPr>
            <w:r w:rsidRPr="00C2761A">
              <w:rPr>
                <w:b/>
                <w:bCs/>
              </w:rPr>
              <w:t>2016.</w:t>
            </w:r>
          </w:p>
        </w:tc>
        <w:tc>
          <w:tcPr>
            <w:tcW w:w="1246" w:type="dxa"/>
            <w:vAlign w:val="center"/>
          </w:tcPr>
          <w:p w:rsidR="00BF3649" w:rsidRPr="00C2761A" w:rsidRDefault="00BF3649" w:rsidP="00016659">
            <w:pPr>
              <w:pStyle w:val="naisf"/>
              <w:spacing w:before="0" w:after="0"/>
              <w:jc w:val="center"/>
              <w:rPr>
                <w:b/>
                <w:i/>
              </w:rPr>
            </w:pPr>
            <w:r w:rsidRPr="00C2761A">
              <w:rPr>
                <w:b/>
                <w:bCs/>
              </w:rPr>
              <w:t>2017.</w:t>
            </w:r>
          </w:p>
        </w:tc>
        <w:tc>
          <w:tcPr>
            <w:tcW w:w="1387" w:type="dxa"/>
            <w:vAlign w:val="center"/>
          </w:tcPr>
          <w:p w:rsidR="00BF3649" w:rsidRPr="00C2761A" w:rsidRDefault="00BF3649" w:rsidP="00016659">
            <w:pPr>
              <w:pStyle w:val="naisf"/>
              <w:spacing w:before="0" w:after="0"/>
              <w:jc w:val="center"/>
              <w:rPr>
                <w:b/>
                <w:i/>
              </w:rPr>
            </w:pPr>
            <w:r w:rsidRPr="00C2761A">
              <w:rPr>
                <w:b/>
                <w:bCs/>
              </w:rPr>
              <w:t>2018.</w:t>
            </w:r>
          </w:p>
        </w:tc>
      </w:tr>
      <w:tr w:rsidR="00BF3649" w:rsidRPr="00C2761A" w:rsidTr="00995202">
        <w:trPr>
          <w:jc w:val="center"/>
        </w:trPr>
        <w:tc>
          <w:tcPr>
            <w:tcW w:w="2229" w:type="dxa"/>
            <w:vMerge/>
            <w:vAlign w:val="center"/>
          </w:tcPr>
          <w:p w:rsidR="00BF3649" w:rsidRPr="00C2761A" w:rsidRDefault="00BF3649" w:rsidP="00016659">
            <w:pPr>
              <w:pStyle w:val="naisf"/>
              <w:spacing w:before="0" w:after="0"/>
              <w:jc w:val="center"/>
              <w:rPr>
                <w:b/>
                <w:i/>
              </w:rPr>
            </w:pPr>
          </w:p>
        </w:tc>
        <w:tc>
          <w:tcPr>
            <w:tcW w:w="1273" w:type="dxa"/>
            <w:vAlign w:val="center"/>
          </w:tcPr>
          <w:p w:rsidR="00BF3649" w:rsidRPr="00C2761A" w:rsidRDefault="00BF3649" w:rsidP="0091265B">
            <w:pPr>
              <w:pStyle w:val="naisf"/>
              <w:spacing w:before="0" w:after="0"/>
              <w:ind w:firstLine="0"/>
              <w:rPr>
                <w:b/>
                <w:i/>
              </w:rPr>
            </w:pPr>
            <w:r w:rsidRPr="00C2761A">
              <w:t>saskaņā ar valsts budžetu kārtējam gadam</w:t>
            </w:r>
          </w:p>
        </w:tc>
        <w:tc>
          <w:tcPr>
            <w:tcW w:w="1352" w:type="dxa"/>
            <w:vAlign w:val="center"/>
          </w:tcPr>
          <w:p w:rsidR="00BF3649" w:rsidRPr="00C2761A" w:rsidRDefault="00BF3649" w:rsidP="0091265B">
            <w:pPr>
              <w:pStyle w:val="naisf"/>
              <w:spacing w:before="0" w:after="0"/>
              <w:ind w:firstLine="0"/>
              <w:rPr>
                <w:b/>
                <w:i/>
              </w:rPr>
            </w:pPr>
            <w:r w:rsidRPr="00C2761A">
              <w:t>izmaiņas kārtējā gadā, salīdzinot ar valsts budžetu kārtējam gadam</w:t>
            </w:r>
          </w:p>
        </w:tc>
        <w:tc>
          <w:tcPr>
            <w:tcW w:w="1276" w:type="dxa"/>
            <w:vAlign w:val="center"/>
          </w:tcPr>
          <w:p w:rsidR="00BF3649" w:rsidRPr="00C2761A" w:rsidRDefault="00BF3649" w:rsidP="0091265B">
            <w:pPr>
              <w:pStyle w:val="naisf"/>
              <w:spacing w:before="0" w:after="0"/>
              <w:ind w:firstLine="0"/>
              <w:rPr>
                <w:b/>
                <w:i/>
              </w:rPr>
            </w:pPr>
            <w:r w:rsidRPr="00C2761A">
              <w:t>izmaiņas, salīdzinot ar kārtējo (n) gadu</w:t>
            </w:r>
          </w:p>
        </w:tc>
        <w:tc>
          <w:tcPr>
            <w:tcW w:w="1246" w:type="dxa"/>
            <w:vAlign w:val="center"/>
          </w:tcPr>
          <w:p w:rsidR="00BF3649" w:rsidRPr="00C2761A" w:rsidRDefault="00BF3649" w:rsidP="0091265B">
            <w:pPr>
              <w:pStyle w:val="naisf"/>
              <w:spacing w:before="0" w:after="0"/>
              <w:ind w:firstLine="0"/>
              <w:rPr>
                <w:b/>
                <w:i/>
              </w:rPr>
            </w:pPr>
            <w:r w:rsidRPr="00C2761A">
              <w:t>izmaiņas, salīdzinot ar kārtējo (n) gadu</w:t>
            </w:r>
          </w:p>
        </w:tc>
        <w:tc>
          <w:tcPr>
            <w:tcW w:w="1387" w:type="dxa"/>
            <w:vAlign w:val="center"/>
          </w:tcPr>
          <w:p w:rsidR="00BF3649" w:rsidRPr="00C2761A" w:rsidRDefault="00BF3649" w:rsidP="0091265B">
            <w:pPr>
              <w:pStyle w:val="naisf"/>
              <w:spacing w:before="0" w:after="0"/>
              <w:ind w:firstLine="0"/>
              <w:rPr>
                <w:b/>
                <w:i/>
              </w:rPr>
            </w:pPr>
            <w:r w:rsidRPr="00C2761A">
              <w:t>izmaiņas, salīdzinot ar kārtējo (n) gadu</w:t>
            </w:r>
          </w:p>
        </w:tc>
      </w:tr>
      <w:tr w:rsidR="00BF3649" w:rsidRPr="00C2761A" w:rsidTr="00995202">
        <w:trPr>
          <w:jc w:val="center"/>
        </w:trPr>
        <w:tc>
          <w:tcPr>
            <w:tcW w:w="2229" w:type="dxa"/>
            <w:vAlign w:val="center"/>
          </w:tcPr>
          <w:p w:rsidR="00BF3649" w:rsidRPr="00C2761A" w:rsidRDefault="00BF3649" w:rsidP="00016659">
            <w:pPr>
              <w:pStyle w:val="naisf"/>
              <w:spacing w:before="0" w:after="0"/>
              <w:jc w:val="center"/>
              <w:rPr>
                <w:bCs/>
              </w:rPr>
            </w:pPr>
            <w:r w:rsidRPr="00C2761A">
              <w:rPr>
                <w:bCs/>
              </w:rPr>
              <w:t>1</w:t>
            </w:r>
          </w:p>
        </w:tc>
        <w:tc>
          <w:tcPr>
            <w:tcW w:w="1273" w:type="dxa"/>
            <w:vAlign w:val="center"/>
          </w:tcPr>
          <w:p w:rsidR="00BF3649" w:rsidRPr="00C2761A" w:rsidRDefault="00BF3649" w:rsidP="00016659">
            <w:pPr>
              <w:pStyle w:val="naisf"/>
              <w:spacing w:before="0" w:after="0"/>
              <w:jc w:val="center"/>
              <w:rPr>
                <w:bCs/>
              </w:rPr>
            </w:pPr>
            <w:r w:rsidRPr="00C2761A">
              <w:rPr>
                <w:bCs/>
              </w:rPr>
              <w:t>2</w:t>
            </w:r>
          </w:p>
        </w:tc>
        <w:tc>
          <w:tcPr>
            <w:tcW w:w="1352" w:type="dxa"/>
            <w:vAlign w:val="center"/>
          </w:tcPr>
          <w:p w:rsidR="00BF3649" w:rsidRPr="00C2761A" w:rsidRDefault="00BF3649" w:rsidP="00016659">
            <w:pPr>
              <w:pStyle w:val="naisf"/>
              <w:spacing w:before="0" w:after="0"/>
              <w:jc w:val="center"/>
              <w:rPr>
                <w:bCs/>
              </w:rPr>
            </w:pPr>
            <w:r w:rsidRPr="00C2761A">
              <w:rPr>
                <w:bCs/>
              </w:rPr>
              <w:t>3</w:t>
            </w:r>
          </w:p>
        </w:tc>
        <w:tc>
          <w:tcPr>
            <w:tcW w:w="1276" w:type="dxa"/>
            <w:vAlign w:val="center"/>
          </w:tcPr>
          <w:p w:rsidR="00BF3649" w:rsidRPr="00C2761A" w:rsidRDefault="00BF3649" w:rsidP="00016659">
            <w:pPr>
              <w:pStyle w:val="naisf"/>
              <w:spacing w:before="0" w:after="0"/>
              <w:jc w:val="center"/>
              <w:rPr>
                <w:bCs/>
              </w:rPr>
            </w:pPr>
            <w:r w:rsidRPr="00C2761A">
              <w:rPr>
                <w:bCs/>
              </w:rPr>
              <w:t>4</w:t>
            </w:r>
          </w:p>
        </w:tc>
        <w:tc>
          <w:tcPr>
            <w:tcW w:w="1246" w:type="dxa"/>
            <w:vAlign w:val="center"/>
          </w:tcPr>
          <w:p w:rsidR="00BF3649" w:rsidRPr="00C2761A" w:rsidRDefault="00BF3649" w:rsidP="00016659">
            <w:pPr>
              <w:pStyle w:val="naisf"/>
              <w:spacing w:before="0" w:after="0"/>
              <w:jc w:val="center"/>
              <w:rPr>
                <w:bCs/>
              </w:rPr>
            </w:pPr>
            <w:r w:rsidRPr="00C2761A">
              <w:rPr>
                <w:bCs/>
              </w:rPr>
              <w:t>5</w:t>
            </w:r>
          </w:p>
        </w:tc>
        <w:tc>
          <w:tcPr>
            <w:tcW w:w="1387" w:type="dxa"/>
            <w:vAlign w:val="center"/>
          </w:tcPr>
          <w:p w:rsidR="00BF3649" w:rsidRPr="00C2761A" w:rsidRDefault="00BF3649" w:rsidP="00016659">
            <w:pPr>
              <w:pStyle w:val="naisf"/>
              <w:spacing w:before="0" w:after="0"/>
              <w:jc w:val="center"/>
              <w:rPr>
                <w:bCs/>
              </w:rPr>
            </w:pPr>
            <w:r w:rsidRPr="00C2761A">
              <w:rPr>
                <w:bCs/>
              </w:rPr>
              <w:t>6</w:t>
            </w:r>
          </w:p>
        </w:tc>
      </w:tr>
      <w:tr w:rsidR="00BF3649" w:rsidRPr="00C2761A" w:rsidTr="00995202">
        <w:trPr>
          <w:trHeight w:val="379"/>
          <w:jc w:val="center"/>
        </w:trPr>
        <w:tc>
          <w:tcPr>
            <w:tcW w:w="2229" w:type="dxa"/>
          </w:tcPr>
          <w:p w:rsidR="00BF3649" w:rsidRPr="00C2761A" w:rsidRDefault="00BF3649" w:rsidP="0091265B">
            <w:pPr>
              <w:pStyle w:val="naisf"/>
              <w:spacing w:before="0" w:after="0"/>
              <w:ind w:firstLine="0"/>
              <w:rPr>
                <w:i/>
              </w:rPr>
            </w:pPr>
            <w:r w:rsidRPr="00C2761A">
              <w:t>1.Budžeta ieņēmumi:</w:t>
            </w:r>
          </w:p>
        </w:tc>
        <w:tc>
          <w:tcPr>
            <w:tcW w:w="1273" w:type="dxa"/>
          </w:tcPr>
          <w:p w:rsidR="00BF3649" w:rsidRPr="00C2761A" w:rsidRDefault="00E53DB2" w:rsidP="00E53DB2">
            <w:pPr>
              <w:pStyle w:val="naisf"/>
              <w:spacing w:before="0" w:after="0"/>
              <w:ind w:firstLine="0"/>
              <w:jc w:val="center"/>
            </w:pPr>
            <w:r w:rsidRPr="00C2761A">
              <w:t>0</w:t>
            </w:r>
          </w:p>
        </w:tc>
        <w:tc>
          <w:tcPr>
            <w:tcW w:w="1352" w:type="dxa"/>
          </w:tcPr>
          <w:p w:rsidR="00BF3649" w:rsidRPr="00C2761A" w:rsidRDefault="006E19B8" w:rsidP="0091265B">
            <w:pPr>
              <w:pStyle w:val="naisf"/>
              <w:spacing w:before="0" w:after="0"/>
              <w:ind w:firstLine="0"/>
              <w:jc w:val="center"/>
            </w:pPr>
            <w:r w:rsidRPr="00C2761A">
              <w:t>0</w:t>
            </w:r>
          </w:p>
        </w:tc>
        <w:tc>
          <w:tcPr>
            <w:tcW w:w="1276" w:type="dxa"/>
          </w:tcPr>
          <w:p w:rsidR="00BF3649" w:rsidRPr="00C2761A" w:rsidRDefault="0091265B" w:rsidP="0091265B">
            <w:pPr>
              <w:pStyle w:val="naisf"/>
              <w:spacing w:before="0" w:after="0"/>
              <w:ind w:firstLine="0"/>
              <w:jc w:val="center"/>
            </w:pPr>
            <w:r w:rsidRPr="00C2761A">
              <w:t>382 500</w:t>
            </w:r>
          </w:p>
        </w:tc>
        <w:tc>
          <w:tcPr>
            <w:tcW w:w="1246" w:type="dxa"/>
          </w:tcPr>
          <w:p w:rsidR="00BF3649" w:rsidRPr="00C2761A" w:rsidRDefault="0091265B" w:rsidP="0091265B">
            <w:pPr>
              <w:pStyle w:val="naisf"/>
              <w:spacing w:before="0" w:after="0"/>
              <w:ind w:firstLine="0"/>
              <w:jc w:val="center"/>
            </w:pPr>
            <w:r w:rsidRPr="00C2761A">
              <w:t>382 500</w:t>
            </w:r>
          </w:p>
        </w:tc>
        <w:tc>
          <w:tcPr>
            <w:tcW w:w="1387" w:type="dxa"/>
          </w:tcPr>
          <w:p w:rsidR="00BF3649" w:rsidRPr="00C2761A" w:rsidRDefault="0091265B" w:rsidP="0091265B">
            <w:pPr>
              <w:pStyle w:val="naisf"/>
              <w:spacing w:before="0" w:after="0"/>
              <w:ind w:firstLine="0"/>
              <w:jc w:val="center"/>
            </w:pPr>
            <w:r w:rsidRPr="00C2761A">
              <w:t>382 500</w:t>
            </w:r>
          </w:p>
        </w:tc>
      </w:tr>
      <w:tr w:rsidR="00623724" w:rsidRPr="00C2761A" w:rsidTr="00995202">
        <w:trPr>
          <w:jc w:val="center"/>
        </w:trPr>
        <w:tc>
          <w:tcPr>
            <w:tcW w:w="2229" w:type="dxa"/>
          </w:tcPr>
          <w:p w:rsidR="00623724" w:rsidRPr="00C2761A" w:rsidRDefault="00623724" w:rsidP="00016659">
            <w:r w:rsidRPr="00C2761A">
              <w:rPr>
                <w:rFonts w:eastAsia="Calibri"/>
              </w:rPr>
              <w:t>1.1. valsts pamatbudžets, tai skaitā ieņēmumi no maksas pakalpojumiem un citi pašu ieņēmumi</w:t>
            </w:r>
          </w:p>
        </w:tc>
        <w:tc>
          <w:tcPr>
            <w:tcW w:w="1273" w:type="dxa"/>
          </w:tcPr>
          <w:p w:rsidR="00623724" w:rsidRPr="00C2761A" w:rsidRDefault="00623724" w:rsidP="00E53DB2">
            <w:pPr>
              <w:pStyle w:val="naisf"/>
              <w:spacing w:before="0" w:after="0"/>
              <w:ind w:firstLine="0"/>
              <w:jc w:val="center"/>
            </w:pPr>
            <w:r w:rsidRPr="00C2761A">
              <w:rPr>
                <w:rFonts w:eastAsia="Calibri"/>
              </w:rPr>
              <w:t>0</w:t>
            </w:r>
          </w:p>
        </w:tc>
        <w:tc>
          <w:tcPr>
            <w:tcW w:w="1352" w:type="dxa"/>
          </w:tcPr>
          <w:p w:rsidR="00623724" w:rsidRPr="00C2761A" w:rsidRDefault="006E19B8" w:rsidP="0091265B">
            <w:pPr>
              <w:pStyle w:val="naisf"/>
              <w:spacing w:before="0" w:after="0"/>
              <w:ind w:firstLine="0"/>
              <w:jc w:val="center"/>
            </w:pPr>
            <w:r w:rsidRPr="00C2761A">
              <w:t>0</w:t>
            </w:r>
          </w:p>
        </w:tc>
        <w:tc>
          <w:tcPr>
            <w:tcW w:w="1276" w:type="dxa"/>
          </w:tcPr>
          <w:p w:rsidR="00623724" w:rsidRPr="00C2761A" w:rsidRDefault="00623724" w:rsidP="0091265B">
            <w:pPr>
              <w:pStyle w:val="naisf"/>
              <w:spacing w:before="0" w:after="0"/>
              <w:ind w:firstLine="0"/>
              <w:jc w:val="center"/>
            </w:pPr>
            <w:r w:rsidRPr="00C2761A">
              <w:t>382 500</w:t>
            </w:r>
          </w:p>
        </w:tc>
        <w:tc>
          <w:tcPr>
            <w:tcW w:w="1246" w:type="dxa"/>
          </w:tcPr>
          <w:p w:rsidR="00623724" w:rsidRPr="00C2761A" w:rsidRDefault="00623724" w:rsidP="0091265B">
            <w:pPr>
              <w:pStyle w:val="naisf"/>
              <w:spacing w:before="0" w:after="0"/>
              <w:ind w:firstLine="0"/>
              <w:jc w:val="center"/>
            </w:pPr>
            <w:r w:rsidRPr="00C2761A">
              <w:t>382 500</w:t>
            </w:r>
          </w:p>
        </w:tc>
        <w:tc>
          <w:tcPr>
            <w:tcW w:w="1387" w:type="dxa"/>
          </w:tcPr>
          <w:p w:rsidR="00623724" w:rsidRPr="00C2761A" w:rsidRDefault="00623724" w:rsidP="0091265B">
            <w:pPr>
              <w:pStyle w:val="naisf"/>
              <w:spacing w:before="0" w:after="0"/>
              <w:ind w:firstLine="0"/>
              <w:jc w:val="center"/>
            </w:pPr>
            <w:r w:rsidRPr="00C2761A">
              <w:t>382 500</w:t>
            </w:r>
          </w:p>
        </w:tc>
      </w:tr>
      <w:tr w:rsidR="00623724" w:rsidRPr="00C2761A" w:rsidTr="006C268C">
        <w:trPr>
          <w:jc w:val="center"/>
        </w:trPr>
        <w:tc>
          <w:tcPr>
            <w:tcW w:w="2229" w:type="dxa"/>
          </w:tcPr>
          <w:p w:rsidR="00623724" w:rsidRPr="00C2761A" w:rsidRDefault="00623724" w:rsidP="00016659">
            <w:r w:rsidRPr="00C2761A">
              <w:rPr>
                <w:rFonts w:eastAsia="Calibri"/>
              </w:rPr>
              <w:t>1.2. valsts speciālais budžets</w:t>
            </w:r>
          </w:p>
        </w:tc>
        <w:tc>
          <w:tcPr>
            <w:tcW w:w="1273" w:type="dxa"/>
            <w:vAlign w:val="center"/>
          </w:tcPr>
          <w:p w:rsidR="00623724" w:rsidRPr="00C2761A" w:rsidRDefault="00623724" w:rsidP="00E53DB2">
            <w:pPr>
              <w:pStyle w:val="naisf"/>
              <w:spacing w:before="0" w:after="0"/>
              <w:ind w:firstLine="0"/>
              <w:jc w:val="center"/>
            </w:pPr>
            <w:r w:rsidRPr="00C2761A">
              <w:rPr>
                <w:rFonts w:eastAsia="Calibri"/>
              </w:rPr>
              <w:t>0</w:t>
            </w:r>
          </w:p>
        </w:tc>
        <w:tc>
          <w:tcPr>
            <w:tcW w:w="1352"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276"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246"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387" w:type="dxa"/>
            <w:vAlign w:val="center"/>
          </w:tcPr>
          <w:p w:rsidR="00623724" w:rsidRPr="00C2761A" w:rsidRDefault="00623724" w:rsidP="0091265B">
            <w:pPr>
              <w:pStyle w:val="naisf"/>
              <w:spacing w:before="0" w:after="0"/>
              <w:ind w:firstLine="0"/>
              <w:jc w:val="center"/>
            </w:pPr>
            <w:r w:rsidRPr="00C2761A">
              <w:rPr>
                <w:rFonts w:eastAsia="Calibri"/>
              </w:rPr>
              <w:t>0</w:t>
            </w:r>
          </w:p>
        </w:tc>
      </w:tr>
      <w:tr w:rsidR="00623724" w:rsidRPr="00C2761A" w:rsidTr="006C268C">
        <w:trPr>
          <w:jc w:val="center"/>
        </w:trPr>
        <w:tc>
          <w:tcPr>
            <w:tcW w:w="2229" w:type="dxa"/>
          </w:tcPr>
          <w:p w:rsidR="00623724" w:rsidRPr="00C2761A" w:rsidRDefault="00623724" w:rsidP="00016659">
            <w:r w:rsidRPr="00C2761A">
              <w:rPr>
                <w:rFonts w:eastAsia="Calibri"/>
              </w:rPr>
              <w:t>1.3. pašvaldību budžets</w:t>
            </w:r>
          </w:p>
        </w:tc>
        <w:tc>
          <w:tcPr>
            <w:tcW w:w="1273" w:type="dxa"/>
            <w:vAlign w:val="center"/>
          </w:tcPr>
          <w:p w:rsidR="00623724" w:rsidRPr="00C2761A" w:rsidRDefault="00623724" w:rsidP="00E53DB2">
            <w:pPr>
              <w:pStyle w:val="naisf"/>
              <w:spacing w:before="0" w:after="0"/>
              <w:ind w:firstLine="0"/>
              <w:jc w:val="center"/>
            </w:pPr>
            <w:r w:rsidRPr="00C2761A">
              <w:rPr>
                <w:rFonts w:eastAsia="Calibri"/>
              </w:rPr>
              <w:t>0</w:t>
            </w:r>
          </w:p>
        </w:tc>
        <w:tc>
          <w:tcPr>
            <w:tcW w:w="1352"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276"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246"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387" w:type="dxa"/>
            <w:vAlign w:val="center"/>
          </w:tcPr>
          <w:p w:rsidR="00623724" w:rsidRPr="00C2761A" w:rsidRDefault="00623724" w:rsidP="0091265B">
            <w:pPr>
              <w:pStyle w:val="naisf"/>
              <w:spacing w:before="0" w:after="0"/>
              <w:ind w:firstLine="0"/>
              <w:jc w:val="center"/>
            </w:pPr>
            <w:r w:rsidRPr="00C2761A">
              <w:rPr>
                <w:rFonts w:eastAsia="Calibri"/>
              </w:rPr>
              <w:t>0</w:t>
            </w:r>
          </w:p>
        </w:tc>
      </w:tr>
      <w:tr w:rsidR="00BF3649" w:rsidRPr="00C2761A" w:rsidTr="00995202">
        <w:trPr>
          <w:jc w:val="center"/>
        </w:trPr>
        <w:tc>
          <w:tcPr>
            <w:tcW w:w="2229" w:type="dxa"/>
          </w:tcPr>
          <w:p w:rsidR="00BF3649" w:rsidRPr="00C2761A" w:rsidRDefault="00BF3649" w:rsidP="00016659">
            <w:r w:rsidRPr="00C2761A">
              <w:t>2. Budžeta izdevumi:</w:t>
            </w:r>
          </w:p>
        </w:tc>
        <w:tc>
          <w:tcPr>
            <w:tcW w:w="1273" w:type="dxa"/>
          </w:tcPr>
          <w:p w:rsidR="00BF3649" w:rsidRPr="00C2761A" w:rsidRDefault="00E53DB2" w:rsidP="00E53DB2">
            <w:pPr>
              <w:pStyle w:val="naisf"/>
              <w:spacing w:before="0" w:after="0"/>
              <w:ind w:firstLine="0"/>
              <w:jc w:val="center"/>
            </w:pPr>
            <w:r w:rsidRPr="00C2761A">
              <w:t>0</w:t>
            </w:r>
          </w:p>
        </w:tc>
        <w:tc>
          <w:tcPr>
            <w:tcW w:w="1352" w:type="dxa"/>
          </w:tcPr>
          <w:p w:rsidR="00BF3649" w:rsidRPr="00C2761A" w:rsidRDefault="006E19B8" w:rsidP="0091265B">
            <w:pPr>
              <w:pStyle w:val="naisf"/>
              <w:spacing w:before="0" w:after="0"/>
              <w:ind w:firstLine="0"/>
              <w:jc w:val="center"/>
            </w:pPr>
            <w:r w:rsidRPr="00C2761A">
              <w:t>0</w:t>
            </w:r>
          </w:p>
        </w:tc>
        <w:tc>
          <w:tcPr>
            <w:tcW w:w="1276" w:type="dxa"/>
          </w:tcPr>
          <w:p w:rsidR="00BF3649" w:rsidRPr="00C2761A" w:rsidRDefault="0091265B" w:rsidP="0091265B">
            <w:pPr>
              <w:pStyle w:val="naisf"/>
              <w:spacing w:before="0" w:after="0"/>
              <w:ind w:firstLine="0"/>
              <w:jc w:val="center"/>
            </w:pPr>
            <w:r w:rsidRPr="00C2761A">
              <w:t>450 000</w:t>
            </w:r>
          </w:p>
        </w:tc>
        <w:tc>
          <w:tcPr>
            <w:tcW w:w="1246" w:type="dxa"/>
          </w:tcPr>
          <w:p w:rsidR="00BF3649" w:rsidRPr="00C2761A" w:rsidRDefault="0091265B" w:rsidP="0091265B">
            <w:pPr>
              <w:pStyle w:val="naisf"/>
              <w:spacing w:before="0" w:after="0"/>
              <w:ind w:firstLine="0"/>
              <w:jc w:val="center"/>
            </w:pPr>
            <w:r w:rsidRPr="00C2761A">
              <w:t>450 000</w:t>
            </w:r>
          </w:p>
        </w:tc>
        <w:tc>
          <w:tcPr>
            <w:tcW w:w="1387" w:type="dxa"/>
          </w:tcPr>
          <w:p w:rsidR="00BF3649" w:rsidRPr="00C2761A" w:rsidRDefault="0091265B" w:rsidP="0091265B">
            <w:pPr>
              <w:pStyle w:val="naisf"/>
              <w:spacing w:before="0" w:after="0"/>
              <w:ind w:firstLine="0"/>
              <w:jc w:val="center"/>
            </w:pPr>
            <w:r w:rsidRPr="00C2761A">
              <w:t>450 000</w:t>
            </w:r>
          </w:p>
        </w:tc>
      </w:tr>
      <w:tr w:rsidR="00623724" w:rsidRPr="00C2761A" w:rsidTr="006C268C">
        <w:trPr>
          <w:jc w:val="center"/>
        </w:trPr>
        <w:tc>
          <w:tcPr>
            <w:tcW w:w="2229" w:type="dxa"/>
          </w:tcPr>
          <w:p w:rsidR="00623724" w:rsidRPr="00C2761A" w:rsidRDefault="00623724" w:rsidP="00016659">
            <w:r w:rsidRPr="00C2761A">
              <w:rPr>
                <w:rFonts w:eastAsia="Calibri"/>
              </w:rPr>
              <w:t>2.1. valsts pamatbudžets</w:t>
            </w:r>
          </w:p>
        </w:tc>
        <w:tc>
          <w:tcPr>
            <w:tcW w:w="1273" w:type="dxa"/>
            <w:shd w:val="clear" w:color="auto" w:fill="auto"/>
            <w:vAlign w:val="center"/>
          </w:tcPr>
          <w:p w:rsidR="00623724" w:rsidRPr="00C2761A" w:rsidRDefault="00623724" w:rsidP="00E53DB2">
            <w:pPr>
              <w:pStyle w:val="naisf"/>
              <w:spacing w:before="0" w:after="0"/>
              <w:ind w:firstLine="0"/>
              <w:jc w:val="center"/>
            </w:pPr>
            <w:r w:rsidRPr="00C2761A">
              <w:rPr>
                <w:rFonts w:eastAsia="Calibri"/>
              </w:rPr>
              <w:t>0</w:t>
            </w:r>
          </w:p>
        </w:tc>
        <w:tc>
          <w:tcPr>
            <w:tcW w:w="1352" w:type="dxa"/>
            <w:shd w:val="clear" w:color="auto" w:fill="auto"/>
          </w:tcPr>
          <w:p w:rsidR="00623724" w:rsidRPr="00C2761A" w:rsidRDefault="006E19B8" w:rsidP="000C0381">
            <w:pPr>
              <w:pStyle w:val="naisf"/>
              <w:spacing w:before="0" w:after="0"/>
              <w:ind w:firstLine="0"/>
              <w:jc w:val="center"/>
            </w:pPr>
            <w:r w:rsidRPr="00C2761A">
              <w:t>0</w:t>
            </w:r>
          </w:p>
        </w:tc>
        <w:tc>
          <w:tcPr>
            <w:tcW w:w="1276" w:type="dxa"/>
          </w:tcPr>
          <w:p w:rsidR="00623724" w:rsidRPr="00C2761A" w:rsidRDefault="00623724" w:rsidP="000C0381">
            <w:pPr>
              <w:pStyle w:val="naisf"/>
              <w:spacing w:before="0" w:after="0"/>
              <w:ind w:firstLine="0"/>
              <w:jc w:val="center"/>
            </w:pPr>
            <w:r w:rsidRPr="00C2761A">
              <w:t>450 000</w:t>
            </w:r>
          </w:p>
        </w:tc>
        <w:tc>
          <w:tcPr>
            <w:tcW w:w="1246" w:type="dxa"/>
          </w:tcPr>
          <w:p w:rsidR="00623724" w:rsidRPr="00C2761A" w:rsidRDefault="00623724" w:rsidP="000C0381">
            <w:pPr>
              <w:pStyle w:val="naisf"/>
              <w:spacing w:before="0" w:after="0"/>
              <w:ind w:firstLine="0"/>
              <w:jc w:val="center"/>
            </w:pPr>
            <w:r w:rsidRPr="00C2761A">
              <w:t>450 000</w:t>
            </w:r>
          </w:p>
        </w:tc>
        <w:tc>
          <w:tcPr>
            <w:tcW w:w="1387" w:type="dxa"/>
          </w:tcPr>
          <w:p w:rsidR="00623724" w:rsidRPr="00C2761A" w:rsidRDefault="00623724" w:rsidP="000C0381">
            <w:pPr>
              <w:pStyle w:val="naisf"/>
              <w:spacing w:before="0" w:after="0"/>
              <w:ind w:firstLine="0"/>
              <w:jc w:val="center"/>
            </w:pPr>
            <w:r w:rsidRPr="00C2761A">
              <w:t>450 000</w:t>
            </w:r>
          </w:p>
        </w:tc>
      </w:tr>
      <w:tr w:rsidR="00623724" w:rsidRPr="00C2761A" w:rsidTr="006C268C">
        <w:trPr>
          <w:jc w:val="center"/>
        </w:trPr>
        <w:tc>
          <w:tcPr>
            <w:tcW w:w="2229" w:type="dxa"/>
          </w:tcPr>
          <w:p w:rsidR="00623724" w:rsidRPr="00C2761A" w:rsidRDefault="00623724" w:rsidP="00016659">
            <w:r w:rsidRPr="00C2761A">
              <w:rPr>
                <w:rFonts w:eastAsia="Calibri"/>
              </w:rPr>
              <w:t>2.2. valsts speciālais budžets</w:t>
            </w:r>
          </w:p>
        </w:tc>
        <w:tc>
          <w:tcPr>
            <w:tcW w:w="1273" w:type="dxa"/>
            <w:shd w:val="clear" w:color="auto" w:fill="auto"/>
            <w:vAlign w:val="center"/>
          </w:tcPr>
          <w:p w:rsidR="00623724" w:rsidRPr="00C2761A" w:rsidRDefault="00623724" w:rsidP="00E53DB2">
            <w:pPr>
              <w:pStyle w:val="naisf"/>
              <w:spacing w:before="0" w:after="0"/>
              <w:ind w:firstLine="0"/>
              <w:jc w:val="center"/>
            </w:pPr>
            <w:r w:rsidRPr="00C2761A">
              <w:rPr>
                <w:rFonts w:eastAsia="Calibri"/>
              </w:rPr>
              <w:t>0</w:t>
            </w:r>
          </w:p>
        </w:tc>
        <w:tc>
          <w:tcPr>
            <w:tcW w:w="1352" w:type="dxa"/>
            <w:shd w:val="clear" w:color="auto" w:fill="auto"/>
            <w:vAlign w:val="center"/>
          </w:tcPr>
          <w:p w:rsidR="00623724" w:rsidRPr="00C2761A" w:rsidRDefault="00623724" w:rsidP="000C0381">
            <w:pPr>
              <w:pStyle w:val="naisf"/>
              <w:spacing w:before="0" w:after="0"/>
              <w:ind w:firstLine="0"/>
              <w:jc w:val="center"/>
            </w:pPr>
            <w:r w:rsidRPr="00C2761A">
              <w:rPr>
                <w:rFonts w:eastAsia="Calibri"/>
              </w:rPr>
              <w:t>0</w:t>
            </w:r>
          </w:p>
        </w:tc>
        <w:tc>
          <w:tcPr>
            <w:tcW w:w="1276" w:type="dxa"/>
            <w:vAlign w:val="center"/>
          </w:tcPr>
          <w:p w:rsidR="00623724" w:rsidRPr="00C2761A" w:rsidRDefault="00623724" w:rsidP="000C0381">
            <w:pPr>
              <w:pStyle w:val="naisf"/>
              <w:spacing w:before="0" w:after="0"/>
              <w:ind w:firstLine="0"/>
              <w:jc w:val="center"/>
            </w:pPr>
            <w:r w:rsidRPr="00C2761A">
              <w:rPr>
                <w:rFonts w:eastAsia="Calibri"/>
              </w:rPr>
              <w:t>0</w:t>
            </w:r>
          </w:p>
        </w:tc>
        <w:tc>
          <w:tcPr>
            <w:tcW w:w="1246" w:type="dxa"/>
            <w:vAlign w:val="center"/>
          </w:tcPr>
          <w:p w:rsidR="00623724" w:rsidRPr="00C2761A" w:rsidRDefault="00623724" w:rsidP="000C0381">
            <w:pPr>
              <w:pStyle w:val="naisf"/>
              <w:spacing w:before="0" w:after="0"/>
              <w:ind w:firstLine="0"/>
              <w:jc w:val="center"/>
            </w:pPr>
            <w:r w:rsidRPr="00C2761A">
              <w:rPr>
                <w:rFonts w:eastAsia="Calibri"/>
              </w:rPr>
              <w:t>0</w:t>
            </w:r>
          </w:p>
        </w:tc>
        <w:tc>
          <w:tcPr>
            <w:tcW w:w="1387" w:type="dxa"/>
            <w:vAlign w:val="center"/>
          </w:tcPr>
          <w:p w:rsidR="00623724" w:rsidRPr="00C2761A" w:rsidRDefault="00623724" w:rsidP="000C0381">
            <w:pPr>
              <w:pStyle w:val="naisf"/>
              <w:spacing w:before="0" w:after="0"/>
              <w:ind w:firstLine="0"/>
              <w:jc w:val="center"/>
            </w:pPr>
            <w:r w:rsidRPr="00C2761A">
              <w:rPr>
                <w:rFonts w:eastAsia="Calibri"/>
              </w:rPr>
              <w:t>0</w:t>
            </w:r>
          </w:p>
        </w:tc>
      </w:tr>
      <w:tr w:rsidR="00623724" w:rsidRPr="00C2761A" w:rsidTr="006C268C">
        <w:trPr>
          <w:jc w:val="center"/>
        </w:trPr>
        <w:tc>
          <w:tcPr>
            <w:tcW w:w="2229" w:type="dxa"/>
          </w:tcPr>
          <w:p w:rsidR="00623724" w:rsidRPr="00C2761A" w:rsidRDefault="00623724" w:rsidP="00016659">
            <w:r w:rsidRPr="00C2761A">
              <w:rPr>
                <w:rFonts w:eastAsia="Calibri"/>
              </w:rPr>
              <w:t xml:space="preserve">2.3. pašvaldību </w:t>
            </w:r>
            <w:r w:rsidRPr="00C2761A">
              <w:rPr>
                <w:rFonts w:eastAsia="Calibri"/>
              </w:rPr>
              <w:lastRenderedPageBreak/>
              <w:t>budžets</w:t>
            </w:r>
          </w:p>
        </w:tc>
        <w:tc>
          <w:tcPr>
            <w:tcW w:w="1273" w:type="dxa"/>
            <w:shd w:val="clear" w:color="auto" w:fill="auto"/>
            <w:vAlign w:val="center"/>
          </w:tcPr>
          <w:p w:rsidR="00623724" w:rsidRPr="00C2761A" w:rsidRDefault="00623724" w:rsidP="00E53DB2">
            <w:pPr>
              <w:pStyle w:val="naisf"/>
              <w:spacing w:before="0" w:after="0"/>
              <w:ind w:firstLine="0"/>
              <w:jc w:val="center"/>
            </w:pPr>
            <w:r w:rsidRPr="00C2761A">
              <w:rPr>
                <w:rFonts w:eastAsia="Calibri"/>
              </w:rPr>
              <w:lastRenderedPageBreak/>
              <w:t>0</w:t>
            </w:r>
          </w:p>
        </w:tc>
        <w:tc>
          <w:tcPr>
            <w:tcW w:w="1352" w:type="dxa"/>
            <w:shd w:val="clear" w:color="auto" w:fill="auto"/>
            <w:vAlign w:val="center"/>
          </w:tcPr>
          <w:p w:rsidR="00623724" w:rsidRPr="00C2761A" w:rsidRDefault="00623724" w:rsidP="000C0381">
            <w:pPr>
              <w:pStyle w:val="naisf"/>
              <w:spacing w:before="0" w:after="0"/>
              <w:ind w:firstLine="0"/>
              <w:jc w:val="center"/>
            </w:pPr>
            <w:r w:rsidRPr="00C2761A">
              <w:rPr>
                <w:rFonts w:eastAsia="Calibri"/>
              </w:rPr>
              <w:t>0</w:t>
            </w:r>
          </w:p>
        </w:tc>
        <w:tc>
          <w:tcPr>
            <w:tcW w:w="1276" w:type="dxa"/>
            <w:vAlign w:val="center"/>
          </w:tcPr>
          <w:p w:rsidR="00623724" w:rsidRPr="00C2761A" w:rsidRDefault="00623724" w:rsidP="000C0381">
            <w:pPr>
              <w:pStyle w:val="naisf"/>
              <w:spacing w:before="0" w:after="0"/>
              <w:ind w:firstLine="0"/>
              <w:jc w:val="center"/>
            </w:pPr>
            <w:r w:rsidRPr="00C2761A">
              <w:rPr>
                <w:rFonts w:eastAsia="Calibri"/>
              </w:rPr>
              <w:t>0</w:t>
            </w:r>
          </w:p>
        </w:tc>
        <w:tc>
          <w:tcPr>
            <w:tcW w:w="1246" w:type="dxa"/>
            <w:vAlign w:val="center"/>
          </w:tcPr>
          <w:p w:rsidR="00623724" w:rsidRPr="00C2761A" w:rsidRDefault="00623724" w:rsidP="000C0381">
            <w:pPr>
              <w:pStyle w:val="naisf"/>
              <w:spacing w:before="0" w:after="0"/>
              <w:ind w:firstLine="0"/>
              <w:jc w:val="center"/>
            </w:pPr>
            <w:r w:rsidRPr="00C2761A">
              <w:rPr>
                <w:rFonts w:eastAsia="Calibri"/>
              </w:rPr>
              <w:t>0</w:t>
            </w:r>
          </w:p>
        </w:tc>
        <w:tc>
          <w:tcPr>
            <w:tcW w:w="1387" w:type="dxa"/>
            <w:vAlign w:val="center"/>
          </w:tcPr>
          <w:p w:rsidR="00623724" w:rsidRPr="00C2761A" w:rsidRDefault="00623724" w:rsidP="000C0381">
            <w:pPr>
              <w:pStyle w:val="naisf"/>
              <w:spacing w:before="0" w:after="0"/>
              <w:ind w:firstLine="0"/>
              <w:jc w:val="center"/>
            </w:pPr>
            <w:r w:rsidRPr="00C2761A">
              <w:rPr>
                <w:rFonts w:eastAsia="Calibri"/>
              </w:rPr>
              <w:t>0</w:t>
            </w:r>
          </w:p>
        </w:tc>
      </w:tr>
      <w:tr w:rsidR="00BF3649" w:rsidRPr="00C2761A" w:rsidTr="00995202">
        <w:trPr>
          <w:jc w:val="center"/>
        </w:trPr>
        <w:tc>
          <w:tcPr>
            <w:tcW w:w="2229" w:type="dxa"/>
          </w:tcPr>
          <w:p w:rsidR="00BF3649" w:rsidRPr="00C2761A" w:rsidRDefault="00BF3649" w:rsidP="00016659">
            <w:r w:rsidRPr="00C2761A">
              <w:lastRenderedPageBreak/>
              <w:t>3. Finansiālā ietekme:</w:t>
            </w:r>
          </w:p>
        </w:tc>
        <w:tc>
          <w:tcPr>
            <w:tcW w:w="1273" w:type="dxa"/>
            <w:shd w:val="clear" w:color="auto" w:fill="auto"/>
          </w:tcPr>
          <w:p w:rsidR="00BF3649" w:rsidRPr="00C2761A" w:rsidRDefault="00E53DB2" w:rsidP="00E53DB2">
            <w:pPr>
              <w:pStyle w:val="naisf"/>
              <w:spacing w:before="0" w:after="0"/>
              <w:ind w:firstLine="0"/>
              <w:jc w:val="center"/>
            </w:pPr>
            <w:r w:rsidRPr="00C2761A">
              <w:t>0</w:t>
            </w:r>
          </w:p>
        </w:tc>
        <w:tc>
          <w:tcPr>
            <w:tcW w:w="1352" w:type="dxa"/>
            <w:shd w:val="clear" w:color="auto" w:fill="auto"/>
          </w:tcPr>
          <w:p w:rsidR="00BF3649" w:rsidRPr="00C2761A" w:rsidRDefault="006E19B8" w:rsidP="000C0381">
            <w:pPr>
              <w:pStyle w:val="naisf"/>
              <w:spacing w:before="0" w:after="0"/>
              <w:ind w:firstLine="0"/>
              <w:jc w:val="center"/>
            </w:pPr>
            <w:r w:rsidRPr="00C2761A">
              <w:t>0</w:t>
            </w:r>
          </w:p>
        </w:tc>
        <w:tc>
          <w:tcPr>
            <w:tcW w:w="1276" w:type="dxa"/>
          </w:tcPr>
          <w:p w:rsidR="00BF3649" w:rsidRPr="00C2761A" w:rsidRDefault="000C0381" w:rsidP="000C0381">
            <w:pPr>
              <w:pStyle w:val="naisf"/>
              <w:spacing w:before="0" w:after="0"/>
              <w:ind w:firstLine="0"/>
              <w:jc w:val="center"/>
            </w:pPr>
            <w:r w:rsidRPr="00C2761A">
              <w:t>- 67 500</w:t>
            </w:r>
          </w:p>
        </w:tc>
        <w:tc>
          <w:tcPr>
            <w:tcW w:w="1246" w:type="dxa"/>
          </w:tcPr>
          <w:p w:rsidR="00BF3649" w:rsidRPr="00C2761A" w:rsidRDefault="000C0381" w:rsidP="000C0381">
            <w:pPr>
              <w:pStyle w:val="naisf"/>
              <w:spacing w:before="0" w:after="0"/>
              <w:ind w:firstLine="0"/>
              <w:jc w:val="center"/>
            </w:pPr>
            <w:r w:rsidRPr="00C2761A">
              <w:t>- 67 500</w:t>
            </w:r>
          </w:p>
        </w:tc>
        <w:tc>
          <w:tcPr>
            <w:tcW w:w="1387" w:type="dxa"/>
          </w:tcPr>
          <w:p w:rsidR="00BF3649" w:rsidRPr="00C2761A" w:rsidRDefault="000C0381" w:rsidP="000C0381">
            <w:pPr>
              <w:pStyle w:val="naisf"/>
              <w:spacing w:before="0" w:after="0"/>
              <w:ind w:firstLine="0"/>
              <w:jc w:val="center"/>
            </w:pPr>
            <w:r w:rsidRPr="00C2761A">
              <w:t>- 67 500</w:t>
            </w:r>
          </w:p>
        </w:tc>
      </w:tr>
      <w:tr w:rsidR="00321969" w:rsidRPr="00C2761A" w:rsidTr="006C268C">
        <w:trPr>
          <w:jc w:val="center"/>
        </w:trPr>
        <w:tc>
          <w:tcPr>
            <w:tcW w:w="2229" w:type="dxa"/>
          </w:tcPr>
          <w:p w:rsidR="00321969" w:rsidRPr="00C2761A" w:rsidRDefault="00321969" w:rsidP="00016659">
            <w:r w:rsidRPr="00C2761A">
              <w:rPr>
                <w:rFonts w:eastAsia="Calibri"/>
              </w:rPr>
              <w:t>3.1. valsts pamatbudžets</w:t>
            </w:r>
          </w:p>
        </w:tc>
        <w:tc>
          <w:tcPr>
            <w:tcW w:w="1273" w:type="dxa"/>
            <w:shd w:val="clear" w:color="auto" w:fill="auto"/>
            <w:vAlign w:val="center"/>
          </w:tcPr>
          <w:p w:rsidR="00321969" w:rsidRPr="00C2761A" w:rsidRDefault="00321969" w:rsidP="00E53DB2">
            <w:pPr>
              <w:pStyle w:val="naisf"/>
              <w:spacing w:before="0" w:after="0"/>
              <w:ind w:firstLine="0"/>
              <w:jc w:val="center"/>
            </w:pPr>
            <w:r w:rsidRPr="00C2761A">
              <w:rPr>
                <w:rFonts w:eastAsia="Calibri"/>
              </w:rPr>
              <w:t>0</w:t>
            </w:r>
          </w:p>
        </w:tc>
        <w:tc>
          <w:tcPr>
            <w:tcW w:w="1352" w:type="dxa"/>
            <w:shd w:val="clear" w:color="auto" w:fill="auto"/>
          </w:tcPr>
          <w:p w:rsidR="00321969" w:rsidRPr="00C2761A" w:rsidRDefault="006E19B8" w:rsidP="000C0381">
            <w:pPr>
              <w:pStyle w:val="naisf"/>
              <w:spacing w:before="0" w:after="0"/>
              <w:ind w:firstLine="0"/>
              <w:jc w:val="center"/>
            </w:pPr>
            <w:r w:rsidRPr="00C2761A">
              <w:t>0</w:t>
            </w:r>
          </w:p>
        </w:tc>
        <w:tc>
          <w:tcPr>
            <w:tcW w:w="1276" w:type="dxa"/>
          </w:tcPr>
          <w:p w:rsidR="00321969" w:rsidRPr="00C2761A" w:rsidRDefault="00321969" w:rsidP="000C0381">
            <w:pPr>
              <w:pStyle w:val="naisf"/>
              <w:spacing w:before="0" w:after="0"/>
              <w:ind w:firstLine="0"/>
              <w:jc w:val="center"/>
            </w:pPr>
            <w:r w:rsidRPr="00C2761A">
              <w:t>- 67 500</w:t>
            </w:r>
          </w:p>
        </w:tc>
        <w:tc>
          <w:tcPr>
            <w:tcW w:w="1246" w:type="dxa"/>
          </w:tcPr>
          <w:p w:rsidR="00321969" w:rsidRPr="00C2761A" w:rsidRDefault="00321969" w:rsidP="000C0381">
            <w:pPr>
              <w:pStyle w:val="naisf"/>
              <w:spacing w:before="0" w:after="0"/>
              <w:ind w:firstLine="0"/>
              <w:jc w:val="center"/>
            </w:pPr>
            <w:r w:rsidRPr="00C2761A">
              <w:t>- 67 500</w:t>
            </w:r>
          </w:p>
        </w:tc>
        <w:tc>
          <w:tcPr>
            <w:tcW w:w="1387" w:type="dxa"/>
          </w:tcPr>
          <w:p w:rsidR="00321969" w:rsidRPr="00C2761A" w:rsidRDefault="00321969" w:rsidP="000C0381">
            <w:pPr>
              <w:pStyle w:val="naisf"/>
              <w:spacing w:before="0" w:after="0"/>
              <w:ind w:firstLine="0"/>
              <w:jc w:val="center"/>
            </w:pPr>
            <w:r w:rsidRPr="00C2761A">
              <w:t>- 67 500</w:t>
            </w:r>
          </w:p>
        </w:tc>
      </w:tr>
      <w:tr w:rsidR="00321969" w:rsidRPr="00C2761A" w:rsidTr="006C268C">
        <w:trPr>
          <w:jc w:val="center"/>
        </w:trPr>
        <w:tc>
          <w:tcPr>
            <w:tcW w:w="2229" w:type="dxa"/>
          </w:tcPr>
          <w:p w:rsidR="00321969" w:rsidRPr="00C2761A" w:rsidRDefault="00321969" w:rsidP="00016659">
            <w:r w:rsidRPr="00C2761A">
              <w:rPr>
                <w:rFonts w:eastAsia="Calibri"/>
              </w:rPr>
              <w:t>3.2. speciālais budžets</w:t>
            </w:r>
          </w:p>
        </w:tc>
        <w:tc>
          <w:tcPr>
            <w:tcW w:w="1273" w:type="dxa"/>
            <w:shd w:val="clear" w:color="auto" w:fill="auto"/>
            <w:vAlign w:val="center"/>
          </w:tcPr>
          <w:p w:rsidR="00321969" w:rsidRPr="00C2761A" w:rsidRDefault="00321969" w:rsidP="00E53DB2">
            <w:pPr>
              <w:pStyle w:val="naisf"/>
              <w:spacing w:before="0" w:after="0"/>
              <w:ind w:firstLine="0"/>
              <w:jc w:val="center"/>
            </w:pPr>
            <w:r w:rsidRPr="00C2761A">
              <w:rPr>
                <w:rFonts w:eastAsia="Calibri"/>
              </w:rPr>
              <w:t>0</w:t>
            </w:r>
          </w:p>
        </w:tc>
        <w:tc>
          <w:tcPr>
            <w:tcW w:w="1352" w:type="dxa"/>
            <w:shd w:val="clear" w:color="auto" w:fill="auto"/>
            <w:vAlign w:val="center"/>
          </w:tcPr>
          <w:p w:rsidR="00321969" w:rsidRPr="00C2761A" w:rsidRDefault="00321969" w:rsidP="000C0381">
            <w:pPr>
              <w:pStyle w:val="naisf"/>
              <w:spacing w:before="0" w:after="0"/>
              <w:ind w:firstLine="0"/>
              <w:jc w:val="center"/>
            </w:pPr>
            <w:r w:rsidRPr="00C2761A">
              <w:rPr>
                <w:rFonts w:eastAsia="Calibri"/>
              </w:rPr>
              <w:t>0</w:t>
            </w:r>
          </w:p>
        </w:tc>
        <w:tc>
          <w:tcPr>
            <w:tcW w:w="1276"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246"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387" w:type="dxa"/>
            <w:vAlign w:val="center"/>
          </w:tcPr>
          <w:p w:rsidR="00321969" w:rsidRPr="00C2761A" w:rsidRDefault="00321969" w:rsidP="000C0381">
            <w:pPr>
              <w:pStyle w:val="naisf"/>
              <w:spacing w:before="0" w:after="0"/>
              <w:ind w:firstLine="0"/>
              <w:jc w:val="center"/>
            </w:pPr>
            <w:r w:rsidRPr="00C2761A">
              <w:rPr>
                <w:rFonts w:eastAsia="Calibri"/>
              </w:rPr>
              <w:t>0</w:t>
            </w:r>
          </w:p>
        </w:tc>
      </w:tr>
      <w:tr w:rsidR="00321969" w:rsidRPr="00C2761A" w:rsidTr="006C268C">
        <w:trPr>
          <w:jc w:val="center"/>
        </w:trPr>
        <w:tc>
          <w:tcPr>
            <w:tcW w:w="2229" w:type="dxa"/>
          </w:tcPr>
          <w:p w:rsidR="00321969" w:rsidRPr="00C2761A" w:rsidRDefault="00321969" w:rsidP="00016659">
            <w:r w:rsidRPr="00C2761A">
              <w:rPr>
                <w:rFonts w:eastAsia="Calibri"/>
              </w:rPr>
              <w:t>3.3. pašvaldību budžets</w:t>
            </w:r>
          </w:p>
        </w:tc>
        <w:tc>
          <w:tcPr>
            <w:tcW w:w="1273" w:type="dxa"/>
            <w:shd w:val="clear" w:color="auto" w:fill="auto"/>
            <w:vAlign w:val="center"/>
          </w:tcPr>
          <w:p w:rsidR="00321969" w:rsidRPr="00C2761A" w:rsidRDefault="00321969" w:rsidP="00E53DB2">
            <w:pPr>
              <w:pStyle w:val="naisf"/>
              <w:spacing w:before="0" w:after="0"/>
              <w:ind w:firstLine="0"/>
              <w:jc w:val="center"/>
            </w:pPr>
            <w:r w:rsidRPr="00C2761A">
              <w:rPr>
                <w:rFonts w:eastAsia="Calibri"/>
              </w:rPr>
              <w:t>0</w:t>
            </w:r>
          </w:p>
        </w:tc>
        <w:tc>
          <w:tcPr>
            <w:tcW w:w="1352" w:type="dxa"/>
            <w:shd w:val="clear" w:color="auto" w:fill="auto"/>
            <w:vAlign w:val="center"/>
          </w:tcPr>
          <w:p w:rsidR="00321969" w:rsidRPr="00C2761A" w:rsidRDefault="00321969" w:rsidP="000C0381">
            <w:pPr>
              <w:pStyle w:val="naisf"/>
              <w:spacing w:before="0" w:after="0"/>
              <w:ind w:firstLine="0"/>
              <w:jc w:val="center"/>
            </w:pPr>
            <w:r w:rsidRPr="00C2761A">
              <w:rPr>
                <w:rFonts w:eastAsia="Calibri"/>
              </w:rPr>
              <w:t>0</w:t>
            </w:r>
          </w:p>
        </w:tc>
        <w:tc>
          <w:tcPr>
            <w:tcW w:w="1276"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246"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387" w:type="dxa"/>
            <w:vAlign w:val="center"/>
          </w:tcPr>
          <w:p w:rsidR="00321969" w:rsidRPr="00C2761A" w:rsidRDefault="00321969" w:rsidP="000C0381">
            <w:pPr>
              <w:pStyle w:val="naisf"/>
              <w:spacing w:before="0" w:after="0"/>
              <w:ind w:firstLine="0"/>
              <w:jc w:val="center"/>
            </w:pPr>
            <w:r w:rsidRPr="00C2761A">
              <w:rPr>
                <w:rFonts w:eastAsia="Calibri"/>
              </w:rPr>
              <w:t>0</w:t>
            </w:r>
          </w:p>
        </w:tc>
      </w:tr>
      <w:tr w:rsidR="00B57E38" w:rsidRPr="00C2761A" w:rsidTr="00995202">
        <w:trPr>
          <w:trHeight w:val="1380"/>
          <w:jc w:val="center"/>
        </w:trPr>
        <w:tc>
          <w:tcPr>
            <w:tcW w:w="2229" w:type="dxa"/>
          </w:tcPr>
          <w:p w:rsidR="00B57E38" w:rsidRPr="00C2761A" w:rsidRDefault="00B57E38" w:rsidP="00016659">
            <w:r w:rsidRPr="00C2761A">
              <w:t>4. Finanšu līdzekļi papildu izdevumu finansēšanai (kompensējošu izdevumu samazinājumu norāda ar "+" zīmi)</w:t>
            </w:r>
          </w:p>
        </w:tc>
        <w:tc>
          <w:tcPr>
            <w:tcW w:w="1273" w:type="dxa"/>
          </w:tcPr>
          <w:p w:rsidR="00B57E38" w:rsidRPr="00C2761A" w:rsidRDefault="006E1301" w:rsidP="00E53DB2">
            <w:pPr>
              <w:pStyle w:val="naisf"/>
              <w:spacing w:before="0" w:after="0"/>
              <w:ind w:firstLine="0"/>
              <w:jc w:val="center"/>
            </w:pPr>
            <w:r w:rsidRPr="00C2761A">
              <w:t>0</w:t>
            </w:r>
          </w:p>
        </w:tc>
        <w:tc>
          <w:tcPr>
            <w:tcW w:w="1352" w:type="dxa"/>
          </w:tcPr>
          <w:p w:rsidR="00B57E38" w:rsidRPr="00C2761A" w:rsidRDefault="006E1301" w:rsidP="00E53DB2">
            <w:pPr>
              <w:pStyle w:val="naisf"/>
              <w:spacing w:before="0" w:after="0"/>
              <w:ind w:firstLine="0"/>
              <w:jc w:val="center"/>
            </w:pPr>
            <w:r w:rsidRPr="00C2761A">
              <w:t>0</w:t>
            </w:r>
          </w:p>
        </w:tc>
        <w:tc>
          <w:tcPr>
            <w:tcW w:w="1276" w:type="dxa"/>
          </w:tcPr>
          <w:p w:rsidR="00B57E38" w:rsidRPr="00C2761A" w:rsidRDefault="006E1301" w:rsidP="00E53DB2">
            <w:pPr>
              <w:pStyle w:val="naisf"/>
              <w:spacing w:before="0" w:after="0"/>
              <w:ind w:firstLine="0"/>
              <w:jc w:val="center"/>
            </w:pPr>
            <w:r w:rsidRPr="00C2761A">
              <w:t>0</w:t>
            </w:r>
          </w:p>
        </w:tc>
        <w:tc>
          <w:tcPr>
            <w:tcW w:w="1246" w:type="dxa"/>
          </w:tcPr>
          <w:p w:rsidR="00B57E38" w:rsidRPr="00C2761A" w:rsidRDefault="006E1301" w:rsidP="00E53DB2">
            <w:pPr>
              <w:pStyle w:val="naisf"/>
              <w:spacing w:before="0" w:after="0"/>
              <w:ind w:firstLine="0"/>
              <w:jc w:val="center"/>
            </w:pPr>
            <w:r w:rsidRPr="00C2761A">
              <w:t>0</w:t>
            </w:r>
          </w:p>
        </w:tc>
        <w:tc>
          <w:tcPr>
            <w:tcW w:w="1387" w:type="dxa"/>
          </w:tcPr>
          <w:p w:rsidR="00B57E38" w:rsidRPr="00C2761A" w:rsidRDefault="006E1301" w:rsidP="00E53DB2">
            <w:pPr>
              <w:pStyle w:val="naisf"/>
              <w:spacing w:before="0" w:after="0"/>
              <w:ind w:firstLine="0"/>
              <w:jc w:val="center"/>
            </w:pPr>
            <w:r w:rsidRPr="00C2761A">
              <w:t>0</w:t>
            </w:r>
          </w:p>
        </w:tc>
      </w:tr>
      <w:tr w:rsidR="00E53DB2" w:rsidRPr="00C2761A" w:rsidTr="00995202">
        <w:trPr>
          <w:jc w:val="center"/>
        </w:trPr>
        <w:tc>
          <w:tcPr>
            <w:tcW w:w="2229" w:type="dxa"/>
          </w:tcPr>
          <w:p w:rsidR="00E53DB2" w:rsidRPr="00C2761A" w:rsidRDefault="00E53DB2" w:rsidP="00016659">
            <w:r w:rsidRPr="00C2761A">
              <w:t>5. Precizēta finansiālā ietekme:</w:t>
            </w:r>
          </w:p>
        </w:tc>
        <w:tc>
          <w:tcPr>
            <w:tcW w:w="1273" w:type="dxa"/>
          </w:tcPr>
          <w:p w:rsidR="00E53DB2" w:rsidRPr="00C2761A" w:rsidRDefault="006E1301" w:rsidP="00E53DB2">
            <w:pPr>
              <w:pStyle w:val="naisf"/>
              <w:spacing w:before="0" w:after="0"/>
              <w:jc w:val="left"/>
            </w:pPr>
            <w:r w:rsidRPr="00C2761A">
              <w:t>0</w:t>
            </w:r>
          </w:p>
        </w:tc>
        <w:tc>
          <w:tcPr>
            <w:tcW w:w="1352" w:type="dxa"/>
          </w:tcPr>
          <w:p w:rsidR="00E53DB2" w:rsidRPr="00C2761A" w:rsidRDefault="006E1301" w:rsidP="00E53DB2">
            <w:pPr>
              <w:pStyle w:val="naisf"/>
              <w:spacing w:before="0" w:after="0"/>
              <w:jc w:val="left"/>
            </w:pPr>
            <w:r w:rsidRPr="00C2761A">
              <w:t>0</w:t>
            </w:r>
          </w:p>
        </w:tc>
        <w:tc>
          <w:tcPr>
            <w:tcW w:w="1276" w:type="dxa"/>
          </w:tcPr>
          <w:p w:rsidR="00E53DB2" w:rsidRPr="00C2761A" w:rsidRDefault="006E1301" w:rsidP="00E53DB2">
            <w:pPr>
              <w:jc w:val="center"/>
            </w:pPr>
            <w:r w:rsidRPr="00C2761A">
              <w:t>0</w:t>
            </w:r>
          </w:p>
        </w:tc>
        <w:tc>
          <w:tcPr>
            <w:tcW w:w="1246" w:type="dxa"/>
          </w:tcPr>
          <w:p w:rsidR="00E53DB2" w:rsidRPr="00C2761A" w:rsidRDefault="006E1301" w:rsidP="00E53DB2">
            <w:pPr>
              <w:jc w:val="center"/>
            </w:pPr>
            <w:r w:rsidRPr="00C2761A">
              <w:t>0</w:t>
            </w:r>
          </w:p>
        </w:tc>
        <w:tc>
          <w:tcPr>
            <w:tcW w:w="1387" w:type="dxa"/>
          </w:tcPr>
          <w:p w:rsidR="00E53DB2" w:rsidRPr="00C2761A" w:rsidRDefault="006E1301" w:rsidP="00E53DB2">
            <w:pPr>
              <w:jc w:val="center"/>
            </w:pPr>
            <w:r w:rsidRPr="00C2761A">
              <w:t>0</w:t>
            </w:r>
          </w:p>
        </w:tc>
      </w:tr>
      <w:tr w:rsidR="00321969" w:rsidRPr="00C2761A" w:rsidTr="00995202">
        <w:trPr>
          <w:jc w:val="center"/>
        </w:trPr>
        <w:tc>
          <w:tcPr>
            <w:tcW w:w="2229" w:type="dxa"/>
          </w:tcPr>
          <w:p w:rsidR="00321969" w:rsidRPr="00C2761A" w:rsidRDefault="00321969" w:rsidP="00016659">
            <w:r w:rsidRPr="00C2761A">
              <w:rPr>
                <w:rFonts w:eastAsia="Calibri"/>
              </w:rPr>
              <w:t>5.1. valsts pamatbudžets</w:t>
            </w:r>
          </w:p>
        </w:tc>
        <w:tc>
          <w:tcPr>
            <w:tcW w:w="1273" w:type="dxa"/>
          </w:tcPr>
          <w:p w:rsidR="00321969" w:rsidRPr="00C2761A" w:rsidDel="006E1301" w:rsidRDefault="00321969" w:rsidP="00E53DB2">
            <w:pPr>
              <w:pStyle w:val="naisf"/>
              <w:spacing w:before="0" w:after="0"/>
              <w:jc w:val="left"/>
            </w:pPr>
            <w:r w:rsidRPr="00C2761A">
              <w:t>0</w:t>
            </w:r>
          </w:p>
        </w:tc>
        <w:tc>
          <w:tcPr>
            <w:tcW w:w="1352" w:type="dxa"/>
          </w:tcPr>
          <w:p w:rsidR="00321969" w:rsidRPr="00C2761A" w:rsidDel="006E1301" w:rsidRDefault="00321969" w:rsidP="00E53DB2">
            <w:pPr>
              <w:pStyle w:val="naisf"/>
              <w:spacing w:before="0" w:after="0"/>
              <w:jc w:val="left"/>
            </w:pPr>
            <w:r w:rsidRPr="00C2761A">
              <w:t>0</w:t>
            </w:r>
          </w:p>
        </w:tc>
        <w:tc>
          <w:tcPr>
            <w:tcW w:w="1276" w:type="dxa"/>
          </w:tcPr>
          <w:p w:rsidR="00321969" w:rsidRPr="00C2761A" w:rsidDel="006E1301" w:rsidRDefault="00321969" w:rsidP="00E53DB2">
            <w:pPr>
              <w:jc w:val="center"/>
            </w:pPr>
            <w:r w:rsidRPr="00C2761A">
              <w:t>0</w:t>
            </w:r>
          </w:p>
        </w:tc>
        <w:tc>
          <w:tcPr>
            <w:tcW w:w="1246" w:type="dxa"/>
          </w:tcPr>
          <w:p w:rsidR="00321969" w:rsidRPr="00C2761A" w:rsidDel="006E1301" w:rsidRDefault="00321969" w:rsidP="00E53DB2">
            <w:pPr>
              <w:jc w:val="center"/>
            </w:pPr>
            <w:r w:rsidRPr="00C2761A">
              <w:t>0</w:t>
            </w:r>
          </w:p>
        </w:tc>
        <w:tc>
          <w:tcPr>
            <w:tcW w:w="1387" w:type="dxa"/>
          </w:tcPr>
          <w:p w:rsidR="00321969" w:rsidRPr="00C2761A" w:rsidDel="006E1301" w:rsidRDefault="00321969" w:rsidP="00E53DB2">
            <w:pPr>
              <w:jc w:val="center"/>
            </w:pPr>
            <w:r w:rsidRPr="00C2761A">
              <w:t>0</w:t>
            </w:r>
          </w:p>
        </w:tc>
      </w:tr>
      <w:tr w:rsidR="00321969" w:rsidRPr="00C2761A" w:rsidTr="00995202">
        <w:trPr>
          <w:jc w:val="center"/>
        </w:trPr>
        <w:tc>
          <w:tcPr>
            <w:tcW w:w="2229" w:type="dxa"/>
          </w:tcPr>
          <w:p w:rsidR="00321969" w:rsidRPr="00C2761A" w:rsidRDefault="00321969" w:rsidP="00016659">
            <w:r w:rsidRPr="00C2761A">
              <w:rPr>
                <w:rFonts w:eastAsia="Calibri"/>
              </w:rPr>
              <w:t>5.2. speciālais budžets</w:t>
            </w:r>
          </w:p>
        </w:tc>
        <w:tc>
          <w:tcPr>
            <w:tcW w:w="1273" w:type="dxa"/>
          </w:tcPr>
          <w:p w:rsidR="00321969" w:rsidRPr="00C2761A" w:rsidDel="006E1301" w:rsidRDefault="00321969" w:rsidP="00E53DB2">
            <w:pPr>
              <w:pStyle w:val="naisf"/>
              <w:spacing w:before="0" w:after="0"/>
              <w:jc w:val="left"/>
            </w:pPr>
            <w:r w:rsidRPr="00C2761A">
              <w:t>0</w:t>
            </w:r>
          </w:p>
        </w:tc>
        <w:tc>
          <w:tcPr>
            <w:tcW w:w="1352" w:type="dxa"/>
          </w:tcPr>
          <w:p w:rsidR="00321969" w:rsidRPr="00C2761A" w:rsidDel="006E1301" w:rsidRDefault="00321969" w:rsidP="00E53DB2">
            <w:pPr>
              <w:pStyle w:val="naisf"/>
              <w:spacing w:before="0" w:after="0"/>
              <w:jc w:val="left"/>
            </w:pPr>
            <w:r w:rsidRPr="00C2761A">
              <w:t>0</w:t>
            </w:r>
          </w:p>
        </w:tc>
        <w:tc>
          <w:tcPr>
            <w:tcW w:w="1276" w:type="dxa"/>
          </w:tcPr>
          <w:p w:rsidR="00321969" w:rsidRPr="00C2761A" w:rsidDel="006E1301" w:rsidRDefault="00321969" w:rsidP="00E53DB2">
            <w:pPr>
              <w:jc w:val="center"/>
            </w:pPr>
            <w:r w:rsidRPr="00C2761A">
              <w:t>0</w:t>
            </w:r>
          </w:p>
        </w:tc>
        <w:tc>
          <w:tcPr>
            <w:tcW w:w="1246" w:type="dxa"/>
          </w:tcPr>
          <w:p w:rsidR="00321969" w:rsidRPr="00C2761A" w:rsidDel="006E1301" w:rsidRDefault="00321969" w:rsidP="00E53DB2">
            <w:pPr>
              <w:jc w:val="center"/>
            </w:pPr>
            <w:r w:rsidRPr="00C2761A">
              <w:t>0</w:t>
            </w:r>
          </w:p>
        </w:tc>
        <w:tc>
          <w:tcPr>
            <w:tcW w:w="1387" w:type="dxa"/>
          </w:tcPr>
          <w:p w:rsidR="00321969" w:rsidRPr="00C2761A" w:rsidDel="006E1301" w:rsidRDefault="00321969" w:rsidP="00E53DB2">
            <w:pPr>
              <w:jc w:val="center"/>
            </w:pPr>
            <w:r w:rsidRPr="00C2761A">
              <w:t>0</w:t>
            </w:r>
          </w:p>
        </w:tc>
      </w:tr>
      <w:tr w:rsidR="00321969" w:rsidRPr="00C2761A" w:rsidTr="00995202">
        <w:trPr>
          <w:jc w:val="center"/>
        </w:trPr>
        <w:tc>
          <w:tcPr>
            <w:tcW w:w="2229" w:type="dxa"/>
          </w:tcPr>
          <w:p w:rsidR="00321969" w:rsidRPr="00C2761A" w:rsidRDefault="00321969" w:rsidP="00016659">
            <w:r w:rsidRPr="00C2761A">
              <w:rPr>
                <w:rFonts w:eastAsia="Calibri"/>
              </w:rPr>
              <w:t>5.3. pašvaldību budžets</w:t>
            </w:r>
          </w:p>
        </w:tc>
        <w:tc>
          <w:tcPr>
            <w:tcW w:w="1273" w:type="dxa"/>
          </w:tcPr>
          <w:p w:rsidR="00321969" w:rsidRPr="00C2761A" w:rsidDel="006E1301" w:rsidRDefault="00321969" w:rsidP="00E53DB2">
            <w:pPr>
              <w:pStyle w:val="naisf"/>
              <w:spacing w:before="0" w:after="0"/>
              <w:jc w:val="left"/>
            </w:pPr>
            <w:r w:rsidRPr="00C2761A">
              <w:t>0</w:t>
            </w:r>
          </w:p>
        </w:tc>
        <w:tc>
          <w:tcPr>
            <w:tcW w:w="1352" w:type="dxa"/>
          </w:tcPr>
          <w:p w:rsidR="00321969" w:rsidRPr="00C2761A" w:rsidDel="006E1301" w:rsidRDefault="00321969" w:rsidP="00E53DB2">
            <w:pPr>
              <w:pStyle w:val="naisf"/>
              <w:spacing w:before="0" w:after="0"/>
              <w:jc w:val="left"/>
            </w:pPr>
            <w:r w:rsidRPr="00C2761A">
              <w:t>0</w:t>
            </w:r>
          </w:p>
        </w:tc>
        <w:tc>
          <w:tcPr>
            <w:tcW w:w="1276" w:type="dxa"/>
          </w:tcPr>
          <w:p w:rsidR="00321969" w:rsidRPr="00C2761A" w:rsidDel="006E1301" w:rsidRDefault="00321969" w:rsidP="00E53DB2">
            <w:pPr>
              <w:jc w:val="center"/>
            </w:pPr>
            <w:r w:rsidRPr="00C2761A">
              <w:t>0</w:t>
            </w:r>
          </w:p>
        </w:tc>
        <w:tc>
          <w:tcPr>
            <w:tcW w:w="1246" w:type="dxa"/>
          </w:tcPr>
          <w:p w:rsidR="00321969" w:rsidRPr="00C2761A" w:rsidDel="006E1301" w:rsidRDefault="00321969" w:rsidP="00E53DB2">
            <w:pPr>
              <w:jc w:val="center"/>
            </w:pPr>
            <w:r w:rsidRPr="00C2761A">
              <w:t>0</w:t>
            </w:r>
          </w:p>
        </w:tc>
        <w:tc>
          <w:tcPr>
            <w:tcW w:w="1387" w:type="dxa"/>
          </w:tcPr>
          <w:p w:rsidR="00321969" w:rsidRPr="00C2761A" w:rsidDel="006E1301" w:rsidRDefault="00321969" w:rsidP="00E53DB2">
            <w:pPr>
              <w:jc w:val="center"/>
            </w:pPr>
            <w:r w:rsidRPr="00C2761A">
              <w:t>0</w:t>
            </w:r>
          </w:p>
        </w:tc>
      </w:tr>
      <w:tr w:rsidR="00BF3649" w:rsidRPr="00C2761A" w:rsidTr="00995202">
        <w:trPr>
          <w:jc w:val="center"/>
        </w:trPr>
        <w:tc>
          <w:tcPr>
            <w:tcW w:w="2229" w:type="dxa"/>
            <w:shd w:val="clear" w:color="auto" w:fill="auto"/>
          </w:tcPr>
          <w:p w:rsidR="00BF3649" w:rsidRPr="00C2761A" w:rsidRDefault="00BF3649" w:rsidP="00016659">
            <w:r w:rsidRPr="00C2761A">
              <w:t>6. Detalizēts ieņēmumu un izdevumu aprēķins (ja nepie</w:t>
            </w:r>
            <w:r w:rsidRPr="00C2761A">
              <w:softHyphen/>
              <w:t>ciešams, detalizētu ieņēmumu un izdevumu aprēķinu var pie</w:t>
            </w:r>
            <w:r w:rsidRPr="00C2761A">
              <w:softHyphen/>
              <w:t>vienot anotācijas pielikumā):</w:t>
            </w:r>
          </w:p>
        </w:tc>
        <w:tc>
          <w:tcPr>
            <w:tcW w:w="6534" w:type="dxa"/>
            <w:gridSpan w:val="5"/>
            <w:vMerge w:val="restart"/>
            <w:shd w:val="clear" w:color="auto" w:fill="auto"/>
            <w:vAlign w:val="center"/>
          </w:tcPr>
          <w:p w:rsidR="00BF3649" w:rsidRPr="00C2761A" w:rsidRDefault="00BF3649" w:rsidP="00D11178">
            <w:pPr>
              <w:ind w:firstLine="663"/>
              <w:jc w:val="both"/>
              <w:rPr>
                <w:lang w:bidi="lo-LA"/>
              </w:rPr>
            </w:pPr>
            <w:r w:rsidRPr="00C2761A">
              <w:rPr>
                <w:lang w:bidi="lo-LA"/>
              </w:rPr>
              <w:t xml:space="preserve">SAM 8.2.4. plānotais kopējais finansējums (kopējās attiecināmās izmaksas) 1 500 000 </w:t>
            </w:r>
            <w:proofErr w:type="spellStart"/>
            <w:r w:rsidRPr="00C2761A">
              <w:rPr>
                <w:i/>
                <w:lang w:bidi="lo-LA"/>
              </w:rPr>
              <w:t>euro</w:t>
            </w:r>
            <w:proofErr w:type="spellEnd"/>
            <w:r w:rsidRPr="00C2761A">
              <w:rPr>
                <w:lang w:bidi="lo-LA"/>
              </w:rPr>
              <w:t xml:space="preserve">, tai skaitā ESF finansējums 1 275 000 </w:t>
            </w:r>
            <w:proofErr w:type="spellStart"/>
            <w:r w:rsidRPr="00C2761A">
              <w:rPr>
                <w:i/>
                <w:lang w:bidi="lo-LA"/>
              </w:rPr>
              <w:t>euro</w:t>
            </w:r>
            <w:proofErr w:type="spellEnd"/>
            <w:r w:rsidR="00782018" w:rsidRPr="00C2761A">
              <w:rPr>
                <w:lang w:bidi="lo-LA"/>
              </w:rPr>
              <w:t xml:space="preserve"> un</w:t>
            </w:r>
            <w:r w:rsidRPr="00C2761A">
              <w:rPr>
                <w:lang w:bidi="lo-LA"/>
              </w:rPr>
              <w:t xml:space="preserve"> valsts budžeta finansējums 225 000 </w:t>
            </w:r>
            <w:proofErr w:type="spellStart"/>
            <w:r w:rsidRPr="00C2761A">
              <w:rPr>
                <w:i/>
                <w:lang w:bidi="lo-LA"/>
              </w:rPr>
              <w:t>euro</w:t>
            </w:r>
            <w:proofErr w:type="spellEnd"/>
            <w:r w:rsidRPr="00C2761A">
              <w:rPr>
                <w:lang w:bidi="lo-LA"/>
              </w:rPr>
              <w:t xml:space="preserve">. </w:t>
            </w:r>
          </w:p>
          <w:p w:rsidR="00BF3649" w:rsidRPr="00C2761A" w:rsidRDefault="00BF3649" w:rsidP="00D11178">
            <w:pPr>
              <w:ind w:firstLine="663"/>
              <w:jc w:val="both"/>
              <w:rPr>
                <w:lang w:bidi="lo-LA"/>
              </w:rPr>
            </w:pPr>
            <w:r w:rsidRPr="00C2761A">
              <w:rPr>
                <w:lang w:bidi="lo-LA"/>
              </w:rPr>
              <w:t xml:space="preserve">Budžeta ieņēmumi ir finansējuma ESF daļa 85 procentu apmērā no projekta attiecināmām izmaksām. Budžeta izdevumi ir kopējie projekta ieviešanai nepieciešamie publiskā finansējuma (ESF un valsts budžeta) līdzekļi 100 procentu apmērā no projekta attiecināmām izmaksām. </w:t>
            </w:r>
          </w:p>
          <w:p w:rsidR="00BF3649" w:rsidRPr="00C2761A" w:rsidRDefault="00BF3649" w:rsidP="00D11178">
            <w:pPr>
              <w:ind w:firstLine="663"/>
              <w:jc w:val="both"/>
              <w:rPr>
                <w:lang w:bidi="lo-LA"/>
              </w:rPr>
            </w:pPr>
            <w:r w:rsidRPr="00C2761A">
              <w:rPr>
                <w:lang w:bidi="lo-LA"/>
              </w:rPr>
              <w:t xml:space="preserve">Projektu plānots ieviest no 2015.gada IV ceturkšņa līdz 2019.gada II ceturksnim (projekta īstenošanas laiks – 3-3,5 gadi). Pirmajā </w:t>
            </w:r>
            <w:r w:rsidR="00E931C1" w:rsidRPr="00C2761A">
              <w:rPr>
                <w:lang w:bidi="lo-LA"/>
              </w:rPr>
              <w:t xml:space="preserve">projekta ieviešanas </w:t>
            </w:r>
            <w:r w:rsidR="006E19B8" w:rsidRPr="00C2761A">
              <w:rPr>
                <w:lang w:bidi="lo-LA"/>
              </w:rPr>
              <w:t xml:space="preserve">gadā netiek plānots finansējums, pieņemot, ka </w:t>
            </w:r>
            <w:r w:rsidR="00700DD7" w:rsidRPr="00C2761A">
              <w:rPr>
                <w:lang w:bidi="lo-LA"/>
              </w:rPr>
              <w:t xml:space="preserve">līgums par projekta īstenošanu tiks noslēgts ne ātrāk kā 2015.gada beigās, līdz ar to </w:t>
            </w:r>
            <w:r w:rsidR="006E19B8" w:rsidRPr="00C2761A">
              <w:rPr>
                <w:lang w:bidi="lo-LA"/>
              </w:rPr>
              <w:t>avansa maksājums tiks veikts 2016.gadā</w:t>
            </w:r>
            <w:r w:rsidR="00C10111" w:rsidRPr="00C2761A">
              <w:rPr>
                <w:lang w:bidi="lo-LA"/>
              </w:rPr>
              <w:t xml:space="preserve"> </w:t>
            </w:r>
            <w:r w:rsidR="002D28B7" w:rsidRPr="00C2761A">
              <w:rPr>
                <w:lang w:bidi="lo-LA"/>
              </w:rPr>
              <w:t>(</w:t>
            </w:r>
            <w:r w:rsidR="00C10111" w:rsidRPr="00C2761A">
              <w:rPr>
                <w:lang w:bidi="lo-LA"/>
              </w:rPr>
              <w:t>atkarībā no SAM 8.2.4. projekta uzsākšanas laika grafika</w:t>
            </w:r>
            <w:r w:rsidR="002D28B7" w:rsidRPr="00C2761A">
              <w:rPr>
                <w:lang w:bidi="lo-LA"/>
              </w:rPr>
              <w:t>)</w:t>
            </w:r>
            <w:r w:rsidR="006E19B8" w:rsidRPr="00C2761A">
              <w:rPr>
                <w:lang w:bidi="lo-LA"/>
              </w:rPr>
              <w:t xml:space="preserve">. </w:t>
            </w:r>
            <w:r w:rsidR="00671614" w:rsidRPr="00C2761A">
              <w:rPr>
                <w:lang w:bidi="lo-LA"/>
              </w:rPr>
              <w:t xml:space="preserve">No 2016. līdz 2018.gadam finansējums plānots vienmērīgi, </w:t>
            </w:r>
            <w:r w:rsidR="00BB387B" w:rsidRPr="00C2761A">
              <w:rPr>
                <w:lang w:bidi="lo-LA"/>
              </w:rPr>
              <w:t>pieņemot, ka avanss projekta īstenošanas laikā var tik</w:t>
            </w:r>
            <w:r w:rsidR="00B078F4" w:rsidRPr="00C2761A">
              <w:rPr>
                <w:lang w:bidi="lo-LA"/>
              </w:rPr>
              <w:t>t</w:t>
            </w:r>
            <w:r w:rsidR="00BB387B" w:rsidRPr="00C2761A">
              <w:rPr>
                <w:lang w:bidi="lo-LA"/>
              </w:rPr>
              <w:t xml:space="preserve"> izmaksāts pa daļām, attiecīgi </w:t>
            </w:r>
            <w:r w:rsidR="00671614" w:rsidRPr="00C2761A">
              <w:rPr>
                <w:lang w:bidi="lo-LA"/>
              </w:rPr>
              <w:t>katru gadu indikatīvi būs nepieciešams finansējums 30 procentu apmērā no kopējā finansējuma</w:t>
            </w:r>
            <w:r w:rsidR="002D28B7" w:rsidRPr="00C2761A">
              <w:rPr>
                <w:lang w:bidi="lo-LA"/>
              </w:rPr>
              <w:t xml:space="preserve">, t.i. katram gadam indikatīvi nepieciešami </w:t>
            </w:r>
            <w:r w:rsidR="002D28B7" w:rsidRPr="00C2761A">
              <w:t>450 000 </w:t>
            </w:r>
            <w:proofErr w:type="spellStart"/>
            <w:r w:rsidR="002D28B7" w:rsidRPr="00C2761A">
              <w:rPr>
                <w:i/>
                <w:lang w:bidi="lo-LA"/>
              </w:rPr>
              <w:t>euro</w:t>
            </w:r>
            <w:proofErr w:type="spellEnd"/>
            <w:r w:rsidR="002D28B7" w:rsidRPr="00C2761A">
              <w:rPr>
                <w:lang w:bidi="lo-LA"/>
              </w:rPr>
              <w:t xml:space="preserve">, tai skaitā ESF finansējums </w:t>
            </w:r>
            <w:r w:rsidR="002D28B7" w:rsidRPr="00C2761A">
              <w:t xml:space="preserve">382 500 </w:t>
            </w:r>
            <w:proofErr w:type="spellStart"/>
            <w:r w:rsidR="002D28B7" w:rsidRPr="00C2761A">
              <w:rPr>
                <w:i/>
                <w:lang w:bidi="lo-LA"/>
              </w:rPr>
              <w:t>euro</w:t>
            </w:r>
            <w:proofErr w:type="spellEnd"/>
            <w:r w:rsidR="002D28B7" w:rsidRPr="00C2761A">
              <w:rPr>
                <w:lang w:bidi="lo-LA"/>
              </w:rPr>
              <w:t xml:space="preserve"> un valsts budžeta līdzfinansējums </w:t>
            </w:r>
            <w:r w:rsidR="002D28B7" w:rsidRPr="00C2761A">
              <w:t xml:space="preserve">67 500 </w:t>
            </w:r>
            <w:proofErr w:type="spellStart"/>
            <w:r w:rsidR="002D28B7" w:rsidRPr="00C2761A">
              <w:rPr>
                <w:i/>
                <w:lang w:bidi="lo-LA"/>
              </w:rPr>
              <w:t>euro</w:t>
            </w:r>
            <w:proofErr w:type="spellEnd"/>
            <w:r w:rsidR="00671614" w:rsidRPr="00C2761A">
              <w:rPr>
                <w:lang w:bidi="lo-LA"/>
              </w:rPr>
              <w:t>, s</w:t>
            </w:r>
            <w:r w:rsidR="006E19B8" w:rsidRPr="00C2761A">
              <w:rPr>
                <w:lang w:bidi="lo-LA"/>
              </w:rPr>
              <w:t xml:space="preserve">avukārt </w:t>
            </w:r>
            <w:r w:rsidRPr="00C2761A">
              <w:rPr>
                <w:lang w:bidi="lo-LA"/>
              </w:rPr>
              <w:t xml:space="preserve">pēdējā </w:t>
            </w:r>
            <w:r w:rsidR="006E19B8" w:rsidRPr="00C2761A">
              <w:rPr>
                <w:lang w:bidi="lo-LA"/>
              </w:rPr>
              <w:t xml:space="preserve">projekta </w:t>
            </w:r>
            <w:r w:rsidRPr="00C2761A">
              <w:rPr>
                <w:lang w:bidi="lo-LA"/>
              </w:rPr>
              <w:t xml:space="preserve">ieviešanas gadā plānots mazāks finansējums </w:t>
            </w:r>
            <w:r w:rsidR="00671614" w:rsidRPr="00C2761A">
              <w:rPr>
                <w:lang w:bidi="lo-LA"/>
              </w:rPr>
              <w:t>(indikatīvi 10 procentu apmērā no kopējā finansējuma</w:t>
            </w:r>
            <w:r w:rsidR="002D28B7" w:rsidRPr="00C2761A">
              <w:rPr>
                <w:lang w:bidi="lo-LA"/>
              </w:rPr>
              <w:t xml:space="preserve"> jeb 150 000</w:t>
            </w:r>
            <w:r w:rsidR="002D28B7" w:rsidRPr="00C2761A">
              <w:t xml:space="preserve"> </w:t>
            </w:r>
            <w:proofErr w:type="spellStart"/>
            <w:r w:rsidR="006A647E" w:rsidRPr="00C2761A">
              <w:rPr>
                <w:i/>
              </w:rPr>
              <w:t>euro</w:t>
            </w:r>
            <w:proofErr w:type="spellEnd"/>
            <w:r w:rsidR="002D28B7" w:rsidRPr="00C2761A">
              <w:t>, t.sk.</w:t>
            </w:r>
            <w:r w:rsidR="002D28B7" w:rsidRPr="00C2761A">
              <w:rPr>
                <w:lang w:bidi="lo-LA"/>
              </w:rPr>
              <w:t xml:space="preserve"> </w:t>
            </w:r>
            <w:r w:rsidR="002D28B7" w:rsidRPr="00C2761A">
              <w:rPr>
                <w:lang w:bidi="lo-LA"/>
              </w:rPr>
              <w:lastRenderedPageBreak/>
              <w:t xml:space="preserve">ESF finansējums </w:t>
            </w:r>
            <w:r w:rsidR="002D28B7" w:rsidRPr="00C2761A">
              <w:t xml:space="preserve">127 500 </w:t>
            </w:r>
            <w:proofErr w:type="spellStart"/>
            <w:r w:rsidR="002D28B7" w:rsidRPr="00C2761A">
              <w:rPr>
                <w:i/>
                <w:lang w:bidi="lo-LA"/>
              </w:rPr>
              <w:t>euro</w:t>
            </w:r>
            <w:proofErr w:type="spellEnd"/>
            <w:r w:rsidR="002D28B7" w:rsidRPr="00C2761A">
              <w:rPr>
                <w:lang w:bidi="lo-LA"/>
              </w:rPr>
              <w:t xml:space="preserve"> un valsts budžeta līdzfinansējums </w:t>
            </w:r>
            <w:r w:rsidR="002D28B7" w:rsidRPr="00C2761A">
              <w:t xml:space="preserve">22 500 </w:t>
            </w:r>
            <w:proofErr w:type="spellStart"/>
            <w:r w:rsidR="002D28B7" w:rsidRPr="00C2761A">
              <w:rPr>
                <w:i/>
                <w:lang w:bidi="lo-LA"/>
              </w:rPr>
              <w:t>euro</w:t>
            </w:r>
            <w:proofErr w:type="spellEnd"/>
            <w:r w:rsidR="002D28B7" w:rsidRPr="00C2761A">
              <w:t xml:space="preserve"> </w:t>
            </w:r>
            <w:r w:rsidR="00671614" w:rsidRPr="00C2761A">
              <w:rPr>
                <w:lang w:bidi="lo-LA"/>
              </w:rPr>
              <w:t xml:space="preserve">) </w:t>
            </w:r>
            <w:r w:rsidRPr="00C2761A">
              <w:rPr>
                <w:lang w:bidi="lo-LA"/>
              </w:rPr>
              <w:t>saistībā ar projekta noslēgšanu</w:t>
            </w:r>
            <w:r w:rsidR="00DA636D" w:rsidRPr="00C2761A">
              <w:rPr>
                <w:lang w:bidi="lo-LA"/>
              </w:rPr>
              <w:t>.</w:t>
            </w:r>
          </w:p>
          <w:p w:rsidR="000B772F" w:rsidRPr="00C2761A" w:rsidRDefault="00BF3649" w:rsidP="000B772F">
            <w:pPr>
              <w:ind w:firstLine="720"/>
              <w:jc w:val="both"/>
              <w:rPr>
                <w:lang w:bidi="lo-LA"/>
              </w:rPr>
            </w:pPr>
            <w:r w:rsidRPr="00C2761A">
              <w:rPr>
                <w:lang w:bidi="lo-LA"/>
              </w:rPr>
              <w:t xml:space="preserve"> </w:t>
            </w:r>
            <w:r w:rsidR="000B772F" w:rsidRPr="00C2761A">
              <w:rPr>
                <w:lang w:bidi="lo-LA"/>
              </w:rPr>
              <w:t>Budžeta ilgtermiņa saistībās 2016., 2017. un 2018. gadam šobrīd finansējums projektam nav paredzēts. SAM 8.2.4.</w:t>
            </w:r>
            <w:r w:rsidR="00B078F4" w:rsidRPr="00C2761A">
              <w:rPr>
                <w:lang w:bidi="lo-LA"/>
              </w:rPr>
              <w:t xml:space="preserve"> </w:t>
            </w:r>
            <w:r w:rsidR="000B772F" w:rsidRPr="00C2761A">
              <w:rPr>
                <w:lang w:bidi="lo-LA"/>
              </w:rPr>
              <w:t xml:space="preserve">projekta </w:t>
            </w:r>
            <w:r w:rsidR="00B078F4" w:rsidRPr="00C2761A">
              <w:rPr>
                <w:lang w:bidi="lo-LA"/>
              </w:rPr>
              <w:t>īstenošanai nepieciešamais finansējums 2016.gadam tiks nodrošināts atbilstoši normatīvajā aktā</w:t>
            </w:r>
            <w:r w:rsidR="00B078F4" w:rsidRPr="00C2761A">
              <w:rPr>
                <w:rStyle w:val="FootnoteReference"/>
                <w:lang w:bidi="lo-LA"/>
              </w:rPr>
              <w:footnoteReference w:id="19"/>
            </w:r>
            <w:r w:rsidR="00B078F4" w:rsidRPr="00C2761A">
              <w:rPr>
                <w:lang w:bidi="lo-LA"/>
              </w:rPr>
              <w:t xml:space="preserve"> noteiktajai kārtībai no 74.resora ,,Gadskārtējā valsts budžeta izpildes procesā pārdalāmais finansējums” 80.00.00 programmas ,,Nesadalītais finansējums Eiropas Savienības politiku instrumentu un pārējās ārvalstu finanšu palīdzības līdzfinansēto projektu un pasākumu īstenošanai”. Savukārt budžeta ilgtermiņa saistībās 2017., 2018. un 2019.gadam SAM 8.2.4.projekta īstenošanai nepieciešamais finansējums tiks iestrādāts budžeta ilgtermiņa saistībās likumprojekta “Par vidēja termiņa budžeta ietvaru 2017., 2018. un 2019.gadam” sagatavošanas laikā.</w:t>
            </w:r>
            <w:r w:rsidR="00B078F4" w:rsidRPr="00C2761A" w:rsidDel="00B078F4">
              <w:rPr>
                <w:lang w:bidi="lo-LA"/>
              </w:rPr>
              <w:t xml:space="preserve"> </w:t>
            </w:r>
          </w:p>
          <w:p w:rsidR="004F3141" w:rsidRPr="00C2761A" w:rsidRDefault="00BF3649">
            <w:pPr>
              <w:ind w:firstLine="720"/>
              <w:jc w:val="both"/>
              <w:rPr>
                <w:b/>
              </w:rPr>
            </w:pPr>
            <w:r w:rsidRPr="00C2761A" w:rsidDel="00D11178">
              <w:rPr>
                <w:lang w:bidi="lo-LA"/>
              </w:rPr>
              <w:t>Finansējuma sadalījums pa gadiem norādīts indikatīvi un var tikt precizēts pēc SAM 8.2.4. projekta apstiprināšanas.</w:t>
            </w:r>
          </w:p>
        </w:tc>
      </w:tr>
      <w:tr w:rsidR="00BF3649" w:rsidRPr="00C2761A" w:rsidTr="00995202">
        <w:trPr>
          <w:jc w:val="center"/>
        </w:trPr>
        <w:tc>
          <w:tcPr>
            <w:tcW w:w="2229" w:type="dxa"/>
          </w:tcPr>
          <w:p w:rsidR="00BF3649" w:rsidRPr="00C2761A" w:rsidRDefault="00BF3649" w:rsidP="00016659">
            <w:r w:rsidRPr="00C2761A">
              <w:t>6.1. detalizēts ieņēmumu aprēķins</w:t>
            </w:r>
          </w:p>
        </w:tc>
        <w:tc>
          <w:tcPr>
            <w:tcW w:w="6534" w:type="dxa"/>
            <w:gridSpan w:val="5"/>
            <w:vMerge/>
          </w:tcPr>
          <w:p w:rsidR="00BF3649" w:rsidRPr="00C2761A" w:rsidRDefault="00BF3649" w:rsidP="00016659">
            <w:pPr>
              <w:pStyle w:val="naisf"/>
              <w:spacing w:before="0" w:after="0"/>
              <w:ind w:left="57" w:right="113"/>
              <w:rPr>
                <w:b/>
                <w:i/>
              </w:rPr>
            </w:pPr>
          </w:p>
        </w:tc>
      </w:tr>
      <w:tr w:rsidR="00BF3649" w:rsidRPr="00C2761A" w:rsidTr="00995202">
        <w:trPr>
          <w:jc w:val="center"/>
        </w:trPr>
        <w:tc>
          <w:tcPr>
            <w:tcW w:w="2229" w:type="dxa"/>
          </w:tcPr>
          <w:p w:rsidR="00BF3649" w:rsidRPr="00C2761A" w:rsidRDefault="00BF3649" w:rsidP="00016659">
            <w:r w:rsidRPr="00C2761A">
              <w:t>6.2. detalizēts izdevumu aprēķins</w:t>
            </w:r>
          </w:p>
        </w:tc>
        <w:tc>
          <w:tcPr>
            <w:tcW w:w="6534" w:type="dxa"/>
            <w:gridSpan w:val="5"/>
            <w:vMerge/>
          </w:tcPr>
          <w:p w:rsidR="00BF3649" w:rsidRPr="00C2761A" w:rsidRDefault="00BF3649" w:rsidP="00016659">
            <w:pPr>
              <w:pStyle w:val="naisf"/>
              <w:spacing w:before="0" w:after="0"/>
              <w:ind w:left="57" w:right="113"/>
              <w:rPr>
                <w:b/>
                <w:i/>
              </w:rPr>
            </w:pPr>
          </w:p>
        </w:tc>
      </w:tr>
      <w:tr w:rsidR="00BF3649" w:rsidRPr="00C2761A" w:rsidTr="00995202">
        <w:trPr>
          <w:trHeight w:val="556"/>
          <w:jc w:val="center"/>
        </w:trPr>
        <w:tc>
          <w:tcPr>
            <w:tcW w:w="2229" w:type="dxa"/>
          </w:tcPr>
          <w:p w:rsidR="00BF3649" w:rsidRPr="00C2761A" w:rsidRDefault="00BF3649" w:rsidP="00016659">
            <w:r w:rsidRPr="00C2761A">
              <w:lastRenderedPageBreak/>
              <w:t>7. Cita informācija</w:t>
            </w:r>
          </w:p>
        </w:tc>
        <w:tc>
          <w:tcPr>
            <w:tcW w:w="6534" w:type="dxa"/>
            <w:gridSpan w:val="5"/>
          </w:tcPr>
          <w:p w:rsidR="004E550F" w:rsidRPr="00C2761A" w:rsidRDefault="004E550F" w:rsidP="000B772F">
            <w:pPr>
              <w:pStyle w:val="naisf"/>
              <w:tabs>
                <w:tab w:val="left" w:pos="4644"/>
              </w:tabs>
              <w:spacing w:before="0" w:after="0"/>
              <w:ind w:firstLine="0"/>
            </w:pPr>
            <w:r w:rsidRPr="00C2761A">
              <w:t>Lai nodrošinātu atbilstību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 20.pantam, IZM paredz SAM 8.2.4.</w:t>
            </w:r>
            <w:r w:rsidR="000B772F" w:rsidRPr="00C2761A">
              <w:t xml:space="preserve"> </w:t>
            </w:r>
            <w:r w:rsidRPr="00C2761A">
              <w:t xml:space="preserve">finansējuma rezervi </w:t>
            </w:r>
            <w:r w:rsidR="000B772F" w:rsidRPr="00C2761A">
              <w:t>79 286</w:t>
            </w:r>
            <w:r w:rsidRPr="00C2761A">
              <w:t xml:space="preserve"> </w:t>
            </w:r>
            <w:proofErr w:type="spellStart"/>
            <w:r w:rsidR="000B772F" w:rsidRPr="00C2761A">
              <w:rPr>
                <w:i/>
              </w:rPr>
              <w:t>euro</w:t>
            </w:r>
            <w:proofErr w:type="spellEnd"/>
            <w:r w:rsidR="000B772F" w:rsidRPr="00C2761A">
              <w:rPr>
                <w:b/>
              </w:rPr>
              <w:t xml:space="preserve"> </w:t>
            </w:r>
            <w:r w:rsidRPr="00C2761A">
              <w:t>apmērā līdz 2018.gada</w:t>
            </w:r>
            <w:r w:rsidR="004C18E9" w:rsidRPr="00C2761A">
              <w:t xml:space="preserve"> beigām</w:t>
            </w:r>
            <w:r w:rsidRPr="00C2761A">
              <w:t xml:space="preserve"> pārlikt uz 8.prioritārā virziena „Izglītības, prasmes un mūžizglītība” SAM 8.2.3. „</w:t>
            </w:r>
            <w:r w:rsidR="000B772F" w:rsidRPr="00C2761A">
              <w:t>Nodrošināt labāku pārvaldību augstākās izglītības institūcijās</w:t>
            </w:r>
            <w:r w:rsidRPr="00C2761A">
              <w:t>”.</w:t>
            </w:r>
          </w:p>
        </w:tc>
      </w:tr>
    </w:tbl>
    <w:p w:rsidR="00BF3649" w:rsidRPr="00C2761A" w:rsidRDefault="00BF3649"/>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41"/>
        <w:gridCol w:w="5775"/>
      </w:tblGrid>
      <w:tr w:rsidR="00BF3649" w:rsidRPr="00C2761A" w:rsidTr="001629C3">
        <w:trPr>
          <w:trHeight w:val="461"/>
          <w:jc w:val="center"/>
        </w:trPr>
        <w:tc>
          <w:tcPr>
            <w:tcW w:w="8812" w:type="dxa"/>
            <w:gridSpan w:val="3"/>
            <w:vAlign w:val="center"/>
          </w:tcPr>
          <w:p w:rsidR="00BF3649" w:rsidRPr="00C2761A" w:rsidRDefault="00BF3649" w:rsidP="00016659">
            <w:pPr>
              <w:pStyle w:val="naisnod"/>
              <w:spacing w:before="0" w:after="0"/>
              <w:rPr>
                <w:b w:val="0"/>
              </w:rPr>
            </w:pPr>
            <w:r w:rsidRPr="00C2761A">
              <w:br w:type="page"/>
              <w:t>IV. Tiesību akta projekta ietekme uz spēkā esošo tiesību normu sistēmu</w:t>
            </w:r>
          </w:p>
        </w:tc>
      </w:tr>
      <w:tr w:rsidR="00BF3649" w:rsidRPr="00C2761A" w:rsidTr="001629C3">
        <w:trPr>
          <w:jc w:val="center"/>
        </w:trPr>
        <w:tc>
          <w:tcPr>
            <w:tcW w:w="396" w:type="dxa"/>
          </w:tcPr>
          <w:p w:rsidR="00BF3649" w:rsidRPr="00C2761A" w:rsidRDefault="00BF3649" w:rsidP="00016659">
            <w:pPr>
              <w:pStyle w:val="naiskr"/>
              <w:tabs>
                <w:tab w:val="left" w:pos="2628"/>
              </w:tabs>
              <w:spacing w:before="0" w:after="0"/>
              <w:jc w:val="both"/>
              <w:rPr>
                <w:iCs/>
              </w:rPr>
            </w:pPr>
            <w:r w:rsidRPr="00C2761A">
              <w:rPr>
                <w:iCs/>
              </w:rPr>
              <w:t>1.</w:t>
            </w:r>
          </w:p>
        </w:tc>
        <w:tc>
          <w:tcPr>
            <w:tcW w:w="2641" w:type="dxa"/>
          </w:tcPr>
          <w:p w:rsidR="00BF3649" w:rsidRPr="00C2761A" w:rsidRDefault="00BF3649" w:rsidP="00016659">
            <w:pPr>
              <w:pStyle w:val="naiskr"/>
              <w:tabs>
                <w:tab w:val="left" w:pos="2628"/>
              </w:tabs>
              <w:spacing w:before="0" w:after="0"/>
              <w:jc w:val="both"/>
              <w:rPr>
                <w:iCs/>
              </w:rPr>
            </w:pPr>
            <w:r w:rsidRPr="00C2761A">
              <w:t>Nepieciešamie saistītie tiesību aktu projekti</w:t>
            </w:r>
          </w:p>
        </w:tc>
        <w:tc>
          <w:tcPr>
            <w:tcW w:w="5775" w:type="dxa"/>
          </w:tcPr>
          <w:p w:rsidR="00BF3649" w:rsidRPr="00C2761A" w:rsidRDefault="00BF3649" w:rsidP="00F16368">
            <w:pPr>
              <w:jc w:val="both"/>
              <w:rPr>
                <w:color w:val="000000"/>
              </w:rPr>
            </w:pPr>
            <w:r w:rsidRPr="00C2761A">
              <w:t>SAM 8.2.4.</w:t>
            </w:r>
            <w:r w:rsidRPr="00C2761A">
              <w:rPr>
                <w:bCs/>
              </w:rPr>
              <w:t xml:space="preserve"> īstenošana neietekmēs spēkā esošo tiesību normu sistēmu. Nepieciešamie grozījumi </w:t>
            </w:r>
            <w:r w:rsidR="000B772F" w:rsidRPr="00C2761A">
              <w:rPr>
                <w:bCs/>
              </w:rPr>
              <w:t>MK</w:t>
            </w:r>
            <w:r w:rsidRPr="00C2761A">
              <w:rPr>
                <w:bCs/>
              </w:rPr>
              <w:t xml:space="preserve"> noteikumos</w:t>
            </w:r>
            <w:r w:rsidRPr="00C2761A">
              <w:rPr>
                <w:rStyle w:val="FootnoteReference"/>
                <w:bCs/>
              </w:rPr>
              <w:footnoteReference w:id="20"/>
            </w:r>
            <w:r w:rsidRPr="00C2761A">
              <w:rPr>
                <w:bCs/>
              </w:rPr>
              <w:t xml:space="preserve">, kas attiecas uz AIC tiesībām organizēt akreditāciju un </w:t>
            </w:r>
            <w:r w:rsidRPr="00C858D8">
              <w:rPr>
                <w:bCs/>
              </w:rPr>
              <w:t xml:space="preserve">licencēšanu procesus, </w:t>
            </w:r>
            <w:r w:rsidR="001C3481" w:rsidRPr="00C858D8">
              <w:rPr>
                <w:color w:val="000000"/>
              </w:rPr>
              <w:t xml:space="preserve">kā arī MK noteikumi par AIC maksas pakalpojumu cenrādi </w:t>
            </w:r>
            <w:r w:rsidRPr="00C858D8">
              <w:rPr>
                <w:bCs/>
              </w:rPr>
              <w:t>tiks pieņemti līdz projekta uzsākšanai.</w:t>
            </w:r>
            <w:r w:rsidRPr="00C2761A">
              <w:rPr>
                <w:bCs/>
              </w:rPr>
              <w:t xml:space="preserve"> </w:t>
            </w:r>
          </w:p>
        </w:tc>
      </w:tr>
      <w:tr w:rsidR="00BF3649" w:rsidRPr="00C2761A" w:rsidTr="001629C3">
        <w:trPr>
          <w:jc w:val="center"/>
        </w:trPr>
        <w:tc>
          <w:tcPr>
            <w:tcW w:w="396" w:type="dxa"/>
          </w:tcPr>
          <w:p w:rsidR="00BF3649" w:rsidRPr="00C2761A" w:rsidRDefault="00BF3649" w:rsidP="00016659">
            <w:pPr>
              <w:pStyle w:val="naiskr"/>
              <w:tabs>
                <w:tab w:val="left" w:pos="2628"/>
              </w:tabs>
              <w:spacing w:before="0" w:after="0"/>
              <w:jc w:val="both"/>
              <w:rPr>
                <w:iCs/>
              </w:rPr>
            </w:pPr>
            <w:r w:rsidRPr="00C2761A">
              <w:rPr>
                <w:iCs/>
              </w:rPr>
              <w:t>2.</w:t>
            </w:r>
          </w:p>
        </w:tc>
        <w:tc>
          <w:tcPr>
            <w:tcW w:w="2641" w:type="dxa"/>
          </w:tcPr>
          <w:p w:rsidR="00BF3649" w:rsidRPr="00C2761A" w:rsidRDefault="00BF3649" w:rsidP="00016659">
            <w:pPr>
              <w:pStyle w:val="naiskr"/>
              <w:tabs>
                <w:tab w:val="left" w:pos="2628"/>
              </w:tabs>
              <w:spacing w:before="0" w:after="0"/>
              <w:jc w:val="both"/>
            </w:pPr>
            <w:r w:rsidRPr="00C2761A">
              <w:t>Atbildīgā institūcija</w:t>
            </w:r>
          </w:p>
        </w:tc>
        <w:tc>
          <w:tcPr>
            <w:tcW w:w="5775" w:type="dxa"/>
          </w:tcPr>
          <w:p w:rsidR="00BF3649" w:rsidRPr="00C2761A" w:rsidRDefault="00C33062" w:rsidP="00016659">
            <w:pPr>
              <w:shd w:val="clear" w:color="auto" w:fill="FFFFFF"/>
              <w:jc w:val="both"/>
              <w:rPr>
                <w:color w:val="000000"/>
              </w:rPr>
            </w:pPr>
            <w:r w:rsidRPr="00C2761A">
              <w:rPr>
                <w:bCs/>
                <w:iCs/>
              </w:rPr>
              <w:t>IZM</w:t>
            </w:r>
          </w:p>
        </w:tc>
      </w:tr>
      <w:tr w:rsidR="00BF3649" w:rsidRPr="00C2761A" w:rsidTr="001629C3">
        <w:trPr>
          <w:jc w:val="center"/>
        </w:trPr>
        <w:tc>
          <w:tcPr>
            <w:tcW w:w="396" w:type="dxa"/>
          </w:tcPr>
          <w:p w:rsidR="00BF3649" w:rsidRPr="00C2761A" w:rsidRDefault="00BF3649" w:rsidP="00016659">
            <w:pPr>
              <w:pStyle w:val="naiskr"/>
              <w:tabs>
                <w:tab w:val="left" w:pos="2628"/>
              </w:tabs>
              <w:spacing w:before="0" w:after="0"/>
              <w:jc w:val="both"/>
              <w:rPr>
                <w:iCs/>
              </w:rPr>
            </w:pPr>
            <w:r w:rsidRPr="00C2761A">
              <w:rPr>
                <w:iCs/>
              </w:rPr>
              <w:t>3.</w:t>
            </w:r>
          </w:p>
        </w:tc>
        <w:tc>
          <w:tcPr>
            <w:tcW w:w="2641" w:type="dxa"/>
          </w:tcPr>
          <w:p w:rsidR="00BF3649" w:rsidRPr="00C2761A" w:rsidRDefault="00BF3649" w:rsidP="00016659">
            <w:pPr>
              <w:pStyle w:val="naiskr"/>
              <w:tabs>
                <w:tab w:val="left" w:pos="2628"/>
              </w:tabs>
              <w:spacing w:before="0" w:after="0"/>
              <w:jc w:val="both"/>
              <w:rPr>
                <w:iCs/>
              </w:rPr>
            </w:pPr>
            <w:r w:rsidRPr="00C2761A">
              <w:t>Cita informācija</w:t>
            </w:r>
          </w:p>
        </w:tc>
        <w:tc>
          <w:tcPr>
            <w:tcW w:w="5775" w:type="dxa"/>
          </w:tcPr>
          <w:p w:rsidR="00BF3649" w:rsidRPr="00C2761A" w:rsidRDefault="00BF3649" w:rsidP="00806BCE">
            <w:pPr>
              <w:pStyle w:val="naiskr"/>
              <w:tabs>
                <w:tab w:val="left" w:pos="2628"/>
              </w:tabs>
              <w:spacing w:before="0" w:after="0"/>
              <w:jc w:val="both"/>
              <w:rPr>
                <w:iCs/>
              </w:rPr>
            </w:pPr>
            <w:r w:rsidRPr="00C2761A">
              <w:rPr>
                <w:bCs/>
              </w:rPr>
              <w:t xml:space="preserve">Ievērojot to, ka projekta ietvaros plānots izstrādāt priekšlikumus </w:t>
            </w:r>
            <w:r w:rsidRPr="00C2761A">
              <w:t xml:space="preserve">licencēšanas un akreditācijas sistēmas, tai </w:t>
            </w:r>
            <w:r w:rsidRPr="00C2761A">
              <w:lastRenderedPageBreak/>
              <w:t xml:space="preserve">skaitā kritēriju un kārtības, pilnveidei, </w:t>
            </w:r>
            <w:r w:rsidRPr="00C2761A">
              <w:rPr>
                <w:bCs/>
              </w:rPr>
              <w:t xml:space="preserve">projekta īstenošanas laikā vai pēc tā pabeigšanas plānots atkārtoti veikt </w:t>
            </w:r>
            <w:r w:rsidRPr="00806BCE">
              <w:rPr>
                <w:bCs/>
              </w:rPr>
              <w:t xml:space="preserve">grozījumus </w:t>
            </w:r>
            <w:r w:rsidR="00C33062" w:rsidRPr="00806BCE">
              <w:rPr>
                <w:bCs/>
              </w:rPr>
              <w:t>MK</w:t>
            </w:r>
            <w:r w:rsidRPr="00806BCE">
              <w:rPr>
                <w:bCs/>
              </w:rPr>
              <w:t xml:space="preserve"> noteikumos, kas regulē licencēšanas un akreditācijas procesus</w:t>
            </w:r>
            <w:r w:rsidR="0071698E" w:rsidRPr="00806BCE">
              <w:rPr>
                <w:bCs/>
              </w:rPr>
              <w:t>,</w:t>
            </w:r>
            <w:r w:rsidR="0071698E" w:rsidRPr="00C2761A">
              <w:rPr>
                <w:bCs/>
              </w:rPr>
              <w:t xml:space="preserve"> </w:t>
            </w:r>
            <w:r w:rsidRPr="00C2761A">
              <w:rPr>
                <w:bCs/>
              </w:rPr>
              <w:t xml:space="preserve">tādējādi nodrošinot pilnveidotās </w:t>
            </w:r>
            <w:r w:rsidRPr="00C2761A">
              <w:t>licencēšanas un akreditācijas sistēmas ieviešanu turpmākajā augstākās izglītības kvalitātes novērtēšanā.</w:t>
            </w:r>
          </w:p>
        </w:tc>
      </w:tr>
    </w:tbl>
    <w:p w:rsidR="002764B8" w:rsidRPr="00C2761A" w:rsidRDefault="002764B8"/>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1668"/>
        <w:gridCol w:w="265"/>
        <w:gridCol w:w="723"/>
        <w:gridCol w:w="1394"/>
        <w:gridCol w:w="1111"/>
        <w:gridCol w:w="1506"/>
        <w:gridCol w:w="1970"/>
      </w:tblGrid>
      <w:tr w:rsidR="00016659" w:rsidRPr="00C2761A" w:rsidTr="001629C3">
        <w:trPr>
          <w:trHeight w:val="421"/>
          <w:jc w:val="center"/>
        </w:trPr>
        <w:tc>
          <w:tcPr>
            <w:tcW w:w="8873" w:type="dxa"/>
            <w:gridSpan w:val="8"/>
            <w:tcBorders>
              <w:top w:val="single" w:sz="4" w:space="0" w:color="auto"/>
              <w:left w:val="single" w:sz="4" w:space="0" w:color="auto"/>
              <w:bottom w:val="single" w:sz="4" w:space="0" w:color="auto"/>
              <w:right w:val="single" w:sz="4" w:space="0" w:color="auto"/>
            </w:tcBorders>
            <w:vAlign w:val="center"/>
          </w:tcPr>
          <w:p w:rsidR="00016659" w:rsidRPr="00C2761A" w:rsidRDefault="00016659" w:rsidP="00016659">
            <w:pPr>
              <w:rPr>
                <w:b/>
              </w:rPr>
            </w:pPr>
            <w:r w:rsidRPr="00C2761A">
              <w:rPr>
                <w:b/>
              </w:rPr>
              <w:t>V. Tiesību akta projekta atbilstība Latvijas Republikas starptautiskajām saistībām</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1.</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Saistības pret Eiropas Savienību</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C2761A" w:rsidRDefault="00016659" w:rsidP="00016659">
            <w:pPr>
              <w:ind w:left="57" w:right="113"/>
              <w:jc w:val="both"/>
            </w:pPr>
            <w:r w:rsidRPr="00C2761A">
              <w:t>Komisijas regula Nr.1303/2013.</w:t>
            </w:r>
          </w:p>
          <w:p w:rsidR="00016659" w:rsidRPr="00C2761A" w:rsidRDefault="00016659" w:rsidP="00016659">
            <w:pPr>
              <w:ind w:left="57" w:right="113"/>
              <w:jc w:val="both"/>
            </w:pPr>
            <w:r w:rsidRPr="00C2761A">
              <w:t>Eiropas Parlamenta un Padomes 2013.gada 17.decembra regula (ES) nr. 1304/2013 par Eiropa Sociālo fondu un ar ko atceļ Padomes Regulu (EK) Nr.1081/2006.</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2.</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Citas starptautiskās saistības</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C2761A" w:rsidRDefault="00016659" w:rsidP="00016659">
            <w:pPr>
              <w:ind w:left="57" w:right="113"/>
              <w:jc w:val="both"/>
            </w:pPr>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3.</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 informācija</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C2761A" w:rsidRDefault="00016659" w:rsidP="00016659">
            <w:pPr>
              <w:ind w:left="57" w:right="113"/>
              <w:jc w:val="both"/>
            </w:pPr>
            <w:r w:rsidRPr="00C2761A">
              <w:t>Nav.</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pPr>
              <w:rPr>
                <w:b/>
              </w:rPr>
            </w:pPr>
            <w:r w:rsidRPr="00C2761A">
              <w:rPr>
                <w:b/>
              </w:rPr>
              <w:t>1.tabula</w:t>
            </w:r>
          </w:p>
          <w:p w:rsidR="00016659" w:rsidRPr="00C2761A" w:rsidRDefault="00016659" w:rsidP="00016659">
            <w:r w:rsidRPr="00C2761A">
              <w:rPr>
                <w:b/>
              </w:rPr>
              <w:t>Tiesību akta projekta atbilstība ES tiesību aktiem</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Attiecīgā ES tiesību akta datums, numurs un nosaukums</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Komisijas regula Nr.1303/2013.</w:t>
            </w:r>
          </w:p>
          <w:p w:rsidR="00016659" w:rsidRPr="00C2761A" w:rsidRDefault="00016659" w:rsidP="00016659"/>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A</w:t>
            </w:r>
          </w:p>
        </w:tc>
        <w:tc>
          <w:tcPr>
            <w:tcW w:w="2382" w:type="dxa"/>
            <w:gridSpan w:val="3"/>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B</w:t>
            </w:r>
          </w:p>
        </w:tc>
        <w:tc>
          <w:tcPr>
            <w:tcW w:w="2617" w:type="dxa"/>
            <w:gridSpan w:val="2"/>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C</w:t>
            </w:r>
          </w:p>
        </w:tc>
        <w:tc>
          <w:tcPr>
            <w:tcW w:w="1970" w:type="dxa"/>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D</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Attiecīgā ES tiesību akta panta numurs (uzskaitot katru tiesību akta vienību – pantu, daļu, punktu, apakšpunktu)</w:t>
            </w:r>
          </w:p>
        </w:tc>
        <w:tc>
          <w:tcPr>
            <w:tcW w:w="2382"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Projekta vienība, kas pārņem vai ievieš katru šīs tabulas A ailē minēto ES tiesību akta vienību, vai tiesību akts, kur attiecīgā ES tiesību akta vienība pārņemta vai ieviesta</w:t>
            </w:r>
          </w:p>
        </w:tc>
        <w:tc>
          <w:tcPr>
            <w:tcW w:w="2617"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Informācija par to, vai šīs tabulas A ailē minētās ES tiesību akta vienības tiek pārņemtas vai ieviestas pilnībā vai daļēji.</w:t>
            </w:r>
          </w:p>
          <w:p w:rsidR="00016659" w:rsidRPr="00C2761A" w:rsidRDefault="00016659" w:rsidP="00016659">
            <w:r w:rsidRPr="00C2761A">
              <w:t>Ja attiecīgā ES tiesību akta vienība tiek pārņemta vai ieviesta daļēji, sniedz attiecīgu skaidrojumu, kā arī precīzi norāda, kad un kādā veidā ES tiesību akta vienība tiks pārņemta vai ieviesta pilnībā.</w:t>
            </w:r>
          </w:p>
          <w:p w:rsidR="00016659" w:rsidRPr="00C2761A" w:rsidRDefault="00016659" w:rsidP="00016659">
            <w:r w:rsidRPr="00C2761A">
              <w:t>Norāda institūciju, kas ir atbildīga par šo saistību izpildi pilnībā</w:t>
            </w:r>
          </w:p>
        </w:tc>
        <w:tc>
          <w:tcPr>
            <w:tcW w:w="1970"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Informācija par to, vai šīs tabulas B ailē minētās projekta vienības paredz stingrākas prasības nekā šīs tabulas A ailē minētās ES tiesību akta vienības.</w:t>
            </w:r>
          </w:p>
          <w:p w:rsidR="00016659" w:rsidRPr="00C2761A" w:rsidRDefault="00016659" w:rsidP="00016659">
            <w:r w:rsidRPr="00C2761A">
              <w:t>Ja projekts satur stingrā</w:t>
            </w:r>
            <w:r w:rsidRPr="00C2761A">
              <w:softHyphen/>
              <w:t>kas prasības nekā attie</w:t>
            </w:r>
            <w:r w:rsidRPr="00C2761A">
              <w:softHyphen/>
              <w:t>cīgais ES tiesību akts, norāda pamatojumu un samērīgumu.</w:t>
            </w:r>
          </w:p>
          <w:p w:rsidR="00016659" w:rsidRPr="00C2761A" w:rsidRDefault="00016659" w:rsidP="00016659">
            <w:r w:rsidRPr="00C2761A">
              <w:t xml:space="preserve">Norāda iespējamās alternatīvas (t.sk. alternatīvas, kas neparedz tiesiskā regulējuma izstrādi) – kādos gadījumos būtu iespējams </w:t>
            </w:r>
            <w:r w:rsidRPr="00C2761A">
              <w:lastRenderedPageBreak/>
              <w:t>izvairīties no stingrāku prasību noteikšanas, nekā paredzēts attiecīgajos ES tiesību aktos</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lastRenderedPageBreak/>
              <w:t>Komisijas regula Nr.1303/2013 XII pielikuma 2.2.apakšpunkts</w:t>
            </w:r>
          </w:p>
        </w:tc>
        <w:tc>
          <w:tcPr>
            <w:tcW w:w="2382"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103B43">
            <w:r w:rsidRPr="00C2761A">
              <w:t xml:space="preserve">Noteikumu projekta </w:t>
            </w:r>
            <w:r w:rsidR="00A20996" w:rsidRPr="00D53E42">
              <w:t>2</w:t>
            </w:r>
            <w:r w:rsidR="00103B43" w:rsidRPr="00D53E42">
              <w:t>9</w:t>
            </w:r>
            <w:r w:rsidR="007E24B1" w:rsidRPr="00D53E42">
              <w:t xml:space="preserve">., </w:t>
            </w:r>
            <w:r w:rsidR="00103B43" w:rsidRPr="00D53E42">
              <w:t>30</w:t>
            </w:r>
            <w:r w:rsidRPr="00D53E42">
              <w:t>.punkts</w:t>
            </w:r>
          </w:p>
        </w:tc>
        <w:tc>
          <w:tcPr>
            <w:tcW w:w="2617"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Vienība tiek ieviesta pilnībā. Atbildīgā institūcija – AIC (finansējuma saņēmējs)</w:t>
            </w:r>
          </w:p>
        </w:tc>
        <w:tc>
          <w:tcPr>
            <w:tcW w:w="1970"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Netiek paredzētas stingrākas prasības.</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Kā ir izmantota ES tiesību aktā paredzētā rīcības brīvība dalīb</w:t>
            </w:r>
            <w:r w:rsidRPr="00C2761A">
              <w:softHyphen/>
              <w:t>valstij pārņemt vai ieviest noteiktas ES tiesību akta normas?</w:t>
            </w:r>
          </w:p>
          <w:p w:rsidR="00016659" w:rsidRPr="00C2761A" w:rsidRDefault="00016659" w:rsidP="00016659">
            <w:r w:rsidRPr="00C2761A">
              <w:t>Kādēļ?</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Saistības sniegt paziņojumu ES insti</w:t>
            </w:r>
            <w:r w:rsidRPr="00C2761A">
              <w:softHyphen/>
              <w:t>tūcijām un ES dalīb</w:t>
            </w:r>
            <w:r w:rsidRPr="00C2761A">
              <w:softHyphen/>
              <w:t>valstīm atbilstoši normatīvajiem aktiem, kas regulē informācijas sniegšanu par tehnisko noteikumu, valsts atbalsta piešķir</w:t>
            </w:r>
            <w:r w:rsidRPr="00C2761A">
              <w:softHyphen/>
              <w:t>šanas un finanšu noteikumu (attiecībā uz monetāro politiku) projektiem</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 informācija</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Nav.</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016659" w:rsidRPr="00C2761A" w:rsidRDefault="00016659" w:rsidP="0071698E">
            <w:pPr>
              <w:jc w:val="both"/>
              <w:rPr>
                <w:b/>
              </w:rPr>
            </w:pPr>
            <w:r w:rsidRPr="00C2761A">
              <w:rPr>
                <w:b/>
              </w:rPr>
              <w:t>2.tabula</w:t>
            </w:r>
          </w:p>
          <w:p w:rsidR="00016659" w:rsidRPr="00C2761A" w:rsidRDefault="00016659" w:rsidP="0071698E">
            <w:pPr>
              <w:jc w:val="both"/>
              <w:rPr>
                <w:b/>
              </w:rPr>
            </w:pPr>
            <w:r w:rsidRPr="00C2761A">
              <w:rPr>
                <w:b/>
              </w:rPr>
              <w:t>Ar tiesību akta projektu izpildītās vai uzņemtās saistības, kas izriet no starptautiskajiem tiesību aktiem vai starptautiskas institūcijas vai organizācijas dokumentiem.</w:t>
            </w:r>
          </w:p>
          <w:p w:rsidR="00016659" w:rsidRPr="00C2761A" w:rsidRDefault="00016659" w:rsidP="0071698E">
            <w:pPr>
              <w:jc w:val="both"/>
              <w:rPr>
                <w:b/>
              </w:rPr>
            </w:pPr>
            <w:r w:rsidRPr="00C2761A">
              <w:rPr>
                <w:b/>
              </w:rPr>
              <w:t>Pasākumi šo saistību izpildei</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 xml:space="preserve">Attiecīgā starptautiskā tiesību akta vai starptautiskas institūcijas vai </w:t>
            </w:r>
            <w:r w:rsidRPr="00C2761A">
              <w:lastRenderedPageBreak/>
              <w:t>organizācijas dokumenta (turpmāk – starptautiskais dokuments) datums, numurs un nosaukums</w:t>
            </w:r>
          </w:p>
        </w:tc>
        <w:tc>
          <w:tcPr>
            <w:tcW w:w="6704" w:type="dxa"/>
            <w:gridSpan w:val="5"/>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lastRenderedPageBreak/>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lastRenderedPageBreak/>
              <w:t>A</w:t>
            </w:r>
          </w:p>
        </w:tc>
        <w:tc>
          <w:tcPr>
            <w:tcW w:w="3228" w:type="dxa"/>
            <w:gridSpan w:val="3"/>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B</w:t>
            </w:r>
          </w:p>
        </w:tc>
        <w:tc>
          <w:tcPr>
            <w:tcW w:w="3476" w:type="dxa"/>
            <w:gridSpan w:val="2"/>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C</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Starptautiskās saistības (pēc būtības), kas izriet no norādītā starptautiskā dokumenta.</w:t>
            </w:r>
          </w:p>
          <w:p w:rsidR="00016659" w:rsidRPr="00C2761A" w:rsidRDefault="00016659" w:rsidP="00016659">
            <w:r w:rsidRPr="00C2761A">
              <w:t>Konkrēti veicamie pasākumi vai uzdevumi, kas nepieciešami šo starptautisko saistību izpildei</w:t>
            </w:r>
          </w:p>
        </w:tc>
        <w:tc>
          <w:tcPr>
            <w:tcW w:w="3228"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76"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Informācija par to, vai starptautiskās saistības, kas minētas šīs tabulas A ailē, tiek izpildītas pilnībā vai daļēji.</w:t>
            </w:r>
          </w:p>
          <w:p w:rsidR="00016659" w:rsidRPr="00C2761A" w:rsidRDefault="00016659" w:rsidP="00016659">
            <w:r w:rsidRPr="00C2761A">
              <w:t>Ja attiecīgās starptautiskās saistības tiek izpildītas daļēji, sniedz skaidrojumu, kā arī precīzi norāda, kad un kādā veidā starptautiskās saistības tiks izpildītas pilnībā.</w:t>
            </w:r>
          </w:p>
          <w:p w:rsidR="00016659" w:rsidRPr="00C2761A" w:rsidRDefault="00016659" w:rsidP="00016659">
            <w:r w:rsidRPr="00C2761A">
              <w:t>Norāda institūciju, kas ir atbildīga par šo saistību izpildi pilnībā</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016659" w:rsidRPr="00C2761A" w:rsidRDefault="00D11178" w:rsidP="00016659">
            <w:r w:rsidRPr="00C2761A">
              <w:t>N</w:t>
            </w:r>
            <w:r w:rsidR="00016659" w:rsidRPr="00C2761A">
              <w:t>oteikumu projekts šo jomu neskar.</w:t>
            </w:r>
          </w:p>
        </w:tc>
        <w:tc>
          <w:tcPr>
            <w:tcW w:w="3228"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Noteikumu projekts šo jomu neskar.</w:t>
            </w:r>
          </w:p>
        </w:tc>
        <w:tc>
          <w:tcPr>
            <w:tcW w:w="3476"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Vai starptautiskajā dokumentā paredzētās saistības nav pretrunā ar jau esošajām Latvijas Republikas starptautis</w:t>
            </w:r>
            <w:r w:rsidRPr="00C2761A">
              <w:softHyphen/>
              <w:t>kajām saistībām</w:t>
            </w:r>
          </w:p>
        </w:tc>
        <w:tc>
          <w:tcPr>
            <w:tcW w:w="6704" w:type="dxa"/>
            <w:gridSpan w:val="5"/>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 informācija</w:t>
            </w:r>
          </w:p>
        </w:tc>
        <w:tc>
          <w:tcPr>
            <w:tcW w:w="6704" w:type="dxa"/>
            <w:gridSpan w:val="5"/>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Nav.</w:t>
            </w:r>
          </w:p>
        </w:tc>
      </w:tr>
    </w:tbl>
    <w:p w:rsidR="00016659" w:rsidRPr="00C2761A" w:rsidRDefault="00016659"/>
    <w:tbl>
      <w:tblPr>
        <w:tblW w:w="51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86"/>
        <w:gridCol w:w="2793"/>
        <w:gridCol w:w="5653"/>
      </w:tblGrid>
      <w:tr w:rsidR="00BF3649" w:rsidRPr="00C2761A" w:rsidTr="001629C3">
        <w:tc>
          <w:tcPr>
            <w:tcW w:w="8931" w:type="dxa"/>
            <w:gridSpan w:val="3"/>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rPr>
                <w:b/>
                <w:bCs/>
              </w:rPr>
            </w:pPr>
            <w:r w:rsidRPr="00C2761A">
              <w:rPr>
                <w:b/>
                <w:bCs/>
              </w:rPr>
              <w:t xml:space="preserve">VI. </w:t>
            </w:r>
            <w:r w:rsidRPr="00C2761A">
              <w:rPr>
                <w:b/>
              </w:rPr>
              <w:t>Sabiedrības līdzdalība un komunikācijas aktivitātes</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1.</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pPr>
            <w:r w:rsidRPr="00C2761A">
              <w:t>Plānotās sabiedrības līdzdalības un komunikācijas aktivitātes saistībā ar projektu</w:t>
            </w:r>
          </w:p>
        </w:tc>
        <w:tc>
          <w:tcPr>
            <w:tcW w:w="5652" w:type="dxa"/>
            <w:tcBorders>
              <w:top w:val="outset" w:sz="6" w:space="0" w:color="000000"/>
              <w:left w:val="outset" w:sz="6" w:space="0" w:color="000000"/>
              <w:bottom w:val="outset" w:sz="6" w:space="0" w:color="000000"/>
              <w:right w:val="outset" w:sz="6" w:space="0" w:color="000000"/>
            </w:tcBorders>
          </w:tcPr>
          <w:p w:rsidR="00AE213A" w:rsidRPr="00C858D8" w:rsidRDefault="00AE213A" w:rsidP="00AE213A">
            <w:pPr>
              <w:shd w:val="clear" w:color="auto" w:fill="FFFFFF"/>
              <w:jc w:val="both"/>
              <w:rPr>
                <w:bCs/>
              </w:rPr>
            </w:pPr>
            <w:r w:rsidRPr="00C2761A">
              <w:rPr>
                <w:bCs/>
              </w:rPr>
              <w:t>Sabiedrības pārstāvji varē</w:t>
            </w:r>
            <w:r w:rsidR="00AC527E" w:rsidRPr="00C2761A">
              <w:rPr>
                <w:bCs/>
              </w:rPr>
              <w:t>ja</w:t>
            </w:r>
            <w:r w:rsidRPr="00C2761A">
              <w:rPr>
                <w:bCs/>
              </w:rPr>
              <w:t xml:space="preserve"> līdzdarboties noteikumu projekta izstrādē, sniedzot atzinumu un viedokli par </w:t>
            </w:r>
            <w:r w:rsidR="005F50D8" w:rsidRPr="00C2761A">
              <w:t>ES</w:t>
            </w:r>
            <w:r w:rsidRPr="00C2761A">
              <w:t xml:space="preserve"> struktūrfondu un Kohēzijas fonda 2014.-2020.gada plānošanas perioda Izglītības, prasmju un mūžizglītības</w:t>
            </w:r>
            <w:r w:rsidRPr="00C2761A">
              <w:rPr>
                <w:b/>
                <w:bCs/>
              </w:rPr>
              <w:t xml:space="preserve"> </w:t>
            </w:r>
            <w:r w:rsidRPr="00C2761A">
              <w:t xml:space="preserve">prioritārā virziena </w:t>
            </w:r>
            <w:r w:rsidRPr="00C2761A">
              <w:rPr>
                <w:bCs/>
              </w:rPr>
              <w:t xml:space="preserve">apakškomitejā iesniegtajiem projektu iesniegumu vērtēšanas kritērijiem, kritēriju piemērošanas metodiku un SAM 8.2.4. sākotnējo novērtējumu, kā arī par </w:t>
            </w:r>
            <w:r w:rsidRPr="00C858D8">
              <w:rPr>
                <w:bCs/>
              </w:rPr>
              <w:t>Valsts sekretāru sanāksmē izsludināto noteikumu projektu</w:t>
            </w:r>
            <w:r w:rsidR="007F01EA" w:rsidRPr="00C858D8">
              <w:rPr>
                <w:bCs/>
              </w:rPr>
              <w:t xml:space="preserve"> (VSS-336)</w:t>
            </w:r>
            <w:r w:rsidRPr="00C858D8">
              <w:rPr>
                <w:bCs/>
              </w:rPr>
              <w:t xml:space="preserve">. </w:t>
            </w:r>
            <w:r w:rsidR="00666F6B" w:rsidRPr="00C858D8">
              <w:rPr>
                <w:bCs/>
              </w:rPr>
              <w:t>Vienlaikus n</w:t>
            </w:r>
            <w:r w:rsidR="00690AA7" w:rsidRPr="00C858D8">
              <w:t xml:space="preserve">oteikumu projekts, tā sākotnējās ietekmes novērtējuma ziņojums (anotācija), kā arī projektu iesniegumu vērtēšanas kritēriji SAM 8.2.4. tika publicēti IZM tīmekļa vietnē </w:t>
            </w:r>
            <w:hyperlink r:id="rId10" w:history="1">
              <w:r w:rsidR="00690AA7" w:rsidRPr="00C858D8">
                <w:t>www.izm.gov.lv</w:t>
              </w:r>
            </w:hyperlink>
            <w:r w:rsidR="00690AA7" w:rsidRPr="00C858D8">
              <w:t>.</w:t>
            </w:r>
          </w:p>
          <w:p w:rsidR="00BF3649" w:rsidRPr="00C2761A" w:rsidRDefault="0071698E" w:rsidP="007F01EA">
            <w:pPr>
              <w:tabs>
                <w:tab w:val="num" w:pos="0"/>
              </w:tabs>
              <w:spacing w:before="100" w:beforeAutospacing="1" w:after="100" w:afterAutospacing="1"/>
              <w:jc w:val="both"/>
            </w:pPr>
            <w:r w:rsidRPr="00C2761A">
              <w:t xml:space="preserve">Īstenojot projektu, finansējuma saņēmējs nodrošina informācijas un </w:t>
            </w:r>
            <w:r w:rsidRPr="00C858D8">
              <w:t xml:space="preserve">publicitātes pasākumus, atbilstoši  </w:t>
            </w:r>
            <w:r w:rsidRPr="00C858D8">
              <w:lastRenderedPageBreak/>
              <w:t xml:space="preserve">normatīvajiem aktiem </w:t>
            </w:r>
            <w:r w:rsidR="007F01EA" w:rsidRPr="00C858D8">
              <w:t>par kārtību, kādā Eiropas Savienības struktūrfondu un Kohēzijas fonda ieviešanā 2014.–2020. gada plānošanas periodā nodrošināma komunikācijas un vizuālās identitātes prasību ievērošana.</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lastRenderedPageBreak/>
              <w:t>2.</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7D27E5" w:rsidP="00016659">
            <w:pPr>
              <w:spacing w:before="100" w:beforeAutospacing="1" w:after="100" w:afterAutospacing="1"/>
            </w:pPr>
            <w:r w:rsidRPr="00C2761A">
              <w:t>Sabiedrības līdzdalība projekta izstrādē</w:t>
            </w:r>
          </w:p>
        </w:tc>
        <w:tc>
          <w:tcPr>
            <w:tcW w:w="5652" w:type="dxa"/>
            <w:tcBorders>
              <w:top w:val="outset" w:sz="6" w:space="0" w:color="000000"/>
              <w:left w:val="outset" w:sz="6" w:space="0" w:color="000000"/>
              <w:bottom w:val="outset" w:sz="6" w:space="0" w:color="000000"/>
              <w:right w:val="outset" w:sz="6" w:space="0" w:color="000000"/>
            </w:tcBorders>
          </w:tcPr>
          <w:p w:rsidR="00BF3649" w:rsidRPr="00C858D8" w:rsidRDefault="00666F6B" w:rsidP="00E847E5">
            <w:pPr>
              <w:spacing w:before="75" w:after="75"/>
              <w:jc w:val="both"/>
            </w:pPr>
            <w:r w:rsidRPr="00C858D8">
              <w:t>Priekšlikumus noteikumu projekta izstrādē sniedza AIP</w:t>
            </w:r>
            <w:r w:rsidR="00E847E5" w:rsidRPr="00C858D8">
              <w:t>.</w:t>
            </w:r>
            <w:r w:rsidRPr="00C858D8">
              <w:t xml:space="preserve"> </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3.</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7D27E5" w:rsidP="00016659">
            <w:pPr>
              <w:spacing w:before="100" w:beforeAutospacing="1" w:after="100" w:afterAutospacing="1"/>
            </w:pPr>
            <w:r w:rsidRPr="00C2761A">
              <w:t>Sabiedrības līdzdalības rezultāti</w:t>
            </w:r>
          </w:p>
        </w:tc>
        <w:tc>
          <w:tcPr>
            <w:tcW w:w="5652" w:type="dxa"/>
            <w:tcBorders>
              <w:top w:val="outset" w:sz="6" w:space="0" w:color="000000"/>
              <w:left w:val="outset" w:sz="6" w:space="0" w:color="000000"/>
              <w:bottom w:val="outset" w:sz="6" w:space="0" w:color="000000"/>
              <w:right w:val="outset" w:sz="6" w:space="0" w:color="000000"/>
            </w:tcBorders>
          </w:tcPr>
          <w:p w:rsidR="00BF3649" w:rsidRPr="00C858D8" w:rsidRDefault="00666F6B" w:rsidP="00666F6B">
            <w:pPr>
              <w:jc w:val="both"/>
            </w:pPr>
            <w:r w:rsidRPr="00C858D8">
              <w:t xml:space="preserve">AIP atbalsta noteikumu projekta tālāku virzību. AIP izteiktie priekšlikumi </w:t>
            </w:r>
            <w:r w:rsidR="00E847E5" w:rsidRPr="00C858D8">
              <w:t xml:space="preserve">par sadarbības partneriem un atbalstāmajām darbībām </w:t>
            </w:r>
            <w:r w:rsidRPr="00C858D8">
              <w:t xml:space="preserve">ņemti vērā </w:t>
            </w:r>
            <w:r w:rsidR="007D27E5" w:rsidRPr="00C858D8">
              <w:t>un iestrādāti noteikumu projektā.</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4.</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pPr>
            <w:r w:rsidRPr="00C2761A">
              <w:t>Cita informācija</w:t>
            </w:r>
          </w:p>
        </w:tc>
        <w:tc>
          <w:tcPr>
            <w:tcW w:w="5652"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rPr>
                <w:iCs/>
              </w:rPr>
            </w:pPr>
            <w:r w:rsidRPr="00C2761A">
              <w:rPr>
                <w:iCs/>
              </w:rPr>
              <w:t>Nav</w:t>
            </w:r>
            <w:r w:rsidR="000A5BB7">
              <w:rPr>
                <w:iCs/>
              </w:rPr>
              <w:t>.</w:t>
            </w:r>
          </w:p>
        </w:tc>
      </w:tr>
    </w:tbl>
    <w:p w:rsidR="00BF3649" w:rsidRPr="00C2761A" w:rsidRDefault="00BF3649"/>
    <w:tbl>
      <w:tblPr>
        <w:tblW w:w="52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6"/>
        <w:gridCol w:w="3515"/>
        <w:gridCol w:w="5092"/>
      </w:tblGrid>
      <w:tr w:rsidR="0063775D" w:rsidRPr="00C2761A" w:rsidTr="001629C3">
        <w:tc>
          <w:tcPr>
            <w:tcW w:w="5000" w:type="pct"/>
            <w:gridSpan w:val="3"/>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pStyle w:val="NormalWeb"/>
              <w:jc w:val="both"/>
              <w:rPr>
                <w:b/>
                <w:bCs/>
              </w:rPr>
            </w:pPr>
            <w:r w:rsidRPr="00C2761A">
              <w:rPr>
                <w:b/>
                <w:bCs/>
              </w:rPr>
              <w:t xml:space="preserve">VII. </w:t>
            </w:r>
            <w:r w:rsidR="002358F8" w:rsidRPr="00C2761A">
              <w:rPr>
                <w:b/>
              </w:rPr>
              <w:t>Tiesību akta projekta izpildes nodrošināšana un tās ietekme uz institūcijām</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63775D" w:rsidP="00691202">
            <w:pPr>
              <w:spacing w:before="100" w:beforeAutospacing="1" w:after="100" w:afterAutospacing="1"/>
              <w:jc w:val="center"/>
            </w:pPr>
            <w:r w:rsidRPr="00C2761A">
              <w:t>1.</w:t>
            </w:r>
          </w:p>
        </w:tc>
        <w:tc>
          <w:tcPr>
            <w:tcW w:w="1937" w:type="pct"/>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spacing w:before="100" w:beforeAutospacing="1" w:after="100" w:afterAutospacing="1"/>
            </w:pPr>
            <w:r w:rsidRPr="00C2761A">
              <w:t>Projekta izpildē iesaistītās institūcijas</w:t>
            </w:r>
          </w:p>
        </w:tc>
        <w:tc>
          <w:tcPr>
            <w:tcW w:w="2806" w:type="pct"/>
            <w:tcBorders>
              <w:top w:val="outset" w:sz="6" w:space="0" w:color="000000"/>
              <w:left w:val="outset" w:sz="6" w:space="0" w:color="000000"/>
              <w:bottom w:val="outset" w:sz="6" w:space="0" w:color="000000"/>
              <w:right w:val="outset" w:sz="6" w:space="0" w:color="000000"/>
            </w:tcBorders>
          </w:tcPr>
          <w:p w:rsidR="0063775D" w:rsidRPr="00C2761A" w:rsidRDefault="002133BE" w:rsidP="007F7BC7">
            <w:pPr>
              <w:spacing w:before="100" w:beforeAutospacing="1" w:after="100" w:afterAutospacing="1"/>
              <w:jc w:val="both"/>
            </w:pPr>
            <w:r w:rsidRPr="00C2761A">
              <w:t xml:space="preserve">Atbildīgās iestādes funkcijas pilda IZM, sadarbības iestādes funkcijas – Centrālā finanšu un līgumu aģentūra. </w:t>
            </w:r>
            <w:r w:rsidR="00B829DC" w:rsidRPr="00C2761A">
              <w:t>Finansējuma saņēmējs</w:t>
            </w:r>
            <w:r w:rsidR="00B829DC" w:rsidRPr="00C2761A">
              <w:rPr>
                <w:bCs/>
                <w:iCs/>
              </w:rPr>
              <w:t xml:space="preserve"> </w:t>
            </w:r>
            <w:r w:rsidR="00B829DC" w:rsidRPr="00C2761A">
              <w:t>ir</w:t>
            </w:r>
            <w:r w:rsidR="00B829DC" w:rsidRPr="00C2761A">
              <w:rPr>
                <w:bCs/>
                <w:iCs/>
              </w:rPr>
              <w:t xml:space="preserve"> AIC</w:t>
            </w:r>
            <w:r w:rsidR="00B829DC" w:rsidRPr="00C2761A">
              <w:t>,</w:t>
            </w:r>
            <w:r w:rsidR="00B829DC" w:rsidRPr="00C2761A">
              <w:rPr>
                <w:bCs/>
                <w:iCs/>
              </w:rPr>
              <w:t xml:space="preserve"> sadarbības partneri ir AIP, </w:t>
            </w:r>
            <w:r w:rsidR="00B829DC" w:rsidRPr="00C2761A">
              <w:t xml:space="preserve">Lietuvas augstākās izglītības kvalitātes nodrošināšanas centrs un studiju virzienu </w:t>
            </w:r>
            <w:proofErr w:type="spellStart"/>
            <w:r w:rsidR="00B829DC" w:rsidRPr="00C2761A">
              <w:t>pilotakreditācijā</w:t>
            </w:r>
            <w:proofErr w:type="spellEnd"/>
            <w:r w:rsidR="00B829DC" w:rsidRPr="00C2761A">
              <w:t xml:space="preserve"> iesaistītās augstākās izglītības institūcijas.</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63775D" w:rsidP="00691202">
            <w:pPr>
              <w:spacing w:before="100" w:beforeAutospacing="1" w:after="100" w:afterAutospacing="1"/>
              <w:jc w:val="center"/>
            </w:pPr>
            <w:r w:rsidRPr="00C2761A">
              <w:t>2.</w:t>
            </w:r>
          </w:p>
        </w:tc>
        <w:tc>
          <w:tcPr>
            <w:tcW w:w="1937" w:type="pct"/>
            <w:tcBorders>
              <w:top w:val="outset" w:sz="6" w:space="0" w:color="000000"/>
              <w:left w:val="outset" w:sz="6" w:space="0" w:color="000000"/>
              <w:bottom w:val="outset" w:sz="6" w:space="0" w:color="000000"/>
              <w:right w:val="outset" w:sz="6" w:space="0" w:color="000000"/>
            </w:tcBorders>
          </w:tcPr>
          <w:p w:rsidR="002358F8" w:rsidRPr="00C2761A" w:rsidRDefault="002358F8" w:rsidP="002358F8">
            <w:r w:rsidRPr="00C2761A">
              <w:t xml:space="preserve">Projekta izpildes ietekme uz pārvaldes funkcijām un institucionālo struktūru. </w:t>
            </w:r>
          </w:p>
          <w:p w:rsidR="0063775D" w:rsidRPr="00C2761A" w:rsidRDefault="002358F8" w:rsidP="000A4631">
            <w:pPr>
              <w:spacing w:before="100" w:beforeAutospacing="1" w:after="100" w:afterAutospacing="1"/>
            </w:pPr>
            <w:r w:rsidRPr="00C2761A">
              <w:t>Jaunu institūciju izveide, esošu institūciju likvidācija vai reorganizācija, to ietekme uz institūcijas cilvēkresursiem</w:t>
            </w:r>
          </w:p>
        </w:tc>
        <w:tc>
          <w:tcPr>
            <w:tcW w:w="2806" w:type="pct"/>
            <w:tcBorders>
              <w:top w:val="outset" w:sz="6" w:space="0" w:color="000000"/>
              <w:left w:val="outset" w:sz="6" w:space="0" w:color="000000"/>
              <w:bottom w:val="outset" w:sz="6" w:space="0" w:color="000000"/>
              <w:right w:val="outset" w:sz="6" w:space="0" w:color="000000"/>
            </w:tcBorders>
          </w:tcPr>
          <w:p w:rsidR="00091842" w:rsidRPr="00C858D8" w:rsidRDefault="00313BE8" w:rsidP="0029303E">
            <w:pPr>
              <w:jc w:val="both"/>
            </w:pPr>
            <w:r w:rsidRPr="00C858D8">
              <w:t>Noteikumu projekts tiks īstenots esošo institūciju un cilvēkresursu ietvaros.</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2358F8" w:rsidP="00691202">
            <w:pPr>
              <w:spacing w:before="100" w:beforeAutospacing="1" w:after="100" w:afterAutospacing="1"/>
              <w:jc w:val="center"/>
            </w:pPr>
            <w:r w:rsidRPr="00C2761A">
              <w:t>3</w:t>
            </w:r>
            <w:r w:rsidR="0063775D" w:rsidRPr="00C2761A">
              <w:t>.</w:t>
            </w:r>
          </w:p>
        </w:tc>
        <w:tc>
          <w:tcPr>
            <w:tcW w:w="1937" w:type="pct"/>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spacing w:before="100" w:beforeAutospacing="1" w:after="100" w:afterAutospacing="1"/>
            </w:pPr>
            <w:r w:rsidRPr="00C2761A">
              <w:t>Cita informācija</w:t>
            </w:r>
          </w:p>
        </w:tc>
        <w:tc>
          <w:tcPr>
            <w:tcW w:w="2806" w:type="pct"/>
            <w:tcBorders>
              <w:top w:val="outset" w:sz="6" w:space="0" w:color="000000"/>
              <w:left w:val="outset" w:sz="6" w:space="0" w:color="000000"/>
              <w:bottom w:val="outset" w:sz="6" w:space="0" w:color="000000"/>
              <w:right w:val="outset" w:sz="6" w:space="0" w:color="000000"/>
            </w:tcBorders>
          </w:tcPr>
          <w:p w:rsidR="0063775D" w:rsidRPr="00C2761A" w:rsidRDefault="0063775D" w:rsidP="006C4515">
            <w:pPr>
              <w:spacing w:before="100" w:beforeAutospacing="1" w:after="100" w:afterAutospacing="1"/>
            </w:pPr>
            <w:r w:rsidRPr="00C2761A">
              <w:t>Nav</w:t>
            </w:r>
            <w:r w:rsidR="000A5BB7">
              <w:t>.</w:t>
            </w:r>
          </w:p>
        </w:tc>
      </w:tr>
    </w:tbl>
    <w:p w:rsidR="00A57AA7" w:rsidRPr="00C2761A" w:rsidRDefault="00A57AA7"/>
    <w:p w:rsidR="00013EF9" w:rsidRPr="00C2761A" w:rsidRDefault="00013EF9" w:rsidP="00013EF9"/>
    <w:p w:rsidR="00FD55F9" w:rsidRPr="00C2761A" w:rsidRDefault="00A37AAD" w:rsidP="00FD55F9">
      <w:pPr>
        <w:jc w:val="both"/>
      </w:pPr>
      <w:r w:rsidRPr="00C2761A">
        <w:t>Izglītības un zinātnes ministre</w:t>
      </w:r>
      <w:r w:rsidR="00FD55F9" w:rsidRPr="00C2761A">
        <w:t xml:space="preserve">                    </w:t>
      </w:r>
      <w:r w:rsidR="00AF031B" w:rsidRPr="00C2761A">
        <w:t xml:space="preserve">     </w:t>
      </w:r>
      <w:r w:rsidR="00A628B0" w:rsidRPr="00C2761A">
        <w:t xml:space="preserve">                             </w:t>
      </w:r>
      <w:r w:rsidR="00D11178" w:rsidRPr="00C2761A">
        <w:tab/>
      </w:r>
      <w:proofErr w:type="spellStart"/>
      <w:r w:rsidRPr="00C2761A">
        <w:t>M.Seile</w:t>
      </w:r>
      <w:proofErr w:type="spellEnd"/>
    </w:p>
    <w:p w:rsidR="00FD55F9" w:rsidRPr="00C2761A" w:rsidRDefault="00FD55F9" w:rsidP="00FD55F9">
      <w:pPr>
        <w:pStyle w:val="naiskr"/>
        <w:tabs>
          <w:tab w:val="left" w:pos="6870"/>
        </w:tabs>
        <w:spacing w:before="0" w:after="0"/>
      </w:pPr>
    </w:p>
    <w:p w:rsidR="00FD55F9" w:rsidRPr="00C2761A" w:rsidRDefault="00FD55F9" w:rsidP="00FD55F9">
      <w:pPr>
        <w:pStyle w:val="naiskr"/>
        <w:tabs>
          <w:tab w:val="left" w:pos="6870"/>
        </w:tabs>
        <w:spacing w:before="0" w:after="0"/>
      </w:pPr>
    </w:p>
    <w:p w:rsidR="0071698E" w:rsidRPr="00806BCE" w:rsidRDefault="00FD55F9" w:rsidP="00AE213A">
      <w:pPr>
        <w:autoSpaceDE w:val="0"/>
        <w:autoSpaceDN w:val="0"/>
        <w:adjustRightInd w:val="0"/>
      </w:pPr>
      <w:r w:rsidRPr="00806BCE">
        <w:t xml:space="preserve">Vīza: </w:t>
      </w:r>
    </w:p>
    <w:p w:rsidR="00806BCE" w:rsidRPr="00806BCE" w:rsidRDefault="00806BCE" w:rsidP="00806BCE">
      <w:pPr>
        <w:autoSpaceDE w:val="0"/>
        <w:autoSpaceDN w:val="0"/>
        <w:adjustRightInd w:val="0"/>
        <w:rPr>
          <w:color w:val="000000"/>
          <w:lang w:eastAsia="zh-CN"/>
        </w:rPr>
      </w:pPr>
      <w:r w:rsidRPr="00806BCE">
        <w:rPr>
          <w:color w:val="000000"/>
          <w:lang w:eastAsia="zh-CN"/>
        </w:rPr>
        <w:t>Valsts sekretāres vietniece –</w:t>
      </w:r>
    </w:p>
    <w:p w:rsidR="00806BCE" w:rsidRPr="00806BCE" w:rsidRDefault="00806BCE" w:rsidP="00806BCE">
      <w:pPr>
        <w:autoSpaceDE w:val="0"/>
        <w:autoSpaceDN w:val="0"/>
        <w:adjustRightInd w:val="0"/>
        <w:rPr>
          <w:color w:val="000000"/>
          <w:lang w:eastAsia="zh-CN"/>
        </w:rPr>
      </w:pPr>
      <w:r w:rsidRPr="00806BCE">
        <w:rPr>
          <w:color w:val="000000"/>
          <w:lang w:eastAsia="zh-CN"/>
        </w:rPr>
        <w:t>Izglītības departamenta direktore,</w:t>
      </w:r>
    </w:p>
    <w:p w:rsidR="00806BCE" w:rsidRPr="00806BCE" w:rsidRDefault="00806BCE" w:rsidP="00806BCE">
      <w:pPr>
        <w:autoSpaceDE w:val="0"/>
        <w:autoSpaceDN w:val="0"/>
        <w:adjustRightInd w:val="0"/>
        <w:rPr>
          <w:color w:val="000000"/>
          <w:lang w:eastAsia="zh-CN"/>
        </w:rPr>
      </w:pPr>
      <w:r w:rsidRPr="00806BCE">
        <w:rPr>
          <w:color w:val="000000"/>
          <w:lang w:eastAsia="zh-CN"/>
        </w:rPr>
        <w:t>valsts sekretāres pienākumu izpildītāja</w:t>
      </w:r>
      <w:r w:rsidRPr="00806BCE">
        <w:rPr>
          <w:color w:val="000000"/>
          <w:lang w:eastAsia="zh-CN"/>
        </w:rPr>
        <w:tab/>
        <w:t xml:space="preserve"> </w:t>
      </w:r>
      <w:r w:rsidRPr="00806BCE">
        <w:rPr>
          <w:color w:val="000000"/>
          <w:lang w:eastAsia="zh-CN"/>
        </w:rPr>
        <w:tab/>
      </w:r>
      <w:r w:rsidRPr="00806BCE">
        <w:rPr>
          <w:color w:val="000000"/>
          <w:lang w:eastAsia="zh-CN"/>
        </w:rPr>
        <w:tab/>
        <w:t xml:space="preserve">            </w:t>
      </w:r>
      <w:proofErr w:type="spellStart"/>
      <w:r w:rsidRPr="00806BCE">
        <w:rPr>
          <w:color w:val="000000"/>
          <w:lang w:eastAsia="zh-CN"/>
        </w:rPr>
        <w:t>E.Papule</w:t>
      </w:r>
      <w:proofErr w:type="spellEnd"/>
    </w:p>
    <w:p w:rsidR="00143DB4" w:rsidRPr="00C2761A" w:rsidRDefault="00143DB4" w:rsidP="00FD55F9">
      <w:pPr>
        <w:pStyle w:val="naiskr"/>
        <w:tabs>
          <w:tab w:val="left" w:pos="6870"/>
        </w:tabs>
        <w:spacing w:before="0" w:after="0"/>
      </w:pPr>
    </w:p>
    <w:p w:rsidR="00782A57" w:rsidRPr="00C2761A" w:rsidRDefault="00F27E56" w:rsidP="00782A57">
      <w:pPr>
        <w:pStyle w:val="Header"/>
        <w:tabs>
          <w:tab w:val="left" w:pos="2340"/>
        </w:tabs>
        <w:rPr>
          <w:sz w:val="20"/>
          <w:szCs w:val="20"/>
        </w:rPr>
      </w:pPr>
      <w:r>
        <w:rPr>
          <w:sz w:val="20"/>
          <w:szCs w:val="20"/>
        </w:rPr>
        <w:t>2</w:t>
      </w:r>
      <w:r w:rsidR="00E84A74">
        <w:rPr>
          <w:sz w:val="20"/>
          <w:szCs w:val="20"/>
        </w:rPr>
        <w:t>0</w:t>
      </w:r>
      <w:r w:rsidR="00782A57" w:rsidRPr="00C2761A">
        <w:rPr>
          <w:sz w:val="20"/>
          <w:szCs w:val="20"/>
        </w:rPr>
        <w:t>.</w:t>
      </w:r>
      <w:r w:rsidR="00103B43" w:rsidRPr="00C2761A">
        <w:rPr>
          <w:sz w:val="20"/>
          <w:szCs w:val="20"/>
        </w:rPr>
        <w:t>0</w:t>
      </w:r>
      <w:r w:rsidR="00103B43">
        <w:rPr>
          <w:sz w:val="20"/>
          <w:szCs w:val="20"/>
        </w:rPr>
        <w:t>7</w:t>
      </w:r>
      <w:r w:rsidR="00782A57" w:rsidRPr="00C2761A">
        <w:rPr>
          <w:sz w:val="20"/>
          <w:szCs w:val="20"/>
        </w:rPr>
        <w:t xml:space="preserve">.2015. </w:t>
      </w:r>
      <w:r>
        <w:rPr>
          <w:sz w:val="20"/>
          <w:szCs w:val="20"/>
        </w:rPr>
        <w:t>09</w:t>
      </w:r>
      <w:r w:rsidR="00782A57" w:rsidRPr="00C2761A">
        <w:rPr>
          <w:sz w:val="20"/>
          <w:szCs w:val="20"/>
        </w:rPr>
        <w:t>:</w:t>
      </w:r>
      <w:r>
        <w:rPr>
          <w:sz w:val="20"/>
          <w:szCs w:val="20"/>
        </w:rPr>
        <w:t>45</w:t>
      </w:r>
    </w:p>
    <w:p w:rsidR="00782A57" w:rsidRPr="00C2761A" w:rsidRDefault="00103B43" w:rsidP="00782A57">
      <w:pPr>
        <w:rPr>
          <w:sz w:val="20"/>
          <w:szCs w:val="20"/>
        </w:rPr>
      </w:pPr>
      <w:r w:rsidRPr="00C2761A">
        <w:rPr>
          <w:sz w:val="20"/>
          <w:szCs w:val="20"/>
        </w:rPr>
        <w:t>5</w:t>
      </w:r>
      <w:r w:rsidR="003C2CC1">
        <w:rPr>
          <w:sz w:val="20"/>
          <w:szCs w:val="20"/>
        </w:rPr>
        <w:t>7</w:t>
      </w:r>
      <w:r w:rsidR="00F27E56">
        <w:rPr>
          <w:sz w:val="20"/>
          <w:szCs w:val="20"/>
        </w:rPr>
        <w:t>74</w:t>
      </w:r>
    </w:p>
    <w:p w:rsidR="00782A57" w:rsidRPr="00C2761A" w:rsidRDefault="00782A57" w:rsidP="00782A57">
      <w:pPr>
        <w:jc w:val="both"/>
        <w:rPr>
          <w:sz w:val="20"/>
          <w:szCs w:val="20"/>
        </w:rPr>
      </w:pPr>
      <w:proofErr w:type="spellStart"/>
      <w:r w:rsidRPr="00C2761A">
        <w:rPr>
          <w:sz w:val="20"/>
          <w:szCs w:val="20"/>
        </w:rPr>
        <w:t>I.Kalva</w:t>
      </w:r>
      <w:proofErr w:type="spellEnd"/>
    </w:p>
    <w:p w:rsidR="00782A57" w:rsidRPr="00C2761A" w:rsidRDefault="00782A57" w:rsidP="00782A57">
      <w:pPr>
        <w:jc w:val="both"/>
        <w:rPr>
          <w:sz w:val="20"/>
          <w:szCs w:val="20"/>
        </w:rPr>
      </w:pPr>
      <w:r w:rsidRPr="00C2761A">
        <w:rPr>
          <w:sz w:val="20"/>
          <w:szCs w:val="20"/>
        </w:rPr>
        <w:t>Izglītības un zinātnes ministrijas</w:t>
      </w:r>
    </w:p>
    <w:p w:rsidR="00782A57" w:rsidRPr="00C2761A" w:rsidRDefault="00782A57" w:rsidP="00782A57">
      <w:pPr>
        <w:jc w:val="both"/>
        <w:rPr>
          <w:sz w:val="20"/>
          <w:szCs w:val="20"/>
        </w:rPr>
      </w:pPr>
      <w:r w:rsidRPr="00C2761A">
        <w:rPr>
          <w:sz w:val="20"/>
          <w:szCs w:val="20"/>
        </w:rPr>
        <w:t>Struktūrfondu un starptautisko finanšu instrumentu departamenta</w:t>
      </w:r>
    </w:p>
    <w:p w:rsidR="00782A57" w:rsidRPr="00C2761A" w:rsidRDefault="00782A57" w:rsidP="00782A57">
      <w:pPr>
        <w:jc w:val="both"/>
        <w:rPr>
          <w:sz w:val="20"/>
          <w:szCs w:val="20"/>
        </w:rPr>
      </w:pPr>
      <w:r w:rsidRPr="00C2761A">
        <w:rPr>
          <w:sz w:val="20"/>
          <w:szCs w:val="20"/>
        </w:rPr>
        <w:t>vecākā referente</w:t>
      </w:r>
    </w:p>
    <w:p w:rsidR="00871A91" w:rsidRDefault="00A70A30" w:rsidP="00782A57">
      <w:pPr>
        <w:pStyle w:val="PlainText"/>
        <w:jc w:val="both"/>
        <w:rPr>
          <w:rFonts w:ascii="Times New Roman" w:hAnsi="Times New Roman" w:cs="Times New Roman"/>
        </w:rPr>
      </w:pPr>
      <w:r w:rsidRPr="00C2761A">
        <w:rPr>
          <w:rFonts w:ascii="Times New Roman" w:hAnsi="Times New Roman"/>
        </w:rPr>
        <w:t>67047941, inese.kalva</w:t>
      </w:r>
      <w:r w:rsidR="00782A57" w:rsidRPr="00C2761A">
        <w:rPr>
          <w:rFonts w:ascii="Times New Roman" w:hAnsi="Times New Roman"/>
        </w:rPr>
        <w:t>@izm.gov.lv</w:t>
      </w:r>
    </w:p>
    <w:sectPr w:rsidR="00871A91" w:rsidSect="002D5FF1">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134" w:left="1843"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B9" w:rsidRDefault="00CB38B9">
      <w:r>
        <w:separator/>
      </w:r>
    </w:p>
  </w:endnote>
  <w:endnote w:type="continuationSeparator" w:id="0">
    <w:p w:rsidR="00CB38B9" w:rsidRDefault="00CB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0A" w:rsidRDefault="0019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9" w:rsidRPr="00A37AAD" w:rsidRDefault="00CB38B9" w:rsidP="00737586">
    <w:pPr>
      <w:jc w:val="both"/>
      <w:rPr>
        <w:sz w:val="20"/>
        <w:szCs w:val="20"/>
      </w:rPr>
    </w:pPr>
    <w:r>
      <w:rPr>
        <w:sz w:val="20"/>
        <w:szCs w:val="20"/>
      </w:rPr>
      <w:t>IZM</w:t>
    </w:r>
    <w:r w:rsidRPr="00737586">
      <w:rPr>
        <w:sz w:val="20"/>
        <w:szCs w:val="20"/>
      </w:rPr>
      <w:t>Anot_</w:t>
    </w:r>
    <w:r>
      <w:rPr>
        <w:sz w:val="20"/>
        <w:szCs w:val="20"/>
      </w:rPr>
      <w:t>SAM_824_</w:t>
    </w:r>
    <w:r w:rsidR="0019050A">
      <w:rPr>
        <w:sz w:val="20"/>
        <w:szCs w:val="20"/>
      </w:rPr>
      <w:t>2</w:t>
    </w:r>
    <w:bookmarkStart w:id="0" w:name="_GoBack"/>
    <w:bookmarkEnd w:id="0"/>
    <w:r>
      <w:rPr>
        <w:sz w:val="20"/>
        <w:szCs w:val="20"/>
      </w:rPr>
      <w:t xml:space="preserve">0072015; </w:t>
    </w:r>
    <w:r w:rsidRPr="00A37AAD">
      <w:rPr>
        <w:sz w:val="20"/>
        <w:szCs w:val="20"/>
      </w:rPr>
      <w:t>Ministru kabineta noteikumu projekt</w:t>
    </w:r>
    <w:r>
      <w:rPr>
        <w:sz w:val="20"/>
        <w:szCs w:val="20"/>
      </w:rPr>
      <w:t>a</w:t>
    </w:r>
    <w:r w:rsidRPr="00A37AAD">
      <w:rPr>
        <w:sz w:val="20"/>
        <w:szCs w:val="20"/>
      </w:rPr>
      <w:t xml:space="preserve"> „</w:t>
    </w:r>
    <w:bookmarkStart w:id="1" w:name="OLE_LINK1"/>
    <w:bookmarkStart w:id="2" w:name="OLE_LINK2"/>
    <w:r>
      <w:rPr>
        <w:sz w:val="20"/>
        <w:szCs w:val="20"/>
      </w:rPr>
      <w:t>D</w:t>
    </w:r>
    <w:r w:rsidRPr="003606AD">
      <w:rPr>
        <w:sz w:val="20"/>
        <w:szCs w:val="20"/>
      </w:rPr>
      <w:t>arbības programmas „I</w:t>
    </w:r>
    <w:r w:rsidRPr="00A37AAD">
      <w:rPr>
        <w:sz w:val="20"/>
        <w:szCs w:val="20"/>
      </w:rPr>
      <w:t>zaugsme un nodarbinātība” 8.2.4</w:t>
    </w:r>
    <w:r>
      <w:rPr>
        <w:sz w:val="20"/>
        <w:szCs w:val="20"/>
      </w:rPr>
      <w:t>.</w:t>
    </w:r>
    <w:r w:rsidRPr="00A37AAD">
      <w:rPr>
        <w:sz w:val="20"/>
        <w:szCs w:val="20"/>
      </w:rPr>
      <w:t xml:space="preserve"> specifiskā atbalsta mērķa „Nodrošināt atbalstu EQAR aģentūrai izvirzīto prasību izpildei” īstenošan</w:t>
    </w:r>
    <w:r>
      <w:rPr>
        <w:sz w:val="20"/>
        <w:szCs w:val="20"/>
      </w:rPr>
      <w:t>as noteikumi</w:t>
    </w:r>
    <w:bookmarkEnd w:id="1"/>
    <w:bookmarkEnd w:id="2"/>
    <w:r w:rsidRPr="00A37AAD">
      <w:rPr>
        <w:sz w:val="20"/>
        <w:szCs w:val="20"/>
      </w:rPr>
      <w:t>”</w:t>
    </w:r>
    <w:r>
      <w:rPr>
        <w:sz w:val="20"/>
        <w:szCs w:val="20"/>
      </w:rPr>
      <w:t xml:space="preserve"> </w:t>
    </w:r>
    <w:r w:rsidRPr="0007450A">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9" w:rsidRPr="00A37AAD" w:rsidRDefault="00CB38B9" w:rsidP="00737586">
    <w:pPr>
      <w:jc w:val="both"/>
      <w:rPr>
        <w:sz w:val="20"/>
        <w:szCs w:val="20"/>
      </w:rPr>
    </w:pPr>
    <w:r>
      <w:rPr>
        <w:sz w:val="20"/>
        <w:szCs w:val="20"/>
      </w:rPr>
      <w:t>IZM</w:t>
    </w:r>
    <w:r w:rsidRPr="00737586">
      <w:rPr>
        <w:sz w:val="20"/>
        <w:szCs w:val="20"/>
      </w:rPr>
      <w:t>Anot_</w:t>
    </w:r>
    <w:r>
      <w:rPr>
        <w:sz w:val="20"/>
        <w:szCs w:val="20"/>
      </w:rPr>
      <w:t>SAM_824_</w:t>
    </w:r>
    <w:r w:rsidR="0019050A">
      <w:rPr>
        <w:sz w:val="20"/>
        <w:szCs w:val="20"/>
      </w:rPr>
      <w:t>2</w:t>
    </w:r>
    <w:r>
      <w:rPr>
        <w:sz w:val="20"/>
        <w:szCs w:val="20"/>
      </w:rPr>
      <w:t xml:space="preserve">0072015; </w:t>
    </w:r>
    <w:r w:rsidRPr="00A37AAD">
      <w:rPr>
        <w:sz w:val="20"/>
        <w:szCs w:val="20"/>
      </w:rPr>
      <w:t>Ministru kabineta noteikumu projekt</w:t>
    </w:r>
    <w:r>
      <w:rPr>
        <w:sz w:val="20"/>
        <w:szCs w:val="20"/>
      </w:rPr>
      <w:t>a</w:t>
    </w:r>
    <w:r w:rsidRPr="00A37AAD">
      <w:rPr>
        <w:sz w:val="20"/>
        <w:szCs w:val="20"/>
      </w:rPr>
      <w:t xml:space="preserve"> „</w:t>
    </w:r>
    <w:r>
      <w:rPr>
        <w:sz w:val="20"/>
        <w:szCs w:val="20"/>
      </w:rPr>
      <w:t>D</w:t>
    </w:r>
    <w:r w:rsidRPr="003606AD">
      <w:rPr>
        <w:sz w:val="20"/>
        <w:szCs w:val="20"/>
      </w:rPr>
      <w:t>arbības programmas „I</w:t>
    </w:r>
    <w:r w:rsidRPr="00A37AAD">
      <w:rPr>
        <w:sz w:val="20"/>
        <w:szCs w:val="20"/>
      </w:rPr>
      <w:t>zaugsme un nodarbinātība” 8.2.4</w:t>
    </w:r>
    <w:r>
      <w:rPr>
        <w:sz w:val="20"/>
        <w:szCs w:val="20"/>
      </w:rPr>
      <w:t>.</w:t>
    </w:r>
    <w:r w:rsidRPr="00A37AAD">
      <w:rPr>
        <w:sz w:val="20"/>
        <w:szCs w:val="20"/>
      </w:rPr>
      <w:t xml:space="preserve"> specifiskā atbalsta mērķa „Nodrošināt atbalstu EQAR aģentūrai izvirzīto prasību izpildei” īstenošan</w:t>
    </w:r>
    <w:r>
      <w:rPr>
        <w:sz w:val="20"/>
        <w:szCs w:val="20"/>
      </w:rPr>
      <w:t>as noteikumi</w:t>
    </w:r>
    <w:r w:rsidRPr="00A37AAD">
      <w:rPr>
        <w:sz w:val="20"/>
        <w:szCs w:val="20"/>
      </w:rPr>
      <w:t>”</w:t>
    </w:r>
    <w:r>
      <w:rPr>
        <w:sz w:val="20"/>
        <w:szCs w:val="20"/>
      </w:rPr>
      <w:t xml:space="preserve"> </w:t>
    </w:r>
    <w:r w:rsidRPr="0007450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B9" w:rsidRDefault="00CB38B9">
      <w:r>
        <w:separator/>
      </w:r>
    </w:p>
  </w:footnote>
  <w:footnote w:type="continuationSeparator" w:id="0">
    <w:p w:rsidR="00CB38B9" w:rsidRDefault="00CB38B9">
      <w:r>
        <w:continuationSeparator/>
      </w:r>
    </w:p>
  </w:footnote>
  <w:footnote w:id="1">
    <w:p w:rsidR="00CB38B9" w:rsidRPr="00B24501" w:rsidRDefault="00CB38B9" w:rsidP="00474D3C">
      <w:pPr>
        <w:pStyle w:val="FootnoteText"/>
      </w:pPr>
      <w:r w:rsidRPr="00B24501">
        <w:rPr>
          <w:rStyle w:val="FootnoteReference"/>
        </w:rPr>
        <w:footnoteRef/>
      </w:r>
      <w:r w:rsidRPr="00B24501">
        <w:t xml:space="preserve"> Pieņemti </w:t>
      </w:r>
      <w:r>
        <w:t xml:space="preserve">par augstāko izglītību atbildīgo </w:t>
      </w:r>
      <w:r w:rsidRPr="00B24501">
        <w:t>ministru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r>
        <w:t xml:space="preserve">. Dokuments pieejams: </w:t>
      </w:r>
      <w:r w:rsidRPr="00EA4E86">
        <w:t>http://www.enqa.eu/wp-content/uploads/2013/06/ESG_3edition-2.pdf</w:t>
      </w:r>
    </w:p>
  </w:footnote>
  <w:footnote w:id="2">
    <w:p w:rsidR="00CB38B9" w:rsidRPr="00B24501" w:rsidRDefault="00CB38B9" w:rsidP="00474D3C">
      <w:pPr>
        <w:pStyle w:val="FootnoteText"/>
      </w:pPr>
      <w:r w:rsidRPr="00B24501">
        <w:rPr>
          <w:rStyle w:val="FootnoteReference"/>
        </w:rPr>
        <w:footnoteRef/>
      </w:r>
      <w:r w:rsidRPr="00B24501">
        <w:t xml:space="preserve"> </w:t>
      </w:r>
      <w:r w:rsidRPr="007D0D32">
        <w:t>http://polsis.mk.gov.lv/LoadAtt/file39192.pdf</w:t>
      </w:r>
    </w:p>
  </w:footnote>
  <w:footnote w:id="3">
    <w:p w:rsidR="00CB38B9" w:rsidRDefault="00CB38B9">
      <w:pPr>
        <w:pStyle w:val="FootnoteText"/>
      </w:pPr>
      <w:r>
        <w:rPr>
          <w:rStyle w:val="FootnoteReference"/>
        </w:rPr>
        <w:footnoteRef/>
      </w:r>
      <w:r>
        <w:t xml:space="preserve"> </w:t>
      </w:r>
      <w:r w:rsidRPr="00472F1C">
        <w:t>http://www.aic.lv/portal/aikna</w:t>
      </w:r>
    </w:p>
  </w:footnote>
  <w:footnote w:id="4">
    <w:p w:rsidR="00CB38B9" w:rsidRPr="00F15465" w:rsidRDefault="00CB38B9" w:rsidP="00474D3C">
      <w:pPr>
        <w:pStyle w:val="FootnoteText"/>
      </w:pPr>
      <w:r w:rsidRPr="00F15465">
        <w:rPr>
          <w:rStyle w:val="FootnoteReference"/>
        </w:rPr>
        <w:footnoteRef/>
      </w:r>
      <w:r w:rsidRPr="00F15465">
        <w:t xml:space="preserve"> </w:t>
      </w:r>
      <w:r w:rsidRPr="00F15465">
        <w:rPr>
          <w:bCs/>
          <w:noProof/>
        </w:rPr>
        <w:t>ES Padomes ieteikums par Latvijas 2014.gada valsts reformu programmu un ar ko sniedz Padomes atzinumu par Latvijas 2014.gada stabilitātes programmu</w:t>
      </w:r>
      <w:r w:rsidRPr="00F15465">
        <w:t xml:space="preserve"> pieejams: </w:t>
      </w:r>
      <w:r>
        <w:t>h</w:t>
      </w:r>
      <w:r w:rsidRPr="00F15465">
        <w:t>ttp://ec.europa.eu/europe2020/pdf/csr2014/csr2014_latvia_lv.pdf</w:t>
      </w:r>
    </w:p>
  </w:footnote>
  <w:footnote w:id="5">
    <w:p w:rsidR="00CB38B9" w:rsidRDefault="00CB38B9" w:rsidP="00F96509">
      <w:pPr>
        <w:pStyle w:val="FootnoteText"/>
      </w:pPr>
      <w:r w:rsidRPr="0033312F">
        <w:rPr>
          <w:rStyle w:val="FootnoteReference"/>
        </w:rPr>
        <w:footnoteRef/>
      </w:r>
      <w:r w:rsidRPr="0033312F">
        <w:t xml:space="preserve"> </w:t>
      </w:r>
      <w:r w:rsidRPr="0033312F">
        <w:rPr>
          <w:lang w:val="en-US"/>
        </w:rPr>
        <w:t>Report of the Panel of the external review of</w:t>
      </w:r>
      <w:r w:rsidRPr="0033312F">
        <w:t xml:space="preserve"> </w:t>
      </w:r>
      <w:r w:rsidRPr="0033312F">
        <w:rPr>
          <w:lang w:val="en-US"/>
        </w:rPr>
        <w:t>Latvian Foundation “</w:t>
      </w:r>
      <w:r w:rsidRPr="0033312F">
        <w:t>HIGHER EDUCATION QUALITY EVALUATION CENTRE” (AIKNC): http://www.aiknc.lv/lv/kopmat/</w:t>
      </w:r>
    </w:p>
  </w:footnote>
  <w:footnote w:id="6">
    <w:p w:rsidR="00CB38B9" w:rsidRDefault="00CB38B9" w:rsidP="00F96509">
      <w:pPr>
        <w:pStyle w:val="FootnoteText"/>
      </w:pPr>
      <w:r>
        <w:rPr>
          <w:rStyle w:val="FootnoteReference"/>
        </w:rPr>
        <w:footnoteRef/>
      </w:r>
      <w:r>
        <w:t xml:space="preserve"> </w:t>
      </w:r>
      <w:r w:rsidRPr="00985FE4">
        <w:t>http://polsis.mk.gov.lv/view.do?id=5024</w:t>
      </w:r>
    </w:p>
  </w:footnote>
  <w:footnote w:id="7">
    <w:p w:rsidR="00CB38B9" w:rsidRDefault="00CB38B9" w:rsidP="00F96509">
      <w:pPr>
        <w:pStyle w:val="FootnoteText"/>
      </w:pPr>
      <w:r>
        <w:rPr>
          <w:rStyle w:val="FootnoteReference"/>
        </w:rPr>
        <w:footnoteRef/>
      </w:r>
      <w:r>
        <w:t xml:space="preserve"> </w:t>
      </w:r>
      <w:r w:rsidRPr="00FA15B7">
        <w:t>http://likumi.lv/doc.php?id=270048</w:t>
      </w:r>
    </w:p>
  </w:footnote>
  <w:footnote w:id="8">
    <w:p w:rsidR="00CB38B9" w:rsidRDefault="00CB38B9" w:rsidP="00F96509">
      <w:pPr>
        <w:pStyle w:val="FootnoteText"/>
      </w:pPr>
      <w:r>
        <w:rPr>
          <w:rStyle w:val="FootnoteReference"/>
        </w:rPr>
        <w:footnoteRef/>
      </w:r>
      <w:r>
        <w:t xml:space="preserve"> </w:t>
      </w:r>
      <w:r w:rsidRPr="00FA15B7">
        <w:t>http://likumi.lv/doc.php?id=270048</w:t>
      </w:r>
    </w:p>
  </w:footnote>
  <w:footnote w:id="9">
    <w:p w:rsidR="00CB38B9" w:rsidRDefault="00CB38B9" w:rsidP="00503FA0">
      <w:pPr>
        <w:autoSpaceDE w:val="0"/>
        <w:autoSpaceDN w:val="0"/>
        <w:adjustRightInd w:val="0"/>
        <w:rPr>
          <w:sz w:val="20"/>
        </w:rPr>
      </w:pPr>
      <w:r>
        <w:rPr>
          <w:rStyle w:val="FootnoteReference"/>
        </w:rPr>
        <w:footnoteRef/>
      </w:r>
      <w:r>
        <w:t xml:space="preserve"> </w:t>
      </w:r>
      <w:r w:rsidRPr="00782F77">
        <w:rPr>
          <w:sz w:val="20"/>
          <w:lang w:val="en-GB"/>
        </w:rPr>
        <w:t xml:space="preserve">ENQA „Guidelines for external reviews of quality assurance agencies in the European Higher Education Area”, Occasional papers 19,  </w:t>
      </w:r>
      <w:r>
        <w:rPr>
          <w:sz w:val="20"/>
        </w:rPr>
        <w:t>pieejams:</w:t>
      </w:r>
      <w:r w:rsidRPr="003D3F63">
        <w:t xml:space="preserve"> </w:t>
      </w:r>
      <w:r w:rsidRPr="003D3F63">
        <w:rPr>
          <w:sz w:val="20"/>
        </w:rPr>
        <w:t>http://www.enqa.eu/indirme/Guidelines-for-external-reviews-of-quality-assurance-agencies-in-the-EHEA1.pdf</w:t>
      </w:r>
      <w:r>
        <w:rPr>
          <w:sz w:val="20"/>
        </w:rPr>
        <w:t xml:space="preserve"> </w:t>
      </w:r>
    </w:p>
  </w:footnote>
  <w:footnote w:id="10">
    <w:p w:rsidR="00CB38B9" w:rsidRDefault="00CB38B9" w:rsidP="005B58FB">
      <w:pPr>
        <w:pStyle w:val="FootnoteText"/>
      </w:pPr>
      <w:r>
        <w:rPr>
          <w:rStyle w:val="FootnoteReference"/>
        </w:rPr>
        <w:footnoteRef/>
      </w:r>
      <w:r>
        <w:t xml:space="preserve"> </w:t>
      </w:r>
      <w:r>
        <w:t>Papildus sk. k</w:t>
      </w:r>
      <w:r>
        <w:rPr>
          <w:bCs/>
          <w:noProof/>
        </w:rPr>
        <w:t>oncepciju</w:t>
      </w:r>
      <w:r w:rsidRPr="00B17C08">
        <w:rPr>
          <w:bCs/>
          <w:noProof/>
        </w:rPr>
        <w:t xml:space="preserve"> </w:t>
      </w:r>
      <w:r w:rsidRPr="00B17C08">
        <w:rPr>
          <w:color w:val="000000"/>
        </w:rPr>
        <w:t>„</w:t>
      </w:r>
      <w:r w:rsidRPr="00B17C08">
        <w:rPr>
          <w:bCs/>
          <w:noProof/>
        </w:rPr>
        <w:t>Latvijas augstākās izglītības ārējās kvalitātes nodrošināšanas sistēmas pilnveide"</w:t>
      </w:r>
      <w:r>
        <w:rPr>
          <w:bCs/>
          <w:noProof/>
        </w:rPr>
        <w:t xml:space="preserve">, pieejama: </w:t>
      </w:r>
      <w:r w:rsidRPr="00985FE4">
        <w:t>http://polsis.mk.gov.lv/view.do?id=5024</w:t>
      </w:r>
    </w:p>
  </w:footnote>
  <w:footnote w:id="11">
    <w:p w:rsidR="00CB38B9" w:rsidRDefault="00CB38B9">
      <w:pPr>
        <w:pStyle w:val="FootnoteText"/>
      </w:pPr>
      <w:r>
        <w:rPr>
          <w:rStyle w:val="FootnoteReference"/>
        </w:rPr>
        <w:footnoteRef/>
      </w:r>
      <w:r>
        <w:t xml:space="preserve"> </w:t>
      </w:r>
      <w:r w:rsidRPr="00CB38B9">
        <w:t>http://tap.mk.gov.lv/mk/mksedes/saraksts/protokols/?protokols=2015-07-14</w:t>
      </w:r>
    </w:p>
  </w:footnote>
  <w:footnote w:id="12">
    <w:p w:rsidR="00CB38B9" w:rsidRDefault="00CB38B9">
      <w:pPr>
        <w:pStyle w:val="FootnoteText"/>
      </w:pPr>
      <w:r>
        <w:rPr>
          <w:rStyle w:val="FootnoteReference"/>
        </w:rPr>
        <w:footnoteRef/>
      </w:r>
      <w:r>
        <w:t xml:space="preserve"> </w:t>
      </w:r>
      <w:r w:rsidRPr="00287335">
        <w:t>http://www.aic.lv/portal/aikna</w:t>
      </w:r>
    </w:p>
  </w:footnote>
  <w:footnote w:id="13">
    <w:p w:rsidR="00CB38B9" w:rsidRDefault="00CB38B9" w:rsidP="00503FA0">
      <w:pPr>
        <w:pStyle w:val="FootnoteText"/>
      </w:pPr>
      <w:r>
        <w:rPr>
          <w:rStyle w:val="FootnoteReference"/>
        </w:rPr>
        <w:footnoteRef/>
      </w:r>
      <w:r>
        <w:t xml:space="preserve"> </w:t>
      </w:r>
      <w:r>
        <w:t>K</w:t>
      </w:r>
      <w:r>
        <w:rPr>
          <w:bCs/>
          <w:noProof/>
        </w:rPr>
        <w:t>oncepcija</w:t>
      </w:r>
      <w:r w:rsidRPr="00B17C08">
        <w:rPr>
          <w:bCs/>
          <w:noProof/>
        </w:rPr>
        <w:t xml:space="preserve"> </w:t>
      </w:r>
      <w:r w:rsidRPr="00B17C08">
        <w:rPr>
          <w:color w:val="000000"/>
        </w:rPr>
        <w:t>„</w:t>
      </w:r>
      <w:r w:rsidRPr="00B17C08">
        <w:rPr>
          <w:bCs/>
          <w:noProof/>
        </w:rPr>
        <w:t>Latvijas augstākās izglītības ārējās kvalitātes nodrošināšanas sistēmas pilnveide"</w:t>
      </w:r>
      <w:r>
        <w:rPr>
          <w:bCs/>
          <w:noProof/>
        </w:rPr>
        <w:t xml:space="preserve">, pieejama: </w:t>
      </w:r>
      <w:r w:rsidRPr="00985FE4">
        <w:t>http://polsis.mk.gov.lv/view.do?id=5024</w:t>
      </w:r>
    </w:p>
  </w:footnote>
  <w:footnote w:id="14">
    <w:p w:rsidR="00CB38B9" w:rsidRDefault="00CB38B9" w:rsidP="00E40A92">
      <w:pPr>
        <w:pStyle w:val="FootnoteText"/>
      </w:pPr>
      <w:r>
        <w:rPr>
          <w:rStyle w:val="FootnoteReference"/>
        </w:rPr>
        <w:footnoteRef/>
      </w:r>
      <w:r>
        <w:t xml:space="preserve"> </w:t>
      </w:r>
      <w:r>
        <w:t xml:space="preserve">MK 10.11.2014. </w:t>
      </w:r>
      <w:r w:rsidRPr="00A027AF">
        <w:t xml:space="preserve">sēdes </w:t>
      </w:r>
      <w:proofErr w:type="spellStart"/>
      <w:r w:rsidRPr="00A027AF">
        <w:t>protokollēmums</w:t>
      </w:r>
      <w:proofErr w:type="spellEnd"/>
      <w:r w:rsidRPr="00A027AF">
        <w:t xml:space="preserve"> (protokols Nr.61 28.§) pieejams šeit: http://tap.mk.gov.lv/mk/mksedes/saraksts/protokols/?protokols=2014-11-10</w:t>
      </w:r>
    </w:p>
  </w:footnote>
  <w:footnote w:id="15">
    <w:p w:rsidR="00A34DD2" w:rsidRDefault="00A34DD2">
      <w:pPr>
        <w:pStyle w:val="FootnoteText"/>
      </w:pPr>
      <w:r>
        <w:rPr>
          <w:rStyle w:val="FootnoteReference"/>
        </w:rPr>
        <w:footnoteRef/>
      </w:r>
      <w:r>
        <w:t xml:space="preserve"> </w:t>
      </w:r>
      <w:r w:rsidRPr="00A34DD2">
        <w:t>http://tap.mk.gov.lv/mk/mksedes/saraksts/protokols/?protokols=2015-07-14</w:t>
      </w:r>
    </w:p>
  </w:footnote>
  <w:footnote w:id="16">
    <w:p w:rsidR="00CB38B9" w:rsidRDefault="00CB38B9" w:rsidP="00503FA0">
      <w:pPr>
        <w:pStyle w:val="FootnoteText"/>
      </w:pPr>
      <w:r>
        <w:rPr>
          <w:rStyle w:val="FootnoteReference"/>
        </w:rPr>
        <w:footnoteRef/>
      </w:r>
      <w:r>
        <w:t xml:space="preserve"> </w:t>
      </w:r>
      <w:r w:rsidRPr="00C90FD2">
        <w:t>http://issuu.com/revisionesg/docs/esg_-_draft_endoresed_by_bfug</w:t>
      </w:r>
    </w:p>
  </w:footnote>
  <w:footnote w:id="17">
    <w:p w:rsidR="00CB38B9" w:rsidRDefault="00CB38B9" w:rsidP="00503FA0">
      <w:pPr>
        <w:pStyle w:val="FootnoteText"/>
      </w:pPr>
      <w:r>
        <w:rPr>
          <w:rStyle w:val="FootnoteReference"/>
        </w:rPr>
        <w:footnoteRef/>
      </w:r>
      <w:r>
        <w:t xml:space="preserve"> </w:t>
      </w:r>
      <w:r>
        <w:t>K</w:t>
      </w:r>
      <w:r>
        <w:rPr>
          <w:bCs/>
          <w:noProof/>
        </w:rPr>
        <w:t>oncepcija</w:t>
      </w:r>
      <w:r w:rsidRPr="00B17C08">
        <w:rPr>
          <w:bCs/>
          <w:noProof/>
        </w:rPr>
        <w:t xml:space="preserve"> </w:t>
      </w:r>
      <w:r w:rsidRPr="00B17C08">
        <w:rPr>
          <w:color w:val="000000"/>
        </w:rPr>
        <w:t>„</w:t>
      </w:r>
      <w:r w:rsidRPr="00B17C08">
        <w:rPr>
          <w:bCs/>
          <w:noProof/>
        </w:rPr>
        <w:t>Latvijas augstākās izglītības ārējās kvalitātes nodrošināšanas sistēmas pilnveide"</w:t>
      </w:r>
      <w:r>
        <w:rPr>
          <w:bCs/>
          <w:noProof/>
        </w:rPr>
        <w:t xml:space="preserve">, pieejama: </w:t>
      </w:r>
      <w:r w:rsidRPr="00985FE4">
        <w:t>http://polsis.mk.gov.lv/view.do?id=5024</w:t>
      </w:r>
    </w:p>
  </w:footnote>
  <w:footnote w:id="18">
    <w:p w:rsidR="00CB38B9" w:rsidRDefault="00CB38B9" w:rsidP="00067040">
      <w:pPr>
        <w:pStyle w:val="FootnoteText"/>
      </w:pPr>
      <w:r>
        <w:rPr>
          <w:rStyle w:val="FootnoteReference"/>
        </w:rPr>
        <w:footnoteRef/>
      </w:r>
      <w:r>
        <w:t xml:space="preserve"> </w:t>
      </w:r>
      <w:r w:rsidRPr="00067040">
        <w:t>https://www.eqar.eu/register/detailpage.html?tx_pxdeqar_pi1%5Bcid%5D=47</w:t>
      </w:r>
    </w:p>
  </w:footnote>
  <w:footnote w:id="19">
    <w:p w:rsidR="00CB38B9" w:rsidRDefault="00CB38B9">
      <w:pPr>
        <w:pStyle w:val="FootnoteText"/>
      </w:pPr>
      <w:r>
        <w:rPr>
          <w:rStyle w:val="FootnoteReference"/>
        </w:rPr>
        <w:footnoteRef/>
      </w:r>
      <w:r>
        <w:t xml:space="preserve"> </w:t>
      </w:r>
      <w:r w:rsidRPr="00B078F4">
        <w:rPr>
          <w:lang w:eastAsia="lv-LV" w:bidi="lo-LA"/>
        </w:rPr>
        <w:t>Ministru Kabineta 2010.gada 18.maija noteikumi Nr.464 „</w:t>
      </w:r>
      <w:r w:rsidRPr="00B078F4">
        <w:rPr>
          <w:bCs/>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B078F4">
        <w:rPr>
          <w:lang w:eastAsia="lv-LV" w:bidi="lo-LA"/>
        </w:rPr>
        <w:t>”</w:t>
      </w:r>
    </w:p>
  </w:footnote>
  <w:footnote w:id="20">
    <w:p w:rsidR="00CB38B9" w:rsidRDefault="00CB38B9" w:rsidP="00BF3649">
      <w:pPr>
        <w:pStyle w:val="FootnoteText"/>
      </w:pPr>
      <w:r>
        <w:rPr>
          <w:rStyle w:val="FootnoteReference"/>
        </w:rPr>
        <w:footnoteRef/>
      </w:r>
      <w:r>
        <w:t xml:space="preserve"> </w:t>
      </w:r>
      <w:r>
        <w:t xml:space="preserve">Grozījumi </w:t>
      </w:r>
      <w:r w:rsidRPr="00EC49D1">
        <w:t>MK 25.09.2012.</w:t>
      </w:r>
      <w:r>
        <w:t xml:space="preserve"> </w:t>
      </w:r>
      <w:r w:rsidRPr="00EC49D1">
        <w:t xml:space="preserve">noteikumos </w:t>
      </w:r>
      <w:r>
        <w:t>N</w:t>
      </w:r>
      <w:r w:rsidRPr="00EC49D1">
        <w:t xml:space="preserve">r. 668 “Augstskolu, koledžu un studiju virzienu akreditācijas noteikumi”, </w:t>
      </w:r>
      <w:r>
        <w:t xml:space="preserve">grozījumi </w:t>
      </w:r>
      <w:r w:rsidRPr="00EC49D1">
        <w:t xml:space="preserve">MK 25.04.2013. </w:t>
      </w:r>
      <w:r>
        <w:t xml:space="preserve"> </w:t>
      </w:r>
      <w:r w:rsidRPr="00EC49D1">
        <w:t xml:space="preserve">noteikumos </w:t>
      </w:r>
      <w:r>
        <w:t>N</w:t>
      </w:r>
      <w:r w:rsidRPr="00EC49D1">
        <w:t>r. 230 “Studiju programmu licencēšanas noteiku</w:t>
      </w:r>
      <w:r>
        <w:t xml:space="preserve">mi”.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9" w:rsidRDefault="00CB38B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8B9" w:rsidRDefault="00CB3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9" w:rsidRDefault="00CB38B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50A">
      <w:rPr>
        <w:rStyle w:val="PageNumber"/>
        <w:noProof/>
      </w:rPr>
      <w:t>2</w:t>
    </w:r>
    <w:r>
      <w:rPr>
        <w:rStyle w:val="PageNumber"/>
      </w:rPr>
      <w:fldChar w:fldCharType="end"/>
    </w:r>
  </w:p>
  <w:p w:rsidR="00CB38B9" w:rsidRDefault="00CB3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0A" w:rsidRDefault="00190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0"/>
    <w:multiLevelType w:val="hybridMultilevel"/>
    <w:tmpl w:val="470E63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FB41FF"/>
    <w:multiLevelType w:val="hybridMultilevel"/>
    <w:tmpl w:val="49A49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607A9"/>
    <w:multiLevelType w:val="hybridMultilevel"/>
    <w:tmpl w:val="713A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44BC8"/>
    <w:multiLevelType w:val="hybridMultilevel"/>
    <w:tmpl w:val="F640AF9C"/>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801779"/>
    <w:multiLevelType w:val="hybridMultilevel"/>
    <w:tmpl w:val="3EB63218"/>
    <w:lvl w:ilvl="0" w:tplc="A4640F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F786F44"/>
    <w:multiLevelType w:val="hybridMultilevel"/>
    <w:tmpl w:val="97FC1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5631AE"/>
    <w:multiLevelType w:val="hybridMultilevel"/>
    <w:tmpl w:val="4B102E6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025024"/>
    <w:multiLevelType w:val="hybridMultilevel"/>
    <w:tmpl w:val="99D635C8"/>
    <w:lvl w:ilvl="0" w:tplc="A784092A">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E1DA3"/>
    <w:multiLevelType w:val="hybridMultilevel"/>
    <w:tmpl w:val="F210EA40"/>
    <w:lvl w:ilvl="0" w:tplc="A1FCD4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90A20DD"/>
    <w:multiLevelType w:val="hybridMultilevel"/>
    <w:tmpl w:val="122440E0"/>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4E3D22"/>
    <w:multiLevelType w:val="hybridMultilevel"/>
    <w:tmpl w:val="E882765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0250152"/>
    <w:multiLevelType w:val="multilevel"/>
    <w:tmpl w:val="4E56C1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D4566A"/>
    <w:multiLevelType w:val="hybridMultilevel"/>
    <w:tmpl w:val="27A6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E70D05"/>
    <w:multiLevelType w:val="hybridMultilevel"/>
    <w:tmpl w:val="397E1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C801BA"/>
    <w:multiLevelType w:val="hybridMultilevel"/>
    <w:tmpl w:val="CC5472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2B055A"/>
    <w:multiLevelType w:val="hybridMultilevel"/>
    <w:tmpl w:val="E5EC09D6"/>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100538"/>
    <w:multiLevelType w:val="hybridMultilevel"/>
    <w:tmpl w:val="B16E38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0462525"/>
    <w:multiLevelType w:val="hybridMultilevel"/>
    <w:tmpl w:val="70000C1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A079A3"/>
    <w:multiLevelType w:val="hybridMultilevel"/>
    <w:tmpl w:val="7C7AF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1702C8"/>
    <w:multiLevelType w:val="hybridMultilevel"/>
    <w:tmpl w:val="8DBC02E6"/>
    <w:lvl w:ilvl="0" w:tplc="43FCA474">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2B178B"/>
    <w:multiLevelType w:val="hybridMultilevel"/>
    <w:tmpl w:val="E0D28A5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1" w15:restartNumberingAfterBreak="0">
    <w:nsid w:val="77071823"/>
    <w:multiLevelType w:val="hybridMultilevel"/>
    <w:tmpl w:val="4AAAAFC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9635F1"/>
    <w:multiLevelType w:val="hybridMultilevel"/>
    <w:tmpl w:val="491059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19"/>
  </w:num>
  <w:num w:numId="5">
    <w:abstractNumId w:val="32"/>
  </w:num>
  <w:num w:numId="6">
    <w:abstractNumId w:val="2"/>
  </w:num>
  <w:num w:numId="7">
    <w:abstractNumId w:val="34"/>
  </w:num>
  <w:num w:numId="8">
    <w:abstractNumId w:val="13"/>
  </w:num>
  <w:num w:numId="9">
    <w:abstractNumId w:val="9"/>
  </w:num>
  <w:num w:numId="10">
    <w:abstractNumId w:val="7"/>
  </w:num>
  <w:num w:numId="11">
    <w:abstractNumId w:val="27"/>
  </w:num>
  <w:num w:numId="12">
    <w:abstractNumId w:val="4"/>
  </w:num>
  <w:num w:numId="13">
    <w:abstractNumId w:val="5"/>
  </w:num>
  <w:num w:numId="14">
    <w:abstractNumId w:val="3"/>
  </w:num>
  <w:num w:numId="15">
    <w:abstractNumId w:val="18"/>
  </w:num>
  <w:num w:numId="16">
    <w:abstractNumId w:val="25"/>
  </w:num>
  <w:num w:numId="17">
    <w:abstractNumId w:val="17"/>
  </w:num>
  <w:num w:numId="18">
    <w:abstractNumId w:val="11"/>
  </w:num>
  <w:num w:numId="19">
    <w:abstractNumId w:val="16"/>
  </w:num>
  <w:num w:numId="20">
    <w:abstractNumId w:val="1"/>
  </w:num>
  <w:num w:numId="21">
    <w:abstractNumId w:val="28"/>
  </w:num>
  <w:num w:numId="22">
    <w:abstractNumId w:val="21"/>
  </w:num>
  <w:num w:numId="23">
    <w:abstractNumId w:val="12"/>
  </w:num>
  <w:num w:numId="24">
    <w:abstractNumId w:val="23"/>
  </w:num>
  <w:num w:numId="25">
    <w:abstractNumId w:val="15"/>
  </w:num>
  <w:num w:numId="26">
    <w:abstractNumId w:val="6"/>
  </w:num>
  <w:num w:numId="27">
    <w:abstractNumId w:val="24"/>
  </w:num>
  <w:num w:numId="28">
    <w:abstractNumId w:val="20"/>
  </w:num>
  <w:num w:numId="29">
    <w:abstractNumId w:val="0"/>
  </w:num>
  <w:num w:numId="30">
    <w:abstractNumId w:val="29"/>
  </w:num>
  <w:num w:numId="31">
    <w:abstractNumId w:val="31"/>
  </w:num>
  <w:num w:numId="32">
    <w:abstractNumId w:val="33"/>
  </w:num>
  <w:num w:numId="33">
    <w:abstractNumId w:val="26"/>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57A45"/>
    <w:rsid w:val="000000CE"/>
    <w:rsid w:val="00000E9F"/>
    <w:rsid w:val="00003293"/>
    <w:rsid w:val="000040A9"/>
    <w:rsid w:val="00005DFA"/>
    <w:rsid w:val="00011FC3"/>
    <w:rsid w:val="00013EF9"/>
    <w:rsid w:val="00015BE4"/>
    <w:rsid w:val="000164A1"/>
    <w:rsid w:val="00016659"/>
    <w:rsid w:val="00016FEA"/>
    <w:rsid w:val="000205A7"/>
    <w:rsid w:val="0002158B"/>
    <w:rsid w:val="00023887"/>
    <w:rsid w:val="00030A52"/>
    <w:rsid w:val="00031039"/>
    <w:rsid w:val="000326BA"/>
    <w:rsid w:val="0003431E"/>
    <w:rsid w:val="00034605"/>
    <w:rsid w:val="00035450"/>
    <w:rsid w:val="00035F21"/>
    <w:rsid w:val="000460B9"/>
    <w:rsid w:val="000473CC"/>
    <w:rsid w:val="0005006A"/>
    <w:rsid w:val="00052408"/>
    <w:rsid w:val="00053101"/>
    <w:rsid w:val="00054C02"/>
    <w:rsid w:val="00055E6C"/>
    <w:rsid w:val="00057A45"/>
    <w:rsid w:val="00061756"/>
    <w:rsid w:val="000637F3"/>
    <w:rsid w:val="000650EE"/>
    <w:rsid w:val="00067040"/>
    <w:rsid w:val="00071DE1"/>
    <w:rsid w:val="0007335D"/>
    <w:rsid w:val="0007450A"/>
    <w:rsid w:val="000745B5"/>
    <w:rsid w:val="0007504C"/>
    <w:rsid w:val="00076EF5"/>
    <w:rsid w:val="000773A0"/>
    <w:rsid w:val="00080965"/>
    <w:rsid w:val="000844D3"/>
    <w:rsid w:val="00084F09"/>
    <w:rsid w:val="0008516D"/>
    <w:rsid w:val="000875FE"/>
    <w:rsid w:val="00091842"/>
    <w:rsid w:val="00093CE0"/>
    <w:rsid w:val="000947C0"/>
    <w:rsid w:val="00094944"/>
    <w:rsid w:val="0009620B"/>
    <w:rsid w:val="0009645B"/>
    <w:rsid w:val="00097499"/>
    <w:rsid w:val="000A00D8"/>
    <w:rsid w:val="000A3A79"/>
    <w:rsid w:val="000A4631"/>
    <w:rsid w:val="000A4B58"/>
    <w:rsid w:val="000A5BB7"/>
    <w:rsid w:val="000B664E"/>
    <w:rsid w:val="000B772F"/>
    <w:rsid w:val="000C0381"/>
    <w:rsid w:val="000C0D48"/>
    <w:rsid w:val="000C35CA"/>
    <w:rsid w:val="000C444F"/>
    <w:rsid w:val="000C740C"/>
    <w:rsid w:val="000D32BA"/>
    <w:rsid w:val="000D5011"/>
    <w:rsid w:val="000D5B46"/>
    <w:rsid w:val="000E32B9"/>
    <w:rsid w:val="000E52AF"/>
    <w:rsid w:val="000E581B"/>
    <w:rsid w:val="000E59B9"/>
    <w:rsid w:val="000E60C5"/>
    <w:rsid w:val="000E705D"/>
    <w:rsid w:val="000F1E99"/>
    <w:rsid w:val="0010189D"/>
    <w:rsid w:val="0010194C"/>
    <w:rsid w:val="00101A77"/>
    <w:rsid w:val="00103B43"/>
    <w:rsid w:val="00104BA2"/>
    <w:rsid w:val="00106273"/>
    <w:rsid w:val="00107CE4"/>
    <w:rsid w:val="001116A8"/>
    <w:rsid w:val="00116660"/>
    <w:rsid w:val="001210A7"/>
    <w:rsid w:val="00123489"/>
    <w:rsid w:val="001256C9"/>
    <w:rsid w:val="00126108"/>
    <w:rsid w:val="00135B78"/>
    <w:rsid w:val="00142C8F"/>
    <w:rsid w:val="00143DB4"/>
    <w:rsid w:val="00144FB8"/>
    <w:rsid w:val="001454CE"/>
    <w:rsid w:val="00146622"/>
    <w:rsid w:val="00151D4E"/>
    <w:rsid w:val="001538A9"/>
    <w:rsid w:val="001554D2"/>
    <w:rsid w:val="001564E4"/>
    <w:rsid w:val="00160C6C"/>
    <w:rsid w:val="00160F31"/>
    <w:rsid w:val="001629C3"/>
    <w:rsid w:val="001676C1"/>
    <w:rsid w:val="00167B6E"/>
    <w:rsid w:val="00172FC8"/>
    <w:rsid w:val="00173197"/>
    <w:rsid w:val="00175FE2"/>
    <w:rsid w:val="00177452"/>
    <w:rsid w:val="0018044A"/>
    <w:rsid w:val="00186DDC"/>
    <w:rsid w:val="001903DC"/>
    <w:rsid w:val="0019050A"/>
    <w:rsid w:val="001966C0"/>
    <w:rsid w:val="001A3B2F"/>
    <w:rsid w:val="001A495C"/>
    <w:rsid w:val="001A4C78"/>
    <w:rsid w:val="001B25AF"/>
    <w:rsid w:val="001B264B"/>
    <w:rsid w:val="001B2754"/>
    <w:rsid w:val="001C2768"/>
    <w:rsid w:val="001C2FA3"/>
    <w:rsid w:val="001C3481"/>
    <w:rsid w:val="001C391D"/>
    <w:rsid w:val="001C3946"/>
    <w:rsid w:val="001D11D4"/>
    <w:rsid w:val="001D3BEE"/>
    <w:rsid w:val="001D3ECA"/>
    <w:rsid w:val="001D47A9"/>
    <w:rsid w:val="001D6E35"/>
    <w:rsid w:val="001E0386"/>
    <w:rsid w:val="001E21C4"/>
    <w:rsid w:val="001F201E"/>
    <w:rsid w:val="001F427E"/>
    <w:rsid w:val="001F7DD0"/>
    <w:rsid w:val="001F7E4A"/>
    <w:rsid w:val="00200F66"/>
    <w:rsid w:val="00201CB9"/>
    <w:rsid w:val="002120B6"/>
    <w:rsid w:val="002133BE"/>
    <w:rsid w:val="00214299"/>
    <w:rsid w:val="00214C14"/>
    <w:rsid w:val="00216346"/>
    <w:rsid w:val="00221ADE"/>
    <w:rsid w:val="002222D9"/>
    <w:rsid w:val="00222714"/>
    <w:rsid w:val="002267D6"/>
    <w:rsid w:val="00227DB7"/>
    <w:rsid w:val="00231C2B"/>
    <w:rsid w:val="00233CF7"/>
    <w:rsid w:val="002358F8"/>
    <w:rsid w:val="0024327C"/>
    <w:rsid w:val="002434D6"/>
    <w:rsid w:val="002444D7"/>
    <w:rsid w:val="002465D6"/>
    <w:rsid w:val="00246C24"/>
    <w:rsid w:val="0024771D"/>
    <w:rsid w:val="00253B7F"/>
    <w:rsid w:val="00254075"/>
    <w:rsid w:val="00254EB8"/>
    <w:rsid w:val="00257617"/>
    <w:rsid w:val="0026330D"/>
    <w:rsid w:val="00264888"/>
    <w:rsid w:val="002655BA"/>
    <w:rsid w:val="0026684F"/>
    <w:rsid w:val="00267539"/>
    <w:rsid w:val="00270EEA"/>
    <w:rsid w:val="002764B8"/>
    <w:rsid w:val="00281DD1"/>
    <w:rsid w:val="0028258A"/>
    <w:rsid w:val="00282D42"/>
    <w:rsid w:val="00284A74"/>
    <w:rsid w:val="0028541D"/>
    <w:rsid w:val="00286C33"/>
    <w:rsid w:val="00287335"/>
    <w:rsid w:val="00287B3F"/>
    <w:rsid w:val="00292174"/>
    <w:rsid w:val="0029303E"/>
    <w:rsid w:val="002935F0"/>
    <w:rsid w:val="00295590"/>
    <w:rsid w:val="00296B9D"/>
    <w:rsid w:val="0029714A"/>
    <w:rsid w:val="00297635"/>
    <w:rsid w:val="00297F53"/>
    <w:rsid w:val="002A06CC"/>
    <w:rsid w:val="002A0BDF"/>
    <w:rsid w:val="002A179C"/>
    <w:rsid w:val="002A249E"/>
    <w:rsid w:val="002A2A18"/>
    <w:rsid w:val="002A3B30"/>
    <w:rsid w:val="002A3CA8"/>
    <w:rsid w:val="002A7D63"/>
    <w:rsid w:val="002B0E2F"/>
    <w:rsid w:val="002B1874"/>
    <w:rsid w:val="002B5960"/>
    <w:rsid w:val="002B65FF"/>
    <w:rsid w:val="002B7380"/>
    <w:rsid w:val="002C0DBF"/>
    <w:rsid w:val="002C0FE8"/>
    <w:rsid w:val="002C2C45"/>
    <w:rsid w:val="002C2F91"/>
    <w:rsid w:val="002C3D37"/>
    <w:rsid w:val="002C458D"/>
    <w:rsid w:val="002C6C0C"/>
    <w:rsid w:val="002D0A38"/>
    <w:rsid w:val="002D2047"/>
    <w:rsid w:val="002D28B7"/>
    <w:rsid w:val="002D5FF1"/>
    <w:rsid w:val="002D758C"/>
    <w:rsid w:val="002E0EEE"/>
    <w:rsid w:val="002E2EF1"/>
    <w:rsid w:val="002E7C61"/>
    <w:rsid w:val="00300F58"/>
    <w:rsid w:val="00301E40"/>
    <w:rsid w:val="00302DF2"/>
    <w:rsid w:val="00305AEE"/>
    <w:rsid w:val="00310936"/>
    <w:rsid w:val="0031173B"/>
    <w:rsid w:val="00313BE8"/>
    <w:rsid w:val="003145F8"/>
    <w:rsid w:val="003160A2"/>
    <w:rsid w:val="0031744E"/>
    <w:rsid w:val="00321929"/>
    <w:rsid w:val="00321969"/>
    <w:rsid w:val="003222AA"/>
    <w:rsid w:val="003229E3"/>
    <w:rsid w:val="00322F02"/>
    <w:rsid w:val="00323BBA"/>
    <w:rsid w:val="00325B3E"/>
    <w:rsid w:val="0033121E"/>
    <w:rsid w:val="0033346D"/>
    <w:rsid w:val="003348E1"/>
    <w:rsid w:val="003355BE"/>
    <w:rsid w:val="00335BF2"/>
    <w:rsid w:val="003366B8"/>
    <w:rsid w:val="003368B0"/>
    <w:rsid w:val="00337EFC"/>
    <w:rsid w:val="00341998"/>
    <w:rsid w:val="00343007"/>
    <w:rsid w:val="00345053"/>
    <w:rsid w:val="003472FC"/>
    <w:rsid w:val="00347BB0"/>
    <w:rsid w:val="00352CB6"/>
    <w:rsid w:val="00353E34"/>
    <w:rsid w:val="00355359"/>
    <w:rsid w:val="0035678C"/>
    <w:rsid w:val="0035690D"/>
    <w:rsid w:val="003606AD"/>
    <w:rsid w:val="0036246B"/>
    <w:rsid w:val="00362B79"/>
    <w:rsid w:val="003630A9"/>
    <w:rsid w:val="00371EAD"/>
    <w:rsid w:val="003726E1"/>
    <w:rsid w:val="0037305E"/>
    <w:rsid w:val="003747BF"/>
    <w:rsid w:val="0038024C"/>
    <w:rsid w:val="00382DF4"/>
    <w:rsid w:val="00383A20"/>
    <w:rsid w:val="003866B2"/>
    <w:rsid w:val="00386D54"/>
    <w:rsid w:val="0038714B"/>
    <w:rsid w:val="00391A41"/>
    <w:rsid w:val="0039373A"/>
    <w:rsid w:val="003A1B1A"/>
    <w:rsid w:val="003A3AD4"/>
    <w:rsid w:val="003A5266"/>
    <w:rsid w:val="003A77BD"/>
    <w:rsid w:val="003B0A8C"/>
    <w:rsid w:val="003B3004"/>
    <w:rsid w:val="003B5F9A"/>
    <w:rsid w:val="003C1451"/>
    <w:rsid w:val="003C25D4"/>
    <w:rsid w:val="003C2CC1"/>
    <w:rsid w:val="003C446F"/>
    <w:rsid w:val="003C7C85"/>
    <w:rsid w:val="003D076C"/>
    <w:rsid w:val="003E0241"/>
    <w:rsid w:val="003E15A7"/>
    <w:rsid w:val="003E2D58"/>
    <w:rsid w:val="003E6042"/>
    <w:rsid w:val="003E657B"/>
    <w:rsid w:val="003E79DE"/>
    <w:rsid w:val="003F2B8E"/>
    <w:rsid w:val="003F3652"/>
    <w:rsid w:val="00410C9C"/>
    <w:rsid w:val="0041100B"/>
    <w:rsid w:val="00411ECA"/>
    <w:rsid w:val="004221DF"/>
    <w:rsid w:val="004238D5"/>
    <w:rsid w:val="00423CA2"/>
    <w:rsid w:val="00426858"/>
    <w:rsid w:val="00426C42"/>
    <w:rsid w:val="00426CAA"/>
    <w:rsid w:val="004276F2"/>
    <w:rsid w:val="00430D0C"/>
    <w:rsid w:val="00436450"/>
    <w:rsid w:val="00436CD1"/>
    <w:rsid w:val="00440079"/>
    <w:rsid w:val="0044472C"/>
    <w:rsid w:val="00445CA8"/>
    <w:rsid w:val="00450064"/>
    <w:rsid w:val="00450CFD"/>
    <w:rsid w:val="00451F5F"/>
    <w:rsid w:val="0045427B"/>
    <w:rsid w:val="004574F0"/>
    <w:rsid w:val="00462DBD"/>
    <w:rsid w:val="00466AC2"/>
    <w:rsid w:val="00467465"/>
    <w:rsid w:val="00467CDC"/>
    <w:rsid w:val="00467F17"/>
    <w:rsid w:val="00472F1C"/>
    <w:rsid w:val="00474D3C"/>
    <w:rsid w:val="004771C0"/>
    <w:rsid w:val="00482B5D"/>
    <w:rsid w:val="00484A60"/>
    <w:rsid w:val="00491E6B"/>
    <w:rsid w:val="00491F95"/>
    <w:rsid w:val="00492FF8"/>
    <w:rsid w:val="00493F81"/>
    <w:rsid w:val="004967CD"/>
    <w:rsid w:val="004A00FE"/>
    <w:rsid w:val="004A01EE"/>
    <w:rsid w:val="004A024F"/>
    <w:rsid w:val="004A06BE"/>
    <w:rsid w:val="004A0B1A"/>
    <w:rsid w:val="004A0EAF"/>
    <w:rsid w:val="004A145F"/>
    <w:rsid w:val="004A290E"/>
    <w:rsid w:val="004B0E40"/>
    <w:rsid w:val="004B10D4"/>
    <w:rsid w:val="004B130C"/>
    <w:rsid w:val="004B3BAE"/>
    <w:rsid w:val="004B4CF4"/>
    <w:rsid w:val="004B515D"/>
    <w:rsid w:val="004B7ED6"/>
    <w:rsid w:val="004C061E"/>
    <w:rsid w:val="004C18E9"/>
    <w:rsid w:val="004C4BCE"/>
    <w:rsid w:val="004C5D29"/>
    <w:rsid w:val="004C77F0"/>
    <w:rsid w:val="004C794F"/>
    <w:rsid w:val="004D0540"/>
    <w:rsid w:val="004D35DE"/>
    <w:rsid w:val="004E1373"/>
    <w:rsid w:val="004E550F"/>
    <w:rsid w:val="004E5809"/>
    <w:rsid w:val="004F3141"/>
    <w:rsid w:val="004F3DBD"/>
    <w:rsid w:val="004F5A60"/>
    <w:rsid w:val="004F60F5"/>
    <w:rsid w:val="00502401"/>
    <w:rsid w:val="005026CF"/>
    <w:rsid w:val="00503FA0"/>
    <w:rsid w:val="0051049B"/>
    <w:rsid w:val="00511D8F"/>
    <w:rsid w:val="005128AE"/>
    <w:rsid w:val="00514D1B"/>
    <w:rsid w:val="00515BB7"/>
    <w:rsid w:val="00521B2E"/>
    <w:rsid w:val="00521B66"/>
    <w:rsid w:val="005236E8"/>
    <w:rsid w:val="00523EAC"/>
    <w:rsid w:val="005256A8"/>
    <w:rsid w:val="005256F3"/>
    <w:rsid w:val="00530BE6"/>
    <w:rsid w:val="005333D0"/>
    <w:rsid w:val="0053406C"/>
    <w:rsid w:val="00534946"/>
    <w:rsid w:val="005349D2"/>
    <w:rsid w:val="00537635"/>
    <w:rsid w:val="005422C6"/>
    <w:rsid w:val="005454DA"/>
    <w:rsid w:val="00547057"/>
    <w:rsid w:val="00550C4E"/>
    <w:rsid w:val="00561C3C"/>
    <w:rsid w:val="0056208F"/>
    <w:rsid w:val="005621A7"/>
    <w:rsid w:val="00576736"/>
    <w:rsid w:val="00576E3C"/>
    <w:rsid w:val="0058195C"/>
    <w:rsid w:val="00582FA1"/>
    <w:rsid w:val="005846E1"/>
    <w:rsid w:val="00584858"/>
    <w:rsid w:val="005911C4"/>
    <w:rsid w:val="005918CC"/>
    <w:rsid w:val="00596A99"/>
    <w:rsid w:val="005A355D"/>
    <w:rsid w:val="005A6EE9"/>
    <w:rsid w:val="005B098C"/>
    <w:rsid w:val="005B16C5"/>
    <w:rsid w:val="005B255F"/>
    <w:rsid w:val="005B2D87"/>
    <w:rsid w:val="005B31B9"/>
    <w:rsid w:val="005B443E"/>
    <w:rsid w:val="005B48CC"/>
    <w:rsid w:val="005B58FB"/>
    <w:rsid w:val="005B64B7"/>
    <w:rsid w:val="005B6D49"/>
    <w:rsid w:val="005C1B7D"/>
    <w:rsid w:val="005C1F28"/>
    <w:rsid w:val="005C3484"/>
    <w:rsid w:val="005C444B"/>
    <w:rsid w:val="005C4840"/>
    <w:rsid w:val="005C5780"/>
    <w:rsid w:val="005D2B28"/>
    <w:rsid w:val="005D349B"/>
    <w:rsid w:val="005E1655"/>
    <w:rsid w:val="005E3276"/>
    <w:rsid w:val="005E3EA3"/>
    <w:rsid w:val="005E5199"/>
    <w:rsid w:val="005F1AA1"/>
    <w:rsid w:val="005F50D8"/>
    <w:rsid w:val="005F5E9E"/>
    <w:rsid w:val="00602090"/>
    <w:rsid w:val="00604FC1"/>
    <w:rsid w:val="006103B7"/>
    <w:rsid w:val="00610A65"/>
    <w:rsid w:val="00611614"/>
    <w:rsid w:val="00613D82"/>
    <w:rsid w:val="00617064"/>
    <w:rsid w:val="00617251"/>
    <w:rsid w:val="00617BA4"/>
    <w:rsid w:val="00623724"/>
    <w:rsid w:val="006248F0"/>
    <w:rsid w:val="00624B30"/>
    <w:rsid w:val="00626B4C"/>
    <w:rsid w:val="00626F77"/>
    <w:rsid w:val="00631FCB"/>
    <w:rsid w:val="00632550"/>
    <w:rsid w:val="006330A8"/>
    <w:rsid w:val="00634B8D"/>
    <w:rsid w:val="0063775D"/>
    <w:rsid w:val="00640C17"/>
    <w:rsid w:val="00641CD0"/>
    <w:rsid w:val="006430C6"/>
    <w:rsid w:val="00645D0B"/>
    <w:rsid w:val="0064665D"/>
    <w:rsid w:val="006549F3"/>
    <w:rsid w:val="00656F13"/>
    <w:rsid w:val="00657209"/>
    <w:rsid w:val="00664063"/>
    <w:rsid w:val="00665941"/>
    <w:rsid w:val="00666F6B"/>
    <w:rsid w:val="00671614"/>
    <w:rsid w:val="00671D41"/>
    <w:rsid w:val="0067509B"/>
    <w:rsid w:val="00677278"/>
    <w:rsid w:val="00677AF3"/>
    <w:rsid w:val="00677CE4"/>
    <w:rsid w:val="0068284C"/>
    <w:rsid w:val="006836F3"/>
    <w:rsid w:val="00685D78"/>
    <w:rsid w:val="00686085"/>
    <w:rsid w:val="00687DB4"/>
    <w:rsid w:val="00690A88"/>
    <w:rsid w:val="00690AA7"/>
    <w:rsid w:val="00690DFD"/>
    <w:rsid w:val="00690F81"/>
    <w:rsid w:val="00691202"/>
    <w:rsid w:val="0069791F"/>
    <w:rsid w:val="006A052E"/>
    <w:rsid w:val="006A20B8"/>
    <w:rsid w:val="006A36CC"/>
    <w:rsid w:val="006A6118"/>
    <w:rsid w:val="006A647E"/>
    <w:rsid w:val="006A7ABC"/>
    <w:rsid w:val="006A7B71"/>
    <w:rsid w:val="006B2D21"/>
    <w:rsid w:val="006B7621"/>
    <w:rsid w:val="006C0F84"/>
    <w:rsid w:val="006C268C"/>
    <w:rsid w:val="006C418C"/>
    <w:rsid w:val="006C4515"/>
    <w:rsid w:val="006C45DD"/>
    <w:rsid w:val="006C5847"/>
    <w:rsid w:val="006C73B3"/>
    <w:rsid w:val="006C78CD"/>
    <w:rsid w:val="006D1582"/>
    <w:rsid w:val="006D215B"/>
    <w:rsid w:val="006D53CE"/>
    <w:rsid w:val="006D5575"/>
    <w:rsid w:val="006E1301"/>
    <w:rsid w:val="006E19B8"/>
    <w:rsid w:val="006F27C9"/>
    <w:rsid w:val="006F450C"/>
    <w:rsid w:val="006F5586"/>
    <w:rsid w:val="006F5F14"/>
    <w:rsid w:val="00700DD7"/>
    <w:rsid w:val="00704912"/>
    <w:rsid w:val="007051E3"/>
    <w:rsid w:val="00705FFB"/>
    <w:rsid w:val="007116C5"/>
    <w:rsid w:val="0071302D"/>
    <w:rsid w:val="00713776"/>
    <w:rsid w:val="007147A6"/>
    <w:rsid w:val="00715333"/>
    <w:rsid w:val="00715E63"/>
    <w:rsid w:val="0071698E"/>
    <w:rsid w:val="00717104"/>
    <w:rsid w:val="00721508"/>
    <w:rsid w:val="00722553"/>
    <w:rsid w:val="00722685"/>
    <w:rsid w:val="00723653"/>
    <w:rsid w:val="0072604C"/>
    <w:rsid w:val="00727203"/>
    <w:rsid w:val="00732323"/>
    <w:rsid w:val="00732E99"/>
    <w:rsid w:val="00737586"/>
    <w:rsid w:val="007376A3"/>
    <w:rsid w:val="00740AE0"/>
    <w:rsid w:val="00740DAA"/>
    <w:rsid w:val="00741FC8"/>
    <w:rsid w:val="00744AC4"/>
    <w:rsid w:val="00746D3D"/>
    <w:rsid w:val="00750429"/>
    <w:rsid w:val="007528B3"/>
    <w:rsid w:val="007545EF"/>
    <w:rsid w:val="007546E7"/>
    <w:rsid w:val="00755FFA"/>
    <w:rsid w:val="0075695E"/>
    <w:rsid w:val="00757037"/>
    <w:rsid w:val="007576E7"/>
    <w:rsid w:val="00757D2B"/>
    <w:rsid w:val="007601AB"/>
    <w:rsid w:val="00762FCE"/>
    <w:rsid w:val="007658D5"/>
    <w:rsid w:val="00771B77"/>
    <w:rsid w:val="00774C6E"/>
    <w:rsid w:val="00775D3D"/>
    <w:rsid w:val="0077757C"/>
    <w:rsid w:val="00782018"/>
    <w:rsid w:val="00782A57"/>
    <w:rsid w:val="00782F77"/>
    <w:rsid w:val="00783428"/>
    <w:rsid w:val="00784919"/>
    <w:rsid w:val="0078779A"/>
    <w:rsid w:val="007917BC"/>
    <w:rsid w:val="00791A6C"/>
    <w:rsid w:val="00792483"/>
    <w:rsid w:val="007929F2"/>
    <w:rsid w:val="0079601D"/>
    <w:rsid w:val="007A0F64"/>
    <w:rsid w:val="007A1164"/>
    <w:rsid w:val="007A1448"/>
    <w:rsid w:val="007A1990"/>
    <w:rsid w:val="007A2DEC"/>
    <w:rsid w:val="007A35D5"/>
    <w:rsid w:val="007A5BDA"/>
    <w:rsid w:val="007A7C02"/>
    <w:rsid w:val="007B01C3"/>
    <w:rsid w:val="007B2CCC"/>
    <w:rsid w:val="007B6C75"/>
    <w:rsid w:val="007B766C"/>
    <w:rsid w:val="007B7E40"/>
    <w:rsid w:val="007C232A"/>
    <w:rsid w:val="007C62D8"/>
    <w:rsid w:val="007C763C"/>
    <w:rsid w:val="007D27E5"/>
    <w:rsid w:val="007D5AA1"/>
    <w:rsid w:val="007D6A9E"/>
    <w:rsid w:val="007E0B03"/>
    <w:rsid w:val="007E24B1"/>
    <w:rsid w:val="007E604C"/>
    <w:rsid w:val="007E69C2"/>
    <w:rsid w:val="007F01EA"/>
    <w:rsid w:val="007F2D02"/>
    <w:rsid w:val="007F2ED7"/>
    <w:rsid w:val="007F3F31"/>
    <w:rsid w:val="007F7480"/>
    <w:rsid w:val="007F7BC7"/>
    <w:rsid w:val="00802288"/>
    <w:rsid w:val="008065AD"/>
    <w:rsid w:val="00806BCE"/>
    <w:rsid w:val="00813E4D"/>
    <w:rsid w:val="00821142"/>
    <w:rsid w:val="00821B25"/>
    <w:rsid w:val="008229F3"/>
    <w:rsid w:val="00824744"/>
    <w:rsid w:val="0082500A"/>
    <w:rsid w:val="008250A3"/>
    <w:rsid w:val="00831FDA"/>
    <w:rsid w:val="00836C42"/>
    <w:rsid w:val="00836F56"/>
    <w:rsid w:val="00841C52"/>
    <w:rsid w:val="00843BCD"/>
    <w:rsid w:val="00844783"/>
    <w:rsid w:val="00853F9F"/>
    <w:rsid w:val="00854D93"/>
    <w:rsid w:val="00855934"/>
    <w:rsid w:val="00856CB1"/>
    <w:rsid w:val="00857092"/>
    <w:rsid w:val="00866FED"/>
    <w:rsid w:val="008670DF"/>
    <w:rsid w:val="00867A1C"/>
    <w:rsid w:val="00871A91"/>
    <w:rsid w:val="00873F27"/>
    <w:rsid w:val="0087467A"/>
    <w:rsid w:val="00875606"/>
    <w:rsid w:val="00877A11"/>
    <w:rsid w:val="008834D1"/>
    <w:rsid w:val="00884B11"/>
    <w:rsid w:val="00886C16"/>
    <w:rsid w:val="00886DB4"/>
    <w:rsid w:val="00891350"/>
    <w:rsid w:val="0089342E"/>
    <w:rsid w:val="008A0F49"/>
    <w:rsid w:val="008A556A"/>
    <w:rsid w:val="008B0FBE"/>
    <w:rsid w:val="008B149A"/>
    <w:rsid w:val="008B1E9C"/>
    <w:rsid w:val="008B30E7"/>
    <w:rsid w:val="008B3106"/>
    <w:rsid w:val="008B4D46"/>
    <w:rsid w:val="008B5F8C"/>
    <w:rsid w:val="008C4309"/>
    <w:rsid w:val="008C4650"/>
    <w:rsid w:val="008C782C"/>
    <w:rsid w:val="008D0724"/>
    <w:rsid w:val="008D35FC"/>
    <w:rsid w:val="008D563C"/>
    <w:rsid w:val="008D62AE"/>
    <w:rsid w:val="008D68EE"/>
    <w:rsid w:val="008D730D"/>
    <w:rsid w:val="008D7962"/>
    <w:rsid w:val="008E5441"/>
    <w:rsid w:val="008E5FAC"/>
    <w:rsid w:val="008F0484"/>
    <w:rsid w:val="008F068B"/>
    <w:rsid w:val="008F193A"/>
    <w:rsid w:val="008F25E9"/>
    <w:rsid w:val="008F3517"/>
    <w:rsid w:val="008F44AD"/>
    <w:rsid w:val="009032FA"/>
    <w:rsid w:val="009058F1"/>
    <w:rsid w:val="009077DF"/>
    <w:rsid w:val="00910608"/>
    <w:rsid w:val="009111B0"/>
    <w:rsid w:val="00911685"/>
    <w:rsid w:val="00911DAB"/>
    <w:rsid w:val="0091265B"/>
    <w:rsid w:val="0091273E"/>
    <w:rsid w:val="00916D86"/>
    <w:rsid w:val="009170B8"/>
    <w:rsid w:val="009178A9"/>
    <w:rsid w:val="00920D0B"/>
    <w:rsid w:val="00921766"/>
    <w:rsid w:val="00921D4F"/>
    <w:rsid w:val="009244A7"/>
    <w:rsid w:val="009250BB"/>
    <w:rsid w:val="00931687"/>
    <w:rsid w:val="0093455F"/>
    <w:rsid w:val="00942CBC"/>
    <w:rsid w:val="00943216"/>
    <w:rsid w:val="00944018"/>
    <w:rsid w:val="00947511"/>
    <w:rsid w:val="00947995"/>
    <w:rsid w:val="0095130B"/>
    <w:rsid w:val="00951CB7"/>
    <w:rsid w:val="009563DD"/>
    <w:rsid w:val="00960BDA"/>
    <w:rsid w:val="00962C0C"/>
    <w:rsid w:val="00962F39"/>
    <w:rsid w:val="009633D8"/>
    <w:rsid w:val="00964D08"/>
    <w:rsid w:val="00964F4C"/>
    <w:rsid w:val="00966F8A"/>
    <w:rsid w:val="00967A64"/>
    <w:rsid w:val="00973916"/>
    <w:rsid w:val="00977526"/>
    <w:rsid w:val="00977E74"/>
    <w:rsid w:val="00984A74"/>
    <w:rsid w:val="00984B4C"/>
    <w:rsid w:val="00985838"/>
    <w:rsid w:val="009868C1"/>
    <w:rsid w:val="0099255C"/>
    <w:rsid w:val="00995202"/>
    <w:rsid w:val="0099629F"/>
    <w:rsid w:val="00996E1E"/>
    <w:rsid w:val="00997B78"/>
    <w:rsid w:val="009A2420"/>
    <w:rsid w:val="009A5066"/>
    <w:rsid w:val="009A552F"/>
    <w:rsid w:val="009A663E"/>
    <w:rsid w:val="009A6EAC"/>
    <w:rsid w:val="009A7D7C"/>
    <w:rsid w:val="009B0119"/>
    <w:rsid w:val="009B214E"/>
    <w:rsid w:val="009B34D7"/>
    <w:rsid w:val="009B3F1C"/>
    <w:rsid w:val="009C0AB2"/>
    <w:rsid w:val="009C1FF4"/>
    <w:rsid w:val="009C25AF"/>
    <w:rsid w:val="009C4DF5"/>
    <w:rsid w:val="009C5B69"/>
    <w:rsid w:val="009E1C13"/>
    <w:rsid w:val="009E5A5C"/>
    <w:rsid w:val="009E6704"/>
    <w:rsid w:val="009F5C5E"/>
    <w:rsid w:val="009F703C"/>
    <w:rsid w:val="009F716E"/>
    <w:rsid w:val="009F7786"/>
    <w:rsid w:val="00A00CF8"/>
    <w:rsid w:val="00A01ED6"/>
    <w:rsid w:val="00A02D86"/>
    <w:rsid w:val="00A04138"/>
    <w:rsid w:val="00A050F3"/>
    <w:rsid w:val="00A06749"/>
    <w:rsid w:val="00A1129E"/>
    <w:rsid w:val="00A20426"/>
    <w:rsid w:val="00A20996"/>
    <w:rsid w:val="00A257D1"/>
    <w:rsid w:val="00A27954"/>
    <w:rsid w:val="00A32B15"/>
    <w:rsid w:val="00A34456"/>
    <w:rsid w:val="00A34DD2"/>
    <w:rsid w:val="00A357F5"/>
    <w:rsid w:val="00A37AAD"/>
    <w:rsid w:val="00A37FF2"/>
    <w:rsid w:val="00A40C50"/>
    <w:rsid w:val="00A4239D"/>
    <w:rsid w:val="00A43892"/>
    <w:rsid w:val="00A43A0C"/>
    <w:rsid w:val="00A44A09"/>
    <w:rsid w:val="00A50281"/>
    <w:rsid w:val="00A512DF"/>
    <w:rsid w:val="00A5372F"/>
    <w:rsid w:val="00A549A7"/>
    <w:rsid w:val="00A5747C"/>
    <w:rsid w:val="00A57AA7"/>
    <w:rsid w:val="00A628B0"/>
    <w:rsid w:val="00A642C2"/>
    <w:rsid w:val="00A65BF5"/>
    <w:rsid w:val="00A66C4C"/>
    <w:rsid w:val="00A709E2"/>
    <w:rsid w:val="00A70A30"/>
    <w:rsid w:val="00A72845"/>
    <w:rsid w:val="00A81550"/>
    <w:rsid w:val="00A87F63"/>
    <w:rsid w:val="00A94D5A"/>
    <w:rsid w:val="00A95F5D"/>
    <w:rsid w:val="00A963D4"/>
    <w:rsid w:val="00A96657"/>
    <w:rsid w:val="00AA0631"/>
    <w:rsid w:val="00AA0C78"/>
    <w:rsid w:val="00AA2179"/>
    <w:rsid w:val="00AA418C"/>
    <w:rsid w:val="00AA4285"/>
    <w:rsid w:val="00AA472F"/>
    <w:rsid w:val="00AA65A9"/>
    <w:rsid w:val="00AB00F9"/>
    <w:rsid w:val="00AB2C02"/>
    <w:rsid w:val="00AB3D02"/>
    <w:rsid w:val="00AB55B9"/>
    <w:rsid w:val="00AC041A"/>
    <w:rsid w:val="00AC171D"/>
    <w:rsid w:val="00AC21F3"/>
    <w:rsid w:val="00AC2697"/>
    <w:rsid w:val="00AC3B6B"/>
    <w:rsid w:val="00AC527E"/>
    <w:rsid w:val="00AC662E"/>
    <w:rsid w:val="00AD4A69"/>
    <w:rsid w:val="00AD657F"/>
    <w:rsid w:val="00AE213A"/>
    <w:rsid w:val="00AE2ED5"/>
    <w:rsid w:val="00AE4276"/>
    <w:rsid w:val="00AE4B1D"/>
    <w:rsid w:val="00AE52E7"/>
    <w:rsid w:val="00AF031B"/>
    <w:rsid w:val="00AF35B4"/>
    <w:rsid w:val="00AF4753"/>
    <w:rsid w:val="00AF6C5F"/>
    <w:rsid w:val="00AF7124"/>
    <w:rsid w:val="00B007E3"/>
    <w:rsid w:val="00B0093E"/>
    <w:rsid w:val="00B04B78"/>
    <w:rsid w:val="00B078F4"/>
    <w:rsid w:val="00B11316"/>
    <w:rsid w:val="00B116F8"/>
    <w:rsid w:val="00B124F6"/>
    <w:rsid w:val="00B132DB"/>
    <w:rsid w:val="00B14583"/>
    <w:rsid w:val="00B150A4"/>
    <w:rsid w:val="00B17C08"/>
    <w:rsid w:val="00B2148C"/>
    <w:rsid w:val="00B224BC"/>
    <w:rsid w:val="00B22C96"/>
    <w:rsid w:val="00B264B7"/>
    <w:rsid w:val="00B27D98"/>
    <w:rsid w:val="00B31EBD"/>
    <w:rsid w:val="00B34807"/>
    <w:rsid w:val="00B35C6A"/>
    <w:rsid w:val="00B367AB"/>
    <w:rsid w:val="00B40520"/>
    <w:rsid w:val="00B436BE"/>
    <w:rsid w:val="00B46597"/>
    <w:rsid w:val="00B46E55"/>
    <w:rsid w:val="00B47190"/>
    <w:rsid w:val="00B51F5C"/>
    <w:rsid w:val="00B5294A"/>
    <w:rsid w:val="00B5578A"/>
    <w:rsid w:val="00B57E38"/>
    <w:rsid w:val="00B61851"/>
    <w:rsid w:val="00B61DF1"/>
    <w:rsid w:val="00B62927"/>
    <w:rsid w:val="00B62F42"/>
    <w:rsid w:val="00B63B8C"/>
    <w:rsid w:val="00B6427D"/>
    <w:rsid w:val="00B658AC"/>
    <w:rsid w:val="00B66E72"/>
    <w:rsid w:val="00B70A9B"/>
    <w:rsid w:val="00B7219C"/>
    <w:rsid w:val="00B72FE7"/>
    <w:rsid w:val="00B747E4"/>
    <w:rsid w:val="00B77A29"/>
    <w:rsid w:val="00B77F92"/>
    <w:rsid w:val="00B829DC"/>
    <w:rsid w:val="00B867E3"/>
    <w:rsid w:val="00B94487"/>
    <w:rsid w:val="00B96190"/>
    <w:rsid w:val="00B969D7"/>
    <w:rsid w:val="00BA0328"/>
    <w:rsid w:val="00BA1D5B"/>
    <w:rsid w:val="00BA2E3D"/>
    <w:rsid w:val="00BA776F"/>
    <w:rsid w:val="00BB201A"/>
    <w:rsid w:val="00BB387B"/>
    <w:rsid w:val="00BC1328"/>
    <w:rsid w:val="00BC51D3"/>
    <w:rsid w:val="00BC5D2A"/>
    <w:rsid w:val="00BC7585"/>
    <w:rsid w:val="00BD1727"/>
    <w:rsid w:val="00BD1A46"/>
    <w:rsid w:val="00BD3548"/>
    <w:rsid w:val="00BD4BFE"/>
    <w:rsid w:val="00BD5E34"/>
    <w:rsid w:val="00BE005F"/>
    <w:rsid w:val="00BE04B4"/>
    <w:rsid w:val="00BE16A2"/>
    <w:rsid w:val="00BE39ED"/>
    <w:rsid w:val="00BE3DD9"/>
    <w:rsid w:val="00BE70DD"/>
    <w:rsid w:val="00BE7FE2"/>
    <w:rsid w:val="00BF21EA"/>
    <w:rsid w:val="00BF3649"/>
    <w:rsid w:val="00BF3BD2"/>
    <w:rsid w:val="00BF59F5"/>
    <w:rsid w:val="00BF65A1"/>
    <w:rsid w:val="00BF771B"/>
    <w:rsid w:val="00C06009"/>
    <w:rsid w:val="00C06CB4"/>
    <w:rsid w:val="00C07E60"/>
    <w:rsid w:val="00C100BB"/>
    <w:rsid w:val="00C10111"/>
    <w:rsid w:val="00C122FD"/>
    <w:rsid w:val="00C13E6B"/>
    <w:rsid w:val="00C14A85"/>
    <w:rsid w:val="00C1517F"/>
    <w:rsid w:val="00C1700A"/>
    <w:rsid w:val="00C1773E"/>
    <w:rsid w:val="00C2121E"/>
    <w:rsid w:val="00C22286"/>
    <w:rsid w:val="00C2761A"/>
    <w:rsid w:val="00C30928"/>
    <w:rsid w:val="00C33062"/>
    <w:rsid w:val="00C34C41"/>
    <w:rsid w:val="00C350A3"/>
    <w:rsid w:val="00C420C5"/>
    <w:rsid w:val="00C42345"/>
    <w:rsid w:val="00C443F9"/>
    <w:rsid w:val="00C45BF3"/>
    <w:rsid w:val="00C52140"/>
    <w:rsid w:val="00C52368"/>
    <w:rsid w:val="00C55A90"/>
    <w:rsid w:val="00C55DC5"/>
    <w:rsid w:val="00C610FD"/>
    <w:rsid w:val="00C611CF"/>
    <w:rsid w:val="00C614B8"/>
    <w:rsid w:val="00C62E4D"/>
    <w:rsid w:val="00C63AC6"/>
    <w:rsid w:val="00C7699B"/>
    <w:rsid w:val="00C807AC"/>
    <w:rsid w:val="00C817DE"/>
    <w:rsid w:val="00C82731"/>
    <w:rsid w:val="00C82F4B"/>
    <w:rsid w:val="00C85409"/>
    <w:rsid w:val="00C858D8"/>
    <w:rsid w:val="00C90E35"/>
    <w:rsid w:val="00C9138C"/>
    <w:rsid w:val="00C93E1B"/>
    <w:rsid w:val="00C95167"/>
    <w:rsid w:val="00C9636E"/>
    <w:rsid w:val="00CA0A6B"/>
    <w:rsid w:val="00CA5CED"/>
    <w:rsid w:val="00CA6E5C"/>
    <w:rsid w:val="00CA76AB"/>
    <w:rsid w:val="00CA7A26"/>
    <w:rsid w:val="00CB1182"/>
    <w:rsid w:val="00CB1236"/>
    <w:rsid w:val="00CB1C6C"/>
    <w:rsid w:val="00CB214E"/>
    <w:rsid w:val="00CB2377"/>
    <w:rsid w:val="00CB27A1"/>
    <w:rsid w:val="00CB2B40"/>
    <w:rsid w:val="00CB38B9"/>
    <w:rsid w:val="00CB5F0C"/>
    <w:rsid w:val="00CB6A96"/>
    <w:rsid w:val="00CC1ED7"/>
    <w:rsid w:val="00CC3A53"/>
    <w:rsid w:val="00CC5568"/>
    <w:rsid w:val="00CC5F38"/>
    <w:rsid w:val="00CD0FA2"/>
    <w:rsid w:val="00CD6705"/>
    <w:rsid w:val="00CE0E91"/>
    <w:rsid w:val="00CE4056"/>
    <w:rsid w:val="00CE4365"/>
    <w:rsid w:val="00CE4A7F"/>
    <w:rsid w:val="00CE524F"/>
    <w:rsid w:val="00CE6F3A"/>
    <w:rsid w:val="00CE76DB"/>
    <w:rsid w:val="00CF2D7A"/>
    <w:rsid w:val="00D029C2"/>
    <w:rsid w:val="00D02FF8"/>
    <w:rsid w:val="00D03AE8"/>
    <w:rsid w:val="00D04615"/>
    <w:rsid w:val="00D07097"/>
    <w:rsid w:val="00D070A8"/>
    <w:rsid w:val="00D07EBA"/>
    <w:rsid w:val="00D1073B"/>
    <w:rsid w:val="00D11178"/>
    <w:rsid w:val="00D14905"/>
    <w:rsid w:val="00D178C4"/>
    <w:rsid w:val="00D26283"/>
    <w:rsid w:val="00D44E08"/>
    <w:rsid w:val="00D45175"/>
    <w:rsid w:val="00D46C2D"/>
    <w:rsid w:val="00D50B30"/>
    <w:rsid w:val="00D5219F"/>
    <w:rsid w:val="00D53E42"/>
    <w:rsid w:val="00D55D73"/>
    <w:rsid w:val="00D605F6"/>
    <w:rsid w:val="00D63695"/>
    <w:rsid w:val="00D64A76"/>
    <w:rsid w:val="00D71246"/>
    <w:rsid w:val="00D76DE8"/>
    <w:rsid w:val="00D80B23"/>
    <w:rsid w:val="00D87FD1"/>
    <w:rsid w:val="00D91CD8"/>
    <w:rsid w:val="00D957AC"/>
    <w:rsid w:val="00D963F1"/>
    <w:rsid w:val="00D96E9D"/>
    <w:rsid w:val="00DA4C9D"/>
    <w:rsid w:val="00DA636D"/>
    <w:rsid w:val="00DB40E4"/>
    <w:rsid w:val="00DB6086"/>
    <w:rsid w:val="00DD0753"/>
    <w:rsid w:val="00DD0EC4"/>
    <w:rsid w:val="00DD1DEF"/>
    <w:rsid w:val="00DD3174"/>
    <w:rsid w:val="00DD32B2"/>
    <w:rsid w:val="00DD6BC2"/>
    <w:rsid w:val="00DD6C8F"/>
    <w:rsid w:val="00DD731B"/>
    <w:rsid w:val="00DD7DFD"/>
    <w:rsid w:val="00DD7FB7"/>
    <w:rsid w:val="00DE0C0E"/>
    <w:rsid w:val="00DE158A"/>
    <w:rsid w:val="00DE24E9"/>
    <w:rsid w:val="00DE4771"/>
    <w:rsid w:val="00DE4FAB"/>
    <w:rsid w:val="00DF0C9C"/>
    <w:rsid w:val="00DF0EF6"/>
    <w:rsid w:val="00DF2EE1"/>
    <w:rsid w:val="00DF31AC"/>
    <w:rsid w:val="00DF60D0"/>
    <w:rsid w:val="00E04AEF"/>
    <w:rsid w:val="00E05A92"/>
    <w:rsid w:val="00E07C14"/>
    <w:rsid w:val="00E07FE4"/>
    <w:rsid w:val="00E108AB"/>
    <w:rsid w:val="00E110D1"/>
    <w:rsid w:val="00E128F3"/>
    <w:rsid w:val="00E1386A"/>
    <w:rsid w:val="00E14D94"/>
    <w:rsid w:val="00E14FDA"/>
    <w:rsid w:val="00E17042"/>
    <w:rsid w:val="00E20981"/>
    <w:rsid w:val="00E20BB7"/>
    <w:rsid w:val="00E21F3E"/>
    <w:rsid w:val="00E2321B"/>
    <w:rsid w:val="00E27DB5"/>
    <w:rsid w:val="00E30C7B"/>
    <w:rsid w:val="00E3213D"/>
    <w:rsid w:val="00E3241F"/>
    <w:rsid w:val="00E337D5"/>
    <w:rsid w:val="00E33A9D"/>
    <w:rsid w:val="00E33CDA"/>
    <w:rsid w:val="00E34463"/>
    <w:rsid w:val="00E34F18"/>
    <w:rsid w:val="00E35FFA"/>
    <w:rsid w:val="00E4065C"/>
    <w:rsid w:val="00E40A92"/>
    <w:rsid w:val="00E42D13"/>
    <w:rsid w:val="00E44CD2"/>
    <w:rsid w:val="00E45737"/>
    <w:rsid w:val="00E47057"/>
    <w:rsid w:val="00E50EEC"/>
    <w:rsid w:val="00E50F88"/>
    <w:rsid w:val="00E510E3"/>
    <w:rsid w:val="00E51764"/>
    <w:rsid w:val="00E53B42"/>
    <w:rsid w:val="00E53DB2"/>
    <w:rsid w:val="00E557E4"/>
    <w:rsid w:val="00E60166"/>
    <w:rsid w:val="00E60A0F"/>
    <w:rsid w:val="00E60D96"/>
    <w:rsid w:val="00E61B60"/>
    <w:rsid w:val="00E61C89"/>
    <w:rsid w:val="00E65185"/>
    <w:rsid w:val="00E6640D"/>
    <w:rsid w:val="00E6670C"/>
    <w:rsid w:val="00E67824"/>
    <w:rsid w:val="00E711A2"/>
    <w:rsid w:val="00E71563"/>
    <w:rsid w:val="00E7367F"/>
    <w:rsid w:val="00E80CBA"/>
    <w:rsid w:val="00E81A55"/>
    <w:rsid w:val="00E82232"/>
    <w:rsid w:val="00E8256B"/>
    <w:rsid w:val="00E847E5"/>
    <w:rsid w:val="00E84A74"/>
    <w:rsid w:val="00E85CA7"/>
    <w:rsid w:val="00E87E65"/>
    <w:rsid w:val="00E931C1"/>
    <w:rsid w:val="00E95C3B"/>
    <w:rsid w:val="00E960D6"/>
    <w:rsid w:val="00E96954"/>
    <w:rsid w:val="00EA39F5"/>
    <w:rsid w:val="00EA65FD"/>
    <w:rsid w:val="00EA6B96"/>
    <w:rsid w:val="00EB22F0"/>
    <w:rsid w:val="00EB2452"/>
    <w:rsid w:val="00EB5B64"/>
    <w:rsid w:val="00EB6D76"/>
    <w:rsid w:val="00EC2D4A"/>
    <w:rsid w:val="00ED2D4F"/>
    <w:rsid w:val="00ED47C6"/>
    <w:rsid w:val="00ED4AA9"/>
    <w:rsid w:val="00ED4CAF"/>
    <w:rsid w:val="00ED5A0D"/>
    <w:rsid w:val="00ED677B"/>
    <w:rsid w:val="00ED745D"/>
    <w:rsid w:val="00ED7553"/>
    <w:rsid w:val="00EE29E3"/>
    <w:rsid w:val="00EE3497"/>
    <w:rsid w:val="00EF287C"/>
    <w:rsid w:val="00EF42D0"/>
    <w:rsid w:val="00F04BC9"/>
    <w:rsid w:val="00F0685E"/>
    <w:rsid w:val="00F06E98"/>
    <w:rsid w:val="00F072DA"/>
    <w:rsid w:val="00F075EC"/>
    <w:rsid w:val="00F125D3"/>
    <w:rsid w:val="00F126C8"/>
    <w:rsid w:val="00F1288A"/>
    <w:rsid w:val="00F13C5D"/>
    <w:rsid w:val="00F14D0D"/>
    <w:rsid w:val="00F16368"/>
    <w:rsid w:val="00F2729A"/>
    <w:rsid w:val="00F27E56"/>
    <w:rsid w:val="00F31F7E"/>
    <w:rsid w:val="00F32A96"/>
    <w:rsid w:val="00F33A00"/>
    <w:rsid w:val="00F35D08"/>
    <w:rsid w:val="00F41B55"/>
    <w:rsid w:val="00F44A3B"/>
    <w:rsid w:val="00F452D2"/>
    <w:rsid w:val="00F469BB"/>
    <w:rsid w:val="00F47E01"/>
    <w:rsid w:val="00F55522"/>
    <w:rsid w:val="00F6212D"/>
    <w:rsid w:val="00F62C69"/>
    <w:rsid w:val="00F62EBA"/>
    <w:rsid w:val="00F72D25"/>
    <w:rsid w:val="00F73C69"/>
    <w:rsid w:val="00F73F7E"/>
    <w:rsid w:val="00F7459D"/>
    <w:rsid w:val="00F75F36"/>
    <w:rsid w:val="00F76107"/>
    <w:rsid w:val="00F76627"/>
    <w:rsid w:val="00F80103"/>
    <w:rsid w:val="00F8285A"/>
    <w:rsid w:val="00F828E7"/>
    <w:rsid w:val="00F834F6"/>
    <w:rsid w:val="00F8678F"/>
    <w:rsid w:val="00F86A25"/>
    <w:rsid w:val="00F876D9"/>
    <w:rsid w:val="00F928E9"/>
    <w:rsid w:val="00F92993"/>
    <w:rsid w:val="00F94810"/>
    <w:rsid w:val="00F95411"/>
    <w:rsid w:val="00F95CEB"/>
    <w:rsid w:val="00F96509"/>
    <w:rsid w:val="00F96D3A"/>
    <w:rsid w:val="00F96D92"/>
    <w:rsid w:val="00FA15B7"/>
    <w:rsid w:val="00FA1619"/>
    <w:rsid w:val="00FA508F"/>
    <w:rsid w:val="00FA567A"/>
    <w:rsid w:val="00FA593C"/>
    <w:rsid w:val="00FB0A96"/>
    <w:rsid w:val="00FB0F08"/>
    <w:rsid w:val="00FB19CA"/>
    <w:rsid w:val="00FB4188"/>
    <w:rsid w:val="00FC120B"/>
    <w:rsid w:val="00FC1F7B"/>
    <w:rsid w:val="00FC54B9"/>
    <w:rsid w:val="00FD1183"/>
    <w:rsid w:val="00FD1DB6"/>
    <w:rsid w:val="00FD55F9"/>
    <w:rsid w:val="00FD6020"/>
    <w:rsid w:val="00FD62CD"/>
    <w:rsid w:val="00FE1AA4"/>
    <w:rsid w:val="00FE2556"/>
    <w:rsid w:val="00FE3D0E"/>
    <w:rsid w:val="00FE63AE"/>
    <w:rsid w:val="00FE7564"/>
    <w:rsid w:val="00FE7709"/>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537903F-0071-42A5-8784-3FF0156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link w:val="ListParagraph"/>
    <w:uiPriority w:val="34"/>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basedOn w:val="DefaultParagraphFont"/>
    <w:link w:val="Header"/>
    <w:uiPriority w:val="99"/>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character" w:styleId="FollowedHyperlink">
    <w:name w:val="FollowedHyperlink"/>
    <w:basedOn w:val="DefaultParagraphFont"/>
    <w:uiPriority w:val="99"/>
    <w:semiHidden/>
    <w:unhideWhenUsed/>
    <w:rsid w:val="00D04615"/>
    <w:rPr>
      <w:color w:val="800080" w:themeColor="followedHyperlink"/>
      <w:u w:val="single"/>
    </w:rPr>
  </w:style>
  <w:style w:type="paragraph" w:styleId="Revision">
    <w:name w:val="Revision"/>
    <w:hidden/>
    <w:uiPriority w:val="99"/>
    <w:semiHidden/>
    <w:rsid w:val="00B07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CAB9-DEF5-4E04-8AD8-48CA9AF5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30619</Words>
  <Characters>17454</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8.2.4. specifiskā atbalsta mērķa „Nodrošināt atbalstu EQAR aģentūrai izvirzīto prasību izpildei” īstenošanas noteikumi</vt:lpstr>
      <vt:lpstr>Ministru kabineta noteikumu projekts "Dzelzceļa tehniskās ekspluatācijas noteikumi"</vt:lpstr>
    </vt:vector>
  </TitlesOfParts>
  <Company>Satiksmes Ministrija, Valsts dzelzceļa tehniskā inspekcija</Company>
  <LinksUpToDate>false</LinksUpToDate>
  <CharactersWithSpaces>47978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8.2.4. specifiskā atbalsta mērķa „Nodrošināt atbalstu EQAR aģentūrai izvirzīto prasību izpildei” īstenošanas noteikumi</dc:title>
  <dc:subject>Anotācija</dc:subject>
  <dc:creator>I.Kalva</dc:creator>
  <cp:keywords>IZM</cp:keywords>
  <dc:description>67047941, inese.kalva@izm.gov.lv</dc:description>
  <cp:lastModifiedBy>Vēsma Abizāre-Vagre</cp:lastModifiedBy>
  <cp:revision>32</cp:revision>
  <cp:lastPrinted>2015-07-10T08:20:00Z</cp:lastPrinted>
  <dcterms:created xsi:type="dcterms:W3CDTF">2015-06-29T11:20:00Z</dcterms:created>
  <dcterms:modified xsi:type="dcterms:W3CDTF">2015-07-20T06:47:00Z</dcterms:modified>
</cp:coreProperties>
</file>